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F2277" w14:textId="77777777" w:rsidR="000B4C14" w:rsidRPr="00785857" w:rsidRDefault="000B4C14" w:rsidP="000B4C14">
      <w:pPr>
        <w:spacing w:line="240" w:lineRule="auto"/>
        <w:jc w:val="center"/>
        <w:rPr>
          <w:rFonts w:ascii="Times New Roman" w:hAnsi="Times New Roman"/>
          <w:b/>
        </w:rPr>
      </w:pPr>
      <w:r>
        <w:rPr>
          <w:rFonts w:ascii="Times New Roman" w:hAnsi="Times New Roman"/>
          <w:b/>
        </w:rPr>
        <w:t>A.14-04-014</w:t>
      </w:r>
      <w:r w:rsidRPr="00785857">
        <w:rPr>
          <w:rFonts w:ascii="Times New Roman" w:hAnsi="Times New Roman"/>
          <w:b/>
        </w:rPr>
        <w:t xml:space="preserve"> </w:t>
      </w:r>
      <w:r>
        <w:rPr>
          <w:rFonts w:ascii="Times New Roman" w:hAnsi="Times New Roman"/>
          <w:b/>
        </w:rPr>
        <w:t>SDG&amp;E EV PILOT</w:t>
      </w:r>
    </w:p>
    <w:p w14:paraId="165A009B" w14:textId="77777777" w:rsidR="000B4C14" w:rsidRPr="00785857" w:rsidRDefault="000B4C14" w:rsidP="000B4C14">
      <w:pPr>
        <w:spacing w:line="240" w:lineRule="auto"/>
        <w:jc w:val="center"/>
        <w:rPr>
          <w:rFonts w:ascii="Times New Roman" w:hAnsi="Times New Roman"/>
          <w:b/>
        </w:rPr>
      </w:pPr>
      <w:r w:rsidRPr="00785857">
        <w:rPr>
          <w:rFonts w:ascii="Times New Roman" w:hAnsi="Times New Roman"/>
          <w:b/>
        </w:rPr>
        <w:t xml:space="preserve">TURN Data Request </w:t>
      </w:r>
    </w:p>
    <w:p w14:paraId="15D5F7D4" w14:textId="77777777" w:rsidR="000B4C14" w:rsidRPr="00785857" w:rsidRDefault="000B4C14" w:rsidP="000B4C14">
      <w:pPr>
        <w:spacing w:line="240" w:lineRule="auto"/>
        <w:rPr>
          <w:rFonts w:ascii="Times New Roman" w:hAnsi="Times New Roman"/>
          <w:b/>
        </w:rPr>
      </w:pPr>
    </w:p>
    <w:p w14:paraId="4C91385C" w14:textId="77777777" w:rsidR="00204197" w:rsidRPr="00785857" w:rsidRDefault="00204197" w:rsidP="001957ED">
      <w:pPr>
        <w:spacing w:line="240" w:lineRule="auto"/>
        <w:rPr>
          <w:rFonts w:ascii="Times New Roman" w:hAnsi="Times New Roman"/>
          <w:b/>
        </w:rPr>
      </w:pPr>
    </w:p>
    <w:p w14:paraId="7A2C1209" w14:textId="77777777" w:rsidR="00204197" w:rsidRPr="00785857" w:rsidRDefault="00204197" w:rsidP="001957ED">
      <w:pPr>
        <w:spacing w:line="240" w:lineRule="auto"/>
        <w:ind w:firstLine="0"/>
        <w:jc w:val="center"/>
        <w:rPr>
          <w:rFonts w:ascii="Times New Roman" w:hAnsi="Times New Roman"/>
          <w:b/>
        </w:rPr>
      </w:pPr>
      <w:r w:rsidRPr="00785857">
        <w:rPr>
          <w:rFonts w:ascii="Times New Roman" w:hAnsi="Times New Roman"/>
          <w:b/>
        </w:rPr>
        <w:t xml:space="preserve">Data Request Number: </w:t>
      </w:r>
      <w:r w:rsidRPr="00785857">
        <w:rPr>
          <w:rFonts w:ascii="Times New Roman" w:hAnsi="Times New Roman"/>
        </w:rPr>
        <w:t>TURN-</w:t>
      </w:r>
      <w:r>
        <w:rPr>
          <w:rFonts w:ascii="Times New Roman" w:hAnsi="Times New Roman"/>
        </w:rPr>
        <w:t>06</w:t>
      </w:r>
    </w:p>
    <w:p w14:paraId="07BCE3B3" w14:textId="77777777" w:rsidR="00204197" w:rsidRPr="00785857" w:rsidRDefault="00204197" w:rsidP="001957ED">
      <w:pPr>
        <w:spacing w:line="240" w:lineRule="auto"/>
        <w:ind w:firstLine="0"/>
        <w:jc w:val="center"/>
        <w:rPr>
          <w:rFonts w:ascii="Times New Roman" w:hAnsi="Times New Roman"/>
          <w:b/>
        </w:rPr>
      </w:pPr>
      <w:r w:rsidRPr="00785857">
        <w:rPr>
          <w:rFonts w:ascii="Times New Roman" w:hAnsi="Times New Roman"/>
          <w:b/>
        </w:rPr>
        <w:t xml:space="preserve">Date Sent: </w:t>
      </w:r>
      <w:r>
        <w:rPr>
          <w:rFonts w:ascii="Times New Roman" w:hAnsi="Times New Roman"/>
        </w:rPr>
        <w:t>March 19, 2015</w:t>
      </w:r>
    </w:p>
    <w:p w14:paraId="74780A63" w14:textId="77777777" w:rsidR="00204197" w:rsidRPr="000B4C14" w:rsidRDefault="00204197" w:rsidP="001957ED">
      <w:pPr>
        <w:pStyle w:val="Header"/>
        <w:spacing w:after="0"/>
        <w:jc w:val="center"/>
        <w:rPr>
          <w:rFonts w:ascii="Times New Roman" w:hAnsi="Times New Roman"/>
          <w:sz w:val="24"/>
        </w:rPr>
      </w:pPr>
      <w:r w:rsidRPr="000B4C14">
        <w:rPr>
          <w:rFonts w:ascii="Times New Roman" w:hAnsi="Times New Roman"/>
          <w:b/>
          <w:sz w:val="24"/>
        </w:rPr>
        <w:t xml:space="preserve">Response Due: </w:t>
      </w:r>
      <w:r>
        <w:rPr>
          <w:rFonts w:ascii="Times New Roman" w:hAnsi="Times New Roman"/>
          <w:sz w:val="24"/>
        </w:rPr>
        <w:t>April 2, 2015</w:t>
      </w:r>
    </w:p>
    <w:p w14:paraId="3C33794B" w14:textId="77777777" w:rsidR="000B4C14" w:rsidRPr="00785857" w:rsidRDefault="000B4C14" w:rsidP="000B4C14">
      <w:pPr>
        <w:spacing w:line="240" w:lineRule="auto"/>
        <w:rPr>
          <w:rFonts w:ascii="Times New Roman" w:hAnsi="Times New Roman"/>
        </w:rPr>
      </w:pPr>
    </w:p>
    <w:p w14:paraId="1DC0F981" w14:textId="77777777" w:rsidR="000B4C14" w:rsidRPr="00785857" w:rsidRDefault="000B4C14" w:rsidP="000B4C14">
      <w:pPr>
        <w:spacing w:line="240" w:lineRule="auto"/>
        <w:ind w:firstLine="0"/>
        <w:rPr>
          <w:rFonts w:ascii="Times New Roman" w:hAnsi="Times New Roman"/>
        </w:rPr>
      </w:pPr>
      <w:r w:rsidRPr="00785857">
        <w:rPr>
          <w:rFonts w:ascii="Times New Roman" w:hAnsi="Times New Roman"/>
        </w:rPr>
        <w:t xml:space="preserve">Please provide an </w:t>
      </w:r>
      <w:r w:rsidRPr="00785857">
        <w:rPr>
          <w:rFonts w:ascii="Times New Roman" w:hAnsi="Times New Roman"/>
          <w:u w:val="single"/>
        </w:rPr>
        <w:t>electronic</w:t>
      </w:r>
      <w:r w:rsidRPr="00785857">
        <w:rPr>
          <w:rFonts w:ascii="Times New Roman" w:hAnsi="Times New Roman"/>
        </w:rPr>
        <w:t xml:space="preserve"> response to the following question.  A hard copy response is unnecessary.  The response should be provided on a CD sent by mail or as attachments sent by e-mail to the following:</w:t>
      </w:r>
    </w:p>
    <w:p w14:paraId="0F3099BD" w14:textId="77777777" w:rsidR="000B4C14" w:rsidRPr="00785857" w:rsidRDefault="000B4C14" w:rsidP="000B4C14">
      <w:pPr>
        <w:spacing w:line="240" w:lineRule="auto"/>
        <w:rPr>
          <w:rFonts w:ascii="Times New Roman" w:hAnsi="Times New Roman"/>
        </w:rPr>
      </w:pPr>
    </w:p>
    <w:tbl>
      <w:tblPr>
        <w:tblStyle w:val="TableGrid"/>
        <w:tblW w:w="13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gridCol w:w="4440"/>
      </w:tblGrid>
      <w:tr w:rsidR="000B4C14" w:rsidRPr="00785857" w14:paraId="222A2DA6" w14:textId="77777777" w:rsidTr="000B4C14">
        <w:tc>
          <w:tcPr>
            <w:tcW w:w="4416" w:type="dxa"/>
          </w:tcPr>
          <w:p w14:paraId="5686B343" w14:textId="77777777" w:rsidR="000B4C14" w:rsidRPr="00785857" w:rsidRDefault="000B4C14" w:rsidP="00204197">
            <w:pPr>
              <w:spacing w:line="240" w:lineRule="auto"/>
              <w:rPr>
                <w:rFonts w:ascii="Times New Roman" w:hAnsi="Times New Roman"/>
              </w:rPr>
            </w:pPr>
          </w:p>
          <w:p w14:paraId="0897F5BF" w14:textId="77777777" w:rsidR="000B4C14" w:rsidRPr="00785857" w:rsidRDefault="000B4C14" w:rsidP="00204197">
            <w:pPr>
              <w:spacing w:line="240" w:lineRule="auto"/>
              <w:rPr>
                <w:rFonts w:ascii="Times New Roman" w:hAnsi="Times New Roman"/>
              </w:rPr>
            </w:pPr>
            <w:r w:rsidRPr="00785857">
              <w:rPr>
                <w:rFonts w:ascii="Times New Roman" w:hAnsi="Times New Roman"/>
              </w:rPr>
              <w:t>Marcel Hawiger</w:t>
            </w:r>
          </w:p>
          <w:p w14:paraId="48BB6326" w14:textId="77777777" w:rsidR="000B4C14" w:rsidRPr="00785857" w:rsidRDefault="000B4C14" w:rsidP="00204197">
            <w:pPr>
              <w:spacing w:line="240" w:lineRule="auto"/>
              <w:rPr>
                <w:rFonts w:ascii="Times New Roman" w:hAnsi="Times New Roman"/>
              </w:rPr>
            </w:pPr>
            <w:r w:rsidRPr="00785857">
              <w:rPr>
                <w:rFonts w:ascii="Times New Roman" w:hAnsi="Times New Roman"/>
              </w:rPr>
              <w:t>The Utility Reform Network</w:t>
            </w:r>
          </w:p>
          <w:p w14:paraId="57D77C93" w14:textId="77777777" w:rsidR="000B4C14" w:rsidRPr="00785857" w:rsidRDefault="000B4C14" w:rsidP="00204197">
            <w:pPr>
              <w:spacing w:line="240" w:lineRule="auto"/>
              <w:rPr>
                <w:rFonts w:ascii="Times New Roman" w:hAnsi="Times New Roman"/>
              </w:rPr>
            </w:pPr>
            <w:r w:rsidRPr="00785857">
              <w:rPr>
                <w:rFonts w:ascii="Times New Roman" w:hAnsi="Times New Roman"/>
              </w:rPr>
              <w:t>785 Market Street, Suite 1400</w:t>
            </w:r>
          </w:p>
          <w:p w14:paraId="00D2F018" w14:textId="77777777" w:rsidR="000B4C14" w:rsidRPr="00785857" w:rsidRDefault="000B4C14" w:rsidP="00204197">
            <w:pPr>
              <w:spacing w:line="240" w:lineRule="auto"/>
              <w:rPr>
                <w:rFonts w:ascii="Times New Roman" w:hAnsi="Times New Roman"/>
              </w:rPr>
            </w:pPr>
            <w:r w:rsidRPr="00785857">
              <w:rPr>
                <w:rFonts w:ascii="Times New Roman" w:hAnsi="Times New Roman"/>
              </w:rPr>
              <w:t>San Francisco, CA 94103</w:t>
            </w:r>
          </w:p>
          <w:p w14:paraId="37517048" w14:textId="77777777" w:rsidR="000B4C14" w:rsidRPr="00785857" w:rsidRDefault="0073189A" w:rsidP="00204197">
            <w:pPr>
              <w:spacing w:line="240" w:lineRule="auto"/>
              <w:rPr>
                <w:rFonts w:ascii="Times New Roman" w:hAnsi="Times New Roman"/>
              </w:rPr>
            </w:pPr>
            <w:hyperlink r:id="rId9" w:history="1">
              <w:r w:rsidR="000B4C14" w:rsidRPr="00785857">
                <w:rPr>
                  <w:rStyle w:val="Hyperlink"/>
                  <w:rFonts w:ascii="Times New Roman" w:hAnsi="Times New Roman"/>
                </w:rPr>
                <w:t>marcel@turn.org</w:t>
              </w:r>
            </w:hyperlink>
            <w:r w:rsidR="000B4C14" w:rsidRPr="00785857">
              <w:rPr>
                <w:rFonts w:ascii="Times New Roman" w:hAnsi="Times New Roman"/>
              </w:rPr>
              <w:t xml:space="preserve"> </w:t>
            </w:r>
          </w:p>
        </w:tc>
        <w:tc>
          <w:tcPr>
            <w:tcW w:w="4440" w:type="dxa"/>
          </w:tcPr>
          <w:p w14:paraId="4A4D5066" w14:textId="77777777" w:rsidR="000B4C14" w:rsidRPr="00785857" w:rsidRDefault="000B4C14" w:rsidP="00204197">
            <w:pPr>
              <w:spacing w:line="240" w:lineRule="auto"/>
              <w:rPr>
                <w:rFonts w:ascii="Times New Roman" w:hAnsi="Times New Roman"/>
              </w:rPr>
            </w:pPr>
          </w:p>
          <w:p w14:paraId="131240FC" w14:textId="77777777" w:rsidR="000B4C14" w:rsidRPr="00785857" w:rsidRDefault="000B4C14" w:rsidP="00204197">
            <w:pPr>
              <w:spacing w:line="240" w:lineRule="auto"/>
              <w:rPr>
                <w:rFonts w:ascii="Times New Roman" w:hAnsi="Times New Roman"/>
              </w:rPr>
            </w:pPr>
            <w:r>
              <w:rPr>
                <w:rFonts w:ascii="Times New Roman" w:hAnsi="Times New Roman"/>
              </w:rPr>
              <w:t>Elise Torres</w:t>
            </w:r>
          </w:p>
          <w:p w14:paraId="3E53B48D" w14:textId="77777777" w:rsidR="000B4C14" w:rsidRPr="00785857" w:rsidRDefault="000B4C14" w:rsidP="00204197">
            <w:pPr>
              <w:spacing w:line="240" w:lineRule="auto"/>
              <w:rPr>
                <w:rFonts w:ascii="Times New Roman" w:hAnsi="Times New Roman"/>
              </w:rPr>
            </w:pPr>
            <w:r w:rsidRPr="00785857">
              <w:rPr>
                <w:rFonts w:ascii="Times New Roman" w:hAnsi="Times New Roman"/>
              </w:rPr>
              <w:t>The Utility Reform Network</w:t>
            </w:r>
          </w:p>
          <w:p w14:paraId="2C42571F" w14:textId="77777777" w:rsidR="000B4C14" w:rsidRPr="00785857" w:rsidRDefault="000B4C14" w:rsidP="00204197">
            <w:pPr>
              <w:spacing w:line="240" w:lineRule="auto"/>
              <w:rPr>
                <w:rFonts w:ascii="Times New Roman" w:hAnsi="Times New Roman"/>
              </w:rPr>
            </w:pPr>
            <w:r w:rsidRPr="00785857">
              <w:rPr>
                <w:rFonts w:ascii="Times New Roman" w:hAnsi="Times New Roman"/>
              </w:rPr>
              <w:t>785 Market Street, Suite 1400</w:t>
            </w:r>
          </w:p>
          <w:p w14:paraId="08150832" w14:textId="77777777" w:rsidR="000B4C14" w:rsidRPr="00785857" w:rsidRDefault="000B4C14" w:rsidP="00204197">
            <w:pPr>
              <w:spacing w:line="240" w:lineRule="auto"/>
              <w:rPr>
                <w:rFonts w:ascii="Times New Roman" w:hAnsi="Times New Roman"/>
              </w:rPr>
            </w:pPr>
            <w:r w:rsidRPr="00785857">
              <w:rPr>
                <w:rFonts w:ascii="Times New Roman" w:hAnsi="Times New Roman"/>
              </w:rPr>
              <w:t>San Francisco, CA 94103</w:t>
            </w:r>
          </w:p>
          <w:p w14:paraId="29E82807" w14:textId="77777777" w:rsidR="000B4C14" w:rsidRPr="00785857" w:rsidRDefault="0073189A" w:rsidP="00204197">
            <w:pPr>
              <w:spacing w:line="240" w:lineRule="auto"/>
              <w:rPr>
                <w:rFonts w:ascii="Times New Roman" w:hAnsi="Times New Roman"/>
              </w:rPr>
            </w:pPr>
            <w:hyperlink r:id="rId10" w:history="1">
              <w:r w:rsidR="000B4C14" w:rsidRPr="00715BEA">
                <w:rPr>
                  <w:rStyle w:val="Hyperlink"/>
                  <w:rFonts w:ascii="Times New Roman" w:hAnsi="Times New Roman"/>
                </w:rPr>
                <w:t>etorres@turn.org</w:t>
              </w:r>
            </w:hyperlink>
            <w:r w:rsidR="000B4C14" w:rsidRPr="00785857">
              <w:rPr>
                <w:rFonts w:ascii="Times New Roman" w:hAnsi="Times New Roman"/>
              </w:rPr>
              <w:t xml:space="preserve"> </w:t>
            </w:r>
          </w:p>
        </w:tc>
        <w:tc>
          <w:tcPr>
            <w:tcW w:w="4440" w:type="dxa"/>
          </w:tcPr>
          <w:p w14:paraId="4A54616B" w14:textId="77777777" w:rsidR="000B4C14" w:rsidRPr="00785857" w:rsidRDefault="000B4C14" w:rsidP="00204197">
            <w:pPr>
              <w:spacing w:line="240" w:lineRule="auto"/>
              <w:rPr>
                <w:rFonts w:ascii="Times New Roman" w:hAnsi="Times New Roman"/>
              </w:rPr>
            </w:pPr>
          </w:p>
        </w:tc>
      </w:tr>
    </w:tbl>
    <w:p w14:paraId="472602BC" w14:textId="77777777" w:rsidR="000B4C14" w:rsidRPr="00785857" w:rsidRDefault="000B4C14" w:rsidP="000B4C14">
      <w:pPr>
        <w:spacing w:line="240" w:lineRule="auto"/>
        <w:rPr>
          <w:rFonts w:ascii="Times New Roman" w:hAnsi="Times New Roman"/>
        </w:rPr>
      </w:pPr>
    </w:p>
    <w:p w14:paraId="1843C070" w14:textId="77777777" w:rsidR="000B4C14" w:rsidRPr="00785857" w:rsidRDefault="000B4C14" w:rsidP="000B4C14">
      <w:pPr>
        <w:spacing w:line="240" w:lineRule="auto"/>
        <w:ind w:firstLine="0"/>
        <w:rPr>
          <w:rFonts w:ascii="Times New Roman" w:hAnsi="Times New Roman"/>
        </w:rPr>
      </w:pPr>
      <w:r w:rsidRPr="00785857">
        <w:rPr>
          <w:rFonts w:ascii="Times New Roman" w:hAnsi="Times New Roman"/>
        </w:rPr>
        <w:t xml:space="preserve">For each question, please provide the name of each person who materially contributed to the preparation of the response.  If different, please also identify the SCE witness who would be prepared to respond to cross-examination questions regarding the response. </w:t>
      </w:r>
    </w:p>
    <w:p w14:paraId="7A3A4FDE" w14:textId="77777777" w:rsidR="000B4C14" w:rsidRPr="00785857" w:rsidRDefault="000B4C14" w:rsidP="000B4C14">
      <w:pPr>
        <w:spacing w:line="240" w:lineRule="auto"/>
        <w:rPr>
          <w:rFonts w:ascii="Times New Roman" w:hAnsi="Times New Roman"/>
        </w:rPr>
      </w:pPr>
    </w:p>
    <w:p w14:paraId="2A16E6EB" w14:textId="77777777" w:rsidR="000B4C14" w:rsidRPr="00785857" w:rsidRDefault="000B4C14" w:rsidP="000B4C14">
      <w:pPr>
        <w:spacing w:line="240" w:lineRule="auto"/>
        <w:ind w:firstLine="0"/>
        <w:rPr>
          <w:rFonts w:ascii="Times New Roman" w:hAnsi="Times New Roman"/>
        </w:rPr>
      </w:pPr>
      <w:r w:rsidRPr="00785857">
        <w:rPr>
          <w:rFonts w:ascii="Times New Roman" w:hAnsi="Times New Roman"/>
        </w:rPr>
        <w:t>For any questions requesting numerical recorded data, please provide all responses in working Excel spreadsheet format if so available, with cells and formulae functioning.</w:t>
      </w:r>
    </w:p>
    <w:p w14:paraId="4BA5952B" w14:textId="77777777" w:rsidR="000B4C14" w:rsidRPr="00785857" w:rsidRDefault="000B4C14" w:rsidP="000B4C14">
      <w:pPr>
        <w:pBdr>
          <w:bottom w:val="single" w:sz="12" w:space="1" w:color="auto"/>
        </w:pBdr>
        <w:spacing w:line="240" w:lineRule="auto"/>
        <w:rPr>
          <w:rFonts w:ascii="Times New Roman" w:hAnsi="Times New Roman"/>
        </w:rPr>
      </w:pPr>
    </w:p>
    <w:p w14:paraId="2A587D9F" w14:textId="77777777" w:rsidR="000B4C14" w:rsidRPr="00785857" w:rsidRDefault="000B4C14" w:rsidP="000B4C14">
      <w:pPr>
        <w:pBdr>
          <w:bottom w:val="single" w:sz="12" w:space="1" w:color="auto"/>
        </w:pBdr>
        <w:spacing w:line="240" w:lineRule="auto"/>
        <w:ind w:firstLine="0"/>
        <w:rPr>
          <w:rFonts w:ascii="Times New Roman" w:hAnsi="Times New Roman"/>
        </w:rPr>
      </w:pPr>
      <w:r w:rsidRPr="00785857">
        <w:rPr>
          <w:rFonts w:ascii="Times New Roman" w:hAnsi="Times New Roman"/>
        </w:rPr>
        <w:t>For any question requesting documents, please interpret the term broadly to include any and all hard copy or electronic documents or records in SCE’s possession.</w:t>
      </w:r>
    </w:p>
    <w:p w14:paraId="1FD7FEED" w14:textId="77777777" w:rsidR="000B4C14" w:rsidRDefault="000B4C14" w:rsidP="00282723">
      <w:pPr>
        <w:ind w:firstLine="0"/>
      </w:pPr>
    </w:p>
    <w:p w14:paraId="3C5B8C7C" w14:textId="77777777" w:rsidR="00EE7246" w:rsidRDefault="00587F13" w:rsidP="00282723">
      <w:pPr>
        <w:pStyle w:val="ListParagraph"/>
        <w:numPr>
          <w:ilvl w:val="0"/>
          <w:numId w:val="3"/>
        </w:numPr>
        <w:spacing w:after="120" w:line="276" w:lineRule="auto"/>
        <w:contextualSpacing w:val="0"/>
      </w:pPr>
      <w:r>
        <w:t>Re. Table 6-12</w:t>
      </w:r>
      <w:r w:rsidR="000B4C14">
        <w:t xml:space="preserve">: Please provide the </w:t>
      </w:r>
      <w:r>
        <w:t xml:space="preserve">“Total </w:t>
      </w:r>
      <w:r w:rsidR="00296C64">
        <w:t>benefits</w:t>
      </w:r>
      <w:r>
        <w:t>” and “total costs,” for ea</w:t>
      </w:r>
      <w:r w:rsidR="007F1AB1">
        <w:t>ch test, for each year of the cost-</w:t>
      </w:r>
      <w:r>
        <w:t>e</w:t>
      </w:r>
      <w:r w:rsidR="007F1AB1">
        <w:t>ffectiveness</w:t>
      </w:r>
      <w:r>
        <w:t xml:space="preserve"> period (2014-2028)</w:t>
      </w:r>
      <w:r w:rsidR="00296C64">
        <w:t xml:space="preserve">, both </w:t>
      </w:r>
      <w:r>
        <w:t xml:space="preserve">in </w:t>
      </w:r>
      <w:r w:rsidR="00296C64">
        <w:t xml:space="preserve">nominal and </w:t>
      </w:r>
      <w:r>
        <w:t>constant $</w:t>
      </w:r>
      <w:r w:rsidR="000B4C14">
        <w:t>.</w:t>
      </w:r>
    </w:p>
    <w:p w14:paraId="1F294857" w14:textId="77777777" w:rsidR="000B4C14" w:rsidRDefault="007F1AB1" w:rsidP="00282723">
      <w:pPr>
        <w:pStyle w:val="ListParagraph"/>
        <w:numPr>
          <w:ilvl w:val="0"/>
          <w:numId w:val="3"/>
        </w:numPr>
        <w:spacing w:after="120" w:line="276" w:lineRule="auto"/>
        <w:contextualSpacing w:val="0"/>
      </w:pPr>
      <w:r>
        <w:t xml:space="preserve">Follow-up to TURN DR 05, question </w:t>
      </w:r>
      <w:r w:rsidR="00587F13">
        <w:t>6</w:t>
      </w:r>
      <w:r w:rsidR="000B4C14">
        <w:t xml:space="preserve"> and </w:t>
      </w:r>
      <w:r>
        <w:t xml:space="preserve">the revised </w:t>
      </w:r>
      <w:r w:rsidR="000B4C14">
        <w:t>testimony</w:t>
      </w:r>
      <w:r>
        <w:t xml:space="preserve"> of Cynthia Fang (Ch.3)</w:t>
      </w:r>
      <w:r w:rsidR="000B4C14">
        <w:t xml:space="preserve">, and regarding the C-CPP adder: </w:t>
      </w:r>
    </w:p>
    <w:p w14:paraId="0DC8FC8A" w14:textId="77777777" w:rsidR="000B4C14" w:rsidRDefault="00587F13" w:rsidP="00282723">
      <w:pPr>
        <w:pStyle w:val="ListParagraph"/>
        <w:numPr>
          <w:ilvl w:val="1"/>
          <w:numId w:val="3"/>
        </w:numPr>
        <w:spacing w:after="120" w:line="276" w:lineRule="auto"/>
        <w:contextualSpacing w:val="0"/>
      </w:pPr>
      <w:r w:rsidRPr="00E6384B">
        <w:rPr>
          <w:rFonts w:ascii="Times New Roman" w:hAnsi="Times New Roman"/>
          <w:szCs w:val="24"/>
        </w:rPr>
        <w:t xml:space="preserve">Please </w:t>
      </w:r>
      <w:r>
        <w:rPr>
          <w:rFonts w:ascii="Times New Roman" w:hAnsi="Times New Roman"/>
          <w:szCs w:val="24"/>
        </w:rPr>
        <w:t>explain h</w:t>
      </w:r>
      <w:r w:rsidR="00296C64">
        <w:t>ow the C-CPP</w:t>
      </w:r>
      <w:r w:rsidR="00316578">
        <w:t xml:space="preserve"> adder </w:t>
      </w:r>
      <w:r>
        <w:t xml:space="preserve">is </w:t>
      </w:r>
      <w:r w:rsidR="00316578">
        <w:t>calculated?</w:t>
      </w:r>
      <w:r>
        <w:t xml:space="preserve"> Please provide any relevant workpapers.</w:t>
      </w:r>
      <w:r w:rsidR="00316578">
        <w:t xml:space="preserve"> </w:t>
      </w:r>
    </w:p>
    <w:p w14:paraId="728CDFD2" w14:textId="77777777" w:rsidR="000B4C14" w:rsidRDefault="00316578" w:rsidP="00282723">
      <w:pPr>
        <w:pStyle w:val="ListParagraph"/>
        <w:numPr>
          <w:ilvl w:val="1"/>
          <w:numId w:val="3"/>
        </w:numPr>
        <w:spacing w:after="120" w:line="276" w:lineRule="auto"/>
        <w:contextualSpacing w:val="0"/>
      </w:pPr>
      <w:r>
        <w:t xml:space="preserve">Please explain whether </w:t>
      </w:r>
      <w:r w:rsidR="000B4C14">
        <w:t xml:space="preserve">the C-CPP adder </w:t>
      </w:r>
      <w:r>
        <w:t xml:space="preserve">is constant for </w:t>
      </w:r>
      <w:r w:rsidR="000B4C14">
        <w:t>a given year?</w:t>
      </w:r>
      <w:r>
        <w:t xml:space="preserve"> </w:t>
      </w:r>
    </w:p>
    <w:p w14:paraId="21736324" w14:textId="77777777" w:rsidR="00296C64" w:rsidRDefault="00316578" w:rsidP="00282723">
      <w:pPr>
        <w:pStyle w:val="ListParagraph"/>
        <w:numPr>
          <w:ilvl w:val="1"/>
          <w:numId w:val="3"/>
        </w:numPr>
        <w:spacing w:after="120" w:line="276" w:lineRule="auto"/>
        <w:contextualSpacing w:val="0"/>
      </w:pPr>
      <w:r>
        <w:t xml:space="preserve">Is </w:t>
      </w:r>
      <w:r w:rsidR="000B4C14">
        <w:t xml:space="preserve">the </w:t>
      </w:r>
      <w:r w:rsidR="00587F13">
        <w:t xml:space="preserve">C-CPP </w:t>
      </w:r>
      <w:r w:rsidR="000B4C14">
        <w:t xml:space="preserve">adder </w:t>
      </w:r>
      <w:r>
        <w:t>related to existing CPP tariff?</w:t>
      </w:r>
      <w:r w:rsidR="007F1AB1">
        <w:t xml:space="preserve"> If yes, please explain.</w:t>
      </w:r>
    </w:p>
    <w:p w14:paraId="62AF2CA0" w14:textId="77777777" w:rsidR="00587F13" w:rsidRDefault="00587F13" w:rsidP="00282723">
      <w:pPr>
        <w:pStyle w:val="ListParagraph"/>
        <w:numPr>
          <w:ilvl w:val="0"/>
          <w:numId w:val="3"/>
        </w:numPr>
        <w:spacing w:after="120" w:line="276" w:lineRule="auto"/>
        <w:contextualSpacing w:val="0"/>
      </w:pPr>
      <w:r>
        <w:t>Re. SDG&amp;E Schedule EECC-CPP-D as it relates to the VGI rate:</w:t>
      </w:r>
    </w:p>
    <w:p w14:paraId="754FDA14" w14:textId="77777777" w:rsidR="00587F13" w:rsidRDefault="00587F13" w:rsidP="00282723">
      <w:pPr>
        <w:pStyle w:val="ListParagraph"/>
        <w:numPr>
          <w:ilvl w:val="1"/>
          <w:numId w:val="3"/>
        </w:numPr>
        <w:spacing w:after="120" w:line="276" w:lineRule="auto"/>
        <w:contextualSpacing w:val="0"/>
      </w:pPr>
      <w:r>
        <w:t xml:space="preserve">Do the TOU periods apply to the VGI </w:t>
      </w:r>
      <w:r w:rsidR="00E41624">
        <w:t xml:space="preserve">rate </w:t>
      </w:r>
      <w:r>
        <w:t>for non-CPP event days?</w:t>
      </w:r>
    </w:p>
    <w:p w14:paraId="136E16F2" w14:textId="77777777" w:rsidR="00587F13" w:rsidRDefault="00587F13" w:rsidP="00282723">
      <w:pPr>
        <w:pStyle w:val="ListParagraph"/>
        <w:numPr>
          <w:ilvl w:val="1"/>
          <w:numId w:val="3"/>
        </w:numPr>
        <w:spacing w:after="120" w:line="276" w:lineRule="auto"/>
        <w:contextualSpacing w:val="0"/>
      </w:pPr>
      <w:r>
        <w:t>Does the capacity reservation (SC 13) apply?</w:t>
      </w:r>
    </w:p>
    <w:p w14:paraId="01730820" w14:textId="77777777" w:rsidR="000B4C14" w:rsidRDefault="000B4C14" w:rsidP="00282723">
      <w:pPr>
        <w:pStyle w:val="ListParagraph"/>
        <w:numPr>
          <w:ilvl w:val="0"/>
          <w:numId w:val="3"/>
        </w:numPr>
        <w:spacing w:after="120" w:line="276" w:lineRule="auto"/>
        <w:contextualSpacing w:val="0"/>
      </w:pPr>
      <w:r>
        <w:lastRenderedPageBreak/>
        <w:t xml:space="preserve">Regarding the D-CPP: </w:t>
      </w:r>
    </w:p>
    <w:p w14:paraId="350B6EAB" w14:textId="77777777" w:rsidR="000B4C14" w:rsidRDefault="000B4C14" w:rsidP="00282723">
      <w:pPr>
        <w:pStyle w:val="ListParagraph"/>
        <w:numPr>
          <w:ilvl w:val="1"/>
          <w:numId w:val="3"/>
        </w:numPr>
        <w:spacing w:after="120" w:line="276" w:lineRule="auto"/>
        <w:contextualSpacing w:val="0"/>
      </w:pPr>
      <w:r>
        <w:t>Concerning the top 200 hours: Please reconc</w:t>
      </w:r>
      <w:r w:rsidR="00587F13">
        <w:t xml:space="preserve">ile the statements in </w:t>
      </w:r>
      <w:r w:rsidR="001957ED">
        <w:t xml:space="preserve">the response to TURN DR 05, question </w:t>
      </w:r>
      <w:r w:rsidR="00587F13">
        <w:t>06(a)</w:t>
      </w:r>
      <w:r>
        <w:t xml:space="preserve"> wi</w:t>
      </w:r>
      <w:r w:rsidR="00587F13">
        <w:t>th the testimony of Martin</w:t>
      </w:r>
      <w:r w:rsidR="00E41624">
        <w:t xml:space="preserve"> (Chapter 6)</w:t>
      </w:r>
      <w:r w:rsidR="00587F13">
        <w:t xml:space="preserve"> at JCM-13:21-23</w:t>
      </w:r>
      <w:r>
        <w:t>.</w:t>
      </w:r>
      <w:r w:rsidR="00587F13">
        <w:t xml:space="preserve"> Will there be separate calculations of the top 200 hours for each circuit, or will the CAISO load curve be used as a proxy for some or all of the circuits?</w:t>
      </w:r>
      <w:r>
        <w:t xml:space="preserve"> </w:t>
      </w:r>
    </w:p>
    <w:p w14:paraId="12A1750F" w14:textId="77777777" w:rsidR="00296C64" w:rsidRDefault="000B4C14" w:rsidP="00282723">
      <w:pPr>
        <w:pStyle w:val="ListParagraph"/>
        <w:numPr>
          <w:ilvl w:val="1"/>
          <w:numId w:val="3"/>
        </w:numPr>
        <w:spacing w:after="120" w:line="276" w:lineRule="auto"/>
        <w:contextualSpacing w:val="0"/>
      </w:pPr>
      <w:r>
        <w:t xml:space="preserve">If SDG&amp;E calculates the top 200 hours for each circuit separately, please explain how SDG&amp;E obtains the data and forecasts the </w:t>
      </w:r>
      <w:r w:rsidR="00296C64">
        <w:t>top 200 hours for each circuit</w:t>
      </w:r>
      <w:r>
        <w:t xml:space="preserve"> independently.</w:t>
      </w:r>
    </w:p>
    <w:p w14:paraId="571484BF" w14:textId="77777777" w:rsidR="003021A0" w:rsidRDefault="00DF7E6E" w:rsidP="00282723">
      <w:pPr>
        <w:pStyle w:val="ListParagraph"/>
        <w:numPr>
          <w:ilvl w:val="0"/>
          <w:numId w:val="3"/>
        </w:numPr>
        <w:spacing w:after="120" w:line="276" w:lineRule="auto"/>
        <w:contextualSpacing w:val="0"/>
      </w:pPr>
      <w:r>
        <w:t xml:space="preserve">Regarding the load shown in response to TURN </w:t>
      </w:r>
      <w:r w:rsidR="001957ED">
        <w:t xml:space="preserve">DR 02, question </w:t>
      </w:r>
      <w:r w:rsidR="003021A0">
        <w:t xml:space="preserve">02: </w:t>
      </w:r>
      <w:r>
        <w:t xml:space="preserve">Please separate the </w:t>
      </w:r>
      <w:proofErr w:type="spellStart"/>
      <w:r>
        <w:t>GWh</w:t>
      </w:r>
      <w:proofErr w:type="spellEnd"/>
      <w:r>
        <w:t xml:space="preserve"> amounts shown in Rows 44-47 (VGI scenario) by amounts billable only under the VGI tariff versus other tariffs.</w:t>
      </w:r>
      <w:r w:rsidR="00587F13">
        <w:t xml:space="preserve"> Provide the data for each year in a similar spreadsheet format.</w:t>
      </w:r>
    </w:p>
    <w:p w14:paraId="49356FBC" w14:textId="77777777" w:rsidR="00C87F8A" w:rsidRDefault="001957ED" w:rsidP="00282723">
      <w:pPr>
        <w:pStyle w:val="ListParagraph"/>
        <w:numPr>
          <w:ilvl w:val="0"/>
          <w:numId w:val="3"/>
        </w:numPr>
        <w:spacing w:after="120" w:line="276" w:lineRule="auto"/>
        <w:contextualSpacing w:val="0"/>
      </w:pPr>
      <w:r>
        <w:t>Please a</w:t>
      </w:r>
      <w:r w:rsidR="00C87F8A">
        <w:t xml:space="preserve">ssume </w:t>
      </w:r>
      <w:r w:rsidR="000B4C14">
        <w:t xml:space="preserve">SDG&amp;E were installing the </w:t>
      </w:r>
      <w:r w:rsidR="00C87F8A">
        <w:t xml:space="preserve">VGI equipment subject to Rules 15 and 16 – what elements (category and costs) as shown in </w:t>
      </w:r>
      <w:proofErr w:type="spellStart"/>
      <w:r w:rsidR="00C87F8A">
        <w:t>Schimka</w:t>
      </w:r>
      <w:proofErr w:type="spellEnd"/>
      <w:r w:rsidR="00C87F8A">
        <w:t xml:space="preserve"> WP would be classified as special or added facilities?</w:t>
      </w:r>
    </w:p>
    <w:p w14:paraId="220C6773" w14:textId="77777777" w:rsidR="00175141" w:rsidRDefault="00175141" w:rsidP="00282723">
      <w:pPr>
        <w:pStyle w:val="ListParagraph"/>
        <w:numPr>
          <w:ilvl w:val="0"/>
          <w:numId w:val="3"/>
        </w:numPr>
        <w:spacing w:after="120" w:line="276" w:lineRule="auto"/>
        <w:contextualSpacing w:val="0"/>
      </w:pPr>
      <w:r>
        <w:t>Regarding Table RS-2 in SCE Witness Randy Schimka’s ‘cost estimate’ workpapers:</w:t>
      </w:r>
    </w:p>
    <w:p w14:paraId="50E96CAF" w14:textId="77777777" w:rsidR="00175141" w:rsidRDefault="00175141" w:rsidP="00282723">
      <w:pPr>
        <w:pStyle w:val="ListParagraph"/>
        <w:numPr>
          <w:ilvl w:val="1"/>
          <w:numId w:val="3"/>
        </w:numPr>
        <w:spacing w:after="120" w:line="276" w:lineRule="auto"/>
        <w:contextualSpacing w:val="0"/>
      </w:pPr>
      <w:r>
        <w:t xml:space="preserve"> Please provide a detailed definition of, “Data Recording Meter and Power Control Relay Modules.”  </w:t>
      </w:r>
    </w:p>
    <w:p w14:paraId="25FB6179" w14:textId="77777777" w:rsidR="00175141" w:rsidRDefault="00175141" w:rsidP="00282723">
      <w:pPr>
        <w:pStyle w:val="ListParagraph"/>
        <w:numPr>
          <w:ilvl w:val="1"/>
          <w:numId w:val="3"/>
        </w:numPr>
        <w:spacing w:after="120" w:line="276" w:lineRule="auto"/>
        <w:contextualSpacing w:val="0"/>
      </w:pPr>
      <w:r>
        <w:t xml:space="preserve">If the </w:t>
      </w:r>
      <w:r w:rsidRPr="00175141">
        <w:t>“Data Recording Meter and Power Control Relay Modules,”</w:t>
      </w:r>
      <w:r>
        <w:t xml:space="preserve"> are separate pieces of equipment (i.e., there is a data recording meter and a power control relay, separately), please so indicate and divide the total amount indicated per site (i.e., $4,700) between the amount for data recording meters and power control relays, if applicable.</w:t>
      </w:r>
    </w:p>
    <w:p w14:paraId="37D72803" w14:textId="77777777" w:rsidR="00175141" w:rsidRDefault="00175141" w:rsidP="00282723">
      <w:pPr>
        <w:pStyle w:val="ListParagraph"/>
        <w:numPr>
          <w:ilvl w:val="1"/>
          <w:numId w:val="3"/>
        </w:numPr>
        <w:spacing w:after="120" w:line="276" w:lineRule="auto"/>
        <w:contextualSpacing w:val="0"/>
      </w:pPr>
      <w:r>
        <w:t xml:space="preserve"> Please explain in detail the activities and components involved in the line item, ‘Kiosk &amp; 10 circuit install (conduit, kiosk pad, wiring)’.  Please include in your response, but do not limit it to, a description of where, with respect to the panel, kiosk and charging stations that SDG&amp;E would install such circuits.</w:t>
      </w:r>
    </w:p>
    <w:p w14:paraId="5426D8C0" w14:textId="77777777" w:rsidR="00175141" w:rsidRDefault="00175141" w:rsidP="00282723">
      <w:pPr>
        <w:pStyle w:val="ListParagraph"/>
        <w:numPr>
          <w:ilvl w:val="1"/>
          <w:numId w:val="3"/>
        </w:numPr>
        <w:spacing w:after="120" w:line="276" w:lineRule="auto"/>
        <w:contextualSpacing w:val="0"/>
      </w:pPr>
      <w:r>
        <w:t xml:space="preserve">Please divide the $30,000 included for </w:t>
      </w:r>
      <w:proofErr w:type="spellStart"/>
      <w:r>
        <w:t>CapEx</w:t>
      </w:r>
      <w:proofErr w:type="spellEnd"/>
      <w:r>
        <w:t xml:space="preserve"> Labor in the ‘Kiosk &amp; 10 circuit install (conduit, kiosk pad, wiring)’ line between ‘Kiosk’ and ’10 circuit install (conduit, kiosk pad, wiring)’.  Please further divide ’10 circuit install (conduit, kiosk pad, wiring)’ into separate estimates for ‘conduit’, ‘kiosk pad’, ‘wiring’, and any other relevant category, such that the sum of the separate items equals the total identified for the ’10 circuit install (conduit, kiosk pad, wiring)’ division requested in this subpart.</w:t>
      </w:r>
    </w:p>
    <w:p w14:paraId="1BDE5624" w14:textId="4ACD4807" w:rsidR="00192491" w:rsidRDefault="00175141" w:rsidP="009459A3">
      <w:pPr>
        <w:pStyle w:val="ListParagraph"/>
        <w:numPr>
          <w:ilvl w:val="1"/>
          <w:numId w:val="3"/>
        </w:numPr>
        <w:spacing w:after="120" w:line="276" w:lineRule="auto"/>
        <w:contextualSpacing w:val="0"/>
        <w:rPr>
          <w:szCs w:val="24"/>
        </w:rPr>
      </w:pPr>
      <w:r w:rsidRPr="009459A3">
        <w:rPr>
          <w:szCs w:val="24"/>
        </w:rPr>
        <w:lastRenderedPageBreak/>
        <w:t>Please identify the line item in which SDG&amp;E includes materials costs for the ’10 circuit install’</w:t>
      </w:r>
      <w:r w:rsidR="00FD5AD3" w:rsidRPr="009459A3">
        <w:rPr>
          <w:szCs w:val="24"/>
        </w:rPr>
        <w:t>, which include</w:t>
      </w:r>
      <w:r w:rsidR="009459A3">
        <w:rPr>
          <w:szCs w:val="24"/>
        </w:rPr>
        <w:t>s</w:t>
      </w:r>
      <w:r w:rsidR="00FD5AD3" w:rsidRPr="009459A3">
        <w:rPr>
          <w:szCs w:val="24"/>
        </w:rPr>
        <w:t xml:space="preserve"> the parenthetical phrase, “(conduit, kiosk pad, wiring)” but whose c</w:t>
      </w:r>
      <w:r w:rsidR="00192491">
        <w:rPr>
          <w:szCs w:val="24"/>
        </w:rPr>
        <w:t xml:space="preserve">ost is listed under </w:t>
      </w:r>
      <w:proofErr w:type="spellStart"/>
      <w:r w:rsidR="00192491">
        <w:rPr>
          <w:szCs w:val="24"/>
        </w:rPr>
        <w:t>CapEx</w:t>
      </w:r>
      <w:proofErr w:type="spellEnd"/>
      <w:r w:rsidR="00192491">
        <w:rPr>
          <w:szCs w:val="24"/>
        </w:rPr>
        <w:t xml:space="preserve"> Labor; please also provide </w:t>
      </w:r>
      <w:r w:rsidRPr="009459A3">
        <w:rPr>
          <w:szCs w:val="24"/>
        </w:rPr>
        <w:t xml:space="preserve">the amount SDG&amp;E estimates such </w:t>
      </w:r>
      <w:r w:rsidR="001957ED" w:rsidRPr="009459A3">
        <w:rPr>
          <w:szCs w:val="24"/>
        </w:rPr>
        <w:t>materials costing</w:t>
      </w:r>
      <w:r w:rsidRPr="009459A3">
        <w:rPr>
          <w:szCs w:val="24"/>
        </w:rPr>
        <w:t xml:space="preserve">, </w:t>
      </w:r>
      <w:r w:rsidR="00192491">
        <w:rPr>
          <w:szCs w:val="24"/>
        </w:rPr>
        <w:t>segmented</w:t>
      </w:r>
      <w:r w:rsidRPr="009459A3">
        <w:rPr>
          <w:szCs w:val="24"/>
        </w:rPr>
        <w:t xml:space="preserve"> by type of material (e.g., conduit, wiring, etc.).  </w:t>
      </w:r>
    </w:p>
    <w:p w14:paraId="71561989" w14:textId="0C79A7A7" w:rsidR="00175141" w:rsidRPr="009459A3" w:rsidRDefault="00192491" w:rsidP="00192491">
      <w:pPr>
        <w:pStyle w:val="ListParagraph"/>
        <w:numPr>
          <w:ilvl w:val="2"/>
          <w:numId w:val="3"/>
        </w:numPr>
        <w:spacing w:after="120" w:line="276" w:lineRule="auto"/>
        <w:contextualSpacing w:val="0"/>
        <w:rPr>
          <w:szCs w:val="24"/>
        </w:rPr>
      </w:pPr>
      <w:r>
        <w:rPr>
          <w:szCs w:val="24"/>
        </w:rPr>
        <w:t xml:space="preserve">Please identify in </w:t>
      </w:r>
      <w:bookmarkStart w:id="0" w:name="_GoBack"/>
      <w:bookmarkEnd w:id="0"/>
      <w:r w:rsidR="0073189A" w:rsidRPr="0073189A">
        <w:rPr>
          <w:szCs w:val="24"/>
        </w:rPr>
        <w:t>which cost</w:t>
      </w:r>
      <w:r>
        <w:rPr>
          <w:szCs w:val="24"/>
        </w:rPr>
        <w:t xml:space="preserve"> type</w:t>
      </w:r>
      <w:r w:rsidR="0073189A" w:rsidRPr="0073189A">
        <w:rPr>
          <w:szCs w:val="24"/>
        </w:rPr>
        <w:t xml:space="preserve"> (e.g., </w:t>
      </w:r>
      <w:proofErr w:type="spellStart"/>
      <w:r w:rsidR="0073189A" w:rsidRPr="0073189A">
        <w:rPr>
          <w:szCs w:val="24"/>
        </w:rPr>
        <w:t>CapEx</w:t>
      </w:r>
      <w:proofErr w:type="spellEnd"/>
      <w:r w:rsidR="0073189A" w:rsidRPr="0073189A">
        <w:rPr>
          <w:szCs w:val="24"/>
        </w:rPr>
        <w:t xml:space="preserve"> Labor, </w:t>
      </w:r>
      <w:proofErr w:type="spellStart"/>
      <w:r w:rsidR="0073189A" w:rsidRPr="0073189A">
        <w:rPr>
          <w:szCs w:val="24"/>
        </w:rPr>
        <w:t>CapEx</w:t>
      </w:r>
      <w:proofErr w:type="spellEnd"/>
      <w:r w:rsidR="0073189A" w:rsidRPr="0073189A">
        <w:rPr>
          <w:szCs w:val="24"/>
        </w:rPr>
        <w:t xml:space="preserve"> Non-Labor, etc.) SDG&amp;</w:t>
      </w:r>
      <w:r>
        <w:rPr>
          <w:szCs w:val="24"/>
        </w:rPr>
        <w:t xml:space="preserve">E includes materials costs for </w:t>
      </w:r>
      <w:r w:rsidR="0073189A" w:rsidRPr="0073189A">
        <w:rPr>
          <w:szCs w:val="24"/>
        </w:rPr>
        <w:t xml:space="preserve">conduit, </w:t>
      </w:r>
      <w:r>
        <w:rPr>
          <w:szCs w:val="24"/>
        </w:rPr>
        <w:t xml:space="preserve">kiosk pad, and wiring costs </w:t>
      </w:r>
      <w:r w:rsidR="0073189A" w:rsidRPr="0073189A">
        <w:rPr>
          <w:szCs w:val="24"/>
        </w:rPr>
        <w:t>and why?</w:t>
      </w:r>
      <w:r w:rsidR="00FD5AD3" w:rsidRPr="009459A3">
        <w:rPr>
          <w:szCs w:val="24"/>
        </w:rPr>
        <w:t xml:space="preserve">  </w:t>
      </w:r>
      <w:r w:rsidR="00175141" w:rsidRPr="009459A3">
        <w:rPr>
          <w:szCs w:val="24"/>
        </w:rPr>
        <w:t xml:space="preserve">If SDG&amp;E has not included materials costs for such items in its proposal, please explain why it has not. </w:t>
      </w:r>
    </w:p>
    <w:sectPr w:rsidR="00175141" w:rsidRPr="009459A3" w:rsidSect="00CD3B29">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7B5E" w14:textId="77777777" w:rsidR="0073189A" w:rsidRDefault="0073189A" w:rsidP="009459A3">
      <w:pPr>
        <w:spacing w:line="240" w:lineRule="auto"/>
      </w:pPr>
      <w:r>
        <w:separator/>
      </w:r>
    </w:p>
  </w:endnote>
  <w:endnote w:type="continuationSeparator" w:id="0">
    <w:p w14:paraId="515F45CB" w14:textId="77777777" w:rsidR="0073189A" w:rsidRDefault="0073189A" w:rsidP="00945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45C5" w14:textId="77777777" w:rsidR="0073189A" w:rsidRDefault="0073189A" w:rsidP="007318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656ED" w14:textId="77777777" w:rsidR="0073189A" w:rsidRDefault="007318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F3DA" w14:textId="77777777" w:rsidR="0073189A" w:rsidRDefault="0073189A" w:rsidP="007318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491">
      <w:rPr>
        <w:rStyle w:val="PageNumber"/>
        <w:noProof/>
      </w:rPr>
      <w:t>1</w:t>
    </w:r>
    <w:r>
      <w:rPr>
        <w:rStyle w:val="PageNumber"/>
      </w:rPr>
      <w:fldChar w:fldCharType="end"/>
    </w:r>
  </w:p>
  <w:p w14:paraId="7E71E86E" w14:textId="77777777" w:rsidR="0073189A" w:rsidRDefault="007318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E8A2B" w14:textId="77777777" w:rsidR="0073189A" w:rsidRDefault="0073189A" w:rsidP="009459A3">
      <w:pPr>
        <w:spacing w:line="240" w:lineRule="auto"/>
      </w:pPr>
      <w:r>
        <w:separator/>
      </w:r>
    </w:p>
  </w:footnote>
  <w:footnote w:type="continuationSeparator" w:id="0">
    <w:p w14:paraId="2A7ECED3" w14:textId="77777777" w:rsidR="0073189A" w:rsidRDefault="0073189A" w:rsidP="009459A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082"/>
    <w:multiLevelType w:val="multilevel"/>
    <w:tmpl w:val="CEC27C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B4532D5"/>
    <w:multiLevelType w:val="hybridMultilevel"/>
    <w:tmpl w:val="C256F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A4686A"/>
    <w:multiLevelType w:val="hybridMultilevel"/>
    <w:tmpl w:val="C4A47C88"/>
    <w:lvl w:ilvl="0" w:tplc="87007908">
      <w:numFmt w:val="bullet"/>
      <w:lvlText w:val=""/>
      <w:lvlJc w:val="left"/>
      <w:pPr>
        <w:ind w:left="720" w:hanging="72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pStyle w:val="Heading4"/>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64"/>
    <w:rsid w:val="000431DF"/>
    <w:rsid w:val="000B4C14"/>
    <w:rsid w:val="000E2A7E"/>
    <w:rsid w:val="00175141"/>
    <w:rsid w:val="00192491"/>
    <w:rsid w:val="001957ED"/>
    <w:rsid w:val="00195DCF"/>
    <w:rsid w:val="00204197"/>
    <w:rsid w:val="00282723"/>
    <w:rsid w:val="00296C64"/>
    <w:rsid w:val="003021A0"/>
    <w:rsid w:val="00316578"/>
    <w:rsid w:val="00350A95"/>
    <w:rsid w:val="00383396"/>
    <w:rsid w:val="00402150"/>
    <w:rsid w:val="004B0134"/>
    <w:rsid w:val="00587F13"/>
    <w:rsid w:val="005B768D"/>
    <w:rsid w:val="00612E6C"/>
    <w:rsid w:val="0073189A"/>
    <w:rsid w:val="00764E45"/>
    <w:rsid w:val="00783CC5"/>
    <w:rsid w:val="007B18B9"/>
    <w:rsid w:val="007F1AB1"/>
    <w:rsid w:val="007F3A7D"/>
    <w:rsid w:val="009459A3"/>
    <w:rsid w:val="009F519A"/>
    <w:rsid w:val="00A4490E"/>
    <w:rsid w:val="00B4004E"/>
    <w:rsid w:val="00BF5600"/>
    <w:rsid w:val="00BF5B6D"/>
    <w:rsid w:val="00C87F8A"/>
    <w:rsid w:val="00CD3B29"/>
    <w:rsid w:val="00DF4484"/>
    <w:rsid w:val="00DF7E6E"/>
    <w:rsid w:val="00E41624"/>
    <w:rsid w:val="00EE7246"/>
    <w:rsid w:val="00F852E7"/>
    <w:rsid w:val="00FA2889"/>
    <w:rsid w:val="00FD5AD3"/>
    <w:rsid w:val="00FF41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B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296C64"/>
    <w:pPr>
      <w:ind w:left="720"/>
      <w:contextualSpacing/>
    </w:pPr>
  </w:style>
  <w:style w:type="paragraph" w:styleId="Header">
    <w:name w:val="header"/>
    <w:basedOn w:val="Normal"/>
    <w:link w:val="HeaderChar"/>
    <w:rsid w:val="000B4C14"/>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0B4C14"/>
    <w:rPr>
      <w:rFonts w:ascii="Book Antiqua" w:eastAsia="Times New Roman" w:hAnsi="Book Antiqua" w:cs="Times New Roman"/>
      <w:sz w:val="22"/>
      <w:lang w:eastAsia="en-US"/>
    </w:rPr>
  </w:style>
  <w:style w:type="table" w:styleId="TableGrid">
    <w:name w:val="Table Grid"/>
    <w:basedOn w:val="TableNormal"/>
    <w:rsid w:val="000B4C14"/>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B4C14"/>
    <w:rPr>
      <w:color w:val="0000FF" w:themeColor="hyperlink"/>
      <w:u w:val="single"/>
    </w:rPr>
  </w:style>
  <w:style w:type="paragraph" w:styleId="BalloonText">
    <w:name w:val="Balloon Text"/>
    <w:basedOn w:val="Normal"/>
    <w:link w:val="BalloonTextChar"/>
    <w:uiPriority w:val="99"/>
    <w:semiHidden/>
    <w:unhideWhenUsed/>
    <w:rsid w:val="00175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41"/>
    <w:rPr>
      <w:rFonts w:ascii="Tahoma" w:hAnsi="Tahoma" w:cs="Tahoma"/>
      <w:sz w:val="16"/>
      <w:szCs w:val="16"/>
    </w:rPr>
  </w:style>
  <w:style w:type="paragraph" w:styleId="Footer">
    <w:name w:val="footer"/>
    <w:basedOn w:val="Normal"/>
    <w:link w:val="FooterChar"/>
    <w:uiPriority w:val="99"/>
    <w:unhideWhenUsed/>
    <w:rsid w:val="009459A3"/>
    <w:pPr>
      <w:tabs>
        <w:tab w:val="center" w:pos="4320"/>
        <w:tab w:val="right" w:pos="8640"/>
      </w:tabs>
      <w:spacing w:line="240" w:lineRule="auto"/>
    </w:pPr>
  </w:style>
  <w:style w:type="character" w:customStyle="1" w:styleId="FooterChar">
    <w:name w:val="Footer Char"/>
    <w:basedOn w:val="DefaultParagraphFont"/>
    <w:link w:val="Footer"/>
    <w:uiPriority w:val="99"/>
    <w:rsid w:val="009459A3"/>
    <w:rPr>
      <w:rFonts w:ascii="Palatino" w:hAnsi="Palatino" w:cs="Times New Roman"/>
      <w:szCs w:val="20"/>
    </w:rPr>
  </w:style>
  <w:style w:type="character" w:styleId="PageNumber">
    <w:name w:val="page number"/>
    <w:basedOn w:val="DefaultParagraphFont"/>
    <w:uiPriority w:val="99"/>
    <w:semiHidden/>
    <w:unhideWhenUsed/>
    <w:rsid w:val="009459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296C64"/>
    <w:pPr>
      <w:ind w:left="720"/>
      <w:contextualSpacing/>
    </w:pPr>
  </w:style>
  <w:style w:type="paragraph" w:styleId="Header">
    <w:name w:val="header"/>
    <w:basedOn w:val="Normal"/>
    <w:link w:val="HeaderChar"/>
    <w:rsid w:val="000B4C14"/>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0B4C14"/>
    <w:rPr>
      <w:rFonts w:ascii="Book Antiqua" w:eastAsia="Times New Roman" w:hAnsi="Book Antiqua" w:cs="Times New Roman"/>
      <w:sz w:val="22"/>
      <w:lang w:eastAsia="en-US"/>
    </w:rPr>
  </w:style>
  <w:style w:type="table" w:styleId="TableGrid">
    <w:name w:val="Table Grid"/>
    <w:basedOn w:val="TableNormal"/>
    <w:rsid w:val="000B4C14"/>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B4C14"/>
    <w:rPr>
      <w:color w:val="0000FF" w:themeColor="hyperlink"/>
      <w:u w:val="single"/>
    </w:rPr>
  </w:style>
  <w:style w:type="paragraph" w:styleId="BalloonText">
    <w:name w:val="Balloon Text"/>
    <w:basedOn w:val="Normal"/>
    <w:link w:val="BalloonTextChar"/>
    <w:uiPriority w:val="99"/>
    <w:semiHidden/>
    <w:unhideWhenUsed/>
    <w:rsid w:val="00175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41"/>
    <w:rPr>
      <w:rFonts w:ascii="Tahoma" w:hAnsi="Tahoma" w:cs="Tahoma"/>
      <w:sz w:val="16"/>
      <w:szCs w:val="16"/>
    </w:rPr>
  </w:style>
  <w:style w:type="paragraph" w:styleId="Footer">
    <w:name w:val="footer"/>
    <w:basedOn w:val="Normal"/>
    <w:link w:val="FooterChar"/>
    <w:uiPriority w:val="99"/>
    <w:unhideWhenUsed/>
    <w:rsid w:val="009459A3"/>
    <w:pPr>
      <w:tabs>
        <w:tab w:val="center" w:pos="4320"/>
        <w:tab w:val="right" w:pos="8640"/>
      </w:tabs>
      <w:spacing w:line="240" w:lineRule="auto"/>
    </w:pPr>
  </w:style>
  <w:style w:type="character" w:customStyle="1" w:styleId="FooterChar">
    <w:name w:val="Footer Char"/>
    <w:basedOn w:val="DefaultParagraphFont"/>
    <w:link w:val="Footer"/>
    <w:uiPriority w:val="99"/>
    <w:rsid w:val="009459A3"/>
    <w:rPr>
      <w:rFonts w:ascii="Palatino" w:hAnsi="Palatino" w:cs="Times New Roman"/>
      <w:szCs w:val="20"/>
    </w:rPr>
  </w:style>
  <w:style w:type="character" w:styleId="PageNumber">
    <w:name w:val="page number"/>
    <w:basedOn w:val="DefaultParagraphFont"/>
    <w:uiPriority w:val="99"/>
    <w:semiHidden/>
    <w:unhideWhenUsed/>
    <w:rsid w:val="0094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cel@turn.org" TargetMode="External"/><Relationship Id="rId10" Type="http://schemas.openxmlformats.org/officeDocument/2006/relationships/hyperlink" Target="mailto:etorres@tu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3A98-5E03-134C-9FE5-9D030136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4175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Hawiger</dc:creator>
  <cp:lastModifiedBy>Elise Torres</cp:lastModifiedBy>
  <cp:revision>3</cp:revision>
  <dcterms:created xsi:type="dcterms:W3CDTF">2015-03-19T16:56:00Z</dcterms:created>
  <dcterms:modified xsi:type="dcterms:W3CDTF">2015-03-19T17:02:00Z</dcterms:modified>
</cp:coreProperties>
</file>