
<file path=[Content_Types].xml><?xml version="1.0" encoding="utf-8"?>
<Types xmlns="http://schemas.openxmlformats.org/package/2006/content-types">
  <Default Extension="emf" ContentType="image/x-emf"/>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454DC9" w14:textId="4754D93D" w:rsidR="006C46C9" w:rsidRPr="0016089F" w:rsidRDefault="006C46C9" w:rsidP="00ED1A8B">
      <w:pPr>
        <w:pStyle w:val="Default"/>
        <w:rPr>
          <w:b/>
          <w:bCs/>
          <w:color w:val="auto"/>
        </w:rPr>
      </w:pPr>
    </w:p>
    <w:p w14:paraId="1D1EDED7" w14:textId="4457A43D" w:rsidR="00683370" w:rsidRPr="0016089F" w:rsidRDefault="00683370" w:rsidP="00ED1A8B">
      <w:pPr>
        <w:pStyle w:val="Default"/>
        <w:rPr>
          <w:b/>
          <w:bCs/>
          <w:color w:val="auto"/>
        </w:rPr>
      </w:pPr>
    </w:p>
    <w:p w14:paraId="71449299" w14:textId="77777777" w:rsidR="00683370" w:rsidRPr="0016089F" w:rsidRDefault="00683370" w:rsidP="00ED1A8B">
      <w:pPr>
        <w:pStyle w:val="Default"/>
        <w:rPr>
          <w:b/>
          <w:bCs/>
          <w:color w:val="auto"/>
        </w:rPr>
      </w:pPr>
    </w:p>
    <w:p w14:paraId="39C5F65B" w14:textId="77777777" w:rsidR="00F571D6" w:rsidRPr="0016089F" w:rsidRDefault="00F571D6">
      <w:pPr>
        <w:spacing w:before="3" w:line="120" w:lineRule="exact"/>
        <w:rPr>
          <w:rFonts w:ascii="Times New Roman" w:hAnsi="Times New Roman" w:cs="Times New Roman"/>
          <w:sz w:val="24"/>
          <w:szCs w:val="24"/>
        </w:rPr>
      </w:pPr>
    </w:p>
    <w:p w14:paraId="6C0227EE" w14:textId="6EB8DAA2"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provide unredacted versions of all of SDG&amp;E’s workpapers.</w:t>
      </w:r>
    </w:p>
    <w:p w14:paraId="44A87E26" w14:textId="0EFC570B" w:rsidR="00683370" w:rsidRPr="0016089F" w:rsidRDefault="00683370" w:rsidP="00683370">
      <w:pPr>
        <w:pStyle w:val="ListParagraph"/>
        <w:widowControl/>
        <w:spacing w:after="160" w:line="259" w:lineRule="auto"/>
        <w:ind w:left="720"/>
        <w:contextualSpacing/>
        <w:rPr>
          <w:rFonts w:ascii="Times New Roman" w:hAnsi="Times New Roman" w:cs="Times New Roman"/>
          <w:sz w:val="24"/>
          <w:szCs w:val="24"/>
        </w:rPr>
      </w:pPr>
    </w:p>
    <w:p w14:paraId="01A3EF4E" w14:textId="61CEEA10" w:rsidR="00683370" w:rsidRPr="0016089F" w:rsidRDefault="00683370" w:rsidP="00683370">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b/>
          <w:sz w:val="24"/>
          <w:szCs w:val="24"/>
        </w:rPr>
        <w:t xml:space="preserve">SDG&amp;E Response: </w:t>
      </w:r>
      <w:r w:rsidR="003A37AF">
        <w:rPr>
          <w:rFonts w:ascii="Times New Roman" w:hAnsi="Times New Roman" w:cs="Times New Roman"/>
          <w:sz w:val="24"/>
          <w:szCs w:val="24"/>
        </w:rPr>
        <w:t>Unredacted versions of SDG&amp;E’s workpapers</w:t>
      </w:r>
      <w:r w:rsidR="003A37AF" w:rsidRPr="0016089F">
        <w:rPr>
          <w:rFonts w:ascii="Times New Roman" w:hAnsi="Times New Roman" w:cs="Times New Roman"/>
          <w:sz w:val="24"/>
          <w:szCs w:val="24"/>
        </w:rPr>
        <w:t xml:space="preserve"> </w:t>
      </w:r>
      <w:r w:rsidR="00031D57" w:rsidRPr="0016089F">
        <w:rPr>
          <w:rFonts w:ascii="Times New Roman" w:hAnsi="Times New Roman" w:cs="Times New Roman"/>
          <w:sz w:val="24"/>
          <w:szCs w:val="24"/>
        </w:rPr>
        <w:t>have been provided via secure email link</w:t>
      </w:r>
      <w:r w:rsidR="008D3A98" w:rsidRPr="0016089F">
        <w:rPr>
          <w:rFonts w:ascii="Times New Roman" w:hAnsi="Times New Roman" w:cs="Times New Roman"/>
          <w:sz w:val="24"/>
          <w:szCs w:val="24"/>
        </w:rPr>
        <w:t>.</w:t>
      </w:r>
    </w:p>
    <w:p w14:paraId="74F28876" w14:textId="77777777" w:rsidR="00031D57" w:rsidRPr="0016089F" w:rsidRDefault="00031D57" w:rsidP="00683370">
      <w:pPr>
        <w:pStyle w:val="ListParagraph"/>
        <w:widowControl/>
        <w:spacing w:after="160" w:line="259" w:lineRule="auto"/>
        <w:ind w:left="720"/>
        <w:contextualSpacing/>
        <w:rPr>
          <w:rFonts w:ascii="Times New Roman" w:hAnsi="Times New Roman" w:cs="Times New Roman"/>
          <w:sz w:val="24"/>
          <w:szCs w:val="24"/>
        </w:rPr>
      </w:pPr>
    </w:p>
    <w:p w14:paraId="29C2C123" w14:textId="4E9237BF"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provide copies of all confidential data requests issued by other parties in this proceeding.</w:t>
      </w:r>
    </w:p>
    <w:p w14:paraId="5A716ED4" w14:textId="4CB5B00E" w:rsidR="00683370" w:rsidRPr="0016089F" w:rsidRDefault="00683370" w:rsidP="00683370">
      <w:pPr>
        <w:pStyle w:val="ListParagraph"/>
        <w:widowControl/>
        <w:spacing w:after="160" w:line="259" w:lineRule="auto"/>
        <w:ind w:left="720"/>
        <w:contextualSpacing/>
        <w:rPr>
          <w:rFonts w:ascii="Times New Roman" w:hAnsi="Times New Roman" w:cs="Times New Roman"/>
          <w:sz w:val="24"/>
          <w:szCs w:val="24"/>
        </w:rPr>
      </w:pPr>
    </w:p>
    <w:p w14:paraId="53894222" w14:textId="2BB5183F" w:rsidR="00683370" w:rsidRPr="0016089F" w:rsidRDefault="00683370" w:rsidP="00683370">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b/>
          <w:sz w:val="24"/>
          <w:szCs w:val="24"/>
        </w:rPr>
        <w:t xml:space="preserve">SDG&amp;E Response: </w:t>
      </w:r>
      <w:r w:rsidR="00DA7231" w:rsidRPr="0016089F">
        <w:rPr>
          <w:rFonts w:ascii="Times New Roman" w:hAnsi="Times New Roman" w:cs="Times New Roman"/>
          <w:sz w:val="24"/>
          <w:szCs w:val="24"/>
        </w:rPr>
        <w:t>See answer to Question #3.</w:t>
      </w:r>
    </w:p>
    <w:p w14:paraId="712FD848" w14:textId="77777777" w:rsidR="00683370" w:rsidRPr="0016089F" w:rsidRDefault="00683370" w:rsidP="00683370">
      <w:pPr>
        <w:pStyle w:val="ListParagraph"/>
        <w:widowControl/>
        <w:spacing w:after="160" w:line="259" w:lineRule="auto"/>
        <w:ind w:left="720"/>
        <w:contextualSpacing/>
        <w:rPr>
          <w:rFonts w:ascii="Times New Roman" w:hAnsi="Times New Roman" w:cs="Times New Roman"/>
          <w:sz w:val="24"/>
          <w:szCs w:val="24"/>
        </w:rPr>
      </w:pPr>
    </w:p>
    <w:p w14:paraId="2F781E54" w14:textId="25F382AB"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provide copies of all confidential data request responses and confidential attachments to data request responses issued by SDG&amp;E in this proceeding.</w:t>
      </w:r>
    </w:p>
    <w:p w14:paraId="7C7EE9F3" w14:textId="77777777" w:rsidR="003A0580" w:rsidRPr="0016089F" w:rsidRDefault="003A0580" w:rsidP="003A0580">
      <w:pPr>
        <w:pStyle w:val="ListParagraph"/>
        <w:widowControl/>
        <w:spacing w:after="160" w:line="259" w:lineRule="auto"/>
        <w:ind w:left="720"/>
        <w:contextualSpacing/>
        <w:rPr>
          <w:rFonts w:ascii="Times New Roman" w:hAnsi="Times New Roman" w:cs="Times New Roman"/>
          <w:sz w:val="24"/>
          <w:szCs w:val="24"/>
        </w:rPr>
      </w:pPr>
    </w:p>
    <w:p w14:paraId="09E8A713" w14:textId="15E2B680" w:rsidR="003A0580" w:rsidRPr="0016089F" w:rsidRDefault="003A0580" w:rsidP="00DA1ADA">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b/>
          <w:sz w:val="24"/>
          <w:szCs w:val="24"/>
        </w:rPr>
        <w:t xml:space="preserve">SDG&amp;E Response: </w:t>
      </w:r>
      <w:r w:rsidR="00DA1ADA" w:rsidRPr="0016089F">
        <w:rPr>
          <w:rFonts w:ascii="Times New Roman" w:hAnsi="Times New Roman" w:cs="Times New Roman"/>
          <w:sz w:val="24"/>
          <w:szCs w:val="24"/>
        </w:rPr>
        <w:t>All</w:t>
      </w:r>
      <w:r w:rsidR="00DA1ADA" w:rsidRPr="0016089F">
        <w:rPr>
          <w:rFonts w:ascii="Times New Roman" w:hAnsi="Times New Roman" w:cs="Times New Roman"/>
          <w:b/>
          <w:sz w:val="24"/>
          <w:szCs w:val="24"/>
        </w:rPr>
        <w:t xml:space="preserve"> </w:t>
      </w:r>
      <w:r w:rsidR="00DA1ADA" w:rsidRPr="0016089F">
        <w:rPr>
          <w:rFonts w:ascii="Times New Roman" w:hAnsi="Times New Roman" w:cs="Times New Roman"/>
          <w:sz w:val="24"/>
          <w:szCs w:val="24"/>
        </w:rPr>
        <w:t xml:space="preserve">confidential questions and responses </w:t>
      </w:r>
      <w:r w:rsidR="00DA7231" w:rsidRPr="0016089F">
        <w:rPr>
          <w:rFonts w:ascii="Times New Roman" w:hAnsi="Times New Roman" w:cs="Times New Roman"/>
          <w:sz w:val="24"/>
          <w:szCs w:val="24"/>
        </w:rPr>
        <w:t>have been provided via secure email link.</w:t>
      </w:r>
    </w:p>
    <w:p w14:paraId="358019C1" w14:textId="77777777" w:rsidR="00DA1ADA" w:rsidRPr="0016089F" w:rsidRDefault="00DA1ADA" w:rsidP="00DA1ADA">
      <w:pPr>
        <w:pStyle w:val="ListParagraph"/>
        <w:widowControl/>
        <w:spacing w:after="160" w:line="259" w:lineRule="auto"/>
        <w:ind w:left="720"/>
        <w:contextualSpacing/>
        <w:rPr>
          <w:rFonts w:ascii="Times New Roman" w:hAnsi="Times New Roman" w:cs="Times New Roman"/>
          <w:b/>
          <w:sz w:val="24"/>
          <w:szCs w:val="24"/>
        </w:rPr>
      </w:pPr>
    </w:p>
    <w:p w14:paraId="2E30425A" w14:textId="2BE21866"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During the Workshop on July 29, 2019, SDG&amp;E witnesses discussed additional Microsoft Excel files that support the workpapers in this proceeding. Please provide copies of all Microsoft Excel files that support or are referenced by the workpapers in this proceeding.</w:t>
      </w:r>
    </w:p>
    <w:p w14:paraId="36AF778F" w14:textId="77777777" w:rsidR="003A0580" w:rsidRPr="0016089F" w:rsidRDefault="003A0580" w:rsidP="003A0580">
      <w:pPr>
        <w:pStyle w:val="ListParagraph"/>
        <w:widowControl/>
        <w:spacing w:after="160" w:line="259" w:lineRule="auto"/>
        <w:ind w:left="720"/>
        <w:contextualSpacing/>
        <w:rPr>
          <w:rFonts w:ascii="Times New Roman" w:hAnsi="Times New Roman" w:cs="Times New Roman"/>
          <w:b/>
          <w:sz w:val="24"/>
          <w:szCs w:val="24"/>
        </w:rPr>
      </w:pPr>
    </w:p>
    <w:p w14:paraId="1BCEC41E" w14:textId="40922780" w:rsidR="003A0580" w:rsidRPr="0016089F" w:rsidRDefault="003A0580" w:rsidP="00E7569C">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b/>
          <w:sz w:val="24"/>
          <w:szCs w:val="24"/>
        </w:rPr>
        <w:t xml:space="preserve">SDG&amp;E Response: </w:t>
      </w:r>
      <w:r w:rsidR="00422233" w:rsidRPr="0016089F">
        <w:rPr>
          <w:rFonts w:ascii="Times New Roman" w:hAnsi="Times New Roman" w:cs="Times New Roman"/>
          <w:sz w:val="24"/>
          <w:szCs w:val="24"/>
        </w:rPr>
        <w:t>Copies of all Microsoft Excel files that support or are referenced by the workpapers in this proceeding can be found on SDG&amp;E’s website</w:t>
      </w:r>
      <w:r w:rsidR="00E7569C" w:rsidRPr="0016089F">
        <w:rPr>
          <w:rFonts w:ascii="Times New Roman" w:hAnsi="Times New Roman" w:cs="Times New Roman"/>
          <w:sz w:val="24"/>
          <w:szCs w:val="24"/>
        </w:rPr>
        <w:t xml:space="preserve"> here</w:t>
      </w:r>
      <w:r w:rsidR="00422233" w:rsidRPr="0016089F">
        <w:rPr>
          <w:rFonts w:ascii="Times New Roman" w:hAnsi="Times New Roman" w:cs="Times New Roman"/>
          <w:sz w:val="24"/>
          <w:szCs w:val="24"/>
        </w:rPr>
        <w:t xml:space="preserve">: </w:t>
      </w:r>
      <w:hyperlink r:id="rId8" w:history="1">
        <w:r w:rsidR="00E7569C" w:rsidRPr="0016089F">
          <w:rPr>
            <w:rStyle w:val="Hyperlink"/>
            <w:rFonts w:ascii="Times New Roman" w:hAnsi="Times New Roman" w:cs="Times New Roman"/>
            <w:sz w:val="24"/>
            <w:szCs w:val="24"/>
          </w:rPr>
          <w:t>https://www.sdge.com/rates-and-regulations/proceedings/2019-grc-phase2</w:t>
        </w:r>
      </w:hyperlink>
    </w:p>
    <w:p w14:paraId="1277048D" w14:textId="77777777" w:rsidR="00E7569C" w:rsidRPr="0016089F" w:rsidRDefault="00E7569C" w:rsidP="00E7569C">
      <w:pPr>
        <w:pStyle w:val="ListParagraph"/>
        <w:widowControl/>
        <w:spacing w:after="160" w:line="259" w:lineRule="auto"/>
        <w:ind w:left="720"/>
        <w:contextualSpacing/>
        <w:rPr>
          <w:rFonts w:ascii="Times New Roman" w:hAnsi="Times New Roman" w:cs="Times New Roman"/>
          <w:sz w:val="24"/>
          <w:szCs w:val="24"/>
        </w:rPr>
      </w:pPr>
    </w:p>
    <w:p w14:paraId="0C6E3544"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explain whether and how SDG&amp;E updates revenue allocations of the following rate components in response to updates in its sales forecast in between General Rate Cases.</w:t>
      </w:r>
    </w:p>
    <w:p w14:paraId="7AFE1883"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Distribution</w:t>
      </w:r>
    </w:p>
    <w:p w14:paraId="00FF5D3E"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Commodity</w:t>
      </w:r>
    </w:p>
    <w:p w14:paraId="5FA8CC8B"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Competition Transition Charge</w:t>
      </w:r>
    </w:p>
    <w:p w14:paraId="69BBD31A"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Local Generation Charge</w:t>
      </w:r>
    </w:p>
    <w:p w14:paraId="659E733F" w14:textId="72999ED4"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Public Purpose Programs rate components</w:t>
      </w:r>
    </w:p>
    <w:p w14:paraId="320011E8" w14:textId="77777777" w:rsidR="008656B0" w:rsidRPr="0016089F" w:rsidRDefault="008656B0" w:rsidP="008656B0">
      <w:pPr>
        <w:pStyle w:val="ListParagraph"/>
        <w:widowControl/>
        <w:spacing w:after="160" w:line="259" w:lineRule="auto"/>
        <w:ind w:left="720"/>
        <w:contextualSpacing/>
        <w:rPr>
          <w:rFonts w:ascii="Times New Roman" w:hAnsi="Times New Roman" w:cs="Times New Roman"/>
          <w:b/>
          <w:sz w:val="24"/>
          <w:szCs w:val="24"/>
        </w:rPr>
      </w:pPr>
    </w:p>
    <w:p w14:paraId="32857E5F" w14:textId="464DCEB7" w:rsidR="008656B0" w:rsidRPr="0016089F" w:rsidRDefault="008656B0" w:rsidP="008656B0">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bCs/>
          <w:sz w:val="24"/>
          <w:szCs w:val="24"/>
        </w:rPr>
        <w:t xml:space="preserve">SDG&amp;E Response: </w:t>
      </w:r>
    </w:p>
    <w:p w14:paraId="49112A03" w14:textId="6ADD2942" w:rsidR="008656B0" w:rsidRPr="0016089F" w:rsidRDefault="7C884834" w:rsidP="1C6108CA">
      <w:pPr>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sz w:val="24"/>
          <w:szCs w:val="24"/>
        </w:rPr>
        <w:t>The revenue allocations for the rate components listed above were last updated as part of A.15-04-012, SDG&amp;E’s 2016 GRC Phase 2</w:t>
      </w:r>
      <w:r w:rsidR="7708E1E7" w:rsidRPr="0016089F">
        <w:rPr>
          <w:rFonts w:ascii="Times New Roman" w:hAnsi="Times New Roman" w:cs="Times New Roman"/>
          <w:sz w:val="24"/>
          <w:szCs w:val="24"/>
        </w:rPr>
        <w:t>,</w:t>
      </w:r>
      <w:r w:rsidRPr="0016089F">
        <w:rPr>
          <w:rFonts w:ascii="Times New Roman" w:hAnsi="Times New Roman" w:cs="Times New Roman"/>
          <w:sz w:val="24"/>
          <w:szCs w:val="24"/>
        </w:rPr>
        <w:t xml:space="preserve"> and are being updated as part of the current GRC Phase 2 proceeding. The rates for these rate components are</w:t>
      </w:r>
      <w:r w:rsidR="7502FA8F" w:rsidRPr="0016089F">
        <w:rPr>
          <w:rFonts w:ascii="Times New Roman" w:hAnsi="Times New Roman" w:cs="Times New Roman"/>
          <w:sz w:val="24"/>
          <w:szCs w:val="24"/>
        </w:rPr>
        <w:t xml:space="preserve"> update</w:t>
      </w:r>
      <w:r w:rsidR="746F6DA4" w:rsidRPr="0016089F">
        <w:rPr>
          <w:rFonts w:ascii="Times New Roman" w:hAnsi="Times New Roman" w:cs="Times New Roman"/>
          <w:sz w:val="24"/>
          <w:szCs w:val="24"/>
        </w:rPr>
        <w:t>d</w:t>
      </w:r>
      <w:r w:rsidR="7502FA8F" w:rsidRPr="0016089F">
        <w:rPr>
          <w:rFonts w:ascii="Times New Roman" w:hAnsi="Times New Roman" w:cs="Times New Roman"/>
          <w:sz w:val="24"/>
          <w:szCs w:val="24"/>
        </w:rPr>
        <w:t xml:space="preserve"> annually as part of SDG&amp;E’s </w:t>
      </w:r>
      <w:r w:rsidR="519937F1" w:rsidRPr="0016089F">
        <w:rPr>
          <w:rFonts w:ascii="Times New Roman" w:hAnsi="Times New Roman" w:cs="Times New Roman"/>
          <w:sz w:val="24"/>
          <w:szCs w:val="24"/>
        </w:rPr>
        <w:t>January</w:t>
      </w:r>
      <w:r w:rsidR="12CC1902" w:rsidRPr="0016089F">
        <w:rPr>
          <w:rFonts w:ascii="Times New Roman" w:hAnsi="Times New Roman" w:cs="Times New Roman"/>
          <w:sz w:val="24"/>
          <w:szCs w:val="24"/>
        </w:rPr>
        <w:t xml:space="preserve"> 1</w:t>
      </w:r>
      <w:r w:rsidR="7502FA8F" w:rsidRPr="0016089F">
        <w:rPr>
          <w:rFonts w:ascii="Times New Roman" w:hAnsi="Times New Roman" w:cs="Times New Roman"/>
          <w:sz w:val="24"/>
          <w:szCs w:val="24"/>
        </w:rPr>
        <w:t xml:space="preserve"> consolidated rate filing</w:t>
      </w:r>
      <w:r w:rsidR="5D8B664A" w:rsidRPr="0016089F">
        <w:rPr>
          <w:rFonts w:ascii="Times New Roman" w:hAnsi="Times New Roman" w:cs="Times New Roman"/>
          <w:sz w:val="24"/>
          <w:szCs w:val="24"/>
        </w:rPr>
        <w:t>.</w:t>
      </w:r>
    </w:p>
    <w:p w14:paraId="3DFD7374" w14:textId="4C0AB820" w:rsidR="1C6108CA" w:rsidRPr="0016089F" w:rsidRDefault="1C6108CA" w:rsidP="1C6108CA">
      <w:pPr>
        <w:spacing w:after="160" w:line="259" w:lineRule="auto"/>
        <w:ind w:left="720"/>
        <w:rPr>
          <w:rFonts w:ascii="Times New Roman" w:hAnsi="Times New Roman" w:cs="Times New Roman"/>
          <w:sz w:val="24"/>
          <w:szCs w:val="24"/>
        </w:rPr>
      </w:pPr>
    </w:p>
    <w:p w14:paraId="5FA14C37" w14:textId="73480A8E" w:rsidR="1C6108CA" w:rsidRPr="0016089F" w:rsidRDefault="1C6108CA" w:rsidP="1C6108CA">
      <w:pPr>
        <w:spacing w:after="160" w:line="259" w:lineRule="auto"/>
        <w:ind w:left="720"/>
        <w:rPr>
          <w:rFonts w:ascii="Times New Roman" w:hAnsi="Times New Roman" w:cs="Times New Roman"/>
          <w:sz w:val="24"/>
          <w:szCs w:val="24"/>
        </w:rPr>
      </w:pPr>
    </w:p>
    <w:p w14:paraId="0AB819D2" w14:textId="036CAFB0" w:rsidR="00683370" w:rsidRDefault="00683370" w:rsidP="00683370">
      <w:pPr>
        <w:rPr>
          <w:rFonts w:ascii="Times New Roman" w:hAnsi="Times New Roman" w:cs="Times New Roman"/>
          <w:sz w:val="24"/>
          <w:szCs w:val="24"/>
        </w:rPr>
      </w:pPr>
      <w:r w:rsidRPr="0016089F">
        <w:rPr>
          <w:rFonts w:ascii="Times New Roman" w:hAnsi="Times New Roman" w:cs="Times New Roman"/>
          <w:sz w:val="24"/>
          <w:szCs w:val="24"/>
        </w:rPr>
        <w:t xml:space="preserve">The following questions refer to SDG&amp;E’s dynamic load profiles provided on its website at </w:t>
      </w:r>
      <w:hyperlink r:id="rId9" w:history="1">
        <w:r w:rsidRPr="0016089F">
          <w:rPr>
            <w:rStyle w:val="Hyperlink"/>
            <w:rFonts w:ascii="Times New Roman" w:hAnsi="Times New Roman" w:cs="Times New Roman"/>
            <w:sz w:val="24"/>
            <w:szCs w:val="24"/>
          </w:rPr>
          <w:t>http://www2.sdge.com/eic/dlp/dynamic.cfm</w:t>
        </w:r>
      </w:hyperlink>
      <w:r w:rsidRPr="0016089F">
        <w:rPr>
          <w:rFonts w:ascii="Times New Roman" w:hAnsi="Times New Roman" w:cs="Times New Roman"/>
          <w:sz w:val="24"/>
          <w:szCs w:val="24"/>
        </w:rPr>
        <w:t>.</w:t>
      </w:r>
    </w:p>
    <w:p w14:paraId="7B9CA416" w14:textId="77777777" w:rsidR="003D50F1" w:rsidRPr="0016089F" w:rsidRDefault="003D50F1" w:rsidP="00683370">
      <w:pPr>
        <w:rPr>
          <w:rFonts w:ascii="Times New Roman" w:hAnsi="Times New Roman" w:cs="Times New Roman"/>
          <w:sz w:val="24"/>
          <w:szCs w:val="24"/>
        </w:rPr>
      </w:pPr>
    </w:p>
    <w:p w14:paraId="53C35046"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The website only provides data for the previous twelve months. Please provide the dynamic hourly load profiles for calendar years 2014-2019 for the following rate groups. Please provide the hourly data in Microsoft Excel format.</w:t>
      </w:r>
    </w:p>
    <w:p w14:paraId="06EB761C"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Residential</w:t>
      </w:r>
    </w:p>
    <w:p w14:paraId="121EBA23"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Agriculture</w:t>
      </w:r>
    </w:p>
    <w:p w14:paraId="3FD77967"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Lrg/Com Ind</w:t>
      </w:r>
    </w:p>
    <w:p w14:paraId="48593018"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Med/Com Ind</w:t>
      </w:r>
    </w:p>
    <w:p w14:paraId="2096F418"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Schedule A6</w:t>
      </w:r>
    </w:p>
    <w:p w14:paraId="5A1EFB5C"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Schedule AD</w:t>
      </w:r>
    </w:p>
    <w:p w14:paraId="719DCC90" w14:textId="47BBB970"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Small Com</w:t>
      </w:r>
    </w:p>
    <w:p w14:paraId="25F80B06" w14:textId="77777777" w:rsidR="008656B0" w:rsidRPr="0016089F" w:rsidRDefault="008656B0" w:rsidP="008656B0">
      <w:pPr>
        <w:pStyle w:val="ListParagraph"/>
        <w:widowControl/>
        <w:spacing w:after="160" w:line="259" w:lineRule="auto"/>
        <w:ind w:left="720"/>
        <w:contextualSpacing/>
        <w:rPr>
          <w:rFonts w:ascii="Times New Roman" w:hAnsi="Times New Roman" w:cs="Times New Roman"/>
          <w:b/>
          <w:sz w:val="24"/>
          <w:szCs w:val="24"/>
        </w:rPr>
      </w:pPr>
    </w:p>
    <w:p w14:paraId="0418BDD7" w14:textId="035ECDCE" w:rsidR="008656B0" w:rsidRDefault="008656B0" w:rsidP="008656B0">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b/>
          <w:sz w:val="24"/>
          <w:szCs w:val="24"/>
        </w:rPr>
        <w:t xml:space="preserve">SDG&amp;E Response: </w:t>
      </w:r>
      <w:r w:rsidR="00801B6C" w:rsidRPr="0016089F">
        <w:rPr>
          <w:rFonts w:ascii="Times New Roman" w:hAnsi="Times New Roman" w:cs="Times New Roman"/>
          <w:sz w:val="24"/>
          <w:szCs w:val="24"/>
        </w:rPr>
        <w:t xml:space="preserve">See the embedded xls. workbook titled </w:t>
      </w:r>
      <w:r w:rsidR="00A3378F" w:rsidRPr="0016089F">
        <w:rPr>
          <w:rFonts w:ascii="Times New Roman" w:hAnsi="Times New Roman" w:cs="Times New Roman"/>
          <w:sz w:val="24"/>
          <w:szCs w:val="24"/>
        </w:rPr>
        <w:t>(</w:t>
      </w:r>
      <w:r w:rsidR="00801B6C" w:rsidRPr="0016089F">
        <w:rPr>
          <w:rFonts w:ascii="Times New Roman" w:hAnsi="Times New Roman" w:cs="Times New Roman"/>
          <w:sz w:val="24"/>
          <w:szCs w:val="24"/>
        </w:rPr>
        <w:t>UCAN-DR_2_SDG&amp;E_Responses</w:t>
      </w:r>
      <w:r w:rsidR="00A3378F" w:rsidRPr="0016089F">
        <w:rPr>
          <w:rFonts w:ascii="Times New Roman" w:hAnsi="Times New Roman" w:cs="Times New Roman"/>
          <w:sz w:val="24"/>
          <w:szCs w:val="24"/>
        </w:rPr>
        <w:t>_Q6 and Q7)</w:t>
      </w:r>
    </w:p>
    <w:p w14:paraId="2D287CA8" w14:textId="77777777" w:rsidR="0016089F" w:rsidRPr="0016089F" w:rsidRDefault="0016089F" w:rsidP="008656B0">
      <w:pPr>
        <w:pStyle w:val="ListParagraph"/>
        <w:widowControl/>
        <w:spacing w:after="160" w:line="259" w:lineRule="auto"/>
        <w:ind w:left="720"/>
        <w:contextualSpacing/>
        <w:rPr>
          <w:rFonts w:ascii="Times New Roman" w:hAnsi="Times New Roman" w:cs="Times New Roman"/>
          <w:sz w:val="24"/>
          <w:szCs w:val="24"/>
        </w:rPr>
      </w:pPr>
    </w:p>
    <w:p w14:paraId="670A12F4" w14:textId="48EABF33" w:rsidR="00353ED0" w:rsidRPr="0016089F" w:rsidRDefault="00B23E28" w:rsidP="008656B0">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sz w:val="24"/>
          <w:szCs w:val="24"/>
        </w:rPr>
        <w:object w:dxaOrig="1543" w:dyaOrig="1000" w14:anchorId="29D6A8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50.1pt" o:ole="">
            <v:imagedata r:id="rId10" o:title=""/>
          </v:shape>
          <o:OLEObject Type="Embed" ProgID="Excel.Sheet.12" ShapeID="_x0000_i1025" DrawAspect="Icon" ObjectID="_1641644927" r:id="rId11"/>
        </w:object>
      </w:r>
    </w:p>
    <w:p w14:paraId="07C5D475" w14:textId="77777777" w:rsidR="008656B0" w:rsidRPr="0016089F" w:rsidRDefault="008656B0" w:rsidP="008656B0">
      <w:pPr>
        <w:widowControl/>
        <w:spacing w:after="160" w:line="259" w:lineRule="auto"/>
        <w:contextualSpacing/>
        <w:rPr>
          <w:rFonts w:ascii="Times New Roman" w:hAnsi="Times New Roman" w:cs="Times New Roman"/>
          <w:sz w:val="24"/>
          <w:szCs w:val="24"/>
        </w:rPr>
      </w:pPr>
    </w:p>
    <w:p w14:paraId="4DBDAFD7" w14:textId="0837E06F"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provide the monthly dynamic profile populations for all months of calendar years 2014-2018.</w:t>
      </w:r>
    </w:p>
    <w:p w14:paraId="1895834F" w14:textId="77777777" w:rsidR="001A10F8" w:rsidRPr="0016089F" w:rsidRDefault="001A10F8" w:rsidP="001A10F8">
      <w:pPr>
        <w:pStyle w:val="ListParagraph"/>
        <w:widowControl/>
        <w:spacing w:after="160" w:line="259" w:lineRule="auto"/>
        <w:ind w:left="720"/>
        <w:contextualSpacing/>
        <w:rPr>
          <w:rFonts w:ascii="Times New Roman" w:hAnsi="Times New Roman" w:cs="Times New Roman"/>
          <w:b/>
          <w:sz w:val="24"/>
          <w:szCs w:val="24"/>
        </w:rPr>
      </w:pPr>
    </w:p>
    <w:p w14:paraId="26BB4819" w14:textId="3A086352" w:rsidR="001A10F8" w:rsidRPr="0016089F" w:rsidRDefault="001A10F8" w:rsidP="001A10F8">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b/>
          <w:sz w:val="24"/>
          <w:szCs w:val="24"/>
        </w:rPr>
        <w:t xml:space="preserve">SDG&amp;E Response: </w:t>
      </w:r>
      <w:r w:rsidR="00A3378F" w:rsidRPr="0016089F">
        <w:rPr>
          <w:rFonts w:ascii="Times New Roman" w:hAnsi="Times New Roman" w:cs="Times New Roman"/>
          <w:sz w:val="24"/>
          <w:szCs w:val="24"/>
        </w:rPr>
        <w:t>See the answer for question 6.</w:t>
      </w:r>
    </w:p>
    <w:p w14:paraId="62A9CA1B" w14:textId="77777777" w:rsidR="001A10F8" w:rsidRPr="0016089F" w:rsidRDefault="001A10F8" w:rsidP="001A10F8">
      <w:pPr>
        <w:pStyle w:val="ListParagraph"/>
        <w:widowControl/>
        <w:spacing w:after="160" w:line="259" w:lineRule="auto"/>
        <w:ind w:left="720"/>
        <w:contextualSpacing/>
        <w:rPr>
          <w:rFonts w:ascii="Times New Roman" w:hAnsi="Times New Roman" w:cs="Times New Roman"/>
          <w:sz w:val="24"/>
          <w:szCs w:val="24"/>
        </w:rPr>
      </w:pPr>
    </w:p>
    <w:p w14:paraId="010FAAF1" w14:textId="3ADB2D04"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explain how customer behind-the-meter generation exported to the grid impacts the class hourly dynamic load profiles. Are the hourly profiles SDG&amp;E calculates net of such generation? Why or why not?</w:t>
      </w:r>
    </w:p>
    <w:p w14:paraId="45C18122" w14:textId="77777777" w:rsidR="001A10F8" w:rsidRPr="0016089F" w:rsidRDefault="001A10F8" w:rsidP="001A10F8">
      <w:pPr>
        <w:pStyle w:val="ListParagraph"/>
        <w:widowControl/>
        <w:spacing w:after="160" w:line="259" w:lineRule="auto"/>
        <w:ind w:left="720"/>
        <w:contextualSpacing/>
        <w:rPr>
          <w:rFonts w:ascii="Times New Roman" w:hAnsi="Times New Roman" w:cs="Times New Roman"/>
          <w:b/>
          <w:sz w:val="24"/>
          <w:szCs w:val="24"/>
        </w:rPr>
      </w:pPr>
    </w:p>
    <w:p w14:paraId="395B22F5" w14:textId="4CD2EA14" w:rsidR="7C884834" w:rsidRPr="0016089F" w:rsidRDefault="7C884834" w:rsidP="7C884834">
      <w:pPr>
        <w:spacing w:line="257" w:lineRule="auto"/>
        <w:ind w:left="720"/>
        <w:rPr>
          <w:rFonts w:ascii="Times New Roman" w:hAnsi="Times New Roman" w:cs="Times New Roman"/>
          <w:b/>
          <w:bCs/>
          <w:sz w:val="24"/>
          <w:szCs w:val="24"/>
        </w:rPr>
      </w:pPr>
      <w:r w:rsidRPr="0016089F">
        <w:rPr>
          <w:rFonts w:ascii="Times New Roman" w:hAnsi="Times New Roman" w:cs="Times New Roman"/>
          <w:b/>
          <w:bCs/>
          <w:sz w:val="24"/>
          <w:szCs w:val="24"/>
        </w:rPr>
        <w:t xml:space="preserve">SDG&amp;E Response: </w:t>
      </w:r>
      <w:r w:rsidR="005F5FCF">
        <w:rPr>
          <w:rFonts w:ascii="Times New Roman" w:hAnsi="Times New Roman" w:cs="Times New Roman"/>
          <w:sz w:val="24"/>
          <w:szCs w:val="24"/>
        </w:rPr>
        <w:t>Will respond by January 31.</w:t>
      </w:r>
    </w:p>
    <w:p w14:paraId="055AB897" w14:textId="77777777" w:rsidR="001A10F8" w:rsidRPr="0016089F" w:rsidRDefault="001A10F8" w:rsidP="001A10F8">
      <w:pPr>
        <w:widowControl/>
        <w:spacing w:after="160" w:line="259" w:lineRule="auto"/>
        <w:contextualSpacing/>
        <w:rPr>
          <w:rFonts w:ascii="Times New Roman" w:hAnsi="Times New Roman" w:cs="Times New Roman"/>
          <w:sz w:val="24"/>
          <w:szCs w:val="24"/>
        </w:rPr>
      </w:pPr>
    </w:p>
    <w:p w14:paraId="511D9F3D"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 xml:space="preserve">If the dynamic hourly load profiles are net of customer behind-the-meter generation exported to the grid, please provide dynamic hourly load profiles for calendar years 2014-2019 for the following rate groups that are </w:t>
      </w:r>
      <w:r w:rsidRPr="0016089F">
        <w:rPr>
          <w:rFonts w:ascii="Times New Roman" w:hAnsi="Times New Roman" w:cs="Times New Roman"/>
          <w:i/>
          <w:iCs/>
          <w:sz w:val="24"/>
          <w:szCs w:val="24"/>
        </w:rPr>
        <w:t>not</w:t>
      </w:r>
      <w:r w:rsidRPr="0016089F">
        <w:rPr>
          <w:rFonts w:ascii="Times New Roman" w:hAnsi="Times New Roman" w:cs="Times New Roman"/>
          <w:sz w:val="24"/>
          <w:szCs w:val="24"/>
        </w:rPr>
        <w:t xml:space="preserve"> net of behind-the-meter generation exported to the grid. Please provide the hourly data in Microsoft Excel format.</w:t>
      </w:r>
    </w:p>
    <w:p w14:paraId="7872D022"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Residential</w:t>
      </w:r>
    </w:p>
    <w:p w14:paraId="67A7A003"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Agriculture</w:t>
      </w:r>
    </w:p>
    <w:p w14:paraId="24B27014"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lastRenderedPageBreak/>
        <w:t>Lrg/Com Ind</w:t>
      </w:r>
    </w:p>
    <w:p w14:paraId="6C8272B3"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Med/Com Ind</w:t>
      </w:r>
    </w:p>
    <w:p w14:paraId="63772926"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Schedule A6</w:t>
      </w:r>
    </w:p>
    <w:p w14:paraId="6D7274D6"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Schedule AD</w:t>
      </w:r>
    </w:p>
    <w:p w14:paraId="5AF9345F" w14:textId="1A08F700"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Small Com</w:t>
      </w:r>
    </w:p>
    <w:p w14:paraId="19EBD2C5" w14:textId="77777777" w:rsidR="006A2838" w:rsidRPr="0016089F" w:rsidRDefault="006A2838" w:rsidP="006A2838">
      <w:pPr>
        <w:pStyle w:val="ListParagraph"/>
        <w:widowControl/>
        <w:spacing w:after="160" w:line="259" w:lineRule="auto"/>
        <w:ind w:left="720"/>
        <w:contextualSpacing/>
        <w:rPr>
          <w:rFonts w:ascii="Times New Roman" w:hAnsi="Times New Roman" w:cs="Times New Roman"/>
          <w:b/>
          <w:sz w:val="24"/>
          <w:szCs w:val="24"/>
        </w:rPr>
      </w:pPr>
    </w:p>
    <w:p w14:paraId="4CCD5FA0" w14:textId="7FEF7904" w:rsidR="7C884834" w:rsidRPr="0016089F" w:rsidRDefault="7C884834" w:rsidP="0016089F">
      <w:pPr>
        <w:spacing w:line="257" w:lineRule="auto"/>
        <w:ind w:left="720"/>
        <w:rPr>
          <w:rFonts w:ascii="Times New Roman" w:hAnsi="Times New Roman" w:cs="Times New Roman"/>
          <w:b/>
          <w:bCs/>
          <w:sz w:val="24"/>
          <w:szCs w:val="24"/>
        </w:rPr>
      </w:pPr>
      <w:r w:rsidRPr="0016089F">
        <w:rPr>
          <w:rFonts w:ascii="Times New Roman" w:hAnsi="Times New Roman" w:cs="Times New Roman"/>
          <w:b/>
          <w:bCs/>
          <w:sz w:val="24"/>
          <w:szCs w:val="24"/>
        </w:rPr>
        <w:t xml:space="preserve">SDG&amp;E Response: </w:t>
      </w:r>
      <w:r w:rsidRPr="0016089F">
        <w:rPr>
          <w:rFonts w:ascii="Times New Roman" w:eastAsia="Times New Roman" w:hAnsi="Times New Roman" w:cs="Times New Roman"/>
          <w:sz w:val="24"/>
          <w:szCs w:val="24"/>
        </w:rPr>
        <w:t xml:space="preserve">Dynamic Load Profiles are not available without netting of exports. As explained in the response to Q8, because the methodology relies on a control total for accuracy, and that total is a net number, </w:t>
      </w:r>
      <w:r w:rsidR="00744C6E">
        <w:rPr>
          <w:rFonts w:ascii="Times New Roman" w:eastAsia="Times New Roman" w:hAnsi="Times New Roman" w:cs="Times New Roman"/>
          <w:sz w:val="24"/>
          <w:szCs w:val="24"/>
        </w:rPr>
        <w:t>n</w:t>
      </w:r>
      <w:r w:rsidRPr="0016089F">
        <w:rPr>
          <w:rFonts w:ascii="Times New Roman" w:eastAsia="Times New Roman" w:hAnsi="Times New Roman" w:cs="Times New Roman"/>
          <w:sz w:val="24"/>
          <w:szCs w:val="24"/>
        </w:rPr>
        <w:t>et profiles are the only Dynamic Load Profiles SDG&amp;E produces.</w:t>
      </w:r>
    </w:p>
    <w:p w14:paraId="64F87957" w14:textId="77777777" w:rsidR="006A2838" w:rsidRPr="0016089F" w:rsidRDefault="006A2838" w:rsidP="006A2838">
      <w:pPr>
        <w:widowControl/>
        <w:spacing w:after="160" w:line="259" w:lineRule="auto"/>
        <w:contextualSpacing/>
        <w:rPr>
          <w:rFonts w:ascii="Times New Roman" w:hAnsi="Times New Roman" w:cs="Times New Roman"/>
          <w:sz w:val="24"/>
          <w:szCs w:val="24"/>
        </w:rPr>
      </w:pPr>
    </w:p>
    <w:p w14:paraId="255AF974" w14:textId="3A2E1C9E" w:rsidR="00683370" w:rsidRDefault="0016089F" w:rsidP="00683370">
      <w:pPr>
        <w:rPr>
          <w:rFonts w:ascii="Times New Roman" w:hAnsi="Times New Roman" w:cs="Times New Roman"/>
          <w:sz w:val="24"/>
          <w:szCs w:val="24"/>
        </w:rPr>
      </w:pPr>
      <w:r>
        <w:rPr>
          <w:rFonts w:ascii="Times New Roman" w:hAnsi="Times New Roman" w:cs="Times New Roman"/>
          <w:sz w:val="24"/>
          <w:szCs w:val="24"/>
        </w:rPr>
        <w:tab/>
      </w:r>
      <w:r w:rsidR="00683370" w:rsidRPr="0016089F">
        <w:rPr>
          <w:rFonts w:ascii="Times New Roman" w:hAnsi="Times New Roman" w:cs="Times New Roman"/>
          <w:sz w:val="24"/>
          <w:szCs w:val="24"/>
        </w:rPr>
        <w:t>The following questions refer to the Revised Prepared Direct Testimony of Jeff P. Stein.</w:t>
      </w:r>
    </w:p>
    <w:p w14:paraId="7ECC6DC5" w14:textId="77777777" w:rsidR="0016089F" w:rsidRPr="0016089F" w:rsidRDefault="0016089F" w:rsidP="00683370">
      <w:pPr>
        <w:rPr>
          <w:rFonts w:ascii="Times New Roman" w:hAnsi="Times New Roman" w:cs="Times New Roman"/>
          <w:sz w:val="24"/>
          <w:szCs w:val="24"/>
        </w:rPr>
      </w:pPr>
    </w:p>
    <w:p w14:paraId="2E20A1EC"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Stein states that “In the interest of promoting rate stability consistent with the Commission’s Rate Design Principles (“RDP”), SDG&amp;E is not proposing any updates to the revenue allocations for the Distribution, Commodity, Competition Transition Charge (“CTC”), and Local Generation Charge (“LGC”) rate components established by D.17-18-030, except as needed to accommodate the addition of the Schools-only customer class.” (p. JS-2:19-23) Is SDG&amp;E proposing to update any of the afore-referenced rate components to reflect the sales forecast presented in the testimony of witness Schiermeyer?</w:t>
      </w:r>
    </w:p>
    <w:p w14:paraId="34F098DA"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If so, which revenue allocations and why?</w:t>
      </w:r>
    </w:p>
    <w:p w14:paraId="0D24ACEE"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If not, why not?</w:t>
      </w:r>
    </w:p>
    <w:p w14:paraId="530ACFBF" w14:textId="77777777"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If any of the listed revenue allocations are being updated for the sales forecast, please explain how they have been updated and provide any supporting workpapers for such updates.</w:t>
      </w:r>
    </w:p>
    <w:p w14:paraId="60D0AF72" w14:textId="2A6E82E0"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If not, please provide revenue allocations for Distribution, Commodity, CTC, and LGC that include the schools-only customer class and are updated for the sales forecast presented in witness Schiermeyer’s testimony but otherwise reflect the methodology established by D.17-08-030. Please also provide supporting workpapers for such revenue allocations.</w:t>
      </w:r>
    </w:p>
    <w:p w14:paraId="11EF83EB" w14:textId="77777777" w:rsidR="00534DC8" w:rsidRPr="0016089F" w:rsidRDefault="00534DC8" w:rsidP="00534DC8">
      <w:pPr>
        <w:pStyle w:val="ListParagraph"/>
        <w:widowControl/>
        <w:spacing w:after="160" w:line="259" w:lineRule="auto"/>
        <w:ind w:left="720"/>
        <w:contextualSpacing/>
        <w:rPr>
          <w:rFonts w:ascii="Times New Roman" w:hAnsi="Times New Roman" w:cs="Times New Roman"/>
          <w:b/>
          <w:sz w:val="24"/>
          <w:szCs w:val="24"/>
        </w:rPr>
      </w:pPr>
    </w:p>
    <w:p w14:paraId="0B34EB0A" w14:textId="1FE1C5AB" w:rsidR="00534DC8" w:rsidRPr="0016089F" w:rsidRDefault="00534DC8" w:rsidP="00534DC8">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r w:rsidR="00E3676A">
        <w:rPr>
          <w:rFonts w:ascii="Times New Roman" w:hAnsi="Times New Roman" w:cs="Times New Roman"/>
          <w:sz w:val="24"/>
          <w:szCs w:val="24"/>
        </w:rPr>
        <w:t>Will respond by January 31.</w:t>
      </w:r>
    </w:p>
    <w:p w14:paraId="6C9FA1D7" w14:textId="77777777" w:rsidR="00534DC8" w:rsidRPr="0016089F" w:rsidRDefault="00534DC8" w:rsidP="00534DC8">
      <w:pPr>
        <w:widowControl/>
        <w:spacing w:after="160" w:line="259" w:lineRule="auto"/>
        <w:contextualSpacing/>
        <w:rPr>
          <w:rFonts w:ascii="Times New Roman" w:hAnsi="Times New Roman" w:cs="Times New Roman"/>
          <w:sz w:val="24"/>
          <w:szCs w:val="24"/>
        </w:rPr>
      </w:pPr>
    </w:p>
    <w:p w14:paraId="40E7992E" w14:textId="3B6D4784" w:rsidR="00683370" w:rsidRDefault="0016089F" w:rsidP="00683370">
      <w:pPr>
        <w:rPr>
          <w:rFonts w:ascii="Times New Roman" w:hAnsi="Times New Roman" w:cs="Times New Roman"/>
          <w:sz w:val="24"/>
          <w:szCs w:val="24"/>
        </w:rPr>
      </w:pPr>
      <w:r>
        <w:rPr>
          <w:rFonts w:ascii="Times New Roman" w:hAnsi="Times New Roman" w:cs="Times New Roman"/>
          <w:sz w:val="24"/>
          <w:szCs w:val="24"/>
        </w:rPr>
        <w:tab/>
      </w:r>
      <w:r w:rsidR="00683370" w:rsidRPr="0016089F">
        <w:rPr>
          <w:rFonts w:ascii="Times New Roman" w:hAnsi="Times New Roman" w:cs="Times New Roman"/>
          <w:sz w:val="24"/>
          <w:szCs w:val="24"/>
        </w:rPr>
        <w:t>The following questions refer to the Revised Prepared Direct Testimony of Jesse B. Emge.</w:t>
      </w:r>
    </w:p>
    <w:p w14:paraId="1C06E639" w14:textId="77777777" w:rsidR="0016089F" w:rsidRPr="0016089F" w:rsidRDefault="0016089F" w:rsidP="00683370">
      <w:pPr>
        <w:rPr>
          <w:rFonts w:ascii="Times New Roman" w:hAnsi="Times New Roman" w:cs="Times New Roman"/>
          <w:sz w:val="24"/>
          <w:szCs w:val="24"/>
        </w:rPr>
      </w:pPr>
    </w:p>
    <w:p w14:paraId="0FEC61B7" w14:textId="12CBFA9D"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Emge states that “SDG&amp;E current allocates CARE, FERA, Food Bank Discount, and ESAP costs to the customer classes using an equal cent per kilowatt hour (“kWh”) approach.” (JE-6:2-3) Why are the class rates listed under “Current Rate ($/kWh)” in Tables JE-5 and JE-8 not the same for each class if SDG&amp;E allocates CARE and ESAP revenues using an equal cent per kWh?</w:t>
      </w:r>
    </w:p>
    <w:p w14:paraId="546FEFC7" w14:textId="77777777" w:rsidR="00B26ADB" w:rsidRPr="0016089F" w:rsidRDefault="00B26ADB" w:rsidP="00B26ADB">
      <w:pPr>
        <w:pStyle w:val="ListParagraph"/>
        <w:widowControl/>
        <w:spacing w:after="160" w:line="259" w:lineRule="auto"/>
        <w:ind w:left="720"/>
        <w:contextualSpacing/>
        <w:rPr>
          <w:rFonts w:ascii="Times New Roman" w:hAnsi="Times New Roman" w:cs="Times New Roman"/>
          <w:b/>
          <w:sz w:val="24"/>
          <w:szCs w:val="24"/>
        </w:rPr>
      </w:pPr>
    </w:p>
    <w:p w14:paraId="1E05E8A5" w14:textId="337CC3CA" w:rsidR="00B26ADB" w:rsidRPr="0016089F" w:rsidRDefault="00B26ADB" w:rsidP="00B26ADB">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lastRenderedPageBreak/>
        <w:t xml:space="preserve">SDG&amp;E Response: </w:t>
      </w:r>
    </w:p>
    <w:p w14:paraId="365A277C" w14:textId="02358F1C" w:rsidR="00B26ADB" w:rsidRPr="0016089F" w:rsidRDefault="00767DFD" w:rsidP="00767DFD">
      <w:pPr>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sz w:val="24"/>
          <w:szCs w:val="24"/>
        </w:rPr>
        <w:t xml:space="preserve">The current rates in JE-5 and JE-8 are not the same for each customer class due to the update in the approved sales forecast. The allocation factors being used in the current rates are from D.17-08-030, in Phase 2 of SDG&amp;E’s 2016 GRC Phase 2, and the 2019 sales forecast is </w:t>
      </w:r>
      <w:r w:rsidR="00744C6E">
        <w:rPr>
          <w:rFonts w:ascii="Times New Roman" w:hAnsi="Times New Roman" w:cs="Times New Roman"/>
          <w:sz w:val="24"/>
          <w:szCs w:val="24"/>
        </w:rPr>
        <w:t xml:space="preserve">from </w:t>
      </w:r>
      <w:r w:rsidRPr="0016089F">
        <w:rPr>
          <w:rFonts w:ascii="Times New Roman" w:hAnsi="Times New Roman" w:cs="Times New Roman"/>
          <w:sz w:val="24"/>
          <w:szCs w:val="24"/>
        </w:rPr>
        <w:t xml:space="preserve">D.18-11-035. This causes the rates by customer class to slightly vary.    </w:t>
      </w:r>
    </w:p>
    <w:p w14:paraId="4AC093A0" w14:textId="77777777" w:rsidR="009D78FD" w:rsidRPr="0016089F" w:rsidRDefault="009D78FD" w:rsidP="00B26ADB">
      <w:pPr>
        <w:widowControl/>
        <w:spacing w:after="160" w:line="259" w:lineRule="auto"/>
        <w:contextualSpacing/>
        <w:rPr>
          <w:rFonts w:ascii="Times New Roman" w:hAnsi="Times New Roman" w:cs="Times New Roman"/>
          <w:sz w:val="24"/>
          <w:szCs w:val="24"/>
        </w:rPr>
      </w:pPr>
    </w:p>
    <w:p w14:paraId="7A6D6173" w14:textId="654E8580"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Emge states that “Currently, EPIC costs are allocated to the customer classes on a per kWh basis pursuant to D.17-08-030.” (JE-9:6-7) Why are the class rates listed under “Current Rate ($/kWh)” in Table JE-10 not the same for each class if SDG&amp;E allocates EPIC revenues on a per kWh basis?</w:t>
      </w:r>
    </w:p>
    <w:p w14:paraId="10646209" w14:textId="7611A146" w:rsidR="00B26ADB" w:rsidRPr="0016089F" w:rsidRDefault="00B26ADB" w:rsidP="00B26ADB">
      <w:pPr>
        <w:pStyle w:val="ListParagraph"/>
        <w:widowControl/>
        <w:spacing w:after="160" w:line="259" w:lineRule="auto"/>
        <w:ind w:left="720"/>
        <w:contextualSpacing/>
        <w:rPr>
          <w:rFonts w:ascii="Times New Roman" w:hAnsi="Times New Roman" w:cs="Times New Roman"/>
          <w:sz w:val="24"/>
          <w:szCs w:val="24"/>
        </w:rPr>
      </w:pPr>
    </w:p>
    <w:p w14:paraId="433849E5" w14:textId="77777777" w:rsidR="00B26ADB" w:rsidRPr="0016089F" w:rsidRDefault="00B26ADB" w:rsidP="00B26ADB">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p>
    <w:p w14:paraId="1D64E880" w14:textId="4CACE94F" w:rsidR="00B26ADB" w:rsidRPr="0016089F" w:rsidRDefault="00B26ADB" w:rsidP="00B26ADB">
      <w:pPr>
        <w:pStyle w:val="ListParagraph"/>
        <w:widowControl/>
        <w:spacing w:after="160" w:line="259" w:lineRule="auto"/>
        <w:ind w:left="720"/>
        <w:contextualSpacing/>
        <w:rPr>
          <w:rFonts w:ascii="Times New Roman" w:hAnsi="Times New Roman" w:cs="Times New Roman"/>
          <w:sz w:val="24"/>
          <w:szCs w:val="24"/>
        </w:rPr>
      </w:pPr>
    </w:p>
    <w:p w14:paraId="0E5B6A83" w14:textId="5BBFCF35" w:rsidR="00990334" w:rsidRPr="0016089F" w:rsidRDefault="00990334" w:rsidP="7C884834">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sz w:val="24"/>
          <w:szCs w:val="24"/>
        </w:rPr>
        <w:t>The current rates in JE-10 are not the same for each customer class due to the update in the approved sales forecast. The allocation factors being used in the current rates are from D.17</w:t>
      </w:r>
      <w:r w:rsidRPr="0016089F">
        <w:rPr>
          <w:rFonts w:ascii="Times New Roman" w:hAnsi="Times New Roman" w:cs="Times New Roman"/>
          <w:sz w:val="24"/>
          <w:szCs w:val="24"/>
        </w:rPr>
        <w:noBreakHyphen/>
        <w:t xml:space="preserve">08-030, in Phase 2 of SDG&amp;E’s 2016 GRC Phase 2, and the 2019 sales forecast is from the approved D.18-11-035. This causes the rates by customer class to slightly vary.     </w:t>
      </w:r>
    </w:p>
    <w:p w14:paraId="207F602E" w14:textId="77777777" w:rsidR="00767DFD" w:rsidRPr="0016089F" w:rsidRDefault="00767DFD" w:rsidP="00B26ADB">
      <w:pPr>
        <w:pStyle w:val="ListParagraph"/>
        <w:widowControl/>
        <w:spacing w:after="160" w:line="259" w:lineRule="auto"/>
        <w:ind w:left="720"/>
        <w:contextualSpacing/>
        <w:rPr>
          <w:rFonts w:ascii="Times New Roman" w:hAnsi="Times New Roman" w:cs="Times New Roman"/>
          <w:sz w:val="24"/>
          <w:szCs w:val="24"/>
        </w:rPr>
      </w:pPr>
    </w:p>
    <w:p w14:paraId="51406CEA" w14:textId="77777777" w:rsidR="00683370" w:rsidRPr="0016089F" w:rsidRDefault="00683370" w:rsidP="00683370">
      <w:pPr>
        <w:rPr>
          <w:rFonts w:ascii="Times New Roman" w:hAnsi="Times New Roman" w:cs="Times New Roman"/>
          <w:sz w:val="24"/>
          <w:szCs w:val="24"/>
        </w:rPr>
      </w:pPr>
      <w:r w:rsidRPr="0016089F">
        <w:rPr>
          <w:rFonts w:ascii="Times New Roman" w:hAnsi="Times New Roman" w:cs="Times New Roman"/>
          <w:sz w:val="24"/>
          <w:szCs w:val="24"/>
        </w:rPr>
        <w:t>The following questions refer to the Revised Prepared Direct Testimony of Kenneth E. Schiermeyer.</w:t>
      </w:r>
    </w:p>
    <w:p w14:paraId="2F9F3BD4" w14:textId="69FFFF4E"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provide monthly historical sales in kWhs as delivered by the grid to customers aggregated by customer class for those customer classes listed in Table KS-1. Please provide these kWh sales for calendar years 2014-2019. Please provide the data in Microsoft Excel format.</w:t>
      </w:r>
    </w:p>
    <w:p w14:paraId="1CF23079" w14:textId="123A6355" w:rsidR="00957CB1" w:rsidRPr="0016089F" w:rsidRDefault="00957CB1" w:rsidP="00957CB1">
      <w:pPr>
        <w:pStyle w:val="ListParagraph"/>
        <w:widowControl/>
        <w:spacing w:after="160" w:line="259" w:lineRule="auto"/>
        <w:ind w:left="720"/>
        <w:contextualSpacing/>
        <w:rPr>
          <w:rFonts w:ascii="Times New Roman" w:hAnsi="Times New Roman" w:cs="Times New Roman"/>
          <w:sz w:val="24"/>
          <w:szCs w:val="24"/>
        </w:rPr>
      </w:pPr>
    </w:p>
    <w:p w14:paraId="03680E68" w14:textId="0D956BE0" w:rsidR="00957CB1" w:rsidRPr="0016089F" w:rsidRDefault="00957CB1" w:rsidP="00957CB1">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r w:rsidR="00D947DC">
        <w:rPr>
          <w:rFonts w:ascii="Times New Roman" w:hAnsi="Times New Roman" w:cs="Times New Roman"/>
          <w:sz w:val="24"/>
          <w:szCs w:val="24"/>
        </w:rPr>
        <w:t>Will respond by January 31.</w:t>
      </w:r>
    </w:p>
    <w:p w14:paraId="65017165" w14:textId="77777777" w:rsidR="00957CB1" w:rsidRPr="0016089F" w:rsidRDefault="00957CB1" w:rsidP="00957CB1">
      <w:pPr>
        <w:pStyle w:val="ListParagraph"/>
        <w:widowControl/>
        <w:spacing w:after="160" w:line="259" w:lineRule="auto"/>
        <w:ind w:left="720"/>
        <w:contextualSpacing/>
        <w:rPr>
          <w:rFonts w:ascii="Times New Roman" w:hAnsi="Times New Roman" w:cs="Times New Roman"/>
          <w:sz w:val="24"/>
          <w:szCs w:val="24"/>
        </w:rPr>
      </w:pPr>
    </w:p>
    <w:p w14:paraId="0AC7004C" w14:textId="70539740"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provide monthly historical behind-the-meter generation as delivered by customers to the grid aggregated by customer class for those customer classes listed in Table KS-1. Please provide these kWhs for calendar years 2014-2019. Please provide the data in Microsoft Excel format.</w:t>
      </w:r>
    </w:p>
    <w:p w14:paraId="5B7D6B73" w14:textId="77777777" w:rsidR="00BE6900" w:rsidRPr="0016089F" w:rsidRDefault="00BE6900" w:rsidP="00BE6900">
      <w:pPr>
        <w:pStyle w:val="ListParagraph"/>
        <w:widowControl/>
        <w:spacing w:after="160" w:line="259" w:lineRule="auto"/>
        <w:ind w:left="720"/>
        <w:contextualSpacing/>
        <w:rPr>
          <w:rFonts w:ascii="Times New Roman" w:hAnsi="Times New Roman" w:cs="Times New Roman"/>
          <w:b/>
          <w:sz w:val="24"/>
          <w:szCs w:val="24"/>
        </w:rPr>
      </w:pPr>
    </w:p>
    <w:p w14:paraId="4657CE85" w14:textId="78137307" w:rsidR="00BE6900" w:rsidRPr="0016089F" w:rsidRDefault="00BE6900" w:rsidP="00BE6900">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b/>
          <w:sz w:val="24"/>
          <w:szCs w:val="24"/>
        </w:rPr>
        <w:t xml:space="preserve">SDG&amp;E Response: </w:t>
      </w:r>
      <w:r w:rsidR="007563BC" w:rsidRPr="0016089F">
        <w:rPr>
          <w:rFonts w:ascii="Times New Roman" w:hAnsi="Times New Roman" w:cs="Times New Roman"/>
          <w:sz w:val="24"/>
          <w:szCs w:val="24"/>
        </w:rPr>
        <w:t>See the embedded xls file named (UCAN-DR_2_SDG&amp;E_Response</w:t>
      </w:r>
      <w:r w:rsidR="00771896" w:rsidRPr="0016089F">
        <w:rPr>
          <w:rFonts w:ascii="Times New Roman" w:hAnsi="Times New Roman" w:cs="Times New Roman"/>
          <w:sz w:val="24"/>
          <w:szCs w:val="24"/>
        </w:rPr>
        <w:t>_Q14)</w:t>
      </w:r>
    </w:p>
    <w:p w14:paraId="1D30C36A" w14:textId="16B64A8F" w:rsidR="00771896" w:rsidRPr="0016089F" w:rsidRDefault="00FC1802" w:rsidP="00BE6900">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sz w:val="24"/>
          <w:szCs w:val="24"/>
        </w:rPr>
        <w:object w:dxaOrig="1546" w:dyaOrig="1001" w14:anchorId="555FBE60">
          <v:shape id="_x0000_i1026" type="#_x0000_t75" style="width:77pt;height:50.1pt" o:ole="">
            <v:imagedata r:id="rId12" o:title=""/>
          </v:shape>
          <o:OLEObject Type="Embed" ProgID="Excel.Sheet.12" ShapeID="_x0000_i1026" DrawAspect="Icon" ObjectID="_1641644928" r:id="rId13"/>
        </w:object>
      </w:r>
    </w:p>
    <w:p w14:paraId="51DE5E39" w14:textId="77777777" w:rsidR="00BE6900" w:rsidRPr="0016089F" w:rsidRDefault="00BE6900" w:rsidP="00BE6900">
      <w:pPr>
        <w:widowControl/>
        <w:spacing w:after="160" w:line="259" w:lineRule="auto"/>
        <w:contextualSpacing/>
        <w:rPr>
          <w:rFonts w:ascii="Times New Roman" w:hAnsi="Times New Roman" w:cs="Times New Roman"/>
          <w:sz w:val="24"/>
          <w:szCs w:val="24"/>
        </w:rPr>
      </w:pPr>
    </w:p>
    <w:p w14:paraId="0F6313A4" w14:textId="758FFE82"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 xml:space="preserve">Please provide monthly historical kWhs that were compensated as Net Surplus Energy under the current NEM and NEM-ST tariffs aggregated by customer class for those customer classes </w:t>
      </w:r>
      <w:r w:rsidRPr="0016089F">
        <w:rPr>
          <w:rFonts w:ascii="Times New Roman" w:hAnsi="Times New Roman" w:cs="Times New Roman"/>
          <w:sz w:val="24"/>
          <w:szCs w:val="24"/>
        </w:rPr>
        <w:lastRenderedPageBreak/>
        <w:t>listed in Table KS-1. Please provide these kWhs for calendar years 2014-2019. Please provide the data in Microsoft Excel format.</w:t>
      </w:r>
    </w:p>
    <w:p w14:paraId="3023A901" w14:textId="631754DE" w:rsidR="00BE6900" w:rsidRPr="0016089F" w:rsidRDefault="00BE6900" w:rsidP="00BE6900">
      <w:pPr>
        <w:pStyle w:val="ListParagraph"/>
        <w:widowControl/>
        <w:spacing w:after="160" w:line="259" w:lineRule="auto"/>
        <w:ind w:left="720"/>
        <w:contextualSpacing/>
        <w:rPr>
          <w:rFonts w:ascii="Times New Roman" w:hAnsi="Times New Roman" w:cs="Times New Roman"/>
          <w:sz w:val="24"/>
          <w:szCs w:val="24"/>
        </w:rPr>
      </w:pPr>
    </w:p>
    <w:p w14:paraId="06C03A8B" w14:textId="38583469" w:rsidR="00BE6900" w:rsidRPr="0016089F" w:rsidRDefault="00BE6900" w:rsidP="00BE6900">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r w:rsidR="00D947DC">
        <w:rPr>
          <w:rFonts w:ascii="Times New Roman" w:hAnsi="Times New Roman" w:cs="Times New Roman"/>
          <w:sz w:val="24"/>
          <w:szCs w:val="24"/>
        </w:rPr>
        <w:t>Will respond by January 31.</w:t>
      </w:r>
    </w:p>
    <w:p w14:paraId="111FA9C2" w14:textId="77777777" w:rsidR="00BE6900" w:rsidRPr="0016089F" w:rsidRDefault="00BE6900" w:rsidP="00BE6900">
      <w:pPr>
        <w:pStyle w:val="ListParagraph"/>
        <w:widowControl/>
        <w:spacing w:after="160" w:line="259" w:lineRule="auto"/>
        <w:ind w:left="720"/>
        <w:contextualSpacing/>
        <w:rPr>
          <w:rFonts w:ascii="Times New Roman" w:hAnsi="Times New Roman" w:cs="Times New Roman"/>
          <w:sz w:val="24"/>
          <w:szCs w:val="24"/>
        </w:rPr>
      </w:pPr>
    </w:p>
    <w:p w14:paraId="66F53E9C"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Schiermeyer states that “Net sales represent sales with an adjustment to account for excess photovoltaic (“PV”) generation that occurs on a monthly basis.” (KES-2:7-8)</w:t>
      </w:r>
    </w:p>
    <w:p w14:paraId="696FE42D" w14:textId="77777777" w:rsidR="00683370" w:rsidRPr="0016089F" w:rsidRDefault="00683370" w:rsidP="005316D2">
      <w:pPr>
        <w:pStyle w:val="ListParagraph"/>
        <w:widowControl/>
        <w:numPr>
          <w:ilvl w:val="1"/>
          <w:numId w:val="2"/>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define the “sales” used as the starting point prior to the adjustment for excess photovoltaic generation.</w:t>
      </w:r>
    </w:p>
    <w:p w14:paraId="049175B5" w14:textId="77777777" w:rsidR="00683370" w:rsidRPr="0016089F" w:rsidRDefault="00683370" w:rsidP="005316D2">
      <w:pPr>
        <w:pStyle w:val="ListParagraph"/>
        <w:widowControl/>
        <w:numPr>
          <w:ilvl w:val="1"/>
          <w:numId w:val="2"/>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define the “excess photovoltaic generation that occurs on a monthly basis.” Does this refer to all photovoltaic generation exported to the grid from behind-the-meter generation installations or something else?</w:t>
      </w:r>
    </w:p>
    <w:p w14:paraId="5B5D4EAF" w14:textId="77777777" w:rsidR="00683370" w:rsidRPr="0016089F" w:rsidRDefault="00683370" w:rsidP="005316D2">
      <w:pPr>
        <w:pStyle w:val="ListParagraph"/>
        <w:widowControl/>
        <w:numPr>
          <w:ilvl w:val="1"/>
          <w:numId w:val="2"/>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How is an adjustment made only for photovoltaic generation and not other forms of behind-the-meter generation?</w:t>
      </w:r>
    </w:p>
    <w:p w14:paraId="25A076AD" w14:textId="532AD62B" w:rsidR="00683370" w:rsidRPr="0016089F" w:rsidRDefault="00683370" w:rsidP="005316D2">
      <w:pPr>
        <w:pStyle w:val="ListParagraph"/>
        <w:widowControl/>
        <w:numPr>
          <w:ilvl w:val="1"/>
          <w:numId w:val="2"/>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How are kWhs deemed Net Surplus Energy under the current NEM and NEM-ST tariffs treated in determining the Net Sales forecast?</w:t>
      </w:r>
    </w:p>
    <w:p w14:paraId="7EC47A80" w14:textId="77777777" w:rsidR="00F67A41" w:rsidRPr="0016089F" w:rsidRDefault="00F67A41" w:rsidP="00F67A41">
      <w:pPr>
        <w:pStyle w:val="ListParagraph"/>
        <w:widowControl/>
        <w:spacing w:after="160" w:line="259" w:lineRule="auto"/>
        <w:ind w:left="720"/>
        <w:contextualSpacing/>
        <w:rPr>
          <w:rFonts w:ascii="Times New Roman" w:hAnsi="Times New Roman" w:cs="Times New Roman"/>
          <w:b/>
          <w:sz w:val="24"/>
          <w:szCs w:val="24"/>
        </w:rPr>
      </w:pPr>
    </w:p>
    <w:p w14:paraId="25A9EF24" w14:textId="1F778164" w:rsidR="7C884834" w:rsidRPr="0016089F" w:rsidRDefault="7C884834" w:rsidP="7C884834">
      <w:pPr>
        <w:pStyle w:val="ListParagraph"/>
        <w:spacing w:after="160" w:line="259" w:lineRule="auto"/>
        <w:ind w:left="720"/>
        <w:rPr>
          <w:rFonts w:ascii="Times New Roman" w:hAnsi="Times New Roman" w:cs="Times New Roman"/>
          <w:b/>
          <w:bCs/>
          <w:sz w:val="24"/>
          <w:szCs w:val="24"/>
        </w:rPr>
      </w:pPr>
      <w:r w:rsidRPr="0016089F">
        <w:rPr>
          <w:rFonts w:ascii="Times New Roman" w:hAnsi="Times New Roman" w:cs="Times New Roman"/>
          <w:b/>
          <w:bCs/>
          <w:sz w:val="24"/>
          <w:szCs w:val="24"/>
        </w:rPr>
        <w:t xml:space="preserve">SDG&amp;E Response: </w:t>
      </w:r>
    </w:p>
    <w:p w14:paraId="21989FCC" w14:textId="266E7FDD" w:rsidR="7C884834" w:rsidRPr="0016089F" w:rsidRDefault="7C884834" w:rsidP="005316D2">
      <w:pPr>
        <w:pStyle w:val="ListParagraph"/>
        <w:numPr>
          <w:ilvl w:val="1"/>
          <w:numId w:val="26"/>
        </w:numPr>
        <w:spacing w:line="259" w:lineRule="auto"/>
        <w:rPr>
          <w:rFonts w:ascii="Times New Roman" w:eastAsiaTheme="minorEastAsia" w:hAnsi="Times New Roman" w:cs="Times New Roman"/>
          <w:sz w:val="24"/>
          <w:szCs w:val="24"/>
        </w:rPr>
      </w:pPr>
      <w:r w:rsidRPr="0016089F">
        <w:rPr>
          <w:rFonts w:ascii="Times New Roman" w:hAnsi="Times New Roman" w:cs="Times New Roman"/>
          <w:sz w:val="24"/>
          <w:szCs w:val="24"/>
        </w:rPr>
        <w:t>The “sales” used as the starting point are defined in the response to question 18 below.</w:t>
      </w:r>
    </w:p>
    <w:p w14:paraId="56C526D3" w14:textId="6A571D20" w:rsidR="7C884834" w:rsidRPr="0016089F" w:rsidRDefault="7C884834" w:rsidP="005316D2">
      <w:pPr>
        <w:pStyle w:val="ListParagraph"/>
        <w:numPr>
          <w:ilvl w:val="1"/>
          <w:numId w:val="26"/>
        </w:numPr>
        <w:spacing w:line="259" w:lineRule="auto"/>
        <w:rPr>
          <w:rFonts w:ascii="Times New Roman" w:eastAsiaTheme="minorEastAsia" w:hAnsi="Times New Roman" w:cs="Times New Roman"/>
          <w:sz w:val="24"/>
          <w:szCs w:val="24"/>
        </w:rPr>
      </w:pPr>
      <w:r w:rsidRPr="0016089F">
        <w:rPr>
          <w:rFonts w:ascii="Times New Roman" w:hAnsi="Times New Roman" w:cs="Times New Roman"/>
          <w:sz w:val="24"/>
          <w:szCs w:val="24"/>
        </w:rPr>
        <w:t>“Excess photovoltaic generation that occurs on a monthly basis” is defined as NEM customer photovoltaic generation that exceeds the amount of energy needed for consumption at the customer’s premise</w:t>
      </w:r>
      <w:r w:rsidR="00FC1802">
        <w:rPr>
          <w:rFonts w:ascii="Times New Roman" w:hAnsi="Times New Roman" w:cs="Times New Roman"/>
          <w:sz w:val="24"/>
          <w:szCs w:val="24"/>
        </w:rPr>
        <w:t>s</w:t>
      </w:r>
      <w:r w:rsidRPr="0016089F">
        <w:rPr>
          <w:rFonts w:ascii="Times New Roman" w:hAnsi="Times New Roman" w:cs="Times New Roman"/>
          <w:sz w:val="24"/>
          <w:szCs w:val="24"/>
        </w:rPr>
        <w:t xml:space="preserve"> on a monthly basis.</w:t>
      </w:r>
    </w:p>
    <w:p w14:paraId="46B2C25A" w14:textId="687CFA46" w:rsidR="7C884834" w:rsidRPr="0016089F" w:rsidRDefault="7C884834" w:rsidP="118819E2">
      <w:pPr>
        <w:pStyle w:val="ListParagraph"/>
        <w:numPr>
          <w:ilvl w:val="1"/>
          <w:numId w:val="26"/>
        </w:numPr>
        <w:spacing w:line="259" w:lineRule="auto"/>
        <w:rPr>
          <w:rFonts w:ascii="Times New Roman" w:eastAsiaTheme="minorEastAsia" w:hAnsi="Times New Roman" w:cs="Times New Roman"/>
          <w:sz w:val="24"/>
          <w:szCs w:val="24"/>
        </w:rPr>
      </w:pPr>
      <w:r w:rsidRPr="0016089F">
        <w:rPr>
          <w:rFonts w:ascii="Times New Roman" w:hAnsi="Times New Roman" w:cs="Times New Roman"/>
          <w:sz w:val="24"/>
          <w:szCs w:val="24"/>
        </w:rPr>
        <w:t xml:space="preserve">SDG&amp;E </w:t>
      </w:r>
      <w:r w:rsidR="1627BB20" w:rsidRPr="0016089F">
        <w:rPr>
          <w:rFonts w:ascii="Times New Roman" w:hAnsi="Times New Roman" w:cs="Times New Roman"/>
          <w:sz w:val="24"/>
          <w:szCs w:val="24"/>
        </w:rPr>
        <w:t xml:space="preserve">is basing the sales forecast on the </w:t>
      </w:r>
      <w:r w:rsidR="4713E6E3" w:rsidRPr="0016089F">
        <w:rPr>
          <w:rFonts w:ascii="Times New Roman" w:hAnsi="Times New Roman" w:cs="Times New Roman"/>
          <w:sz w:val="24"/>
          <w:szCs w:val="24"/>
        </w:rPr>
        <w:t>California Energy Commission’s (“CEC”) 2018 California Energy Demand Update forecast (“CEC 2018”)</w:t>
      </w:r>
      <w:r w:rsidRPr="0016089F">
        <w:rPr>
          <w:rFonts w:ascii="Times New Roman" w:hAnsi="Times New Roman" w:cs="Times New Roman"/>
          <w:sz w:val="24"/>
          <w:szCs w:val="24"/>
        </w:rPr>
        <w:t>.</w:t>
      </w:r>
      <w:r w:rsidR="57568F63" w:rsidRPr="0016089F">
        <w:rPr>
          <w:rFonts w:ascii="Times New Roman" w:hAnsi="Times New Roman" w:cs="Times New Roman"/>
          <w:sz w:val="24"/>
          <w:szCs w:val="24"/>
        </w:rPr>
        <w:t xml:space="preserve"> The CEC’s forecast has a forecast of </w:t>
      </w:r>
      <w:r w:rsidR="0997ED31" w:rsidRPr="0016089F">
        <w:rPr>
          <w:rFonts w:ascii="Times New Roman" w:hAnsi="Times New Roman" w:cs="Times New Roman"/>
          <w:sz w:val="24"/>
          <w:szCs w:val="24"/>
        </w:rPr>
        <w:t>“PV</w:t>
      </w:r>
      <w:r w:rsidR="57568F63" w:rsidRPr="0016089F">
        <w:rPr>
          <w:rFonts w:ascii="Times New Roman" w:hAnsi="Times New Roman" w:cs="Times New Roman"/>
          <w:sz w:val="24"/>
          <w:szCs w:val="24"/>
        </w:rPr>
        <w:t xml:space="preserve"> generation</w:t>
      </w:r>
      <w:r w:rsidR="55EE2F19" w:rsidRPr="0016089F">
        <w:rPr>
          <w:rFonts w:ascii="Times New Roman" w:hAnsi="Times New Roman" w:cs="Times New Roman"/>
          <w:sz w:val="24"/>
          <w:szCs w:val="24"/>
        </w:rPr>
        <w:t>”</w:t>
      </w:r>
      <w:r w:rsidR="57568F63" w:rsidRPr="0016089F">
        <w:rPr>
          <w:rFonts w:ascii="Times New Roman" w:hAnsi="Times New Roman" w:cs="Times New Roman"/>
          <w:sz w:val="24"/>
          <w:szCs w:val="24"/>
        </w:rPr>
        <w:t xml:space="preserve"> and </w:t>
      </w:r>
      <w:r w:rsidR="080D26D1" w:rsidRPr="0016089F">
        <w:rPr>
          <w:rFonts w:ascii="Times New Roman" w:hAnsi="Times New Roman" w:cs="Times New Roman"/>
          <w:sz w:val="24"/>
          <w:szCs w:val="24"/>
        </w:rPr>
        <w:t>“Other Self Generation</w:t>
      </w:r>
      <w:r w:rsidR="00FC1802">
        <w:rPr>
          <w:rFonts w:ascii="Times New Roman" w:hAnsi="Times New Roman" w:cs="Times New Roman"/>
          <w:sz w:val="24"/>
          <w:szCs w:val="24"/>
        </w:rPr>
        <w:t>.</w:t>
      </w:r>
      <w:r w:rsidR="080D26D1" w:rsidRPr="0016089F">
        <w:rPr>
          <w:rFonts w:ascii="Times New Roman" w:hAnsi="Times New Roman" w:cs="Times New Roman"/>
          <w:sz w:val="24"/>
          <w:szCs w:val="24"/>
        </w:rPr>
        <w:t xml:space="preserve">” SDG&amp;E is using this definition to split out the </w:t>
      </w:r>
      <w:r w:rsidR="53480B50" w:rsidRPr="0016089F">
        <w:rPr>
          <w:rFonts w:ascii="Times New Roman" w:hAnsi="Times New Roman" w:cs="Times New Roman"/>
          <w:sz w:val="24"/>
          <w:szCs w:val="24"/>
        </w:rPr>
        <w:t>PV generation and treat “Other Self Ge</w:t>
      </w:r>
      <w:r w:rsidR="4AEBE11C" w:rsidRPr="0016089F">
        <w:rPr>
          <w:rFonts w:ascii="Times New Roman" w:hAnsi="Times New Roman" w:cs="Times New Roman"/>
          <w:sz w:val="24"/>
          <w:szCs w:val="24"/>
        </w:rPr>
        <w:t>neration” as large customer generation</w:t>
      </w:r>
      <w:r w:rsidR="20DB0889" w:rsidRPr="0016089F">
        <w:rPr>
          <w:rFonts w:ascii="Times New Roman" w:hAnsi="Times New Roman" w:cs="Times New Roman"/>
          <w:sz w:val="24"/>
          <w:szCs w:val="24"/>
        </w:rPr>
        <w:t>.</w:t>
      </w:r>
      <w:r w:rsidR="57568F63" w:rsidRPr="0016089F">
        <w:rPr>
          <w:rFonts w:ascii="Times New Roman" w:hAnsi="Times New Roman" w:cs="Times New Roman"/>
          <w:sz w:val="24"/>
          <w:szCs w:val="24"/>
        </w:rPr>
        <w:t xml:space="preserve"> </w:t>
      </w:r>
      <w:r w:rsidR="33AED5D5" w:rsidRPr="0016089F">
        <w:rPr>
          <w:rFonts w:ascii="Times New Roman" w:hAnsi="Times New Roman" w:cs="Times New Roman"/>
          <w:sz w:val="24"/>
          <w:szCs w:val="24"/>
        </w:rPr>
        <w:t xml:space="preserve">SDG&amp;E is </w:t>
      </w:r>
      <w:proofErr w:type="gramStart"/>
      <w:r w:rsidR="33AED5D5" w:rsidRPr="0016089F">
        <w:rPr>
          <w:rFonts w:ascii="Times New Roman" w:hAnsi="Times New Roman" w:cs="Times New Roman"/>
          <w:sz w:val="24"/>
          <w:szCs w:val="24"/>
        </w:rPr>
        <w:t>making adjustments to</w:t>
      </w:r>
      <w:proofErr w:type="gramEnd"/>
      <w:r w:rsidR="33AED5D5" w:rsidRPr="0016089F">
        <w:rPr>
          <w:rFonts w:ascii="Times New Roman" w:hAnsi="Times New Roman" w:cs="Times New Roman"/>
          <w:sz w:val="24"/>
          <w:szCs w:val="24"/>
        </w:rPr>
        <w:t xml:space="preserve"> </w:t>
      </w:r>
      <w:r w:rsidR="3C447A06" w:rsidRPr="0016089F">
        <w:rPr>
          <w:rFonts w:ascii="Times New Roman" w:hAnsi="Times New Roman" w:cs="Times New Roman"/>
          <w:sz w:val="24"/>
          <w:szCs w:val="24"/>
        </w:rPr>
        <w:t>PV</w:t>
      </w:r>
      <w:r w:rsidR="33AED5D5" w:rsidRPr="0016089F">
        <w:rPr>
          <w:rFonts w:ascii="Times New Roman" w:hAnsi="Times New Roman" w:cs="Times New Roman"/>
          <w:sz w:val="24"/>
          <w:szCs w:val="24"/>
        </w:rPr>
        <w:t xml:space="preserve"> generation because it is specifically identified in the CEC’s forecast.</w:t>
      </w:r>
    </w:p>
    <w:p w14:paraId="34634AB3" w14:textId="1D9EF768" w:rsidR="7C884834" w:rsidRPr="0016089F" w:rsidRDefault="7C884834" w:rsidP="118819E2">
      <w:pPr>
        <w:pStyle w:val="ListParagraph"/>
        <w:numPr>
          <w:ilvl w:val="1"/>
          <w:numId w:val="26"/>
        </w:numPr>
        <w:spacing w:line="259" w:lineRule="auto"/>
        <w:rPr>
          <w:rFonts w:ascii="Times New Roman" w:eastAsiaTheme="minorEastAsia" w:hAnsi="Times New Roman" w:cs="Times New Roman"/>
          <w:sz w:val="24"/>
          <w:szCs w:val="24"/>
        </w:rPr>
      </w:pPr>
      <w:r w:rsidRPr="0016089F">
        <w:rPr>
          <w:rFonts w:ascii="Times New Roman" w:hAnsi="Times New Roman" w:cs="Times New Roman"/>
          <w:sz w:val="24"/>
          <w:szCs w:val="24"/>
        </w:rPr>
        <w:t>Please see the response to question 18 below.</w:t>
      </w:r>
    </w:p>
    <w:p w14:paraId="2D670CC2" w14:textId="77777777" w:rsidR="00F67A41" w:rsidRPr="0016089F" w:rsidRDefault="00F67A41" w:rsidP="00F67A41">
      <w:pPr>
        <w:widowControl/>
        <w:spacing w:after="160" w:line="259" w:lineRule="auto"/>
        <w:contextualSpacing/>
        <w:rPr>
          <w:rFonts w:ascii="Times New Roman" w:hAnsi="Times New Roman" w:cs="Times New Roman"/>
          <w:sz w:val="24"/>
          <w:szCs w:val="24"/>
        </w:rPr>
      </w:pPr>
    </w:p>
    <w:p w14:paraId="17F5A24B"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Schiermeyer states that “Delivered sales represent sales provided to the customer that would have otherwise been netted out by excess generation on an hourly basis.” (KES-2:8-9)</w:t>
      </w:r>
    </w:p>
    <w:p w14:paraId="455FC9BF" w14:textId="77777777" w:rsidR="00683370" w:rsidRPr="0016089F" w:rsidRDefault="00683370" w:rsidP="005316D2">
      <w:pPr>
        <w:pStyle w:val="ListParagraph"/>
        <w:widowControl/>
        <w:numPr>
          <w:ilvl w:val="0"/>
          <w:numId w:val="3"/>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define the term “excess generation” as used in this sentence and explain how it would be netted out on an hourly basis.</w:t>
      </w:r>
    </w:p>
    <w:p w14:paraId="06CB8E90" w14:textId="77777777" w:rsidR="00683370" w:rsidRPr="0016089F" w:rsidRDefault="00683370" w:rsidP="005316D2">
      <w:pPr>
        <w:pStyle w:val="ListParagraph"/>
        <w:widowControl/>
        <w:numPr>
          <w:ilvl w:val="0"/>
          <w:numId w:val="3"/>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define how Delivered Sales can be calculated based on actual customer metering data.</w:t>
      </w:r>
    </w:p>
    <w:p w14:paraId="1F4D0D17" w14:textId="77777777" w:rsidR="0048486D" w:rsidRPr="0016089F" w:rsidRDefault="00683370" w:rsidP="005316D2">
      <w:pPr>
        <w:pStyle w:val="ListParagraph"/>
        <w:widowControl/>
        <w:numPr>
          <w:ilvl w:val="0"/>
          <w:numId w:val="3"/>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Do delivered sales represent the kWhs delivered by the grid to customers? If not, what do they represent?</w:t>
      </w:r>
    </w:p>
    <w:p w14:paraId="429B5B1B" w14:textId="77777777" w:rsidR="0048486D" w:rsidRPr="0016089F" w:rsidRDefault="0048486D" w:rsidP="0048486D">
      <w:pPr>
        <w:pStyle w:val="ListParagraph"/>
        <w:widowControl/>
        <w:spacing w:after="160" w:line="259" w:lineRule="auto"/>
        <w:ind w:left="720"/>
        <w:contextualSpacing/>
        <w:rPr>
          <w:rFonts w:ascii="Times New Roman" w:hAnsi="Times New Roman" w:cs="Times New Roman"/>
          <w:sz w:val="24"/>
          <w:szCs w:val="24"/>
        </w:rPr>
      </w:pPr>
    </w:p>
    <w:p w14:paraId="28B0A77A" w14:textId="1E2C8E15" w:rsidR="7C884834" w:rsidRPr="0016089F" w:rsidRDefault="7C884834" w:rsidP="7C884834">
      <w:pPr>
        <w:pStyle w:val="ListParagraph"/>
        <w:spacing w:after="160" w:line="259" w:lineRule="auto"/>
        <w:ind w:left="720"/>
        <w:rPr>
          <w:rFonts w:ascii="Times New Roman" w:hAnsi="Times New Roman" w:cs="Times New Roman"/>
          <w:sz w:val="24"/>
          <w:szCs w:val="24"/>
        </w:rPr>
      </w:pPr>
      <w:r w:rsidRPr="0016089F">
        <w:rPr>
          <w:rFonts w:ascii="Times New Roman" w:hAnsi="Times New Roman" w:cs="Times New Roman"/>
          <w:b/>
          <w:bCs/>
          <w:sz w:val="24"/>
          <w:szCs w:val="24"/>
        </w:rPr>
        <w:t xml:space="preserve">SDG&amp;E Response: </w:t>
      </w:r>
    </w:p>
    <w:p w14:paraId="373F43DD" w14:textId="015896F5" w:rsidR="7C884834" w:rsidRPr="0016089F" w:rsidRDefault="7C884834" w:rsidP="005316D2">
      <w:pPr>
        <w:pStyle w:val="ListParagraph"/>
        <w:numPr>
          <w:ilvl w:val="1"/>
          <w:numId w:val="25"/>
        </w:numPr>
        <w:spacing w:after="160" w:line="259" w:lineRule="auto"/>
        <w:rPr>
          <w:rFonts w:ascii="Times New Roman" w:eastAsiaTheme="minorEastAsia" w:hAnsi="Times New Roman" w:cs="Times New Roman"/>
          <w:sz w:val="24"/>
          <w:szCs w:val="24"/>
        </w:rPr>
      </w:pPr>
      <w:r w:rsidRPr="0016089F">
        <w:rPr>
          <w:rFonts w:ascii="Times New Roman" w:eastAsia="Times New Roman" w:hAnsi="Times New Roman" w:cs="Times New Roman"/>
          <w:sz w:val="24"/>
          <w:szCs w:val="24"/>
        </w:rPr>
        <w:lastRenderedPageBreak/>
        <w:t>Excess generation is defined as NEM customer photovoltaic generation that exceeds the amount of energy needed for consumption at the customer’s premise</w:t>
      </w:r>
      <w:r w:rsidR="00FC1802">
        <w:rPr>
          <w:rFonts w:ascii="Times New Roman" w:eastAsia="Times New Roman" w:hAnsi="Times New Roman" w:cs="Times New Roman"/>
          <w:sz w:val="24"/>
          <w:szCs w:val="24"/>
        </w:rPr>
        <w:t>s</w:t>
      </w:r>
      <w:r w:rsidRPr="0016089F">
        <w:rPr>
          <w:rFonts w:ascii="Times New Roman" w:eastAsia="Times New Roman" w:hAnsi="Times New Roman" w:cs="Times New Roman"/>
          <w:sz w:val="24"/>
          <w:szCs w:val="24"/>
        </w:rPr>
        <w:t xml:space="preserve"> on an hourly basis.</w:t>
      </w:r>
    </w:p>
    <w:p w14:paraId="26D47DAA" w14:textId="5C8A4630" w:rsidR="7C884834" w:rsidRPr="0016089F" w:rsidRDefault="7C884834" w:rsidP="005316D2">
      <w:pPr>
        <w:pStyle w:val="ListParagraph"/>
        <w:numPr>
          <w:ilvl w:val="1"/>
          <w:numId w:val="25"/>
        </w:numPr>
        <w:spacing w:after="160" w:line="259" w:lineRule="auto"/>
        <w:rPr>
          <w:rFonts w:ascii="Times New Roman" w:hAnsi="Times New Roman" w:cs="Times New Roman"/>
          <w:sz w:val="24"/>
          <w:szCs w:val="24"/>
        </w:rPr>
      </w:pPr>
      <w:r w:rsidRPr="0016089F">
        <w:rPr>
          <w:rFonts w:ascii="Times New Roman" w:eastAsia="Times New Roman" w:hAnsi="Times New Roman" w:cs="Times New Roman"/>
          <w:sz w:val="24"/>
          <w:szCs w:val="24"/>
        </w:rPr>
        <w:t>Delivered sales can be calculated by quantifying the electric energy that is delivered by the grid to a customer.</w:t>
      </w:r>
    </w:p>
    <w:p w14:paraId="55BEF902" w14:textId="77B0BE5B" w:rsidR="7C884834" w:rsidRPr="0016089F" w:rsidRDefault="7C884834" w:rsidP="005316D2">
      <w:pPr>
        <w:pStyle w:val="ListParagraph"/>
        <w:numPr>
          <w:ilvl w:val="1"/>
          <w:numId w:val="25"/>
        </w:numPr>
        <w:spacing w:after="160" w:line="259" w:lineRule="auto"/>
        <w:rPr>
          <w:rFonts w:ascii="Times New Roman" w:hAnsi="Times New Roman" w:cs="Times New Roman"/>
          <w:sz w:val="24"/>
          <w:szCs w:val="24"/>
        </w:rPr>
      </w:pPr>
      <w:r w:rsidRPr="0016089F">
        <w:rPr>
          <w:rFonts w:ascii="Times New Roman" w:eastAsia="Times New Roman" w:hAnsi="Times New Roman" w:cs="Times New Roman"/>
          <w:sz w:val="24"/>
          <w:szCs w:val="24"/>
        </w:rPr>
        <w:t>Yes.</w:t>
      </w:r>
    </w:p>
    <w:p w14:paraId="0DCC7B47" w14:textId="77777777" w:rsidR="0048486D" w:rsidRPr="0016089F" w:rsidRDefault="0048486D" w:rsidP="0048486D">
      <w:pPr>
        <w:widowControl/>
        <w:spacing w:after="160" w:line="259" w:lineRule="auto"/>
        <w:contextualSpacing/>
        <w:rPr>
          <w:rFonts w:ascii="Times New Roman" w:hAnsi="Times New Roman" w:cs="Times New Roman"/>
          <w:sz w:val="24"/>
          <w:szCs w:val="24"/>
        </w:rPr>
      </w:pPr>
    </w:p>
    <w:p w14:paraId="1F07A694" w14:textId="5D02E91B"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define the term “Reported Sales” as used in Attachment B to witness Schiermeyer’s testimony and how this relates to “Delivered” and “Net” sales as defined in the testimony.</w:t>
      </w:r>
    </w:p>
    <w:p w14:paraId="720DD012" w14:textId="77777777" w:rsidR="0048486D" w:rsidRPr="0016089F" w:rsidRDefault="0048486D" w:rsidP="0048486D">
      <w:pPr>
        <w:pStyle w:val="ListParagraph"/>
        <w:widowControl/>
        <w:spacing w:after="160" w:line="259" w:lineRule="auto"/>
        <w:ind w:left="720"/>
        <w:contextualSpacing/>
        <w:rPr>
          <w:rFonts w:ascii="Times New Roman" w:hAnsi="Times New Roman" w:cs="Times New Roman"/>
          <w:b/>
          <w:sz w:val="24"/>
          <w:szCs w:val="24"/>
        </w:rPr>
      </w:pPr>
    </w:p>
    <w:p w14:paraId="62929065" w14:textId="0270704B" w:rsidR="7C884834" w:rsidRPr="0016089F" w:rsidRDefault="7C884834" w:rsidP="7C884834">
      <w:pPr>
        <w:pStyle w:val="ListParagraph"/>
        <w:spacing w:after="160" w:line="259" w:lineRule="auto"/>
        <w:ind w:left="720"/>
        <w:rPr>
          <w:rFonts w:ascii="Times New Roman" w:hAnsi="Times New Roman" w:cs="Times New Roman"/>
          <w:b/>
          <w:bCs/>
          <w:sz w:val="24"/>
          <w:szCs w:val="24"/>
        </w:rPr>
      </w:pPr>
      <w:r w:rsidRPr="0016089F">
        <w:rPr>
          <w:rFonts w:ascii="Times New Roman" w:hAnsi="Times New Roman" w:cs="Times New Roman"/>
          <w:b/>
          <w:bCs/>
          <w:sz w:val="24"/>
          <w:szCs w:val="24"/>
        </w:rPr>
        <w:t xml:space="preserve">SDG&amp;E Response: </w:t>
      </w:r>
    </w:p>
    <w:p w14:paraId="4381A031" w14:textId="31D1B1AB" w:rsidR="7C884834" w:rsidRPr="0016089F" w:rsidRDefault="7C884834" w:rsidP="118819E2">
      <w:pPr>
        <w:pStyle w:val="ListParagraph"/>
        <w:spacing w:after="160" w:line="259" w:lineRule="auto"/>
        <w:ind w:left="720"/>
        <w:rPr>
          <w:rFonts w:ascii="Times New Roman" w:eastAsia="Times New Roman" w:hAnsi="Times New Roman" w:cs="Times New Roman"/>
          <w:sz w:val="24"/>
          <w:szCs w:val="24"/>
        </w:rPr>
      </w:pPr>
      <w:r w:rsidRPr="0016089F">
        <w:rPr>
          <w:rFonts w:ascii="Times New Roman" w:eastAsia="Times New Roman" w:hAnsi="Times New Roman" w:cs="Times New Roman"/>
          <w:sz w:val="24"/>
          <w:szCs w:val="24"/>
        </w:rPr>
        <w:t xml:space="preserve">“Reported sales” are defined as net energy that is sold to the customer, without including over-generation on a monthly basis. </w:t>
      </w:r>
      <w:r w:rsidR="314D44CD" w:rsidRPr="0016089F">
        <w:rPr>
          <w:rFonts w:ascii="Times New Roman" w:eastAsia="Times New Roman" w:hAnsi="Times New Roman" w:cs="Times New Roman"/>
          <w:sz w:val="24"/>
          <w:szCs w:val="24"/>
        </w:rPr>
        <w:t>The relationship of Net and Delivered sales to reported sales can be found on page KES-2 (line</w:t>
      </w:r>
      <w:r w:rsidR="2EFCFF77" w:rsidRPr="0016089F">
        <w:rPr>
          <w:rFonts w:ascii="Times New Roman" w:eastAsia="Times New Roman" w:hAnsi="Times New Roman" w:cs="Times New Roman"/>
          <w:sz w:val="24"/>
          <w:szCs w:val="24"/>
        </w:rPr>
        <w:t>s 7-9) of the Direct Testimony of Kenneth E. Schiermeyer.</w:t>
      </w:r>
    </w:p>
    <w:p w14:paraId="038E4EF1" w14:textId="16F42406"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Are the actual sales provided in Attachment A to witness Schiermeyer’s testimony Reported, Net, or Delivered sales? If neither of those types, please define them.</w:t>
      </w:r>
    </w:p>
    <w:p w14:paraId="36082F9C" w14:textId="77777777" w:rsidR="0048486D" w:rsidRPr="0016089F" w:rsidRDefault="0048486D" w:rsidP="0048486D">
      <w:pPr>
        <w:pStyle w:val="ListParagraph"/>
        <w:widowControl/>
        <w:spacing w:after="160" w:line="259" w:lineRule="auto"/>
        <w:ind w:left="720"/>
        <w:contextualSpacing/>
        <w:rPr>
          <w:rFonts w:ascii="Times New Roman" w:hAnsi="Times New Roman" w:cs="Times New Roman"/>
          <w:b/>
          <w:sz w:val="24"/>
          <w:szCs w:val="24"/>
        </w:rPr>
      </w:pPr>
    </w:p>
    <w:p w14:paraId="2A9DA696" w14:textId="2093E554" w:rsidR="7C884834" w:rsidRPr="0016089F" w:rsidRDefault="7C884834" w:rsidP="7C884834">
      <w:pPr>
        <w:pStyle w:val="ListParagraph"/>
        <w:spacing w:after="160" w:line="259" w:lineRule="auto"/>
        <w:ind w:left="720"/>
        <w:rPr>
          <w:rFonts w:ascii="Times New Roman" w:hAnsi="Times New Roman" w:cs="Times New Roman"/>
          <w:b/>
          <w:bCs/>
          <w:sz w:val="24"/>
          <w:szCs w:val="24"/>
        </w:rPr>
      </w:pPr>
      <w:r w:rsidRPr="0016089F">
        <w:rPr>
          <w:rFonts w:ascii="Times New Roman" w:hAnsi="Times New Roman" w:cs="Times New Roman"/>
          <w:b/>
          <w:bCs/>
          <w:sz w:val="24"/>
          <w:szCs w:val="24"/>
        </w:rPr>
        <w:t xml:space="preserve">SDG&amp;E Response: </w:t>
      </w:r>
    </w:p>
    <w:p w14:paraId="2BF0E3CE" w14:textId="11A24550" w:rsidR="7C884834" w:rsidRPr="0016089F" w:rsidRDefault="7C884834" w:rsidP="7C884834">
      <w:pPr>
        <w:pStyle w:val="ListParagraph"/>
        <w:spacing w:after="160" w:line="259" w:lineRule="auto"/>
        <w:ind w:left="720"/>
        <w:rPr>
          <w:rFonts w:ascii="Times New Roman" w:hAnsi="Times New Roman" w:cs="Times New Roman"/>
          <w:b/>
          <w:bCs/>
          <w:sz w:val="24"/>
          <w:szCs w:val="24"/>
        </w:rPr>
      </w:pPr>
      <w:r w:rsidRPr="0016089F">
        <w:rPr>
          <w:rFonts w:ascii="Times New Roman" w:eastAsia="Times New Roman" w:hAnsi="Times New Roman" w:cs="Times New Roman"/>
          <w:sz w:val="24"/>
          <w:szCs w:val="24"/>
        </w:rPr>
        <w:t>All actual sales provided in Attachment A are on a reported basis.</w:t>
      </w:r>
    </w:p>
    <w:p w14:paraId="2F16B9CC" w14:textId="77777777" w:rsidR="0048486D" w:rsidRPr="0016089F" w:rsidRDefault="0048486D" w:rsidP="0048486D">
      <w:pPr>
        <w:widowControl/>
        <w:spacing w:after="160" w:line="259" w:lineRule="auto"/>
        <w:contextualSpacing/>
        <w:rPr>
          <w:rFonts w:ascii="Times New Roman" w:hAnsi="Times New Roman" w:cs="Times New Roman"/>
          <w:sz w:val="24"/>
          <w:szCs w:val="24"/>
        </w:rPr>
      </w:pPr>
    </w:p>
    <w:p w14:paraId="0577187F" w14:textId="731743EB"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Schiermeyer states that the “electric sales forecast presented in Table KS-1 is based on the California Energy Commission’s (“CEC”) 2018 California Energy Demand Update forecast (“CEC 2018”), which the CEC adopted on January 9, 2019…” (KES-3:4-6) Does SDG&amp;E intend to update its sales forecast in January 2020 after the CEC adopts the 2019 California Energy Demand forecast? If so, how will that impact SDG&amp;E’s application in this proceeding?</w:t>
      </w:r>
    </w:p>
    <w:p w14:paraId="57C680A0" w14:textId="77777777" w:rsidR="0048486D" w:rsidRPr="0016089F" w:rsidRDefault="0048486D" w:rsidP="0048486D">
      <w:pPr>
        <w:pStyle w:val="ListParagraph"/>
        <w:widowControl/>
        <w:spacing w:after="160" w:line="259" w:lineRule="auto"/>
        <w:ind w:left="720"/>
        <w:contextualSpacing/>
        <w:rPr>
          <w:rFonts w:ascii="Times New Roman" w:hAnsi="Times New Roman" w:cs="Times New Roman"/>
          <w:b/>
          <w:sz w:val="24"/>
          <w:szCs w:val="24"/>
        </w:rPr>
      </w:pPr>
    </w:p>
    <w:p w14:paraId="708B1088" w14:textId="74985788" w:rsidR="7C884834" w:rsidRPr="0016089F" w:rsidRDefault="7C884834" w:rsidP="7C884834">
      <w:pPr>
        <w:pStyle w:val="ListParagraph"/>
        <w:spacing w:after="160" w:line="259" w:lineRule="auto"/>
        <w:ind w:left="720"/>
        <w:rPr>
          <w:rFonts w:ascii="Times New Roman" w:hAnsi="Times New Roman" w:cs="Times New Roman"/>
          <w:b/>
          <w:bCs/>
          <w:sz w:val="24"/>
          <w:szCs w:val="24"/>
        </w:rPr>
      </w:pPr>
      <w:r w:rsidRPr="0016089F">
        <w:rPr>
          <w:rFonts w:ascii="Times New Roman" w:hAnsi="Times New Roman" w:cs="Times New Roman"/>
          <w:b/>
          <w:bCs/>
          <w:sz w:val="24"/>
          <w:szCs w:val="24"/>
        </w:rPr>
        <w:t xml:space="preserve">SDG&amp;E Response: </w:t>
      </w:r>
    </w:p>
    <w:p w14:paraId="7618177C" w14:textId="4A08B120" w:rsidR="7C884834" w:rsidRPr="0016089F" w:rsidRDefault="7C884834" w:rsidP="7C884834">
      <w:pPr>
        <w:pStyle w:val="ListParagraph"/>
        <w:spacing w:after="160" w:line="259" w:lineRule="auto"/>
        <w:ind w:left="720"/>
        <w:rPr>
          <w:rFonts w:ascii="Times New Roman" w:hAnsi="Times New Roman" w:cs="Times New Roman"/>
          <w:b/>
          <w:bCs/>
          <w:sz w:val="24"/>
          <w:szCs w:val="24"/>
        </w:rPr>
      </w:pPr>
      <w:r w:rsidRPr="0016089F">
        <w:rPr>
          <w:rFonts w:ascii="Times New Roman" w:eastAsia="Times New Roman" w:hAnsi="Times New Roman" w:cs="Times New Roman"/>
          <w:sz w:val="24"/>
          <w:szCs w:val="24"/>
        </w:rPr>
        <w:t>SDG&amp;E does not intend to update its sales forecast in January 2020 after the CEC adopts the 2019 California Energy Demand forecast.</w:t>
      </w:r>
    </w:p>
    <w:p w14:paraId="5E957CD0" w14:textId="77777777" w:rsidR="0048486D" w:rsidRPr="0016089F" w:rsidRDefault="0048486D" w:rsidP="0048486D">
      <w:pPr>
        <w:widowControl/>
        <w:spacing w:after="160" w:line="259" w:lineRule="auto"/>
        <w:contextualSpacing/>
        <w:rPr>
          <w:rFonts w:ascii="Times New Roman" w:hAnsi="Times New Roman" w:cs="Times New Roman"/>
          <w:sz w:val="24"/>
          <w:szCs w:val="24"/>
        </w:rPr>
      </w:pPr>
    </w:p>
    <w:p w14:paraId="44F3624E" w14:textId="3A779533"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Schiermeyer states that the “the CEC assumes that sales increase from 2021 to 2022.” (KES-4:7) Why did the CEC assume sales increase from 2021 to 2022?</w:t>
      </w:r>
    </w:p>
    <w:p w14:paraId="2674CF03" w14:textId="77777777" w:rsidR="00FE0EDF" w:rsidRPr="0016089F" w:rsidRDefault="00FE0EDF" w:rsidP="00FE0EDF">
      <w:pPr>
        <w:pStyle w:val="ListParagraph"/>
        <w:widowControl/>
        <w:spacing w:after="160" w:line="259" w:lineRule="auto"/>
        <w:ind w:left="720"/>
        <w:contextualSpacing/>
        <w:rPr>
          <w:rFonts w:ascii="Times New Roman" w:hAnsi="Times New Roman" w:cs="Times New Roman"/>
          <w:b/>
          <w:sz w:val="24"/>
          <w:szCs w:val="24"/>
        </w:rPr>
      </w:pPr>
    </w:p>
    <w:p w14:paraId="56E2013B" w14:textId="2C50FEC3" w:rsidR="7C884834" w:rsidRPr="0016089F" w:rsidRDefault="7C884834" w:rsidP="7C884834">
      <w:pPr>
        <w:pStyle w:val="ListParagraph"/>
        <w:spacing w:after="160" w:line="259" w:lineRule="auto"/>
        <w:ind w:left="720"/>
        <w:rPr>
          <w:rFonts w:ascii="Times New Roman" w:hAnsi="Times New Roman" w:cs="Times New Roman"/>
          <w:b/>
          <w:bCs/>
          <w:sz w:val="24"/>
          <w:szCs w:val="24"/>
        </w:rPr>
      </w:pPr>
      <w:r w:rsidRPr="0016089F">
        <w:rPr>
          <w:rFonts w:ascii="Times New Roman" w:hAnsi="Times New Roman" w:cs="Times New Roman"/>
          <w:b/>
          <w:bCs/>
          <w:sz w:val="24"/>
          <w:szCs w:val="24"/>
        </w:rPr>
        <w:t xml:space="preserve">SDG&amp;E Response: </w:t>
      </w:r>
    </w:p>
    <w:p w14:paraId="5C2F43AC" w14:textId="5CEE98E1" w:rsidR="7C884834" w:rsidRPr="0016089F" w:rsidRDefault="7C884834" w:rsidP="7C884834">
      <w:pPr>
        <w:pStyle w:val="ListParagraph"/>
        <w:spacing w:after="160" w:line="259" w:lineRule="auto"/>
        <w:ind w:left="720"/>
        <w:rPr>
          <w:rFonts w:ascii="Times New Roman" w:hAnsi="Times New Roman" w:cs="Times New Roman"/>
          <w:b/>
          <w:bCs/>
          <w:sz w:val="24"/>
          <w:szCs w:val="24"/>
        </w:rPr>
      </w:pPr>
      <w:r w:rsidRPr="0016089F">
        <w:rPr>
          <w:rFonts w:ascii="Times New Roman" w:eastAsia="Times New Roman" w:hAnsi="Times New Roman" w:cs="Times New Roman"/>
          <w:sz w:val="24"/>
          <w:szCs w:val="24"/>
        </w:rPr>
        <w:lastRenderedPageBreak/>
        <w:t xml:space="preserve">Assumptions regarding the CEC sales forecast can be found on the CEC’s website at </w:t>
      </w:r>
      <w:hyperlink r:id="rId14">
        <w:r w:rsidRPr="0016089F">
          <w:rPr>
            <w:rStyle w:val="Hyperlink"/>
            <w:rFonts w:ascii="Times New Roman" w:eastAsia="Times New Roman" w:hAnsi="Times New Roman" w:cs="Times New Roman"/>
            <w:color w:val="0000FF"/>
            <w:sz w:val="24"/>
            <w:szCs w:val="24"/>
          </w:rPr>
          <w:t>https://ww2.energy.ca.gov/2018_energypolicy/documents/cedu_2018-2030/2018_mid_demand.php</w:t>
        </w:r>
      </w:hyperlink>
    </w:p>
    <w:p w14:paraId="0D9214E4" w14:textId="38C972B2" w:rsidR="7C884834" w:rsidRPr="0016089F" w:rsidRDefault="7C884834" w:rsidP="7C884834">
      <w:pPr>
        <w:spacing w:after="160" w:line="259" w:lineRule="auto"/>
        <w:rPr>
          <w:rFonts w:ascii="Times New Roman" w:hAnsi="Times New Roman" w:cs="Times New Roman"/>
          <w:sz w:val="24"/>
          <w:szCs w:val="24"/>
        </w:rPr>
      </w:pPr>
    </w:p>
    <w:p w14:paraId="480F1D95"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describe the following adjustments to the CEC 2018 sales forecast listed in Table KS-5 on page KES-5, including what the adjustments represent and how they were calculated.</w:t>
      </w:r>
    </w:p>
    <w:p w14:paraId="06EEAF67" w14:textId="77777777" w:rsidR="00683370" w:rsidRPr="0016089F" w:rsidRDefault="00683370" w:rsidP="005316D2">
      <w:pPr>
        <w:pStyle w:val="ListParagraph"/>
        <w:widowControl/>
        <w:numPr>
          <w:ilvl w:val="0"/>
          <w:numId w:val="4"/>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Additional adjustment to Private Supply for Net Sales</w:t>
      </w:r>
    </w:p>
    <w:p w14:paraId="679CC118" w14:textId="77777777" w:rsidR="00FE0EDF" w:rsidRPr="0016089F" w:rsidRDefault="00683370" w:rsidP="005316D2">
      <w:pPr>
        <w:pStyle w:val="ListParagraph"/>
        <w:widowControl/>
        <w:numPr>
          <w:ilvl w:val="0"/>
          <w:numId w:val="4"/>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Additional adjustment to Private Supply for Delivered Sales</w:t>
      </w:r>
    </w:p>
    <w:p w14:paraId="4CA6AB67" w14:textId="77777777" w:rsidR="00FE0EDF" w:rsidRPr="0016089F" w:rsidRDefault="00FE0EDF" w:rsidP="00FE0EDF">
      <w:pPr>
        <w:pStyle w:val="ListParagraph"/>
        <w:widowControl/>
        <w:spacing w:after="160" w:line="259" w:lineRule="auto"/>
        <w:ind w:left="720"/>
        <w:contextualSpacing/>
        <w:rPr>
          <w:rFonts w:ascii="Times New Roman" w:hAnsi="Times New Roman" w:cs="Times New Roman"/>
          <w:sz w:val="24"/>
          <w:szCs w:val="24"/>
        </w:rPr>
      </w:pPr>
    </w:p>
    <w:p w14:paraId="3D782325" w14:textId="3A41424C" w:rsidR="7C884834" w:rsidRPr="0016089F" w:rsidRDefault="7C884834" w:rsidP="7C884834">
      <w:pPr>
        <w:pStyle w:val="ListParagraph"/>
        <w:spacing w:after="160" w:line="259" w:lineRule="auto"/>
        <w:ind w:left="720"/>
        <w:rPr>
          <w:rFonts w:ascii="Times New Roman" w:hAnsi="Times New Roman" w:cs="Times New Roman"/>
          <w:sz w:val="24"/>
          <w:szCs w:val="24"/>
        </w:rPr>
      </w:pPr>
      <w:r w:rsidRPr="0016089F">
        <w:rPr>
          <w:rFonts w:ascii="Times New Roman" w:hAnsi="Times New Roman" w:cs="Times New Roman"/>
          <w:b/>
          <w:bCs/>
          <w:sz w:val="24"/>
          <w:szCs w:val="24"/>
        </w:rPr>
        <w:t xml:space="preserve">SDG&amp;E Response: </w:t>
      </w:r>
    </w:p>
    <w:p w14:paraId="55D1FC36" w14:textId="0958C570" w:rsidR="7C884834" w:rsidRPr="0016089F" w:rsidRDefault="7C884834" w:rsidP="005316D2">
      <w:pPr>
        <w:pStyle w:val="ListParagraph"/>
        <w:numPr>
          <w:ilvl w:val="1"/>
          <w:numId w:val="24"/>
        </w:numPr>
        <w:spacing w:after="160" w:line="259" w:lineRule="auto"/>
        <w:rPr>
          <w:rFonts w:ascii="Times New Roman" w:eastAsiaTheme="minorEastAsia" w:hAnsi="Times New Roman" w:cs="Times New Roman"/>
          <w:sz w:val="24"/>
          <w:szCs w:val="24"/>
        </w:rPr>
      </w:pPr>
      <w:r w:rsidRPr="0016089F">
        <w:rPr>
          <w:rFonts w:ascii="Times New Roman" w:eastAsia="Times New Roman" w:hAnsi="Times New Roman" w:cs="Times New Roman"/>
          <w:sz w:val="24"/>
          <w:szCs w:val="24"/>
        </w:rPr>
        <w:t>Additional adjustments to Private Supply for Net Sales represent the adjustment to reported sales to account for NEM customer photovoltaic over-generation on a monthly basis. The adjustment was calculated as a factor of historical photovoltaic generation and historical generation exports on a monthly basis and then applied to forecasted photovoltaic generation.</w:t>
      </w:r>
    </w:p>
    <w:p w14:paraId="5328182C" w14:textId="2D9B03B9" w:rsidR="7C884834" w:rsidRPr="0016089F" w:rsidRDefault="7C884834" w:rsidP="005316D2">
      <w:pPr>
        <w:pStyle w:val="ListParagraph"/>
        <w:numPr>
          <w:ilvl w:val="1"/>
          <w:numId w:val="24"/>
        </w:numPr>
        <w:spacing w:after="160" w:line="259" w:lineRule="auto"/>
        <w:rPr>
          <w:rFonts w:ascii="Times New Roman" w:hAnsi="Times New Roman" w:cs="Times New Roman"/>
          <w:sz w:val="24"/>
          <w:szCs w:val="24"/>
        </w:rPr>
      </w:pPr>
      <w:r w:rsidRPr="0016089F">
        <w:rPr>
          <w:rFonts w:ascii="Times New Roman" w:eastAsia="Times New Roman" w:hAnsi="Times New Roman" w:cs="Times New Roman"/>
          <w:sz w:val="24"/>
          <w:szCs w:val="24"/>
        </w:rPr>
        <w:t>Additional adjustments to private supply for delivered sales represent the adjustment to net sales to account for NEM customer photovoltaic over-generation on an hourly basis. The adjustment was calculated as a factor of historical photovoltaic generation and historical generation exports on an hourly basis and then applied to forecasted photovoltaic generation.</w:t>
      </w:r>
    </w:p>
    <w:p w14:paraId="51D08357" w14:textId="2E8645B9" w:rsidR="7C884834" w:rsidRPr="0016089F" w:rsidRDefault="7C884834" w:rsidP="7C884834">
      <w:pPr>
        <w:spacing w:after="160" w:line="259" w:lineRule="auto"/>
        <w:rPr>
          <w:rFonts w:ascii="Times New Roman" w:hAnsi="Times New Roman" w:cs="Times New Roman"/>
          <w:sz w:val="24"/>
          <w:szCs w:val="24"/>
        </w:rPr>
      </w:pPr>
    </w:p>
    <w:p w14:paraId="5D9786A2"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Schiermeyer states that “SDG&amp;E is proposing to implement the 2021 sales forecast as part of this Application.” (KES-6:1)</w:t>
      </w:r>
    </w:p>
    <w:p w14:paraId="1914E9F8" w14:textId="77777777" w:rsidR="00683370" w:rsidRPr="0016089F" w:rsidRDefault="00683370" w:rsidP="005316D2">
      <w:pPr>
        <w:pStyle w:val="ListParagraph"/>
        <w:widowControl/>
        <w:numPr>
          <w:ilvl w:val="0"/>
          <w:numId w:val="6"/>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define the term “implement” as used in this sentence.</w:t>
      </w:r>
    </w:p>
    <w:p w14:paraId="52607EE6" w14:textId="310A5C1F" w:rsidR="00683370" w:rsidRPr="0016089F" w:rsidRDefault="00683370" w:rsidP="005316D2">
      <w:pPr>
        <w:pStyle w:val="ListParagraph"/>
        <w:widowControl/>
        <w:numPr>
          <w:ilvl w:val="0"/>
          <w:numId w:val="6"/>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Does SDG&amp;E anticipate it will “implement” the 2022 sales forecast presented in this testimony in a future proceeding or in a future advice letter filing? If so, when and how?</w:t>
      </w:r>
    </w:p>
    <w:p w14:paraId="2F31C3BD" w14:textId="160DD847" w:rsidR="7C884834" w:rsidRPr="0016089F" w:rsidRDefault="7C884834" w:rsidP="7C884834">
      <w:pPr>
        <w:pStyle w:val="ListParagraph"/>
        <w:spacing w:after="160" w:line="259" w:lineRule="auto"/>
        <w:ind w:left="720"/>
        <w:rPr>
          <w:rFonts w:ascii="Times New Roman" w:hAnsi="Times New Roman" w:cs="Times New Roman"/>
          <w:b/>
          <w:bCs/>
          <w:sz w:val="24"/>
          <w:szCs w:val="24"/>
        </w:rPr>
      </w:pPr>
      <w:r w:rsidRPr="0016089F">
        <w:rPr>
          <w:rFonts w:ascii="Times New Roman" w:hAnsi="Times New Roman" w:cs="Times New Roman"/>
          <w:b/>
          <w:bCs/>
          <w:sz w:val="24"/>
          <w:szCs w:val="24"/>
        </w:rPr>
        <w:t xml:space="preserve">SDG&amp;E Response: </w:t>
      </w:r>
    </w:p>
    <w:p w14:paraId="3195D471" w14:textId="1C3C8CC9" w:rsidR="7C884834" w:rsidRPr="0016089F" w:rsidRDefault="7C884834" w:rsidP="005316D2">
      <w:pPr>
        <w:pStyle w:val="ListParagraph"/>
        <w:numPr>
          <w:ilvl w:val="1"/>
          <w:numId w:val="23"/>
        </w:numPr>
        <w:spacing w:after="160" w:line="259" w:lineRule="auto"/>
        <w:rPr>
          <w:rFonts w:ascii="Times New Roman" w:eastAsiaTheme="minorEastAsia" w:hAnsi="Times New Roman" w:cs="Times New Roman"/>
          <w:sz w:val="24"/>
          <w:szCs w:val="24"/>
        </w:rPr>
      </w:pPr>
      <w:r w:rsidRPr="0016089F">
        <w:rPr>
          <w:rFonts w:ascii="Times New Roman" w:eastAsia="Times New Roman" w:hAnsi="Times New Roman" w:cs="Times New Roman"/>
          <w:sz w:val="24"/>
          <w:szCs w:val="24"/>
        </w:rPr>
        <w:t>“Implement” is defined as utilizing the proposed sales forecast in Table KS-1 as the 2021 authorized sales forecast for rate setting purposes.</w:t>
      </w:r>
    </w:p>
    <w:p w14:paraId="485D5D34" w14:textId="749E9F36" w:rsidR="7C884834" w:rsidRDefault="7C884834" w:rsidP="37ECBF3D">
      <w:pPr>
        <w:pStyle w:val="ListParagraph"/>
        <w:numPr>
          <w:ilvl w:val="1"/>
          <w:numId w:val="23"/>
        </w:numPr>
        <w:spacing w:after="160" w:line="259" w:lineRule="auto"/>
        <w:rPr>
          <w:rFonts w:eastAsiaTheme="minorEastAsia"/>
          <w:sz w:val="24"/>
          <w:szCs w:val="24"/>
        </w:rPr>
      </w:pPr>
      <w:r w:rsidRPr="37ECBF3D">
        <w:rPr>
          <w:rFonts w:ascii="Times New Roman" w:eastAsia="Times New Roman" w:hAnsi="Times New Roman" w:cs="Times New Roman"/>
          <w:sz w:val="24"/>
          <w:szCs w:val="24"/>
        </w:rPr>
        <w:t xml:space="preserve">SDG&amp;E intends to update the 2022 sales forecast </w:t>
      </w:r>
      <w:r w:rsidR="2395FDC7" w:rsidRPr="37ECBF3D">
        <w:rPr>
          <w:rFonts w:ascii="Times New Roman" w:eastAsia="Times New Roman" w:hAnsi="Times New Roman" w:cs="Times New Roman"/>
          <w:sz w:val="24"/>
          <w:szCs w:val="24"/>
        </w:rPr>
        <w:t>as</w:t>
      </w:r>
      <w:r w:rsidRPr="37ECBF3D">
        <w:rPr>
          <w:rFonts w:ascii="Times New Roman" w:eastAsia="Times New Roman" w:hAnsi="Times New Roman" w:cs="Times New Roman"/>
          <w:sz w:val="24"/>
          <w:szCs w:val="24"/>
        </w:rPr>
        <w:t xml:space="preserve"> </w:t>
      </w:r>
      <w:r w:rsidR="2395FDC7" w:rsidRPr="37ECBF3D">
        <w:rPr>
          <w:rFonts w:ascii="Times New Roman" w:eastAsia="Times New Roman" w:hAnsi="Times New Roman" w:cs="Times New Roman"/>
          <w:sz w:val="24"/>
          <w:szCs w:val="24"/>
        </w:rPr>
        <w:t xml:space="preserve">noted in the </w:t>
      </w:r>
      <w:r w:rsidRPr="37ECBF3D">
        <w:rPr>
          <w:rFonts w:ascii="Times New Roman" w:eastAsia="Times New Roman" w:hAnsi="Times New Roman" w:cs="Times New Roman"/>
          <w:sz w:val="24"/>
          <w:szCs w:val="24"/>
        </w:rPr>
        <w:t>Supplemental Testimony of Kenneth E. Schiermeyer</w:t>
      </w:r>
      <w:r w:rsidR="752BD96E" w:rsidRPr="37ECBF3D">
        <w:rPr>
          <w:rFonts w:ascii="Times New Roman" w:eastAsia="Times New Roman" w:hAnsi="Times New Roman" w:cs="Times New Roman"/>
          <w:sz w:val="24"/>
          <w:szCs w:val="24"/>
        </w:rPr>
        <w:t xml:space="preserve"> (page KES-1, </w:t>
      </w:r>
      <w:r w:rsidR="4D9603CC" w:rsidRPr="37ECBF3D">
        <w:rPr>
          <w:rFonts w:ascii="Times New Roman" w:eastAsia="Times New Roman" w:hAnsi="Times New Roman" w:cs="Times New Roman"/>
          <w:sz w:val="24"/>
          <w:szCs w:val="24"/>
        </w:rPr>
        <w:t xml:space="preserve">lines 14-17). Please see references supplemental </w:t>
      </w:r>
      <w:r w:rsidR="4D9603CC" w:rsidRPr="22176F45">
        <w:rPr>
          <w:rFonts w:ascii="Times New Roman" w:eastAsia="Times New Roman" w:hAnsi="Times New Roman" w:cs="Times New Roman"/>
          <w:sz w:val="24"/>
          <w:szCs w:val="24"/>
        </w:rPr>
        <w:t>te</w:t>
      </w:r>
      <w:r w:rsidR="20127B4D" w:rsidRPr="22176F45">
        <w:rPr>
          <w:rFonts w:ascii="Times New Roman" w:eastAsia="Times New Roman" w:hAnsi="Times New Roman" w:cs="Times New Roman"/>
          <w:sz w:val="24"/>
          <w:szCs w:val="24"/>
        </w:rPr>
        <w:t>s</w:t>
      </w:r>
      <w:r w:rsidR="4D9603CC" w:rsidRPr="22176F45">
        <w:rPr>
          <w:rFonts w:ascii="Times New Roman" w:eastAsia="Times New Roman" w:hAnsi="Times New Roman" w:cs="Times New Roman"/>
          <w:sz w:val="24"/>
          <w:szCs w:val="24"/>
        </w:rPr>
        <w:t>timony</w:t>
      </w:r>
      <w:r w:rsidR="4D9603CC" w:rsidRPr="37ECBF3D">
        <w:rPr>
          <w:rFonts w:ascii="Times New Roman" w:eastAsia="Times New Roman" w:hAnsi="Times New Roman" w:cs="Times New Roman"/>
          <w:sz w:val="24"/>
          <w:szCs w:val="24"/>
        </w:rPr>
        <w:t xml:space="preserve"> at </w:t>
      </w:r>
      <w:r w:rsidR="67287F26" w:rsidRPr="37ECBF3D">
        <w:rPr>
          <w:rFonts w:ascii="Times New Roman" w:eastAsia="Times New Roman" w:hAnsi="Times New Roman" w:cs="Times New Roman"/>
          <w:sz w:val="24"/>
          <w:szCs w:val="24"/>
        </w:rPr>
        <w:t>https://www.sdge.com/sites/default/files/regulatory/A.19-03-002%20K%20Schiermeyer%20GRCP2%20Supplemental%20Sales%20Testimony%207%202%2019.pdf</w:t>
      </w:r>
      <w:r w:rsidR="00870492">
        <w:rPr>
          <w:rFonts w:ascii="Times New Roman" w:eastAsia="Times New Roman" w:hAnsi="Times New Roman" w:cs="Times New Roman"/>
          <w:sz w:val="24"/>
          <w:szCs w:val="24"/>
        </w:rPr>
        <w:t>.</w:t>
      </w:r>
    </w:p>
    <w:p w14:paraId="5AF1130C" w14:textId="77777777" w:rsidR="00683370" w:rsidRPr="0016089F" w:rsidRDefault="00683370" w:rsidP="00683370">
      <w:pPr>
        <w:rPr>
          <w:rFonts w:ascii="Times New Roman" w:hAnsi="Times New Roman" w:cs="Times New Roman"/>
          <w:sz w:val="24"/>
          <w:szCs w:val="24"/>
        </w:rPr>
      </w:pPr>
      <w:r w:rsidRPr="0016089F">
        <w:rPr>
          <w:rFonts w:ascii="Times New Roman" w:hAnsi="Times New Roman" w:cs="Times New Roman"/>
          <w:sz w:val="24"/>
          <w:szCs w:val="24"/>
        </w:rPr>
        <w:t xml:space="preserve">The following questions refer to Chapter 5 the Revised Prepared Direct Testimony of William G. </w:t>
      </w:r>
      <w:r w:rsidRPr="0016089F">
        <w:rPr>
          <w:rFonts w:ascii="Times New Roman" w:hAnsi="Times New Roman" w:cs="Times New Roman"/>
          <w:sz w:val="24"/>
          <w:szCs w:val="24"/>
        </w:rPr>
        <w:lastRenderedPageBreak/>
        <w:t>Saxe.</w:t>
      </w:r>
    </w:p>
    <w:p w14:paraId="6D7496DD"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Saxe states that “SDG&amp;E will continue the use of the NERA Regression Method to calculate marginal feeder and local distribution and substation costs for the system as a whole.” (WGS-3:12-14)</w:t>
      </w:r>
    </w:p>
    <w:p w14:paraId="2CCC7E85" w14:textId="77777777" w:rsidR="00683370" w:rsidRPr="0016089F" w:rsidRDefault="00683370" w:rsidP="005316D2">
      <w:pPr>
        <w:pStyle w:val="ListParagraph"/>
        <w:widowControl/>
        <w:numPr>
          <w:ilvl w:val="0"/>
          <w:numId w:val="5"/>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Why is this called the “NERA Regression Method”? Please provide any documents SDG&amp;E relies on that define the “NERA Regression Method.”</w:t>
      </w:r>
    </w:p>
    <w:p w14:paraId="3C1E6CE3" w14:textId="5C72D59F" w:rsidR="00683370" w:rsidRPr="0016089F" w:rsidRDefault="00683370" w:rsidP="005316D2">
      <w:pPr>
        <w:pStyle w:val="ListParagraph"/>
        <w:widowControl/>
        <w:numPr>
          <w:ilvl w:val="0"/>
          <w:numId w:val="5"/>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Why is it reasonable to use this method when SDG&amp;E has faced sales declines since 2014 per the data provided in Attachment A to Witness Schiermeyer’s testimony?</w:t>
      </w:r>
    </w:p>
    <w:p w14:paraId="0A9F0362" w14:textId="77777777" w:rsidR="000B64FF" w:rsidRPr="0016089F" w:rsidRDefault="000B64FF" w:rsidP="000B64FF">
      <w:pPr>
        <w:pStyle w:val="ListParagraph"/>
        <w:widowControl/>
        <w:spacing w:after="160" w:line="259" w:lineRule="auto"/>
        <w:ind w:left="1440"/>
        <w:contextualSpacing/>
        <w:rPr>
          <w:rFonts w:ascii="Times New Roman" w:hAnsi="Times New Roman" w:cs="Times New Roman"/>
          <w:b/>
          <w:sz w:val="24"/>
          <w:szCs w:val="24"/>
        </w:rPr>
      </w:pPr>
    </w:p>
    <w:p w14:paraId="1DFC1110" w14:textId="47A7FFDC" w:rsidR="000B64FF" w:rsidRPr="0016089F" w:rsidRDefault="000B64FF" w:rsidP="000B64FF">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p>
    <w:p w14:paraId="130F6C26" w14:textId="51B49D62" w:rsidR="001756B6" w:rsidRPr="0016089F" w:rsidRDefault="001756B6" w:rsidP="000B64FF">
      <w:pPr>
        <w:pStyle w:val="ListParagraph"/>
        <w:widowControl/>
        <w:spacing w:after="160" w:line="259" w:lineRule="auto"/>
        <w:ind w:left="720"/>
        <w:contextualSpacing/>
        <w:rPr>
          <w:rFonts w:ascii="Times New Roman" w:hAnsi="Times New Roman" w:cs="Times New Roman"/>
          <w:b/>
          <w:sz w:val="24"/>
          <w:szCs w:val="24"/>
        </w:rPr>
      </w:pPr>
    </w:p>
    <w:p w14:paraId="6C450057" w14:textId="725D6B33" w:rsidR="005E6DF3" w:rsidRPr="0016089F" w:rsidRDefault="7C884834"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 xml:space="preserve">The regression method that SDG&amp;E uses to develop marginal distribution demand costs was developed by the National Economic Research Associates (“NERA). The regression method proposed is a simple linear regression method based on 15 years of cumulative demand-related distribution capacity investments regressed on 15 years of cumulative load growth. </w:t>
      </w:r>
    </w:p>
    <w:p w14:paraId="42AB8CD0" w14:textId="77777777" w:rsidR="005E6DF3" w:rsidRPr="0016089F" w:rsidRDefault="005E6DF3" w:rsidP="005E6DF3">
      <w:pPr>
        <w:pStyle w:val="ListParagraph"/>
        <w:widowControl/>
        <w:spacing w:after="160" w:line="259" w:lineRule="auto"/>
        <w:ind w:left="1440"/>
        <w:contextualSpacing/>
        <w:rPr>
          <w:rFonts w:ascii="Times New Roman" w:hAnsi="Times New Roman" w:cs="Times New Roman"/>
          <w:sz w:val="24"/>
          <w:szCs w:val="24"/>
        </w:rPr>
      </w:pPr>
    </w:p>
    <w:p w14:paraId="27E6753E" w14:textId="7BA9628B" w:rsidR="00F01668" w:rsidRPr="0016089F" w:rsidRDefault="00365C27"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 xml:space="preserve">The </w:t>
      </w:r>
      <w:r w:rsidR="00D31EED" w:rsidRPr="0016089F">
        <w:rPr>
          <w:rFonts w:ascii="Times New Roman" w:hAnsi="Times New Roman" w:cs="Times New Roman"/>
          <w:sz w:val="24"/>
          <w:szCs w:val="24"/>
        </w:rPr>
        <w:t xml:space="preserve">total </w:t>
      </w:r>
      <w:r w:rsidRPr="0016089F">
        <w:rPr>
          <w:rFonts w:ascii="Times New Roman" w:hAnsi="Times New Roman" w:cs="Times New Roman"/>
          <w:sz w:val="24"/>
          <w:szCs w:val="24"/>
        </w:rPr>
        <w:t xml:space="preserve">sales decline that SDG&amp;E has </w:t>
      </w:r>
      <w:r w:rsidR="00D31EED" w:rsidRPr="0016089F">
        <w:rPr>
          <w:rFonts w:ascii="Times New Roman" w:hAnsi="Times New Roman" w:cs="Times New Roman"/>
          <w:sz w:val="24"/>
          <w:szCs w:val="24"/>
        </w:rPr>
        <w:t xml:space="preserve">recently </w:t>
      </w:r>
      <w:r w:rsidR="001E0D5D" w:rsidRPr="0016089F">
        <w:rPr>
          <w:rFonts w:ascii="Times New Roman" w:hAnsi="Times New Roman" w:cs="Times New Roman"/>
          <w:sz w:val="24"/>
          <w:szCs w:val="24"/>
        </w:rPr>
        <w:t xml:space="preserve">experienced </w:t>
      </w:r>
      <w:r w:rsidR="00D31EED" w:rsidRPr="0016089F">
        <w:rPr>
          <w:rFonts w:ascii="Times New Roman" w:hAnsi="Times New Roman" w:cs="Times New Roman"/>
          <w:sz w:val="24"/>
          <w:szCs w:val="24"/>
        </w:rPr>
        <w:t xml:space="preserve">does not </w:t>
      </w:r>
      <w:r w:rsidR="001160E5" w:rsidRPr="0016089F">
        <w:rPr>
          <w:rFonts w:ascii="Times New Roman" w:hAnsi="Times New Roman" w:cs="Times New Roman"/>
          <w:sz w:val="24"/>
          <w:szCs w:val="24"/>
        </w:rPr>
        <w:t>prevent th</w:t>
      </w:r>
      <w:r w:rsidR="001E0D5D" w:rsidRPr="0016089F">
        <w:rPr>
          <w:rFonts w:ascii="Times New Roman" w:hAnsi="Times New Roman" w:cs="Times New Roman"/>
          <w:sz w:val="24"/>
          <w:szCs w:val="24"/>
        </w:rPr>
        <w:t>e</w:t>
      </w:r>
      <w:r w:rsidR="001160E5" w:rsidRPr="0016089F">
        <w:rPr>
          <w:rFonts w:ascii="Times New Roman" w:hAnsi="Times New Roman" w:cs="Times New Roman"/>
          <w:sz w:val="24"/>
          <w:szCs w:val="24"/>
        </w:rPr>
        <w:t xml:space="preserve"> use of a regression analysis to calculate marginal distribution demand costs</w:t>
      </w:r>
      <w:r w:rsidR="00D05B69" w:rsidRPr="0016089F">
        <w:rPr>
          <w:rFonts w:ascii="Times New Roman" w:hAnsi="Times New Roman" w:cs="Times New Roman"/>
          <w:sz w:val="24"/>
          <w:szCs w:val="24"/>
        </w:rPr>
        <w:t xml:space="preserve"> because </w:t>
      </w:r>
      <w:r w:rsidR="00303C18" w:rsidRPr="0016089F">
        <w:rPr>
          <w:rFonts w:ascii="Times New Roman" w:hAnsi="Times New Roman" w:cs="Times New Roman"/>
          <w:sz w:val="24"/>
          <w:szCs w:val="24"/>
        </w:rPr>
        <w:t>SDG&amp;E is still forecasting the need for distribution capacity additions</w:t>
      </w:r>
      <w:r w:rsidR="001160E5" w:rsidRPr="0016089F">
        <w:rPr>
          <w:rFonts w:ascii="Times New Roman" w:hAnsi="Times New Roman" w:cs="Times New Roman"/>
          <w:sz w:val="24"/>
          <w:szCs w:val="24"/>
        </w:rPr>
        <w:t xml:space="preserve">. </w:t>
      </w:r>
      <w:r w:rsidR="00A93EE2" w:rsidRPr="0016089F">
        <w:rPr>
          <w:rFonts w:ascii="Times New Roman" w:hAnsi="Times New Roman" w:cs="Times New Roman"/>
          <w:sz w:val="24"/>
          <w:szCs w:val="24"/>
        </w:rPr>
        <w:t xml:space="preserve"> </w:t>
      </w:r>
    </w:p>
    <w:p w14:paraId="19069F8E" w14:textId="4064849F" w:rsidR="00BC636D" w:rsidRPr="0016089F" w:rsidRDefault="00F01668" w:rsidP="00F01668">
      <w:pPr>
        <w:pStyle w:val="ListParagraph"/>
        <w:widowControl/>
        <w:spacing w:after="160" w:line="259" w:lineRule="auto"/>
        <w:ind w:left="1440"/>
        <w:contextualSpacing/>
        <w:rPr>
          <w:rFonts w:ascii="Times New Roman" w:hAnsi="Times New Roman" w:cs="Times New Roman"/>
          <w:sz w:val="24"/>
          <w:szCs w:val="24"/>
        </w:rPr>
      </w:pPr>
      <w:r w:rsidRPr="0016089F">
        <w:rPr>
          <w:rFonts w:ascii="Times New Roman" w:hAnsi="Times New Roman" w:cs="Times New Roman"/>
          <w:sz w:val="24"/>
          <w:szCs w:val="24"/>
        </w:rPr>
        <w:t xml:space="preserve"> </w:t>
      </w:r>
    </w:p>
    <w:p w14:paraId="76441F9F" w14:textId="6DEA237B"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Saxe states that “The NERA Regression Method identifies the utility’s cumulative incremental changes in distribution load peak data as the independent variable, and utility’s cumulative incremental distribution growth-related investments as the dependent variable…” (WGS-3:16-19) Why are the cumulative values used as the variables instead of incremental values?</w:t>
      </w:r>
    </w:p>
    <w:p w14:paraId="7CC3A247" w14:textId="77777777" w:rsidR="00FE0996" w:rsidRPr="0016089F" w:rsidRDefault="00FE0996" w:rsidP="00FE0996">
      <w:pPr>
        <w:pStyle w:val="ListParagraph"/>
        <w:widowControl/>
        <w:spacing w:after="160" w:line="259" w:lineRule="auto"/>
        <w:ind w:left="720"/>
        <w:contextualSpacing/>
        <w:rPr>
          <w:rFonts w:ascii="Times New Roman" w:hAnsi="Times New Roman" w:cs="Times New Roman"/>
          <w:b/>
          <w:sz w:val="24"/>
          <w:szCs w:val="24"/>
        </w:rPr>
      </w:pPr>
    </w:p>
    <w:p w14:paraId="36DCF91B" w14:textId="585915D7" w:rsidR="00FE0996" w:rsidRPr="0016089F" w:rsidRDefault="00FE0996" w:rsidP="00FE0996">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p>
    <w:p w14:paraId="6CA7C8F9" w14:textId="7BD5D990" w:rsidR="009910C7" w:rsidRPr="0016089F" w:rsidRDefault="009910C7" w:rsidP="00FE0996">
      <w:pPr>
        <w:pStyle w:val="ListParagraph"/>
        <w:widowControl/>
        <w:spacing w:after="160" w:line="259" w:lineRule="auto"/>
        <w:ind w:left="720"/>
        <w:contextualSpacing/>
        <w:rPr>
          <w:rFonts w:ascii="Times New Roman" w:hAnsi="Times New Roman" w:cs="Times New Roman"/>
          <w:b/>
          <w:sz w:val="24"/>
          <w:szCs w:val="24"/>
        </w:rPr>
      </w:pPr>
    </w:p>
    <w:p w14:paraId="560852BC" w14:textId="3EE32597" w:rsidR="009910C7" w:rsidRPr="0016089F" w:rsidRDefault="7C884834" w:rsidP="7C884834">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sz w:val="24"/>
          <w:szCs w:val="24"/>
        </w:rPr>
        <w:t>The regression analysis is comparing the change in distribution capacity investment costs to the change in distribution load</w:t>
      </w:r>
      <w:r w:rsidR="00870492">
        <w:rPr>
          <w:rFonts w:ascii="Times New Roman" w:hAnsi="Times New Roman" w:cs="Times New Roman"/>
          <w:sz w:val="24"/>
          <w:szCs w:val="24"/>
        </w:rPr>
        <w:t>;</w:t>
      </w:r>
      <w:r w:rsidRPr="0016089F">
        <w:rPr>
          <w:rFonts w:ascii="Times New Roman" w:hAnsi="Times New Roman" w:cs="Times New Roman"/>
          <w:sz w:val="24"/>
          <w:szCs w:val="24"/>
        </w:rPr>
        <w:t xml:space="preserve"> thus, the cumulative values </w:t>
      </w:r>
      <w:r w:rsidR="00870492">
        <w:rPr>
          <w:rFonts w:ascii="Times New Roman" w:hAnsi="Times New Roman" w:cs="Times New Roman"/>
          <w:sz w:val="24"/>
          <w:szCs w:val="24"/>
        </w:rPr>
        <w:t>(</w:t>
      </w:r>
      <w:r w:rsidRPr="0016089F">
        <w:rPr>
          <w:rFonts w:ascii="Times New Roman" w:hAnsi="Times New Roman" w:cs="Times New Roman"/>
          <w:sz w:val="24"/>
          <w:szCs w:val="24"/>
        </w:rPr>
        <w:t>not incremental values</w:t>
      </w:r>
      <w:r w:rsidR="00870492">
        <w:rPr>
          <w:rFonts w:ascii="Times New Roman" w:hAnsi="Times New Roman" w:cs="Times New Roman"/>
          <w:sz w:val="24"/>
          <w:szCs w:val="24"/>
        </w:rPr>
        <w:t>)</w:t>
      </w:r>
      <w:r w:rsidRPr="0016089F">
        <w:rPr>
          <w:rFonts w:ascii="Times New Roman" w:hAnsi="Times New Roman" w:cs="Times New Roman"/>
          <w:sz w:val="24"/>
          <w:szCs w:val="24"/>
        </w:rPr>
        <w:t xml:space="preserve"> should be used in this regression analysis. </w:t>
      </w:r>
    </w:p>
    <w:p w14:paraId="4A6029B5" w14:textId="77777777" w:rsidR="00FE0996" w:rsidRPr="0016089F" w:rsidRDefault="00FE0996" w:rsidP="00FE0996">
      <w:pPr>
        <w:widowControl/>
        <w:spacing w:after="160" w:line="259" w:lineRule="auto"/>
        <w:contextualSpacing/>
        <w:rPr>
          <w:rFonts w:ascii="Times New Roman" w:hAnsi="Times New Roman" w:cs="Times New Roman"/>
          <w:sz w:val="24"/>
          <w:szCs w:val="24"/>
        </w:rPr>
      </w:pPr>
    </w:p>
    <w:p w14:paraId="2E7E0AD4"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Saxe states that “SDG&amp;E’s marginal distribution demand cost component includes distribution investment costs related to load and customer growth for the period 2005-2019.” (WGS-3:21-22)</w:t>
      </w:r>
    </w:p>
    <w:p w14:paraId="3472286E" w14:textId="4867E591"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Are the non-growth-related investment costs allocated using the marginal distribution costs derived from growth-related investment? Why or why not?</w:t>
      </w:r>
    </w:p>
    <w:p w14:paraId="1A85CD65" w14:textId="1D62B671"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How does allocating non-growth-related investment based on the result of a growth-related investment regression reflect cost causation principles?</w:t>
      </w:r>
    </w:p>
    <w:p w14:paraId="1A254F78" w14:textId="528E3CB0" w:rsidR="00683370" w:rsidRPr="0016089F" w:rsidRDefault="00683370"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lastRenderedPageBreak/>
        <w:t>Why is it reasonable to use growth-related investment costs as the basis of cost allocation for feeder and local demand costs when the growth-related portion of the costs is only expected to be 3.1%, 1.8%, and 2.1% of total feeder and local demand costs in 2017, 2018, and 2019 respectively?</w:t>
      </w:r>
    </w:p>
    <w:p w14:paraId="530BD765" w14:textId="77777777" w:rsidR="00FE0996" w:rsidRPr="0016089F" w:rsidRDefault="00FE0996" w:rsidP="00FE0996">
      <w:pPr>
        <w:pStyle w:val="ListParagraph"/>
        <w:widowControl/>
        <w:spacing w:after="160" w:line="259" w:lineRule="auto"/>
        <w:ind w:left="720"/>
        <w:contextualSpacing/>
        <w:rPr>
          <w:rFonts w:ascii="Times New Roman" w:hAnsi="Times New Roman" w:cs="Times New Roman"/>
          <w:b/>
          <w:sz w:val="24"/>
          <w:szCs w:val="24"/>
        </w:rPr>
      </w:pPr>
    </w:p>
    <w:p w14:paraId="2E49CF0B" w14:textId="724510D0" w:rsidR="008B06DF" w:rsidRPr="0016089F" w:rsidRDefault="00FE0996" w:rsidP="00AB04C8">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b/>
          <w:sz w:val="24"/>
          <w:szCs w:val="24"/>
        </w:rPr>
        <w:t xml:space="preserve">SDG&amp;E Response: </w:t>
      </w:r>
    </w:p>
    <w:p w14:paraId="0EE5AF53" w14:textId="77777777" w:rsidR="00846114" w:rsidRPr="0016089F" w:rsidRDefault="00846114" w:rsidP="00846114">
      <w:pPr>
        <w:pStyle w:val="ListParagraph"/>
        <w:widowControl/>
        <w:spacing w:after="160" w:line="259" w:lineRule="auto"/>
        <w:ind w:left="1440"/>
        <w:contextualSpacing/>
        <w:rPr>
          <w:rFonts w:ascii="Times New Roman" w:hAnsi="Times New Roman" w:cs="Times New Roman"/>
          <w:sz w:val="24"/>
          <w:szCs w:val="24"/>
        </w:rPr>
      </w:pPr>
    </w:p>
    <w:p w14:paraId="22451B39" w14:textId="7AF7C6A0" w:rsidR="00463F9E" w:rsidRPr="0016089F" w:rsidRDefault="7C884834" w:rsidP="005316D2">
      <w:pPr>
        <w:pStyle w:val="ListParagraph"/>
        <w:widowControl/>
        <w:numPr>
          <w:ilvl w:val="3"/>
          <w:numId w:val="1"/>
        </w:numPr>
        <w:spacing w:after="160" w:line="259" w:lineRule="auto"/>
        <w:ind w:left="1440"/>
        <w:contextualSpacing/>
        <w:rPr>
          <w:rFonts w:ascii="Times New Roman" w:hAnsi="Times New Roman" w:cs="Times New Roman"/>
          <w:sz w:val="24"/>
          <w:szCs w:val="24"/>
        </w:rPr>
      </w:pPr>
      <w:r w:rsidRPr="0016089F">
        <w:rPr>
          <w:rFonts w:ascii="Times New Roman" w:hAnsi="Times New Roman" w:cs="Times New Roman"/>
          <w:sz w:val="24"/>
          <w:szCs w:val="24"/>
        </w:rPr>
        <w:t>SDG&amp;E’s marginal distribution demand costs are developed based on SDG&amp;E’s growth-related investments because these are the investments based on serving the customer’s maximum kW demand, which is the demand the SDG&amp;E distribution system is designed to serve. As shown in the “Distrib Class EPMC Rates &amp; Rev” tab of the Chapter 5 Distribution Revenue Allocation workpapers (Ch_5_WP#1_Dist Rev Alloc Revised” file), the marginal distribution demand costs are adjusted by the Equal Percent of Marginal Costs (“EPMC”) factor to develop distribution rates to recover SDG&amp;E’s authorized distribution demand costs, which include both growth and non-growth-related distribution investments.</w:t>
      </w:r>
    </w:p>
    <w:p w14:paraId="56A678F7" w14:textId="77777777" w:rsidR="0082212A" w:rsidRPr="0016089F" w:rsidRDefault="0082212A" w:rsidP="0082212A">
      <w:pPr>
        <w:pStyle w:val="ListParagraph"/>
        <w:widowControl/>
        <w:spacing w:after="160" w:line="259" w:lineRule="auto"/>
        <w:ind w:left="1440"/>
        <w:contextualSpacing/>
        <w:rPr>
          <w:rFonts w:ascii="Times New Roman" w:hAnsi="Times New Roman" w:cs="Times New Roman"/>
          <w:sz w:val="24"/>
          <w:szCs w:val="24"/>
        </w:rPr>
      </w:pPr>
    </w:p>
    <w:p w14:paraId="781ABDC5" w14:textId="0948B27F" w:rsidR="00403488" w:rsidRPr="0016089F" w:rsidRDefault="7C884834" w:rsidP="005316D2">
      <w:pPr>
        <w:pStyle w:val="ListParagraph"/>
        <w:widowControl/>
        <w:numPr>
          <w:ilvl w:val="3"/>
          <w:numId w:val="1"/>
        </w:numPr>
        <w:spacing w:after="160" w:line="259" w:lineRule="auto"/>
        <w:ind w:left="1440"/>
        <w:contextualSpacing/>
        <w:rPr>
          <w:rFonts w:ascii="Times New Roman" w:hAnsi="Times New Roman" w:cs="Times New Roman"/>
          <w:sz w:val="24"/>
          <w:szCs w:val="24"/>
        </w:rPr>
      </w:pPr>
      <w:r w:rsidRPr="0016089F">
        <w:rPr>
          <w:rFonts w:ascii="Times New Roman" w:hAnsi="Times New Roman" w:cs="Times New Roman"/>
          <w:sz w:val="24"/>
          <w:szCs w:val="24"/>
        </w:rPr>
        <w:t>As described in response to Question 26.a above, the electric rates adopted to recover SDG&amp;E’s distribution costs need to ensure recovery of SDG&amp;E’s authorized distribution revenues, which include both growth and non-growth-related distribution costs. This approach reflects cost causation principles because the kW demand that drives the growth-related distribution demand costs also indirectly drives the need for non-growth-related distribution demand costs.</w:t>
      </w:r>
    </w:p>
    <w:p w14:paraId="08D89969" w14:textId="698395E7" w:rsidR="00F51176" w:rsidRPr="0016089F" w:rsidRDefault="00792038" w:rsidP="00403488">
      <w:pPr>
        <w:pStyle w:val="ListParagraph"/>
        <w:widowControl/>
        <w:spacing w:after="160" w:line="259" w:lineRule="auto"/>
        <w:ind w:left="1440"/>
        <w:contextualSpacing/>
        <w:rPr>
          <w:rFonts w:ascii="Times New Roman" w:hAnsi="Times New Roman" w:cs="Times New Roman"/>
          <w:sz w:val="24"/>
          <w:szCs w:val="24"/>
        </w:rPr>
      </w:pPr>
      <w:r w:rsidRPr="0016089F">
        <w:rPr>
          <w:rFonts w:ascii="Times New Roman" w:hAnsi="Times New Roman" w:cs="Times New Roman"/>
          <w:sz w:val="24"/>
          <w:szCs w:val="24"/>
        </w:rPr>
        <w:t xml:space="preserve">  </w:t>
      </w:r>
      <w:r w:rsidR="009B6330" w:rsidRPr="0016089F">
        <w:rPr>
          <w:rFonts w:ascii="Times New Roman" w:hAnsi="Times New Roman" w:cs="Times New Roman"/>
          <w:sz w:val="24"/>
          <w:szCs w:val="24"/>
        </w:rPr>
        <w:t xml:space="preserve"> </w:t>
      </w:r>
      <w:r w:rsidR="00160FBD" w:rsidRPr="0016089F">
        <w:rPr>
          <w:rFonts w:ascii="Times New Roman" w:hAnsi="Times New Roman" w:cs="Times New Roman"/>
          <w:sz w:val="24"/>
          <w:szCs w:val="24"/>
        </w:rPr>
        <w:t xml:space="preserve">  </w:t>
      </w:r>
    </w:p>
    <w:p w14:paraId="79A6B7FC" w14:textId="49AADE3A" w:rsidR="00AB04C8" w:rsidRPr="0016089F" w:rsidRDefault="00A1443D" w:rsidP="005316D2">
      <w:pPr>
        <w:pStyle w:val="ListParagraph"/>
        <w:widowControl/>
        <w:numPr>
          <w:ilvl w:val="3"/>
          <w:numId w:val="1"/>
        </w:numPr>
        <w:spacing w:after="160" w:line="259" w:lineRule="auto"/>
        <w:ind w:left="1440"/>
        <w:contextualSpacing/>
        <w:rPr>
          <w:rFonts w:ascii="Times New Roman" w:hAnsi="Times New Roman" w:cs="Times New Roman"/>
          <w:sz w:val="24"/>
          <w:szCs w:val="24"/>
        </w:rPr>
      </w:pPr>
      <w:r w:rsidRPr="0016089F">
        <w:rPr>
          <w:rFonts w:ascii="Times New Roman" w:hAnsi="Times New Roman" w:cs="Times New Roman"/>
          <w:sz w:val="24"/>
          <w:szCs w:val="24"/>
        </w:rPr>
        <w:t>D</w:t>
      </w:r>
      <w:r w:rsidR="008F09B7" w:rsidRPr="0016089F">
        <w:rPr>
          <w:rFonts w:ascii="Times New Roman" w:hAnsi="Times New Roman" w:cs="Times New Roman"/>
          <w:sz w:val="24"/>
          <w:szCs w:val="24"/>
        </w:rPr>
        <w:t xml:space="preserve">istribution </w:t>
      </w:r>
      <w:r w:rsidR="00BE39E6" w:rsidRPr="0016089F">
        <w:rPr>
          <w:rFonts w:ascii="Times New Roman" w:hAnsi="Times New Roman" w:cs="Times New Roman"/>
          <w:sz w:val="24"/>
          <w:szCs w:val="24"/>
        </w:rPr>
        <w:t>growth</w:t>
      </w:r>
      <w:r w:rsidR="00E36B1A" w:rsidRPr="0016089F">
        <w:rPr>
          <w:rFonts w:ascii="Times New Roman" w:hAnsi="Times New Roman" w:cs="Times New Roman"/>
          <w:sz w:val="24"/>
          <w:szCs w:val="24"/>
        </w:rPr>
        <w:t>-</w:t>
      </w:r>
      <w:r w:rsidR="00BE39E6" w:rsidRPr="0016089F">
        <w:rPr>
          <w:rFonts w:ascii="Times New Roman" w:hAnsi="Times New Roman" w:cs="Times New Roman"/>
          <w:sz w:val="24"/>
          <w:szCs w:val="24"/>
        </w:rPr>
        <w:t>related investments</w:t>
      </w:r>
      <w:r w:rsidR="00320F07" w:rsidRPr="0016089F">
        <w:rPr>
          <w:rFonts w:ascii="Times New Roman" w:hAnsi="Times New Roman" w:cs="Times New Roman"/>
          <w:sz w:val="24"/>
          <w:szCs w:val="24"/>
        </w:rPr>
        <w:t xml:space="preserve"> </w:t>
      </w:r>
      <w:r w:rsidRPr="0016089F">
        <w:rPr>
          <w:rFonts w:ascii="Times New Roman" w:hAnsi="Times New Roman" w:cs="Times New Roman"/>
          <w:sz w:val="24"/>
          <w:szCs w:val="24"/>
        </w:rPr>
        <w:t>drive the distribution demand costs</w:t>
      </w:r>
      <w:r w:rsidR="00D4144F" w:rsidRPr="0016089F">
        <w:rPr>
          <w:rFonts w:ascii="Times New Roman" w:hAnsi="Times New Roman" w:cs="Times New Roman"/>
          <w:sz w:val="24"/>
          <w:szCs w:val="24"/>
        </w:rPr>
        <w:t xml:space="preserve"> SDG&amp;E needs to incur, both growth-related and non-growth-related distribution demand costs.  </w:t>
      </w:r>
      <w:r w:rsidRPr="0016089F">
        <w:rPr>
          <w:rFonts w:ascii="Times New Roman" w:hAnsi="Times New Roman" w:cs="Times New Roman"/>
          <w:sz w:val="24"/>
          <w:szCs w:val="24"/>
        </w:rPr>
        <w:t xml:space="preserve"> </w:t>
      </w:r>
    </w:p>
    <w:p w14:paraId="36C521A2" w14:textId="77777777" w:rsidR="00FE0996" w:rsidRPr="0016089F" w:rsidRDefault="00FE0996" w:rsidP="00FE0996">
      <w:pPr>
        <w:pStyle w:val="ListParagraph"/>
        <w:widowControl/>
        <w:spacing w:after="160" w:line="259" w:lineRule="auto"/>
        <w:ind w:left="720"/>
        <w:contextualSpacing/>
        <w:rPr>
          <w:rFonts w:ascii="Times New Roman" w:hAnsi="Times New Roman" w:cs="Times New Roman"/>
          <w:sz w:val="24"/>
          <w:szCs w:val="24"/>
        </w:rPr>
      </w:pPr>
    </w:p>
    <w:p w14:paraId="246675C7" w14:textId="085310DE"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Were any changes made to the calculation methodology of Effective Demand Factors (“EDF”) in response to UCAN’s sponsored testimony in A.15-04-012? If so, please describe them.</w:t>
      </w:r>
    </w:p>
    <w:p w14:paraId="69D24A4A" w14:textId="77777777" w:rsidR="00FE0996" w:rsidRPr="0016089F" w:rsidRDefault="00FE0996" w:rsidP="00FE0996">
      <w:pPr>
        <w:pStyle w:val="ListParagraph"/>
        <w:widowControl/>
        <w:spacing w:after="160" w:line="259" w:lineRule="auto"/>
        <w:ind w:left="720"/>
        <w:contextualSpacing/>
        <w:rPr>
          <w:rFonts w:ascii="Times New Roman" w:hAnsi="Times New Roman" w:cs="Times New Roman"/>
          <w:b/>
          <w:sz w:val="24"/>
          <w:szCs w:val="24"/>
        </w:rPr>
      </w:pPr>
    </w:p>
    <w:p w14:paraId="20910C7C" w14:textId="191149C4" w:rsidR="00FE0996" w:rsidRPr="0016089F" w:rsidRDefault="00FE0996" w:rsidP="00FE0996">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p>
    <w:p w14:paraId="7AEBC434" w14:textId="2B25F42A" w:rsidR="2AF1FE76" w:rsidRPr="0016089F" w:rsidRDefault="2AF1FE76" w:rsidP="1FD2463D">
      <w:pPr>
        <w:spacing w:line="252" w:lineRule="auto"/>
        <w:ind w:left="720"/>
        <w:rPr>
          <w:rFonts w:ascii="Times New Roman" w:hAnsi="Times New Roman" w:cs="Times New Roman"/>
          <w:sz w:val="24"/>
          <w:szCs w:val="24"/>
        </w:rPr>
      </w:pPr>
      <w:r w:rsidRPr="0016089F">
        <w:rPr>
          <w:rFonts w:ascii="Times New Roman" w:eastAsia="Times New Roman" w:hAnsi="Times New Roman" w:cs="Times New Roman"/>
          <w:sz w:val="24"/>
          <w:szCs w:val="24"/>
        </w:rPr>
        <w:t>The Rebuttal Testimony of Leslie Willoughby in SDG&amp;E’s 2016 GRC Phase 2 proceeding (A.15-04-012) describes the updates made to SDG&amp;E’s EDF analysis based on issues identified by UCAN in that proceeding. The EDFs used in SDG&amp;E’s 2019 GRC Phase 2 use hourly interval data for all customers, as opposed to 15-minute interval data used in EDF’s for the 2016 GRC Phase Proceeding</w:t>
      </w:r>
      <w:r w:rsidR="00D04212">
        <w:rPr>
          <w:rFonts w:ascii="Times New Roman" w:eastAsia="Times New Roman" w:hAnsi="Times New Roman" w:cs="Times New Roman"/>
          <w:sz w:val="24"/>
          <w:szCs w:val="24"/>
        </w:rPr>
        <w:t>,</w:t>
      </w:r>
      <w:r w:rsidRPr="0016089F">
        <w:rPr>
          <w:rFonts w:ascii="Times New Roman" w:eastAsia="Times New Roman" w:hAnsi="Times New Roman" w:cs="Times New Roman"/>
          <w:sz w:val="24"/>
          <w:szCs w:val="24"/>
        </w:rPr>
        <w:t xml:space="preserve"> which is only available for all Non-Residential customer and a subset of Residential customers. Additionally, in the 2016 GRC Phase 2 proceeding, circuit and substation peaks were identified by SDG&amp;E’s Distribution Planning</w:t>
      </w:r>
      <w:r w:rsidR="00D04212">
        <w:rPr>
          <w:rFonts w:ascii="Times New Roman" w:eastAsia="Times New Roman" w:hAnsi="Times New Roman" w:cs="Times New Roman"/>
          <w:sz w:val="24"/>
          <w:szCs w:val="24"/>
        </w:rPr>
        <w:t xml:space="preserve"> team,</w:t>
      </w:r>
      <w:r w:rsidRPr="0016089F">
        <w:rPr>
          <w:rFonts w:ascii="Times New Roman" w:eastAsia="Times New Roman" w:hAnsi="Times New Roman" w:cs="Times New Roman"/>
          <w:sz w:val="24"/>
          <w:szCs w:val="24"/>
        </w:rPr>
        <w:t xml:space="preserve"> using SCADA measurements</w:t>
      </w:r>
      <w:r w:rsidR="00D04212">
        <w:rPr>
          <w:rFonts w:ascii="Times New Roman" w:eastAsia="Times New Roman" w:hAnsi="Times New Roman" w:cs="Times New Roman"/>
          <w:sz w:val="24"/>
          <w:szCs w:val="24"/>
        </w:rPr>
        <w:t>;</w:t>
      </w:r>
      <w:r w:rsidRPr="0016089F">
        <w:rPr>
          <w:rFonts w:ascii="Times New Roman" w:eastAsia="Times New Roman" w:hAnsi="Times New Roman" w:cs="Times New Roman"/>
          <w:sz w:val="24"/>
          <w:szCs w:val="24"/>
        </w:rPr>
        <w:t xml:space="preserve"> while in in the 2019 GRC Phase 2 Proceeding</w:t>
      </w:r>
      <w:r w:rsidR="00D04212">
        <w:rPr>
          <w:rFonts w:ascii="Times New Roman" w:eastAsia="Times New Roman" w:hAnsi="Times New Roman" w:cs="Times New Roman"/>
          <w:sz w:val="24"/>
          <w:szCs w:val="24"/>
        </w:rPr>
        <w:t>,</w:t>
      </w:r>
      <w:r w:rsidRPr="0016089F">
        <w:rPr>
          <w:rFonts w:ascii="Times New Roman" w:eastAsia="Times New Roman" w:hAnsi="Times New Roman" w:cs="Times New Roman"/>
          <w:sz w:val="24"/>
          <w:szCs w:val="24"/>
        </w:rPr>
        <w:t xml:space="preserve"> a “bottom up” approach was applied</w:t>
      </w:r>
      <w:r w:rsidR="00D04212">
        <w:rPr>
          <w:rFonts w:ascii="Times New Roman" w:eastAsia="Times New Roman" w:hAnsi="Times New Roman" w:cs="Times New Roman"/>
          <w:sz w:val="24"/>
          <w:szCs w:val="24"/>
        </w:rPr>
        <w:t>,</w:t>
      </w:r>
      <w:r w:rsidRPr="0016089F">
        <w:rPr>
          <w:rFonts w:ascii="Times New Roman" w:eastAsia="Times New Roman" w:hAnsi="Times New Roman" w:cs="Times New Roman"/>
          <w:sz w:val="24"/>
          <w:szCs w:val="24"/>
        </w:rPr>
        <w:t xml:space="preserve"> adding interval data by circuit and substation to identify the circuit and substation peak times.</w:t>
      </w:r>
    </w:p>
    <w:p w14:paraId="4C7CF956" w14:textId="2CC5FC65" w:rsidR="1FD2463D" w:rsidRPr="0016089F" w:rsidRDefault="1FD2463D" w:rsidP="1FD2463D">
      <w:pPr>
        <w:pStyle w:val="ListParagraph"/>
        <w:spacing w:after="160" w:line="259" w:lineRule="auto"/>
        <w:ind w:left="720"/>
        <w:rPr>
          <w:rFonts w:ascii="Times New Roman" w:hAnsi="Times New Roman" w:cs="Times New Roman"/>
          <w:b/>
          <w:bCs/>
          <w:sz w:val="24"/>
          <w:szCs w:val="24"/>
        </w:rPr>
      </w:pPr>
    </w:p>
    <w:p w14:paraId="75BAB996" w14:textId="046FADAF" w:rsidR="00FE0996" w:rsidRPr="0016089F" w:rsidRDefault="00926A9C" w:rsidP="1FD2463D">
      <w:pPr>
        <w:pStyle w:val="ListParagraph"/>
        <w:widowControl/>
        <w:spacing w:after="160" w:line="259" w:lineRule="auto"/>
        <w:ind w:left="360"/>
        <w:contextualSpacing/>
        <w:rPr>
          <w:rFonts w:ascii="Times New Roman" w:hAnsi="Times New Roman" w:cs="Times New Roman"/>
          <w:sz w:val="24"/>
          <w:szCs w:val="24"/>
        </w:rPr>
      </w:pPr>
      <w:r w:rsidRPr="0016089F">
        <w:rPr>
          <w:rFonts w:ascii="Times New Roman" w:hAnsi="Times New Roman" w:cs="Times New Roman"/>
          <w:sz w:val="24"/>
          <w:szCs w:val="24"/>
        </w:rPr>
        <w:lastRenderedPageBreak/>
        <w:t xml:space="preserve"> </w:t>
      </w:r>
    </w:p>
    <w:p w14:paraId="09C11C34" w14:textId="7D5E398C" w:rsidR="00683370" w:rsidRPr="0016089F" w:rsidRDefault="00683370" w:rsidP="00021AFC">
      <w:pPr>
        <w:ind w:left="360"/>
        <w:rPr>
          <w:rFonts w:ascii="Times New Roman" w:hAnsi="Times New Roman" w:cs="Times New Roman"/>
          <w:sz w:val="24"/>
          <w:szCs w:val="24"/>
        </w:rPr>
      </w:pPr>
      <w:r w:rsidRPr="0016089F">
        <w:rPr>
          <w:rFonts w:ascii="Times New Roman" w:hAnsi="Times New Roman" w:cs="Times New Roman"/>
          <w:sz w:val="24"/>
          <w:szCs w:val="24"/>
        </w:rPr>
        <w:t>The following questions refer to the NERA Regression Method calculations for marginal distribution demand costs as shown in Chapter 5 Workpaper #4.</w:t>
      </w:r>
    </w:p>
    <w:p w14:paraId="22D2B2C3" w14:textId="77777777" w:rsidR="001A6337" w:rsidRPr="0016089F" w:rsidRDefault="001A6337" w:rsidP="00021AFC">
      <w:pPr>
        <w:ind w:left="360"/>
        <w:rPr>
          <w:rFonts w:ascii="Times New Roman" w:hAnsi="Times New Roman" w:cs="Times New Roman"/>
          <w:sz w:val="24"/>
          <w:szCs w:val="24"/>
        </w:rPr>
      </w:pPr>
    </w:p>
    <w:p w14:paraId="5063A040" w14:textId="2B1F1C7F"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If the Incremental Load is supposed to be cumulative, why does it start with 38 in 2005 for feeders and local distribution costs and 32 for substation costs instead of zero?</w:t>
      </w:r>
    </w:p>
    <w:p w14:paraId="1CEEB6FB" w14:textId="77777777" w:rsidR="00AD6B14" w:rsidRPr="0016089F" w:rsidRDefault="00AD6B14" w:rsidP="00AD6B14">
      <w:pPr>
        <w:pStyle w:val="ListParagraph"/>
        <w:widowControl/>
        <w:spacing w:after="160" w:line="259" w:lineRule="auto"/>
        <w:ind w:left="720"/>
        <w:contextualSpacing/>
        <w:rPr>
          <w:rFonts w:ascii="Times New Roman" w:hAnsi="Times New Roman" w:cs="Times New Roman"/>
          <w:b/>
          <w:sz w:val="24"/>
          <w:szCs w:val="24"/>
        </w:rPr>
      </w:pPr>
    </w:p>
    <w:p w14:paraId="67165D5E" w14:textId="77777777" w:rsidR="001A6337" w:rsidRPr="0016089F" w:rsidRDefault="00AD6B14" w:rsidP="00AD6B14">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SDG&amp;E Response:</w:t>
      </w:r>
    </w:p>
    <w:p w14:paraId="4F17153F" w14:textId="77777777" w:rsidR="001A6337" w:rsidRPr="0016089F" w:rsidRDefault="001A6337" w:rsidP="00AD6B14">
      <w:pPr>
        <w:pStyle w:val="ListParagraph"/>
        <w:widowControl/>
        <w:spacing w:after="160" w:line="259" w:lineRule="auto"/>
        <w:ind w:left="720"/>
        <w:contextualSpacing/>
        <w:rPr>
          <w:rFonts w:ascii="Times New Roman" w:hAnsi="Times New Roman" w:cs="Times New Roman"/>
          <w:b/>
          <w:sz w:val="24"/>
          <w:szCs w:val="24"/>
        </w:rPr>
      </w:pPr>
    </w:p>
    <w:p w14:paraId="53315EBC" w14:textId="43670EE1" w:rsidR="00AD6B14" w:rsidRPr="0016089F" w:rsidRDefault="001A6337" w:rsidP="00AD6B14">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sz w:val="24"/>
          <w:szCs w:val="24"/>
        </w:rPr>
        <w:t>The regression analysis is using the cu</w:t>
      </w:r>
      <w:r w:rsidR="005D19F6" w:rsidRPr="0016089F">
        <w:rPr>
          <w:rFonts w:ascii="Times New Roman" w:hAnsi="Times New Roman" w:cs="Times New Roman"/>
          <w:sz w:val="24"/>
          <w:szCs w:val="24"/>
        </w:rPr>
        <w:t>mulative change in distribution forecasted load over the period 2005</w:t>
      </w:r>
      <w:r w:rsidR="00433526" w:rsidRPr="0016089F">
        <w:rPr>
          <w:rFonts w:ascii="Times New Roman" w:hAnsi="Times New Roman" w:cs="Times New Roman"/>
          <w:sz w:val="24"/>
          <w:szCs w:val="24"/>
        </w:rPr>
        <w:t>-2019</w:t>
      </w:r>
      <w:r w:rsidR="00D04212">
        <w:rPr>
          <w:rFonts w:ascii="Times New Roman" w:hAnsi="Times New Roman" w:cs="Times New Roman"/>
          <w:sz w:val="24"/>
          <w:szCs w:val="24"/>
        </w:rPr>
        <w:t>,</w:t>
      </w:r>
      <w:r w:rsidR="00433526" w:rsidRPr="0016089F">
        <w:rPr>
          <w:rFonts w:ascii="Times New Roman" w:hAnsi="Times New Roman" w:cs="Times New Roman"/>
          <w:sz w:val="24"/>
          <w:szCs w:val="24"/>
        </w:rPr>
        <w:t xml:space="preserve"> and thus, the analysis begins with the incremental load in 2005 </w:t>
      </w:r>
      <w:r w:rsidR="00F108DD" w:rsidRPr="0016089F">
        <w:rPr>
          <w:rFonts w:ascii="Times New Roman" w:hAnsi="Times New Roman" w:cs="Times New Roman"/>
          <w:sz w:val="24"/>
          <w:szCs w:val="24"/>
        </w:rPr>
        <w:t xml:space="preserve">of </w:t>
      </w:r>
      <w:r w:rsidR="00D80258" w:rsidRPr="0016089F">
        <w:rPr>
          <w:rFonts w:ascii="Times New Roman" w:hAnsi="Times New Roman" w:cs="Times New Roman"/>
          <w:sz w:val="24"/>
          <w:szCs w:val="24"/>
        </w:rPr>
        <w:t xml:space="preserve">38 </w:t>
      </w:r>
      <w:r w:rsidR="00203D6C" w:rsidRPr="0016089F">
        <w:rPr>
          <w:rFonts w:ascii="Times New Roman" w:hAnsi="Times New Roman" w:cs="Times New Roman"/>
          <w:sz w:val="24"/>
          <w:szCs w:val="24"/>
        </w:rPr>
        <w:t>M</w:t>
      </w:r>
      <w:r w:rsidR="00D80258" w:rsidRPr="0016089F">
        <w:rPr>
          <w:rFonts w:ascii="Times New Roman" w:hAnsi="Times New Roman" w:cs="Times New Roman"/>
          <w:sz w:val="24"/>
          <w:szCs w:val="24"/>
        </w:rPr>
        <w:t>W</w:t>
      </w:r>
      <w:r w:rsidR="00503A7E" w:rsidRPr="0016089F">
        <w:rPr>
          <w:rFonts w:ascii="Times New Roman" w:hAnsi="Times New Roman" w:cs="Times New Roman"/>
          <w:sz w:val="24"/>
          <w:szCs w:val="24"/>
        </w:rPr>
        <w:t xml:space="preserve"> for feeder and local distributions and 32</w:t>
      </w:r>
      <w:r w:rsidR="00203D6C" w:rsidRPr="0016089F">
        <w:rPr>
          <w:rFonts w:ascii="Times New Roman" w:hAnsi="Times New Roman" w:cs="Times New Roman"/>
          <w:sz w:val="24"/>
          <w:szCs w:val="24"/>
        </w:rPr>
        <w:t xml:space="preserve"> MW for substations</w:t>
      </w:r>
      <w:r w:rsidR="00D80258" w:rsidRPr="0016089F">
        <w:rPr>
          <w:rFonts w:ascii="Times New Roman" w:hAnsi="Times New Roman" w:cs="Times New Roman"/>
          <w:sz w:val="24"/>
          <w:szCs w:val="24"/>
        </w:rPr>
        <w:t>.</w:t>
      </w:r>
      <w:r w:rsidR="00AD6B14" w:rsidRPr="0016089F">
        <w:rPr>
          <w:rFonts w:ascii="Times New Roman" w:hAnsi="Times New Roman" w:cs="Times New Roman"/>
          <w:b/>
          <w:sz w:val="24"/>
          <w:szCs w:val="24"/>
        </w:rPr>
        <w:t xml:space="preserve"> </w:t>
      </w:r>
    </w:p>
    <w:p w14:paraId="6394FB18" w14:textId="77777777" w:rsidR="00AD6B14" w:rsidRPr="0016089F" w:rsidRDefault="00AD6B14" w:rsidP="00AD6B14">
      <w:pPr>
        <w:widowControl/>
        <w:spacing w:after="160" w:line="259" w:lineRule="auto"/>
        <w:contextualSpacing/>
        <w:rPr>
          <w:rFonts w:ascii="Times New Roman" w:hAnsi="Times New Roman" w:cs="Times New Roman"/>
          <w:sz w:val="24"/>
          <w:szCs w:val="24"/>
        </w:rPr>
      </w:pPr>
    </w:p>
    <w:p w14:paraId="19079B48"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 xml:space="preserve">Please refer to the “Distrib Capital Historic Data” tab, specifically the Capacity Factors for Feeder and Local Demand Costs and Capacity Factors for Substation Costs on lines 17 and 20, respectively. </w:t>
      </w:r>
    </w:p>
    <w:p w14:paraId="53DCDF70" w14:textId="77777777" w:rsidR="00683370" w:rsidRPr="0016089F" w:rsidRDefault="00683370" w:rsidP="005316D2">
      <w:pPr>
        <w:pStyle w:val="ListParagraph"/>
        <w:widowControl/>
        <w:numPr>
          <w:ilvl w:val="1"/>
          <w:numId w:val="7"/>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confirm these capacity factors represent what costs are considered “growth-related” or define what these capacity factors represent.</w:t>
      </w:r>
    </w:p>
    <w:p w14:paraId="5B74B410" w14:textId="77777777" w:rsidR="00683370" w:rsidRPr="0016089F" w:rsidRDefault="00683370" w:rsidP="005316D2">
      <w:pPr>
        <w:pStyle w:val="ListParagraph"/>
        <w:widowControl/>
        <w:numPr>
          <w:ilvl w:val="1"/>
          <w:numId w:val="7"/>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What was the source of the percentage values from 2005 to 2016?</w:t>
      </w:r>
    </w:p>
    <w:p w14:paraId="272CA4A1" w14:textId="0CEE7A47" w:rsidR="00683370" w:rsidRPr="0016089F" w:rsidRDefault="00683370" w:rsidP="005316D2">
      <w:pPr>
        <w:pStyle w:val="ListParagraph"/>
        <w:widowControl/>
        <w:numPr>
          <w:ilvl w:val="1"/>
          <w:numId w:val="7"/>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Were these capacity factor values ever calculated based on actual investment costs or are they all calculated from forecasts? If they have never been verified against actual investment costs, why not?</w:t>
      </w:r>
    </w:p>
    <w:p w14:paraId="21122923" w14:textId="77777777" w:rsidR="00AD6B14" w:rsidRPr="0016089F" w:rsidRDefault="00AD6B14" w:rsidP="00AD6B14">
      <w:pPr>
        <w:pStyle w:val="ListParagraph"/>
        <w:widowControl/>
        <w:spacing w:after="160" w:line="259" w:lineRule="auto"/>
        <w:ind w:left="720"/>
        <w:contextualSpacing/>
        <w:rPr>
          <w:rFonts w:ascii="Times New Roman" w:hAnsi="Times New Roman" w:cs="Times New Roman"/>
          <w:b/>
          <w:sz w:val="24"/>
          <w:szCs w:val="24"/>
        </w:rPr>
      </w:pPr>
    </w:p>
    <w:p w14:paraId="322FEF22" w14:textId="4DB482FE" w:rsidR="00AD6B14" w:rsidRPr="0016089F" w:rsidRDefault="00AD6B14" w:rsidP="00AD6B14">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p>
    <w:p w14:paraId="012E97DE" w14:textId="7D3BA5D5" w:rsidR="003A0665" w:rsidRPr="0016089F" w:rsidRDefault="00803E85"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Yes, t</w:t>
      </w:r>
      <w:r w:rsidR="00F14687" w:rsidRPr="0016089F">
        <w:rPr>
          <w:rFonts w:ascii="Times New Roman" w:hAnsi="Times New Roman" w:cs="Times New Roman"/>
          <w:sz w:val="24"/>
          <w:szCs w:val="24"/>
        </w:rPr>
        <w:t xml:space="preserve">hese </w:t>
      </w:r>
      <w:r w:rsidR="00BE7DE9" w:rsidRPr="0016089F">
        <w:rPr>
          <w:rFonts w:ascii="Times New Roman" w:hAnsi="Times New Roman" w:cs="Times New Roman"/>
          <w:sz w:val="24"/>
          <w:szCs w:val="24"/>
        </w:rPr>
        <w:t xml:space="preserve">capacity factors </w:t>
      </w:r>
      <w:r w:rsidRPr="0016089F">
        <w:rPr>
          <w:rFonts w:ascii="Times New Roman" w:hAnsi="Times New Roman" w:cs="Times New Roman"/>
          <w:sz w:val="24"/>
          <w:szCs w:val="24"/>
        </w:rPr>
        <w:t xml:space="preserve">identified on line numbers </w:t>
      </w:r>
      <w:r w:rsidR="008A6DAD" w:rsidRPr="0016089F">
        <w:rPr>
          <w:rFonts w:ascii="Times New Roman" w:hAnsi="Times New Roman" w:cs="Times New Roman"/>
          <w:sz w:val="24"/>
          <w:szCs w:val="24"/>
        </w:rPr>
        <w:t xml:space="preserve">17 and 20 of the “Distrib Capital Historic Data” tab </w:t>
      </w:r>
      <w:r w:rsidR="00BE7DE9" w:rsidRPr="0016089F">
        <w:rPr>
          <w:rFonts w:ascii="Times New Roman" w:hAnsi="Times New Roman" w:cs="Times New Roman"/>
          <w:sz w:val="24"/>
          <w:szCs w:val="24"/>
        </w:rPr>
        <w:t xml:space="preserve">represent the percentage of distribution costs that are forecasted </w:t>
      </w:r>
      <w:r w:rsidRPr="0016089F">
        <w:rPr>
          <w:rFonts w:ascii="Times New Roman" w:hAnsi="Times New Roman" w:cs="Times New Roman"/>
          <w:sz w:val="24"/>
          <w:szCs w:val="24"/>
        </w:rPr>
        <w:t>to be required to</w:t>
      </w:r>
      <w:r w:rsidR="008A6DAD" w:rsidRPr="0016089F">
        <w:rPr>
          <w:rFonts w:ascii="Times New Roman" w:hAnsi="Times New Roman" w:cs="Times New Roman"/>
          <w:sz w:val="24"/>
          <w:szCs w:val="24"/>
        </w:rPr>
        <w:t xml:space="preserve"> meet distribution </w:t>
      </w:r>
      <w:r w:rsidR="003A0665" w:rsidRPr="0016089F">
        <w:rPr>
          <w:rFonts w:ascii="Times New Roman" w:hAnsi="Times New Roman" w:cs="Times New Roman"/>
          <w:sz w:val="24"/>
          <w:szCs w:val="24"/>
        </w:rPr>
        <w:t xml:space="preserve">kW </w:t>
      </w:r>
      <w:r w:rsidR="008A6DAD" w:rsidRPr="0016089F">
        <w:rPr>
          <w:rFonts w:ascii="Times New Roman" w:hAnsi="Times New Roman" w:cs="Times New Roman"/>
          <w:sz w:val="24"/>
          <w:szCs w:val="24"/>
        </w:rPr>
        <w:t xml:space="preserve">capacity </w:t>
      </w:r>
      <w:r w:rsidR="003A0665" w:rsidRPr="0016089F">
        <w:rPr>
          <w:rFonts w:ascii="Times New Roman" w:hAnsi="Times New Roman" w:cs="Times New Roman"/>
          <w:sz w:val="24"/>
          <w:szCs w:val="24"/>
        </w:rPr>
        <w:t xml:space="preserve">needs </w:t>
      </w:r>
      <w:r w:rsidR="00D243AF" w:rsidRPr="0016089F">
        <w:rPr>
          <w:rFonts w:ascii="Times New Roman" w:hAnsi="Times New Roman" w:cs="Times New Roman"/>
          <w:sz w:val="24"/>
          <w:szCs w:val="24"/>
        </w:rPr>
        <w:t xml:space="preserve">(also referred to as </w:t>
      </w:r>
      <w:r w:rsidR="003A0665" w:rsidRPr="0016089F">
        <w:rPr>
          <w:rFonts w:ascii="Times New Roman" w:hAnsi="Times New Roman" w:cs="Times New Roman"/>
          <w:sz w:val="24"/>
          <w:szCs w:val="24"/>
        </w:rPr>
        <w:t xml:space="preserve">kW growth </w:t>
      </w:r>
      <w:r w:rsidR="008A6DAD" w:rsidRPr="0016089F">
        <w:rPr>
          <w:rFonts w:ascii="Times New Roman" w:hAnsi="Times New Roman" w:cs="Times New Roman"/>
          <w:sz w:val="24"/>
          <w:szCs w:val="24"/>
        </w:rPr>
        <w:t>needs of customers</w:t>
      </w:r>
      <w:r w:rsidR="00D243AF" w:rsidRPr="0016089F">
        <w:rPr>
          <w:rFonts w:ascii="Times New Roman" w:hAnsi="Times New Roman" w:cs="Times New Roman"/>
          <w:sz w:val="24"/>
          <w:szCs w:val="24"/>
        </w:rPr>
        <w:t>)</w:t>
      </w:r>
      <w:r w:rsidR="003A0665" w:rsidRPr="0016089F">
        <w:rPr>
          <w:rFonts w:ascii="Times New Roman" w:hAnsi="Times New Roman" w:cs="Times New Roman"/>
          <w:sz w:val="24"/>
          <w:szCs w:val="24"/>
        </w:rPr>
        <w:t>.</w:t>
      </w:r>
    </w:p>
    <w:p w14:paraId="33D5A706" w14:textId="367FC347" w:rsidR="00AD6B14" w:rsidRPr="0016089F" w:rsidRDefault="006D739C"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A</w:t>
      </w:r>
      <w:r w:rsidR="00437D8A" w:rsidRPr="0016089F">
        <w:rPr>
          <w:rFonts w:ascii="Times New Roman" w:hAnsi="Times New Roman" w:cs="Times New Roman"/>
          <w:sz w:val="24"/>
          <w:szCs w:val="24"/>
        </w:rPr>
        <w:t xml:space="preserve">s stated in footnotes 4 and 5 in the “Distrib Capital Historic Data” tab, </w:t>
      </w:r>
      <w:r w:rsidR="00DD0262" w:rsidRPr="0016089F">
        <w:rPr>
          <w:rFonts w:ascii="Times New Roman" w:hAnsi="Times New Roman" w:cs="Times New Roman"/>
          <w:sz w:val="24"/>
          <w:szCs w:val="24"/>
        </w:rPr>
        <w:t>the 2005</w:t>
      </w:r>
      <w:r w:rsidR="00BC602D" w:rsidRPr="0016089F">
        <w:rPr>
          <w:rFonts w:ascii="Times New Roman" w:hAnsi="Times New Roman" w:cs="Times New Roman"/>
          <w:sz w:val="24"/>
          <w:szCs w:val="24"/>
        </w:rPr>
        <w:t>-20</w:t>
      </w:r>
      <w:r w:rsidR="00F8461E" w:rsidRPr="0016089F">
        <w:rPr>
          <w:rFonts w:ascii="Times New Roman" w:hAnsi="Times New Roman" w:cs="Times New Roman"/>
          <w:sz w:val="24"/>
          <w:szCs w:val="24"/>
        </w:rPr>
        <w:t>16</w:t>
      </w:r>
      <w:r w:rsidR="00BC602D" w:rsidRPr="0016089F">
        <w:rPr>
          <w:rFonts w:ascii="Times New Roman" w:hAnsi="Times New Roman" w:cs="Times New Roman"/>
          <w:sz w:val="24"/>
          <w:szCs w:val="24"/>
        </w:rPr>
        <w:t xml:space="preserve"> capacity forecasts are based on the </w:t>
      </w:r>
      <w:r w:rsidR="00B07431" w:rsidRPr="0016089F">
        <w:rPr>
          <w:rFonts w:ascii="Times New Roman" w:hAnsi="Times New Roman" w:cs="Times New Roman"/>
          <w:sz w:val="24"/>
          <w:szCs w:val="24"/>
        </w:rPr>
        <w:t xml:space="preserve">forecasted costs from </w:t>
      </w:r>
      <w:r w:rsidR="00717402" w:rsidRPr="0016089F">
        <w:rPr>
          <w:rFonts w:ascii="Times New Roman" w:hAnsi="Times New Roman" w:cs="Times New Roman"/>
          <w:sz w:val="24"/>
          <w:szCs w:val="24"/>
        </w:rPr>
        <w:t>prior SDG&amp;E GRC Phase 2 proceeding</w:t>
      </w:r>
      <w:r w:rsidR="00D243AF" w:rsidRPr="0016089F">
        <w:rPr>
          <w:rFonts w:ascii="Times New Roman" w:hAnsi="Times New Roman" w:cs="Times New Roman"/>
          <w:sz w:val="24"/>
          <w:szCs w:val="24"/>
        </w:rPr>
        <w:t>s</w:t>
      </w:r>
      <w:r w:rsidR="00717402" w:rsidRPr="0016089F">
        <w:rPr>
          <w:rFonts w:ascii="Times New Roman" w:hAnsi="Times New Roman" w:cs="Times New Roman"/>
          <w:sz w:val="24"/>
          <w:szCs w:val="24"/>
        </w:rPr>
        <w:t xml:space="preserve">. </w:t>
      </w:r>
      <w:r w:rsidR="00F8461E" w:rsidRPr="0016089F">
        <w:rPr>
          <w:rFonts w:ascii="Times New Roman" w:hAnsi="Times New Roman" w:cs="Times New Roman"/>
          <w:sz w:val="24"/>
          <w:szCs w:val="24"/>
        </w:rPr>
        <w:t xml:space="preserve">The </w:t>
      </w:r>
      <w:r w:rsidR="00B07431" w:rsidRPr="0016089F">
        <w:rPr>
          <w:rFonts w:ascii="Times New Roman" w:hAnsi="Times New Roman" w:cs="Times New Roman"/>
          <w:sz w:val="24"/>
          <w:szCs w:val="24"/>
        </w:rPr>
        <w:t>2008</w:t>
      </w:r>
      <w:r w:rsidR="004E60F4" w:rsidRPr="0016089F">
        <w:rPr>
          <w:rFonts w:ascii="Times New Roman" w:hAnsi="Times New Roman" w:cs="Times New Roman"/>
          <w:sz w:val="24"/>
          <w:szCs w:val="24"/>
        </w:rPr>
        <w:t xml:space="preserve"> GRC Phase 2 </w:t>
      </w:r>
      <w:r w:rsidR="00865D70" w:rsidRPr="0016089F">
        <w:rPr>
          <w:rFonts w:ascii="Times New Roman" w:hAnsi="Times New Roman" w:cs="Times New Roman"/>
          <w:sz w:val="24"/>
          <w:szCs w:val="24"/>
        </w:rPr>
        <w:t>proceeding (A.07-01-047)</w:t>
      </w:r>
      <w:r w:rsidR="00F8461E" w:rsidRPr="0016089F">
        <w:rPr>
          <w:rFonts w:ascii="Times New Roman" w:hAnsi="Times New Roman" w:cs="Times New Roman"/>
          <w:sz w:val="24"/>
          <w:szCs w:val="24"/>
        </w:rPr>
        <w:t xml:space="preserve"> is the basis for the 2005-2009 capacity factors</w:t>
      </w:r>
      <w:r w:rsidR="00A87991">
        <w:rPr>
          <w:rFonts w:ascii="Times New Roman" w:hAnsi="Times New Roman" w:cs="Times New Roman"/>
          <w:sz w:val="24"/>
          <w:szCs w:val="24"/>
        </w:rPr>
        <w:t>;</w:t>
      </w:r>
      <w:r w:rsidR="00466417" w:rsidRPr="0016089F">
        <w:rPr>
          <w:rFonts w:ascii="Times New Roman" w:hAnsi="Times New Roman" w:cs="Times New Roman"/>
          <w:sz w:val="24"/>
          <w:szCs w:val="24"/>
        </w:rPr>
        <w:t xml:space="preserve"> </w:t>
      </w:r>
      <w:r w:rsidR="00717402" w:rsidRPr="0016089F">
        <w:rPr>
          <w:rFonts w:ascii="Times New Roman" w:hAnsi="Times New Roman" w:cs="Times New Roman"/>
          <w:sz w:val="24"/>
          <w:szCs w:val="24"/>
        </w:rPr>
        <w:t>the 2012 GRC Phase 2 proceeding (A.11-10-002)</w:t>
      </w:r>
      <w:r w:rsidR="00F8461E" w:rsidRPr="0016089F">
        <w:rPr>
          <w:rFonts w:ascii="Times New Roman" w:hAnsi="Times New Roman" w:cs="Times New Roman"/>
          <w:sz w:val="24"/>
          <w:szCs w:val="24"/>
        </w:rPr>
        <w:t xml:space="preserve"> is the basis for the 2010-2013 capacity factors</w:t>
      </w:r>
      <w:r w:rsidR="00A87991">
        <w:rPr>
          <w:rFonts w:ascii="Times New Roman" w:hAnsi="Times New Roman" w:cs="Times New Roman"/>
          <w:sz w:val="24"/>
          <w:szCs w:val="24"/>
        </w:rPr>
        <w:t>;</w:t>
      </w:r>
      <w:r w:rsidR="00717402" w:rsidRPr="0016089F">
        <w:rPr>
          <w:rFonts w:ascii="Times New Roman" w:hAnsi="Times New Roman" w:cs="Times New Roman"/>
          <w:sz w:val="24"/>
          <w:szCs w:val="24"/>
        </w:rPr>
        <w:t xml:space="preserve"> and the 201</w:t>
      </w:r>
      <w:r w:rsidR="00F8461E" w:rsidRPr="0016089F">
        <w:rPr>
          <w:rFonts w:ascii="Times New Roman" w:hAnsi="Times New Roman" w:cs="Times New Roman"/>
          <w:sz w:val="24"/>
          <w:szCs w:val="24"/>
        </w:rPr>
        <w:t>6</w:t>
      </w:r>
      <w:r w:rsidR="00717402" w:rsidRPr="0016089F">
        <w:rPr>
          <w:rFonts w:ascii="Times New Roman" w:hAnsi="Times New Roman" w:cs="Times New Roman"/>
          <w:sz w:val="24"/>
          <w:szCs w:val="24"/>
        </w:rPr>
        <w:t xml:space="preserve"> GRC Phase 2 proceeding (A.1</w:t>
      </w:r>
      <w:r w:rsidR="00F8461E" w:rsidRPr="0016089F">
        <w:rPr>
          <w:rFonts w:ascii="Times New Roman" w:hAnsi="Times New Roman" w:cs="Times New Roman"/>
          <w:sz w:val="24"/>
          <w:szCs w:val="24"/>
        </w:rPr>
        <w:t>5</w:t>
      </w:r>
      <w:r w:rsidR="00717402" w:rsidRPr="0016089F">
        <w:rPr>
          <w:rFonts w:ascii="Times New Roman" w:hAnsi="Times New Roman" w:cs="Times New Roman"/>
          <w:sz w:val="24"/>
          <w:szCs w:val="24"/>
        </w:rPr>
        <w:t>-</w:t>
      </w:r>
      <w:r w:rsidR="00F8461E" w:rsidRPr="0016089F">
        <w:rPr>
          <w:rFonts w:ascii="Times New Roman" w:hAnsi="Times New Roman" w:cs="Times New Roman"/>
          <w:sz w:val="24"/>
          <w:szCs w:val="24"/>
        </w:rPr>
        <w:t>04</w:t>
      </w:r>
      <w:r w:rsidR="00717402" w:rsidRPr="0016089F">
        <w:rPr>
          <w:rFonts w:ascii="Times New Roman" w:hAnsi="Times New Roman" w:cs="Times New Roman"/>
          <w:sz w:val="24"/>
          <w:szCs w:val="24"/>
        </w:rPr>
        <w:t>-</w:t>
      </w:r>
      <w:r w:rsidR="00F8461E" w:rsidRPr="0016089F">
        <w:rPr>
          <w:rFonts w:ascii="Times New Roman" w:hAnsi="Times New Roman" w:cs="Times New Roman"/>
          <w:sz w:val="24"/>
          <w:szCs w:val="24"/>
        </w:rPr>
        <w:t>012</w:t>
      </w:r>
      <w:r w:rsidR="00717402" w:rsidRPr="0016089F">
        <w:rPr>
          <w:rFonts w:ascii="Times New Roman" w:hAnsi="Times New Roman" w:cs="Times New Roman"/>
          <w:sz w:val="24"/>
          <w:szCs w:val="24"/>
        </w:rPr>
        <w:t>)</w:t>
      </w:r>
      <w:r w:rsidR="00F8461E" w:rsidRPr="0016089F">
        <w:rPr>
          <w:rFonts w:ascii="Times New Roman" w:hAnsi="Times New Roman" w:cs="Times New Roman"/>
          <w:sz w:val="24"/>
          <w:szCs w:val="24"/>
        </w:rPr>
        <w:t xml:space="preserve"> is the basis for the </w:t>
      </w:r>
      <w:r w:rsidR="009123A5" w:rsidRPr="0016089F">
        <w:rPr>
          <w:rFonts w:ascii="Times New Roman" w:hAnsi="Times New Roman" w:cs="Times New Roman"/>
          <w:sz w:val="24"/>
          <w:szCs w:val="24"/>
        </w:rPr>
        <w:t>2014-2016 capacity factors.</w:t>
      </w:r>
    </w:p>
    <w:p w14:paraId="2EBEBD81" w14:textId="1196B4B0" w:rsidR="009123A5" w:rsidRPr="0016089F" w:rsidRDefault="00A16C0D"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 xml:space="preserve">These capacity factors are based on forecasted </w:t>
      </w:r>
      <w:r w:rsidR="00A87991">
        <w:rPr>
          <w:rFonts w:ascii="Times New Roman" w:hAnsi="Times New Roman" w:cs="Times New Roman"/>
          <w:sz w:val="24"/>
          <w:szCs w:val="24"/>
        </w:rPr>
        <w:t>(</w:t>
      </w:r>
      <w:r w:rsidRPr="0016089F">
        <w:rPr>
          <w:rFonts w:ascii="Times New Roman" w:hAnsi="Times New Roman" w:cs="Times New Roman"/>
          <w:sz w:val="24"/>
          <w:szCs w:val="24"/>
        </w:rPr>
        <w:t>not actual</w:t>
      </w:r>
      <w:r w:rsidR="00A87991">
        <w:rPr>
          <w:rFonts w:ascii="Times New Roman" w:hAnsi="Times New Roman" w:cs="Times New Roman"/>
          <w:sz w:val="24"/>
          <w:szCs w:val="24"/>
        </w:rPr>
        <w:t>)</w:t>
      </w:r>
      <w:r w:rsidRPr="0016089F">
        <w:rPr>
          <w:rFonts w:ascii="Times New Roman" w:hAnsi="Times New Roman" w:cs="Times New Roman"/>
          <w:sz w:val="24"/>
          <w:szCs w:val="24"/>
        </w:rPr>
        <w:t xml:space="preserve"> investment costs </w:t>
      </w:r>
      <w:r w:rsidR="00CA274A" w:rsidRPr="0016089F">
        <w:rPr>
          <w:rFonts w:ascii="Times New Roman" w:hAnsi="Times New Roman" w:cs="Times New Roman"/>
          <w:sz w:val="24"/>
          <w:szCs w:val="24"/>
        </w:rPr>
        <w:t xml:space="preserve">because the distribution planning loads used in this regression analysis </w:t>
      </w:r>
      <w:r w:rsidR="00602ED4" w:rsidRPr="0016089F">
        <w:rPr>
          <w:rFonts w:ascii="Times New Roman" w:hAnsi="Times New Roman" w:cs="Times New Roman"/>
          <w:sz w:val="24"/>
          <w:szCs w:val="24"/>
        </w:rPr>
        <w:t xml:space="preserve">are based on forecasted </w:t>
      </w:r>
      <w:r w:rsidR="00A87991">
        <w:rPr>
          <w:rFonts w:ascii="Times New Roman" w:hAnsi="Times New Roman" w:cs="Times New Roman"/>
          <w:sz w:val="24"/>
          <w:szCs w:val="24"/>
        </w:rPr>
        <w:t>(</w:t>
      </w:r>
      <w:r w:rsidR="00602ED4" w:rsidRPr="0016089F">
        <w:rPr>
          <w:rFonts w:ascii="Times New Roman" w:hAnsi="Times New Roman" w:cs="Times New Roman"/>
          <w:sz w:val="24"/>
          <w:szCs w:val="24"/>
        </w:rPr>
        <w:t>not actual</w:t>
      </w:r>
      <w:r w:rsidR="00A87991">
        <w:rPr>
          <w:rFonts w:ascii="Times New Roman" w:hAnsi="Times New Roman" w:cs="Times New Roman"/>
          <w:sz w:val="24"/>
          <w:szCs w:val="24"/>
        </w:rPr>
        <w:t>)</w:t>
      </w:r>
      <w:r w:rsidR="00602ED4" w:rsidRPr="0016089F">
        <w:rPr>
          <w:rFonts w:ascii="Times New Roman" w:hAnsi="Times New Roman" w:cs="Times New Roman"/>
          <w:sz w:val="24"/>
          <w:szCs w:val="24"/>
        </w:rPr>
        <w:t xml:space="preserve"> </w:t>
      </w:r>
      <w:r w:rsidR="00E869F9" w:rsidRPr="0016089F">
        <w:rPr>
          <w:rFonts w:ascii="Times New Roman" w:hAnsi="Times New Roman" w:cs="Times New Roman"/>
          <w:sz w:val="24"/>
          <w:szCs w:val="24"/>
        </w:rPr>
        <w:t>loads</w:t>
      </w:r>
      <w:r w:rsidR="00602ED4" w:rsidRPr="0016089F">
        <w:rPr>
          <w:rFonts w:ascii="Times New Roman" w:hAnsi="Times New Roman" w:cs="Times New Roman"/>
          <w:sz w:val="24"/>
          <w:szCs w:val="24"/>
        </w:rPr>
        <w:t>.</w:t>
      </w:r>
    </w:p>
    <w:p w14:paraId="5BB1367C" w14:textId="77777777" w:rsidR="009123A5" w:rsidRPr="0016089F" w:rsidRDefault="009123A5" w:rsidP="009123A5">
      <w:pPr>
        <w:widowControl/>
        <w:spacing w:after="160" w:line="259" w:lineRule="auto"/>
        <w:contextualSpacing/>
        <w:rPr>
          <w:rFonts w:ascii="Times New Roman" w:hAnsi="Times New Roman" w:cs="Times New Roman"/>
          <w:sz w:val="24"/>
          <w:szCs w:val="24"/>
        </w:rPr>
      </w:pPr>
    </w:p>
    <w:p w14:paraId="76B46DA8" w14:textId="11F2AB5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describe how the substation and circuit loads were weather-normalized.</w:t>
      </w:r>
    </w:p>
    <w:p w14:paraId="14C2A1F0" w14:textId="77777777" w:rsidR="00AE33EC" w:rsidRPr="0016089F" w:rsidRDefault="00AE33EC" w:rsidP="00AE33EC">
      <w:pPr>
        <w:pStyle w:val="ListParagraph"/>
        <w:widowControl/>
        <w:spacing w:after="160" w:line="259" w:lineRule="auto"/>
        <w:ind w:left="720"/>
        <w:contextualSpacing/>
        <w:rPr>
          <w:rFonts w:ascii="Times New Roman" w:hAnsi="Times New Roman" w:cs="Times New Roman"/>
          <w:b/>
          <w:sz w:val="24"/>
          <w:szCs w:val="24"/>
        </w:rPr>
      </w:pPr>
    </w:p>
    <w:p w14:paraId="682B3BAC" w14:textId="2CBF41A1" w:rsidR="00AE33EC" w:rsidRPr="0016089F" w:rsidRDefault="00AE33EC" w:rsidP="00AE33EC">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p>
    <w:p w14:paraId="5B63A5AD" w14:textId="77777777" w:rsidR="0024166E" w:rsidRPr="0016089F" w:rsidRDefault="0024166E" w:rsidP="0024166E">
      <w:pPr>
        <w:pStyle w:val="xmsonormal"/>
        <w:ind w:left="720"/>
        <w:rPr>
          <w:rFonts w:ascii="Times New Roman" w:hAnsi="Times New Roman" w:cs="Times New Roman"/>
          <w:sz w:val="24"/>
          <w:szCs w:val="24"/>
        </w:rPr>
      </w:pPr>
      <w:r w:rsidRPr="0016089F">
        <w:rPr>
          <w:rFonts w:ascii="Times New Roman" w:hAnsi="Times New Roman" w:cs="Times New Roman"/>
          <w:sz w:val="24"/>
          <w:szCs w:val="24"/>
        </w:rPr>
        <w:t>Weather normalization is performed for each circuit by comparing the historical weather</w:t>
      </w:r>
      <w:r w:rsidRPr="0016089F">
        <w:rPr>
          <w:rFonts w:ascii="Times New Roman" w:hAnsi="Times New Roman" w:cs="Times New Roman"/>
          <w:color w:val="FF0000"/>
          <w:sz w:val="24"/>
          <w:szCs w:val="24"/>
        </w:rPr>
        <w:t xml:space="preserve"> </w:t>
      </w:r>
      <w:r w:rsidRPr="0016089F">
        <w:rPr>
          <w:rFonts w:ascii="Times New Roman" w:hAnsi="Times New Roman" w:cs="Times New Roman"/>
          <w:sz w:val="24"/>
          <w:szCs w:val="24"/>
        </w:rPr>
        <w:t>and air temperature of a nearby weather station to historical substation peaks. Based on the most recent summer weather data and historical substation loading in response to weather, an adjustment is generated to calibrate the recent substation peak to a 1-in-2 weather year.</w:t>
      </w:r>
    </w:p>
    <w:p w14:paraId="25A3EE37" w14:textId="77777777" w:rsidR="00AE33EC" w:rsidRPr="0016089F" w:rsidRDefault="00AE33EC" w:rsidP="00AE33EC">
      <w:pPr>
        <w:widowControl/>
        <w:spacing w:after="160" w:line="259" w:lineRule="auto"/>
        <w:contextualSpacing/>
        <w:rPr>
          <w:rFonts w:ascii="Times New Roman" w:hAnsi="Times New Roman" w:cs="Times New Roman"/>
          <w:sz w:val="24"/>
          <w:szCs w:val="24"/>
        </w:rPr>
      </w:pPr>
    </w:p>
    <w:p w14:paraId="02DFB694" w14:textId="2CDA72CA"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The “Normalized Loads” are labeled as “distribution planning forecasted” loads. Are any of these load values based on actual loads, or are they all forecasted? If they are based on past forecasts, please provide the dates and source documents of the forecasts used.</w:t>
      </w:r>
    </w:p>
    <w:p w14:paraId="764CFEDC" w14:textId="77777777" w:rsidR="00AC29F1" w:rsidRPr="0016089F" w:rsidRDefault="00AC29F1" w:rsidP="00AC29F1">
      <w:pPr>
        <w:pStyle w:val="ListParagraph"/>
        <w:widowControl/>
        <w:spacing w:after="160" w:line="259" w:lineRule="auto"/>
        <w:ind w:left="720"/>
        <w:contextualSpacing/>
        <w:rPr>
          <w:rFonts w:ascii="Times New Roman" w:hAnsi="Times New Roman" w:cs="Times New Roman"/>
          <w:b/>
          <w:sz w:val="24"/>
          <w:szCs w:val="24"/>
        </w:rPr>
      </w:pPr>
    </w:p>
    <w:p w14:paraId="2A4C65D8" w14:textId="07BA79EE" w:rsidR="00AC29F1" w:rsidRPr="0016089F" w:rsidRDefault="00AC29F1" w:rsidP="00AC29F1">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p>
    <w:p w14:paraId="17E46419" w14:textId="2FE0D53F" w:rsidR="00DA2812" w:rsidRPr="0016089F" w:rsidRDefault="00DA2812" w:rsidP="00AC29F1">
      <w:pPr>
        <w:pStyle w:val="ListParagraph"/>
        <w:widowControl/>
        <w:spacing w:after="160" w:line="259" w:lineRule="auto"/>
        <w:ind w:left="720"/>
        <w:contextualSpacing/>
        <w:rPr>
          <w:rFonts w:ascii="Times New Roman" w:hAnsi="Times New Roman" w:cs="Times New Roman"/>
          <w:b/>
          <w:sz w:val="24"/>
          <w:szCs w:val="24"/>
        </w:rPr>
      </w:pPr>
    </w:p>
    <w:p w14:paraId="5F619446" w14:textId="6DCECE6A" w:rsidR="00DA2812" w:rsidRPr="0016089F" w:rsidRDefault="008842B9" w:rsidP="00AC29F1">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sz w:val="24"/>
          <w:szCs w:val="24"/>
        </w:rPr>
        <w:t>The “Normalized Loads” used are based on forecasted load not actual loads.</w:t>
      </w:r>
      <w:r w:rsidR="005B6077" w:rsidRPr="0016089F">
        <w:rPr>
          <w:rFonts w:ascii="Times New Roman" w:hAnsi="Times New Roman" w:cs="Times New Roman"/>
          <w:sz w:val="24"/>
          <w:szCs w:val="24"/>
        </w:rPr>
        <w:t xml:space="preserve"> As requested, the attached file </w:t>
      </w:r>
      <w:r w:rsidR="00272452" w:rsidRPr="0016089F">
        <w:rPr>
          <w:rFonts w:ascii="Times New Roman" w:hAnsi="Times New Roman" w:cs="Times New Roman"/>
          <w:sz w:val="24"/>
          <w:szCs w:val="24"/>
        </w:rPr>
        <w:t xml:space="preserve">(“UCAN DR-02, Q31”) </w:t>
      </w:r>
      <w:r w:rsidR="005B6077" w:rsidRPr="0016089F">
        <w:rPr>
          <w:rFonts w:ascii="Times New Roman" w:hAnsi="Times New Roman" w:cs="Times New Roman"/>
          <w:sz w:val="24"/>
          <w:szCs w:val="24"/>
        </w:rPr>
        <w:t xml:space="preserve">provides the </w:t>
      </w:r>
      <w:r w:rsidR="00272452" w:rsidRPr="0016089F">
        <w:rPr>
          <w:rFonts w:ascii="Times New Roman" w:hAnsi="Times New Roman" w:cs="Times New Roman"/>
          <w:sz w:val="24"/>
          <w:szCs w:val="24"/>
        </w:rPr>
        <w:t xml:space="preserve">forecasted annual 2005-2020 </w:t>
      </w:r>
      <w:r w:rsidR="00502116" w:rsidRPr="0016089F">
        <w:rPr>
          <w:rFonts w:ascii="Times New Roman" w:hAnsi="Times New Roman" w:cs="Times New Roman"/>
          <w:sz w:val="24"/>
          <w:szCs w:val="24"/>
        </w:rPr>
        <w:t xml:space="preserve">“distribution planning forecasted </w:t>
      </w:r>
      <w:r w:rsidR="00272452" w:rsidRPr="0016089F">
        <w:rPr>
          <w:rFonts w:ascii="Times New Roman" w:hAnsi="Times New Roman" w:cs="Times New Roman"/>
          <w:sz w:val="24"/>
          <w:szCs w:val="24"/>
        </w:rPr>
        <w:t>loads</w:t>
      </w:r>
      <w:r w:rsidR="00502116" w:rsidRPr="0016089F">
        <w:rPr>
          <w:rFonts w:ascii="Times New Roman" w:hAnsi="Times New Roman" w:cs="Times New Roman"/>
          <w:sz w:val="24"/>
          <w:szCs w:val="24"/>
        </w:rPr>
        <w:t>”</w:t>
      </w:r>
      <w:r w:rsidR="00272452" w:rsidRPr="0016089F">
        <w:rPr>
          <w:rFonts w:ascii="Times New Roman" w:hAnsi="Times New Roman" w:cs="Times New Roman"/>
          <w:sz w:val="24"/>
          <w:szCs w:val="24"/>
        </w:rPr>
        <w:t xml:space="preserve"> for circuits and substati</w:t>
      </w:r>
      <w:r w:rsidR="00502116" w:rsidRPr="0016089F">
        <w:rPr>
          <w:rFonts w:ascii="Times New Roman" w:hAnsi="Times New Roman" w:cs="Times New Roman"/>
          <w:sz w:val="24"/>
          <w:szCs w:val="24"/>
        </w:rPr>
        <w:t xml:space="preserve">ons </w:t>
      </w:r>
      <w:r w:rsidR="00C47D8B" w:rsidRPr="0016089F">
        <w:rPr>
          <w:rFonts w:ascii="Times New Roman" w:hAnsi="Times New Roman" w:cs="Times New Roman"/>
          <w:sz w:val="24"/>
          <w:szCs w:val="24"/>
        </w:rPr>
        <w:t>that were used in developing the proposed marginal distribution demand costs.</w:t>
      </w:r>
      <w:r w:rsidR="00502116" w:rsidRPr="0016089F">
        <w:rPr>
          <w:rFonts w:ascii="Times New Roman" w:hAnsi="Times New Roman" w:cs="Times New Roman"/>
          <w:sz w:val="24"/>
          <w:szCs w:val="24"/>
        </w:rPr>
        <w:t xml:space="preserve"> </w:t>
      </w:r>
    </w:p>
    <w:p w14:paraId="53726DA6" w14:textId="2EDA4E17" w:rsidR="00AC29F1" w:rsidRPr="0016089F" w:rsidRDefault="00A87991" w:rsidP="00E93680">
      <w:pPr>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sz w:val="24"/>
          <w:szCs w:val="24"/>
        </w:rPr>
        <w:object w:dxaOrig="1579" w:dyaOrig="1022" w14:anchorId="555E6464">
          <v:shape id="_x0000_i1027" type="#_x0000_t75" style="width:78.9pt;height:50.7pt" o:ole="">
            <v:imagedata r:id="rId15" o:title=""/>
          </v:shape>
          <o:OLEObject Type="Embed" ProgID="Excel.Sheet.12" ShapeID="_x0000_i1027" DrawAspect="Icon" ObjectID="_1641644929" r:id="rId16"/>
        </w:object>
      </w:r>
    </w:p>
    <w:p w14:paraId="5B6BF8A5" w14:textId="02DA2EFE"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What substation peak loads are used in the regression? Is it the sum of annual maximum demands of individual substations or something else and why?</w:t>
      </w:r>
    </w:p>
    <w:p w14:paraId="15A729CC" w14:textId="77777777" w:rsidR="00AC29F1" w:rsidRPr="0016089F" w:rsidRDefault="00AC29F1" w:rsidP="00AC29F1">
      <w:pPr>
        <w:pStyle w:val="ListParagraph"/>
        <w:widowControl/>
        <w:spacing w:after="160" w:line="259" w:lineRule="auto"/>
        <w:ind w:left="720"/>
        <w:contextualSpacing/>
        <w:rPr>
          <w:rFonts w:ascii="Times New Roman" w:hAnsi="Times New Roman" w:cs="Times New Roman"/>
          <w:b/>
          <w:sz w:val="24"/>
          <w:szCs w:val="24"/>
        </w:rPr>
      </w:pPr>
    </w:p>
    <w:p w14:paraId="79545E0C" w14:textId="44686160" w:rsidR="00AC29F1" w:rsidRPr="0016089F" w:rsidRDefault="00AC29F1" w:rsidP="00AC29F1">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p>
    <w:p w14:paraId="736C70CB" w14:textId="2230228B" w:rsidR="008842B9" w:rsidRPr="0016089F" w:rsidRDefault="008842B9" w:rsidP="00AC29F1">
      <w:pPr>
        <w:pStyle w:val="ListParagraph"/>
        <w:widowControl/>
        <w:spacing w:after="160" w:line="259" w:lineRule="auto"/>
        <w:ind w:left="720"/>
        <w:contextualSpacing/>
        <w:rPr>
          <w:rFonts w:ascii="Times New Roman" w:hAnsi="Times New Roman" w:cs="Times New Roman"/>
          <w:b/>
          <w:sz w:val="24"/>
          <w:szCs w:val="24"/>
        </w:rPr>
      </w:pPr>
    </w:p>
    <w:p w14:paraId="2BA9FFA5" w14:textId="6AED537A" w:rsidR="008842B9" w:rsidRPr="0016089F" w:rsidRDefault="00342E00" w:rsidP="00AC29F1">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sz w:val="24"/>
          <w:szCs w:val="24"/>
        </w:rPr>
        <w:t xml:space="preserve">The substation peak loads used in the regression analysis are </w:t>
      </w:r>
      <w:r w:rsidR="00613212" w:rsidRPr="0016089F">
        <w:rPr>
          <w:rFonts w:ascii="Times New Roman" w:hAnsi="Times New Roman" w:cs="Times New Roman"/>
          <w:sz w:val="24"/>
          <w:szCs w:val="24"/>
        </w:rPr>
        <w:t xml:space="preserve">based on sum of the annual maximum demand of </w:t>
      </w:r>
      <w:r w:rsidR="00E60C9B" w:rsidRPr="0016089F">
        <w:rPr>
          <w:rFonts w:ascii="Times New Roman" w:hAnsi="Times New Roman" w:cs="Times New Roman"/>
          <w:sz w:val="24"/>
          <w:szCs w:val="24"/>
        </w:rPr>
        <w:t>substations</w:t>
      </w:r>
      <w:r w:rsidR="005B2A4A" w:rsidRPr="0016089F">
        <w:rPr>
          <w:rFonts w:ascii="Times New Roman" w:hAnsi="Times New Roman" w:cs="Times New Roman"/>
          <w:sz w:val="24"/>
          <w:szCs w:val="24"/>
        </w:rPr>
        <w:t xml:space="preserve">.  </w:t>
      </w:r>
    </w:p>
    <w:p w14:paraId="07497D80" w14:textId="77777777" w:rsidR="00AC29F1" w:rsidRPr="0016089F" w:rsidRDefault="00AC29F1" w:rsidP="00AC29F1">
      <w:pPr>
        <w:widowControl/>
        <w:spacing w:after="160" w:line="259" w:lineRule="auto"/>
        <w:contextualSpacing/>
        <w:rPr>
          <w:rFonts w:ascii="Times New Roman" w:hAnsi="Times New Roman" w:cs="Times New Roman"/>
          <w:sz w:val="24"/>
          <w:szCs w:val="24"/>
        </w:rPr>
      </w:pPr>
    </w:p>
    <w:p w14:paraId="582ECA94" w14:textId="48FB3D8B"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What circuit peak loads are used in the regression? Is it the sum of annual maximum demands of individual circuits or something else and why?</w:t>
      </w:r>
    </w:p>
    <w:p w14:paraId="73937492" w14:textId="77777777" w:rsidR="00AC29F1" w:rsidRPr="0016089F" w:rsidRDefault="00AC29F1" w:rsidP="00AC29F1">
      <w:pPr>
        <w:pStyle w:val="ListParagraph"/>
        <w:widowControl/>
        <w:spacing w:after="160" w:line="259" w:lineRule="auto"/>
        <w:ind w:left="720"/>
        <w:contextualSpacing/>
        <w:rPr>
          <w:rFonts w:ascii="Times New Roman" w:hAnsi="Times New Roman" w:cs="Times New Roman"/>
          <w:b/>
          <w:sz w:val="24"/>
          <w:szCs w:val="24"/>
        </w:rPr>
      </w:pPr>
    </w:p>
    <w:p w14:paraId="582FBB33" w14:textId="2DA85440" w:rsidR="00AC29F1" w:rsidRPr="0016089F" w:rsidRDefault="00AC29F1" w:rsidP="00AC29F1">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p>
    <w:p w14:paraId="2DB4E881" w14:textId="10485AC2" w:rsidR="005B2A4A" w:rsidRPr="0016089F" w:rsidRDefault="005B2A4A" w:rsidP="00AC29F1">
      <w:pPr>
        <w:pStyle w:val="ListParagraph"/>
        <w:widowControl/>
        <w:spacing w:after="160" w:line="259" w:lineRule="auto"/>
        <w:ind w:left="720"/>
        <w:contextualSpacing/>
        <w:rPr>
          <w:rFonts w:ascii="Times New Roman" w:hAnsi="Times New Roman" w:cs="Times New Roman"/>
          <w:b/>
          <w:sz w:val="24"/>
          <w:szCs w:val="24"/>
        </w:rPr>
      </w:pPr>
    </w:p>
    <w:p w14:paraId="7B65D703" w14:textId="6AE8A119" w:rsidR="005B2A4A" w:rsidRPr="0016089F" w:rsidRDefault="005B2A4A" w:rsidP="005B2A4A">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sz w:val="24"/>
          <w:szCs w:val="24"/>
        </w:rPr>
        <w:t xml:space="preserve">The circuit peak loads used in the regression analysis are based on sum of the annual maximum demand of substations.  </w:t>
      </w:r>
    </w:p>
    <w:p w14:paraId="42CE794D" w14:textId="77777777" w:rsidR="005B2A4A" w:rsidRPr="0016089F" w:rsidRDefault="005B2A4A" w:rsidP="00AC29F1">
      <w:pPr>
        <w:pStyle w:val="ListParagraph"/>
        <w:widowControl/>
        <w:spacing w:after="160" w:line="259" w:lineRule="auto"/>
        <w:ind w:left="720"/>
        <w:contextualSpacing/>
        <w:rPr>
          <w:rFonts w:ascii="Times New Roman" w:hAnsi="Times New Roman" w:cs="Times New Roman"/>
          <w:sz w:val="24"/>
          <w:szCs w:val="24"/>
        </w:rPr>
      </w:pPr>
    </w:p>
    <w:p w14:paraId="161E6B2E" w14:textId="77777777" w:rsidR="00683370" w:rsidRPr="0016089F" w:rsidRDefault="00683370" w:rsidP="00683370">
      <w:pPr>
        <w:rPr>
          <w:rFonts w:ascii="Times New Roman" w:hAnsi="Times New Roman" w:cs="Times New Roman"/>
          <w:sz w:val="24"/>
          <w:szCs w:val="24"/>
        </w:rPr>
      </w:pPr>
      <w:r w:rsidRPr="0016089F">
        <w:rPr>
          <w:rFonts w:ascii="Times New Roman" w:hAnsi="Times New Roman" w:cs="Times New Roman"/>
          <w:sz w:val="24"/>
          <w:szCs w:val="24"/>
        </w:rPr>
        <w:t>The following questions refer to Chapter 5 Workpaper #1, specifically the “Distrib System Determinants” tab.</w:t>
      </w:r>
    </w:p>
    <w:p w14:paraId="28028E44" w14:textId="7AEC0A09"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lastRenderedPageBreak/>
        <w:t>What are the Forecasted 2020 On-Peak Demands? Are they the class contributions to the forecasted system peak for the CAISO system, the SDG&amp;E system, or some other system? Is this for the peak hour in 2020 or some set of hours?</w:t>
      </w:r>
    </w:p>
    <w:p w14:paraId="69D7A077" w14:textId="77777777" w:rsidR="00AC29F1" w:rsidRPr="0016089F" w:rsidRDefault="00AC29F1" w:rsidP="00AC29F1">
      <w:pPr>
        <w:pStyle w:val="ListParagraph"/>
        <w:widowControl/>
        <w:spacing w:after="160" w:line="259" w:lineRule="auto"/>
        <w:ind w:left="720"/>
        <w:contextualSpacing/>
        <w:rPr>
          <w:rFonts w:ascii="Times New Roman" w:hAnsi="Times New Roman" w:cs="Times New Roman"/>
          <w:b/>
          <w:sz w:val="24"/>
          <w:szCs w:val="24"/>
        </w:rPr>
      </w:pPr>
    </w:p>
    <w:p w14:paraId="5950FBB4" w14:textId="21B00C2A" w:rsidR="00AC29F1" w:rsidRPr="0016089F" w:rsidRDefault="00AC29F1" w:rsidP="00AC29F1">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p>
    <w:p w14:paraId="79CF73E8" w14:textId="269E8484" w:rsidR="006A3B28" w:rsidRPr="0016089F" w:rsidRDefault="006A3B28" w:rsidP="00AC29F1">
      <w:pPr>
        <w:pStyle w:val="ListParagraph"/>
        <w:widowControl/>
        <w:spacing w:after="160" w:line="259" w:lineRule="auto"/>
        <w:ind w:left="720"/>
        <w:contextualSpacing/>
        <w:rPr>
          <w:rFonts w:ascii="Times New Roman" w:hAnsi="Times New Roman" w:cs="Times New Roman"/>
          <w:b/>
          <w:sz w:val="24"/>
          <w:szCs w:val="24"/>
        </w:rPr>
      </w:pPr>
    </w:p>
    <w:p w14:paraId="2A4E91E6" w14:textId="11CBDF1E" w:rsidR="006A3B28" w:rsidRPr="0016089F" w:rsidRDefault="006A3B28" w:rsidP="00AC29F1">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sz w:val="24"/>
          <w:szCs w:val="24"/>
        </w:rPr>
        <w:t xml:space="preserve">The “Forecasted 2020 On-Peak Demands” represent the </w:t>
      </w:r>
      <w:r w:rsidR="008844AE" w:rsidRPr="0016089F">
        <w:rPr>
          <w:rFonts w:ascii="Times New Roman" w:hAnsi="Times New Roman" w:cs="Times New Roman"/>
          <w:sz w:val="24"/>
          <w:szCs w:val="24"/>
        </w:rPr>
        <w:t xml:space="preserve">sum of the maximum 4-9 p.m. </w:t>
      </w:r>
      <w:r w:rsidR="00822EAB" w:rsidRPr="0016089F">
        <w:rPr>
          <w:rFonts w:ascii="Times New Roman" w:hAnsi="Times New Roman" w:cs="Times New Roman"/>
          <w:sz w:val="24"/>
          <w:szCs w:val="24"/>
        </w:rPr>
        <w:t xml:space="preserve">forecasted 2020 </w:t>
      </w:r>
      <w:r w:rsidR="00DF1B82" w:rsidRPr="0016089F">
        <w:rPr>
          <w:rFonts w:ascii="Times New Roman" w:hAnsi="Times New Roman" w:cs="Times New Roman"/>
          <w:sz w:val="24"/>
          <w:szCs w:val="24"/>
        </w:rPr>
        <w:t xml:space="preserve">demands of customers </w:t>
      </w:r>
      <w:r w:rsidR="00BC6FC1" w:rsidRPr="0016089F">
        <w:rPr>
          <w:rFonts w:ascii="Times New Roman" w:hAnsi="Times New Roman" w:cs="Times New Roman"/>
          <w:sz w:val="24"/>
          <w:szCs w:val="24"/>
        </w:rPr>
        <w:t xml:space="preserve">for </w:t>
      </w:r>
      <w:r w:rsidR="00AB10CD" w:rsidRPr="0016089F">
        <w:rPr>
          <w:rFonts w:ascii="Times New Roman" w:hAnsi="Times New Roman" w:cs="Times New Roman"/>
          <w:sz w:val="24"/>
          <w:szCs w:val="24"/>
        </w:rPr>
        <w:t xml:space="preserve">each class </w:t>
      </w:r>
      <w:r w:rsidR="004D77A9" w:rsidRPr="0016089F">
        <w:rPr>
          <w:rFonts w:ascii="Times New Roman" w:hAnsi="Times New Roman" w:cs="Times New Roman"/>
          <w:sz w:val="24"/>
          <w:szCs w:val="24"/>
        </w:rPr>
        <w:t xml:space="preserve">(forecasted annual 2020 </w:t>
      </w:r>
      <w:r w:rsidR="00AB10CD" w:rsidRPr="0016089F">
        <w:rPr>
          <w:rFonts w:ascii="Times New Roman" w:hAnsi="Times New Roman" w:cs="Times New Roman"/>
          <w:sz w:val="24"/>
          <w:szCs w:val="24"/>
        </w:rPr>
        <w:t xml:space="preserve">customer class </w:t>
      </w:r>
      <w:r w:rsidR="004D77A9" w:rsidRPr="0016089F">
        <w:rPr>
          <w:rFonts w:ascii="Times New Roman" w:hAnsi="Times New Roman" w:cs="Times New Roman"/>
          <w:sz w:val="24"/>
          <w:szCs w:val="24"/>
        </w:rPr>
        <w:t>demands for the hours 4-9 pm every day of the week)</w:t>
      </w:r>
      <w:r w:rsidR="00ED5D9D" w:rsidRPr="0016089F">
        <w:rPr>
          <w:rFonts w:ascii="Times New Roman" w:hAnsi="Times New Roman" w:cs="Times New Roman"/>
          <w:sz w:val="24"/>
          <w:szCs w:val="24"/>
        </w:rPr>
        <w:t xml:space="preserve">, of customers taking electric service </w:t>
      </w:r>
      <w:r w:rsidR="00822EAB" w:rsidRPr="0016089F">
        <w:rPr>
          <w:rFonts w:ascii="Times New Roman" w:hAnsi="Times New Roman" w:cs="Times New Roman"/>
          <w:sz w:val="24"/>
          <w:szCs w:val="24"/>
        </w:rPr>
        <w:t>on the SDG&amp;E</w:t>
      </w:r>
      <w:r w:rsidR="00531E08" w:rsidRPr="0016089F">
        <w:rPr>
          <w:rFonts w:ascii="Times New Roman" w:hAnsi="Times New Roman" w:cs="Times New Roman"/>
          <w:sz w:val="24"/>
          <w:szCs w:val="24"/>
        </w:rPr>
        <w:t>’s</w:t>
      </w:r>
      <w:r w:rsidR="00822EAB" w:rsidRPr="0016089F">
        <w:rPr>
          <w:rFonts w:ascii="Times New Roman" w:hAnsi="Times New Roman" w:cs="Times New Roman"/>
          <w:sz w:val="24"/>
          <w:szCs w:val="24"/>
        </w:rPr>
        <w:t xml:space="preserve"> system</w:t>
      </w:r>
      <w:r w:rsidR="008F22BB" w:rsidRPr="0016089F">
        <w:rPr>
          <w:rFonts w:ascii="Times New Roman" w:hAnsi="Times New Roman" w:cs="Times New Roman"/>
          <w:sz w:val="24"/>
          <w:szCs w:val="24"/>
        </w:rPr>
        <w:t>.</w:t>
      </w:r>
    </w:p>
    <w:p w14:paraId="4C49E4FE" w14:textId="77777777" w:rsidR="00AC29F1" w:rsidRPr="0016089F" w:rsidRDefault="00AC29F1" w:rsidP="00AC29F1">
      <w:pPr>
        <w:widowControl/>
        <w:spacing w:after="160" w:line="259" w:lineRule="auto"/>
        <w:contextualSpacing/>
        <w:rPr>
          <w:rFonts w:ascii="Times New Roman" w:hAnsi="Times New Roman" w:cs="Times New Roman"/>
          <w:sz w:val="24"/>
          <w:szCs w:val="24"/>
        </w:rPr>
      </w:pPr>
    </w:p>
    <w:p w14:paraId="05189648" w14:textId="1033E793"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What are the Forecasted 2020 Non-Coincident Demands? Are they the forecasted class peak demands for 2020 for the peak hour or some set of hours?</w:t>
      </w:r>
    </w:p>
    <w:p w14:paraId="39E54E64" w14:textId="77777777" w:rsidR="00AC29F1" w:rsidRPr="0016089F" w:rsidRDefault="00AC29F1" w:rsidP="00AC29F1">
      <w:pPr>
        <w:pStyle w:val="ListParagraph"/>
        <w:widowControl/>
        <w:spacing w:after="160" w:line="259" w:lineRule="auto"/>
        <w:ind w:left="720"/>
        <w:contextualSpacing/>
        <w:rPr>
          <w:rFonts w:ascii="Times New Roman" w:hAnsi="Times New Roman" w:cs="Times New Roman"/>
          <w:b/>
          <w:sz w:val="24"/>
          <w:szCs w:val="24"/>
        </w:rPr>
      </w:pPr>
    </w:p>
    <w:p w14:paraId="358D962C" w14:textId="08277F73" w:rsidR="00AC29F1" w:rsidRPr="0016089F" w:rsidRDefault="00AC29F1" w:rsidP="00AC29F1">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p>
    <w:p w14:paraId="6E510F2E" w14:textId="77777777" w:rsidR="008F22BB" w:rsidRPr="0016089F" w:rsidRDefault="008F22BB" w:rsidP="00AC29F1">
      <w:pPr>
        <w:pStyle w:val="ListParagraph"/>
        <w:widowControl/>
        <w:spacing w:after="160" w:line="259" w:lineRule="auto"/>
        <w:ind w:left="720"/>
        <w:contextualSpacing/>
        <w:rPr>
          <w:rFonts w:ascii="Times New Roman" w:hAnsi="Times New Roman" w:cs="Times New Roman"/>
          <w:b/>
          <w:sz w:val="24"/>
          <w:szCs w:val="24"/>
        </w:rPr>
      </w:pPr>
    </w:p>
    <w:p w14:paraId="10D64BD2" w14:textId="003BBC7B" w:rsidR="008F22BB" w:rsidRPr="0016089F" w:rsidRDefault="008F22BB" w:rsidP="008F22BB">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sz w:val="24"/>
          <w:szCs w:val="24"/>
        </w:rPr>
        <w:t>The “Forecasted 2020 Non-Coincident Demands” represent the sum of the maximum forecasted 2020 demands</w:t>
      </w:r>
      <w:r w:rsidR="00CB2EB8" w:rsidRPr="0016089F">
        <w:rPr>
          <w:rFonts w:ascii="Times New Roman" w:hAnsi="Times New Roman" w:cs="Times New Roman"/>
          <w:sz w:val="24"/>
          <w:szCs w:val="24"/>
        </w:rPr>
        <w:t xml:space="preserve"> </w:t>
      </w:r>
      <w:r w:rsidR="00ED5D9D" w:rsidRPr="0016089F">
        <w:rPr>
          <w:rFonts w:ascii="Times New Roman" w:hAnsi="Times New Roman" w:cs="Times New Roman"/>
          <w:sz w:val="24"/>
          <w:szCs w:val="24"/>
        </w:rPr>
        <w:t xml:space="preserve">of customers for each customer class </w:t>
      </w:r>
      <w:r w:rsidR="00CB2EB8" w:rsidRPr="0016089F">
        <w:rPr>
          <w:rFonts w:ascii="Times New Roman" w:hAnsi="Times New Roman" w:cs="Times New Roman"/>
          <w:sz w:val="24"/>
          <w:szCs w:val="24"/>
        </w:rPr>
        <w:t>(forecasted annual 2020 customer class maximum demands)</w:t>
      </w:r>
      <w:r w:rsidRPr="0016089F">
        <w:rPr>
          <w:rFonts w:ascii="Times New Roman" w:hAnsi="Times New Roman" w:cs="Times New Roman"/>
          <w:sz w:val="24"/>
          <w:szCs w:val="24"/>
        </w:rPr>
        <w:t xml:space="preserve">, regardless </w:t>
      </w:r>
      <w:r w:rsidR="00CB2EB8" w:rsidRPr="0016089F">
        <w:rPr>
          <w:rFonts w:ascii="Times New Roman" w:hAnsi="Times New Roman" w:cs="Times New Roman"/>
          <w:sz w:val="24"/>
          <w:szCs w:val="24"/>
        </w:rPr>
        <w:t>of when the demand occurs</w:t>
      </w:r>
      <w:r w:rsidRPr="0016089F">
        <w:rPr>
          <w:rFonts w:ascii="Times New Roman" w:hAnsi="Times New Roman" w:cs="Times New Roman"/>
          <w:sz w:val="24"/>
          <w:szCs w:val="24"/>
        </w:rPr>
        <w:t xml:space="preserve">, of customers </w:t>
      </w:r>
      <w:r w:rsidR="00ED5D9D" w:rsidRPr="0016089F">
        <w:rPr>
          <w:rFonts w:ascii="Times New Roman" w:hAnsi="Times New Roman" w:cs="Times New Roman"/>
          <w:sz w:val="24"/>
          <w:szCs w:val="24"/>
        </w:rPr>
        <w:t xml:space="preserve">taking electric service </w:t>
      </w:r>
      <w:r w:rsidRPr="0016089F">
        <w:rPr>
          <w:rFonts w:ascii="Times New Roman" w:hAnsi="Times New Roman" w:cs="Times New Roman"/>
          <w:sz w:val="24"/>
          <w:szCs w:val="24"/>
        </w:rPr>
        <w:t>on the SDG&amp;E system.</w:t>
      </w:r>
    </w:p>
    <w:p w14:paraId="3247ACEC" w14:textId="77777777" w:rsidR="00AC29F1" w:rsidRPr="0016089F" w:rsidRDefault="00AC29F1" w:rsidP="008F22BB">
      <w:pPr>
        <w:widowControl/>
        <w:spacing w:after="160" w:line="259" w:lineRule="auto"/>
        <w:ind w:left="720"/>
        <w:contextualSpacing/>
        <w:rPr>
          <w:rFonts w:ascii="Times New Roman" w:hAnsi="Times New Roman" w:cs="Times New Roman"/>
          <w:sz w:val="24"/>
          <w:szCs w:val="24"/>
        </w:rPr>
      </w:pPr>
    </w:p>
    <w:p w14:paraId="1B49F7E3" w14:textId="3FDA3C42"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provide the supporting data and calculations for circuit effective demand factors and substation effective demand factors. Please provide supporting data and calculations in native, machine-readable format with all formulas intact and readable.</w:t>
      </w:r>
    </w:p>
    <w:p w14:paraId="6EBF8945" w14:textId="77777777" w:rsidR="00517C42" w:rsidRPr="0016089F" w:rsidRDefault="00517C42" w:rsidP="00517C42">
      <w:pPr>
        <w:pStyle w:val="ListParagraph"/>
        <w:widowControl/>
        <w:spacing w:after="160" w:line="259" w:lineRule="auto"/>
        <w:ind w:left="720"/>
        <w:contextualSpacing/>
        <w:rPr>
          <w:rFonts w:ascii="Times New Roman" w:hAnsi="Times New Roman" w:cs="Times New Roman"/>
          <w:b/>
          <w:sz w:val="24"/>
          <w:szCs w:val="24"/>
        </w:rPr>
      </w:pPr>
    </w:p>
    <w:p w14:paraId="17A96645" w14:textId="0B9B3DFC" w:rsidR="0016089F" w:rsidRPr="001B013C" w:rsidRDefault="00517C42" w:rsidP="677D944D">
      <w:pPr>
        <w:spacing w:line="257" w:lineRule="auto"/>
        <w:rPr>
          <w:rFonts w:ascii="Times New Roman" w:hAnsi="Times New Roman" w:cs="Times New Roman"/>
          <w:sz w:val="24"/>
          <w:szCs w:val="24"/>
        </w:rPr>
      </w:pPr>
      <w:r w:rsidRPr="0016089F">
        <w:rPr>
          <w:rFonts w:ascii="Times New Roman" w:hAnsi="Times New Roman" w:cs="Times New Roman"/>
          <w:b/>
          <w:bCs/>
          <w:sz w:val="24"/>
          <w:szCs w:val="24"/>
        </w:rPr>
        <w:t xml:space="preserve">SDG&amp;E Response: </w:t>
      </w:r>
      <w:r w:rsidR="183E9FE6" w:rsidRPr="0016089F">
        <w:rPr>
          <w:rFonts w:ascii="Times New Roman" w:hAnsi="Times New Roman" w:cs="Times New Roman"/>
          <w:sz w:val="24"/>
          <w:szCs w:val="24"/>
        </w:rPr>
        <w:t>Below are the calculation</w:t>
      </w:r>
      <w:r w:rsidR="0016089F">
        <w:rPr>
          <w:rFonts w:ascii="Times New Roman" w:hAnsi="Times New Roman" w:cs="Times New Roman"/>
          <w:sz w:val="24"/>
          <w:szCs w:val="24"/>
        </w:rPr>
        <w:t>s</w:t>
      </w:r>
      <w:r w:rsidR="183E9FE6" w:rsidRPr="0016089F">
        <w:rPr>
          <w:rFonts w:ascii="Times New Roman" w:hAnsi="Times New Roman" w:cs="Times New Roman"/>
          <w:sz w:val="24"/>
          <w:szCs w:val="24"/>
        </w:rPr>
        <w:t xml:space="preserve"> and definitions for EDFS. The</w:t>
      </w:r>
      <w:r w:rsidR="004E138C" w:rsidRPr="0016089F">
        <w:rPr>
          <w:rFonts w:ascii="Times New Roman" w:hAnsi="Times New Roman" w:cs="Times New Roman"/>
          <w:sz w:val="24"/>
          <w:szCs w:val="24"/>
        </w:rPr>
        <w:t xml:space="preserve"> csv. file </w:t>
      </w:r>
      <w:r w:rsidR="00066D40" w:rsidRPr="0016089F">
        <w:rPr>
          <w:rFonts w:ascii="Times New Roman" w:hAnsi="Times New Roman" w:cs="Times New Roman"/>
          <w:sz w:val="24"/>
          <w:szCs w:val="24"/>
        </w:rPr>
        <w:t>(UCAN_DR</w:t>
      </w:r>
      <w:r w:rsidR="000149DA" w:rsidRPr="0016089F">
        <w:rPr>
          <w:rFonts w:ascii="Times New Roman" w:hAnsi="Times New Roman" w:cs="Times New Roman"/>
          <w:sz w:val="24"/>
          <w:szCs w:val="24"/>
        </w:rPr>
        <w:t xml:space="preserve">_2_SDG&amp;E_ResponseQ36) </w:t>
      </w:r>
      <w:r w:rsidR="004E138C" w:rsidRPr="0016089F">
        <w:rPr>
          <w:rFonts w:ascii="Times New Roman" w:hAnsi="Times New Roman" w:cs="Times New Roman"/>
          <w:sz w:val="24"/>
          <w:szCs w:val="24"/>
        </w:rPr>
        <w:t xml:space="preserve">will </w:t>
      </w:r>
      <w:r w:rsidR="0016089F">
        <w:rPr>
          <w:rFonts w:ascii="Times New Roman" w:hAnsi="Times New Roman" w:cs="Times New Roman"/>
          <w:sz w:val="24"/>
          <w:szCs w:val="24"/>
        </w:rPr>
        <w:t>be posted on SDG&amp;E’s website due to the large file size:</w:t>
      </w:r>
      <w:r w:rsidR="001B013C">
        <w:rPr>
          <w:rFonts w:ascii="Times New Roman" w:hAnsi="Times New Roman" w:cs="Times New Roman"/>
          <w:sz w:val="24"/>
          <w:szCs w:val="24"/>
        </w:rPr>
        <w:t xml:space="preserve"> </w:t>
      </w:r>
      <w:hyperlink r:id="rId17">
        <w:r w:rsidR="001B013C" w:rsidRPr="0839E2ED">
          <w:rPr>
            <w:rStyle w:val="Hyperlink"/>
            <w:rFonts w:ascii="Times New Roman" w:hAnsi="Times New Roman" w:cs="Times New Roman"/>
            <w:sz w:val="24"/>
            <w:szCs w:val="24"/>
          </w:rPr>
          <w:t>https://www.sdge.com/rates-and-regulations/proceedings/2019-grc-phase2</w:t>
        </w:r>
      </w:hyperlink>
    </w:p>
    <w:p w14:paraId="403B81AE" w14:textId="12C6171A" w:rsidR="677D944D" w:rsidRPr="0016089F" w:rsidRDefault="677D944D" w:rsidP="677D944D">
      <w:pPr>
        <w:spacing w:line="257" w:lineRule="auto"/>
        <w:rPr>
          <w:rFonts w:ascii="Times New Roman" w:hAnsi="Times New Roman" w:cs="Times New Roman"/>
          <w:sz w:val="24"/>
          <w:szCs w:val="24"/>
        </w:rPr>
      </w:pPr>
    </w:p>
    <w:p w14:paraId="310D9B6B" w14:textId="0D225F58" w:rsidR="183E9FE6" w:rsidRPr="0016089F" w:rsidRDefault="183E9FE6" w:rsidP="677D944D">
      <w:pPr>
        <w:spacing w:line="257" w:lineRule="auto"/>
        <w:rPr>
          <w:rFonts w:ascii="Times New Roman" w:hAnsi="Times New Roman" w:cs="Times New Roman"/>
          <w:b/>
          <w:bCs/>
          <w:sz w:val="24"/>
          <w:szCs w:val="24"/>
        </w:rPr>
      </w:pPr>
      <w:r w:rsidRPr="0016089F">
        <w:rPr>
          <w:rFonts w:ascii="Times New Roman" w:hAnsi="Times New Roman" w:cs="Times New Roman"/>
          <w:sz w:val="24"/>
          <w:szCs w:val="24"/>
        </w:rPr>
        <w:t xml:space="preserve"> </w:t>
      </w:r>
      <w:r w:rsidRPr="0016089F">
        <w:rPr>
          <w:rFonts w:ascii="Times New Roman" w:hAnsi="Times New Roman" w:cs="Times New Roman"/>
          <w:b/>
          <w:bCs/>
          <w:sz w:val="24"/>
          <w:szCs w:val="24"/>
        </w:rPr>
        <w:t xml:space="preserve"> </w:t>
      </w:r>
      <w:r w:rsidRPr="0016089F">
        <w:rPr>
          <w:rFonts w:ascii="Times New Roman" w:eastAsia="Calibri" w:hAnsi="Times New Roman" w:cs="Times New Roman"/>
          <w:sz w:val="24"/>
          <w:szCs w:val="24"/>
        </w:rPr>
        <w:t>Circuit EDF = Circuit Peak/Maximum Demand</w:t>
      </w:r>
    </w:p>
    <w:p w14:paraId="00722F80" w14:textId="2A779116" w:rsidR="183E9FE6" w:rsidRPr="0016089F" w:rsidRDefault="183E9FE6" w:rsidP="677D944D">
      <w:pPr>
        <w:spacing w:line="257" w:lineRule="auto"/>
        <w:rPr>
          <w:rFonts w:ascii="Times New Roman" w:hAnsi="Times New Roman" w:cs="Times New Roman"/>
          <w:sz w:val="24"/>
          <w:szCs w:val="24"/>
        </w:rPr>
      </w:pPr>
      <w:r w:rsidRPr="0016089F">
        <w:rPr>
          <w:rFonts w:ascii="Times New Roman" w:eastAsia="Calibri" w:hAnsi="Times New Roman" w:cs="Times New Roman"/>
          <w:sz w:val="24"/>
          <w:szCs w:val="24"/>
        </w:rPr>
        <w:t xml:space="preserve">  Substation EDF = Substation Peak/Maximum Demand</w:t>
      </w:r>
    </w:p>
    <w:p w14:paraId="3B5A09BF" w14:textId="6DA310BD" w:rsidR="183E9FE6" w:rsidRPr="0016089F" w:rsidRDefault="183E9FE6" w:rsidP="677D944D">
      <w:pPr>
        <w:spacing w:line="257" w:lineRule="auto"/>
        <w:rPr>
          <w:rFonts w:ascii="Times New Roman" w:hAnsi="Times New Roman" w:cs="Times New Roman"/>
          <w:sz w:val="24"/>
          <w:szCs w:val="24"/>
        </w:rPr>
      </w:pPr>
      <w:r w:rsidRPr="0016089F">
        <w:rPr>
          <w:rFonts w:ascii="Times New Roman" w:eastAsia="Calibri" w:hAnsi="Times New Roman" w:cs="Times New Roman"/>
          <w:sz w:val="24"/>
          <w:szCs w:val="24"/>
        </w:rPr>
        <w:t xml:space="preserve"> </w:t>
      </w:r>
    </w:p>
    <w:p w14:paraId="7E266D5D" w14:textId="049DBCC2" w:rsidR="183E9FE6" w:rsidRPr="0016089F" w:rsidRDefault="183E9FE6" w:rsidP="677D944D">
      <w:pPr>
        <w:spacing w:line="257" w:lineRule="auto"/>
        <w:rPr>
          <w:rFonts w:ascii="Times New Roman" w:hAnsi="Times New Roman" w:cs="Times New Roman"/>
          <w:sz w:val="24"/>
          <w:szCs w:val="24"/>
        </w:rPr>
      </w:pPr>
      <w:r w:rsidRPr="0016089F">
        <w:rPr>
          <w:rFonts w:ascii="Times New Roman" w:eastAsia="Calibri" w:hAnsi="Times New Roman" w:cs="Times New Roman"/>
          <w:sz w:val="24"/>
          <w:szCs w:val="24"/>
        </w:rPr>
        <w:t>EDFs are calculated as the sum of all customer’s demands by the following rate classes:</w:t>
      </w:r>
    </w:p>
    <w:p w14:paraId="4C34CCB0" w14:textId="2F037436" w:rsidR="183E9FE6" w:rsidRPr="0016089F" w:rsidRDefault="183E9FE6" w:rsidP="005316D2">
      <w:pPr>
        <w:pStyle w:val="ListParagraph"/>
        <w:numPr>
          <w:ilvl w:val="0"/>
          <w:numId w:val="22"/>
        </w:numPr>
        <w:rPr>
          <w:rFonts w:ascii="Times New Roman" w:eastAsiaTheme="minorEastAsia" w:hAnsi="Times New Roman" w:cs="Times New Roman"/>
          <w:sz w:val="24"/>
          <w:szCs w:val="24"/>
        </w:rPr>
      </w:pPr>
      <w:r w:rsidRPr="0016089F">
        <w:rPr>
          <w:rFonts w:ascii="Times New Roman" w:hAnsi="Times New Roman" w:cs="Times New Roman"/>
          <w:sz w:val="24"/>
          <w:szCs w:val="24"/>
        </w:rPr>
        <w:t>Residential</w:t>
      </w:r>
    </w:p>
    <w:p w14:paraId="380B5B09" w14:textId="749F5302" w:rsidR="183E9FE6" w:rsidRPr="0016089F" w:rsidRDefault="183E9FE6" w:rsidP="005316D2">
      <w:pPr>
        <w:pStyle w:val="ListParagraph"/>
        <w:numPr>
          <w:ilvl w:val="0"/>
          <w:numId w:val="22"/>
        </w:numPr>
        <w:rPr>
          <w:rFonts w:ascii="Times New Roman" w:eastAsiaTheme="minorEastAsia" w:hAnsi="Times New Roman" w:cs="Times New Roman"/>
          <w:sz w:val="24"/>
          <w:szCs w:val="24"/>
        </w:rPr>
      </w:pPr>
      <w:r w:rsidRPr="0016089F">
        <w:rPr>
          <w:rFonts w:ascii="Times New Roman" w:hAnsi="Times New Roman" w:cs="Times New Roman"/>
          <w:sz w:val="24"/>
          <w:szCs w:val="24"/>
        </w:rPr>
        <w:t xml:space="preserve">Small Commercial </w:t>
      </w:r>
    </w:p>
    <w:p w14:paraId="18E07AA3" w14:textId="15851C9A" w:rsidR="183E9FE6" w:rsidRPr="0016089F" w:rsidRDefault="183E9FE6" w:rsidP="005316D2">
      <w:pPr>
        <w:pStyle w:val="ListParagraph"/>
        <w:numPr>
          <w:ilvl w:val="0"/>
          <w:numId w:val="22"/>
        </w:numPr>
        <w:rPr>
          <w:rFonts w:ascii="Times New Roman" w:eastAsiaTheme="minorEastAsia" w:hAnsi="Times New Roman" w:cs="Times New Roman"/>
          <w:sz w:val="24"/>
          <w:szCs w:val="24"/>
        </w:rPr>
      </w:pPr>
      <w:r w:rsidRPr="0016089F">
        <w:rPr>
          <w:rFonts w:ascii="Times New Roman" w:hAnsi="Times New Roman" w:cs="Times New Roman"/>
          <w:sz w:val="24"/>
          <w:szCs w:val="24"/>
        </w:rPr>
        <w:t>Medium and Large Commercial</w:t>
      </w:r>
    </w:p>
    <w:p w14:paraId="5C11C0F5" w14:textId="3247367E" w:rsidR="183E9FE6" w:rsidRPr="0016089F" w:rsidRDefault="183E9FE6" w:rsidP="005316D2">
      <w:pPr>
        <w:pStyle w:val="ListParagraph"/>
        <w:numPr>
          <w:ilvl w:val="0"/>
          <w:numId w:val="22"/>
        </w:numPr>
        <w:rPr>
          <w:rFonts w:ascii="Times New Roman" w:eastAsiaTheme="minorEastAsia" w:hAnsi="Times New Roman" w:cs="Times New Roman"/>
          <w:sz w:val="24"/>
          <w:szCs w:val="24"/>
        </w:rPr>
      </w:pPr>
      <w:r w:rsidRPr="0016089F">
        <w:rPr>
          <w:rFonts w:ascii="Times New Roman" w:hAnsi="Times New Roman" w:cs="Times New Roman"/>
          <w:sz w:val="24"/>
          <w:szCs w:val="24"/>
        </w:rPr>
        <w:t>Agriculture</w:t>
      </w:r>
    </w:p>
    <w:p w14:paraId="2C2ABC08" w14:textId="5918CF76" w:rsidR="183E9FE6" w:rsidRPr="0016089F" w:rsidRDefault="183E9FE6" w:rsidP="005316D2">
      <w:pPr>
        <w:pStyle w:val="ListParagraph"/>
        <w:numPr>
          <w:ilvl w:val="0"/>
          <w:numId w:val="22"/>
        </w:numPr>
        <w:rPr>
          <w:rFonts w:ascii="Times New Roman" w:eastAsiaTheme="minorEastAsia" w:hAnsi="Times New Roman" w:cs="Times New Roman"/>
          <w:sz w:val="24"/>
          <w:szCs w:val="24"/>
        </w:rPr>
      </w:pPr>
      <w:r w:rsidRPr="0016089F">
        <w:rPr>
          <w:rFonts w:ascii="Times New Roman" w:hAnsi="Times New Roman" w:cs="Times New Roman"/>
          <w:sz w:val="24"/>
          <w:szCs w:val="24"/>
        </w:rPr>
        <w:t>Street Lighting</w:t>
      </w:r>
    </w:p>
    <w:p w14:paraId="32469282" w14:textId="77777777" w:rsidR="00517C42" w:rsidRPr="0016089F" w:rsidRDefault="00517C42" w:rsidP="00517C42">
      <w:pPr>
        <w:widowControl/>
        <w:spacing w:after="160" w:line="259" w:lineRule="auto"/>
        <w:contextualSpacing/>
        <w:rPr>
          <w:rFonts w:ascii="Times New Roman" w:hAnsi="Times New Roman" w:cs="Times New Roman"/>
          <w:sz w:val="24"/>
          <w:szCs w:val="24"/>
        </w:rPr>
      </w:pPr>
    </w:p>
    <w:p w14:paraId="7FB78DFC" w14:textId="45020A5C"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lastRenderedPageBreak/>
        <w:t>Note (3) states that the effective demand factors were calculated based on data from 2014-2016. Why did SDG&amp;E select those years and not more recent years, such as 2016-2018?</w:t>
      </w:r>
    </w:p>
    <w:p w14:paraId="22F6D918" w14:textId="77777777" w:rsidR="00517C42" w:rsidRPr="0016089F" w:rsidRDefault="00517C42" w:rsidP="00517C42">
      <w:pPr>
        <w:pStyle w:val="ListParagraph"/>
        <w:widowControl/>
        <w:spacing w:after="160" w:line="259" w:lineRule="auto"/>
        <w:ind w:left="720"/>
        <w:contextualSpacing/>
        <w:rPr>
          <w:rFonts w:ascii="Times New Roman" w:hAnsi="Times New Roman" w:cs="Times New Roman"/>
          <w:b/>
          <w:sz w:val="24"/>
          <w:szCs w:val="24"/>
        </w:rPr>
      </w:pPr>
    </w:p>
    <w:p w14:paraId="00ECF11E" w14:textId="035447B2" w:rsidR="00517C42" w:rsidRPr="0016089F" w:rsidRDefault="00517C42" w:rsidP="677D944D">
      <w:pPr>
        <w:spacing w:line="257" w:lineRule="auto"/>
        <w:rPr>
          <w:rFonts w:ascii="Times New Roman" w:hAnsi="Times New Roman" w:cs="Times New Roman"/>
          <w:b/>
          <w:bCs/>
          <w:sz w:val="24"/>
          <w:szCs w:val="24"/>
        </w:rPr>
      </w:pPr>
      <w:r w:rsidRPr="0016089F">
        <w:rPr>
          <w:rFonts w:ascii="Times New Roman" w:hAnsi="Times New Roman" w:cs="Times New Roman"/>
          <w:b/>
          <w:bCs/>
          <w:sz w:val="24"/>
          <w:szCs w:val="24"/>
        </w:rPr>
        <w:t xml:space="preserve">SDG&amp;E Response: </w:t>
      </w:r>
      <w:r w:rsidR="43A4D69A" w:rsidRPr="0016089F">
        <w:rPr>
          <w:rFonts w:ascii="Times New Roman" w:eastAsia="Times New Roman" w:hAnsi="Times New Roman" w:cs="Times New Roman"/>
          <w:sz w:val="24"/>
          <w:szCs w:val="24"/>
        </w:rPr>
        <w:t xml:space="preserve">At the time this work was performed, which was early 2018, 2016 was the most recent year that interval data was available and validated.  </w:t>
      </w:r>
    </w:p>
    <w:p w14:paraId="7A5453A5" w14:textId="77777777" w:rsidR="00517C42" w:rsidRPr="0016089F" w:rsidRDefault="00517C42" w:rsidP="00517C42">
      <w:pPr>
        <w:widowControl/>
        <w:spacing w:after="160" w:line="259" w:lineRule="auto"/>
        <w:contextualSpacing/>
        <w:rPr>
          <w:rFonts w:ascii="Times New Roman" w:hAnsi="Times New Roman" w:cs="Times New Roman"/>
          <w:sz w:val="24"/>
          <w:szCs w:val="24"/>
        </w:rPr>
      </w:pPr>
    </w:p>
    <w:p w14:paraId="3FCF0A89" w14:textId="77777777" w:rsidR="00683370" w:rsidRPr="0016089F" w:rsidRDefault="00683370" w:rsidP="00683370">
      <w:pPr>
        <w:rPr>
          <w:rFonts w:ascii="Times New Roman" w:hAnsi="Times New Roman" w:cs="Times New Roman"/>
          <w:sz w:val="24"/>
          <w:szCs w:val="24"/>
        </w:rPr>
      </w:pPr>
      <w:r w:rsidRPr="0016089F">
        <w:rPr>
          <w:rFonts w:ascii="Times New Roman" w:hAnsi="Times New Roman" w:cs="Times New Roman"/>
          <w:sz w:val="24"/>
          <w:szCs w:val="24"/>
        </w:rPr>
        <w:t>The following questions refer to Chapter 5 the Revised Prepared Direct Testimony of William G. Saxe.</w:t>
      </w:r>
    </w:p>
    <w:p w14:paraId="04D40BB4"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Saxe states that “To determine the average TSM costs for each customer class, customers are grouped by maximum annual demand levels (in kW).” (WGS-8:3-4)</w:t>
      </w:r>
    </w:p>
    <w:p w14:paraId="55D1BB60" w14:textId="77777777" w:rsidR="00683370" w:rsidRPr="0016089F" w:rsidRDefault="00683370" w:rsidP="005316D2">
      <w:pPr>
        <w:pStyle w:val="ListParagraph"/>
        <w:widowControl/>
        <w:numPr>
          <w:ilvl w:val="1"/>
          <w:numId w:val="8"/>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Why do marginal customer costs include costs that vary by customer maximum demand level instead of classifying those costs as demand-related?</w:t>
      </w:r>
    </w:p>
    <w:p w14:paraId="6A0E3A8C" w14:textId="3721FD31" w:rsidR="00683370" w:rsidRPr="0016089F" w:rsidRDefault="00683370" w:rsidP="005316D2">
      <w:pPr>
        <w:pStyle w:val="ListParagraph"/>
        <w:widowControl/>
        <w:numPr>
          <w:ilvl w:val="1"/>
          <w:numId w:val="8"/>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Transformers often serve more than one customer, and thus the peak load on the transformer would be less than the sum of maximum demands of the customers it serves due to load diversity. How does SDG&amp;E account for such load diversity in estimating marginal customer costs that include transformer costs?</w:t>
      </w:r>
    </w:p>
    <w:p w14:paraId="13944043" w14:textId="77777777" w:rsidR="00DE196E" w:rsidRPr="0016089F" w:rsidRDefault="00DE196E" w:rsidP="00DE196E">
      <w:pPr>
        <w:pStyle w:val="ListParagraph"/>
        <w:widowControl/>
        <w:spacing w:after="160" w:line="259" w:lineRule="auto"/>
        <w:ind w:left="720"/>
        <w:contextualSpacing/>
        <w:rPr>
          <w:rFonts w:ascii="Times New Roman" w:hAnsi="Times New Roman" w:cs="Times New Roman"/>
          <w:b/>
          <w:sz w:val="24"/>
          <w:szCs w:val="24"/>
        </w:rPr>
      </w:pPr>
    </w:p>
    <w:p w14:paraId="1892DF2D" w14:textId="13B6DF7A" w:rsidR="00DE196E" w:rsidRPr="0016089F" w:rsidRDefault="00DE196E" w:rsidP="00DE196E">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b/>
          <w:sz w:val="24"/>
          <w:szCs w:val="24"/>
        </w:rPr>
        <w:t xml:space="preserve">SDG&amp;E Response: </w:t>
      </w:r>
    </w:p>
    <w:p w14:paraId="69A7FBDF" w14:textId="6C768ED3" w:rsidR="00C3586D" w:rsidRPr="0016089F" w:rsidRDefault="00C3586D" w:rsidP="00DE196E">
      <w:pPr>
        <w:pStyle w:val="ListParagraph"/>
        <w:widowControl/>
        <w:spacing w:after="160" w:line="259" w:lineRule="auto"/>
        <w:ind w:left="720"/>
        <w:contextualSpacing/>
        <w:rPr>
          <w:rFonts w:ascii="Times New Roman" w:hAnsi="Times New Roman" w:cs="Times New Roman"/>
          <w:sz w:val="24"/>
          <w:szCs w:val="24"/>
        </w:rPr>
      </w:pPr>
    </w:p>
    <w:p w14:paraId="1B521550" w14:textId="1CF4DB89" w:rsidR="00C3586D" w:rsidRPr="0016089F" w:rsidRDefault="00D6186A"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The kilowatt (kW) level of the customer at the time of electric service hook-up determines the type of customer hook-ups (final-line transformers, service drops, and meters [TSM]) required to serve the customer. For instance, the kW of the customer at the time of hook-up determines the type of transformer needed to serve the customer as well as the number of customers that can be served on the transformer.</w:t>
      </w:r>
      <w:r w:rsidR="000D4068" w:rsidRPr="0016089F">
        <w:rPr>
          <w:rFonts w:ascii="Times New Roman" w:hAnsi="Times New Roman" w:cs="Times New Roman"/>
          <w:sz w:val="24"/>
          <w:szCs w:val="24"/>
        </w:rPr>
        <w:t xml:space="preserve"> However, the TSM costs installed do no</w:t>
      </w:r>
      <w:r w:rsidR="00497A9D">
        <w:rPr>
          <w:rFonts w:ascii="Times New Roman" w:hAnsi="Times New Roman" w:cs="Times New Roman"/>
          <w:sz w:val="24"/>
          <w:szCs w:val="24"/>
        </w:rPr>
        <w:t>t</w:t>
      </w:r>
      <w:r w:rsidR="000D4068" w:rsidRPr="0016089F">
        <w:rPr>
          <w:rFonts w:ascii="Times New Roman" w:hAnsi="Times New Roman" w:cs="Times New Roman"/>
          <w:sz w:val="24"/>
          <w:szCs w:val="24"/>
        </w:rPr>
        <w:t xml:space="preserve"> vary with the </w:t>
      </w:r>
      <w:r w:rsidR="001D78FA" w:rsidRPr="0016089F">
        <w:rPr>
          <w:rFonts w:ascii="Times New Roman" w:hAnsi="Times New Roman" w:cs="Times New Roman"/>
          <w:sz w:val="24"/>
          <w:szCs w:val="24"/>
        </w:rPr>
        <w:t xml:space="preserve">customer’s energy </w:t>
      </w:r>
      <w:r w:rsidR="00F72E25" w:rsidRPr="0016089F">
        <w:rPr>
          <w:rFonts w:ascii="Times New Roman" w:hAnsi="Times New Roman" w:cs="Times New Roman"/>
          <w:sz w:val="24"/>
          <w:szCs w:val="24"/>
        </w:rPr>
        <w:t xml:space="preserve">or </w:t>
      </w:r>
      <w:r w:rsidR="001D78FA" w:rsidRPr="0016089F">
        <w:rPr>
          <w:rFonts w:ascii="Times New Roman" w:hAnsi="Times New Roman" w:cs="Times New Roman"/>
          <w:sz w:val="24"/>
          <w:szCs w:val="24"/>
        </w:rPr>
        <w:t xml:space="preserve">demand use after installation, which is why TSM costs are categorized as </w:t>
      </w:r>
      <w:r w:rsidR="00F72E25" w:rsidRPr="0016089F">
        <w:rPr>
          <w:rFonts w:ascii="Times New Roman" w:hAnsi="Times New Roman" w:cs="Times New Roman"/>
          <w:sz w:val="24"/>
          <w:szCs w:val="24"/>
        </w:rPr>
        <w:t>marginal distribution customer costs instead of marginal distribution demand costs.</w:t>
      </w:r>
    </w:p>
    <w:p w14:paraId="18E91F2C" w14:textId="77777777" w:rsidR="00F72E25" w:rsidRPr="0016089F" w:rsidRDefault="00F72E25" w:rsidP="00F72E25">
      <w:pPr>
        <w:pStyle w:val="ListParagraph"/>
        <w:widowControl/>
        <w:spacing w:after="160" w:line="259" w:lineRule="auto"/>
        <w:ind w:left="1440"/>
        <w:contextualSpacing/>
        <w:rPr>
          <w:rFonts w:ascii="Times New Roman" w:hAnsi="Times New Roman" w:cs="Times New Roman"/>
          <w:sz w:val="24"/>
          <w:szCs w:val="24"/>
        </w:rPr>
      </w:pPr>
    </w:p>
    <w:p w14:paraId="499B3D0E" w14:textId="1F117770" w:rsidR="006A1A64" w:rsidRPr="0016089F" w:rsidRDefault="00885CC7" w:rsidP="005316D2">
      <w:pPr>
        <w:pStyle w:val="ListParagraph"/>
        <w:widowControl/>
        <w:numPr>
          <w:ilvl w:val="1"/>
          <w:numId w:val="1"/>
        </w:numPr>
        <w:spacing w:after="160" w:line="259" w:lineRule="auto"/>
        <w:contextualSpacing/>
        <w:rPr>
          <w:rFonts w:ascii="Times New Roman" w:hAnsi="Times New Roman" w:cs="Times New Roman"/>
          <w:color w:val="000000"/>
          <w:sz w:val="24"/>
          <w:szCs w:val="24"/>
        </w:rPr>
      </w:pPr>
      <w:r>
        <w:rPr>
          <w:rFonts w:ascii="Times New Roman" w:hAnsi="Times New Roman" w:cs="Times New Roman"/>
          <w:sz w:val="24"/>
          <w:szCs w:val="24"/>
        </w:rPr>
        <w:t>E</w:t>
      </w:r>
      <w:r w:rsidR="00CC7CA2" w:rsidRPr="0016089F">
        <w:rPr>
          <w:rFonts w:ascii="Times New Roman" w:hAnsi="Times New Roman" w:cs="Times New Roman"/>
          <w:sz w:val="24"/>
          <w:szCs w:val="24"/>
        </w:rPr>
        <w:t xml:space="preserve">ngineering planning estimates </w:t>
      </w:r>
      <w:r w:rsidR="00015D09" w:rsidRPr="0016089F">
        <w:rPr>
          <w:rFonts w:ascii="Times New Roman" w:hAnsi="Times New Roman" w:cs="Times New Roman"/>
          <w:sz w:val="24"/>
          <w:szCs w:val="24"/>
        </w:rPr>
        <w:t xml:space="preserve">for transformers </w:t>
      </w:r>
      <w:proofErr w:type="gramStart"/>
      <w:r w:rsidR="00CC7CA2" w:rsidRPr="0016089F">
        <w:rPr>
          <w:rFonts w:ascii="Times New Roman" w:hAnsi="Times New Roman" w:cs="Times New Roman"/>
          <w:sz w:val="24"/>
          <w:szCs w:val="24"/>
        </w:rPr>
        <w:t>take into account</w:t>
      </w:r>
      <w:proofErr w:type="gramEnd"/>
      <w:r w:rsidR="00CC7CA2" w:rsidRPr="0016089F">
        <w:rPr>
          <w:rFonts w:ascii="Times New Roman" w:hAnsi="Times New Roman" w:cs="Times New Roman"/>
          <w:sz w:val="24"/>
          <w:szCs w:val="24"/>
        </w:rPr>
        <w:t xml:space="preserve"> </w:t>
      </w:r>
      <w:r w:rsidR="00015D09" w:rsidRPr="0016089F">
        <w:rPr>
          <w:rFonts w:ascii="Times New Roman" w:hAnsi="Times New Roman" w:cs="Times New Roman"/>
          <w:sz w:val="24"/>
          <w:szCs w:val="24"/>
        </w:rPr>
        <w:t xml:space="preserve">load </w:t>
      </w:r>
      <w:r w:rsidR="00CC7CA2" w:rsidRPr="0016089F">
        <w:rPr>
          <w:rFonts w:ascii="Times New Roman" w:hAnsi="Times New Roman" w:cs="Times New Roman"/>
          <w:sz w:val="24"/>
          <w:szCs w:val="24"/>
        </w:rPr>
        <w:t>diversity</w:t>
      </w:r>
      <w:r w:rsidR="002D297C" w:rsidRPr="0016089F">
        <w:rPr>
          <w:rFonts w:ascii="Times New Roman" w:hAnsi="Times New Roman" w:cs="Times New Roman"/>
          <w:sz w:val="24"/>
          <w:szCs w:val="24"/>
        </w:rPr>
        <w:t xml:space="preserve"> of </w:t>
      </w:r>
      <w:r w:rsidR="00015D09" w:rsidRPr="0016089F">
        <w:rPr>
          <w:rFonts w:ascii="Times New Roman" w:hAnsi="Times New Roman" w:cs="Times New Roman"/>
          <w:sz w:val="24"/>
          <w:szCs w:val="24"/>
        </w:rPr>
        <w:t>the c</w:t>
      </w:r>
      <w:r w:rsidR="002D297C" w:rsidRPr="0016089F">
        <w:rPr>
          <w:rFonts w:ascii="Times New Roman" w:hAnsi="Times New Roman" w:cs="Times New Roman"/>
          <w:sz w:val="24"/>
          <w:szCs w:val="24"/>
        </w:rPr>
        <w:t>ustomers</w:t>
      </w:r>
      <w:r w:rsidR="00015D09" w:rsidRPr="0016089F">
        <w:rPr>
          <w:rFonts w:ascii="Times New Roman" w:hAnsi="Times New Roman" w:cs="Times New Roman"/>
          <w:sz w:val="24"/>
          <w:szCs w:val="24"/>
        </w:rPr>
        <w:t xml:space="preserve"> that will be taking service on the transformer</w:t>
      </w:r>
      <w:r w:rsidR="002D297C" w:rsidRPr="0016089F">
        <w:rPr>
          <w:rFonts w:ascii="Times New Roman" w:hAnsi="Times New Roman" w:cs="Times New Roman"/>
          <w:sz w:val="24"/>
          <w:szCs w:val="24"/>
        </w:rPr>
        <w:t>.</w:t>
      </w:r>
      <w:r w:rsidR="00B10D2B" w:rsidRPr="0016089F">
        <w:rPr>
          <w:rFonts w:ascii="Times New Roman" w:hAnsi="Times New Roman" w:cs="Times New Roman"/>
          <w:sz w:val="24"/>
          <w:szCs w:val="24"/>
        </w:rPr>
        <w:t xml:space="preserve"> </w:t>
      </w:r>
      <w:r w:rsidR="00253C4A" w:rsidRPr="0016089F">
        <w:rPr>
          <w:rFonts w:ascii="Times New Roman" w:hAnsi="Times New Roman" w:cs="Times New Roman"/>
          <w:sz w:val="24"/>
          <w:szCs w:val="24"/>
        </w:rPr>
        <w:t>For example, i</w:t>
      </w:r>
      <w:r w:rsidR="006A1A64" w:rsidRPr="0016089F">
        <w:rPr>
          <w:rFonts w:ascii="Times New Roman" w:hAnsi="Times New Roman" w:cs="Times New Roman"/>
          <w:color w:val="000000"/>
          <w:sz w:val="24"/>
          <w:szCs w:val="24"/>
        </w:rPr>
        <w:t>f a transformer is being designed to serve both non-residential and residential customers, the size of the transformer needed takes into consideration the maximum demands of both the non-residential and residential customer</w:t>
      </w:r>
      <w:r w:rsidR="00423FB5">
        <w:rPr>
          <w:rFonts w:ascii="Times New Roman" w:hAnsi="Times New Roman" w:cs="Times New Roman"/>
          <w:color w:val="000000"/>
          <w:sz w:val="24"/>
          <w:szCs w:val="24"/>
        </w:rPr>
        <w:t>s</w:t>
      </w:r>
      <w:r w:rsidR="006A1A64" w:rsidRPr="0016089F">
        <w:rPr>
          <w:rFonts w:ascii="Times New Roman" w:hAnsi="Times New Roman" w:cs="Times New Roman"/>
          <w:color w:val="000000"/>
          <w:sz w:val="24"/>
          <w:szCs w:val="24"/>
        </w:rPr>
        <w:t xml:space="preserve"> that would be taking service on this transformer. </w:t>
      </w:r>
      <w:r w:rsidR="006A1A64" w:rsidRPr="0016089F">
        <w:rPr>
          <w:rFonts w:ascii="Times New Roman" w:eastAsia="Times New Roman" w:hAnsi="Times New Roman" w:cs="Times New Roman"/>
          <w:sz w:val="24"/>
          <w:szCs w:val="24"/>
        </w:rPr>
        <w:t>SDG&amp;E does not account for differences in residential and commercial load profiles when determining the transformer size. The present practice is to determine the residential load by using a diversity factor. The commercial load demand is then calculated based on building size and type of load. The two loads are then added together to determine the total load and the transformer size is determined based on the total.</w:t>
      </w:r>
    </w:p>
    <w:p w14:paraId="2DFB1925" w14:textId="22EFE024" w:rsidR="00DE196E" w:rsidRPr="0016089F" w:rsidRDefault="00CC7CA2" w:rsidP="00DE196E">
      <w:pPr>
        <w:widowControl/>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 xml:space="preserve"> </w:t>
      </w:r>
    </w:p>
    <w:p w14:paraId="3EE9038C"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lastRenderedPageBreak/>
        <w:t>Witness Saxe states that cost estimates for transformers were “based on transformer size and the average number of customers per transformer.” (WGS-7:20-21)</w:t>
      </w:r>
    </w:p>
    <w:p w14:paraId="0C39E0EA" w14:textId="77777777" w:rsidR="00683370" w:rsidRPr="0016089F" w:rsidRDefault="00683370" w:rsidP="005316D2">
      <w:pPr>
        <w:pStyle w:val="ListParagraph"/>
        <w:widowControl/>
        <w:numPr>
          <w:ilvl w:val="0"/>
          <w:numId w:val="10"/>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What are the average number of customers per transformer for each customer class?</w:t>
      </w:r>
    </w:p>
    <w:p w14:paraId="23761653" w14:textId="77777777" w:rsidR="00683370" w:rsidRPr="0016089F" w:rsidRDefault="00683370" w:rsidP="005316D2">
      <w:pPr>
        <w:pStyle w:val="ListParagraph"/>
        <w:widowControl/>
        <w:numPr>
          <w:ilvl w:val="0"/>
          <w:numId w:val="10"/>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How were the average number of customers per transformer determined?</w:t>
      </w:r>
    </w:p>
    <w:p w14:paraId="0443332A" w14:textId="3971F606" w:rsidR="00683370" w:rsidRPr="0016089F" w:rsidRDefault="00683370" w:rsidP="005316D2">
      <w:pPr>
        <w:pStyle w:val="ListParagraph"/>
        <w:widowControl/>
        <w:numPr>
          <w:ilvl w:val="0"/>
          <w:numId w:val="10"/>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How does the number of customers per transformer impact the calculation of marginal customer cost?</w:t>
      </w:r>
    </w:p>
    <w:p w14:paraId="41AA49BE" w14:textId="77777777" w:rsidR="00DE196E" w:rsidRPr="0016089F" w:rsidRDefault="00DE196E" w:rsidP="00DE196E">
      <w:pPr>
        <w:pStyle w:val="ListParagraph"/>
        <w:widowControl/>
        <w:spacing w:after="160" w:line="259" w:lineRule="auto"/>
        <w:ind w:left="1440"/>
        <w:contextualSpacing/>
        <w:rPr>
          <w:rFonts w:ascii="Times New Roman" w:hAnsi="Times New Roman" w:cs="Times New Roman"/>
          <w:b/>
          <w:sz w:val="24"/>
          <w:szCs w:val="24"/>
        </w:rPr>
      </w:pPr>
    </w:p>
    <w:p w14:paraId="20C4FE5E" w14:textId="50D6C8CF" w:rsidR="00DE196E" w:rsidRPr="0016089F" w:rsidRDefault="00DE196E" w:rsidP="00DE196E">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p>
    <w:p w14:paraId="5AE28CA8" w14:textId="403AF29B" w:rsidR="000403AA" w:rsidRPr="0016089F" w:rsidRDefault="000403AA" w:rsidP="00DE196E">
      <w:pPr>
        <w:pStyle w:val="ListParagraph"/>
        <w:widowControl/>
        <w:spacing w:after="160" w:line="259" w:lineRule="auto"/>
        <w:ind w:left="720"/>
        <w:contextualSpacing/>
        <w:rPr>
          <w:rFonts w:ascii="Times New Roman" w:hAnsi="Times New Roman" w:cs="Times New Roman"/>
          <w:b/>
          <w:sz w:val="24"/>
          <w:szCs w:val="24"/>
        </w:rPr>
      </w:pPr>
    </w:p>
    <w:p w14:paraId="42DF84C5" w14:textId="13F54B9E" w:rsidR="001060A3" w:rsidRPr="0016089F" w:rsidRDefault="00902065"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The table below provides the average number of customers per transformer for each customer class</w:t>
      </w:r>
      <w:r w:rsidR="001060A3" w:rsidRPr="0016089F">
        <w:rPr>
          <w:rFonts w:ascii="Times New Roman" w:hAnsi="Times New Roman" w:cs="Times New Roman"/>
          <w:sz w:val="24"/>
          <w:szCs w:val="24"/>
        </w:rPr>
        <w:t>.</w:t>
      </w:r>
    </w:p>
    <w:p w14:paraId="44629BE7" w14:textId="12687849" w:rsidR="001060A3" w:rsidRPr="0016089F" w:rsidRDefault="001060A3" w:rsidP="001060A3">
      <w:pPr>
        <w:pStyle w:val="ListParagraph"/>
        <w:widowControl/>
        <w:spacing w:after="160" w:line="259" w:lineRule="auto"/>
        <w:ind w:left="1440"/>
        <w:contextualSpacing/>
        <w:rPr>
          <w:rFonts w:ascii="Times New Roman" w:hAnsi="Times New Roman" w:cs="Times New Roman"/>
          <w:sz w:val="24"/>
          <w:szCs w:val="24"/>
        </w:rPr>
      </w:pPr>
      <w:r w:rsidRPr="0016089F">
        <w:rPr>
          <w:rFonts w:ascii="Times New Roman" w:hAnsi="Times New Roman" w:cs="Times New Roman"/>
          <w:noProof/>
          <w:sz w:val="24"/>
          <w:szCs w:val="24"/>
        </w:rPr>
        <w:drawing>
          <wp:inline distT="0" distB="0" distL="0" distR="0" wp14:anchorId="397C78E9" wp14:editId="0DEB2EA0">
            <wp:extent cx="3061335" cy="1232535"/>
            <wp:effectExtent l="0" t="0" r="571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61335" cy="1232535"/>
                    </a:xfrm>
                    <a:prstGeom prst="rect">
                      <a:avLst/>
                    </a:prstGeom>
                    <a:noFill/>
                    <a:ln>
                      <a:noFill/>
                    </a:ln>
                  </pic:spPr>
                </pic:pic>
              </a:graphicData>
            </a:graphic>
          </wp:inline>
        </w:drawing>
      </w:r>
    </w:p>
    <w:p w14:paraId="2AD8878C" w14:textId="77777777" w:rsidR="001060A3" w:rsidRPr="0016089F" w:rsidRDefault="001060A3" w:rsidP="001060A3">
      <w:pPr>
        <w:pStyle w:val="ListParagraph"/>
        <w:widowControl/>
        <w:spacing w:after="160" w:line="259" w:lineRule="auto"/>
        <w:ind w:left="720"/>
        <w:contextualSpacing/>
        <w:rPr>
          <w:rFonts w:ascii="Times New Roman" w:hAnsi="Times New Roman" w:cs="Times New Roman"/>
          <w:sz w:val="24"/>
          <w:szCs w:val="24"/>
        </w:rPr>
      </w:pPr>
    </w:p>
    <w:p w14:paraId="4DCC1C51" w14:textId="03C1B134" w:rsidR="00963060" w:rsidRPr="0016089F" w:rsidRDefault="001060A3"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 xml:space="preserve">The average number of customers per transformer in the table above </w:t>
      </w:r>
      <w:r w:rsidR="00205C54" w:rsidRPr="0016089F">
        <w:rPr>
          <w:rFonts w:ascii="Times New Roman" w:hAnsi="Times New Roman" w:cs="Times New Roman"/>
          <w:sz w:val="24"/>
          <w:szCs w:val="24"/>
        </w:rPr>
        <w:t xml:space="preserve">are determined by dividing the number of forecasted customers </w:t>
      </w:r>
      <w:r w:rsidR="000932BD" w:rsidRPr="0016089F">
        <w:rPr>
          <w:rFonts w:ascii="Times New Roman" w:hAnsi="Times New Roman" w:cs="Times New Roman"/>
          <w:sz w:val="24"/>
          <w:szCs w:val="24"/>
        </w:rPr>
        <w:t xml:space="preserve">for each </w:t>
      </w:r>
      <w:r w:rsidR="00F42A51" w:rsidRPr="0016089F">
        <w:rPr>
          <w:rFonts w:ascii="Times New Roman" w:hAnsi="Times New Roman" w:cs="Times New Roman"/>
          <w:sz w:val="24"/>
          <w:szCs w:val="24"/>
        </w:rPr>
        <w:t xml:space="preserve">transformer </w:t>
      </w:r>
      <w:r w:rsidR="00714B01" w:rsidRPr="0016089F">
        <w:rPr>
          <w:rFonts w:ascii="Times New Roman" w:hAnsi="Times New Roman" w:cs="Times New Roman"/>
          <w:sz w:val="24"/>
          <w:szCs w:val="24"/>
        </w:rPr>
        <w:t xml:space="preserve">type (e.g., 120/240 </w:t>
      </w:r>
      <w:r w:rsidR="00E471D8" w:rsidRPr="0016089F">
        <w:rPr>
          <w:rFonts w:ascii="Times New Roman" w:hAnsi="Times New Roman" w:cs="Times New Roman"/>
          <w:sz w:val="24"/>
          <w:szCs w:val="24"/>
        </w:rPr>
        <w:t>1-Phase service</w:t>
      </w:r>
      <w:r w:rsidR="00862C5A" w:rsidRPr="0016089F">
        <w:rPr>
          <w:rFonts w:ascii="Times New Roman" w:hAnsi="Times New Roman" w:cs="Times New Roman"/>
          <w:sz w:val="24"/>
          <w:szCs w:val="24"/>
        </w:rPr>
        <w:t xml:space="preserve"> </w:t>
      </w:r>
      <w:r w:rsidR="00133C08" w:rsidRPr="0016089F">
        <w:rPr>
          <w:rFonts w:ascii="Times New Roman" w:hAnsi="Times New Roman" w:cs="Times New Roman"/>
          <w:sz w:val="24"/>
          <w:szCs w:val="24"/>
        </w:rPr>
        <w:t>by kW ranges</w:t>
      </w:r>
      <w:r w:rsidR="00E471D8" w:rsidRPr="0016089F">
        <w:rPr>
          <w:rFonts w:ascii="Times New Roman" w:hAnsi="Times New Roman" w:cs="Times New Roman"/>
          <w:sz w:val="24"/>
          <w:szCs w:val="24"/>
        </w:rPr>
        <w:t xml:space="preserve">) by the number of </w:t>
      </w:r>
      <w:r w:rsidR="005557E0" w:rsidRPr="0016089F">
        <w:rPr>
          <w:rFonts w:ascii="Times New Roman" w:hAnsi="Times New Roman" w:cs="Times New Roman"/>
          <w:sz w:val="24"/>
          <w:szCs w:val="24"/>
        </w:rPr>
        <w:t>customers</w:t>
      </w:r>
      <w:r w:rsidR="00133C08" w:rsidRPr="0016089F">
        <w:rPr>
          <w:rFonts w:ascii="Times New Roman" w:hAnsi="Times New Roman" w:cs="Times New Roman"/>
          <w:sz w:val="24"/>
          <w:szCs w:val="24"/>
        </w:rPr>
        <w:t xml:space="preserve"> estimated to be served on each</w:t>
      </w:r>
      <w:r w:rsidR="00F42A51" w:rsidRPr="0016089F">
        <w:rPr>
          <w:rFonts w:ascii="Times New Roman" w:hAnsi="Times New Roman" w:cs="Times New Roman"/>
          <w:sz w:val="24"/>
          <w:szCs w:val="24"/>
        </w:rPr>
        <w:t xml:space="preserve"> transformer type and then summing </w:t>
      </w:r>
      <w:r w:rsidR="001B72D2" w:rsidRPr="0016089F">
        <w:rPr>
          <w:rFonts w:ascii="Times New Roman" w:hAnsi="Times New Roman" w:cs="Times New Roman"/>
          <w:sz w:val="24"/>
          <w:szCs w:val="24"/>
        </w:rPr>
        <w:t xml:space="preserve">all the transformer types by </w:t>
      </w:r>
      <w:r w:rsidR="00F90C62" w:rsidRPr="0016089F">
        <w:rPr>
          <w:rFonts w:ascii="Times New Roman" w:hAnsi="Times New Roman" w:cs="Times New Roman"/>
          <w:sz w:val="24"/>
          <w:szCs w:val="24"/>
        </w:rPr>
        <w:t>customer class.</w:t>
      </w:r>
      <w:r w:rsidR="00B67E0E" w:rsidRPr="0016089F">
        <w:rPr>
          <w:rFonts w:ascii="Times New Roman" w:hAnsi="Times New Roman" w:cs="Times New Roman"/>
          <w:sz w:val="24"/>
          <w:szCs w:val="24"/>
        </w:rPr>
        <w:t xml:space="preserve">  The </w:t>
      </w:r>
      <w:r w:rsidR="00862C5A" w:rsidRPr="0016089F">
        <w:rPr>
          <w:rFonts w:ascii="Times New Roman" w:hAnsi="Times New Roman" w:cs="Times New Roman"/>
          <w:sz w:val="24"/>
          <w:szCs w:val="24"/>
        </w:rPr>
        <w:t xml:space="preserve">number of </w:t>
      </w:r>
      <w:r w:rsidR="00B67E0E" w:rsidRPr="0016089F">
        <w:rPr>
          <w:rFonts w:ascii="Times New Roman" w:hAnsi="Times New Roman" w:cs="Times New Roman"/>
          <w:sz w:val="24"/>
          <w:szCs w:val="24"/>
        </w:rPr>
        <w:t xml:space="preserve">customer data used to </w:t>
      </w:r>
      <w:r w:rsidR="00FC2365" w:rsidRPr="0016089F">
        <w:rPr>
          <w:rFonts w:ascii="Times New Roman" w:hAnsi="Times New Roman" w:cs="Times New Roman"/>
          <w:sz w:val="24"/>
          <w:szCs w:val="24"/>
        </w:rPr>
        <w:t xml:space="preserve">make this calculation can be found in the “Cust </w:t>
      </w:r>
      <w:proofErr w:type="spellStart"/>
      <w:r w:rsidR="00FC2365" w:rsidRPr="0016089F">
        <w:rPr>
          <w:rFonts w:ascii="Times New Roman" w:hAnsi="Times New Roman" w:cs="Times New Roman"/>
          <w:sz w:val="24"/>
          <w:szCs w:val="24"/>
        </w:rPr>
        <w:t>Fcst</w:t>
      </w:r>
      <w:proofErr w:type="spellEnd"/>
      <w:r w:rsidR="00985EEF" w:rsidRPr="0016089F">
        <w:rPr>
          <w:rFonts w:ascii="Times New Roman" w:hAnsi="Times New Roman" w:cs="Times New Roman"/>
          <w:sz w:val="24"/>
          <w:szCs w:val="24"/>
        </w:rPr>
        <w:t xml:space="preserve">” tabs for each </w:t>
      </w:r>
      <w:r w:rsidR="00F845B4" w:rsidRPr="0016089F">
        <w:rPr>
          <w:rFonts w:ascii="Times New Roman" w:hAnsi="Times New Roman" w:cs="Times New Roman"/>
          <w:sz w:val="24"/>
          <w:szCs w:val="24"/>
        </w:rPr>
        <w:t xml:space="preserve">customer class or rate schedules of each customer class in the “Ch_5_WP#2_Marg </w:t>
      </w:r>
      <w:proofErr w:type="spellStart"/>
      <w:r w:rsidR="00F845B4" w:rsidRPr="0016089F">
        <w:rPr>
          <w:rFonts w:ascii="Times New Roman" w:hAnsi="Times New Roman" w:cs="Times New Roman"/>
          <w:sz w:val="24"/>
          <w:szCs w:val="24"/>
        </w:rPr>
        <w:t>Dist</w:t>
      </w:r>
      <w:proofErr w:type="spellEnd"/>
      <w:r w:rsidR="00F845B4" w:rsidRPr="0016089F">
        <w:rPr>
          <w:rFonts w:ascii="Times New Roman" w:hAnsi="Times New Roman" w:cs="Times New Roman"/>
          <w:sz w:val="24"/>
          <w:szCs w:val="24"/>
        </w:rPr>
        <w:t xml:space="preserve"> Cust </w:t>
      </w:r>
      <w:r w:rsidR="00815839" w:rsidRPr="0016089F">
        <w:rPr>
          <w:rFonts w:ascii="Times New Roman" w:hAnsi="Times New Roman" w:cs="Times New Roman"/>
          <w:sz w:val="24"/>
          <w:szCs w:val="24"/>
        </w:rPr>
        <w:t xml:space="preserve">Costs </w:t>
      </w:r>
      <w:r w:rsidR="00F845B4" w:rsidRPr="0016089F">
        <w:rPr>
          <w:rFonts w:ascii="Times New Roman" w:hAnsi="Times New Roman" w:cs="Times New Roman"/>
          <w:sz w:val="24"/>
          <w:szCs w:val="24"/>
        </w:rPr>
        <w:t xml:space="preserve">for </w:t>
      </w:r>
      <w:r w:rsidR="00815839" w:rsidRPr="0016089F">
        <w:rPr>
          <w:rFonts w:ascii="Times New Roman" w:hAnsi="Times New Roman" w:cs="Times New Roman"/>
          <w:sz w:val="24"/>
          <w:szCs w:val="24"/>
        </w:rPr>
        <w:t>Non</w:t>
      </w:r>
      <w:r w:rsidR="00F90C62" w:rsidRPr="0016089F">
        <w:rPr>
          <w:rFonts w:ascii="Times New Roman" w:hAnsi="Times New Roman" w:cs="Times New Roman"/>
          <w:sz w:val="24"/>
          <w:szCs w:val="24"/>
        </w:rPr>
        <w:t xml:space="preserve"> </w:t>
      </w:r>
      <w:r w:rsidR="00815839" w:rsidRPr="0016089F">
        <w:rPr>
          <w:rFonts w:ascii="Times New Roman" w:hAnsi="Times New Roman" w:cs="Times New Roman"/>
          <w:sz w:val="24"/>
          <w:szCs w:val="24"/>
        </w:rPr>
        <w:t>School Class Revised”</w:t>
      </w:r>
      <w:r w:rsidR="00F90C62" w:rsidRPr="0016089F">
        <w:rPr>
          <w:rFonts w:ascii="Times New Roman" w:hAnsi="Times New Roman" w:cs="Times New Roman"/>
          <w:sz w:val="24"/>
          <w:szCs w:val="24"/>
        </w:rPr>
        <w:t xml:space="preserve"> </w:t>
      </w:r>
      <w:r w:rsidR="00815839" w:rsidRPr="0016089F">
        <w:rPr>
          <w:rFonts w:ascii="Times New Roman" w:hAnsi="Times New Roman" w:cs="Times New Roman"/>
          <w:sz w:val="24"/>
          <w:szCs w:val="24"/>
        </w:rPr>
        <w:t xml:space="preserve">Chapter 5 workpaper. The </w:t>
      </w:r>
      <w:r w:rsidR="0014296A" w:rsidRPr="0016089F">
        <w:rPr>
          <w:rFonts w:ascii="Times New Roman" w:hAnsi="Times New Roman" w:cs="Times New Roman"/>
          <w:sz w:val="24"/>
          <w:szCs w:val="24"/>
        </w:rPr>
        <w:t xml:space="preserve">number of customers </w:t>
      </w:r>
      <w:r w:rsidR="00D90BB5" w:rsidRPr="0016089F">
        <w:rPr>
          <w:rFonts w:ascii="Times New Roman" w:hAnsi="Times New Roman" w:cs="Times New Roman"/>
          <w:sz w:val="24"/>
          <w:szCs w:val="24"/>
        </w:rPr>
        <w:t xml:space="preserve">estimated to be served on each </w:t>
      </w:r>
      <w:r w:rsidR="0014296A" w:rsidRPr="0016089F">
        <w:rPr>
          <w:rFonts w:ascii="Times New Roman" w:hAnsi="Times New Roman" w:cs="Times New Roman"/>
          <w:sz w:val="24"/>
          <w:szCs w:val="24"/>
        </w:rPr>
        <w:t>transformer</w:t>
      </w:r>
      <w:r w:rsidR="00D90BB5" w:rsidRPr="0016089F">
        <w:rPr>
          <w:rFonts w:ascii="Times New Roman" w:hAnsi="Times New Roman" w:cs="Times New Roman"/>
          <w:sz w:val="24"/>
          <w:szCs w:val="24"/>
        </w:rPr>
        <w:t xml:space="preserve"> </w:t>
      </w:r>
      <w:r w:rsidR="009D06A2" w:rsidRPr="0016089F">
        <w:rPr>
          <w:rFonts w:ascii="Times New Roman" w:hAnsi="Times New Roman" w:cs="Times New Roman"/>
          <w:sz w:val="24"/>
          <w:szCs w:val="24"/>
        </w:rPr>
        <w:t xml:space="preserve">type </w:t>
      </w:r>
      <w:r w:rsidR="00D90BB5" w:rsidRPr="0016089F">
        <w:rPr>
          <w:rFonts w:ascii="Times New Roman" w:hAnsi="Times New Roman" w:cs="Times New Roman"/>
          <w:sz w:val="24"/>
          <w:szCs w:val="24"/>
        </w:rPr>
        <w:t xml:space="preserve">can be found in </w:t>
      </w:r>
      <w:r w:rsidR="0045589F" w:rsidRPr="0016089F">
        <w:rPr>
          <w:rFonts w:ascii="Times New Roman" w:hAnsi="Times New Roman" w:cs="Times New Roman"/>
          <w:sz w:val="24"/>
          <w:szCs w:val="24"/>
        </w:rPr>
        <w:t xml:space="preserve">the </w:t>
      </w:r>
      <w:r w:rsidR="00D90BB5" w:rsidRPr="0016089F">
        <w:rPr>
          <w:rFonts w:ascii="Times New Roman" w:hAnsi="Times New Roman" w:cs="Times New Roman"/>
          <w:sz w:val="24"/>
          <w:szCs w:val="24"/>
        </w:rPr>
        <w:t xml:space="preserve">file </w:t>
      </w:r>
      <w:r w:rsidR="009D06A2" w:rsidRPr="0016089F">
        <w:rPr>
          <w:rFonts w:ascii="Times New Roman" w:hAnsi="Times New Roman" w:cs="Times New Roman"/>
          <w:sz w:val="24"/>
          <w:szCs w:val="24"/>
        </w:rPr>
        <w:t xml:space="preserve">attached below </w:t>
      </w:r>
      <w:r w:rsidR="00D90BB5" w:rsidRPr="0016089F">
        <w:rPr>
          <w:rFonts w:ascii="Times New Roman" w:hAnsi="Times New Roman" w:cs="Times New Roman"/>
          <w:sz w:val="24"/>
          <w:szCs w:val="24"/>
        </w:rPr>
        <w:t>(</w:t>
      </w:r>
      <w:r w:rsidR="0091029D" w:rsidRPr="0016089F">
        <w:rPr>
          <w:rFonts w:ascii="Times New Roman" w:hAnsi="Times New Roman" w:cs="Times New Roman"/>
          <w:sz w:val="24"/>
          <w:szCs w:val="24"/>
        </w:rPr>
        <w:t>“UCAN DR-02, Q39</w:t>
      </w:r>
      <w:r w:rsidR="009107F5" w:rsidRPr="0016089F">
        <w:rPr>
          <w:rFonts w:ascii="Times New Roman" w:hAnsi="Times New Roman" w:cs="Times New Roman"/>
          <w:sz w:val="24"/>
          <w:szCs w:val="24"/>
        </w:rPr>
        <w:t>b</w:t>
      </w:r>
      <w:r w:rsidR="0091029D" w:rsidRPr="0016089F">
        <w:rPr>
          <w:rFonts w:ascii="Times New Roman" w:hAnsi="Times New Roman" w:cs="Times New Roman"/>
          <w:sz w:val="24"/>
          <w:szCs w:val="24"/>
        </w:rPr>
        <w:t xml:space="preserve">”), which is </w:t>
      </w:r>
      <w:r w:rsidR="0045589F" w:rsidRPr="0016089F">
        <w:rPr>
          <w:rFonts w:ascii="Times New Roman" w:hAnsi="Times New Roman" w:cs="Times New Roman"/>
          <w:sz w:val="24"/>
          <w:szCs w:val="24"/>
        </w:rPr>
        <w:t xml:space="preserve">the transformer </w:t>
      </w:r>
      <w:r w:rsidR="0091029D" w:rsidRPr="0016089F">
        <w:rPr>
          <w:rFonts w:ascii="Times New Roman" w:hAnsi="Times New Roman" w:cs="Times New Roman"/>
          <w:sz w:val="24"/>
          <w:szCs w:val="24"/>
        </w:rPr>
        <w:t xml:space="preserve">support file for </w:t>
      </w:r>
      <w:r w:rsidR="00F21EF0" w:rsidRPr="0016089F">
        <w:rPr>
          <w:rFonts w:ascii="Times New Roman" w:hAnsi="Times New Roman" w:cs="Times New Roman"/>
          <w:sz w:val="24"/>
          <w:szCs w:val="24"/>
        </w:rPr>
        <w:t xml:space="preserve">“Ch_5_WP#2_Marg </w:t>
      </w:r>
      <w:proofErr w:type="spellStart"/>
      <w:r w:rsidR="00F21EF0" w:rsidRPr="0016089F">
        <w:rPr>
          <w:rFonts w:ascii="Times New Roman" w:hAnsi="Times New Roman" w:cs="Times New Roman"/>
          <w:sz w:val="24"/>
          <w:szCs w:val="24"/>
        </w:rPr>
        <w:t>Dist</w:t>
      </w:r>
      <w:proofErr w:type="spellEnd"/>
      <w:r w:rsidR="00F21EF0" w:rsidRPr="0016089F">
        <w:rPr>
          <w:rFonts w:ascii="Times New Roman" w:hAnsi="Times New Roman" w:cs="Times New Roman"/>
          <w:sz w:val="24"/>
          <w:szCs w:val="24"/>
        </w:rPr>
        <w:t xml:space="preserve"> Cust Costs for Non School Revised”</w:t>
      </w:r>
      <w:r w:rsidR="00963060" w:rsidRPr="0016089F">
        <w:rPr>
          <w:rFonts w:ascii="Times New Roman" w:hAnsi="Times New Roman" w:cs="Times New Roman"/>
          <w:sz w:val="24"/>
          <w:szCs w:val="24"/>
        </w:rPr>
        <w:t>.</w:t>
      </w:r>
    </w:p>
    <w:p w14:paraId="55E5A200" w14:textId="1EC68199" w:rsidR="00963060" w:rsidRPr="0016089F" w:rsidRDefault="00D52EEC" w:rsidP="009D06A2">
      <w:pPr>
        <w:pStyle w:val="ListParagraph"/>
        <w:widowControl/>
        <w:spacing w:after="160" w:line="259" w:lineRule="auto"/>
        <w:ind w:left="1440"/>
        <w:contextualSpacing/>
        <w:rPr>
          <w:rFonts w:ascii="Times New Roman" w:hAnsi="Times New Roman" w:cs="Times New Roman"/>
          <w:sz w:val="24"/>
          <w:szCs w:val="24"/>
        </w:rPr>
      </w:pPr>
      <w:r w:rsidRPr="0016089F">
        <w:rPr>
          <w:rFonts w:ascii="Times New Roman" w:hAnsi="Times New Roman" w:cs="Times New Roman"/>
          <w:sz w:val="24"/>
          <w:szCs w:val="24"/>
        </w:rPr>
        <w:object w:dxaOrig="1579" w:dyaOrig="1022" w14:anchorId="07A96B31">
          <v:shape id="_x0000_i1028" type="#_x0000_t75" style="width:78.9pt;height:50.7pt" o:ole="">
            <v:imagedata r:id="rId19" o:title=""/>
          </v:shape>
          <o:OLEObject Type="Embed" ProgID="Excel.Sheet.12" ShapeID="_x0000_i1028" DrawAspect="Icon" ObjectID="_1641644930" r:id="rId20"/>
        </w:object>
      </w:r>
    </w:p>
    <w:p w14:paraId="15FBDB6F" w14:textId="2A673EEC" w:rsidR="00A233B3" w:rsidRPr="0016089F" w:rsidRDefault="0014296A" w:rsidP="00963060">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sz w:val="24"/>
          <w:szCs w:val="24"/>
        </w:rPr>
        <w:t xml:space="preserve"> </w:t>
      </w:r>
      <w:r w:rsidR="00F42A51" w:rsidRPr="0016089F">
        <w:rPr>
          <w:rFonts w:ascii="Times New Roman" w:hAnsi="Times New Roman" w:cs="Times New Roman"/>
          <w:sz w:val="24"/>
          <w:szCs w:val="24"/>
        </w:rPr>
        <w:t xml:space="preserve"> </w:t>
      </w:r>
      <w:r w:rsidR="00133C08" w:rsidRPr="0016089F">
        <w:rPr>
          <w:rFonts w:ascii="Times New Roman" w:hAnsi="Times New Roman" w:cs="Times New Roman"/>
          <w:sz w:val="24"/>
          <w:szCs w:val="24"/>
        </w:rPr>
        <w:t xml:space="preserve"> </w:t>
      </w:r>
    </w:p>
    <w:p w14:paraId="3079FB87" w14:textId="38B7BEB4" w:rsidR="000403AA" w:rsidRPr="0016089F" w:rsidRDefault="00E134BB" w:rsidP="005316D2">
      <w:pPr>
        <w:pStyle w:val="ListParagraph"/>
        <w:widowControl/>
        <w:numPr>
          <w:ilvl w:val="1"/>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 xml:space="preserve">As stated </w:t>
      </w:r>
      <w:r w:rsidR="006C7B87" w:rsidRPr="0016089F">
        <w:rPr>
          <w:rFonts w:ascii="Times New Roman" w:hAnsi="Times New Roman" w:cs="Times New Roman"/>
          <w:sz w:val="24"/>
          <w:szCs w:val="24"/>
        </w:rPr>
        <w:t>in SDG&amp;E Chapter 5 direct testimony,</w:t>
      </w:r>
      <w:r w:rsidR="005557E0" w:rsidRPr="0016089F">
        <w:rPr>
          <w:rFonts w:ascii="Times New Roman" w:hAnsi="Times New Roman" w:cs="Times New Roman"/>
          <w:sz w:val="24"/>
          <w:szCs w:val="24"/>
        </w:rPr>
        <w:t xml:space="preserve"> </w:t>
      </w:r>
      <w:r w:rsidR="006C7B87" w:rsidRPr="0016089F">
        <w:rPr>
          <w:rFonts w:ascii="Times New Roman" w:hAnsi="Times New Roman" w:cs="Times New Roman"/>
          <w:sz w:val="24"/>
          <w:szCs w:val="24"/>
        </w:rPr>
        <w:t xml:space="preserve">transformer costs are based on </w:t>
      </w:r>
      <w:r w:rsidR="00A9638E" w:rsidRPr="0016089F">
        <w:rPr>
          <w:rFonts w:ascii="Times New Roman" w:hAnsi="Times New Roman" w:cs="Times New Roman"/>
          <w:sz w:val="24"/>
          <w:szCs w:val="24"/>
        </w:rPr>
        <w:t xml:space="preserve">transformer size and number of customers that can be </w:t>
      </w:r>
      <w:r w:rsidR="002E3C4A" w:rsidRPr="0016089F">
        <w:rPr>
          <w:rFonts w:ascii="Times New Roman" w:hAnsi="Times New Roman" w:cs="Times New Roman"/>
          <w:sz w:val="24"/>
          <w:szCs w:val="24"/>
        </w:rPr>
        <w:t>served on the transformer type.</w:t>
      </w:r>
      <w:r w:rsidR="002E3C4A" w:rsidRPr="0016089F">
        <w:rPr>
          <w:rStyle w:val="FootnoteReference"/>
          <w:rFonts w:ascii="Times New Roman" w:hAnsi="Times New Roman" w:cs="Times New Roman"/>
          <w:sz w:val="24"/>
          <w:szCs w:val="24"/>
        </w:rPr>
        <w:footnoteReference w:id="2"/>
      </w:r>
      <w:r w:rsidR="001C19AC" w:rsidRPr="0016089F">
        <w:rPr>
          <w:rFonts w:ascii="Times New Roman" w:hAnsi="Times New Roman" w:cs="Times New Roman"/>
          <w:sz w:val="24"/>
          <w:szCs w:val="24"/>
        </w:rPr>
        <w:t xml:space="preserve">  The “UCAN DR-02, Q</w:t>
      </w:r>
      <w:r w:rsidR="009107F5" w:rsidRPr="0016089F">
        <w:rPr>
          <w:rFonts w:ascii="Times New Roman" w:hAnsi="Times New Roman" w:cs="Times New Roman"/>
          <w:sz w:val="24"/>
          <w:szCs w:val="24"/>
        </w:rPr>
        <w:t>39</w:t>
      </w:r>
      <w:r w:rsidR="00027D18" w:rsidRPr="0016089F">
        <w:rPr>
          <w:rFonts w:ascii="Times New Roman" w:hAnsi="Times New Roman" w:cs="Times New Roman"/>
          <w:sz w:val="24"/>
          <w:szCs w:val="24"/>
        </w:rPr>
        <w:t>b</w:t>
      </w:r>
      <w:r w:rsidR="009107F5" w:rsidRPr="0016089F">
        <w:rPr>
          <w:rFonts w:ascii="Times New Roman" w:hAnsi="Times New Roman" w:cs="Times New Roman"/>
          <w:sz w:val="24"/>
          <w:szCs w:val="24"/>
        </w:rPr>
        <w:t>” filed attached in response</w:t>
      </w:r>
      <w:r w:rsidR="00027D18" w:rsidRPr="0016089F">
        <w:rPr>
          <w:rFonts w:ascii="Times New Roman" w:hAnsi="Times New Roman" w:cs="Times New Roman"/>
          <w:sz w:val="24"/>
          <w:szCs w:val="24"/>
        </w:rPr>
        <w:t xml:space="preserve"> to Question 39b above identifies the number of customers that are estimated to be served on each transformer type based on the kW range of the customer</w:t>
      </w:r>
      <w:r w:rsidR="00D12068" w:rsidRPr="0016089F">
        <w:rPr>
          <w:rFonts w:ascii="Times New Roman" w:hAnsi="Times New Roman" w:cs="Times New Roman"/>
          <w:sz w:val="24"/>
          <w:szCs w:val="24"/>
        </w:rPr>
        <w:t xml:space="preserve"> type. As shown in this file the </w:t>
      </w:r>
      <w:r w:rsidR="005F7017" w:rsidRPr="0016089F">
        <w:rPr>
          <w:rFonts w:ascii="Times New Roman" w:hAnsi="Times New Roman" w:cs="Times New Roman"/>
          <w:sz w:val="24"/>
          <w:szCs w:val="24"/>
        </w:rPr>
        <w:t xml:space="preserve">marginal cost </w:t>
      </w:r>
      <w:r w:rsidR="005F7017" w:rsidRPr="0016089F">
        <w:rPr>
          <w:rFonts w:ascii="Times New Roman" w:hAnsi="Times New Roman" w:cs="Times New Roman"/>
          <w:sz w:val="24"/>
          <w:szCs w:val="24"/>
        </w:rPr>
        <w:lastRenderedPageBreak/>
        <w:t>per transformer varies significantly depending on the transformer</w:t>
      </w:r>
      <w:r w:rsidR="00B264BC" w:rsidRPr="0016089F">
        <w:rPr>
          <w:rFonts w:ascii="Times New Roman" w:hAnsi="Times New Roman" w:cs="Times New Roman"/>
          <w:sz w:val="24"/>
          <w:szCs w:val="24"/>
        </w:rPr>
        <w:t xml:space="preserve"> type</w:t>
      </w:r>
      <w:r w:rsidR="005F7017" w:rsidRPr="0016089F">
        <w:rPr>
          <w:rFonts w:ascii="Times New Roman" w:hAnsi="Times New Roman" w:cs="Times New Roman"/>
          <w:sz w:val="24"/>
          <w:szCs w:val="24"/>
        </w:rPr>
        <w:t xml:space="preserve">, the customer kW size, and the number </w:t>
      </w:r>
      <w:r w:rsidR="0036129D" w:rsidRPr="0016089F">
        <w:rPr>
          <w:rFonts w:ascii="Times New Roman" w:hAnsi="Times New Roman" w:cs="Times New Roman"/>
          <w:sz w:val="24"/>
          <w:szCs w:val="24"/>
        </w:rPr>
        <w:t>customers that can be served on each transformer</w:t>
      </w:r>
      <w:r w:rsidR="00B264BC" w:rsidRPr="0016089F">
        <w:rPr>
          <w:rFonts w:ascii="Times New Roman" w:hAnsi="Times New Roman" w:cs="Times New Roman"/>
          <w:sz w:val="24"/>
          <w:szCs w:val="24"/>
        </w:rPr>
        <w:t xml:space="preserve"> type</w:t>
      </w:r>
      <w:r w:rsidR="0036129D" w:rsidRPr="0016089F">
        <w:rPr>
          <w:rFonts w:ascii="Times New Roman" w:hAnsi="Times New Roman" w:cs="Times New Roman"/>
          <w:sz w:val="24"/>
          <w:szCs w:val="24"/>
        </w:rPr>
        <w:t>.</w:t>
      </w:r>
      <w:r w:rsidR="009107F5" w:rsidRPr="0016089F">
        <w:rPr>
          <w:rFonts w:ascii="Times New Roman" w:hAnsi="Times New Roman" w:cs="Times New Roman"/>
          <w:sz w:val="24"/>
          <w:szCs w:val="24"/>
        </w:rPr>
        <w:t xml:space="preserve"> </w:t>
      </w:r>
      <w:r w:rsidR="002E3C4A" w:rsidRPr="0016089F">
        <w:rPr>
          <w:rFonts w:ascii="Times New Roman" w:hAnsi="Times New Roman" w:cs="Times New Roman"/>
          <w:sz w:val="24"/>
          <w:szCs w:val="24"/>
        </w:rPr>
        <w:t xml:space="preserve">  </w:t>
      </w:r>
      <w:r w:rsidR="001060A3" w:rsidRPr="0016089F">
        <w:rPr>
          <w:rFonts w:ascii="Times New Roman" w:hAnsi="Times New Roman" w:cs="Times New Roman"/>
          <w:sz w:val="24"/>
          <w:szCs w:val="24"/>
        </w:rPr>
        <w:t xml:space="preserve">   </w:t>
      </w:r>
    </w:p>
    <w:p w14:paraId="63F81A0C" w14:textId="77777777" w:rsidR="00DE196E" w:rsidRPr="0016089F" w:rsidRDefault="00DE196E" w:rsidP="00DE196E">
      <w:pPr>
        <w:widowControl/>
        <w:spacing w:after="160" w:line="259" w:lineRule="auto"/>
        <w:contextualSpacing/>
        <w:rPr>
          <w:rFonts w:ascii="Times New Roman" w:hAnsi="Times New Roman" w:cs="Times New Roman"/>
          <w:sz w:val="24"/>
          <w:szCs w:val="24"/>
        </w:rPr>
      </w:pPr>
    </w:p>
    <w:p w14:paraId="210E90E6" w14:textId="3CDBE679"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Does “number of runs” (see WGS-7 at 22) refer to the number of meters connected to each service drop? If not, please define this term.</w:t>
      </w:r>
    </w:p>
    <w:p w14:paraId="09A450D0" w14:textId="77777777" w:rsidR="00DE196E" w:rsidRPr="0016089F" w:rsidRDefault="00DE196E" w:rsidP="00DE196E">
      <w:pPr>
        <w:pStyle w:val="ListParagraph"/>
        <w:widowControl/>
        <w:spacing w:after="160" w:line="259" w:lineRule="auto"/>
        <w:ind w:left="720"/>
        <w:contextualSpacing/>
        <w:rPr>
          <w:rFonts w:ascii="Times New Roman" w:hAnsi="Times New Roman" w:cs="Times New Roman"/>
          <w:b/>
          <w:sz w:val="24"/>
          <w:szCs w:val="24"/>
        </w:rPr>
      </w:pPr>
    </w:p>
    <w:p w14:paraId="3009AD69" w14:textId="6390427F" w:rsidR="00DE196E" w:rsidRPr="0016089F" w:rsidRDefault="00DE196E" w:rsidP="00DE196E">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p>
    <w:p w14:paraId="3053DE13" w14:textId="1C7B53E0" w:rsidR="0013790B" w:rsidRPr="0016089F" w:rsidRDefault="0013790B" w:rsidP="00DE196E">
      <w:pPr>
        <w:pStyle w:val="ListParagraph"/>
        <w:widowControl/>
        <w:spacing w:after="160" w:line="259" w:lineRule="auto"/>
        <w:ind w:left="720"/>
        <w:contextualSpacing/>
        <w:rPr>
          <w:rFonts w:ascii="Times New Roman" w:hAnsi="Times New Roman" w:cs="Times New Roman"/>
          <w:b/>
          <w:sz w:val="24"/>
          <w:szCs w:val="24"/>
        </w:rPr>
      </w:pPr>
    </w:p>
    <w:p w14:paraId="282FB145" w14:textId="7C1BDCAC" w:rsidR="00746CD4" w:rsidRPr="0016089F" w:rsidRDefault="00746CD4" w:rsidP="00746CD4">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sz w:val="24"/>
          <w:szCs w:val="24"/>
        </w:rPr>
        <w:t>The “number of runs” refers to the number of service drop wire lengths needed to serve a customer. For instance, a wire service length could be 100 feet and two runs mean that 200 feet of wire is needed to hook-up the customer for electric service.</w:t>
      </w:r>
    </w:p>
    <w:p w14:paraId="5B2591BD" w14:textId="77777777" w:rsidR="00DE196E" w:rsidRPr="0016089F" w:rsidRDefault="00DE196E" w:rsidP="00DE196E">
      <w:pPr>
        <w:widowControl/>
        <w:spacing w:after="160" w:line="259" w:lineRule="auto"/>
        <w:contextualSpacing/>
        <w:rPr>
          <w:rFonts w:ascii="Times New Roman" w:hAnsi="Times New Roman" w:cs="Times New Roman"/>
          <w:sz w:val="24"/>
          <w:szCs w:val="24"/>
        </w:rPr>
      </w:pPr>
    </w:p>
    <w:p w14:paraId="46D99BB3" w14:textId="5DEC1AAB"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define “compression lug wire” (see WGS-7 at 22) and explain how this affects the unit cost of services.</w:t>
      </w:r>
    </w:p>
    <w:p w14:paraId="4B649F3F" w14:textId="77777777" w:rsidR="00916C3E" w:rsidRPr="0016089F" w:rsidRDefault="00916C3E" w:rsidP="00916C3E">
      <w:pPr>
        <w:pStyle w:val="ListParagraph"/>
        <w:widowControl/>
        <w:spacing w:after="160" w:line="259" w:lineRule="auto"/>
        <w:ind w:left="720"/>
        <w:contextualSpacing/>
        <w:rPr>
          <w:rFonts w:ascii="Times New Roman" w:hAnsi="Times New Roman" w:cs="Times New Roman"/>
          <w:b/>
          <w:sz w:val="24"/>
          <w:szCs w:val="24"/>
        </w:rPr>
      </w:pPr>
    </w:p>
    <w:p w14:paraId="51592D58" w14:textId="6B1688A8" w:rsidR="00916C3E" w:rsidRPr="0016089F" w:rsidRDefault="00916C3E" w:rsidP="00916C3E">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p>
    <w:p w14:paraId="5A857790" w14:textId="4D48A3C2" w:rsidR="00EC0934" w:rsidRPr="0016089F" w:rsidRDefault="00EC0934" w:rsidP="00916C3E">
      <w:pPr>
        <w:pStyle w:val="ListParagraph"/>
        <w:widowControl/>
        <w:spacing w:after="160" w:line="259" w:lineRule="auto"/>
        <w:ind w:left="720"/>
        <w:contextualSpacing/>
        <w:rPr>
          <w:rFonts w:ascii="Times New Roman" w:hAnsi="Times New Roman" w:cs="Times New Roman"/>
          <w:b/>
          <w:sz w:val="24"/>
          <w:szCs w:val="24"/>
        </w:rPr>
      </w:pPr>
    </w:p>
    <w:p w14:paraId="76BF1826" w14:textId="63714D60" w:rsidR="00EC0934" w:rsidRPr="0016089F" w:rsidRDefault="0059490B" w:rsidP="00916C3E">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sz w:val="24"/>
          <w:szCs w:val="24"/>
        </w:rPr>
        <w:t>Compression lug wires are clamps needed to connect cables to electrical equipment such as other cables or meters and transformers.</w:t>
      </w:r>
      <w:r w:rsidR="00AE4E69" w:rsidRPr="0016089F">
        <w:rPr>
          <w:rFonts w:ascii="Times New Roman" w:hAnsi="Times New Roman" w:cs="Times New Roman"/>
          <w:sz w:val="24"/>
          <w:szCs w:val="24"/>
        </w:rPr>
        <w:t xml:space="preserve"> </w:t>
      </w:r>
    </w:p>
    <w:p w14:paraId="45C80822" w14:textId="77777777" w:rsidR="00916C3E" w:rsidRPr="0016089F" w:rsidRDefault="00916C3E" w:rsidP="00916C3E">
      <w:pPr>
        <w:widowControl/>
        <w:spacing w:after="160" w:line="259" w:lineRule="auto"/>
        <w:contextualSpacing/>
        <w:rPr>
          <w:rFonts w:ascii="Times New Roman" w:hAnsi="Times New Roman" w:cs="Times New Roman"/>
          <w:sz w:val="24"/>
          <w:szCs w:val="24"/>
        </w:rPr>
      </w:pPr>
    </w:p>
    <w:p w14:paraId="2536FB32" w14:textId="6E3E16B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Saxe states that “In order to develop a per-customer O&amp;M cost allocation, SDG&amp;E analyzed the Federal Energy Regulatory Commission (“FERC”) Form 1 Distribution O&amp;M account costs (580 to 598) to determine which portion of each account relates to distribution demand and which relates to customer connection.” (WGS-8:20-WGS-9:2) What portion of each account was determined to be related to customer connection and how was this determined?</w:t>
      </w:r>
    </w:p>
    <w:p w14:paraId="1462BE8E" w14:textId="77777777" w:rsidR="00916C3E" w:rsidRPr="0016089F" w:rsidRDefault="00916C3E" w:rsidP="00916C3E">
      <w:pPr>
        <w:pStyle w:val="ListParagraph"/>
        <w:widowControl/>
        <w:spacing w:after="160" w:line="259" w:lineRule="auto"/>
        <w:ind w:left="720"/>
        <w:contextualSpacing/>
        <w:rPr>
          <w:rFonts w:ascii="Times New Roman" w:hAnsi="Times New Roman" w:cs="Times New Roman"/>
          <w:b/>
          <w:sz w:val="24"/>
          <w:szCs w:val="24"/>
        </w:rPr>
      </w:pPr>
    </w:p>
    <w:p w14:paraId="54859F90" w14:textId="77777777" w:rsidR="00AE4E69" w:rsidRPr="0016089F" w:rsidRDefault="00916C3E" w:rsidP="00916C3E">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SDG&amp;E Response:</w:t>
      </w:r>
    </w:p>
    <w:p w14:paraId="369D1DB2" w14:textId="5BE8E7CD" w:rsidR="00AE4E69" w:rsidRPr="0016089F" w:rsidRDefault="00AE4E69" w:rsidP="00916C3E">
      <w:pPr>
        <w:pStyle w:val="ListParagraph"/>
        <w:widowControl/>
        <w:spacing w:after="160" w:line="259" w:lineRule="auto"/>
        <w:ind w:left="720"/>
        <w:contextualSpacing/>
        <w:rPr>
          <w:rFonts w:ascii="Times New Roman" w:hAnsi="Times New Roman" w:cs="Times New Roman"/>
          <w:b/>
          <w:sz w:val="24"/>
          <w:szCs w:val="24"/>
        </w:rPr>
      </w:pPr>
    </w:p>
    <w:p w14:paraId="7269483F" w14:textId="67AB98F6" w:rsidR="00916C3E" w:rsidRPr="0016089F" w:rsidRDefault="00570A96" w:rsidP="00B70F01">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sz w:val="24"/>
          <w:szCs w:val="24"/>
        </w:rPr>
        <w:t xml:space="preserve">As explained </w:t>
      </w:r>
      <w:r w:rsidR="00BA6968" w:rsidRPr="0016089F">
        <w:rPr>
          <w:rFonts w:ascii="Times New Roman" w:hAnsi="Times New Roman" w:cs="Times New Roman"/>
          <w:sz w:val="24"/>
          <w:szCs w:val="24"/>
        </w:rPr>
        <w:t>in the Second Revised Prepared Direct Testimony of William G. Saxe (Chapter 5)</w:t>
      </w:r>
      <w:r w:rsidR="006319A7" w:rsidRPr="0016089F">
        <w:rPr>
          <w:rFonts w:ascii="Times New Roman" w:hAnsi="Times New Roman" w:cs="Times New Roman"/>
          <w:sz w:val="24"/>
          <w:szCs w:val="24"/>
        </w:rPr>
        <w:t xml:space="preserve">, </w:t>
      </w:r>
      <w:r w:rsidR="00890869" w:rsidRPr="0016089F">
        <w:rPr>
          <w:rFonts w:ascii="Times New Roman" w:hAnsi="Times New Roman" w:cs="Times New Roman"/>
          <w:sz w:val="24"/>
          <w:szCs w:val="24"/>
        </w:rPr>
        <w:t>the customer</w:t>
      </w:r>
      <w:r w:rsidR="00A20E21">
        <w:rPr>
          <w:rFonts w:ascii="Times New Roman" w:hAnsi="Times New Roman" w:cs="Times New Roman"/>
          <w:sz w:val="24"/>
          <w:szCs w:val="24"/>
        </w:rPr>
        <w:t>-</w:t>
      </w:r>
      <w:r w:rsidR="00763F45" w:rsidRPr="0016089F">
        <w:rPr>
          <w:rFonts w:ascii="Times New Roman" w:hAnsi="Times New Roman" w:cs="Times New Roman"/>
          <w:sz w:val="24"/>
          <w:szCs w:val="24"/>
        </w:rPr>
        <w:t xml:space="preserve">related distribution O&amp;M costs are either based on costs </w:t>
      </w:r>
      <w:r w:rsidR="006028AC" w:rsidRPr="0016089F">
        <w:rPr>
          <w:rFonts w:ascii="Times New Roman" w:hAnsi="Times New Roman" w:cs="Times New Roman"/>
          <w:sz w:val="24"/>
          <w:szCs w:val="24"/>
        </w:rPr>
        <w:t xml:space="preserve">that are </w:t>
      </w:r>
      <w:r w:rsidR="008B4DD3" w:rsidRPr="0016089F">
        <w:rPr>
          <w:rFonts w:ascii="Times New Roman" w:hAnsi="Times New Roman" w:cs="Times New Roman"/>
          <w:sz w:val="24"/>
          <w:szCs w:val="24"/>
        </w:rPr>
        <w:t xml:space="preserve">assigned </w:t>
      </w:r>
      <w:r w:rsidR="00763F45" w:rsidRPr="0016089F">
        <w:rPr>
          <w:rFonts w:ascii="Times New Roman" w:hAnsi="Times New Roman" w:cs="Times New Roman"/>
          <w:sz w:val="24"/>
          <w:szCs w:val="24"/>
        </w:rPr>
        <w:t xml:space="preserve">100% </w:t>
      </w:r>
      <w:r w:rsidR="006028AC" w:rsidRPr="0016089F">
        <w:rPr>
          <w:rFonts w:ascii="Times New Roman" w:hAnsi="Times New Roman" w:cs="Times New Roman"/>
          <w:sz w:val="24"/>
          <w:szCs w:val="24"/>
        </w:rPr>
        <w:t xml:space="preserve">customer-related or </w:t>
      </w:r>
      <w:r w:rsidR="008B4DD3" w:rsidRPr="0016089F">
        <w:rPr>
          <w:rFonts w:ascii="Times New Roman" w:hAnsi="Times New Roman" w:cs="Times New Roman"/>
          <w:sz w:val="24"/>
          <w:szCs w:val="24"/>
        </w:rPr>
        <w:t>the port</w:t>
      </w:r>
      <w:r w:rsidR="00EA1649">
        <w:rPr>
          <w:rFonts w:ascii="Times New Roman" w:hAnsi="Times New Roman" w:cs="Times New Roman"/>
          <w:sz w:val="24"/>
          <w:szCs w:val="24"/>
        </w:rPr>
        <w:t>ion</w:t>
      </w:r>
      <w:r w:rsidR="008B4DD3" w:rsidRPr="0016089F">
        <w:rPr>
          <w:rFonts w:ascii="Times New Roman" w:hAnsi="Times New Roman" w:cs="Times New Roman"/>
          <w:sz w:val="24"/>
          <w:szCs w:val="24"/>
        </w:rPr>
        <w:t xml:space="preserve"> of the unassigned costs that </w:t>
      </w:r>
      <w:r w:rsidR="00EA1649">
        <w:rPr>
          <w:rFonts w:ascii="Times New Roman" w:hAnsi="Times New Roman" w:cs="Times New Roman"/>
          <w:sz w:val="24"/>
          <w:szCs w:val="24"/>
        </w:rPr>
        <w:t xml:space="preserve">are </w:t>
      </w:r>
      <w:r w:rsidR="00C657B2" w:rsidRPr="0016089F">
        <w:rPr>
          <w:rFonts w:ascii="Times New Roman" w:hAnsi="Times New Roman" w:cs="Times New Roman"/>
          <w:sz w:val="24"/>
          <w:szCs w:val="24"/>
        </w:rPr>
        <w:t xml:space="preserve">customer-related based on work performed upstream of the </w:t>
      </w:r>
      <w:r w:rsidR="008445D4" w:rsidRPr="0016089F">
        <w:rPr>
          <w:rFonts w:ascii="Times New Roman" w:hAnsi="Times New Roman" w:cs="Times New Roman"/>
          <w:sz w:val="24"/>
          <w:szCs w:val="24"/>
        </w:rPr>
        <w:t>final line</w:t>
      </w:r>
      <w:r w:rsidR="00A40A54">
        <w:rPr>
          <w:rFonts w:ascii="Times New Roman" w:hAnsi="Times New Roman" w:cs="Times New Roman"/>
          <w:sz w:val="24"/>
          <w:szCs w:val="24"/>
        </w:rPr>
        <w:t xml:space="preserve"> </w:t>
      </w:r>
      <w:r w:rsidR="008445D4" w:rsidRPr="0016089F">
        <w:rPr>
          <w:rFonts w:ascii="Times New Roman" w:hAnsi="Times New Roman" w:cs="Times New Roman"/>
          <w:sz w:val="24"/>
          <w:szCs w:val="24"/>
        </w:rPr>
        <w:t>transformer.</w:t>
      </w:r>
      <w:r w:rsidR="008445D4" w:rsidRPr="0016089F">
        <w:rPr>
          <w:rStyle w:val="FootnoteReference"/>
          <w:rFonts w:ascii="Times New Roman" w:hAnsi="Times New Roman" w:cs="Times New Roman"/>
          <w:sz w:val="24"/>
          <w:szCs w:val="24"/>
        </w:rPr>
        <w:footnoteReference w:id="3"/>
      </w:r>
      <w:r w:rsidR="00BA41E3" w:rsidRPr="0016089F">
        <w:rPr>
          <w:rFonts w:ascii="Times New Roman" w:hAnsi="Times New Roman" w:cs="Times New Roman"/>
          <w:sz w:val="24"/>
          <w:szCs w:val="24"/>
        </w:rPr>
        <w:t xml:space="preserve">  The </w:t>
      </w:r>
      <w:r w:rsidR="007775C7" w:rsidRPr="0016089F">
        <w:rPr>
          <w:rFonts w:ascii="Times New Roman" w:hAnsi="Times New Roman" w:cs="Times New Roman"/>
          <w:sz w:val="24"/>
          <w:szCs w:val="24"/>
        </w:rPr>
        <w:t>“2019 GRC Phase 2 – FERC - Electric Cust OM 5-Yr Avg Allocation-Revised” file attached in response to Question 4</w:t>
      </w:r>
      <w:r w:rsidR="00B70F01" w:rsidRPr="0016089F">
        <w:rPr>
          <w:rFonts w:ascii="Times New Roman" w:hAnsi="Times New Roman" w:cs="Times New Roman"/>
          <w:sz w:val="24"/>
          <w:szCs w:val="24"/>
        </w:rPr>
        <w:t xml:space="preserve">3.c below </w:t>
      </w:r>
      <w:r w:rsidR="00625E3C" w:rsidRPr="0016089F">
        <w:rPr>
          <w:rFonts w:ascii="Times New Roman" w:hAnsi="Times New Roman" w:cs="Times New Roman"/>
          <w:sz w:val="24"/>
          <w:szCs w:val="24"/>
        </w:rPr>
        <w:t xml:space="preserve">provides the development of the </w:t>
      </w:r>
      <w:r w:rsidR="00B70F01" w:rsidRPr="0016089F">
        <w:rPr>
          <w:rFonts w:ascii="Times New Roman" w:hAnsi="Times New Roman" w:cs="Times New Roman"/>
          <w:sz w:val="24"/>
          <w:szCs w:val="24"/>
        </w:rPr>
        <w:t xml:space="preserve">proposed </w:t>
      </w:r>
      <w:r w:rsidR="00625E3C" w:rsidRPr="0016089F">
        <w:rPr>
          <w:rFonts w:ascii="Times New Roman" w:hAnsi="Times New Roman" w:cs="Times New Roman"/>
          <w:sz w:val="24"/>
          <w:szCs w:val="24"/>
        </w:rPr>
        <w:t>customer-related FERC O&amp;M costs.</w:t>
      </w:r>
    </w:p>
    <w:p w14:paraId="5EFA5AB9" w14:textId="77777777" w:rsidR="00916C3E" w:rsidRPr="0016089F" w:rsidRDefault="00916C3E" w:rsidP="00916C3E">
      <w:pPr>
        <w:widowControl/>
        <w:spacing w:after="160" w:line="259" w:lineRule="auto"/>
        <w:contextualSpacing/>
        <w:rPr>
          <w:rFonts w:ascii="Times New Roman" w:hAnsi="Times New Roman" w:cs="Times New Roman"/>
          <w:sz w:val="24"/>
          <w:szCs w:val="24"/>
        </w:rPr>
      </w:pPr>
      <w:bookmarkStart w:id="0" w:name="_GoBack"/>
      <w:bookmarkEnd w:id="0"/>
    </w:p>
    <w:p w14:paraId="494F667C" w14:textId="77777777" w:rsidR="00683370" w:rsidRPr="0016089F" w:rsidRDefault="00683370" w:rsidP="00683370">
      <w:pPr>
        <w:rPr>
          <w:rFonts w:ascii="Times New Roman" w:hAnsi="Times New Roman" w:cs="Times New Roman"/>
          <w:sz w:val="24"/>
          <w:szCs w:val="24"/>
        </w:rPr>
      </w:pPr>
      <w:r w:rsidRPr="0016089F">
        <w:rPr>
          <w:rFonts w:ascii="Times New Roman" w:hAnsi="Times New Roman" w:cs="Times New Roman"/>
          <w:sz w:val="24"/>
          <w:szCs w:val="24"/>
        </w:rPr>
        <w:lastRenderedPageBreak/>
        <w:t>The following questions refer to Chapter 5 Workpaper #2.</w:t>
      </w:r>
    </w:p>
    <w:p w14:paraId="061B7B2B" w14:textId="72E51562" w:rsidR="00683370" w:rsidRPr="00DA530D" w:rsidRDefault="00683370" w:rsidP="00DA530D">
      <w:pPr>
        <w:pStyle w:val="ListParagraph"/>
        <w:widowControl/>
        <w:numPr>
          <w:ilvl w:val="0"/>
          <w:numId w:val="1"/>
        </w:numPr>
        <w:spacing w:after="160" w:line="259" w:lineRule="auto"/>
        <w:contextualSpacing/>
        <w:rPr>
          <w:rFonts w:ascii="Times New Roman" w:hAnsi="Times New Roman" w:cs="Times New Roman"/>
          <w:sz w:val="24"/>
          <w:szCs w:val="24"/>
        </w:rPr>
      </w:pPr>
      <w:r w:rsidRPr="00DA530D">
        <w:rPr>
          <w:rFonts w:ascii="Times New Roman" w:hAnsi="Times New Roman" w:cs="Times New Roman"/>
          <w:sz w:val="24"/>
          <w:szCs w:val="24"/>
        </w:rPr>
        <w:t>Please provide the source file(s) for the input data in blue font for the following tabs:</w:t>
      </w:r>
    </w:p>
    <w:p w14:paraId="6750C51C" w14:textId="77777777" w:rsidR="00683370" w:rsidRPr="0016089F" w:rsidRDefault="00683370" w:rsidP="005316D2">
      <w:pPr>
        <w:pStyle w:val="ListParagraph"/>
        <w:widowControl/>
        <w:numPr>
          <w:ilvl w:val="1"/>
          <w:numId w:val="9"/>
        </w:numPr>
        <w:spacing w:after="160" w:line="259" w:lineRule="auto"/>
        <w:contextualSpacing/>
        <w:rPr>
          <w:rFonts w:ascii="Times New Roman" w:hAnsi="Times New Roman" w:cs="Times New Roman"/>
          <w:sz w:val="24"/>
          <w:szCs w:val="24"/>
        </w:rPr>
      </w:pPr>
      <w:proofErr w:type="spellStart"/>
      <w:r w:rsidRPr="0016089F">
        <w:rPr>
          <w:rFonts w:ascii="Times New Roman" w:hAnsi="Times New Roman" w:cs="Times New Roman"/>
          <w:sz w:val="24"/>
          <w:szCs w:val="24"/>
        </w:rPr>
        <w:t>Resid</w:t>
      </w:r>
      <w:proofErr w:type="spellEnd"/>
      <w:r w:rsidRPr="0016089F">
        <w:rPr>
          <w:rFonts w:ascii="Times New Roman" w:hAnsi="Times New Roman" w:cs="Times New Roman"/>
          <w:sz w:val="24"/>
          <w:szCs w:val="24"/>
        </w:rPr>
        <w:t xml:space="preserve"> TSM UC</w:t>
      </w:r>
    </w:p>
    <w:p w14:paraId="20A6AE9F" w14:textId="77777777" w:rsidR="00683370" w:rsidRPr="0016089F" w:rsidRDefault="00683370" w:rsidP="005316D2">
      <w:pPr>
        <w:pStyle w:val="ListParagraph"/>
        <w:widowControl/>
        <w:numPr>
          <w:ilvl w:val="1"/>
          <w:numId w:val="9"/>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Non-Residential TSM UC</w:t>
      </w:r>
    </w:p>
    <w:p w14:paraId="3585CF5F" w14:textId="77777777" w:rsidR="00683370" w:rsidRPr="0016089F" w:rsidRDefault="00683370" w:rsidP="005316D2">
      <w:pPr>
        <w:pStyle w:val="ListParagraph"/>
        <w:widowControl/>
        <w:numPr>
          <w:ilvl w:val="1"/>
          <w:numId w:val="9"/>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Distribution O&amp;M Allocations</w:t>
      </w:r>
    </w:p>
    <w:p w14:paraId="69713F88" w14:textId="77777777" w:rsidR="00683370" w:rsidRPr="0016089F" w:rsidRDefault="00683370" w:rsidP="005316D2">
      <w:pPr>
        <w:pStyle w:val="ListParagraph"/>
        <w:widowControl/>
        <w:numPr>
          <w:ilvl w:val="1"/>
          <w:numId w:val="9"/>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Cust Service Cost Allocations</w:t>
      </w:r>
    </w:p>
    <w:p w14:paraId="389F444F" w14:textId="77777777" w:rsidR="00683370" w:rsidRPr="0016089F" w:rsidRDefault="00683370" w:rsidP="005316D2">
      <w:pPr>
        <w:pStyle w:val="ListParagraph"/>
        <w:widowControl/>
        <w:numPr>
          <w:ilvl w:val="1"/>
          <w:numId w:val="9"/>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Resid Cust Fcst</w:t>
      </w:r>
    </w:p>
    <w:p w14:paraId="510C66DC" w14:textId="2B351405" w:rsidR="00683370" w:rsidRPr="0016089F" w:rsidRDefault="00683370" w:rsidP="005316D2">
      <w:pPr>
        <w:pStyle w:val="ListParagraph"/>
        <w:widowControl/>
        <w:numPr>
          <w:ilvl w:val="1"/>
          <w:numId w:val="9"/>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Sm Comm Cust Fcst</w:t>
      </w:r>
    </w:p>
    <w:p w14:paraId="3E10E1CF" w14:textId="77777777" w:rsidR="00916C3E" w:rsidRPr="0016089F" w:rsidRDefault="00916C3E" w:rsidP="00916C3E">
      <w:pPr>
        <w:pStyle w:val="ListParagraph"/>
        <w:widowControl/>
        <w:spacing w:after="160" w:line="259" w:lineRule="auto"/>
        <w:ind w:left="720"/>
        <w:contextualSpacing/>
        <w:rPr>
          <w:rFonts w:ascii="Times New Roman" w:hAnsi="Times New Roman" w:cs="Times New Roman"/>
          <w:b/>
          <w:sz w:val="24"/>
          <w:szCs w:val="24"/>
        </w:rPr>
      </w:pPr>
    </w:p>
    <w:p w14:paraId="78B0B339" w14:textId="7F4268B6" w:rsidR="00916C3E" w:rsidRPr="0016089F" w:rsidRDefault="00916C3E" w:rsidP="00916C3E">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p>
    <w:p w14:paraId="31B81417" w14:textId="7DE78780" w:rsidR="00A462F1" w:rsidRPr="0016089F" w:rsidRDefault="00A462F1" w:rsidP="00916C3E">
      <w:pPr>
        <w:pStyle w:val="ListParagraph"/>
        <w:widowControl/>
        <w:spacing w:after="160" w:line="259" w:lineRule="auto"/>
        <w:ind w:left="720"/>
        <w:contextualSpacing/>
        <w:rPr>
          <w:rFonts w:ascii="Times New Roman" w:hAnsi="Times New Roman" w:cs="Times New Roman"/>
          <w:b/>
          <w:sz w:val="24"/>
          <w:szCs w:val="24"/>
        </w:rPr>
      </w:pPr>
    </w:p>
    <w:p w14:paraId="1B164781" w14:textId="21DD9CD1" w:rsidR="00C23D17" w:rsidRPr="0016089F" w:rsidRDefault="00FF6ED4" w:rsidP="005316D2">
      <w:pPr>
        <w:pStyle w:val="ListParagraph"/>
        <w:widowControl/>
        <w:numPr>
          <w:ilvl w:val="1"/>
          <w:numId w:val="1"/>
        </w:numPr>
        <w:rPr>
          <w:rFonts w:ascii="Times New Roman" w:hAnsi="Times New Roman" w:cs="Times New Roman"/>
          <w:sz w:val="24"/>
          <w:szCs w:val="24"/>
        </w:rPr>
      </w:pPr>
      <w:r w:rsidRPr="0016089F">
        <w:rPr>
          <w:rFonts w:ascii="Times New Roman" w:hAnsi="Times New Roman" w:cs="Times New Roman"/>
          <w:sz w:val="24"/>
          <w:szCs w:val="24"/>
        </w:rPr>
        <w:t xml:space="preserve">The </w:t>
      </w:r>
      <w:r w:rsidR="009B3FB4" w:rsidRPr="0016089F">
        <w:rPr>
          <w:rFonts w:ascii="Times New Roman" w:hAnsi="Times New Roman" w:cs="Times New Roman"/>
          <w:sz w:val="24"/>
          <w:szCs w:val="24"/>
        </w:rPr>
        <w:t xml:space="preserve">data in the </w:t>
      </w:r>
      <w:r w:rsidRPr="0016089F">
        <w:rPr>
          <w:rFonts w:ascii="Times New Roman" w:hAnsi="Times New Roman" w:cs="Times New Roman"/>
          <w:sz w:val="24"/>
          <w:szCs w:val="24"/>
        </w:rPr>
        <w:t>“Resid TSM UC</w:t>
      </w:r>
      <w:r w:rsidR="00AA1291" w:rsidRPr="0016089F">
        <w:rPr>
          <w:rFonts w:ascii="Times New Roman" w:hAnsi="Times New Roman" w:cs="Times New Roman"/>
          <w:sz w:val="24"/>
          <w:szCs w:val="24"/>
        </w:rPr>
        <w:t xml:space="preserve">” </w:t>
      </w:r>
      <w:r w:rsidR="009B3FB4" w:rsidRPr="0016089F">
        <w:rPr>
          <w:rFonts w:ascii="Times New Roman" w:hAnsi="Times New Roman" w:cs="Times New Roman"/>
          <w:sz w:val="24"/>
          <w:szCs w:val="24"/>
        </w:rPr>
        <w:t xml:space="preserve">tab of </w:t>
      </w:r>
      <w:r w:rsidR="006F3696" w:rsidRPr="0016089F">
        <w:rPr>
          <w:rFonts w:ascii="Times New Roman" w:hAnsi="Times New Roman" w:cs="Times New Roman"/>
          <w:sz w:val="24"/>
          <w:szCs w:val="24"/>
        </w:rPr>
        <w:t xml:space="preserve">the </w:t>
      </w:r>
      <w:r w:rsidR="009B3FB4" w:rsidRPr="0016089F">
        <w:rPr>
          <w:rFonts w:ascii="Times New Roman" w:hAnsi="Times New Roman" w:cs="Times New Roman"/>
          <w:sz w:val="24"/>
          <w:szCs w:val="24"/>
        </w:rPr>
        <w:t xml:space="preserve">Chapter 5 Workpaper #2 </w:t>
      </w:r>
      <w:r w:rsidR="00C356BD" w:rsidRPr="0016089F">
        <w:rPr>
          <w:rFonts w:ascii="Times New Roman" w:hAnsi="Times New Roman" w:cs="Times New Roman"/>
          <w:sz w:val="24"/>
          <w:szCs w:val="24"/>
        </w:rPr>
        <w:t>Revised (“Ch-5_WP#2_</w:t>
      </w:r>
      <w:r w:rsidR="008F7975" w:rsidRPr="0016089F">
        <w:rPr>
          <w:rFonts w:ascii="Times New Roman" w:hAnsi="Times New Roman" w:cs="Times New Roman"/>
          <w:sz w:val="24"/>
          <w:szCs w:val="24"/>
        </w:rPr>
        <w:t xml:space="preserve">Marg Dist Cust Costs for Non School Class Revised”) </w:t>
      </w:r>
      <w:r w:rsidR="00AA1291" w:rsidRPr="0016089F">
        <w:rPr>
          <w:rFonts w:ascii="Times New Roman" w:hAnsi="Times New Roman" w:cs="Times New Roman"/>
          <w:sz w:val="24"/>
          <w:szCs w:val="24"/>
        </w:rPr>
        <w:t>reflects</w:t>
      </w:r>
      <w:r w:rsidR="003F7AC2">
        <w:rPr>
          <w:rFonts w:ascii="Times New Roman" w:hAnsi="Times New Roman" w:cs="Times New Roman"/>
          <w:sz w:val="24"/>
          <w:szCs w:val="24"/>
        </w:rPr>
        <w:t xml:space="preserve"> residential</w:t>
      </w:r>
      <w:r w:rsidR="00AA1291" w:rsidRPr="0016089F">
        <w:rPr>
          <w:rFonts w:ascii="Times New Roman" w:hAnsi="Times New Roman" w:cs="Times New Roman"/>
          <w:sz w:val="24"/>
          <w:szCs w:val="24"/>
        </w:rPr>
        <w:t xml:space="preserve"> </w:t>
      </w:r>
      <w:r w:rsidR="00C23D17" w:rsidRPr="0016089F">
        <w:rPr>
          <w:rFonts w:ascii="Times New Roman" w:hAnsi="Times New Roman" w:cs="Times New Roman"/>
          <w:sz w:val="24"/>
          <w:szCs w:val="24"/>
        </w:rPr>
        <w:t xml:space="preserve">Transformer, Service, and Meter costs </w:t>
      </w:r>
      <w:r w:rsidR="00C121B5" w:rsidRPr="0016089F">
        <w:rPr>
          <w:rFonts w:ascii="Times New Roman" w:hAnsi="Times New Roman" w:cs="Times New Roman"/>
          <w:sz w:val="24"/>
          <w:szCs w:val="24"/>
        </w:rPr>
        <w:t>from the file attached below</w:t>
      </w:r>
      <w:r w:rsidR="00B6480B" w:rsidRPr="0016089F">
        <w:rPr>
          <w:rFonts w:ascii="Times New Roman" w:hAnsi="Times New Roman" w:cs="Times New Roman"/>
          <w:sz w:val="24"/>
          <w:szCs w:val="24"/>
        </w:rPr>
        <w:t xml:space="preserve"> (“2019 GRC Phase 2 – TSM Costs</w:t>
      </w:r>
      <w:r w:rsidR="00EE7545" w:rsidRPr="0016089F">
        <w:rPr>
          <w:rFonts w:ascii="Times New Roman" w:hAnsi="Times New Roman" w:cs="Times New Roman"/>
          <w:sz w:val="24"/>
          <w:szCs w:val="24"/>
        </w:rPr>
        <w:t>”)</w:t>
      </w:r>
      <w:r w:rsidR="009B5398">
        <w:rPr>
          <w:rFonts w:ascii="Times New Roman" w:hAnsi="Times New Roman" w:cs="Times New Roman"/>
          <w:sz w:val="24"/>
          <w:szCs w:val="24"/>
        </w:rPr>
        <w:t>, in the following locations</w:t>
      </w:r>
      <w:r w:rsidR="004A227B" w:rsidRPr="0016089F">
        <w:rPr>
          <w:rFonts w:ascii="Times New Roman" w:hAnsi="Times New Roman" w:cs="Times New Roman"/>
          <w:sz w:val="24"/>
          <w:szCs w:val="24"/>
        </w:rPr>
        <w:t>:</w:t>
      </w:r>
      <w:r w:rsidR="009F4834" w:rsidRPr="0016089F">
        <w:rPr>
          <w:rFonts w:ascii="Times New Roman" w:hAnsi="Times New Roman" w:cs="Times New Roman"/>
          <w:sz w:val="24"/>
          <w:szCs w:val="24"/>
        </w:rPr>
        <w:t xml:space="preserve"> </w:t>
      </w:r>
      <w:r w:rsidR="004A227B" w:rsidRPr="0016089F">
        <w:rPr>
          <w:rFonts w:ascii="Times New Roman" w:hAnsi="Times New Roman" w:cs="Times New Roman"/>
          <w:sz w:val="24"/>
          <w:szCs w:val="24"/>
        </w:rPr>
        <w:t xml:space="preserve">(1) </w:t>
      </w:r>
      <w:r w:rsidR="00A25C63">
        <w:rPr>
          <w:rFonts w:ascii="Times New Roman" w:hAnsi="Times New Roman" w:cs="Times New Roman"/>
          <w:sz w:val="24"/>
          <w:szCs w:val="24"/>
        </w:rPr>
        <w:t xml:space="preserve">the </w:t>
      </w:r>
      <w:r w:rsidR="004A227B" w:rsidRPr="0016089F">
        <w:rPr>
          <w:rFonts w:ascii="Times New Roman" w:hAnsi="Times New Roman" w:cs="Times New Roman"/>
          <w:sz w:val="24"/>
          <w:szCs w:val="24"/>
        </w:rPr>
        <w:t xml:space="preserve">“Avg. TXFMR Costs” tab, Rows 7-31, </w:t>
      </w:r>
      <w:r w:rsidR="00BC40B0" w:rsidRPr="0016089F">
        <w:rPr>
          <w:rFonts w:ascii="Times New Roman" w:hAnsi="Times New Roman" w:cs="Times New Roman"/>
          <w:sz w:val="24"/>
          <w:szCs w:val="24"/>
        </w:rPr>
        <w:t xml:space="preserve">provides the </w:t>
      </w:r>
      <w:r w:rsidR="004A227B" w:rsidRPr="0016089F">
        <w:rPr>
          <w:rFonts w:ascii="Times New Roman" w:hAnsi="Times New Roman" w:cs="Times New Roman"/>
          <w:sz w:val="24"/>
          <w:szCs w:val="24"/>
        </w:rPr>
        <w:t xml:space="preserve">transformer costs; </w:t>
      </w:r>
      <w:r w:rsidR="009F4834" w:rsidRPr="0016089F">
        <w:rPr>
          <w:rFonts w:ascii="Times New Roman" w:hAnsi="Times New Roman" w:cs="Times New Roman"/>
          <w:sz w:val="24"/>
          <w:szCs w:val="24"/>
        </w:rPr>
        <w:t>(</w:t>
      </w:r>
      <w:r w:rsidR="004A227B" w:rsidRPr="0016089F">
        <w:rPr>
          <w:rFonts w:ascii="Times New Roman" w:hAnsi="Times New Roman" w:cs="Times New Roman"/>
          <w:sz w:val="24"/>
          <w:szCs w:val="24"/>
        </w:rPr>
        <w:t>2</w:t>
      </w:r>
      <w:r w:rsidR="009F4834" w:rsidRPr="0016089F">
        <w:rPr>
          <w:rFonts w:ascii="Times New Roman" w:hAnsi="Times New Roman" w:cs="Times New Roman"/>
          <w:sz w:val="24"/>
          <w:szCs w:val="24"/>
        </w:rPr>
        <w:t>)</w:t>
      </w:r>
      <w:r w:rsidR="00980E10" w:rsidRPr="0016089F">
        <w:rPr>
          <w:rFonts w:ascii="Times New Roman" w:hAnsi="Times New Roman" w:cs="Times New Roman"/>
          <w:sz w:val="24"/>
          <w:szCs w:val="24"/>
        </w:rPr>
        <w:t xml:space="preserve"> </w:t>
      </w:r>
      <w:r w:rsidR="00663429" w:rsidRPr="0016089F">
        <w:rPr>
          <w:rFonts w:ascii="Times New Roman" w:hAnsi="Times New Roman" w:cs="Times New Roman"/>
          <w:sz w:val="24"/>
          <w:szCs w:val="24"/>
        </w:rPr>
        <w:t>“Res Serv Costs”</w:t>
      </w:r>
      <w:r w:rsidR="00C96A7B" w:rsidRPr="0016089F">
        <w:rPr>
          <w:rFonts w:ascii="Times New Roman" w:hAnsi="Times New Roman" w:cs="Times New Roman"/>
          <w:sz w:val="24"/>
          <w:szCs w:val="24"/>
        </w:rPr>
        <w:t xml:space="preserve"> tab </w:t>
      </w:r>
      <w:r w:rsidR="00881E1C" w:rsidRPr="0016089F">
        <w:rPr>
          <w:rFonts w:ascii="Times New Roman" w:hAnsi="Times New Roman" w:cs="Times New Roman"/>
          <w:sz w:val="24"/>
          <w:szCs w:val="24"/>
        </w:rPr>
        <w:t xml:space="preserve">provides the </w:t>
      </w:r>
      <w:r w:rsidR="00C96A7B" w:rsidRPr="0016089F">
        <w:rPr>
          <w:rFonts w:ascii="Times New Roman" w:hAnsi="Times New Roman" w:cs="Times New Roman"/>
          <w:sz w:val="24"/>
          <w:szCs w:val="24"/>
        </w:rPr>
        <w:t>service costs</w:t>
      </w:r>
      <w:r w:rsidR="009F4834" w:rsidRPr="0016089F">
        <w:rPr>
          <w:rFonts w:ascii="Times New Roman" w:hAnsi="Times New Roman" w:cs="Times New Roman"/>
          <w:sz w:val="24"/>
          <w:szCs w:val="24"/>
        </w:rPr>
        <w:t>;</w:t>
      </w:r>
      <w:r w:rsidR="004A227B" w:rsidRPr="0016089F">
        <w:rPr>
          <w:rFonts w:ascii="Times New Roman" w:hAnsi="Times New Roman" w:cs="Times New Roman"/>
          <w:sz w:val="24"/>
          <w:szCs w:val="24"/>
        </w:rPr>
        <w:t xml:space="preserve"> </w:t>
      </w:r>
      <w:r w:rsidR="00F2605E" w:rsidRPr="0016089F">
        <w:rPr>
          <w:rFonts w:ascii="Times New Roman" w:hAnsi="Times New Roman" w:cs="Times New Roman"/>
          <w:sz w:val="24"/>
          <w:szCs w:val="24"/>
        </w:rPr>
        <w:t xml:space="preserve">and (3) </w:t>
      </w:r>
      <w:r w:rsidR="00E92231">
        <w:rPr>
          <w:rFonts w:ascii="Times New Roman" w:hAnsi="Times New Roman" w:cs="Times New Roman"/>
          <w:sz w:val="24"/>
          <w:szCs w:val="24"/>
        </w:rPr>
        <w:t xml:space="preserve">the </w:t>
      </w:r>
      <w:r w:rsidR="00F2605E" w:rsidRPr="0016089F">
        <w:rPr>
          <w:rFonts w:ascii="Times New Roman" w:hAnsi="Times New Roman" w:cs="Times New Roman"/>
          <w:sz w:val="24"/>
          <w:szCs w:val="24"/>
        </w:rPr>
        <w:t>“Avg. Meter Costs” tab, Columns E</w:t>
      </w:r>
      <w:r w:rsidR="00732914" w:rsidRPr="0016089F">
        <w:rPr>
          <w:rFonts w:ascii="Times New Roman" w:hAnsi="Times New Roman" w:cs="Times New Roman"/>
          <w:sz w:val="24"/>
          <w:szCs w:val="24"/>
        </w:rPr>
        <w:t xml:space="preserve"> through </w:t>
      </w:r>
      <w:r w:rsidR="00B6480B" w:rsidRPr="0016089F">
        <w:rPr>
          <w:rFonts w:ascii="Times New Roman" w:hAnsi="Times New Roman" w:cs="Times New Roman"/>
          <w:sz w:val="24"/>
          <w:szCs w:val="24"/>
        </w:rPr>
        <w:t>G</w:t>
      </w:r>
      <w:r w:rsidR="002D62EA" w:rsidRPr="0016089F">
        <w:rPr>
          <w:rFonts w:ascii="Times New Roman" w:hAnsi="Times New Roman" w:cs="Times New Roman"/>
          <w:sz w:val="24"/>
          <w:szCs w:val="24"/>
        </w:rPr>
        <w:t>,</w:t>
      </w:r>
      <w:r w:rsidR="00881E1C" w:rsidRPr="0016089F">
        <w:rPr>
          <w:rFonts w:ascii="Times New Roman" w:hAnsi="Times New Roman" w:cs="Times New Roman"/>
          <w:sz w:val="24"/>
          <w:szCs w:val="24"/>
        </w:rPr>
        <w:t xml:space="preserve"> provides the </w:t>
      </w:r>
      <w:r w:rsidR="00B6480B" w:rsidRPr="0016089F">
        <w:rPr>
          <w:rFonts w:ascii="Times New Roman" w:hAnsi="Times New Roman" w:cs="Times New Roman"/>
          <w:sz w:val="24"/>
          <w:szCs w:val="24"/>
        </w:rPr>
        <w:t>meter costs</w:t>
      </w:r>
      <w:r w:rsidR="00C23D17" w:rsidRPr="0016089F">
        <w:rPr>
          <w:rFonts w:ascii="Times New Roman" w:hAnsi="Times New Roman" w:cs="Times New Roman"/>
          <w:sz w:val="24"/>
          <w:szCs w:val="24"/>
        </w:rPr>
        <w:t xml:space="preserve">. </w:t>
      </w:r>
    </w:p>
    <w:p w14:paraId="40C1EC4A" w14:textId="38C87244" w:rsidR="00C23D17" w:rsidRPr="0016089F" w:rsidRDefault="00805E13" w:rsidP="00C23D17">
      <w:pPr>
        <w:ind w:left="1440"/>
        <w:rPr>
          <w:rFonts w:ascii="Times New Roman" w:hAnsi="Times New Roman" w:cs="Times New Roman"/>
          <w:sz w:val="24"/>
          <w:szCs w:val="24"/>
        </w:rPr>
      </w:pPr>
      <w:r w:rsidRPr="0016089F">
        <w:rPr>
          <w:rFonts w:ascii="Times New Roman" w:hAnsi="Times New Roman" w:cs="Times New Roman"/>
          <w:sz w:val="24"/>
          <w:szCs w:val="24"/>
        </w:rPr>
        <w:object w:dxaOrig="1579" w:dyaOrig="1022" w14:anchorId="0FA3D45A">
          <v:shape id="_x0000_i1039" type="#_x0000_t75" style="width:78.9pt;height:51.35pt" o:ole="">
            <v:imagedata r:id="rId21" o:title=""/>
          </v:shape>
          <o:OLEObject Type="Embed" ProgID="Excel.Sheet.12" ShapeID="_x0000_i1039" DrawAspect="Icon" ObjectID="_1641644931" r:id="rId22"/>
        </w:object>
      </w:r>
    </w:p>
    <w:p w14:paraId="1443C309" w14:textId="069DDD3B" w:rsidR="00EA7EDF" w:rsidRPr="0016089F" w:rsidRDefault="00EA7EDF" w:rsidP="00C23D17">
      <w:pPr>
        <w:ind w:left="1440"/>
        <w:rPr>
          <w:rFonts w:ascii="Times New Roman" w:hAnsi="Times New Roman" w:cs="Times New Roman"/>
          <w:sz w:val="24"/>
          <w:szCs w:val="24"/>
        </w:rPr>
      </w:pPr>
    </w:p>
    <w:p w14:paraId="6C5BE746" w14:textId="23A042FD" w:rsidR="0066082A" w:rsidRPr="0016089F" w:rsidRDefault="00BB19C6" w:rsidP="005316D2">
      <w:pPr>
        <w:pStyle w:val="ListParagraph"/>
        <w:widowControl/>
        <w:numPr>
          <w:ilvl w:val="1"/>
          <w:numId w:val="1"/>
        </w:numPr>
        <w:rPr>
          <w:rFonts w:ascii="Times New Roman" w:hAnsi="Times New Roman" w:cs="Times New Roman"/>
          <w:sz w:val="24"/>
          <w:szCs w:val="24"/>
        </w:rPr>
      </w:pPr>
      <w:r w:rsidRPr="0016089F">
        <w:rPr>
          <w:rFonts w:ascii="Times New Roman" w:hAnsi="Times New Roman" w:cs="Times New Roman"/>
          <w:sz w:val="24"/>
          <w:szCs w:val="24"/>
        </w:rPr>
        <w:t xml:space="preserve">The </w:t>
      </w:r>
      <w:r w:rsidR="00881E1C" w:rsidRPr="0016089F">
        <w:rPr>
          <w:rFonts w:ascii="Times New Roman" w:hAnsi="Times New Roman" w:cs="Times New Roman"/>
          <w:sz w:val="24"/>
          <w:szCs w:val="24"/>
        </w:rPr>
        <w:t xml:space="preserve">data in the </w:t>
      </w:r>
      <w:r w:rsidRPr="0016089F">
        <w:rPr>
          <w:rFonts w:ascii="Times New Roman" w:hAnsi="Times New Roman" w:cs="Times New Roman"/>
          <w:sz w:val="24"/>
          <w:szCs w:val="24"/>
        </w:rPr>
        <w:t xml:space="preserve">“Non-Residential TSM UC” </w:t>
      </w:r>
      <w:r w:rsidR="00881E1C" w:rsidRPr="0016089F">
        <w:rPr>
          <w:rFonts w:ascii="Times New Roman" w:hAnsi="Times New Roman" w:cs="Times New Roman"/>
          <w:sz w:val="24"/>
          <w:szCs w:val="24"/>
        </w:rPr>
        <w:t xml:space="preserve">tab of </w:t>
      </w:r>
      <w:r w:rsidR="006F3696" w:rsidRPr="0016089F">
        <w:rPr>
          <w:rFonts w:ascii="Times New Roman" w:hAnsi="Times New Roman" w:cs="Times New Roman"/>
          <w:sz w:val="24"/>
          <w:szCs w:val="24"/>
        </w:rPr>
        <w:t xml:space="preserve">the </w:t>
      </w:r>
      <w:r w:rsidR="00881E1C" w:rsidRPr="0016089F">
        <w:rPr>
          <w:rFonts w:ascii="Times New Roman" w:hAnsi="Times New Roman" w:cs="Times New Roman"/>
          <w:sz w:val="24"/>
          <w:szCs w:val="24"/>
        </w:rPr>
        <w:t>Chapter 5 Workpaper</w:t>
      </w:r>
      <w:r w:rsidR="00023B5A" w:rsidRPr="0016089F">
        <w:rPr>
          <w:rFonts w:ascii="Times New Roman" w:hAnsi="Times New Roman" w:cs="Times New Roman"/>
          <w:sz w:val="24"/>
          <w:szCs w:val="24"/>
        </w:rPr>
        <w:t xml:space="preserve"> #2 </w:t>
      </w:r>
      <w:r w:rsidR="00C046B7" w:rsidRPr="0016089F">
        <w:rPr>
          <w:rFonts w:ascii="Times New Roman" w:hAnsi="Times New Roman" w:cs="Times New Roman"/>
          <w:sz w:val="24"/>
          <w:szCs w:val="24"/>
        </w:rPr>
        <w:t xml:space="preserve">Revised </w:t>
      </w:r>
      <w:r w:rsidR="00000E57" w:rsidRPr="0016089F">
        <w:rPr>
          <w:rFonts w:ascii="Times New Roman" w:hAnsi="Times New Roman" w:cs="Times New Roman"/>
          <w:sz w:val="24"/>
          <w:szCs w:val="24"/>
        </w:rPr>
        <w:t xml:space="preserve">reflects </w:t>
      </w:r>
      <w:r w:rsidR="005D3399">
        <w:rPr>
          <w:rFonts w:ascii="Times New Roman" w:hAnsi="Times New Roman" w:cs="Times New Roman"/>
          <w:sz w:val="24"/>
          <w:szCs w:val="24"/>
        </w:rPr>
        <w:t xml:space="preserve">non-residential </w:t>
      </w:r>
      <w:r w:rsidR="00000E57" w:rsidRPr="0016089F">
        <w:rPr>
          <w:rFonts w:ascii="Times New Roman" w:hAnsi="Times New Roman" w:cs="Times New Roman"/>
          <w:sz w:val="24"/>
          <w:szCs w:val="24"/>
        </w:rPr>
        <w:t xml:space="preserve">Transformer, Service, and Meter costs from </w:t>
      </w:r>
      <w:r w:rsidR="002E36BA" w:rsidRPr="0016089F">
        <w:rPr>
          <w:rFonts w:ascii="Times New Roman" w:hAnsi="Times New Roman" w:cs="Times New Roman"/>
          <w:sz w:val="24"/>
          <w:szCs w:val="24"/>
        </w:rPr>
        <w:t xml:space="preserve">the </w:t>
      </w:r>
      <w:r w:rsidR="00711F2C" w:rsidRPr="0016089F">
        <w:rPr>
          <w:rFonts w:ascii="Times New Roman" w:hAnsi="Times New Roman" w:cs="Times New Roman"/>
          <w:sz w:val="24"/>
          <w:szCs w:val="24"/>
        </w:rPr>
        <w:t xml:space="preserve">“2019 GRC Phase 2 – TSM Costs” </w:t>
      </w:r>
      <w:r w:rsidR="002E36BA" w:rsidRPr="0016089F">
        <w:rPr>
          <w:rFonts w:ascii="Times New Roman" w:hAnsi="Times New Roman" w:cs="Times New Roman"/>
          <w:sz w:val="24"/>
          <w:szCs w:val="24"/>
        </w:rPr>
        <w:t xml:space="preserve">file attached in </w:t>
      </w:r>
      <w:r w:rsidR="00711F2C" w:rsidRPr="0016089F">
        <w:rPr>
          <w:rFonts w:ascii="Times New Roman" w:hAnsi="Times New Roman" w:cs="Times New Roman"/>
          <w:sz w:val="24"/>
          <w:szCs w:val="24"/>
        </w:rPr>
        <w:t>response to Question 43.a above</w:t>
      </w:r>
      <w:r w:rsidR="005D3399">
        <w:rPr>
          <w:rFonts w:ascii="Times New Roman" w:hAnsi="Times New Roman" w:cs="Times New Roman"/>
          <w:sz w:val="24"/>
          <w:szCs w:val="24"/>
        </w:rPr>
        <w:t>, in the following locations</w:t>
      </w:r>
      <w:r w:rsidR="0066082A" w:rsidRPr="0016089F">
        <w:rPr>
          <w:rFonts w:ascii="Times New Roman" w:hAnsi="Times New Roman" w:cs="Times New Roman"/>
          <w:sz w:val="24"/>
          <w:szCs w:val="24"/>
        </w:rPr>
        <w:t xml:space="preserve">: (1) “Avg. TXFMR Costs” tab, Rows </w:t>
      </w:r>
      <w:r w:rsidR="00BA6ABB" w:rsidRPr="0016089F">
        <w:rPr>
          <w:rFonts w:ascii="Times New Roman" w:hAnsi="Times New Roman" w:cs="Times New Roman"/>
          <w:sz w:val="24"/>
          <w:szCs w:val="24"/>
        </w:rPr>
        <w:t>53</w:t>
      </w:r>
      <w:r w:rsidR="0066082A" w:rsidRPr="0016089F">
        <w:rPr>
          <w:rFonts w:ascii="Times New Roman" w:hAnsi="Times New Roman" w:cs="Times New Roman"/>
          <w:sz w:val="24"/>
          <w:szCs w:val="24"/>
        </w:rPr>
        <w:t>-</w:t>
      </w:r>
      <w:r w:rsidR="00BA6ABB" w:rsidRPr="0016089F">
        <w:rPr>
          <w:rFonts w:ascii="Times New Roman" w:hAnsi="Times New Roman" w:cs="Times New Roman"/>
          <w:sz w:val="24"/>
          <w:szCs w:val="24"/>
        </w:rPr>
        <w:t>86</w:t>
      </w:r>
      <w:r w:rsidR="005710E6" w:rsidRPr="0016089F">
        <w:rPr>
          <w:rFonts w:ascii="Times New Roman" w:hAnsi="Times New Roman" w:cs="Times New Roman"/>
          <w:sz w:val="24"/>
          <w:szCs w:val="24"/>
        </w:rPr>
        <w:t xml:space="preserve"> provides the </w:t>
      </w:r>
      <w:r w:rsidR="0066082A" w:rsidRPr="0016089F">
        <w:rPr>
          <w:rFonts w:ascii="Times New Roman" w:hAnsi="Times New Roman" w:cs="Times New Roman"/>
          <w:sz w:val="24"/>
          <w:szCs w:val="24"/>
        </w:rPr>
        <w:t>transformer costs; (2) “</w:t>
      </w:r>
      <w:r w:rsidR="00732914" w:rsidRPr="0016089F">
        <w:rPr>
          <w:rFonts w:ascii="Times New Roman" w:hAnsi="Times New Roman" w:cs="Times New Roman"/>
          <w:sz w:val="24"/>
          <w:szCs w:val="24"/>
        </w:rPr>
        <w:t>CI</w:t>
      </w:r>
      <w:r w:rsidR="0066082A" w:rsidRPr="0016089F">
        <w:rPr>
          <w:rFonts w:ascii="Times New Roman" w:hAnsi="Times New Roman" w:cs="Times New Roman"/>
          <w:sz w:val="24"/>
          <w:szCs w:val="24"/>
        </w:rPr>
        <w:t xml:space="preserve"> Serv Costs” tab</w:t>
      </w:r>
      <w:r w:rsidR="005710E6" w:rsidRPr="0016089F">
        <w:rPr>
          <w:rFonts w:ascii="Times New Roman" w:hAnsi="Times New Roman" w:cs="Times New Roman"/>
          <w:sz w:val="24"/>
          <w:szCs w:val="24"/>
        </w:rPr>
        <w:t xml:space="preserve"> provides the </w:t>
      </w:r>
      <w:r w:rsidR="0066082A" w:rsidRPr="0016089F">
        <w:rPr>
          <w:rFonts w:ascii="Times New Roman" w:hAnsi="Times New Roman" w:cs="Times New Roman"/>
          <w:sz w:val="24"/>
          <w:szCs w:val="24"/>
        </w:rPr>
        <w:t xml:space="preserve">service costs; and (3) “Avg. Meter Costs” tab, Columns </w:t>
      </w:r>
      <w:r w:rsidR="00732914" w:rsidRPr="0016089F">
        <w:rPr>
          <w:rFonts w:ascii="Times New Roman" w:hAnsi="Times New Roman" w:cs="Times New Roman"/>
          <w:sz w:val="24"/>
          <w:szCs w:val="24"/>
        </w:rPr>
        <w:t>I through N</w:t>
      </w:r>
      <w:r w:rsidR="005710E6" w:rsidRPr="0016089F">
        <w:rPr>
          <w:rFonts w:ascii="Times New Roman" w:hAnsi="Times New Roman" w:cs="Times New Roman"/>
          <w:sz w:val="24"/>
          <w:szCs w:val="24"/>
        </w:rPr>
        <w:t>,</w:t>
      </w:r>
      <w:r w:rsidR="002D62EA" w:rsidRPr="0016089F">
        <w:rPr>
          <w:rFonts w:ascii="Times New Roman" w:hAnsi="Times New Roman" w:cs="Times New Roman"/>
          <w:sz w:val="24"/>
          <w:szCs w:val="24"/>
        </w:rPr>
        <w:t xml:space="preserve"> provides the </w:t>
      </w:r>
      <w:r w:rsidR="0066082A" w:rsidRPr="0016089F">
        <w:rPr>
          <w:rFonts w:ascii="Times New Roman" w:hAnsi="Times New Roman" w:cs="Times New Roman"/>
          <w:sz w:val="24"/>
          <w:szCs w:val="24"/>
        </w:rPr>
        <w:t xml:space="preserve">meter costs. </w:t>
      </w:r>
    </w:p>
    <w:p w14:paraId="0D77055D" w14:textId="77777777" w:rsidR="00673C2C" w:rsidRPr="0016089F" w:rsidRDefault="00673C2C" w:rsidP="00673C2C">
      <w:pPr>
        <w:pStyle w:val="ListParagraph"/>
        <w:widowControl/>
        <w:ind w:left="1440"/>
        <w:rPr>
          <w:rFonts w:ascii="Times New Roman" w:hAnsi="Times New Roman" w:cs="Times New Roman"/>
          <w:sz w:val="24"/>
          <w:szCs w:val="24"/>
        </w:rPr>
      </w:pPr>
    </w:p>
    <w:p w14:paraId="444AA8B9" w14:textId="2F3C1ADE" w:rsidR="003E6A33" w:rsidRPr="0016089F" w:rsidRDefault="00F96DD1" w:rsidP="005316D2">
      <w:pPr>
        <w:pStyle w:val="ListParagraph"/>
        <w:numPr>
          <w:ilvl w:val="1"/>
          <w:numId w:val="1"/>
        </w:numPr>
        <w:rPr>
          <w:rFonts w:ascii="Times New Roman" w:hAnsi="Times New Roman" w:cs="Times New Roman"/>
          <w:sz w:val="24"/>
          <w:szCs w:val="24"/>
        </w:rPr>
      </w:pPr>
      <w:r>
        <w:rPr>
          <w:rFonts w:ascii="Times New Roman" w:hAnsi="Times New Roman" w:cs="Times New Roman"/>
          <w:sz w:val="24"/>
          <w:szCs w:val="24"/>
        </w:rPr>
        <w:t>Will respond by January 31.</w:t>
      </w:r>
    </w:p>
    <w:p w14:paraId="521E2DA0" w14:textId="2FDF7849" w:rsidR="006B1D3D" w:rsidRPr="0016089F" w:rsidRDefault="006B1D3D" w:rsidP="006B1D3D">
      <w:pPr>
        <w:pStyle w:val="ListParagraph"/>
        <w:ind w:left="1440"/>
        <w:rPr>
          <w:rFonts w:ascii="Times New Roman" w:hAnsi="Times New Roman" w:cs="Times New Roman"/>
          <w:sz w:val="24"/>
          <w:szCs w:val="24"/>
        </w:rPr>
      </w:pPr>
    </w:p>
    <w:p w14:paraId="2722DCB5" w14:textId="77777777" w:rsidR="003E6A33" w:rsidRPr="0016089F" w:rsidRDefault="003E6A33" w:rsidP="003E6A33">
      <w:pPr>
        <w:pStyle w:val="ListParagraph"/>
        <w:ind w:left="1440"/>
        <w:rPr>
          <w:rFonts w:ascii="Times New Roman" w:hAnsi="Times New Roman" w:cs="Times New Roman"/>
          <w:sz w:val="24"/>
          <w:szCs w:val="24"/>
        </w:rPr>
      </w:pPr>
    </w:p>
    <w:p w14:paraId="69D08F90" w14:textId="28A87615" w:rsidR="003E6A33" w:rsidRPr="0016089F" w:rsidRDefault="003E6A33" w:rsidP="005316D2">
      <w:pPr>
        <w:pStyle w:val="ListParagraph"/>
        <w:numPr>
          <w:ilvl w:val="1"/>
          <w:numId w:val="1"/>
        </w:numPr>
        <w:rPr>
          <w:rFonts w:ascii="Times New Roman" w:hAnsi="Times New Roman" w:cs="Times New Roman"/>
          <w:sz w:val="24"/>
          <w:szCs w:val="24"/>
        </w:rPr>
      </w:pPr>
      <w:r w:rsidRPr="0016089F">
        <w:rPr>
          <w:rFonts w:ascii="Times New Roman" w:hAnsi="Times New Roman" w:cs="Times New Roman"/>
          <w:sz w:val="24"/>
          <w:szCs w:val="24"/>
        </w:rPr>
        <w:t xml:space="preserve">The </w:t>
      </w:r>
      <w:r w:rsidR="00E90BA1" w:rsidRPr="0016089F">
        <w:rPr>
          <w:rFonts w:ascii="Times New Roman" w:hAnsi="Times New Roman" w:cs="Times New Roman"/>
          <w:sz w:val="24"/>
          <w:szCs w:val="24"/>
        </w:rPr>
        <w:t>data in the “</w:t>
      </w:r>
      <w:r w:rsidRPr="0016089F">
        <w:rPr>
          <w:rFonts w:ascii="Times New Roman" w:hAnsi="Times New Roman" w:cs="Times New Roman"/>
          <w:sz w:val="24"/>
          <w:szCs w:val="24"/>
        </w:rPr>
        <w:t>Cust Service Cost Allocation</w:t>
      </w:r>
      <w:r w:rsidR="00E90BA1" w:rsidRPr="0016089F">
        <w:rPr>
          <w:rFonts w:ascii="Times New Roman" w:hAnsi="Times New Roman" w:cs="Times New Roman"/>
          <w:sz w:val="24"/>
          <w:szCs w:val="24"/>
        </w:rPr>
        <w:t>s”</w:t>
      </w:r>
      <w:r w:rsidR="006F3696" w:rsidRPr="0016089F">
        <w:rPr>
          <w:rFonts w:ascii="Times New Roman" w:hAnsi="Times New Roman" w:cs="Times New Roman"/>
          <w:sz w:val="24"/>
          <w:szCs w:val="24"/>
        </w:rPr>
        <w:t xml:space="preserve"> tab of the Chapter 5 Workpaper #2 Revised reflect </w:t>
      </w:r>
      <w:r w:rsidR="00A5502F" w:rsidRPr="0016089F">
        <w:rPr>
          <w:rFonts w:ascii="Times New Roman" w:hAnsi="Times New Roman" w:cs="Times New Roman"/>
          <w:sz w:val="24"/>
          <w:szCs w:val="24"/>
        </w:rPr>
        <w:t>p</w:t>
      </w:r>
      <w:r w:rsidRPr="0016089F">
        <w:rPr>
          <w:rFonts w:ascii="Times New Roman" w:hAnsi="Times New Roman" w:cs="Times New Roman"/>
          <w:sz w:val="24"/>
          <w:szCs w:val="24"/>
        </w:rPr>
        <w:t>e</w:t>
      </w:r>
      <w:r w:rsidR="00A5502F" w:rsidRPr="0016089F">
        <w:rPr>
          <w:rFonts w:ascii="Times New Roman" w:hAnsi="Times New Roman" w:cs="Times New Roman"/>
          <w:sz w:val="24"/>
          <w:szCs w:val="24"/>
        </w:rPr>
        <w:t>rce</w:t>
      </w:r>
      <w:r w:rsidRPr="0016089F">
        <w:rPr>
          <w:rFonts w:ascii="Times New Roman" w:hAnsi="Times New Roman" w:cs="Times New Roman"/>
          <w:sz w:val="24"/>
          <w:szCs w:val="24"/>
        </w:rPr>
        <w:t>ntages and dollars identified in the accompanying “2019 GRC Phase 2 - Customer Service Cost Allocations” file.</w:t>
      </w:r>
    </w:p>
    <w:p w14:paraId="0120735D" w14:textId="6D3AA009" w:rsidR="003E6A33" w:rsidRPr="0016089F" w:rsidRDefault="00976BEE" w:rsidP="003E6A33">
      <w:pPr>
        <w:widowControl/>
        <w:ind w:left="1440"/>
        <w:rPr>
          <w:rFonts w:ascii="Times New Roman" w:hAnsi="Times New Roman" w:cs="Times New Roman"/>
          <w:sz w:val="24"/>
          <w:szCs w:val="24"/>
        </w:rPr>
      </w:pPr>
      <w:r w:rsidRPr="0016089F">
        <w:rPr>
          <w:rFonts w:ascii="Times New Roman" w:hAnsi="Times New Roman" w:cs="Times New Roman"/>
          <w:sz w:val="24"/>
          <w:szCs w:val="24"/>
        </w:rPr>
        <w:object w:dxaOrig="1579" w:dyaOrig="1022" w14:anchorId="6171E7A5">
          <v:shape id="_x0000_i1031" type="#_x0000_t75" style="width:78.9pt;height:50.7pt" o:ole="">
            <v:imagedata r:id="rId23" o:title=""/>
          </v:shape>
          <o:OLEObject Type="Embed" ProgID="Excel.Sheet.12" ShapeID="_x0000_i1031" DrawAspect="Icon" ObjectID="_1641644932" r:id="rId24"/>
        </w:object>
      </w:r>
    </w:p>
    <w:p w14:paraId="006FE0A8" w14:textId="5F0A3C9C" w:rsidR="003E6A33" w:rsidRPr="0016089F" w:rsidRDefault="003E6A33" w:rsidP="003E6A33">
      <w:pPr>
        <w:widowControl/>
        <w:ind w:left="1440"/>
        <w:rPr>
          <w:rFonts w:ascii="Times New Roman" w:hAnsi="Times New Roman" w:cs="Times New Roman"/>
          <w:sz w:val="24"/>
          <w:szCs w:val="24"/>
        </w:rPr>
      </w:pPr>
    </w:p>
    <w:p w14:paraId="26C413A0" w14:textId="31AF2E47" w:rsidR="003E6A33" w:rsidRPr="0016089F" w:rsidRDefault="003E6A33" w:rsidP="005316D2">
      <w:pPr>
        <w:pStyle w:val="ListParagraph"/>
        <w:widowControl/>
        <w:numPr>
          <w:ilvl w:val="1"/>
          <w:numId w:val="1"/>
        </w:numPr>
        <w:rPr>
          <w:rFonts w:ascii="Times New Roman" w:hAnsi="Times New Roman" w:cs="Times New Roman"/>
          <w:sz w:val="24"/>
          <w:szCs w:val="24"/>
        </w:rPr>
      </w:pPr>
      <w:r w:rsidRPr="0016089F">
        <w:rPr>
          <w:rFonts w:ascii="Times New Roman" w:hAnsi="Times New Roman" w:cs="Times New Roman"/>
          <w:sz w:val="24"/>
          <w:szCs w:val="24"/>
        </w:rPr>
        <w:t xml:space="preserve">The </w:t>
      </w:r>
      <w:r w:rsidR="00EA79A9" w:rsidRPr="0016089F">
        <w:rPr>
          <w:rFonts w:ascii="Times New Roman" w:hAnsi="Times New Roman" w:cs="Times New Roman"/>
          <w:sz w:val="24"/>
          <w:szCs w:val="24"/>
        </w:rPr>
        <w:t xml:space="preserve">data in </w:t>
      </w:r>
      <w:r w:rsidRPr="0016089F">
        <w:rPr>
          <w:rFonts w:ascii="Times New Roman" w:hAnsi="Times New Roman" w:cs="Times New Roman"/>
          <w:sz w:val="24"/>
          <w:szCs w:val="24"/>
        </w:rPr>
        <w:t>“R</w:t>
      </w:r>
      <w:r w:rsidR="00EF6A30" w:rsidRPr="0016089F">
        <w:rPr>
          <w:rFonts w:ascii="Times New Roman" w:hAnsi="Times New Roman" w:cs="Times New Roman"/>
          <w:sz w:val="24"/>
          <w:szCs w:val="24"/>
        </w:rPr>
        <w:t>esid Cust Fcst</w:t>
      </w:r>
      <w:r w:rsidR="00AC3BAF" w:rsidRPr="0016089F">
        <w:rPr>
          <w:rFonts w:ascii="Times New Roman" w:hAnsi="Times New Roman" w:cs="Times New Roman"/>
          <w:sz w:val="24"/>
          <w:szCs w:val="24"/>
        </w:rPr>
        <w:t>”</w:t>
      </w:r>
      <w:r w:rsidR="00EF6A30" w:rsidRPr="0016089F">
        <w:rPr>
          <w:rFonts w:ascii="Times New Roman" w:hAnsi="Times New Roman" w:cs="Times New Roman"/>
          <w:sz w:val="24"/>
          <w:szCs w:val="24"/>
        </w:rPr>
        <w:t xml:space="preserve"> </w:t>
      </w:r>
      <w:r w:rsidR="00775D3D" w:rsidRPr="0016089F">
        <w:rPr>
          <w:rFonts w:ascii="Times New Roman" w:hAnsi="Times New Roman" w:cs="Times New Roman"/>
          <w:sz w:val="24"/>
          <w:szCs w:val="24"/>
        </w:rPr>
        <w:t xml:space="preserve">tab of the Chapter 5 Workpaper #2 Revised </w:t>
      </w:r>
      <w:r w:rsidR="00EF6A30" w:rsidRPr="0016089F">
        <w:rPr>
          <w:rFonts w:ascii="Times New Roman" w:hAnsi="Times New Roman" w:cs="Times New Roman"/>
          <w:sz w:val="24"/>
          <w:szCs w:val="24"/>
        </w:rPr>
        <w:t>can be found</w:t>
      </w:r>
      <w:r w:rsidR="00AC3BAF" w:rsidRPr="0016089F">
        <w:rPr>
          <w:rFonts w:ascii="Times New Roman" w:hAnsi="Times New Roman" w:cs="Times New Roman"/>
          <w:sz w:val="24"/>
          <w:szCs w:val="24"/>
        </w:rPr>
        <w:t xml:space="preserve"> in the </w:t>
      </w:r>
      <w:r w:rsidR="004C10A4" w:rsidRPr="0016089F">
        <w:rPr>
          <w:rFonts w:ascii="Times New Roman" w:hAnsi="Times New Roman" w:cs="Times New Roman"/>
          <w:sz w:val="24"/>
          <w:szCs w:val="24"/>
        </w:rPr>
        <w:t>residential tabs (tabs DR through TOUDDRE</w:t>
      </w:r>
      <w:r w:rsidR="00FB1981" w:rsidRPr="0016089F">
        <w:rPr>
          <w:rFonts w:ascii="Times New Roman" w:hAnsi="Times New Roman" w:cs="Times New Roman"/>
          <w:sz w:val="24"/>
          <w:szCs w:val="24"/>
        </w:rPr>
        <w:t xml:space="preserve">3) of the </w:t>
      </w:r>
      <w:r w:rsidR="00AC3BAF" w:rsidRPr="0016089F">
        <w:rPr>
          <w:rFonts w:ascii="Times New Roman" w:hAnsi="Times New Roman" w:cs="Times New Roman"/>
          <w:sz w:val="24"/>
          <w:szCs w:val="24"/>
        </w:rPr>
        <w:t>attached file (“2019 GRC Phase 2 – 2016 Bill Freque</w:t>
      </w:r>
      <w:r w:rsidR="00777BD5" w:rsidRPr="0016089F">
        <w:rPr>
          <w:rFonts w:ascii="Times New Roman" w:hAnsi="Times New Roman" w:cs="Times New Roman"/>
          <w:sz w:val="24"/>
          <w:szCs w:val="24"/>
        </w:rPr>
        <w:t>ncy”)</w:t>
      </w:r>
      <w:r w:rsidR="00775D3D" w:rsidRPr="0016089F">
        <w:rPr>
          <w:rFonts w:ascii="Times New Roman" w:hAnsi="Times New Roman" w:cs="Times New Roman"/>
          <w:sz w:val="24"/>
          <w:szCs w:val="24"/>
        </w:rPr>
        <w:t>.</w:t>
      </w:r>
    </w:p>
    <w:p w14:paraId="2F3A894B" w14:textId="11299AC9" w:rsidR="00067739" w:rsidRPr="0016089F" w:rsidRDefault="00BD66EC" w:rsidP="00067739">
      <w:pPr>
        <w:pStyle w:val="ListParagraph"/>
        <w:widowControl/>
        <w:ind w:left="1440"/>
        <w:rPr>
          <w:rFonts w:ascii="Times New Roman" w:hAnsi="Times New Roman" w:cs="Times New Roman"/>
          <w:sz w:val="24"/>
          <w:szCs w:val="24"/>
        </w:rPr>
      </w:pPr>
      <w:r w:rsidRPr="0016089F">
        <w:rPr>
          <w:rFonts w:ascii="Times New Roman" w:hAnsi="Times New Roman" w:cs="Times New Roman"/>
          <w:sz w:val="24"/>
          <w:szCs w:val="24"/>
        </w:rPr>
        <w:object w:dxaOrig="1579" w:dyaOrig="1022" w14:anchorId="6E5C0BA4">
          <v:shape id="_x0000_i1032" type="#_x0000_t75" style="width:78.9pt;height:50.7pt" o:ole="">
            <v:imagedata r:id="rId25" o:title=""/>
          </v:shape>
          <o:OLEObject Type="Embed" ProgID="Excel.Sheet.12" ShapeID="_x0000_i1032" DrawAspect="Icon" ObjectID="_1641644933" r:id="rId26"/>
        </w:object>
      </w:r>
    </w:p>
    <w:p w14:paraId="089D11F2" w14:textId="77777777" w:rsidR="00067739" w:rsidRPr="0016089F" w:rsidRDefault="00067739" w:rsidP="00067739">
      <w:pPr>
        <w:pStyle w:val="ListParagraph"/>
        <w:widowControl/>
        <w:ind w:left="1440"/>
        <w:rPr>
          <w:rFonts w:ascii="Times New Roman" w:hAnsi="Times New Roman" w:cs="Times New Roman"/>
          <w:sz w:val="24"/>
          <w:szCs w:val="24"/>
        </w:rPr>
      </w:pPr>
    </w:p>
    <w:p w14:paraId="1C705B7E" w14:textId="40AF8DD4" w:rsidR="00FB1981" w:rsidRPr="0016089F" w:rsidRDefault="00067739" w:rsidP="005316D2">
      <w:pPr>
        <w:pStyle w:val="ListParagraph"/>
        <w:widowControl/>
        <w:numPr>
          <w:ilvl w:val="1"/>
          <w:numId w:val="1"/>
        </w:numPr>
        <w:rPr>
          <w:rFonts w:ascii="Times New Roman" w:hAnsi="Times New Roman" w:cs="Times New Roman"/>
          <w:sz w:val="24"/>
          <w:szCs w:val="24"/>
        </w:rPr>
      </w:pPr>
      <w:r w:rsidRPr="0016089F">
        <w:rPr>
          <w:rFonts w:ascii="Times New Roman" w:hAnsi="Times New Roman" w:cs="Times New Roman"/>
          <w:sz w:val="24"/>
          <w:szCs w:val="24"/>
        </w:rPr>
        <w:t xml:space="preserve">The </w:t>
      </w:r>
      <w:r w:rsidR="00775D3D" w:rsidRPr="0016089F">
        <w:rPr>
          <w:rFonts w:ascii="Times New Roman" w:hAnsi="Times New Roman" w:cs="Times New Roman"/>
          <w:sz w:val="24"/>
          <w:szCs w:val="24"/>
        </w:rPr>
        <w:t xml:space="preserve">data in the </w:t>
      </w:r>
      <w:r w:rsidRPr="0016089F">
        <w:rPr>
          <w:rFonts w:ascii="Times New Roman" w:hAnsi="Times New Roman" w:cs="Times New Roman"/>
          <w:sz w:val="24"/>
          <w:szCs w:val="24"/>
        </w:rPr>
        <w:t>“Sm Comm Cust Fcst</w:t>
      </w:r>
      <w:r w:rsidR="00775D3D" w:rsidRPr="0016089F">
        <w:rPr>
          <w:rFonts w:ascii="Times New Roman" w:hAnsi="Times New Roman" w:cs="Times New Roman"/>
          <w:sz w:val="24"/>
          <w:szCs w:val="24"/>
        </w:rPr>
        <w:t>” tab</w:t>
      </w:r>
      <w:r w:rsidRPr="0016089F">
        <w:rPr>
          <w:rFonts w:ascii="Times New Roman" w:hAnsi="Times New Roman" w:cs="Times New Roman"/>
          <w:sz w:val="24"/>
          <w:szCs w:val="24"/>
        </w:rPr>
        <w:t xml:space="preserve"> </w:t>
      </w:r>
      <w:r w:rsidR="00847DCD" w:rsidRPr="0016089F">
        <w:rPr>
          <w:rFonts w:ascii="Times New Roman" w:hAnsi="Times New Roman" w:cs="Times New Roman"/>
          <w:sz w:val="24"/>
          <w:szCs w:val="24"/>
        </w:rPr>
        <w:t xml:space="preserve">of the Chapter 5 Workpaper #2 Revised </w:t>
      </w:r>
      <w:r w:rsidRPr="0016089F">
        <w:rPr>
          <w:rFonts w:ascii="Times New Roman" w:hAnsi="Times New Roman" w:cs="Times New Roman"/>
          <w:sz w:val="24"/>
          <w:szCs w:val="24"/>
        </w:rPr>
        <w:t>can be found in</w:t>
      </w:r>
      <w:r w:rsidR="00FB1981" w:rsidRPr="0016089F">
        <w:rPr>
          <w:rFonts w:ascii="Times New Roman" w:hAnsi="Times New Roman" w:cs="Times New Roman"/>
          <w:sz w:val="24"/>
          <w:szCs w:val="24"/>
        </w:rPr>
        <w:t xml:space="preserve"> the </w:t>
      </w:r>
      <w:r w:rsidR="00587E5D" w:rsidRPr="0016089F">
        <w:rPr>
          <w:rFonts w:ascii="Times New Roman" w:hAnsi="Times New Roman" w:cs="Times New Roman"/>
          <w:sz w:val="24"/>
          <w:szCs w:val="24"/>
        </w:rPr>
        <w:t xml:space="preserve">small commercial </w:t>
      </w:r>
      <w:r w:rsidR="00FB1981" w:rsidRPr="0016089F">
        <w:rPr>
          <w:rFonts w:ascii="Times New Roman" w:hAnsi="Times New Roman" w:cs="Times New Roman"/>
          <w:sz w:val="24"/>
          <w:szCs w:val="24"/>
        </w:rPr>
        <w:t xml:space="preserve">tabs (tabs </w:t>
      </w:r>
      <w:r w:rsidR="00354E92" w:rsidRPr="0016089F">
        <w:rPr>
          <w:rFonts w:ascii="Times New Roman" w:hAnsi="Times New Roman" w:cs="Times New Roman"/>
          <w:sz w:val="24"/>
          <w:szCs w:val="24"/>
        </w:rPr>
        <w:t>A</w:t>
      </w:r>
      <w:r w:rsidR="00FB1981" w:rsidRPr="0016089F">
        <w:rPr>
          <w:rFonts w:ascii="Times New Roman" w:hAnsi="Times New Roman" w:cs="Times New Roman"/>
          <w:sz w:val="24"/>
          <w:szCs w:val="24"/>
        </w:rPr>
        <w:t xml:space="preserve"> through </w:t>
      </w:r>
      <w:r w:rsidR="00354E92" w:rsidRPr="0016089F">
        <w:rPr>
          <w:rFonts w:ascii="Times New Roman" w:hAnsi="Times New Roman" w:cs="Times New Roman"/>
          <w:sz w:val="24"/>
          <w:szCs w:val="24"/>
        </w:rPr>
        <w:t>ADTOU</w:t>
      </w:r>
      <w:r w:rsidR="00FB1981" w:rsidRPr="0016089F">
        <w:rPr>
          <w:rFonts w:ascii="Times New Roman" w:hAnsi="Times New Roman" w:cs="Times New Roman"/>
          <w:sz w:val="24"/>
          <w:szCs w:val="24"/>
        </w:rPr>
        <w:t>) of the “2019 GRC Phase 2 – 2016 Bill Frequency”</w:t>
      </w:r>
      <w:r w:rsidR="00354E92" w:rsidRPr="0016089F">
        <w:rPr>
          <w:rFonts w:ascii="Times New Roman" w:hAnsi="Times New Roman" w:cs="Times New Roman"/>
          <w:sz w:val="24"/>
          <w:szCs w:val="24"/>
        </w:rPr>
        <w:t xml:space="preserve"> file attached in response to Question 43</w:t>
      </w:r>
      <w:r w:rsidR="00790639" w:rsidRPr="0016089F">
        <w:rPr>
          <w:rFonts w:ascii="Times New Roman" w:hAnsi="Times New Roman" w:cs="Times New Roman"/>
          <w:sz w:val="24"/>
          <w:szCs w:val="24"/>
        </w:rPr>
        <w:t>.e above.</w:t>
      </w:r>
    </w:p>
    <w:p w14:paraId="36462ED7" w14:textId="77777777" w:rsidR="00A462F1" w:rsidRPr="0016089F" w:rsidRDefault="00A462F1" w:rsidP="00916C3E">
      <w:pPr>
        <w:pStyle w:val="ListParagraph"/>
        <w:widowControl/>
        <w:spacing w:after="160" w:line="259" w:lineRule="auto"/>
        <w:ind w:left="720"/>
        <w:contextualSpacing/>
        <w:rPr>
          <w:rFonts w:ascii="Times New Roman" w:hAnsi="Times New Roman" w:cs="Times New Roman"/>
          <w:b/>
          <w:sz w:val="24"/>
          <w:szCs w:val="24"/>
        </w:rPr>
      </w:pPr>
    </w:p>
    <w:p w14:paraId="2E4DD3C4" w14:textId="77777777" w:rsidR="00916C3E" w:rsidRPr="0016089F" w:rsidRDefault="00916C3E" w:rsidP="00916C3E">
      <w:pPr>
        <w:widowControl/>
        <w:spacing w:after="160" w:line="259" w:lineRule="auto"/>
        <w:contextualSpacing/>
        <w:rPr>
          <w:rFonts w:ascii="Times New Roman" w:hAnsi="Times New Roman" w:cs="Times New Roman"/>
          <w:sz w:val="24"/>
          <w:szCs w:val="24"/>
        </w:rPr>
      </w:pPr>
    </w:p>
    <w:p w14:paraId="63D2EFCB" w14:textId="77777777" w:rsidR="00683370" w:rsidRPr="0016089F" w:rsidRDefault="00683370" w:rsidP="00683370">
      <w:pPr>
        <w:rPr>
          <w:rFonts w:ascii="Times New Roman" w:hAnsi="Times New Roman" w:cs="Times New Roman"/>
          <w:sz w:val="24"/>
          <w:szCs w:val="24"/>
        </w:rPr>
      </w:pPr>
      <w:r w:rsidRPr="0016089F">
        <w:rPr>
          <w:rFonts w:ascii="Times New Roman" w:hAnsi="Times New Roman" w:cs="Times New Roman"/>
          <w:sz w:val="24"/>
          <w:szCs w:val="24"/>
        </w:rPr>
        <w:t>The following questions refer to Chapter 6 the Revised Prepared Direct Testimony of Benjamin A. Montoya.</w:t>
      </w:r>
    </w:p>
    <w:p w14:paraId="2E4631D6"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Why do the “2020 GRC P2 Shapes” for Summer and Winter shown in Charts BAM-1 and BAM-2 differ so significantly from the actual price shapes, including the following:</w:t>
      </w:r>
    </w:p>
    <w:p w14:paraId="55F2B895" w14:textId="77777777" w:rsidR="00683370" w:rsidRPr="0016089F" w:rsidRDefault="00683370" w:rsidP="005316D2">
      <w:pPr>
        <w:pStyle w:val="ListParagraph"/>
        <w:widowControl/>
        <w:numPr>
          <w:ilvl w:val="0"/>
          <w:numId w:val="1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Much lower prices in the middle of the day around hour ending 13 and 14</w:t>
      </w:r>
    </w:p>
    <w:p w14:paraId="5B9FFDCD" w14:textId="77777777" w:rsidR="00683370" w:rsidRPr="0016089F" w:rsidRDefault="00683370" w:rsidP="005316D2">
      <w:pPr>
        <w:pStyle w:val="ListParagraph"/>
        <w:widowControl/>
        <w:numPr>
          <w:ilvl w:val="0"/>
          <w:numId w:val="1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Later peak price in summer and winter</w:t>
      </w:r>
    </w:p>
    <w:p w14:paraId="23D87ADD" w14:textId="28B389E8" w:rsidR="00683370" w:rsidRPr="0016089F" w:rsidRDefault="00683370" w:rsidP="005316D2">
      <w:pPr>
        <w:pStyle w:val="ListParagraph"/>
        <w:widowControl/>
        <w:numPr>
          <w:ilvl w:val="0"/>
          <w:numId w:val="1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Much higher peak price in winter during evening hours</w:t>
      </w:r>
    </w:p>
    <w:p w14:paraId="2DC52E68" w14:textId="77777777" w:rsidR="00916C3E" w:rsidRPr="0016089F" w:rsidRDefault="00916C3E" w:rsidP="00916C3E">
      <w:pPr>
        <w:pStyle w:val="ListParagraph"/>
        <w:widowControl/>
        <w:spacing w:after="160" w:line="259" w:lineRule="auto"/>
        <w:ind w:left="1440"/>
        <w:contextualSpacing/>
        <w:rPr>
          <w:rFonts w:ascii="Times New Roman" w:hAnsi="Times New Roman" w:cs="Times New Roman"/>
          <w:b/>
          <w:sz w:val="24"/>
          <w:szCs w:val="24"/>
        </w:rPr>
      </w:pPr>
    </w:p>
    <w:p w14:paraId="480198D6" w14:textId="2B1666DB" w:rsidR="00916C3E" w:rsidRPr="0016089F" w:rsidRDefault="00916C3E" w:rsidP="00916C3E">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r w:rsidR="00F96DD1">
        <w:rPr>
          <w:rFonts w:ascii="Times New Roman" w:hAnsi="Times New Roman" w:cs="Times New Roman"/>
          <w:sz w:val="24"/>
          <w:szCs w:val="24"/>
        </w:rPr>
        <w:t>Will respond by January 31.</w:t>
      </w:r>
    </w:p>
    <w:p w14:paraId="0ABE5C9B" w14:textId="77777777" w:rsidR="00916C3E" w:rsidRPr="0016089F" w:rsidRDefault="00916C3E" w:rsidP="00916C3E">
      <w:pPr>
        <w:widowControl/>
        <w:spacing w:after="160" w:line="259" w:lineRule="auto"/>
        <w:contextualSpacing/>
        <w:rPr>
          <w:rFonts w:ascii="Times New Roman" w:hAnsi="Times New Roman" w:cs="Times New Roman"/>
          <w:sz w:val="24"/>
          <w:szCs w:val="24"/>
        </w:rPr>
      </w:pPr>
    </w:p>
    <w:p w14:paraId="42EE3E83"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Montoya states that “SDG&amp;E used a forecasted hourly profile for 2020 based upon net demand in the SP-15 market….” (BAM-3:5-6)</w:t>
      </w:r>
    </w:p>
    <w:p w14:paraId="48E0F358" w14:textId="77777777" w:rsidR="00683370" w:rsidRPr="0016089F" w:rsidRDefault="00683370" w:rsidP="005316D2">
      <w:pPr>
        <w:pStyle w:val="ListParagraph"/>
        <w:widowControl/>
        <w:numPr>
          <w:ilvl w:val="0"/>
          <w:numId w:val="12"/>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define “net demand”?</w:t>
      </w:r>
    </w:p>
    <w:p w14:paraId="78E442F1" w14:textId="00920867" w:rsidR="00683370" w:rsidRPr="0016089F" w:rsidRDefault="00683370" w:rsidP="005316D2">
      <w:pPr>
        <w:pStyle w:val="ListParagraph"/>
        <w:widowControl/>
        <w:numPr>
          <w:ilvl w:val="0"/>
          <w:numId w:val="12"/>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Why does SDG&amp;E use “net demand” to estimate hourly prices and not total demand?</w:t>
      </w:r>
    </w:p>
    <w:p w14:paraId="1B64618B" w14:textId="77777777" w:rsidR="00332D7B" w:rsidRPr="0016089F" w:rsidRDefault="00332D7B" w:rsidP="00332D7B">
      <w:pPr>
        <w:pStyle w:val="ListParagraph"/>
        <w:widowControl/>
        <w:spacing w:after="160" w:line="259" w:lineRule="auto"/>
        <w:ind w:left="720"/>
        <w:contextualSpacing/>
        <w:rPr>
          <w:rFonts w:ascii="Times New Roman" w:hAnsi="Times New Roman" w:cs="Times New Roman"/>
          <w:b/>
          <w:sz w:val="24"/>
          <w:szCs w:val="24"/>
        </w:rPr>
      </w:pPr>
    </w:p>
    <w:p w14:paraId="6F8A4AA1" w14:textId="1574AD56" w:rsidR="00916C3E" w:rsidRPr="0016089F" w:rsidRDefault="00916C3E" w:rsidP="00332D7B">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r w:rsidR="00F96DD1">
        <w:rPr>
          <w:rFonts w:ascii="Times New Roman" w:hAnsi="Times New Roman" w:cs="Times New Roman"/>
          <w:sz w:val="24"/>
          <w:szCs w:val="24"/>
        </w:rPr>
        <w:t>Will respond by January 31.</w:t>
      </w:r>
    </w:p>
    <w:p w14:paraId="7D5908DE" w14:textId="77777777" w:rsidR="00916C3E" w:rsidRPr="0016089F" w:rsidRDefault="00916C3E" w:rsidP="00916C3E">
      <w:pPr>
        <w:widowControl/>
        <w:spacing w:after="160" w:line="259" w:lineRule="auto"/>
        <w:contextualSpacing/>
        <w:rPr>
          <w:rFonts w:ascii="Times New Roman" w:hAnsi="Times New Roman" w:cs="Times New Roman"/>
          <w:sz w:val="24"/>
          <w:szCs w:val="24"/>
        </w:rPr>
      </w:pPr>
    </w:p>
    <w:p w14:paraId="67E91ECB"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Montoya states that “For the development of the average hourly prices, the monthly CAISO on-peak and off-peak forward prices are multiplied by the monthly CAISO on-peak and off-peak hourly demand profiles to arrive at hourly prices.” (BAM-4:6-8)</w:t>
      </w:r>
    </w:p>
    <w:p w14:paraId="754F4CB3" w14:textId="77777777" w:rsidR="00683370" w:rsidRPr="0016089F" w:rsidRDefault="00683370" w:rsidP="005316D2">
      <w:pPr>
        <w:pStyle w:val="ListParagraph"/>
        <w:widowControl/>
        <w:numPr>
          <w:ilvl w:val="0"/>
          <w:numId w:val="13"/>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provide the referenced monthly forward prices.</w:t>
      </w:r>
    </w:p>
    <w:p w14:paraId="7E3E7200" w14:textId="77777777" w:rsidR="00683370" w:rsidRPr="0016089F" w:rsidRDefault="00683370" w:rsidP="005316D2">
      <w:pPr>
        <w:pStyle w:val="ListParagraph"/>
        <w:widowControl/>
        <w:numPr>
          <w:ilvl w:val="0"/>
          <w:numId w:val="13"/>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What is the date and source of the monthly forward prices?</w:t>
      </w:r>
    </w:p>
    <w:p w14:paraId="3CA85752" w14:textId="77777777" w:rsidR="00683370" w:rsidRPr="0016089F" w:rsidRDefault="00683370" w:rsidP="005316D2">
      <w:pPr>
        <w:pStyle w:val="ListParagraph"/>
        <w:widowControl/>
        <w:numPr>
          <w:ilvl w:val="0"/>
          <w:numId w:val="13"/>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Are the forward monthly prices demand-weighted average prices? If so, what forecasted demand is the basis for the demand-weighting?</w:t>
      </w:r>
    </w:p>
    <w:p w14:paraId="212ABF3B" w14:textId="74FEE334" w:rsidR="00683370" w:rsidRPr="0016089F" w:rsidRDefault="00683370" w:rsidP="005316D2">
      <w:pPr>
        <w:pStyle w:val="ListParagraph"/>
        <w:widowControl/>
        <w:numPr>
          <w:ilvl w:val="0"/>
          <w:numId w:val="13"/>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Are the referenced hourly demand profiles reflective of “net demand?” If not, what are they based on?</w:t>
      </w:r>
    </w:p>
    <w:p w14:paraId="64533AD0" w14:textId="77777777" w:rsidR="00332D7B" w:rsidRPr="0016089F" w:rsidRDefault="00332D7B" w:rsidP="00332D7B">
      <w:pPr>
        <w:pStyle w:val="ListParagraph"/>
        <w:widowControl/>
        <w:spacing w:after="160" w:line="259" w:lineRule="auto"/>
        <w:ind w:left="1440"/>
        <w:contextualSpacing/>
        <w:rPr>
          <w:rFonts w:ascii="Times New Roman" w:hAnsi="Times New Roman" w:cs="Times New Roman"/>
          <w:b/>
          <w:sz w:val="24"/>
          <w:szCs w:val="24"/>
        </w:rPr>
      </w:pPr>
    </w:p>
    <w:p w14:paraId="2C748455" w14:textId="37DCB91E" w:rsidR="00332D7B" w:rsidRPr="00067D3B" w:rsidRDefault="00332D7B" w:rsidP="00332D7B">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b/>
          <w:sz w:val="24"/>
          <w:szCs w:val="24"/>
        </w:rPr>
        <w:t xml:space="preserve">SDG&amp;E Response: </w:t>
      </w:r>
      <w:r w:rsidR="00067D3B">
        <w:rPr>
          <w:rFonts w:ascii="Times New Roman" w:hAnsi="Times New Roman" w:cs="Times New Roman"/>
          <w:sz w:val="24"/>
          <w:szCs w:val="24"/>
        </w:rPr>
        <w:t>Will respond by January 31.</w:t>
      </w:r>
    </w:p>
    <w:p w14:paraId="715F31F1" w14:textId="77777777" w:rsidR="00332D7B" w:rsidRPr="0016089F" w:rsidRDefault="00332D7B" w:rsidP="00332D7B">
      <w:pPr>
        <w:widowControl/>
        <w:spacing w:after="160" w:line="259" w:lineRule="auto"/>
        <w:contextualSpacing/>
        <w:rPr>
          <w:rFonts w:ascii="Times New Roman" w:hAnsi="Times New Roman" w:cs="Times New Roman"/>
          <w:sz w:val="24"/>
          <w:szCs w:val="24"/>
        </w:rPr>
      </w:pPr>
    </w:p>
    <w:p w14:paraId="7FF6F71F"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lastRenderedPageBreak/>
        <w:t>Witness Montoya states that “The RPS premium is defined as the “Green Value,” calculated by the California Public Utilities Commission’s Energy Division, minus the average annual SP-15 market energy price, then multiplied by the RPS Target for 2020 of 33%.” (BAM-5:14-BAM-6:1)</w:t>
      </w:r>
    </w:p>
    <w:p w14:paraId="40736569" w14:textId="77777777" w:rsidR="00683370" w:rsidRPr="0016089F" w:rsidRDefault="00683370" w:rsidP="005316D2">
      <w:pPr>
        <w:pStyle w:val="ListParagraph"/>
        <w:widowControl/>
        <w:numPr>
          <w:ilvl w:val="0"/>
          <w:numId w:val="14"/>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provide a reference or citation for the “Green Value” so that it may be verified.</w:t>
      </w:r>
    </w:p>
    <w:p w14:paraId="26063E72" w14:textId="77777777" w:rsidR="00683370" w:rsidRPr="0016089F" w:rsidRDefault="00683370" w:rsidP="005316D2">
      <w:pPr>
        <w:pStyle w:val="ListParagraph"/>
        <w:widowControl/>
        <w:numPr>
          <w:ilvl w:val="0"/>
          <w:numId w:val="14"/>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 xml:space="preserve">What does the “Green Value” represent? </w:t>
      </w:r>
    </w:p>
    <w:p w14:paraId="589651F6" w14:textId="77777777" w:rsidR="00683370" w:rsidRPr="0016089F" w:rsidRDefault="00683370" w:rsidP="005316D2">
      <w:pPr>
        <w:pStyle w:val="ListParagraph"/>
        <w:widowControl/>
        <w:numPr>
          <w:ilvl w:val="0"/>
          <w:numId w:val="14"/>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Does the “Green Value” represent a REC price? If not, why did SDG&amp;E decide to use this “Green Value” instead of a REC price to estimate the RPS premium?</w:t>
      </w:r>
    </w:p>
    <w:p w14:paraId="19D32D33" w14:textId="77777777" w:rsidR="00683370" w:rsidRPr="0016089F" w:rsidRDefault="00683370" w:rsidP="005316D2">
      <w:pPr>
        <w:pStyle w:val="ListParagraph"/>
        <w:widowControl/>
        <w:numPr>
          <w:ilvl w:val="0"/>
          <w:numId w:val="14"/>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How much of SDG&amp;E’s generation portfolio is estimated will be supplied by renewable resources in 2020, meaning those resources that can be used to meet SDG&amp;E’s RPS mandate?</w:t>
      </w:r>
    </w:p>
    <w:p w14:paraId="5579C768" w14:textId="680433B9" w:rsidR="00683370" w:rsidRPr="0016089F" w:rsidRDefault="00683370" w:rsidP="005316D2">
      <w:pPr>
        <w:pStyle w:val="ListParagraph"/>
        <w:widowControl/>
        <w:numPr>
          <w:ilvl w:val="0"/>
          <w:numId w:val="14"/>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Why did SDG&amp;E decide to use the RPS target of 33% instead of the actual amount of renewable energy in SDG&amp;E’s generation portfolio?</w:t>
      </w:r>
    </w:p>
    <w:p w14:paraId="031EFC2B" w14:textId="77777777" w:rsidR="00332D7B" w:rsidRPr="0016089F" w:rsidRDefault="00332D7B" w:rsidP="00332D7B">
      <w:pPr>
        <w:pStyle w:val="ListParagraph"/>
        <w:widowControl/>
        <w:spacing w:after="160" w:line="259" w:lineRule="auto"/>
        <w:ind w:left="1440"/>
        <w:contextualSpacing/>
        <w:rPr>
          <w:rFonts w:ascii="Times New Roman" w:hAnsi="Times New Roman" w:cs="Times New Roman"/>
          <w:b/>
          <w:sz w:val="24"/>
          <w:szCs w:val="24"/>
        </w:rPr>
      </w:pPr>
    </w:p>
    <w:p w14:paraId="2D2436CA" w14:textId="3F2A2CE1" w:rsidR="00332D7B" w:rsidRPr="0016089F" w:rsidRDefault="00332D7B" w:rsidP="003625C0">
      <w:pPr>
        <w:pStyle w:val="ListParagraph"/>
        <w:widowControl/>
        <w:tabs>
          <w:tab w:val="left" w:pos="6735"/>
        </w:tabs>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r w:rsidR="00067D3B">
        <w:rPr>
          <w:rFonts w:ascii="Times New Roman" w:hAnsi="Times New Roman" w:cs="Times New Roman"/>
          <w:sz w:val="24"/>
          <w:szCs w:val="24"/>
        </w:rPr>
        <w:t>Will respond by January 31.</w:t>
      </w:r>
      <w:r w:rsidR="003625C0">
        <w:rPr>
          <w:rFonts w:ascii="Times New Roman" w:hAnsi="Times New Roman" w:cs="Times New Roman"/>
          <w:sz w:val="24"/>
          <w:szCs w:val="24"/>
        </w:rPr>
        <w:tab/>
      </w:r>
    </w:p>
    <w:p w14:paraId="04412B35" w14:textId="77777777" w:rsidR="00332D7B" w:rsidRPr="0016089F" w:rsidRDefault="00332D7B" w:rsidP="00332D7B">
      <w:pPr>
        <w:widowControl/>
        <w:spacing w:after="160" w:line="259" w:lineRule="auto"/>
        <w:contextualSpacing/>
        <w:rPr>
          <w:rFonts w:ascii="Times New Roman" w:hAnsi="Times New Roman" w:cs="Times New Roman"/>
          <w:sz w:val="24"/>
          <w:szCs w:val="24"/>
        </w:rPr>
      </w:pPr>
    </w:p>
    <w:p w14:paraId="3BE3BE5E"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refer to Chart BAM-3 on page BAM-13.</w:t>
      </w:r>
    </w:p>
    <w:p w14:paraId="2B0AF0F8" w14:textId="77777777" w:rsidR="00683370" w:rsidRPr="0016089F" w:rsidRDefault="00683370" w:rsidP="005316D2">
      <w:pPr>
        <w:pStyle w:val="ListParagraph"/>
        <w:widowControl/>
        <w:numPr>
          <w:ilvl w:val="0"/>
          <w:numId w:val="15"/>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Is the x-axis in the chart hour ending or hour beginning?</w:t>
      </w:r>
    </w:p>
    <w:p w14:paraId="5DCB253F" w14:textId="54613E73" w:rsidR="00683370" w:rsidRPr="0016089F" w:rsidRDefault="00683370" w:rsidP="005316D2">
      <w:pPr>
        <w:pStyle w:val="ListParagraph"/>
        <w:widowControl/>
        <w:numPr>
          <w:ilvl w:val="0"/>
          <w:numId w:val="15"/>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The five hours with maximum LOLE in the chart are hours 19-23. This does not correspond with SDG&amp;E’s standard TOU peak period of 4-9 pm. Does SDG&amp;E intend to change its TOU periods in the future to that represented by hours 19-23? If not, why not?</w:t>
      </w:r>
    </w:p>
    <w:p w14:paraId="5CF8A1B9" w14:textId="77777777" w:rsidR="00113C13" w:rsidRPr="0016089F" w:rsidRDefault="00113C13" w:rsidP="00113C13">
      <w:pPr>
        <w:pStyle w:val="ListParagraph"/>
        <w:widowControl/>
        <w:spacing w:after="160" w:line="259" w:lineRule="auto"/>
        <w:ind w:left="1440"/>
        <w:contextualSpacing/>
        <w:rPr>
          <w:rFonts w:ascii="Times New Roman" w:hAnsi="Times New Roman" w:cs="Times New Roman"/>
          <w:b/>
          <w:sz w:val="24"/>
          <w:szCs w:val="24"/>
        </w:rPr>
      </w:pPr>
    </w:p>
    <w:p w14:paraId="787591D0" w14:textId="2D6CA811" w:rsidR="00113C13" w:rsidRPr="0016089F" w:rsidRDefault="00113C13" w:rsidP="00113C13">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r w:rsidR="00067D3B">
        <w:rPr>
          <w:rFonts w:ascii="Times New Roman" w:hAnsi="Times New Roman" w:cs="Times New Roman"/>
          <w:sz w:val="24"/>
          <w:szCs w:val="24"/>
        </w:rPr>
        <w:t>Will respond by January 31.</w:t>
      </w:r>
    </w:p>
    <w:p w14:paraId="31A5B65E" w14:textId="77777777" w:rsidR="00113C13" w:rsidRPr="0016089F" w:rsidRDefault="00113C13" w:rsidP="00113C13">
      <w:pPr>
        <w:widowControl/>
        <w:spacing w:after="160" w:line="259" w:lineRule="auto"/>
        <w:contextualSpacing/>
        <w:rPr>
          <w:rFonts w:ascii="Times New Roman" w:hAnsi="Times New Roman" w:cs="Times New Roman"/>
          <w:sz w:val="24"/>
          <w:szCs w:val="24"/>
        </w:rPr>
      </w:pPr>
    </w:p>
    <w:p w14:paraId="5560C2D8"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Montoya states that “SDG&amp;E used LOLE results presented in Section VI for generation capacity cost allocation.” (BAM-8:10-11)</w:t>
      </w:r>
    </w:p>
    <w:p w14:paraId="7C1FB3F4" w14:textId="77777777" w:rsidR="00683370" w:rsidRPr="0016089F" w:rsidRDefault="00683370" w:rsidP="005316D2">
      <w:pPr>
        <w:pStyle w:val="ListParagraph"/>
        <w:widowControl/>
        <w:numPr>
          <w:ilvl w:val="0"/>
          <w:numId w:val="2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What is the advantage of using LOLE as opposed to selecting the highest 100 hours of SDG&amp;E’s forecasted system load directly?</w:t>
      </w:r>
    </w:p>
    <w:p w14:paraId="67478F86" w14:textId="496121A7" w:rsidR="00683370" w:rsidRPr="0016089F" w:rsidRDefault="00683370" w:rsidP="005316D2">
      <w:pPr>
        <w:pStyle w:val="ListParagraph"/>
        <w:widowControl/>
        <w:numPr>
          <w:ilvl w:val="0"/>
          <w:numId w:val="2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How is behind-the-meter solar generation treated in SDG&amp;E’s LOLE analysis? Is it a fixed reduction to load or subject to stochastic outages?</w:t>
      </w:r>
    </w:p>
    <w:p w14:paraId="6D6EAEA4" w14:textId="77777777" w:rsidR="00113C13" w:rsidRPr="0016089F" w:rsidRDefault="00113C13" w:rsidP="00113C13">
      <w:pPr>
        <w:pStyle w:val="ListParagraph"/>
        <w:widowControl/>
        <w:spacing w:after="160" w:line="259" w:lineRule="auto"/>
        <w:ind w:left="720"/>
        <w:contextualSpacing/>
        <w:rPr>
          <w:rFonts w:ascii="Times New Roman" w:hAnsi="Times New Roman" w:cs="Times New Roman"/>
          <w:b/>
          <w:sz w:val="24"/>
          <w:szCs w:val="24"/>
        </w:rPr>
      </w:pPr>
    </w:p>
    <w:p w14:paraId="2C3DEF52" w14:textId="1EACF63A" w:rsidR="00113C13" w:rsidRPr="0016089F" w:rsidRDefault="00113C13" w:rsidP="00113C13">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r w:rsidR="00E3676A">
        <w:rPr>
          <w:rFonts w:ascii="Times New Roman" w:hAnsi="Times New Roman" w:cs="Times New Roman"/>
          <w:sz w:val="24"/>
          <w:szCs w:val="24"/>
        </w:rPr>
        <w:t>Will respond by January 31.</w:t>
      </w:r>
    </w:p>
    <w:p w14:paraId="2E54EFA4" w14:textId="77777777" w:rsidR="00113C13" w:rsidRPr="0016089F" w:rsidRDefault="00113C13" w:rsidP="00113C13">
      <w:pPr>
        <w:widowControl/>
        <w:spacing w:after="160" w:line="259" w:lineRule="auto"/>
        <w:contextualSpacing/>
        <w:rPr>
          <w:rFonts w:ascii="Times New Roman" w:hAnsi="Times New Roman" w:cs="Times New Roman"/>
          <w:sz w:val="24"/>
          <w:szCs w:val="24"/>
        </w:rPr>
      </w:pPr>
    </w:p>
    <w:p w14:paraId="3F59F97F"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Montoya states that “Marginal energy cost revenues by customer class are developed by multiplying the applicable marginal energy price by the 2020 forecasted TOU energy usage in each SDG&amp;E Standard TOU period for each customer class.” (BAM-10:1-3)</w:t>
      </w:r>
    </w:p>
    <w:p w14:paraId="79C5539A" w14:textId="77777777" w:rsidR="00683370" w:rsidRPr="0016089F" w:rsidRDefault="00683370" w:rsidP="005316D2">
      <w:pPr>
        <w:pStyle w:val="ListParagraph"/>
        <w:widowControl/>
        <w:numPr>
          <w:ilvl w:val="0"/>
          <w:numId w:val="16"/>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Does the “2020 forecasted TOU energy usage” derive from the sales forecast presented by witness Schiermeyer? If not, what is the source of this energy forecast?</w:t>
      </w:r>
    </w:p>
    <w:p w14:paraId="22252C50" w14:textId="6C6ED460" w:rsidR="00683370" w:rsidRDefault="00683370" w:rsidP="005316D2">
      <w:pPr>
        <w:pStyle w:val="ListParagraph"/>
        <w:widowControl/>
        <w:numPr>
          <w:ilvl w:val="0"/>
          <w:numId w:val="16"/>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lastRenderedPageBreak/>
        <w:t>Is the referenced “energy usage” the net sales or the delivered sales as described by witness Schiermeyer or something else? Please justify which sales forecast is used.</w:t>
      </w:r>
    </w:p>
    <w:p w14:paraId="72D667C0" w14:textId="77777777" w:rsidR="00E3676A" w:rsidRPr="0016089F" w:rsidRDefault="00E3676A" w:rsidP="005316D2">
      <w:pPr>
        <w:pStyle w:val="ListParagraph"/>
        <w:widowControl/>
        <w:numPr>
          <w:ilvl w:val="0"/>
          <w:numId w:val="16"/>
        </w:numPr>
        <w:spacing w:after="160" w:line="259" w:lineRule="auto"/>
        <w:contextualSpacing/>
        <w:rPr>
          <w:rFonts w:ascii="Times New Roman" w:hAnsi="Times New Roman" w:cs="Times New Roman"/>
          <w:sz w:val="24"/>
          <w:szCs w:val="24"/>
        </w:rPr>
      </w:pPr>
    </w:p>
    <w:p w14:paraId="62E4DCDF" w14:textId="26571AC7" w:rsidR="00113C13" w:rsidRPr="0016089F" w:rsidRDefault="00113C13" w:rsidP="00113C13">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r w:rsidR="00E3676A">
        <w:rPr>
          <w:rFonts w:ascii="Times New Roman" w:hAnsi="Times New Roman" w:cs="Times New Roman"/>
          <w:sz w:val="24"/>
          <w:szCs w:val="24"/>
        </w:rPr>
        <w:t>Will respond by January 31.</w:t>
      </w:r>
    </w:p>
    <w:p w14:paraId="7DEC0766" w14:textId="77777777" w:rsidR="00113C13" w:rsidRPr="0016089F" w:rsidRDefault="00113C13" w:rsidP="00113C13">
      <w:pPr>
        <w:pStyle w:val="ListParagraph"/>
        <w:widowControl/>
        <w:spacing w:after="160" w:line="259" w:lineRule="auto"/>
        <w:ind w:left="1440"/>
        <w:contextualSpacing/>
        <w:rPr>
          <w:rFonts w:ascii="Times New Roman" w:hAnsi="Times New Roman" w:cs="Times New Roman"/>
          <w:sz w:val="24"/>
          <w:szCs w:val="24"/>
        </w:rPr>
      </w:pPr>
    </w:p>
    <w:p w14:paraId="0721CC29"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Montoya states that “Marginal capacity cost revenues by customer class are developed by multiplying the unit MGCC by each class’ estimated contribution to the total bundled load based on the top 100 hours with the highest expected need for new resources….” (BAM-10:5-7)</w:t>
      </w:r>
    </w:p>
    <w:p w14:paraId="36A2053B" w14:textId="77777777" w:rsidR="00683370" w:rsidRPr="0016089F" w:rsidRDefault="00683370" w:rsidP="005316D2">
      <w:pPr>
        <w:pStyle w:val="ListParagraph"/>
        <w:widowControl/>
        <w:numPr>
          <w:ilvl w:val="0"/>
          <w:numId w:val="17"/>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Does the “class’ estimated contribution to the total bundled load” derive from the sales forecast presented by witness Schiermeyer? If not, what is the source of this load forecast?</w:t>
      </w:r>
    </w:p>
    <w:p w14:paraId="6B05AA55" w14:textId="77777777" w:rsidR="002D6907" w:rsidRPr="0016089F" w:rsidRDefault="00683370" w:rsidP="005316D2">
      <w:pPr>
        <w:pStyle w:val="ListParagraph"/>
        <w:widowControl/>
        <w:numPr>
          <w:ilvl w:val="0"/>
          <w:numId w:val="17"/>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Is the referenced “bundled load” the net sales or the delivered sales as described by witness Schiermeyer or something else? Please justify which sales forecast is used.</w:t>
      </w:r>
    </w:p>
    <w:p w14:paraId="506F25C1" w14:textId="77777777" w:rsidR="002D6907" w:rsidRPr="0016089F" w:rsidRDefault="002D6907" w:rsidP="002D6907">
      <w:pPr>
        <w:pStyle w:val="ListParagraph"/>
        <w:widowControl/>
        <w:spacing w:after="160" w:line="259" w:lineRule="auto"/>
        <w:ind w:left="1440"/>
        <w:contextualSpacing/>
        <w:rPr>
          <w:rFonts w:ascii="Times New Roman" w:hAnsi="Times New Roman" w:cs="Times New Roman"/>
          <w:sz w:val="24"/>
          <w:szCs w:val="24"/>
        </w:rPr>
      </w:pPr>
    </w:p>
    <w:p w14:paraId="6835881F" w14:textId="76AAF8AA" w:rsidR="002D6907" w:rsidRPr="0016089F" w:rsidRDefault="002D6907" w:rsidP="002D6907">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b/>
          <w:sz w:val="24"/>
          <w:szCs w:val="24"/>
        </w:rPr>
        <w:t xml:space="preserve">SDG&amp;E Response: </w:t>
      </w:r>
      <w:r w:rsidR="00E3676A">
        <w:rPr>
          <w:rFonts w:ascii="Times New Roman" w:hAnsi="Times New Roman" w:cs="Times New Roman"/>
          <w:sz w:val="24"/>
          <w:szCs w:val="24"/>
        </w:rPr>
        <w:t>Will respond by January 31.</w:t>
      </w:r>
    </w:p>
    <w:p w14:paraId="1C4FE97C" w14:textId="77777777" w:rsidR="002D6907" w:rsidRPr="0016089F" w:rsidRDefault="002D6907" w:rsidP="002D6907">
      <w:pPr>
        <w:widowControl/>
        <w:spacing w:after="160" w:line="259" w:lineRule="auto"/>
        <w:contextualSpacing/>
        <w:rPr>
          <w:rFonts w:ascii="Times New Roman" w:hAnsi="Times New Roman" w:cs="Times New Roman"/>
          <w:sz w:val="24"/>
          <w:szCs w:val="24"/>
        </w:rPr>
      </w:pPr>
    </w:p>
    <w:p w14:paraId="662B9FDC" w14:textId="77777777" w:rsidR="00683370" w:rsidRPr="0016089F" w:rsidRDefault="00683370" w:rsidP="00683370">
      <w:pPr>
        <w:rPr>
          <w:rFonts w:ascii="Times New Roman" w:hAnsi="Times New Roman" w:cs="Times New Roman"/>
          <w:sz w:val="24"/>
          <w:szCs w:val="24"/>
        </w:rPr>
      </w:pPr>
      <w:r w:rsidRPr="0016089F">
        <w:rPr>
          <w:rFonts w:ascii="Times New Roman" w:hAnsi="Times New Roman" w:cs="Times New Roman"/>
          <w:sz w:val="24"/>
          <w:szCs w:val="24"/>
        </w:rPr>
        <w:t>The following questions refer to Chapter 3 the Revised Prepared Direct Testimony of Gwendolyn R. Morien.</w:t>
      </w:r>
    </w:p>
    <w:p w14:paraId="32A0B715"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refer to Table GM-4c, which shows current and proposed Monthly Service Fees (MSF) for small commercial customers.</w:t>
      </w:r>
    </w:p>
    <w:p w14:paraId="5A9C5EBE" w14:textId="77777777" w:rsidR="00683370" w:rsidRPr="0016089F" w:rsidRDefault="00683370" w:rsidP="005316D2">
      <w:pPr>
        <w:pStyle w:val="ListParagraph"/>
        <w:widowControl/>
        <w:numPr>
          <w:ilvl w:val="0"/>
          <w:numId w:val="18"/>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Why do the MSFs vary by demand level?</w:t>
      </w:r>
    </w:p>
    <w:p w14:paraId="3BEB8F1E" w14:textId="77777777" w:rsidR="00683370" w:rsidRPr="0016089F" w:rsidRDefault="00683370" w:rsidP="005316D2">
      <w:pPr>
        <w:pStyle w:val="ListParagraph"/>
        <w:widowControl/>
        <w:numPr>
          <w:ilvl w:val="0"/>
          <w:numId w:val="18"/>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Can a customer receive a different MSF on consecutive bills if its metered maximum demand level occurs in different demand group for each billing cycle? (For instance, if a customer had a 4 kW demand one billing cycle and a 6 kW demand the following cycle, would it be charged a $10 MSF on the first bill and a $16 MSF on the second bill?) If not, what is used to set the maximum demand level for determining the MSF?</w:t>
      </w:r>
    </w:p>
    <w:p w14:paraId="524AE21A" w14:textId="77777777" w:rsidR="008744B2" w:rsidRPr="0016089F" w:rsidRDefault="00683370" w:rsidP="005316D2">
      <w:pPr>
        <w:pStyle w:val="ListParagraph"/>
        <w:widowControl/>
        <w:numPr>
          <w:ilvl w:val="0"/>
          <w:numId w:val="18"/>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For simplicity, would SDG&amp;E consider using the 0-5 kW MSF for all customers and collecting the remaining revenue from a demand rate or peak TOU energy rate? Why or why not?</w:t>
      </w:r>
    </w:p>
    <w:p w14:paraId="6F801EF3" w14:textId="77777777" w:rsidR="008744B2" w:rsidRPr="0016089F" w:rsidRDefault="008744B2" w:rsidP="008744B2">
      <w:pPr>
        <w:pStyle w:val="ListParagraph"/>
        <w:widowControl/>
        <w:spacing w:after="160" w:line="259" w:lineRule="auto"/>
        <w:ind w:left="720"/>
        <w:contextualSpacing/>
        <w:rPr>
          <w:rFonts w:ascii="Times New Roman" w:hAnsi="Times New Roman" w:cs="Times New Roman"/>
          <w:sz w:val="24"/>
          <w:szCs w:val="24"/>
        </w:rPr>
      </w:pPr>
    </w:p>
    <w:p w14:paraId="365711E7" w14:textId="181290B0" w:rsidR="008744B2" w:rsidRPr="0016089F" w:rsidRDefault="008744B2" w:rsidP="008744B2">
      <w:pPr>
        <w:pStyle w:val="ListParagraph"/>
        <w:widowControl/>
        <w:spacing w:after="160" w:line="259" w:lineRule="auto"/>
        <w:ind w:left="720"/>
        <w:contextualSpacing/>
        <w:rPr>
          <w:rFonts w:ascii="Times New Roman" w:hAnsi="Times New Roman" w:cs="Times New Roman"/>
          <w:sz w:val="24"/>
          <w:szCs w:val="24"/>
        </w:rPr>
      </w:pPr>
      <w:r w:rsidRPr="0016089F">
        <w:rPr>
          <w:rFonts w:ascii="Times New Roman" w:hAnsi="Times New Roman" w:cs="Times New Roman"/>
          <w:b/>
          <w:sz w:val="24"/>
          <w:szCs w:val="24"/>
        </w:rPr>
        <w:t xml:space="preserve">SDG&amp;E Response: </w:t>
      </w:r>
      <w:r w:rsidR="00E3676A">
        <w:rPr>
          <w:rFonts w:ascii="Times New Roman" w:hAnsi="Times New Roman" w:cs="Times New Roman"/>
          <w:sz w:val="24"/>
          <w:szCs w:val="24"/>
        </w:rPr>
        <w:t>Will respond by January 31.</w:t>
      </w:r>
    </w:p>
    <w:p w14:paraId="727E0268" w14:textId="77777777" w:rsidR="008744B2" w:rsidRPr="0016089F" w:rsidRDefault="008744B2" w:rsidP="008744B2">
      <w:pPr>
        <w:widowControl/>
        <w:spacing w:after="160" w:line="259" w:lineRule="auto"/>
        <w:contextualSpacing/>
        <w:rPr>
          <w:rFonts w:ascii="Times New Roman" w:hAnsi="Times New Roman" w:cs="Times New Roman"/>
          <w:sz w:val="24"/>
          <w:szCs w:val="24"/>
        </w:rPr>
      </w:pPr>
    </w:p>
    <w:p w14:paraId="278574EC"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Witness Morien states that “The summer on-peak to off-peak ratios for the TOU energy rates of both Small Commercial and Small Agricultural customers are well below cost-based levels. For Small Commercial and Small Agricultural customers, the on-peak to off-peak ratio of the current standard 2-period TOU rates is set at 1.81:1.”</w:t>
      </w:r>
    </w:p>
    <w:p w14:paraId="45E34C23" w14:textId="77777777" w:rsidR="00683370" w:rsidRPr="0016089F" w:rsidRDefault="00683370" w:rsidP="005316D2">
      <w:pPr>
        <w:pStyle w:val="ListParagraph"/>
        <w:widowControl/>
        <w:numPr>
          <w:ilvl w:val="0"/>
          <w:numId w:val="19"/>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What is the “cost-based” summer on-peak to off-peak ratio for TOU energy rates and how is this determined?</w:t>
      </w:r>
    </w:p>
    <w:p w14:paraId="3BECC2B7" w14:textId="77777777" w:rsidR="00683370" w:rsidRPr="0016089F" w:rsidRDefault="00683370" w:rsidP="005316D2">
      <w:pPr>
        <w:pStyle w:val="ListParagraph"/>
        <w:widowControl/>
        <w:numPr>
          <w:ilvl w:val="0"/>
          <w:numId w:val="19"/>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How was the 1.81:1 ratio determined?</w:t>
      </w:r>
    </w:p>
    <w:p w14:paraId="04F6C4D2" w14:textId="21303AC1" w:rsidR="00683370" w:rsidRPr="0016089F" w:rsidRDefault="00683370" w:rsidP="005316D2">
      <w:pPr>
        <w:pStyle w:val="ListParagraph"/>
        <w:widowControl/>
        <w:numPr>
          <w:ilvl w:val="0"/>
          <w:numId w:val="19"/>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lastRenderedPageBreak/>
        <w:t>How long has SDG&amp;E used a 1.81:1 TOU period price ratio for the standard 2-period rate?</w:t>
      </w:r>
    </w:p>
    <w:p w14:paraId="1088E409" w14:textId="77777777" w:rsidR="008744B2" w:rsidRPr="0016089F" w:rsidRDefault="008744B2" w:rsidP="008744B2">
      <w:pPr>
        <w:pStyle w:val="ListParagraph"/>
        <w:widowControl/>
        <w:spacing w:after="160" w:line="259" w:lineRule="auto"/>
        <w:ind w:left="1440"/>
        <w:contextualSpacing/>
        <w:rPr>
          <w:rFonts w:ascii="Times New Roman" w:hAnsi="Times New Roman" w:cs="Times New Roman"/>
          <w:b/>
          <w:sz w:val="24"/>
          <w:szCs w:val="24"/>
        </w:rPr>
      </w:pPr>
    </w:p>
    <w:p w14:paraId="5F9278D2" w14:textId="1B457E64" w:rsidR="008744B2" w:rsidRPr="0016089F" w:rsidRDefault="008744B2" w:rsidP="008744B2">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r w:rsidR="00E3676A">
        <w:rPr>
          <w:rFonts w:ascii="Times New Roman" w:hAnsi="Times New Roman" w:cs="Times New Roman"/>
          <w:sz w:val="24"/>
          <w:szCs w:val="24"/>
        </w:rPr>
        <w:t>Will respond by January 31.</w:t>
      </w:r>
    </w:p>
    <w:p w14:paraId="524AB5EF" w14:textId="77777777" w:rsidR="008744B2" w:rsidRPr="0016089F" w:rsidRDefault="008744B2" w:rsidP="008744B2">
      <w:pPr>
        <w:widowControl/>
        <w:spacing w:after="160" w:line="259" w:lineRule="auto"/>
        <w:contextualSpacing/>
        <w:rPr>
          <w:rFonts w:ascii="Times New Roman" w:hAnsi="Times New Roman" w:cs="Times New Roman"/>
          <w:sz w:val="24"/>
          <w:szCs w:val="24"/>
        </w:rPr>
      </w:pPr>
    </w:p>
    <w:p w14:paraId="09E953B4" w14:textId="77777777" w:rsidR="00683370" w:rsidRPr="0016089F" w:rsidRDefault="00683370" w:rsidP="00683370">
      <w:pPr>
        <w:rPr>
          <w:rFonts w:ascii="Times New Roman" w:hAnsi="Times New Roman" w:cs="Times New Roman"/>
          <w:sz w:val="24"/>
          <w:szCs w:val="24"/>
        </w:rPr>
      </w:pPr>
      <w:r w:rsidRPr="0016089F">
        <w:rPr>
          <w:rFonts w:ascii="Times New Roman" w:hAnsi="Times New Roman" w:cs="Times New Roman"/>
          <w:sz w:val="24"/>
          <w:szCs w:val="24"/>
        </w:rPr>
        <w:t>The following question refers to SDG&amp;E’s data request response to SEIA dated 4-29-2019.</w:t>
      </w:r>
    </w:p>
    <w:p w14:paraId="573CE8B2" w14:textId="77777777"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SDG&amp;E’s response to question 7 states that SDG&amp;E’s distribution system “is designed to meet the combined maximum demand of customers…regardless of when that maximum demand occurs” and that this design process is “standard” and used “throughout the industry” and that SDG&amp;E “must incur costs to meet the maximum demand of all customers on a circuit, regardless of when that demand occurs.”</w:t>
      </w:r>
    </w:p>
    <w:p w14:paraId="56B7D95E" w14:textId="77777777" w:rsidR="00683370" w:rsidRPr="0016089F" w:rsidRDefault="00683370" w:rsidP="005316D2">
      <w:pPr>
        <w:pStyle w:val="ListParagraph"/>
        <w:widowControl/>
        <w:numPr>
          <w:ilvl w:val="0"/>
          <w:numId w:val="20"/>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provide copies of any supporting documents that show designing the system to meet the combined maximum demand of customers is standard throughout the utility industry.</w:t>
      </w:r>
    </w:p>
    <w:p w14:paraId="661AC9C8" w14:textId="6AE9483C" w:rsidR="00683370" w:rsidRPr="0016089F" w:rsidRDefault="00683370" w:rsidP="005316D2">
      <w:pPr>
        <w:pStyle w:val="ListParagraph"/>
        <w:widowControl/>
        <w:numPr>
          <w:ilvl w:val="0"/>
          <w:numId w:val="20"/>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provide a copy of SDG&amp;E’s distribution system planning manual and provide citations that show SDG&amp;E designs its system to meet the combined maximum demand of customers regardless of when that maximum demand occurs.</w:t>
      </w:r>
    </w:p>
    <w:p w14:paraId="3A1E2012" w14:textId="77777777" w:rsidR="00400318" w:rsidRPr="0016089F" w:rsidRDefault="00400318" w:rsidP="00400318">
      <w:pPr>
        <w:pStyle w:val="ListParagraph"/>
        <w:widowControl/>
        <w:spacing w:after="160" w:line="259" w:lineRule="auto"/>
        <w:ind w:left="720"/>
        <w:contextualSpacing/>
        <w:rPr>
          <w:rFonts w:ascii="Times New Roman" w:hAnsi="Times New Roman" w:cs="Times New Roman"/>
          <w:b/>
          <w:sz w:val="24"/>
          <w:szCs w:val="24"/>
        </w:rPr>
      </w:pPr>
    </w:p>
    <w:p w14:paraId="26AD1C21" w14:textId="540E7C9F" w:rsidR="00400318" w:rsidRPr="0016089F" w:rsidRDefault="00400318" w:rsidP="00400318">
      <w:pPr>
        <w:pStyle w:val="ListParagraph"/>
        <w:widowControl/>
        <w:spacing w:after="160" w:line="259" w:lineRule="auto"/>
        <w:ind w:left="720"/>
        <w:contextualSpacing/>
        <w:rPr>
          <w:rFonts w:ascii="Times New Roman" w:hAnsi="Times New Roman" w:cs="Times New Roman"/>
          <w:b/>
          <w:sz w:val="24"/>
          <w:szCs w:val="24"/>
        </w:rPr>
      </w:pPr>
      <w:r w:rsidRPr="0016089F">
        <w:rPr>
          <w:rFonts w:ascii="Times New Roman" w:hAnsi="Times New Roman" w:cs="Times New Roman"/>
          <w:b/>
          <w:sz w:val="24"/>
          <w:szCs w:val="24"/>
        </w:rPr>
        <w:t xml:space="preserve">SDG&amp;E Response: </w:t>
      </w:r>
      <w:r w:rsidR="00E3676A">
        <w:rPr>
          <w:rFonts w:ascii="Times New Roman" w:hAnsi="Times New Roman" w:cs="Times New Roman"/>
          <w:sz w:val="24"/>
          <w:szCs w:val="24"/>
        </w:rPr>
        <w:t>Will respond by January 31.</w:t>
      </w:r>
    </w:p>
    <w:p w14:paraId="128502F0" w14:textId="77777777" w:rsidR="00400318" w:rsidRPr="0016089F" w:rsidRDefault="00400318" w:rsidP="00400318">
      <w:pPr>
        <w:widowControl/>
        <w:spacing w:after="160" w:line="259" w:lineRule="auto"/>
        <w:contextualSpacing/>
        <w:rPr>
          <w:rFonts w:ascii="Times New Roman" w:hAnsi="Times New Roman" w:cs="Times New Roman"/>
          <w:sz w:val="24"/>
          <w:szCs w:val="24"/>
        </w:rPr>
      </w:pPr>
    </w:p>
    <w:p w14:paraId="2CBBE74F" w14:textId="13B1160F" w:rsidR="00683370" w:rsidRPr="0016089F" w:rsidRDefault="00683370" w:rsidP="005316D2">
      <w:pPr>
        <w:pStyle w:val="ListParagraph"/>
        <w:widowControl/>
        <w:numPr>
          <w:ilvl w:val="0"/>
          <w:numId w:val="1"/>
        </w:numPr>
        <w:spacing w:after="160" w:line="259" w:lineRule="auto"/>
        <w:contextualSpacing/>
        <w:rPr>
          <w:rFonts w:ascii="Times New Roman" w:hAnsi="Times New Roman" w:cs="Times New Roman"/>
          <w:sz w:val="24"/>
          <w:szCs w:val="24"/>
        </w:rPr>
      </w:pPr>
      <w:r w:rsidRPr="0016089F">
        <w:rPr>
          <w:rFonts w:ascii="Times New Roman" w:hAnsi="Times New Roman" w:cs="Times New Roman"/>
          <w:sz w:val="24"/>
          <w:szCs w:val="24"/>
        </w:rPr>
        <w:t>Please provide copies of any state or federal regulatory agency regulations or applicable law that requires SDG&amp;E to incur costs to “meet the maximum demand of all customers on a circuit, regardless of when that demand occurs.”</w:t>
      </w:r>
    </w:p>
    <w:p w14:paraId="72690F41" w14:textId="77777777" w:rsidR="00792419" w:rsidRPr="0016089F" w:rsidRDefault="00792419" w:rsidP="00792419">
      <w:pPr>
        <w:pStyle w:val="ListParagraph"/>
        <w:widowControl/>
        <w:spacing w:after="160" w:line="259" w:lineRule="auto"/>
        <w:ind w:left="720"/>
        <w:contextualSpacing/>
        <w:rPr>
          <w:rFonts w:ascii="Times New Roman" w:hAnsi="Times New Roman" w:cs="Times New Roman"/>
          <w:b/>
          <w:sz w:val="24"/>
          <w:szCs w:val="24"/>
        </w:rPr>
      </w:pPr>
    </w:p>
    <w:p w14:paraId="55618455" w14:textId="5C9E4782" w:rsidR="00A4243B" w:rsidRPr="0016089F" w:rsidRDefault="00792419" w:rsidP="003625C0">
      <w:pPr>
        <w:pStyle w:val="ListParagraph"/>
        <w:widowControl/>
        <w:spacing w:after="160" w:line="259" w:lineRule="auto"/>
        <w:ind w:left="720"/>
        <w:contextualSpacing/>
        <w:rPr>
          <w:rFonts w:ascii="Times New Roman" w:eastAsia="Times New Roman" w:hAnsi="Times New Roman" w:cs="Times New Roman"/>
          <w:bCs/>
          <w:sz w:val="24"/>
          <w:szCs w:val="24"/>
          <w:u w:color="000000"/>
        </w:rPr>
      </w:pPr>
      <w:r w:rsidRPr="0016089F">
        <w:rPr>
          <w:rFonts w:ascii="Times New Roman" w:hAnsi="Times New Roman" w:cs="Times New Roman"/>
          <w:b/>
          <w:sz w:val="24"/>
          <w:szCs w:val="24"/>
        </w:rPr>
        <w:t xml:space="preserve">SDG&amp;E Response: </w:t>
      </w:r>
      <w:r w:rsidR="00E3676A">
        <w:rPr>
          <w:rFonts w:ascii="Times New Roman" w:hAnsi="Times New Roman" w:cs="Times New Roman"/>
          <w:sz w:val="24"/>
          <w:szCs w:val="24"/>
        </w:rPr>
        <w:t>Will respond by January 31.</w:t>
      </w:r>
    </w:p>
    <w:sectPr w:rsidR="00A4243B" w:rsidRPr="0016089F">
      <w:headerReference w:type="default" r:id="rId27"/>
      <w:footerReference w:type="default" r:id="rId28"/>
      <w:pgSz w:w="12240" w:h="15840"/>
      <w:pgMar w:top="1480" w:right="1220" w:bottom="1140" w:left="1180" w:header="0" w:footer="95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7C6DBA" w14:textId="77777777" w:rsidR="00C27327" w:rsidRDefault="00C27327">
      <w:r>
        <w:separator/>
      </w:r>
    </w:p>
  </w:endnote>
  <w:endnote w:type="continuationSeparator" w:id="0">
    <w:p w14:paraId="3FFE0701" w14:textId="77777777" w:rsidR="00C27327" w:rsidRDefault="00C27327">
      <w:r>
        <w:continuationSeparator/>
      </w:r>
    </w:p>
  </w:endnote>
  <w:endnote w:type="continuationNotice" w:id="1">
    <w:p w14:paraId="5F8E9A02" w14:textId="77777777" w:rsidR="00C27327" w:rsidRDefault="00C2732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08332641"/>
      <w:docPartObj>
        <w:docPartGallery w:val="Page Numbers (Bottom of Page)"/>
        <w:docPartUnique/>
      </w:docPartObj>
    </w:sdtPr>
    <w:sdtEndPr>
      <w:rPr>
        <w:noProof/>
      </w:rPr>
    </w:sdtEndPr>
    <w:sdtContent>
      <w:p w14:paraId="3F6DD083" w14:textId="129CA02B" w:rsidR="00257835" w:rsidRDefault="00257835">
        <w:pPr>
          <w:pStyle w:val="Footer"/>
          <w:jc w:val="right"/>
        </w:pPr>
        <w:r>
          <w:fldChar w:fldCharType="begin"/>
        </w:r>
        <w:r>
          <w:instrText xml:space="preserve"> PAGE   \* MERGEFORMAT </w:instrText>
        </w:r>
        <w:r>
          <w:fldChar w:fldCharType="separate"/>
        </w:r>
        <w:r w:rsidR="00B670B5">
          <w:rPr>
            <w:noProof/>
          </w:rPr>
          <w:t>1</w:t>
        </w:r>
        <w:r>
          <w:rPr>
            <w:noProof/>
          </w:rPr>
          <w:fldChar w:fldCharType="end"/>
        </w:r>
      </w:p>
    </w:sdtContent>
  </w:sdt>
  <w:p w14:paraId="30DA468B" w14:textId="1C52C22D" w:rsidR="00257835" w:rsidRDefault="00257835">
    <w:pPr>
      <w:spacing w:line="200" w:lineRule="exac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EFCB74" w14:textId="77777777" w:rsidR="00C27327" w:rsidRDefault="00C27327">
      <w:r>
        <w:separator/>
      </w:r>
    </w:p>
  </w:footnote>
  <w:footnote w:type="continuationSeparator" w:id="0">
    <w:p w14:paraId="24333022" w14:textId="77777777" w:rsidR="00C27327" w:rsidRDefault="00C27327">
      <w:r>
        <w:continuationSeparator/>
      </w:r>
    </w:p>
  </w:footnote>
  <w:footnote w:type="continuationNotice" w:id="1">
    <w:p w14:paraId="20372E35" w14:textId="77777777" w:rsidR="00C27327" w:rsidRDefault="00C27327"/>
  </w:footnote>
  <w:footnote w:id="2">
    <w:p w14:paraId="4F4DDC18" w14:textId="3B4B3814" w:rsidR="002E3C4A" w:rsidRPr="002E3C4A" w:rsidRDefault="002E3C4A">
      <w:pPr>
        <w:pStyle w:val="FootnoteText"/>
        <w:rPr>
          <w:rFonts w:ascii="Times New Roman" w:hAnsi="Times New Roman" w:cs="Times New Roman"/>
        </w:rPr>
      </w:pPr>
      <w:r w:rsidRPr="002E3C4A">
        <w:rPr>
          <w:rStyle w:val="FootnoteReference"/>
          <w:rFonts w:ascii="Times New Roman" w:hAnsi="Times New Roman" w:cs="Times New Roman"/>
        </w:rPr>
        <w:footnoteRef/>
      </w:r>
      <w:r w:rsidRPr="002E3C4A">
        <w:rPr>
          <w:rFonts w:ascii="Times New Roman" w:hAnsi="Times New Roman" w:cs="Times New Roman"/>
        </w:rPr>
        <w:t xml:space="preserve"> </w:t>
      </w:r>
      <w:r>
        <w:rPr>
          <w:rFonts w:ascii="Times New Roman" w:hAnsi="Times New Roman" w:cs="Times New Roman"/>
        </w:rPr>
        <w:t>Second Revised Prepared Direct Testimony (Chapter 5), p. WGS-</w:t>
      </w:r>
      <w:r w:rsidR="00913DA1">
        <w:rPr>
          <w:rFonts w:ascii="Times New Roman" w:hAnsi="Times New Roman" w:cs="Times New Roman"/>
        </w:rPr>
        <w:t>7, lines 20-21.</w:t>
      </w:r>
    </w:p>
  </w:footnote>
  <w:footnote w:id="3">
    <w:p w14:paraId="29AA1582" w14:textId="28DD36C2" w:rsidR="008445D4" w:rsidRPr="008445D4" w:rsidRDefault="008445D4">
      <w:pPr>
        <w:pStyle w:val="FootnoteText"/>
        <w:rPr>
          <w:rFonts w:ascii="Times New Roman" w:hAnsi="Times New Roman" w:cs="Times New Roman"/>
        </w:rPr>
      </w:pPr>
      <w:r w:rsidRPr="008445D4">
        <w:rPr>
          <w:rStyle w:val="FootnoteReference"/>
          <w:rFonts w:ascii="Times New Roman" w:hAnsi="Times New Roman" w:cs="Times New Roman"/>
        </w:rPr>
        <w:footnoteRef/>
      </w:r>
      <w:r w:rsidRPr="008445D4">
        <w:rPr>
          <w:rFonts w:ascii="Times New Roman" w:hAnsi="Times New Roman" w:cs="Times New Roman"/>
        </w:rPr>
        <w:t xml:space="preserve"> </w:t>
      </w:r>
      <w:r>
        <w:rPr>
          <w:rFonts w:ascii="Times New Roman" w:hAnsi="Times New Roman" w:cs="Times New Roman"/>
        </w:rPr>
        <w:t xml:space="preserve">Second Revised </w:t>
      </w:r>
      <w:r w:rsidR="0091176B">
        <w:rPr>
          <w:rFonts w:ascii="Times New Roman" w:hAnsi="Times New Roman" w:cs="Times New Roman"/>
        </w:rPr>
        <w:t xml:space="preserve">Prepared Direct Testimony of William G. Saxe (Chapter 5), line 4 of page WGS-9 through </w:t>
      </w:r>
      <w:r w:rsidR="00BA41E3">
        <w:rPr>
          <w:rFonts w:ascii="Times New Roman" w:hAnsi="Times New Roman" w:cs="Times New Roman"/>
        </w:rPr>
        <w:t>line 2 of WGS-10.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6C1B7" w14:textId="77777777" w:rsidR="00257835" w:rsidRDefault="00257835" w:rsidP="00E904AE">
    <w:pPr>
      <w:pStyle w:val="Default"/>
      <w:jc w:val="center"/>
      <w:rPr>
        <w:b/>
        <w:bCs/>
        <w:sz w:val="23"/>
        <w:szCs w:val="23"/>
      </w:rPr>
    </w:pPr>
    <w:r>
      <w:rPr>
        <w:b/>
        <w:bCs/>
        <w:sz w:val="23"/>
        <w:szCs w:val="23"/>
      </w:rPr>
      <w:softHyphen/>
    </w:r>
    <w:r>
      <w:rPr>
        <w:b/>
        <w:bCs/>
        <w:sz w:val="23"/>
        <w:szCs w:val="23"/>
      </w:rPr>
      <w:softHyphen/>
    </w:r>
    <w:r>
      <w:rPr>
        <w:b/>
        <w:bCs/>
        <w:sz w:val="23"/>
        <w:szCs w:val="23"/>
      </w:rPr>
      <w:softHyphen/>
    </w:r>
    <w:r>
      <w:rPr>
        <w:b/>
        <w:bCs/>
        <w:sz w:val="23"/>
        <w:szCs w:val="23"/>
      </w:rPr>
      <w:softHyphen/>
    </w:r>
    <w:r>
      <w:rPr>
        <w:b/>
        <w:bCs/>
        <w:sz w:val="23"/>
        <w:szCs w:val="23"/>
      </w:rPr>
      <w:softHyphen/>
    </w:r>
    <w:r>
      <w:rPr>
        <w:b/>
        <w:bCs/>
        <w:sz w:val="23"/>
        <w:szCs w:val="23"/>
      </w:rPr>
      <w:softHyphen/>
    </w:r>
  </w:p>
  <w:p w14:paraId="66AAF096" w14:textId="28B77609" w:rsidR="009D6650" w:rsidRPr="00BB3B03" w:rsidRDefault="009D6650" w:rsidP="009D6650">
    <w:pPr>
      <w:pStyle w:val="ListParagraph"/>
      <w:jc w:val="center"/>
      <w:rPr>
        <w:rFonts w:ascii="Times New Roman" w:hAnsi="Times New Roman" w:cs="Times New Roman"/>
        <w:b/>
      </w:rPr>
    </w:pPr>
    <w:r w:rsidRPr="00BB3B03">
      <w:rPr>
        <w:rFonts w:ascii="Times New Roman" w:hAnsi="Times New Roman" w:cs="Times New Roman"/>
        <w:b/>
      </w:rPr>
      <w:t xml:space="preserve">UCAN DATA REQUEST </w:t>
    </w:r>
    <w:r w:rsidRPr="00BB3B03">
      <w:rPr>
        <w:rFonts w:ascii="Times New Roman" w:hAnsi="Times New Roman" w:cs="Times New Roman"/>
        <w:b/>
      </w:rPr>
      <w:br/>
      <w:t>UCAN-SDG&amp;E DR-0</w:t>
    </w:r>
    <w:r w:rsidR="0008748D">
      <w:rPr>
        <w:rFonts w:ascii="Times New Roman" w:hAnsi="Times New Roman" w:cs="Times New Roman"/>
        <w:b/>
      </w:rPr>
      <w:t>2</w:t>
    </w:r>
    <w:r w:rsidRPr="00BB3B03">
      <w:rPr>
        <w:rFonts w:ascii="Times New Roman" w:hAnsi="Times New Roman" w:cs="Times New Roman"/>
        <w:b/>
      </w:rPr>
      <w:br/>
      <w:t>SDG&amp;E PHASE 2 GRC PROCEEDING- A.19-0</w:t>
    </w:r>
    <w:r w:rsidR="00770BE7">
      <w:rPr>
        <w:rFonts w:ascii="Times New Roman" w:hAnsi="Times New Roman" w:cs="Times New Roman"/>
        <w:b/>
      </w:rPr>
      <w:t>3</w:t>
    </w:r>
    <w:r w:rsidRPr="00BB3B03">
      <w:rPr>
        <w:rFonts w:ascii="Times New Roman" w:hAnsi="Times New Roman" w:cs="Times New Roman"/>
        <w:b/>
      </w:rPr>
      <w:t>-00</w:t>
    </w:r>
    <w:r w:rsidR="00770BE7">
      <w:rPr>
        <w:rFonts w:ascii="Times New Roman" w:hAnsi="Times New Roman" w:cs="Times New Roman"/>
        <w:b/>
      </w:rPr>
      <w:t>2</w:t>
    </w:r>
    <w:r w:rsidRPr="00BB3B03">
      <w:rPr>
        <w:rFonts w:ascii="Times New Roman" w:hAnsi="Times New Roman" w:cs="Times New Roman"/>
        <w:b/>
      </w:rPr>
      <w:br/>
      <w:t xml:space="preserve">DATE </w:t>
    </w:r>
    <w:r w:rsidR="00CD3A56">
      <w:rPr>
        <w:rFonts w:ascii="Times New Roman" w:hAnsi="Times New Roman" w:cs="Times New Roman"/>
        <w:b/>
      </w:rPr>
      <w:t>RECEIVED</w:t>
    </w:r>
    <w:r w:rsidRPr="00BB3B03">
      <w:rPr>
        <w:rFonts w:ascii="Times New Roman" w:hAnsi="Times New Roman" w:cs="Times New Roman"/>
        <w:b/>
      </w:rPr>
      <w:t xml:space="preserve">: </w:t>
    </w:r>
    <w:r w:rsidR="00CD3A56">
      <w:rPr>
        <w:rFonts w:ascii="Times New Roman" w:hAnsi="Times New Roman" w:cs="Times New Roman"/>
        <w:b/>
      </w:rPr>
      <w:t>January 10</w:t>
    </w:r>
    <w:r w:rsidRPr="00BB3B03">
      <w:rPr>
        <w:rFonts w:ascii="Times New Roman" w:hAnsi="Times New Roman" w:cs="Times New Roman"/>
        <w:b/>
      </w:rPr>
      <w:t>, 20</w:t>
    </w:r>
    <w:r w:rsidR="00CD3A56">
      <w:rPr>
        <w:rFonts w:ascii="Times New Roman" w:hAnsi="Times New Roman" w:cs="Times New Roman"/>
        <w:b/>
      </w:rPr>
      <w:t>20</w:t>
    </w:r>
  </w:p>
  <w:p w14:paraId="46DCAB12" w14:textId="777ABBA5" w:rsidR="009D6650" w:rsidRPr="00BB3B03" w:rsidRDefault="009D6650" w:rsidP="009D6650">
    <w:pPr>
      <w:pStyle w:val="ListParagraph"/>
      <w:jc w:val="center"/>
      <w:rPr>
        <w:rFonts w:ascii="Times New Roman" w:hAnsi="Times New Roman" w:cs="Times New Roman"/>
        <w:b/>
      </w:rPr>
    </w:pPr>
    <w:r w:rsidRPr="00BB3B03">
      <w:rPr>
        <w:rFonts w:ascii="Times New Roman" w:hAnsi="Times New Roman" w:cs="Times New Roman"/>
        <w:b/>
      </w:rPr>
      <w:t>DATE RESPONDED:</w:t>
    </w:r>
    <w:r>
      <w:rPr>
        <w:rFonts w:ascii="Times New Roman" w:hAnsi="Times New Roman" w:cs="Times New Roman"/>
        <w:b/>
      </w:rPr>
      <w:t xml:space="preserve"> </w:t>
    </w:r>
    <w:r w:rsidR="00B30C27">
      <w:rPr>
        <w:rFonts w:ascii="Times New Roman" w:hAnsi="Times New Roman" w:cs="Times New Roman"/>
        <w:b/>
      </w:rPr>
      <w:t>January 27</w:t>
    </w:r>
    <w:r w:rsidR="009C16E8">
      <w:rPr>
        <w:rFonts w:ascii="Times New Roman" w:hAnsi="Times New Roman" w:cs="Times New Roman"/>
        <w:b/>
      </w:rPr>
      <w:t>, 20</w:t>
    </w:r>
    <w:r w:rsidR="00CD3A56">
      <w:rPr>
        <w:rFonts w:ascii="Times New Roman" w:hAnsi="Times New Roman" w:cs="Times New Roman"/>
        <w:b/>
      </w:rPr>
      <w:t>20</w:t>
    </w:r>
    <w:r w:rsidR="007627CF">
      <w:rPr>
        <w:rFonts w:ascii="Times New Roman" w:hAnsi="Times New Roman" w:cs="Times New Roman"/>
        <w:b/>
      </w:rPr>
      <w:t xml:space="preserve"> -Partial Response</w:t>
    </w:r>
  </w:p>
  <w:p w14:paraId="25BD10E8" w14:textId="77777777" w:rsidR="00257835" w:rsidRDefault="0025783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BC276D"/>
    <w:multiLevelType w:val="hybridMultilevel"/>
    <w:tmpl w:val="29924C9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12E92CEA"/>
    <w:multiLevelType w:val="hybridMultilevel"/>
    <w:tmpl w:val="29924C9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183B43C8"/>
    <w:multiLevelType w:val="hybridMultilevel"/>
    <w:tmpl w:val="29924C9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1AA909C9"/>
    <w:multiLevelType w:val="hybridMultilevel"/>
    <w:tmpl w:val="29924C9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1DF74DD5"/>
    <w:multiLevelType w:val="hybridMultilevel"/>
    <w:tmpl w:val="44E6A0D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2FF3BDD"/>
    <w:multiLevelType w:val="hybridMultilevel"/>
    <w:tmpl w:val="29924C9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24144C0D"/>
    <w:multiLevelType w:val="hybridMultilevel"/>
    <w:tmpl w:val="29924C9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C212B70"/>
    <w:multiLevelType w:val="hybridMultilevel"/>
    <w:tmpl w:val="29924C9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30334A1A"/>
    <w:multiLevelType w:val="hybridMultilevel"/>
    <w:tmpl w:val="29924C9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394B3E5D"/>
    <w:multiLevelType w:val="hybridMultilevel"/>
    <w:tmpl w:val="05225EA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99010B8"/>
    <w:multiLevelType w:val="hybridMultilevel"/>
    <w:tmpl w:val="1CF2E48A"/>
    <w:lvl w:ilvl="0" w:tplc="44CA6412">
      <w:start w:val="1"/>
      <w:numFmt w:val="bullet"/>
      <w:lvlText w:val=""/>
      <w:lvlJc w:val="left"/>
      <w:pPr>
        <w:ind w:left="720" w:hanging="360"/>
      </w:pPr>
      <w:rPr>
        <w:rFonts w:ascii="Symbol" w:hAnsi="Symbol" w:hint="default"/>
      </w:rPr>
    </w:lvl>
    <w:lvl w:ilvl="1" w:tplc="66B6D650">
      <w:start w:val="1"/>
      <w:numFmt w:val="bullet"/>
      <w:lvlText w:val="o"/>
      <w:lvlJc w:val="left"/>
      <w:pPr>
        <w:ind w:left="1440" w:hanging="360"/>
      </w:pPr>
      <w:rPr>
        <w:rFonts w:ascii="Courier New" w:hAnsi="Courier New" w:hint="default"/>
      </w:rPr>
    </w:lvl>
    <w:lvl w:ilvl="2" w:tplc="410CBBF4">
      <w:start w:val="1"/>
      <w:numFmt w:val="bullet"/>
      <w:lvlText w:val=""/>
      <w:lvlJc w:val="left"/>
      <w:pPr>
        <w:ind w:left="2160" w:hanging="360"/>
      </w:pPr>
      <w:rPr>
        <w:rFonts w:ascii="Wingdings" w:hAnsi="Wingdings" w:hint="default"/>
      </w:rPr>
    </w:lvl>
    <w:lvl w:ilvl="3" w:tplc="05E46056">
      <w:start w:val="1"/>
      <w:numFmt w:val="bullet"/>
      <w:lvlText w:val=""/>
      <w:lvlJc w:val="left"/>
      <w:pPr>
        <w:ind w:left="2880" w:hanging="360"/>
      </w:pPr>
      <w:rPr>
        <w:rFonts w:ascii="Symbol" w:hAnsi="Symbol" w:hint="default"/>
      </w:rPr>
    </w:lvl>
    <w:lvl w:ilvl="4" w:tplc="2FA887B0">
      <w:start w:val="1"/>
      <w:numFmt w:val="bullet"/>
      <w:lvlText w:val="o"/>
      <w:lvlJc w:val="left"/>
      <w:pPr>
        <w:ind w:left="3600" w:hanging="360"/>
      </w:pPr>
      <w:rPr>
        <w:rFonts w:ascii="Courier New" w:hAnsi="Courier New" w:hint="default"/>
      </w:rPr>
    </w:lvl>
    <w:lvl w:ilvl="5" w:tplc="F29CD47E">
      <w:start w:val="1"/>
      <w:numFmt w:val="bullet"/>
      <w:lvlText w:val=""/>
      <w:lvlJc w:val="left"/>
      <w:pPr>
        <w:ind w:left="4320" w:hanging="360"/>
      </w:pPr>
      <w:rPr>
        <w:rFonts w:ascii="Wingdings" w:hAnsi="Wingdings" w:hint="default"/>
      </w:rPr>
    </w:lvl>
    <w:lvl w:ilvl="6" w:tplc="8464693C">
      <w:start w:val="1"/>
      <w:numFmt w:val="bullet"/>
      <w:lvlText w:val=""/>
      <w:lvlJc w:val="left"/>
      <w:pPr>
        <w:ind w:left="5040" w:hanging="360"/>
      </w:pPr>
      <w:rPr>
        <w:rFonts w:ascii="Symbol" w:hAnsi="Symbol" w:hint="default"/>
      </w:rPr>
    </w:lvl>
    <w:lvl w:ilvl="7" w:tplc="B860EC06">
      <w:start w:val="1"/>
      <w:numFmt w:val="bullet"/>
      <w:lvlText w:val="o"/>
      <w:lvlJc w:val="left"/>
      <w:pPr>
        <w:ind w:left="5760" w:hanging="360"/>
      </w:pPr>
      <w:rPr>
        <w:rFonts w:ascii="Courier New" w:hAnsi="Courier New" w:hint="default"/>
      </w:rPr>
    </w:lvl>
    <w:lvl w:ilvl="8" w:tplc="5B28995C">
      <w:start w:val="1"/>
      <w:numFmt w:val="bullet"/>
      <w:lvlText w:val=""/>
      <w:lvlJc w:val="left"/>
      <w:pPr>
        <w:ind w:left="6480" w:hanging="360"/>
      </w:pPr>
      <w:rPr>
        <w:rFonts w:ascii="Wingdings" w:hAnsi="Wingdings" w:hint="default"/>
      </w:rPr>
    </w:lvl>
  </w:abstractNum>
  <w:abstractNum w:abstractNumId="11" w15:restartNumberingAfterBreak="0">
    <w:nsid w:val="40A83E61"/>
    <w:multiLevelType w:val="hybridMultilevel"/>
    <w:tmpl w:val="29924C9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43386F41"/>
    <w:multiLevelType w:val="hybridMultilevel"/>
    <w:tmpl w:val="0A7A521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44D43C0E"/>
    <w:multiLevelType w:val="hybridMultilevel"/>
    <w:tmpl w:val="39B66584"/>
    <w:lvl w:ilvl="0" w:tplc="CF2EAA0E">
      <w:start w:val="1"/>
      <w:numFmt w:val="decimal"/>
      <w:lvlText w:val="%1."/>
      <w:lvlJc w:val="left"/>
      <w:pPr>
        <w:ind w:left="720" w:hanging="360"/>
      </w:pPr>
    </w:lvl>
    <w:lvl w:ilvl="1" w:tplc="FFFFFFFF">
      <w:start w:val="1"/>
      <w:numFmt w:val="lowerLetter"/>
      <w:lvlText w:val="%2."/>
      <w:lvlJc w:val="left"/>
      <w:pPr>
        <w:ind w:left="1440" w:hanging="360"/>
      </w:pPr>
    </w:lvl>
    <w:lvl w:ilvl="2" w:tplc="BCBE5064">
      <w:start w:val="1"/>
      <w:numFmt w:val="lowerRoman"/>
      <w:lvlText w:val="%3."/>
      <w:lvlJc w:val="right"/>
      <w:pPr>
        <w:ind w:left="2160" w:hanging="180"/>
      </w:pPr>
    </w:lvl>
    <w:lvl w:ilvl="3" w:tplc="6292EAD2">
      <w:start w:val="1"/>
      <w:numFmt w:val="decimal"/>
      <w:lvlText w:val="%4."/>
      <w:lvlJc w:val="left"/>
      <w:pPr>
        <w:ind w:left="2880" w:hanging="360"/>
      </w:pPr>
    </w:lvl>
    <w:lvl w:ilvl="4" w:tplc="0284FA8E">
      <w:start w:val="1"/>
      <w:numFmt w:val="lowerLetter"/>
      <w:lvlText w:val="%5."/>
      <w:lvlJc w:val="left"/>
      <w:pPr>
        <w:ind w:left="3600" w:hanging="360"/>
      </w:pPr>
    </w:lvl>
    <w:lvl w:ilvl="5" w:tplc="D26E8246">
      <w:start w:val="1"/>
      <w:numFmt w:val="lowerRoman"/>
      <w:lvlText w:val="%6."/>
      <w:lvlJc w:val="right"/>
      <w:pPr>
        <w:ind w:left="4320" w:hanging="180"/>
      </w:pPr>
    </w:lvl>
    <w:lvl w:ilvl="6" w:tplc="5F3CD7FE">
      <w:start w:val="1"/>
      <w:numFmt w:val="decimal"/>
      <w:lvlText w:val="%7."/>
      <w:lvlJc w:val="left"/>
      <w:pPr>
        <w:ind w:left="5040" w:hanging="360"/>
      </w:pPr>
    </w:lvl>
    <w:lvl w:ilvl="7" w:tplc="DCB0F6D8">
      <w:start w:val="1"/>
      <w:numFmt w:val="lowerLetter"/>
      <w:lvlText w:val="%8."/>
      <w:lvlJc w:val="left"/>
      <w:pPr>
        <w:ind w:left="5760" w:hanging="360"/>
      </w:pPr>
    </w:lvl>
    <w:lvl w:ilvl="8" w:tplc="65B2ED50">
      <w:start w:val="1"/>
      <w:numFmt w:val="lowerRoman"/>
      <w:lvlText w:val="%9."/>
      <w:lvlJc w:val="right"/>
      <w:pPr>
        <w:ind w:left="6480" w:hanging="180"/>
      </w:pPr>
    </w:lvl>
  </w:abstractNum>
  <w:abstractNum w:abstractNumId="14" w15:restartNumberingAfterBreak="0">
    <w:nsid w:val="4D852318"/>
    <w:multiLevelType w:val="hybridMultilevel"/>
    <w:tmpl w:val="29924C9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4DA9119B"/>
    <w:multiLevelType w:val="hybridMultilevel"/>
    <w:tmpl w:val="0A7A521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4DDD60B1"/>
    <w:multiLevelType w:val="hybridMultilevel"/>
    <w:tmpl w:val="692879FA"/>
    <w:lvl w:ilvl="0" w:tplc="063CAD82">
      <w:start w:val="1"/>
      <w:numFmt w:val="decimal"/>
      <w:lvlText w:val="%1."/>
      <w:lvlJc w:val="left"/>
      <w:pPr>
        <w:ind w:left="720" w:hanging="360"/>
      </w:pPr>
    </w:lvl>
    <w:lvl w:ilvl="1" w:tplc="D79400B2">
      <w:start w:val="1"/>
      <w:numFmt w:val="lowerLetter"/>
      <w:lvlText w:val="%2."/>
      <w:lvlJc w:val="left"/>
      <w:pPr>
        <w:ind w:left="1440" w:hanging="360"/>
      </w:pPr>
    </w:lvl>
    <w:lvl w:ilvl="2" w:tplc="1D7CA6C0">
      <w:start w:val="1"/>
      <w:numFmt w:val="lowerRoman"/>
      <w:lvlText w:val="%3."/>
      <w:lvlJc w:val="right"/>
      <w:pPr>
        <w:ind w:left="2160" w:hanging="180"/>
      </w:pPr>
    </w:lvl>
    <w:lvl w:ilvl="3" w:tplc="7D8CCE52">
      <w:start w:val="1"/>
      <w:numFmt w:val="decimal"/>
      <w:lvlText w:val="%4."/>
      <w:lvlJc w:val="left"/>
      <w:pPr>
        <w:ind w:left="2880" w:hanging="360"/>
      </w:pPr>
    </w:lvl>
    <w:lvl w:ilvl="4" w:tplc="A6D8293C">
      <w:start w:val="1"/>
      <w:numFmt w:val="lowerLetter"/>
      <w:lvlText w:val="%5."/>
      <w:lvlJc w:val="left"/>
      <w:pPr>
        <w:ind w:left="3600" w:hanging="360"/>
      </w:pPr>
    </w:lvl>
    <w:lvl w:ilvl="5" w:tplc="4998A038">
      <w:start w:val="1"/>
      <w:numFmt w:val="lowerRoman"/>
      <w:lvlText w:val="%6."/>
      <w:lvlJc w:val="right"/>
      <w:pPr>
        <w:ind w:left="4320" w:hanging="180"/>
      </w:pPr>
    </w:lvl>
    <w:lvl w:ilvl="6" w:tplc="0248FC70">
      <w:start w:val="1"/>
      <w:numFmt w:val="decimal"/>
      <w:lvlText w:val="%7."/>
      <w:lvlJc w:val="left"/>
      <w:pPr>
        <w:ind w:left="5040" w:hanging="360"/>
      </w:pPr>
    </w:lvl>
    <w:lvl w:ilvl="7" w:tplc="FBB85166">
      <w:start w:val="1"/>
      <w:numFmt w:val="lowerLetter"/>
      <w:lvlText w:val="%8."/>
      <w:lvlJc w:val="left"/>
      <w:pPr>
        <w:ind w:left="5760" w:hanging="360"/>
      </w:pPr>
    </w:lvl>
    <w:lvl w:ilvl="8" w:tplc="39829E12">
      <w:start w:val="1"/>
      <w:numFmt w:val="lowerRoman"/>
      <w:lvlText w:val="%9."/>
      <w:lvlJc w:val="right"/>
      <w:pPr>
        <w:ind w:left="6480" w:hanging="180"/>
      </w:pPr>
    </w:lvl>
  </w:abstractNum>
  <w:abstractNum w:abstractNumId="17" w15:restartNumberingAfterBreak="0">
    <w:nsid w:val="4E5C64C5"/>
    <w:multiLevelType w:val="hybridMultilevel"/>
    <w:tmpl w:val="29924C9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53216C44"/>
    <w:multiLevelType w:val="hybridMultilevel"/>
    <w:tmpl w:val="29924C9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56D1613C"/>
    <w:multiLevelType w:val="hybridMultilevel"/>
    <w:tmpl w:val="0A7A521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5863116F"/>
    <w:multiLevelType w:val="hybridMultilevel"/>
    <w:tmpl w:val="ED14C692"/>
    <w:lvl w:ilvl="0" w:tplc="84702952">
      <w:start w:val="1"/>
      <w:numFmt w:val="decimal"/>
      <w:lvlText w:val="%1."/>
      <w:lvlJc w:val="left"/>
      <w:pPr>
        <w:ind w:left="720" w:hanging="360"/>
      </w:pPr>
    </w:lvl>
    <w:lvl w:ilvl="1" w:tplc="B30425CE">
      <w:start w:val="1"/>
      <w:numFmt w:val="lowerLetter"/>
      <w:lvlText w:val="%2."/>
      <w:lvlJc w:val="left"/>
      <w:pPr>
        <w:ind w:left="1440" w:hanging="360"/>
      </w:pPr>
    </w:lvl>
    <w:lvl w:ilvl="2" w:tplc="B606A66A">
      <w:start w:val="1"/>
      <w:numFmt w:val="lowerRoman"/>
      <w:lvlText w:val="%3."/>
      <w:lvlJc w:val="right"/>
      <w:pPr>
        <w:ind w:left="2160" w:hanging="180"/>
      </w:pPr>
    </w:lvl>
    <w:lvl w:ilvl="3" w:tplc="C110151E">
      <w:start w:val="1"/>
      <w:numFmt w:val="decimal"/>
      <w:lvlText w:val="%4."/>
      <w:lvlJc w:val="left"/>
      <w:pPr>
        <w:ind w:left="2880" w:hanging="360"/>
      </w:pPr>
    </w:lvl>
    <w:lvl w:ilvl="4" w:tplc="667C1FC0">
      <w:start w:val="1"/>
      <w:numFmt w:val="lowerLetter"/>
      <w:lvlText w:val="%5."/>
      <w:lvlJc w:val="left"/>
      <w:pPr>
        <w:ind w:left="3600" w:hanging="360"/>
      </w:pPr>
    </w:lvl>
    <w:lvl w:ilvl="5" w:tplc="4C3C2598">
      <w:start w:val="1"/>
      <w:numFmt w:val="lowerRoman"/>
      <w:lvlText w:val="%6."/>
      <w:lvlJc w:val="right"/>
      <w:pPr>
        <w:ind w:left="4320" w:hanging="180"/>
      </w:pPr>
    </w:lvl>
    <w:lvl w:ilvl="6" w:tplc="AC140A0C">
      <w:start w:val="1"/>
      <w:numFmt w:val="decimal"/>
      <w:lvlText w:val="%7."/>
      <w:lvlJc w:val="left"/>
      <w:pPr>
        <w:ind w:left="5040" w:hanging="360"/>
      </w:pPr>
    </w:lvl>
    <w:lvl w:ilvl="7" w:tplc="AE0C71F2">
      <w:start w:val="1"/>
      <w:numFmt w:val="lowerLetter"/>
      <w:lvlText w:val="%8."/>
      <w:lvlJc w:val="left"/>
      <w:pPr>
        <w:ind w:left="5760" w:hanging="360"/>
      </w:pPr>
    </w:lvl>
    <w:lvl w:ilvl="8" w:tplc="C258423C">
      <w:start w:val="1"/>
      <w:numFmt w:val="lowerRoman"/>
      <w:lvlText w:val="%9."/>
      <w:lvlJc w:val="right"/>
      <w:pPr>
        <w:ind w:left="6480" w:hanging="180"/>
      </w:pPr>
    </w:lvl>
  </w:abstractNum>
  <w:abstractNum w:abstractNumId="21" w15:restartNumberingAfterBreak="0">
    <w:nsid w:val="631864D0"/>
    <w:multiLevelType w:val="hybridMultilevel"/>
    <w:tmpl w:val="8EBC47C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95F30FB"/>
    <w:multiLevelType w:val="hybridMultilevel"/>
    <w:tmpl w:val="7AE05524"/>
    <w:lvl w:ilvl="0" w:tplc="9E2A5474">
      <w:start w:val="1"/>
      <w:numFmt w:val="decimal"/>
      <w:lvlText w:val="%1."/>
      <w:lvlJc w:val="left"/>
      <w:pPr>
        <w:ind w:left="720" w:hanging="360"/>
      </w:pPr>
    </w:lvl>
    <w:lvl w:ilvl="1" w:tplc="5242FEDA">
      <w:start w:val="1"/>
      <w:numFmt w:val="lowerLetter"/>
      <w:lvlText w:val="%2."/>
      <w:lvlJc w:val="left"/>
      <w:pPr>
        <w:ind w:left="1440" w:hanging="360"/>
      </w:pPr>
    </w:lvl>
    <w:lvl w:ilvl="2" w:tplc="B5840638">
      <w:start w:val="1"/>
      <w:numFmt w:val="lowerRoman"/>
      <w:lvlText w:val="%3."/>
      <w:lvlJc w:val="right"/>
      <w:pPr>
        <w:ind w:left="2160" w:hanging="180"/>
      </w:pPr>
    </w:lvl>
    <w:lvl w:ilvl="3" w:tplc="D18ECFAE">
      <w:start w:val="1"/>
      <w:numFmt w:val="decimal"/>
      <w:lvlText w:val="%4."/>
      <w:lvlJc w:val="left"/>
      <w:pPr>
        <w:ind w:left="2880" w:hanging="360"/>
      </w:pPr>
    </w:lvl>
    <w:lvl w:ilvl="4" w:tplc="EBF6BF26">
      <w:start w:val="1"/>
      <w:numFmt w:val="lowerLetter"/>
      <w:lvlText w:val="%5."/>
      <w:lvlJc w:val="left"/>
      <w:pPr>
        <w:ind w:left="3600" w:hanging="360"/>
      </w:pPr>
    </w:lvl>
    <w:lvl w:ilvl="5" w:tplc="CC743522">
      <w:start w:val="1"/>
      <w:numFmt w:val="lowerRoman"/>
      <w:lvlText w:val="%6."/>
      <w:lvlJc w:val="right"/>
      <w:pPr>
        <w:ind w:left="4320" w:hanging="180"/>
      </w:pPr>
    </w:lvl>
    <w:lvl w:ilvl="6" w:tplc="C9AE97BE">
      <w:start w:val="1"/>
      <w:numFmt w:val="decimal"/>
      <w:lvlText w:val="%7."/>
      <w:lvlJc w:val="left"/>
      <w:pPr>
        <w:ind w:left="5040" w:hanging="360"/>
      </w:pPr>
    </w:lvl>
    <w:lvl w:ilvl="7" w:tplc="F30E0910">
      <w:start w:val="1"/>
      <w:numFmt w:val="lowerLetter"/>
      <w:lvlText w:val="%8."/>
      <w:lvlJc w:val="left"/>
      <w:pPr>
        <w:ind w:left="5760" w:hanging="360"/>
      </w:pPr>
    </w:lvl>
    <w:lvl w:ilvl="8" w:tplc="EF24FEA4">
      <w:start w:val="1"/>
      <w:numFmt w:val="lowerRoman"/>
      <w:lvlText w:val="%9."/>
      <w:lvlJc w:val="right"/>
      <w:pPr>
        <w:ind w:left="6480" w:hanging="180"/>
      </w:pPr>
    </w:lvl>
  </w:abstractNum>
  <w:abstractNum w:abstractNumId="23" w15:restartNumberingAfterBreak="0">
    <w:nsid w:val="69FE0629"/>
    <w:multiLevelType w:val="hybridMultilevel"/>
    <w:tmpl w:val="0A7A521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6C0834F4"/>
    <w:multiLevelType w:val="hybridMultilevel"/>
    <w:tmpl w:val="3AE4A626"/>
    <w:lvl w:ilvl="0" w:tplc="04090011">
      <w:start w:val="1"/>
      <w:numFmt w:val="decimal"/>
      <w:lvlText w:val="%1)"/>
      <w:lvlJc w:val="left"/>
      <w:pPr>
        <w:ind w:left="720" w:hanging="360"/>
      </w:pPr>
      <w:rPr>
        <w:rFonts w:hint="default"/>
      </w:rPr>
    </w:lvl>
    <w:lvl w:ilvl="1" w:tplc="CC2E8AAE">
      <w:start w:val="1"/>
      <w:numFmt w:val="lowerLetter"/>
      <w:lvlText w:val="%2."/>
      <w:lvlJc w:val="left"/>
      <w:pPr>
        <w:ind w:left="1440" w:hanging="360"/>
      </w:pPr>
      <w:rPr>
        <w:rFonts w:ascii="Times New Roman" w:eastAsiaTheme="minorHAnsi" w:hAnsi="Times New Roman" w:cs="Times New Roman"/>
      </w:rPr>
    </w:lvl>
    <w:lvl w:ilvl="2" w:tplc="0409001B">
      <w:start w:val="1"/>
      <w:numFmt w:val="lowerRoman"/>
      <w:lvlText w:val="%3."/>
      <w:lvlJc w:val="right"/>
      <w:pPr>
        <w:ind w:left="2160" w:hanging="180"/>
      </w:pPr>
    </w:lvl>
    <w:lvl w:ilvl="3" w:tplc="4CBC567A">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FDE46C9"/>
    <w:multiLevelType w:val="hybridMultilevel"/>
    <w:tmpl w:val="A3301B3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
  </w:num>
  <w:num w:numId="2">
    <w:abstractNumId w:val="9"/>
  </w:num>
  <w:num w:numId="3">
    <w:abstractNumId w:val="23"/>
  </w:num>
  <w:num w:numId="4">
    <w:abstractNumId w:val="12"/>
  </w:num>
  <w:num w:numId="5">
    <w:abstractNumId w:val="15"/>
  </w:num>
  <w:num w:numId="6">
    <w:abstractNumId w:val="19"/>
  </w:num>
  <w:num w:numId="7">
    <w:abstractNumId w:val="21"/>
  </w:num>
  <w:num w:numId="8">
    <w:abstractNumId w:val="4"/>
  </w:num>
  <w:num w:numId="9">
    <w:abstractNumId w:val="25"/>
  </w:num>
  <w:num w:numId="10">
    <w:abstractNumId w:val="2"/>
  </w:num>
  <w:num w:numId="11">
    <w:abstractNumId w:val="17"/>
  </w:num>
  <w:num w:numId="12">
    <w:abstractNumId w:val="6"/>
  </w:num>
  <w:num w:numId="13">
    <w:abstractNumId w:val="14"/>
  </w:num>
  <w:num w:numId="14">
    <w:abstractNumId w:val="0"/>
  </w:num>
  <w:num w:numId="15">
    <w:abstractNumId w:val="7"/>
  </w:num>
  <w:num w:numId="16">
    <w:abstractNumId w:val="5"/>
  </w:num>
  <w:num w:numId="17">
    <w:abstractNumId w:val="18"/>
  </w:num>
  <w:num w:numId="18">
    <w:abstractNumId w:val="8"/>
  </w:num>
  <w:num w:numId="19">
    <w:abstractNumId w:val="3"/>
  </w:num>
  <w:num w:numId="20">
    <w:abstractNumId w:val="1"/>
  </w:num>
  <w:num w:numId="21">
    <w:abstractNumId w:val="11"/>
  </w:num>
  <w:num w:numId="22">
    <w:abstractNumId w:val="10"/>
  </w:num>
  <w:num w:numId="23">
    <w:abstractNumId w:val="22"/>
  </w:num>
  <w:num w:numId="24">
    <w:abstractNumId w:val="16"/>
  </w:num>
  <w:num w:numId="25">
    <w:abstractNumId w:val="20"/>
  </w:num>
  <w:num w:numId="26">
    <w:abstractNumId w:val="1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proofState w:spelling="clean" w:grammar="clean"/>
  <w:defaultTabStop w:val="720"/>
  <w:drawingGridHorizontalSpacing w:val="110"/>
  <w:displayHorizontalDrawingGridEvery w:val="2"/>
  <w:characterSpacingControl w:val="doNotCompress"/>
  <w:hdrShapeDefaults>
    <o:shapedefaults v:ext="edit" spidmax="8193"/>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71D6"/>
    <w:rsid w:val="00000E57"/>
    <w:rsid w:val="00000EEA"/>
    <w:rsid w:val="00006E40"/>
    <w:rsid w:val="000133A9"/>
    <w:rsid w:val="000149DA"/>
    <w:rsid w:val="00015BD1"/>
    <w:rsid w:val="00015D09"/>
    <w:rsid w:val="00021AFC"/>
    <w:rsid w:val="00023B5A"/>
    <w:rsid w:val="000249E4"/>
    <w:rsid w:val="00027D18"/>
    <w:rsid w:val="00031D57"/>
    <w:rsid w:val="00033468"/>
    <w:rsid w:val="000403AA"/>
    <w:rsid w:val="000403FA"/>
    <w:rsid w:val="000473F3"/>
    <w:rsid w:val="00050E90"/>
    <w:rsid w:val="00051518"/>
    <w:rsid w:val="0005159C"/>
    <w:rsid w:val="0006422C"/>
    <w:rsid w:val="00066A36"/>
    <w:rsid w:val="00066D40"/>
    <w:rsid w:val="00067739"/>
    <w:rsid w:val="00067D3B"/>
    <w:rsid w:val="00074F7A"/>
    <w:rsid w:val="000776AD"/>
    <w:rsid w:val="0008748D"/>
    <w:rsid w:val="00090093"/>
    <w:rsid w:val="0009138F"/>
    <w:rsid w:val="000932BD"/>
    <w:rsid w:val="000932E2"/>
    <w:rsid w:val="00093CEE"/>
    <w:rsid w:val="0009752B"/>
    <w:rsid w:val="000A6F05"/>
    <w:rsid w:val="000A7208"/>
    <w:rsid w:val="000B182D"/>
    <w:rsid w:val="000B2DF3"/>
    <w:rsid w:val="000B48F9"/>
    <w:rsid w:val="000B64FF"/>
    <w:rsid w:val="000B710B"/>
    <w:rsid w:val="000C07CC"/>
    <w:rsid w:val="000C0AEC"/>
    <w:rsid w:val="000D24BA"/>
    <w:rsid w:val="000D28EF"/>
    <w:rsid w:val="000D4068"/>
    <w:rsid w:val="000D6ECD"/>
    <w:rsid w:val="000F3F48"/>
    <w:rsid w:val="000F5557"/>
    <w:rsid w:val="000F6F65"/>
    <w:rsid w:val="00101D98"/>
    <w:rsid w:val="001042D0"/>
    <w:rsid w:val="00104F5E"/>
    <w:rsid w:val="001060A3"/>
    <w:rsid w:val="0010718F"/>
    <w:rsid w:val="00107578"/>
    <w:rsid w:val="00113C13"/>
    <w:rsid w:val="001160E5"/>
    <w:rsid w:val="00117124"/>
    <w:rsid w:val="00121E7C"/>
    <w:rsid w:val="00124FF1"/>
    <w:rsid w:val="00131E0A"/>
    <w:rsid w:val="00133C08"/>
    <w:rsid w:val="001344F0"/>
    <w:rsid w:val="00137417"/>
    <w:rsid w:val="0013790B"/>
    <w:rsid w:val="00137A9C"/>
    <w:rsid w:val="0014296A"/>
    <w:rsid w:val="00142C40"/>
    <w:rsid w:val="0014343C"/>
    <w:rsid w:val="0014783D"/>
    <w:rsid w:val="001534EE"/>
    <w:rsid w:val="0016089F"/>
    <w:rsid w:val="00160FBD"/>
    <w:rsid w:val="001631A9"/>
    <w:rsid w:val="00163795"/>
    <w:rsid w:val="00164FA7"/>
    <w:rsid w:val="0016681D"/>
    <w:rsid w:val="00166C29"/>
    <w:rsid w:val="00167CF6"/>
    <w:rsid w:val="001729AE"/>
    <w:rsid w:val="001756B6"/>
    <w:rsid w:val="001759DC"/>
    <w:rsid w:val="001811CD"/>
    <w:rsid w:val="00192F9B"/>
    <w:rsid w:val="00193B31"/>
    <w:rsid w:val="00195D8F"/>
    <w:rsid w:val="00197022"/>
    <w:rsid w:val="00197F4F"/>
    <w:rsid w:val="001A10F8"/>
    <w:rsid w:val="001A6337"/>
    <w:rsid w:val="001A749B"/>
    <w:rsid w:val="001B013C"/>
    <w:rsid w:val="001B6807"/>
    <w:rsid w:val="001B72D2"/>
    <w:rsid w:val="001C19AC"/>
    <w:rsid w:val="001C28E8"/>
    <w:rsid w:val="001C2F9B"/>
    <w:rsid w:val="001C6ED2"/>
    <w:rsid w:val="001C7913"/>
    <w:rsid w:val="001D547F"/>
    <w:rsid w:val="001D609D"/>
    <w:rsid w:val="001D78FA"/>
    <w:rsid w:val="001E0D5D"/>
    <w:rsid w:val="001E73D1"/>
    <w:rsid w:val="001E7559"/>
    <w:rsid w:val="001F1F3B"/>
    <w:rsid w:val="00200554"/>
    <w:rsid w:val="00202D50"/>
    <w:rsid w:val="00203397"/>
    <w:rsid w:val="00203D6C"/>
    <w:rsid w:val="00205C54"/>
    <w:rsid w:val="0021110D"/>
    <w:rsid w:val="002140ED"/>
    <w:rsid w:val="00217254"/>
    <w:rsid w:val="0021782E"/>
    <w:rsid w:val="00224E98"/>
    <w:rsid w:val="00226354"/>
    <w:rsid w:val="00227922"/>
    <w:rsid w:val="00227AD1"/>
    <w:rsid w:val="00230361"/>
    <w:rsid w:val="0024166E"/>
    <w:rsid w:val="00242383"/>
    <w:rsid w:val="00243913"/>
    <w:rsid w:val="00243C7B"/>
    <w:rsid w:val="00247644"/>
    <w:rsid w:val="002535F9"/>
    <w:rsid w:val="00253C4A"/>
    <w:rsid w:val="002540A5"/>
    <w:rsid w:val="00254256"/>
    <w:rsid w:val="00256561"/>
    <w:rsid w:val="00257835"/>
    <w:rsid w:val="0026016F"/>
    <w:rsid w:val="00264F5F"/>
    <w:rsid w:val="00266003"/>
    <w:rsid w:val="00272452"/>
    <w:rsid w:val="0027631B"/>
    <w:rsid w:val="00280964"/>
    <w:rsid w:val="00294908"/>
    <w:rsid w:val="002A19BC"/>
    <w:rsid w:val="002A48B2"/>
    <w:rsid w:val="002B0F04"/>
    <w:rsid w:val="002B322C"/>
    <w:rsid w:val="002B5149"/>
    <w:rsid w:val="002B7723"/>
    <w:rsid w:val="002C2247"/>
    <w:rsid w:val="002C3FC3"/>
    <w:rsid w:val="002C51C0"/>
    <w:rsid w:val="002D1177"/>
    <w:rsid w:val="002D144F"/>
    <w:rsid w:val="002D1F24"/>
    <w:rsid w:val="002D297C"/>
    <w:rsid w:val="002D517E"/>
    <w:rsid w:val="002D62EA"/>
    <w:rsid w:val="002D6907"/>
    <w:rsid w:val="002E0ACA"/>
    <w:rsid w:val="002E36BA"/>
    <w:rsid w:val="002E3C4A"/>
    <w:rsid w:val="002F0C06"/>
    <w:rsid w:val="002F18DE"/>
    <w:rsid w:val="002F2139"/>
    <w:rsid w:val="002F2419"/>
    <w:rsid w:val="002F2D2C"/>
    <w:rsid w:val="002F4871"/>
    <w:rsid w:val="002F4C7C"/>
    <w:rsid w:val="002F5698"/>
    <w:rsid w:val="002F7BB9"/>
    <w:rsid w:val="00303930"/>
    <w:rsid w:val="00303C18"/>
    <w:rsid w:val="0030540B"/>
    <w:rsid w:val="00305D44"/>
    <w:rsid w:val="00315EBB"/>
    <w:rsid w:val="00317A8F"/>
    <w:rsid w:val="00320693"/>
    <w:rsid w:val="00320F07"/>
    <w:rsid w:val="00322EA2"/>
    <w:rsid w:val="00324F60"/>
    <w:rsid w:val="00330C74"/>
    <w:rsid w:val="00331DCE"/>
    <w:rsid w:val="00332D7B"/>
    <w:rsid w:val="00342E00"/>
    <w:rsid w:val="00351B9C"/>
    <w:rsid w:val="0035251A"/>
    <w:rsid w:val="00353ED0"/>
    <w:rsid w:val="00354E92"/>
    <w:rsid w:val="00360568"/>
    <w:rsid w:val="0036129D"/>
    <w:rsid w:val="003625C0"/>
    <w:rsid w:val="00362A8A"/>
    <w:rsid w:val="00365C27"/>
    <w:rsid w:val="003719EA"/>
    <w:rsid w:val="003750E3"/>
    <w:rsid w:val="00377F16"/>
    <w:rsid w:val="00386DF1"/>
    <w:rsid w:val="00387123"/>
    <w:rsid w:val="003920AA"/>
    <w:rsid w:val="003A0580"/>
    <w:rsid w:val="003A0665"/>
    <w:rsid w:val="003A073D"/>
    <w:rsid w:val="003A37AF"/>
    <w:rsid w:val="003A6866"/>
    <w:rsid w:val="003A686C"/>
    <w:rsid w:val="003B40AB"/>
    <w:rsid w:val="003B7BC2"/>
    <w:rsid w:val="003C11C4"/>
    <w:rsid w:val="003C7C55"/>
    <w:rsid w:val="003D0506"/>
    <w:rsid w:val="003D317D"/>
    <w:rsid w:val="003D50F1"/>
    <w:rsid w:val="003E0B77"/>
    <w:rsid w:val="003E1C2F"/>
    <w:rsid w:val="003E2737"/>
    <w:rsid w:val="003E6A33"/>
    <w:rsid w:val="003F4318"/>
    <w:rsid w:val="003F5205"/>
    <w:rsid w:val="003F5687"/>
    <w:rsid w:val="003F7AC2"/>
    <w:rsid w:val="00400318"/>
    <w:rsid w:val="00403488"/>
    <w:rsid w:val="00404616"/>
    <w:rsid w:val="004049A9"/>
    <w:rsid w:val="00406666"/>
    <w:rsid w:val="0041626D"/>
    <w:rsid w:val="004178A0"/>
    <w:rsid w:val="00417D80"/>
    <w:rsid w:val="00422233"/>
    <w:rsid w:val="00423FB5"/>
    <w:rsid w:val="00433526"/>
    <w:rsid w:val="00437D8A"/>
    <w:rsid w:val="00445522"/>
    <w:rsid w:val="004529B1"/>
    <w:rsid w:val="00452CB2"/>
    <w:rsid w:val="0045589F"/>
    <w:rsid w:val="004577DC"/>
    <w:rsid w:val="0046121A"/>
    <w:rsid w:val="00463F9E"/>
    <w:rsid w:val="00466417"/>
    <w:rsid w:val="00466B6C"/>
    <w:rsid w:val="004670F3"/>
    <w:rsid w:val="00477ECF"/>
    <w:rsid w:val="0048486D"/>
    <w:rsid w:val="00494F4D"/>
    <w:rsid w:val="00497A9D"/>
    <w:rsid w:val="004A0D4C"/>
    <w:rsid w:val="004A227B"/>
    <w:rsid w:val="004A2F66"/>
    <w:rsid w:val="004A6017"/>
    <w:rsid w:val="004B0621"/>
    <w:rsid w:val="004C10A4"/>
    <w:rsid w:val="004C3908"/>
    <w:rsid w:val="004C6F4D"/>
    <w:rsid w:val="004D375A"/>
    <w:rsid w:val="004D77A9"/>
    <w:rsid w:val="004E138C"/>
    <w:rsid w:val="004E60F4"/>
    <w:rsid w:val="004E6A30"/>
    <w:rsid w:val="004F1F57"/>
    <w:rsid w:val="004F5AFD"/>
    <w:rsid w:val="004F6A69"/>
    <w:rsid w:val="00502116"/>
    <w:rsid w:val="00503A7E"/>
    <w:rsid w:val="0050650D"/>
    <w:rsid w:val="00512BA8"/>
    <w:rsid w:val="00514902"/>
    <w:rsid w:val="00517C42"/>
    <w:rsid w:val="00524DC9"/>
    <w:rsid w:val="005316D2"/>
    <w:rsid w:val="00531E08"/>
    <w:rsid w:val="00532730"/>
    <w:rsid w:val="005349B2"/>
    <w:rsid w:val="00534DC8"/>
    <w:rsid w:val="00542997"/>
    <w:rsid w:val="005511A6"/>
    <w:rsid w:val="00551791"/>
    <w:rsid w:val="0055510F"/>
    <w:rsid w:val="005557E0"/>
    <w:rsid w:val="0055709C"/>
    <w:rsid w:val="00560457"/>
    <w:rsid w:val="00561C73"/>
    <w:rsid w:val="00570A96"/>
    <w:rsid w:val="005710E6"/>
    <w:rsid w:val="0057322F"/>
    <w:rsid w:val="00573898"/>
    <w:rsid w:val="00575A26"/>
    <w:rsid w:val="0057675F"/>
    <w:rsid w:val="00580E95"/>
    <w:rsid w:val="0058451E"/>
    <w:rsid w:val="00584E1D"/>
    <w:rsid w:val="00584FC4"/>
    <w:rsid w:val="00587D7B"/>
    <w:rsid w:val="00587E5D"/>
    <w:rsid w:val="005915E7"/>
    <w:rsid w:val="00592FD3"/>
    <w:rsid w:val="00593616"/>
    <w:rsid w:val="0059490B"/>
    <w:rsid w:val="005A6FE8"/>
    <w:rsid w:val="005B0B96"/>
    <w:rsid w:val="005B2A4A"/>
    <w:rsid w:val="005B5AF1"/>
    <w:rsid w:val="005B6002"/>
    <w:rsid w:val="005B6077"/>
    <w:rsid w:val="005B6E46"/>
    <w:rsid w:val="005B7BB3"/>
    <w:rsid w:val="005C1C97"/>
    <w:rsid w:val="005D0CCA"/>
    <w:rsid w:val="005D11CD"/>
    <w:rsid w:val="005D1514"/>
    <w:rsid w:val="005D19F6"/>
    <w:rsid w:val="005D2943"/>
    <w:rsid w:val="005D3399"/>
    <w:rsid w:val="005D54BF"/>
    <w:rsid w:val="005D7E61"/>
    <w:rsid w:val="005E6DF3"/>
    <w:rsid w:val="005E758C"/>
    <w:rsid w:val="005F1BE7"/>
    <w:rsid w:val="005F2A43"/>
    <w:rsid w:val="005F3B28"/>
    <w:rsid w:val="005F5FCF"/>
    <w:rsid w:val="005F7017"/>
    <w:rsid w:val="006028AC"/>
    <w:rsid w:val="00602ED4"/>
    <w:rsid w:val="00613212"/>
    <w:rsid w:val="00613C98"/>
    <w:rsid w:val="00617932"/>
    <w:rsid w:val="00621321"/>
    <w:rsid w:val="006256F3"/>
    <w:rsid w:val="00625E3C"/>
    <w:rsid w:val="00626F7A"/>
    <w:rsid w:val="006319A7"/>
    <w:rsid w:val="00640527"/>
    <w:rsid w:val="00643706"/>
    <w:rsid w:val="00647463"/>
    <w:rsid w:val="0065096C"/>
    <w:rsid w:val="006514C6"/>
    <w:rsid w:val="00657109"/>
    <w:rsid w:val="00657F6E"/>
    <w:rsid w:val="006603CE"/>
    <w:rsid w:val="0066082A"/>
    <w:rsid w:val="00661EE9"/>
    <w:rsid w:val="0066247F"/>
    <w:rsid w:val="00662C7F"/>
    <w:rsid w:val="00663429"/>
    <w:rsid w:val="00664351"/>
    <w:rsid w:val="00664F81"/>
    <w:rsid w:val="006659B7"/>
    <w:rsid w:val="00673C2C"/>
    <w:rsid w:val="006740D7"/>
    <w:rsid w:val="00676426"/>
    <w:rsid w:val="00683370"/>
    <w:rsid w:val="00683DE9"/>
    <w:rsid w:val="00690AEE"/>
    <w:rsid w:val="00695C95"/>
    <w:rsid w:val="0069799F"/>
    <w:rsid w:val="00697BBF"/>
    <w:rsid w:val="006A0D28"/>
    <w:rsid w:val="006A1A64"/>
    <w:rsid w:val="006A2838"/>
    <w:rsid w:val="006A2A33"/>
    <w:rsid w:val="006A3B28"/>
    <w:rsid w:val="006A4FD8"/>
    <w:rsid w:val="006B1D3D"/>
    <w:rsid w:val="006B5478"/>
    <w:rsid w:val="006B55C1"/>
    <w:rsid w:val="006B6C72"/>
    <w:rsid w:val="006B7D74"/>
    <w:rsid w:val="006C46C9"/>
    <w:rsid w:val="006C6DA9"/>
    <w:rsid w:val="006C7B87"/>
    <w:rsid w:val="006D1C3D"/>
    <w:rsid w:val="006D739C"/>
    <w:rsid w:val="006E073E"/>
    <w:rsid w:val="006F19EC"/>
    <w:rsid w:val="006F3696"/>
    <w:rsid w:val="006F3A99"/>
    <w:rsid w:val="006F440F"/>
    <w:rsid w:val="006F4BCA"/>
    <w:rsid w:val="006F7EF8"/>
    <w:rsid w:val="0070753A"/>
    <w:rsid w:val="00711F2C"/>
    <w:rsid w:val="00714B01"/>
    <w:rsid w:val="00715D0C"/>
    <w:rsid w:val="00717402"/>
    <w:rsid w:val="00727C31"/>
    <w:rsid w:val="00732914"/>
    <w:rsid w:val="00734FFA"/>
    <w:rsid w:val="007449EF"/>
    <w:rsid w:val="00744C6E"/>
    <w:rsid w:val="00746CD4"/>
    <w:rsid w:val="00747A9A"/>
    <w:rsid w:val="007563BC"/>
    <w:rsid w:val="007627CF"/>
    <w:rsid w:val="00763F45"/>
    <w:rsid w:val="00767DFD"/>
    <w:rsid w:val="00770BE7"/>
    <w:rsid w:val="00771896"/>
    <w:rsid w:val="007753D0"/>
    <w:rsid w:val="00775D3D"/>
    <w:rsid w:val="007775C7"/>
    <w:rsid w:val="00777BD5"/>
    <w:rsid w:val="0078262C"/>
    <w:rsid w:val="00782986"/>
    <w:rsid w:val="007876AA"/>
    <w:rsid w:val="00787AC5"/>
    <w:rsid w:val="00790639"/>
    <w:rsid w:val="00792038"/>
    <w:rsid w:val="00792419"/>
    <w:rsid w:val="007A5035"/>
    <w:rsid w:val="007A7F06"/>
    <w:rsid w:val="007B3300"/>
    <w:rsid w:val="007C1127"/>
    <w:rsid w:val="007C17A7"/>
    <w:rsid w:val="007C1A34"/>
    <w:rsid w:val="007C3A48"/>
    <w:rsid w:val="007C5EF9"/>
    <w:rsid w:val="007D35A7"/>
    <w:rsid w:val="007D3AAF"/>
    <w:rsid w:val="007D5827"/>
    <w:rsid w:val="007D677E"/>
    <w:rsid w:val="007E335C"/>
    <w:rsid w:val="007E4F06"/>
    <w:rsid w:val="007F0826"/>
    <w:rsid w:val="00801B6C"/>
    <w:rsid w:val="00803E85"/>
    <w:rsid w:val="00805E13"/>
    <w:rsid w:val="00810884"/>
    <w:rsid w:val="008113E5"/>
    <w:rsid w:val="00811904"/>
    <w:rsid w:val="008131FF"/>
    <w:rsid w:val="00814921"/>
    <w:rsid w:val="00815839"/>
    <w:rsid w:val="00817F06"/>
    <w:rsid w:val="0082212A"/>
    <w:rsid w:val="00822EAB"/>
    <w:rsid w:val="008243E4"/>
    <w:rsid w:val="00835554"/>
    <w:rsid w:val="00837951"/>
    <w:rsid w:val="00841B62"/>
    <w:rsid w:val="00844369"/>
    <w:rsid w:val="008445D4"/>
    <w:rsid w:val="00844B27"/>
    <w:rsid w:val="00846114"/>
    <w:rsid w:val="00847DCD"/>
    <w:rsid w:val="0085302F"/>
    <w:rsid w:val="00855C82"/>
    <w:rsid w:val="00862C5A"/>
    <w:rsid w:val="00864B0A"/>
    <w:rsid w:val="008656B0"/>
    <w:rsid w:val="00865D70"/>
    <w:rsid w:val="00867478"/>
    <w:rsid w:val="00870492"/>
    <w:rsid w:val="0087248C"/>
    <w:rsid w:val="008744B2"/>
    <w:rsid w:val="008755B0"/>
    <w:rsid w:val="00881E1C"/>
    <w:rsid w:val="00882A4C"/>
    <w:rsid w:val="00883D24"/>
    <w:rsid w:val="008842B9"/>
    <w:rsid w:val="0088440D"/>
    <w:rsid w:val="008844AE"/>
    <w:rsid w:val="00885CC7"/>
    <w:rsid w:val="00887FA8"/>
    <w:rsid w:val="008907F4"/>
    <w:rsid w:val="00890869"/>
    <w:rsid w:val="008908AE"/>
    <w:rsid w:val="008A6DAD"/>
    <w:rsid w:val="008A7402"/>
    <w:rsid w:val="008B06DF"/>
    <w:rsid w:val="008B1C08"/>
    <w:rsid w:val="008B4DD3"/>
    <w:rsid w:val="008B5BE6"/>
    <w:rsid w:val="008B79FF"/>
    <w:rsid w:val="008C1929"/>
    <w:rsid w:val="008D0191"/>
    <w:rsid w:val="008D3A98"/>
    <w:rsid w:val="008F02E0"/>
    <w:rsid w:val="008F07FF"/>
    <w:rsid w:val="008F09B7"/>
    <w:rsid w:val="008F0FAB"/>
    <w:rsid w:val="008F22BB"/>
    <w:rsid w:val="008F2C0C"/>
    <w:rsid w:val="008F6D55"/>
    <w:rsid w:val="008F7975"/>
    <w:rsid w:val="00902065"/>
    <w:rsid w:val="0090738A"/>
    <w:rsid w:val="00907727"/>
    <w:rsid w:val="0091029D"/>
    <w:rsid w:val="009107F5"/>
    <w:rsid w:val="0091176B"/>
    <w:rsid w:val="009123A5"/>
    <w:rsid w:val="00913DA1"/>
    <w:rsid w:val="009146C4"/>
    <w:rsid w:val="00916C3E"/>
    <w:rsid w:val="00921C40"/>
    <w:rsid w:val="0092216D"/>
    <w:rsid w:val="00922C0C"/>
    <w:rsid w:val="00926A9C"/>
    <w:rsid w:val="009274BB"/>
    <w:rsid w:val="00927BB9"/>
    <w:rsid w:val="00927D77"/>
    <w:rsid w:val="009319FE"/>
    <w:rsid w:val="00931A7C"/>
    <w:rsid w:val="009412FB"/>
    <w:rsid w:val="00943820"/>
    <w:rsid w:val="00943B34"/>
    <w:rsid w:val="00945D97"/>
    <w:rsid w:val="00946DF0"/>
    <w:rsid w:val="009478DE"/>
    <w:rsid w:val="00951478"/>
    <w:rsid w:val="00957CB1"/>
    <w:rsid w:val="00963060"/>
    <w:rsid w:val="0096515A"/>
    <w:rsid w:val="00967387"/>
    <w:rsid w:val="0097209E"/>
    <w:rsid w:val="00974F8E"/>
    <w:rsid w:val="009769C3"/>
    <w:rsid w:val="00976BEE"/>
    <w:rsid w:val="00980E10"/>
    <w:rsid w:val="0098456B"/>
    <w:rsid w:val="00985EEF"/>
    <w:rsid w:val="00990334"/>
    <w:rsid w:val="009910C7"/>
    <w:rsid w:val="00993F4E"/>
    <w:rsid w:val="009A15EE"/>
    <w:rsid w:val="009A27BF"/>
    <w:rsid w:val="009A740A"/>
    <w:rsid w:val="009B18B5"/>
    <w:rsid w:val="009B3D99"/>
    <w:rsid w:val="009B3FB4"/>
    <w:rsid w:val="009B5398"/>
    <w:rsid w:val="009B6330"/>
    <w:rsid w:val="009B6AC0"/>
    <w:rsid w:val="009B7DCB"/>
    <w:rsid w:val="009C16E8"/>
    <w:rsid w:val="009D06A2"/>
    <w:rsid w:val="009D18E7"/>
    <w:rsid w:val="009D5A40"/>
    <w:rsid w:val="009D6650"/>
    <w:rsid w:val="009D78FD"/>
    <w:rsid w:val="009E0807"/>
    <w:rsid w:val="009E16BD"/>
    <w:rsid w:val="009E2284"/>
    <w:rsid w:val="009F4834"/>
    <w:rsid w:val="009F62FC"/>
    <w:rsid w:val="009F6B3E"/>
    <w:rsid w:val="009F790A"/>
    <w:rsid w:val="00A0171F"/>
    <w:rsid w:val="00A06D28"/>
    <w:rsid w:val="00A06EFD"/>
    <w:rsid w:val="00A1443D"/>
    <w:rsid w:val="00A16C0D"/>
    <w:rsid w:val="00A20CBF"/>
    <w:rsid w:val="00A20E21"/>
    <w:rsid w:val="00A21304"/>
    <w:rsid w:val="00A21EA5"/>
    <w:rsid w:val="00A23161"/>
    <w:rsid w:val="00A233B3"/>
    <w:rsid w:val="00A24562"/>
    <w:rsid w:val="00A25BF4"/>
    <w:rsid w:val="00A25C63"/>
    <w:rsid w:val="00A264AC"/>
    <w:rsid w:val="00A30EF2"/>
    <w:rsid w:val="00A3378F"/>
    <w:rsid w:val="00A364AD"/>
    <w:rsid w:val="00A40A54"/>
    <w:rsid w:val="00A4243B"/>
    <w:rsid w:val="00A462F1"/>
    <w:rsid w:val="00A479CD"/>
    <w:rsid w:val="00A523A8"/>
    <w:rsid w:val="00A52FCF"/>
    <w:rsid w:val="00A5502F"/>
    <w:rsid w:val="00A672D1"/>
    <w:rsid w:val="00A8360B"/>
    <w:rsid w:val="00A87991"/>
    <w:rsid w:val="00A90892"/>
    <w:rsid w:val="00A93EE2"/>
    <w:rsid w:val="00A95F00"/>
    <w:rsid w:val="00A9638E"/>
    <w:rsid w:val="00AA1291"/>
    <w:rsid w:val="00AB04C8"/>
    <w:rsid w:val="00AB10CD"/>
    <w:rsid w:val="00AB1910"/>
    <w:rsid w:val="00AB2F62"/>
    <w:rsid w:val="00AB6A3F"/>
    <w:rsid w:val="00AC29F1"/>
    <w:rsid w:val="00AC3BAF"/>
    <w:rsid w:val="00AC4D68"/>
    <w:rsid w:val="00AD6B14"/>
    <w:rsid w:val="00AD719E"/>
    <w:rsid w:val="00AD7840"/>
    <w:rsid w:val="00AE1E1C"/>
    <w:rsid w:val="00AE33EC"/>
    <w:rsid w:val="00AE4171"/>
    <w:rsid w:val="00AE4E69"/>
    <w:rsid w:val="00AE504D"/>
    <w:rsid w:val="00AF2AD3"/>
    <w:rsid w:val="00AF519E"/>
    <w:rsid w:val="00AF59A2"/>
    <w:rsid w:val="00AF6700"/>
    <w:rsid w:val="00B01D29"/>
    <w:rsid w:val="00B05633"/>
    <w:rsid w:val="00B07431"/>
    <w:rsid w:val="00B10D2B"/>
    <w:rsid w:val="00B1392C"/>
    <w:rsid w:val="00B2363A"/>
    <w:rsid w:val="00B23E28"/>
    <w:rsid w:val="00B264BC"/>
    <w:rsid w:val="00B26ADB"/>
    <w:rsid w:val="00B302C4"/>
    <w:rsid w:val="00B30C27"/>
    <w:rsid w:val="00B3116A"/>
    <w:rsid w:val="00B333AB"/>
    <w:rsid w:val="00B353E2"/>
    <w:rsid w:val="00B42623"/>
    <w:rsid w:val="00B43D7F"/>
    <w:rsid w:val="00B45304"/>
    <w:rsid w:val="00B603AB"/>
    <w:rsid w:val="00B61A98"/>
    <w:rsid w:val="00B6347E"/>
    <w:rsid w:val="00B6480B"/>
    <w:rsid w:val="00B64BDE"/>
    <w:rsid w:val="00B650B6"/>
    <w:rsid w:val="00B670B5"/>
    <w:rsid w:val="00B67E0E"/>
    <w:rsid w:val="00B70F01"/>
    <w:rsid w:val="00B72C11"/>
    <w:rsid w:val="00B73736"/>
    <w:rsid w:val="00B754F4"/>
    <w:rsid w:val="00B81D1E"/>
    <w:rsid w:val="00B8321B"/>
    <w:rsid w:val="00B8630A"/>
    <w:rsid w:val="00B943EF"/>
    <w:rsid w:val="00B97974"/>
    <w:rsid w:val="00B97C10"/>
    <w:rsid w:val="00BA0AA6"/>
    <w:rsid w:val="00BA2865"/>
    <w:rsid w:val="00BA41E3"/>
    <w:rsid w:val="00BA6968"/>
    <w:rsid w:val="00BA6ABB"/>
    <w:rsid w:val="00BA7F23"/>
    <w:rsid w:val="00BB19C6"/>
    <w:rsid w:val="00BB686D"/>
    <w:rsid w:val="00BB79A4"/>
    <w:rsid w:val="00BC35A8"/>
    <w:rsid w:val="00BC40B0"/>
    <w:rsid w:val="00BC602D"/>
    <w:rsid w:val="00BC636D"/>
    <w:rsid w:val="00BC6FC1"/>
    <w:rsid w:val="00BD16C2"/>
    <w:rsid w:val="00BD66EC"/>
    <w:rsid w:val="00BD7195"/>
    <w:rsid w:val="00BE04C7"/>
    <w:rsid w:val="00BE0BA4"/>
    <w:rsid w:val="00BE2AA1"/>
    <w:rsid w:val="00BE39E6"/>
    <w:rsid w:val="00BE6900"/>
    <w:rsid w:val="00BE7DE9"/>
    <w:rsid w:val="00BF50E0"/>
    <w:rsid w:val="00BF6B54"/>
    <w:rsid w:val="00BF6F56"/>
    <w:rsid w:val="00C02B68"/>
    <w:rsid w:val="00C03810"/>
    <w:rsid w:val="00C046B7"/>
    <w:rsid w:val="00C121B5"/>
    <w:rsid w:val="00C23D17"/>
    <w:rsid w:val="00C2679D"/>
    <w:rsid w:val="00C27327"/>
    <w:rsid w:val="00C32322"/>
    <w:rsid w:val="00C356BD"/>
    <w:rsid w:val="00C3586D"/>
    <w:rsid w:val="00C41225"/>
    <w:rsid w:val="00C46C21"/>
    <w:rsid w:val="00C47D8B"/>
    <w:rsid w:val="00C60066"/>
    <w:rsid w:val="00C657B2"/>
    <w:rsid w:val="00C72FF6"/>
    <w:rsid w:val="00C81883"/>
    <w:rsid w:val="00C840DC"/>
    <w:rsid w:val="00C85271"/>
    <w:rsid w:val="00C91FDF"/>
    <w:rsid w:val="00C92602"/>
    <w:rsid w:val="00C963C3"/>
    <w:rsid w:val="00C96A7B"/>
    <w:rsid w:val="00CA274A"/>
    <w:rsid w:val="00CA3F16"/>
    <w:rsid w:val="00CB269D"/>
    <w:rsid w:val="00CB2EB8"/>
    <w:rsid w:val="00CB7A9A"/>
    <w:rsid w:val="00CC1367"/>
    <w:rsid w:val="00CC5B87"/>
    <w:rsid w:val="00CC7CA2"/>
    <w:rsid w:val="00CD3A56"/>
    <w:rsid w:val="00CE0728"/>
    <w:rsid w:val="00CE35CE"/>
    <w:rsid w:val="00CF06EA"/>
    <w:rsid w:val="00CF4111"/>
    <w:rsid w:val="00CF78BC"/>
    <w:rsid w:val="00CF7B5B"/>
    <w:rsid w:val="00D04212"/>
    <w:rsid w:val="00D05B69"/>
    <w:rsid w:val="00D10FAC"/>
    <w:rsid w:val="00D12068"/>
    <w:rsid w:val="00D15ED3"/>
    <w:rsid w:val="00D23A7A"/>
    <w:rsid w:val="00D243AF"/>
    <w:rsid w:val="00D26552"/>
    <w:rsid w:val="00D31EED"/>
    <w:rsid w:val="00D35420"/>
    <w:rsid w:val="00D4144F"/>
    <w:rsid w:val="00D43144"/>
    <w:rsid w:val="00D43596"/>
    <w:rsid w:val="00D51844"/>
    <w:rsid w:val="00D52EEC"/>
    <w:rsid w:val="00D5475F"/>
    <w:rsid w:val="00D5542B"/>
    <w:rsid w:val="00D55BC1"/>
    <w:rsid w:val="00D56626"/>
    <w:rsid w:val="00D6186A"/>
    <w:rsid w:val="00D70CB3"/>
    <w:rsid w:val="00D752C2"/>
    <w:rsid w:val="00D7621D"/>
    <w:rsid w:val="00D77799"/>
    <w:rsid w:val="00D80258"/>
    <w:rsid w:val="00D871EE"/>
    <w:rsid w:val="00D90BB5"/>
    <w:rsid w:val="00D947DC"/>
    <w:rsid w:val="00D9485E"/>
    <w:rsid w:val="00DA1ADA"/>
    <w:rsid w:val="00DA2812"/>
    <w:rsid w:val="00DA2FF3"/>
    <w:rsid w:val="00DA530D"/>
    <w:rsid w:val="00DA6A9F"/>
    <w:rsid w:val="00DA7231"/>
    <w:rsid w:val="00DA7DD9"/>
    <w:rsid w:val="00DB2529"/>
    <w:rsid w:val="00DB61AC"/>
    <w:rsid w:val="00DC6C8D"/>
    <w:rsid w:val="00DD0262"/>
    <w:rsid w:val="00DD158E"/>
    <w:rsid w:val="00DD1590"/>
    <w:rsid w:val="00DD3A85"/>
    <w:rsid w:val="00DD6437"/>
    <w:rsid w:val="00DD74A1"/>
    <w:rsid w:val="00DE17B3"/>
    <w:rsid w:val="00DE196E"/>
    <w:rsid w:val="00DF1B82"/>
    <w:rsid w:val="00DF632C"/>
    <w:rsid w:val="00DF6403"/>
    <w:rsid w:val="00DF6FA2"/>
    <w:rsid w:val="00E014C5"/>
    <w:rsid w:val="00E05264"/>
    <w:rsid w:val="00E06789"/>
    <w:rsid w:val="00E101F3"/>
    <w:rsid w:val="00E11CA3"/>
    <w:rsid w:val="00E134BB"/>
    <w:rsid w:val="00E14421"/>
    <w:rsid w:val="00E20D25"/>
    <w:rsid w:val="00E22B32"/>
    <w:rsid w:val="00E24FD3"/>
    <w:rsid w:val="00E27A34"/>
    <w:rsid w:val="00E335B9"/>
    <w:rsid w:val="00E3676A"/>
    <w:rsid w:val="00E36B1A"/>
    <w:rsid w:val="00E41516"/>
    <w:rsid w:val="00E44518"/>
    <w:rsid w:val="00E44CE6"/>
    <w:rsid w:val="00E471D8"/>
    <w:rsid w:val="00E503EA"/>
    <w:rsid w:val="00E50856"/>
    <w:rsid w:val="00E5258C"/>
    <w:rsid w:val="00E54307"/>
    <w:rsid w:val="00E60C9B"/>
    <w:rsid w:val="00E703B9"/>
    <w:rsid w:val="00E7569C"/>
    <w:rsid w:val="00E85B53"/>
    <w:rsid w:val="00E869F9"/>
    <w:rsid w:val="00E904AE"/>
    <w:rsid w:val="00E90BA1"/>
    <w:rsid w:val="00E92231"/>
    <w:rsid w:val="00E93680"/>
    <w:rsid w:val="00E97312"/>
    <w:rsid w:val="00EA0FF0"/>
    <w:rsid w:val="00EA1598"/>
    <w:rsid w:val="00EA1649"/>
    <w:rsid w:val="00EA79A9"/>
    <w:rsid w:val="00EA7EDF"/>
    <w:rsid w:val="00EB6810"/>
    <w:rsid w:val="00EB7811"/>
    <w:rsid w:val="00EB7DAD"/>
    <w:rsid w:val="00EC0934"/>
    <w:rsid w:val="00ED1A8B"/>
    <w:rsid w:val="00ED442A"/>
    <w:rsid w:val="00ED5D9D"/>
    <w:rsid w:val="00EE40DE"/>
    <w:rsid w:val="00EE4BB0"/>
    <w:rsid w:val="00EE7545"/>
    <w:rsid w:val="00EF0B14"/>
    <w:rsid w:val="00EF6A30"/>
    <w:rsid w:val="00EF761E"/>
    <w:rsid w:val="00F01668"/>
    <w:rsid w:val="00F06CE8"/>
    <w:rsid w:val="00F104B7"/>
    <w:rsid w:val="00F108DD"/>
    <w:rsid w:val="00F12F5A"/>
    <w:rsid w:val="00F14687"/>
    <w:rsid w:val="00F14E2B"/>
    <w:rsid w:val="00F21EF0"/>
    <w:rsid w:val="00F2605E"/>
    <w:rsid w:val="00F27D98"/>
    <w:rsid w:val="00F42A51"/>
    <w:rsid w:val="00F51176"/>
    <w:rsid w:val="00F5199D"/>
    <w:rsid w:val="00F51D3E"/>
    <w:rsid w:val="00F55054"/>
    <w:rsid w:val="00F56209"/>
    <w:rsid w:val="00F571D6"/>
    <w:rsid w:val="00F57E6D"/>
    <w:rsid w:val="00F63B44"/>
    <w:rsid w:val="00F65911"/>
    <w:rsid w:val="00F660FF"/>
    <w:rsid w:val="00F677DD"/>
    <w:rsid w:val="00F67A41"/>
    <w:rsid w:val="00F71AE0"/>
    <w:rsid w:val="00F72E25"/>
    <w:rsid w:val="00F73756"/>
    <w:rsid w:val="00F7538A"/>
    <w:rsid w:val="00F82696"/>
    <w:rsid w:val="00F83067"/>
    <w:rsid w:val="00F83CAB"/>
    <w:rsid w:val="00F845B4"/>
    <w:rsid w:val="00F8461E"/>
    <w:rsid w:val="00F86E79"/>
    <w:rsid w:val="00F87C3F"/>
    <w:rsid w:val="00F87D0C"/>
    <w:rsid w:val="00F90C62"/>
    <w:rsid w:val="00F91FCF"/>
    <w:rsid w:val="00F926AF"/>
    <w:rsid w:val="00F96DD1"/>
    <w:rsid w:val="00FA343D"/>
    <w:rsid w:val="00FA40B1"/>
    <w:rsid w:val="00FA43C2"/>
    <w:rsid w:val="00FA7C58"/>
    <w:rsid w:val="00FB0FD0"/>
    <w:rsid w:val="00FB1981"/>
    <w:rsid w:val="00FB3926"/>
    <w:rsid w:val="00FB4157"/>
    <w:rsid w:val="00FB54E9"/>
    <w:rsid w:val="00FC1802"/>
    <w:rsid w:val="00FC2365"/>
    <w:rsid w:val="00FE0996"/>
    <w:rsid w:val="00FE0EDF"/>
    <w:rsid w:val="00FE3460"/>
    <w:rsid w:val="00FF39E4"/>
    <w:rsid w:val="00FF6ED4"/>
    <w:rsid w:val="00FF7179"/>
    <w:rsid w:val="00FF7370"/>
    <w:rsid w:val="04F6176D"/>
    <w:rsid w:val="080D26D1"/>
    <w:rsid w:val="0839E2ED"/>
    <w:rsid w:val="0997ED31"/>
    <w:rsid w:val="0A555502"/>
    <w:rsid w:val="0AA94469"/>
    <w:rsid w:val="0AAD1E7C"/>
    <w:rsid w:val="0B4B959D"/>
    <w:rsid w:val="0F494971"/>
    <w:rsid w:val="118819E2"/>
    <w:rsid w:val="12CC1902"/>
    <w:rsid w:val="1627BB20"/>
    <w:rsid w:val="165B5D33"/>
    <w:rsid w:val="183E9FE6"/>
    <w:rsid w:val="19E49C69"/>
    <w:rsid w:val="1AF9944C"/>
    <w:rsid w:val="1B31F9FD"/>
    <w:rsid w:val="1C6108CA"/>
    <w:rsid w:val="1C86ABB6"/>
    <w:rsid w:val="1DB0FA23"/>
    <w:rsid w:val="1FD2463D"/>
    <w:rsid w:val="20127B4D"/>
    <w:rsid w:val="20DB0889"/>
    <w:rsid w:val="22176F45"/>
    <w:rsid w:val="22963A4A"/>
    <w:rsid w:val="2395FDC7"/>
    <w:rsid w:val="2594D2FF"/>
    <w:rsid w:val="26295DE1"/>
    <w:rsid w:val="269ECCC0"/>
    <w:rsid w:val="27AA522A"/>
    <w:rsid w:val="2A7CC68B"/>
    <w:rsid w:val="2AD9C23A"/>
    <w:rsid w:val="2AF1FE76"/>
    <w:rsid w:val="2EFCFF77"/>
    <w:rsid w:val="314D44CD"/>
    <w:rsid w:val="328A9498"/>
    <w:rsid w:val="33AED5D5"/>
    <w:rsid w:val="3434E6C1"/>
    <w:rsid w:val="36965B47"/>
    <w:rsid w:val="37ECBF3D"/>
    <w:rsid w:val="38897701"/>
    <w:rsid w:val="3C447A06"/>
    <w:rsid w:val="40EB4C2F"/>
    <w:rsid w:val="417B4227"/>
    <w:rsid w:val="43A4D69A"/>
    <w:rsid w:val="4713E6E3"/>
    <w:rsid w:val="47286291"/>
    <w:rsid w:val="4868C51A"/>
    <w:rsid w:val="4AEBE11C"/>
    <w:rsid w:val="4D9603CC"/>
    <w:rsid w:val="511083DE"/>
    <w:rsid w:val="516A8CA5"/>
    <w:rsid w:val="519937F1"/>
    <w:rsid w:val="53480B50"/>
    <w:rsid w:val="536B5003"/>
    <w:rsid w:val="53D692C4"/>
    <w:rsid w:val="55680EB8"/>
    <w:rsid w:val="55EE2F19"/>
    <w:rsid w:val="56B9613B"/>
    <w:rsid w:val="57568F63"/>
    <w:rsid w:val="5AC01AF6"/>
    <w:rsid w:val="5D498972"/>
    <w:rsid w:val="5D8B664A"/>
    <w:rsid w:val="5E712777"/>
    <w:rsid w:val="67287F26"/>
    <w:rsid w:val="677D944D"/>
    <w:rsid w:val="680360E0"/>
    <w:rsid w:val="69D9D713"/>
    <w:rsid w:val="6AD3990E"/>
    <w:rsid w:val="6D9C087B"/>
    <w:rsid w:val="6F8A97A2"/>
    <w:rsid w:val="70DE4D3C"/>
    <w:rsid w:val="73D582AD"/>
    <w:rsid w:val="745B7588"/>
    <w:rsid w:val="746F6DA4"/>
    <w:rsid w:val="7502FA8F"/>
    <w:rsid w:val="752BD96E"/>
    <w:rsid w:val="758939FD"/>
    <w:rsid w:val="7708E1E7"/>
    <w:rsid w:val="7C884834"/>
    <w:rsid w:val="7CA233A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46F79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5">
    <w:lsdException w:name="Normal" w:uiPriority="1"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style>
  <w:style w:type="paragraph" w:styleId="Heading1">
    <w:name w:val="heading 1"/>
    <w:basedOn w:val="Normal"/>
    <w:uiPriority w:val="1"/>
    <w:qFormat/>
    <w:pPr>
      <w:ind w:left="116"/>
      <w:outlineLvl w:val="0"/>
    </w:pPr>
    <w:rPr>
      <w:rFonts w:ascii="Times New Roman" w:eastAsia="Times New Roman" w:hAnsi="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left="1736" w:hanging="360"/>
    </w:pPr>
    <w:rPr>
      <w:rFonts w:ascii="Times New Roman" w:eastAsia="Times New Roman" w:hAnsi="Times New Roman"/>
      <w:sz w:val="24"/>
      <w:szCs w:val="24"/>
    </w:rPr>
  </w:style>
  <w:style w:type="paragraph" w:styleId="ListParagraph">
    <w:name w:val="List Paragraph"/>
    <w:basedOn w:val="Normal"/>
    <w:uiPriority w:val="34"/>
    <w:qFormat/>
  </w:style>
  <w:style w:type="paragraph" w:customStyle="1" w:styleId="TableParagraph">
    <w:name w:val="Table Paragraph"/>
    <w:basedOn w:val="Normal"/>
    <w:uiPriority w:val="1"/>
    <w:qFormat/>
  </w:style>
  <w:style w:type="paragraph" w:customStyle="1" w:styleId="Default">
    <w:name w:val="Default"/>
    <w:rsid w:val="006C46C9"/>
    <w:pPr>
      <w:widowControl/>
      <w:autoSpaceDE w:val="0"/>
      <w:autoSpaceDN w:val="0"/>
      <w:adjustRightInd w:val="0"/>
    </w:pPr>
    <w:rPr>
      <w:rFonts w:ascii="Times New Roman" w:eastAsia="Times New Roman" w:hAnsi="Times New Roman" w:cs="Times New Roman"/>
      <w:color w:val="000000"/>
      <w:sz w:val="24"/>
      <w:szCs w:val="24"/>
    </w:rPr>
  </w:style>
  <w:style w:type="paragraph" w:styleId="Header">
    <w:name w:val="header"/>
    <w:basedOn w:val="Normal"/>
    <w:link w:val="HeaderChar"/>
    <w:uiPriority w:val="99"/>
    <w:unhideWhenUsed/>
    <w:rsid w:val="00E904AE"/>
    <w:pPr>
      <w:tabs>
        <w:tab w:val="center" w:pos="4680"/>
        <w:tab w:val="right" w:pos="9360"/>
      </w:tabs>
    </w:pPr>
  </w:style>
  <w:style w:type="character" w:customStyle="1" w:styleId="HeaderChar">
    <w:name w:val="Header Char"/>
    <w:basedOn w:val="DefaultParagraphFont"/>
    <w:link w:val="Header"/>
    <w:uiPriority w:val="99"/>
    <w:rsid w:val="00E904AE"/>
  </w:style>
  <w:style w:type="paragraph" w:styleId="Footer">
    <w:name w:val="footer"/>
    <w:basedOn w:val="Normal"/>
    <w:link w:val="FooterChar"/>
    <w:uiPriority w:val="99"/>
    <w:unhideWhenUsed/>
    <w:rsid w:val="00E904AE"/>
    <w:pPr>
      <w:tabs>
        <w:tab w:val="center" w:pos="4680"/>
        <w:tab w:val="right" w:pos="9360"/>
      </w:tabs>
    </w:pPr>
  </w:style>
  <w:style w:type="character" w:customStyle="1" w:styleId="FooterChar">
    <w:name w:val="Footer Char"/>
    <w:basedOn w:val="DefaultParagraphFont"/>
    <w:link w:val="Footer"/>
    <w:uiPriority w:val="99"/>
    <w:rsid w:val="00E904AE"/>
  </w:style>
  <w:style w:type="table" w:styleId="TableGrid">
    <w:name w:val="Table Grid"/>
    <w:basedOn w:val="TableNormal"/>
    <w:uiPriority w:val="59"/>
    <w:rsid w:val="002F48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70CB3"/>
    <w:rPr>
      <w:color w:val="0000FF" w:themeColor="hyperlink"/>
      <w:u w:val="single"/>
    </w:rPr>
  </w:style>
  <w:style w:type="character" w:styleId="Mention">
    <w:name w:val="Mention"/>
    <w:basedOn w:val="DefaultParagraphFont"/>
    <w:uiPriority w:val="99"/>
    <w:semiHidden/>
    <w:unhideWhenUsed/>
    <w:rsid w:val="00D70CB3"/>
    <w:rPr>
      <w:color w:val="2B579A"/>
      <w:shd w:val="clear" w:color="auto" w:fill="E6E6E6"/>
    </w:rPr>
  </w:style>
  <w:style w:type="character" w:styleId="CommentReference">
    <w:name w:val="annotation reference"/>
    <w:basedOn w:val="DefaultParagraphFont"/>
    <w:uiPriority w:val="99"/>
    <w:semiHidden/>
    <w:unhideWhenUsed/>
    <w:rsid w:val="003D317D"/>
    <w:rPr>
      <w:sz w:val="16"/>
      <w:szCs w:val="16"/>
    </w:rPr>
  </w:style>
  <w:style w:type="paragraph" w:styleId="CommentText">
    <w:name w:val="annotation text"/>
    <w:basedOn w:val="Normal"/>
    <w:link w:val="CommentTextChar"/>
    <w:uiPriority w:val="99"/>
    <w:semiHidden/>
    <w:unhideWhenUsed/>
    <w:rsid w:val="003D317D"/>
    <w:rPr>
      <w:sz w:val="20"/>
      <w:szCs w:val="20"/>
    </w:rPr>
  </w:style>
  <w:style w:type="character" w:customStyle="1" w:styleId="CommentTextChar">
    <w:name w:val="Comment Text Char"/>
    <w:basedOn w:val="DefaultParagraphFont"/>
    <w:link w:val="CommentText"/>
    <w:uiPriority w:val="99"/>
    <w:semiHidden/>
    <w:rsid w:val="003D317D"/>
    <w:rPr>
      <w:sz w:val="20"/>
      <w:szCs w:val="20"/>
    </w:rPr>
  </w:style>
  <w:style w:type="paragraph" w:styleId="CommentSubject">
    <w:name w:val="annotation subject"/>
    <w:basedOn w:val="CommentText"/>
    <w:next w:val="CommentText"/>
    <w:link w:val="CommentSubjectChar"/>
    <w:uiPriority w:val="99"/>
    <w:semiHidden/>
    <w:unhideWhenUsed/>
    <w:rsid w:val="003D317D"/>
    <w:rPr>
      <w:b/>
      <w:bCs/>
    </w:rPr>
  </w:style>
  <w:style w:type="character" w:customStyle="1" w:styleId="CommentSubjectChar">
    <w:name w:val="Comment Subject Char"/>
    <w:basedOn w:val="CommentTextChar"/>
    <w:link w:val="CommentSubject"/>
    <w:uiPriority w:val="99"/>
    <w:semiHidden/>
    <w:rsid w:val="003D317D"/>
    <w:rPr>
      <w:b/>
      <w:bCs/>
      <w:sz w:val="20"/>
      <w:szCs w:val="20"/>
    </w:rPr>
  </w:style>
  <w:style w:type="paragraph" w:styleId="BalloonText">
    <w:name w:val="Balloon Text"/>
    <w:basedOn w:val="Normal"/>
    <w:link w:val="BalloonTextChar"/>
    <w:uiPriority w:val="99"/>
    <w:semiHidden/>
    <w:unhideWhenUsed/>
    <w:rsid w:val="003D317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D317D"/>
    <w:rPr>
      <w:rFonts w:ascii="Segoe UI" w:hAnsi="Segoe UI" w:cs="Segoe UI"/>
      <w:sz w:val="18"/>
      <w:szCs w:val="18"/>
    </w:rPr>
  </w:style>
  <w:style w:type="paragraph" w:styleId="FootnoteText">
    <w:name w:val="footnote text"/>
    <w:basedOn w:val="Normal"/>
    <w:link w:val="FootnoteTextChar"/>
    <w:uiPriority w:val="99"/>
    <w:semiHidden/>
    <w:unhideWhenUsed/>
    <w:rsid w:val="00B1392C"/>
    <w:rPr>
      <w:sz w:val="20"/>
      <w:szCs w:val="20"/>
    </w:rPr>
  </w:style>
  <w:style w:type="character" w:customStyle="1" w:styleId="FootnoteTextChar">
    <w:name w:val="Footnote Text Char"/>
    <w:basedOn w:val="DefaultParagraphFont"/>
    <w:link w:val="FootnoteText"/>
    <w:uiPriority w:val="99"/>
    <w:semiHidden/>
    <w:rsid w:val="00B1392C"/>
    <w:rPr>
      <w:sz w:val="20"/>
      <w:szCs w:val="20"/>
    </w:rPr>
  </w:style>
  <w:style w:type="character" w:styleId="FootnoteReference">
    <w:name w:val="footnote reference"/>
    <w:basedOn w:val="DefaultParagraphFont"/>
    <w:uiPriority w:val="99"/>
    <w:semiHidden/>
    <w:unhideWhenUsed/>
    <w:rsid w:val="00B1392C"/>
    <w:rPr>
      <w:vertAlign w:val="superscript"/>
    </w:rPr>
  </w:style>
  <w:style w:type="paragraph" w:styleId="Revision">
    <w:name w:val="Revision"/>
    <w:hidden/>
    <w:uiPriority w:val="99"/>
    <w:semiHidden/>
    <w:rsid w:val="0014783D"/>
    <w:pPr>
      <w:widowControl/>
    </w:pPr>
  </w:style>
  <w:style w:type="character" w:styleId="UnresolvedMention">
    <w:name w:val="Unresolved Mention"/>
    <w:basedOn w:val="DefaultParagraphFont"/>
    <w:uiPriority w:val="99"/>
    <w:semiHidden/>
    <w:unhideWhenUsed/>
    <w:rsid w:val="00090093"/>
    <w:rPr>
      <w:color w:val="808080"/>
      <w:shd w:val="clear" w:color="auto" w:fill="E6E6E6"/>
    </w:rPr>
  </w:style>
  <w:style w:type="character" w:customStyle="1" w:styleId="eop">
    <w:name w:val="eop"/>
    <w:basedOn w:val="DefaultParagraphFont"/>
    <w:rsid w:val="00477ECF"/>
  </w:style>
  <w:style w:type="paragraph" w:customStyle="1" w:styleId="xmsonormal">
    <w:name w:val="x_msonormal"/>
    <w:basedOn w:val="Normal"/>
    <w:rsid w:val="0024166E"/>
    <w:pPr>
      <w:widowControl/>
    </w:pPr>
    <w:rPr>
      <w:rFonts w:ascii="Calibri" w:hAnsi="Calibri" w:cs="Calibri"/>
    </w:rPr>
  </w:style>
  <w:style w:type="character" w:styleId="FollowedHyperlink">
    <w:name w:val="FollowedHyperlink"/>
    <w:basedOn w:val="DefaultParagraphFont"/>
    <w:uiPriority w:val="99"/>
    <w:semiHidden/>
    <w:unhideWhenUsed/>
    <w:rsid w:val="0066247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6867208">
      <w:bodyDiv w:val="1"/>
      <w:marLeft w:val="0"/>
      <w:marRight w:val="0"/>
      <w:marTop w:val="0"/>
      <w:marBottom w:val="0"/>
      <w:divBdr>
        <w:top w:val="none" w:sz="0" w:space="0" w:color="auto"/>
        <w:left w:val="none" w:sz="0" w:space="0" w:color="auto"/>
        <w:bottom w:val="none" w:sz="0" w:space="0" w:color="auto"/>
        <w:right w:val="none" w:sz="0" w:space="0" w:color="auto"/>
      </w:divBdr>
    </w:div>
    <w:div w:id="324170745">
      <w:bodyDiv w:val="1"/>
      <w:marLeft w:val="0"/>
      <w:marRight w:val="0"/>
      <w:marTop w:val="0"/>
      <w:marBottom w:val="0"/>
      <w:divBdr>
        <w:top w:val="none" w:sz="0" w:space="0" w:color="auto"/>
        <w:left w:val="none" w:sz="0" w:space="0" w:color="auto"/>
        <w:bottom w:val="none" w:sz="0" w:space="0" w:color="auto"/>
        <w:right w:val="none" w:sz="0" w:space="0" w:color="auto"/>
      </w:divBdr>
    </w:div>
    <w:div w:id="332416892">
      <w:bodyDiv w:val="1"/>
      <w:marLeft w:val="0"/>
      <w:marRight w:val="0"/>
      <w:marTop w:val="0"/>
      <w:marBottom w:val="0"/>
      <w:divBdr>
        <w:top w:val="none" w:sz="0" w:space="0" w:color="auto"/>
        <w:left w:val="none" w:sz="0" w:space="0" w:color="auto"/>
        <w:bottom w:val="none" w:sz="0" w:space="0" w:color="auto"/>
        <w:right w:val="none" w:sz="0" w:space="0" w:color="auto"/>
      </w:divBdr>
    </w:div>
    <w:div w:id="510293559">
      <w:bodyDiv w:val="1"/>
      <w:marLeft w:val="0"/>
      <w:marRight w:val="0"/>
      <w:marTop w:val="0"/>
      <w:marBottom w:val="0"/>
      <w:divBdr>
        <w:top w:val="none" w:sz="0" w:space="0" w:color="auto"/>
        <w:left w:val="none" w:sz="0" w:space="0" w:color="auto"/>
        <w:bottom w:val="none" w:sz="0" w:space="0" w:color="auto"/>
        <w:right w:val="none" w:sz="0" w:space="0" w:color="auto"/>
      </w:divBdr>
    </w:div>
    <w:div w:id="580911572">
      <w:bodyDiv w:val="1"/>
      <w:marLeft w:val="0"/>
      <w:marRight w:val="0"/>
      <w:marTop w:val="0"/>
      <w:marBottom w:val="0"/>
      <w:divBdr>
        <w:top w:val="none" w:sz="0" w:space="0" w:color="auto"/>
        <w:left w:val="none" w:sz="0" w:space="0" w:color="auto"/>
        <w:bottom w:val="none" w:sz="0" w:space="0" w:color="auto"/>
        <w:right w:val="none" w:sz="0" w:space="0" w:color="auto"/>
      </w:divBdr>
    </w:div>
    <w:div w:id="632056213">
      <w:bodyDiv w:val="1"/>
      <w:marLeft w:val="0"/>
      <w:marRight w:val="0"/>
      <w:marTop w:val="0"/>
      <w:marBottom w:val="0"/>
      <w:divBdr>
        <w:top w:val="none" w:sz="0" w:space="0" w:color="auto"/>
        <w:left w:val="none" w:sz="0" w:space="0" w:color="auto"/>
        <w:bottom w:val="none" w:sz="0" w:space="0" w:color="auto"/>
        <w:right w:val="none" w:sz="0" w:space="0" w:color="auto"/>
      </w:divBdr>
    </w:div>
    <w:div w:id="692339133">
      <w:bodyDiv w:val="1"/>
      <w:marLeft w:val="0"/>
      <w:marRight w:val="0"/>
      <w:marTop w:val="0"/>
      <w:marBottom w:val="0"/>
      <w:divBdr>
        <w:top w:val="none" w:sz="0" w:space="0" w:color="auto"/>
        <w:left w:val="none" w:sz="0" w:space="0" w:color="auto"/>
        <w:bottom w:val="none" w:sz="0" w:space="0" w:color="auto"/>
        <w:right w:val="none" w:sz="0" w:space="0" w:color="auto"/>
      </w:divBdr>
    </w:div>
    <w:div w:id="702898025">
      <w:bodyDiv w:val="1"/>
      <w:marLeft w:val="0"/>
      <w:marRight w:val="0"/>
      <w:marTop w:val="0"/>
      <w:marBottom w:val="0"/>
      <w:divBdr>
        <w:top w:val="none" w:sz="0" w:space="0" w:color="auto"/>
        <w:left w:val="none" w:sz="0" w:space="0" w:color="auto"/>
        <w:bottom w:val="none" w:sz="0" w:space="0" w:color="auto"/>
        <w:right w:val="none" w:sz="0" w:space="0" w:color="auto"/>
      </w:divBdr>
    </w:div>
    <w:div w:id="774908366">
      <w:bodyDiv w:val="1"/>
      <w:marLeft w:val="0"/>
      <w:marRight w:val="0"/>
      <w:marTop w:val="0"/>
      <w:marBottom w:val="0"/>
      <w:divBdr>
        <w:top w:val="none" w:sz="0" w:space="0" w:color="auto"/>
        <w:left w:val="none" w:sz="0" w:space="0" w:color="auto"/>
        <w:bottom w:val="none" w:sz="0" w:space="0" w:color="auto"/>
        <w:right w:val="none" w:sz="0" w:space="0" w:color="auto"/>
      </w:divBdr>
    </w:div>
    <w:div w:id="884489216">
      <w:bodyDiv w:val="1"/>
      <w:marLeft w:val="0"/>
      <w:marRight w:val="0"/>
      <w:marTop w:val="0"/>
      <w:marBottom w:val="0"/>
      <w:divBdr>
        <w:top w:val="none" w:sz="0" w:space="0" w:color="auto"/>
        <w:left w:val="none" w:sz="0" w:space="0" w:color="auto"/>
        <w:bottom w:val="none" w:sz="0" w:space="0" w:color="auto"/>
        <w:right w:val="none" w:sz="0" w:space="0" w:color="auto"/>
      </w:divBdr>
    </w:div>
    <w:div w:id="955865238">
      <w:bodyDiv w:val="1"/>
      <w:marLeft w:val="0"/>
      <w:marRight w:val="0"/>
      <w:marTop w:val="0"/>
      <w:marBottom w:val="0"/>
      <w:divBdr>
        <w:top w:val="none" w:sz="0" w:space="0" w:color="auto"/>
        <w:left w:val="none" w:sz="0" w:space="0" w:color="auto"/>
        <w:bottom w:val="none" w:sz="0" w:space="0" w:color="auto"/>
        <w:right w:val="none" w:sz="0" w:space="0" w:color="auto"/>
      </w:divBdr>
    </w:div>
    <w:div w:id="1052540690">
      <w:bodyDiv w:val="1"/>
      <w:marLeft w:val="0"/>
      <w:marRight w:val="0"/>
      <w:marTop w:val="0"/>
      <w:marBottom w:val="0"/>
      <w:divBdr>
        <w:top w:val="none" w:sz="0" w:space="0" w:color="auto"/>
        <w:left w:val="none" w:sz="0" w:space="0" w:color="auto"/>
        <w:bottom w:val="none" w:sz="0" w:space="0" w:color="auto"/>
        <w:right w:val="none" w:sz="0" w:space="0" w:color="auto"/>
      </w:divBdr>
    </w:div>
    <w:div w:id="1213423900">
      <w:bodyDiv w:val="1"/>
      <w:marLeft w:val="0"/>
      <w:marRight w:val="0"/>
      <w:marTop w:val="0"/>
      <w:marBottom w:val="0"/>
      <w:divBdr>
        <w:top w:val="none" w:sz="0" w:space="0" w:color="auto"/>
        <w:left w:val="none" w:sz="0" w:space="0" w:color="auto"/>
        <w:bottom w:val="none" w:sz="0" w:space="0" w:color="auto"/>
        <w:right w:val="none" w:sz="0" w:space="0" w:color="auto"/>
      </w:divBdr>
    </w:div>
    <w:div w:id="1374430312">
      <w:bodyDiv w:val="1"/>
      <w:marLeft w:val="0"/>
      <w:marRight w:val="0"/>
      <w:marTop w:val="0"/>
      <w:marBottom w:val="0"/>
      <w:divBdr>
        <w:top w:val="none" w:sz="0" w:space="0" w:color="auto"/>
        <w:left w:val="none" w:sz="0" w:space="0" w:color="auto"/>
        <w:bottom w:val="none" w:sz="0" w:space="0" w:color="auto"/>
        <w:right w:val="none" w:sz="0" w:space="0" w:color="auto"/>
      </w:divBdr>
    </w:div>
    <w:div w:id="20539639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sdge.com/rates-and-regulations/proceedings/2019-grc-phase2" TargetMode="External"/><Relationship Id="rId13" Type="http://schemas.openxmlformats.org/officeDocument/2006/relationships/package" Target="embeddings/Microsoft_Excel_Worksheet1.xlsx"/><Relationship Id="rId18" Type="http://schemas.openxmlformats.org/officeDocument/2006/relationships/image" Target="media/image4.emf"/><Relationship Id="rId26" Type="http://schemas.openxmlformats.org/officeDocument/2006/relationships/package" Target="embeddings/Microsoft_Excel_Worksheet6.xlsx"/><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hyperlink" Target="https://www.sdge.com/rates-and-regulations/proceedings/2019-grc-phase2" TargetMode="External"/><Relationship Id="rId25"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package" Target="embeddings/Microsoft_Excel_Worksheet2.xlsx"/><Relationship Id="rId20" Type="http://schemas.openxmlformats.org/officeDocument/2006/relationships/package" Target="embeddings/Microsoft_Excel_Worksheet3.xlsx"/><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xlsx"/><Relationship Id="rId24" Type="http://schemas.openxmlformats.org/officeDocument/2006/relationships/package" Target="embeddings/Microsoft_Excel_Worksheet5.xlsx"/><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footer" Target="footer1.xml"/><Relationship Id="rId10" Type="http://schemas.openxmlformats.org/officeDocument/2006/relationships/image" Target="media/image1.emf"/><Relationship Id="rId19"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hyperlink" Target="http://www2.sdge.com/eic/dlp/dynamic.cfm" TargetMode="External"/><Relationship Id="rId14" Type="http://schemas.openxmlformats.org/officeDocument/2006/relationships/hyperlink" Target="https://ww2.energy.ca.gov/2018_energypolicy/documents/cedu_2018-2030/2018_mid_demand.php" TargetMode="External"/><Relationship Id="rId22" Type="http://schemas.openxmlformats.org/officeDocument/2006/relationships/package" Target="embeddings/Microsoft_Excel_Worksheet4.xlsx"/><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34BFC-578B-4907-AE92-0E4FF819AC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5930</Words>
  <Characters>33805</Characters>
  <Application>Microsoft Office Word</Application>
  <DocSecurity>0</DocSecurity>
  <Lines>281</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39656</CharactersWithSpaces>
  <SharedDoc>false</SharedDoc>
  <HLinks>
    <vt:vector size="24" baseType="variant">
      <vt:variant>
        <vt:i4>8192037</vt:i4>
      </vt:variant>
      <vt:variant>
        <vt:i4>18</vt:i4>
      </vt:variant>
      <vt:variant>
        <vt:i4>0</vt:i4>
      </vt:variant>
      <vt:variant>
        <vt:i4>5</vt:i4>
      </vt:variant>
      <vt:variant>
        <vt:lpwstr>https://www.sdge.com/rates-and-regulations/proceedings/2019-grc-phase2</vt:lpwstr>
      </vt:variant>
      <vt:variant>
        <vt:lpwstr/>
      </vt:variant>
      <vt:variant>
        <vt:i4>983123</vt:i4>
      </vt:variant>
      <vt:variant>
        <vt:i4>12</vt:i4>
      </vt:variant>
      <vt:variant>
        <vt:i4>0</vt:i4>
      </vt:variant>
      <vt:variant>
        <vt:i4>5</vt:i4>
      </vt:variant>
      <vt:variant>
        <vt:lpwstr>https://ww2.energy.ca.gov/2018_energypolicy/documents/cedu_2018-2030/2018_mid_demand.php</vt:lpwstr>
      </vt:variant>
      <vt:variant>
        <vt:lpwstr/>
      </vt:variant>
      <vt:variant>
        <vt:i4>1179658</vt:i4>
      </vt:variant>
      <vt:variant>
        <vt:i4>3</vt:i4>
      </vt:variant>
      <vt:variant>
        <vt:i4>0</vt:i4>
      </vt:variant>
      <vt:variant>
        <vt:i4>5</vt:i4>
      </vt:variant>
      <vt:variant>
        <vt:lpwstr>http://www2.sdge.com/eic/dlp/dynamic.cfm</vt:lpwstr>
      </vt:variant>
      <vt:variant>
        <vt:lpwstr/>
      </vt:variant>
      <vt:variant>
        <vt:i4>8192037</vt:i4>
      </vt:variant>
      <vt:variant>
        <vt:i4>0</vt:i4>
      </vt:variant>
      <vt:variant>
        <vt:i4>0</vt:i4>
      </vt:variant>
      <vt:variant>
        <vt:i4>5</vt:i4>
      </vt:variant>
      <vt:variant>
        <vt:lpwstr>https://www.sdge.com/rates-and-regulations/proceedings/2019-grc-phase2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2020-01-27T23:41:00Z</dcterms:created>
  <dcterms:modified xsi:type="dcterms:W3CDTF">2020-01-27T23:41:00Z</dcterms:modified>
</cp:coreProperties>
</file>