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54DC9" w14:textId="77777777" w:rsidR="006C46C9" w:rsidRPr="00751BE1" w:rsidRDefault="006C46C9" w:rsidP="00ED1A8B">
      <w:pPr>
        <w:pStyle w:val="Default"/>
        <w:rPr>
          <w:b/>
          <w:bCs/>
          <w:color w:val="auto"/>
        </w:rPr>
      </w:pPr>
    </w:p>
    <w:p w14:paraId="39C5F65B" w14:textId="77777777" w:rsidR="00F571D6" w:rsidRPr="00751BE1" w:rsidRDefault="00F571D6">
      <w:pPr>
        <w:spacing w:before="3" w:line="120" w:lineRule="exact"/>
        <w:rPr>
          <w:rFonts w:ascii="Times New Roman" w:hAnsi="Times New Roman" w:cs="Times New Roman"/>
          <w:sz w:val="24"/>
          <w:szCs w:val="24"/>
        </w:rPr>
      </w:pPr>
    </w:p>
    <w:p w14:paraId="7A88CEE8" w14:textId="5D04850F" w:rsidR="00F571D6" w:rsidRPr="00751BE1" w:rsidRDefault="00C03810">
      <w:pPr>
        <w:ind w:right="29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  <w:r w:rsidRPr="00751BE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DA</w:t>
      </w:r>
      <w:r w:rsidRPr="00751BE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 w:rsidRPr="00751BE1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 w:rsidRPr="00751BE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 xml:space="preserve"> R</w:t>
      </w:r>
      <w:r w:rsidRPr="00751BE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 w:rsidRPr="00751BE1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</w:t>
      </w:r>
      <w:r w:rsidRPr="00751BE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U</w:t>
      </w:r>
      <w:r w:rsidRPr="00751BE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 w:rsidRPr="00751BE1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ST</w:t>
      </w:r>
    </w:p>
    <w:p w14:paraId="117188DD" w14:textId="1EA7B488" w:rsidR="00090093" w:rsidRDefault="00090093">
      <w:pPr>
        <w:ind w:right="29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p w14:paraId="4456EC96" w14:textId="7028714F" w:rsidR="00AB3DF1" w:rsidRDefault="00AB3DF1" w:rsidP="00AB3DF1">
      <w:pPr>
        <w:pStyle w:val="Level1"/>
        <w:tabs>
          <w:tab w:val="left" w:pos="-1440"/>
        </w:tabs>
        <w:ind w:left="720" w:hanging="720"/>
        <w:outlineLvl w:val="0"/>
        <w:rPr>
          <w:b/>
          <w:u w:val="single"/>
        </w:rPr>
      </w:pPr>
    </w:p>
    <w:p w14:paraId="55BF04DE" w14:textId="6FE69E77" w:rsidR="00AB3DF1" w:rsidRDefault="00AB3DF1" w:rsidP="00AB3DF1">
      <w:pPr>
        <w:pStyle w:val="Level1"/>
        <w:numPr>
          <w:ilvl w:val="0"/>
          <w:numId w:val="13"/>
        </w:numPr>
        <w:tabs>
          <w:tab w:val="left" w:pos="-1440"/>
        </w:tabs>
        <w:outlineLvl w:val="0"/>
      </w:pPr>
      <w:r>
        <w:t>SDG&amp;E provided hourly load profiles at the “rate class level” in response to CalPA DR15, Question 1.  These SDG&amp;E hourly load profiles included 2017 data for agriculture (“</w:t>
      </w:r>
      <w:proofErr w:type="spellStart"/>
      <w:r>
        <w:t>Agg</w:t>
      </w:r>
      <w:proofErr w:type="spellEnd"/>
      <w:r>
        <w:t>”), outdoor/street (“Lighting”), medium and large commercial (“</w:t>
      </w:r>
      <w:proofErr w:type="spellStart"/>
      <w:r>
        <w:t>MedLrgCom</w:t>
      </w:r>
      <w:proofErr w:type="spellEnd"/>
      <w:r>
        <w:t>”), residential (“Res”), Schools (“Sch”), and small commercial (“</w:t>
      </w:r>
      <w:proofErr w:type="spellStart"/>
      <w:r>
        <w:t>SmlCom</w:t>
      </w:r>
      <w:proofErr w:type="spellEnd"/>
      <w:r>
        <w:t xml:space="preserve">”).  Please provide similar 2017 hourly data for SDG&amp;E’s commercial customer </w:t>
      </w:r>
      <w:r>
        <w:rPr>
          <w:u w:val="single"/>
        </w:rPr>
        <w:t>rate</w:t>
      </w:r>
      <w:r>
        <w:t xml:space="preserve"> classes, i.e. TOU-A, TOU-M, and AL-TOU.</w:t>
      </w:r>
    </w:p>
    <w:p w14:paraId="5D49651D" w14:textId="63B8DECD" w:rsidR="00AB3DF1" w:rsidRDefault="00AB3DF1" w:rsidP="00AB3DF1">
      <w:pPr>
        <w:pStyle w:val="Level1"/>
        <w:tabs>
          <w:tab w:val="left" w:pos="-1440"/>
        </w:tabs>
        <w:outlineLvl w:val="0"/>
      </w:pPr>
    </w:p>
    <w:p w14:paraId="46485370" w14:textId="27CC5C8E" w:rsidR="00AB3DF1" w:rsidRDefault="00AB3DF1" w:rsidP="00AB3DF1">
      <w:pPr>
        <w:pStyle w:val="Level1"/>
        <w:tabs>
          <w:tab w:val="left" w:pos="-1440"/>
        </w:tabs>
        <w:outlineLvl w:val="0"/>
      </w:pPr>
      <w:r>
        <w:tab/>
      </w:r>
      <w:r w:rsidRPr="00AB3DF1">
        <w:rPr>
          <w:b/>
          <w:bCs/>
        </w:rPr>
        <w:t xml:space="preserve">SDG&amp;E Response: </w:t>
      </w:r>
      <w:r w:rsidR="00A8723D">
        <w:t>Please see the embedded Excel workbook</w:t>
      </w:r>
      <w:r w:rsidR="00F40609">
        <w:t>.</w:t>
      </w:r>
    </w:p>
    <w:p w14:paraId="15E4763C" w14:textId="7898AAEB" w:rsidR="00A8723D" w:rsidRDefault="00A8723D" w:rsidP="00AB3DF1">
      <w:pPr>
        <w:pStyle w:val="Level1"/>
        <w:tabs>
          <w:tab w:val="left" w:pos="-1440"/>
        </w:tabs>
        <w:outlineLvl w:val="0"/>
      </w:pPr>
    </w:p>
    <w:p w14:paraId="13E1F262" w14:textId="5196D4C1" w:rsidR="00A8723D" w:rsidRPr="00A8723D" w:rsidRDefault="00A8723D" w:rsidP="00AB3DF1">
      <w:pPr>
        <w:pStyle w:val="Level1"/>
        <w:tabs>
          <w:tab w:val="left" w:pos="-1440"/>
        </w:tabs>
        <w:outlineLvl w:val="0"/>
      </w:pPr>
      <w:r>
        <w:tab/>
      </w:r>
      <w:r>
        <w:object w:dxaOrig="1543" w:dyaOrig="1000" w14:anchorId="226CC6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8" o:title=""/>
          </v:shape>
          <o:OLEObject Type="Embed" ProgID="Excel.Sheet.8" ShapeID="_x0000_i1025" DrawAspect="Icon" ObjectID="_1644411414" r:id="rId9"/>
        </w:object>
      </w:r>
    </w:p>
    <w:p w14:paraId="1C2A9257" w14:textId="77777777" w:rsidR="00AB3DF1" w:rsidRDefault="00AB3DF1" w:rsidP="00AB3DF1">
      <w:pPr>
        <w:pStyle w:val="Level1"/>
        <w:tabs>
          <w:tab w:val="left" w:pos="-1440"/>
        </w:tabs>
        <w:ind w:left="720"/>
        <w:outlineLvl w:val="0"/>
      </w:pPr>
    </w:p>
    <w:p w14:paraId="283CD758" w14:textId="5DC17F86" w:rsidR="00AB3DF1" w:rsidRDefault="00AB3DF1" w:rsidP="00AB3DF1">
      <w:pPr>
        <w:pStyle w:val="Level1"/>
        <w:numPr>
          <w:ilvl w:val="0"/>
          <w:numId w:val="13"/>
        </w:numPr>
        <w:tabs>
          <w:tab w:val="left" w:pos="-1440"/>
        </w:tabs>
        <w:outlineLvl w:val="0"/>
      </w:pPr>
      <w:r>
        <w:t>Please provide non-coincident and peak (4p to 9p) maximum daily demands for AL-TOU customers, for use as a billing determinant for a daily demand charge.  Please include this information for secondary and primary level voltage customers.  The highest of these daily billing determinants, over the course of a month, should be consistent with SDG&amp;E’s proposed monthly billing determinants, provided in its Chapter 3 workpapers.  If SDG&amp;E does not have this information, please comment on the accuracy of using hourly load profiles, such as requested above, in combination with SDG&amp;E’s proposed monthly billing determinants, as a measure of daily maximum demand.</w:t>
      </w:r>
    </w:p>
    <w:p w14:paraId="63462DB1" w14:textId="1653BC5D" w:rsidR="00AB3DF1" w:rsidRDefault="00AB3DF1" w:rsidP="00AB3DF1">
      <w:pPr>
        <w:pStyle w:val="Level1"/>
        <w:tabs>
          <w:tab w:val="left" w:pos="-1440"/>
        </w:tabs>
        <w:outlineLvl w:val="0"/>
      </w:pPr>
    </w:p>
    <w:p w14:paraId="256E0631" w14:textId="2F714BED" w:rsidR="00AB3DF1" w:rsidRDefault="00AB3DF1" w:rsidP="00AB3DF1">
      <w:pPr>
        <w:pStyle w:val="Level1"/>
        <w:tabs>
          <w:tab w:val="left" w:pos="-1440"/>
        </w:tabs>
        <w:outlineLvl w:val="0"/>
      </w:pPr>
      <w:r>
        <w:tab/>
      </w:r>
      <w:r w:rsidRPr="00AB3DF1">
        <w:rPr>
          <w:b/>
          <w:bCs/>
        </w:rPr>
        <w:t>SDG&amp;E Response:</w:t>
      </w:r>
      <w:r w:rsidR="00F40609">
        <w:rPr>
          <w:b/>
          <w:bCs/>
        </w:rPr>
        <w:t xml:space="preserve"> </w:t>
      </w:r>
      <w:r w:rsidR="00F40609">
        <w:t>Please see the embedded Excel workbook.</w:t>
      </w:r>
      <w:r w:rsidR="002E43A4">
        <w:t xml:space="preserve"> The file shows the maximum </w:t>
      </w:r>
      <w:r w:rsidR="00594AF1">
        <w:tab/>
      </w:r>
      <w:r w:rsidR="002E43A4">
        <w:t>demand f</w:t>
      </w:r>
      <w:r w:rsidR="00594AF1">
        <w:t>rom</w:t>
      </w:r>
      <w:r w:rsidR="002E43A4">
        <w:t xml:space="preserve"> the customers </w:t>
      </w:r>
      <w:r w:rsidR="00594AF1">
        <w:t>on</w:t>
      </w:r>
      <w:r w:rsidR="002E43A4">
        <w:t xml:space="preserve"> ALTOU and ALTOUC</w:t>
      </w:r>
      <w:r w:rsidR="00754327">
        <w:t>P</w:t>
      </w:r>
      <w:r w:rsidR="007D3F16">
        <w:t>P</w:t>
      </w:r>
      <w:r w:rsidR="00754327">
        <w:t>, on a daily basis.</w:t>
      </w:r>
    </w:p>
    <w:p w14:paraId="42A144C5" w14:textId="3E4C0692" w:rsidR="00C862D2" w:rsidRDefault="00594AF1" w:rsidP="00AB3DF1">
      <w:pPr>
        <w:pStyle w:val="Level1"/>
        <w:tabs>
          <w:tab w:val="left" w:pos="-1440"/>
        </w:tabs>
        <w:outlineLvl w:val="0"/>
      </w:pPr>
      <w:r>
        <w:tab/>
      </w:r>
      <w:r>
        <w:tab/>
      </w:r>
    </w:p>
    <w:p w14:paraId="05A4DB52" w14:textId="2EB40162" w:rsidR="00594AF1" w:rsidRDefault="00594AF1" w:rsidP="00AB3DF1">
      <w:pPr>
        <w:pStyle w:val="Level1"/>
        <w:tabs>
          <w:tab w:val="left" w:pos="-1440"/>
        </w:tabs>
        <w:outlineLvl w:val="0"/>
      </w:pPr>
      <w:r>
        <w:tab/>
      </w:r>
      <w:bookmarkStart w:id="0" w:name="_GoBack"/>
      <w:r w:rsidR="007D3F16">
        <w:object w:dxaOrig="1543" w:dyaOrig="1000" w14:anchorId="214CE3FE">
          <v:shape id="_x0000_i1030" type="#_x0000_t75" style="width:77.25pt;height:50.25pt" o:ole="">
            <v:imagedata r:id="rId10" o:title=""/>
          </v:shape>
          <o:OLEObject Type="Embed" ProgID="Excel.Sheet.8" ShapeID="_x0000_i1030" DrawAspect="Icon" ObjectID="_1644411415" r:id="rId11"/>
        </w:object>
      </w:r>
      <w:bookmarkEnd w:id="0"/>
    </w:p>
    <w:p w14:paraId="0A2DC3F2" w14:textId="656D5C27" w:rsidR="00AF6CF1" w:rsidRDefault="00AF6CF1" w:rsidP="00AB3DF1">
      <w:pPr>
        <w:pStyle w:val="Level1"/>
        <w:tabs>
          <w:tab w:val="left" w:pos="-1440"/>
        </w:tabs>
        <w:outlineLvl w:val="0"/>
      </w:pPr>
      <w:r>
        <w:tab/>
      </w:r>
    </w:p>
    <w:p w14:paraId="5DCF6113" w14:textId="77777777" w:rsidR="00C862D2" w:rsidRPr="00F40609" w:rsidRDefault="00C862D2" w:rsidP="00AB3DF1">
      <w:pPr>
        <w:pStyle w:val="Level1"/>
        <w:tabs>
          <w:tab w:val="left" w:pos="-1440"/>
        </w:tabs>
        <w:outlineLvl w:val="0"/>
      </w:pPr>
    </w:p>
    <w:p w14:paraId="411E063D" w14:textId="77777777" w:rsidR="00AB3DF1" w:rsidRDefault="00AB3DF1" w:rsidP="00AB3DF1">
      <w:pPr>
        <w:pStyle w:val="Level1"/>
        <w:tabs>
          <w:tab w:val="left" w:pos="-1440"/>
        </w:tabs>
        <w:ind w:left="720"/>
        <w:outlineLvl w:val="0"/>
      </w:pPr>
    </w:p>
    <w:p w14:paraId="37E21FA3" w14:textId="3DB01DF5" w:rsidR="00AB3DF1" w:rsidRDefault="00AB3DF1" w:rsidP="00AB3DF1">
      <w:pPr>
        <w:pStyle w:val="Level1"/>
        <w:numPr>
          <w:ilvl w:val="0"/>
          <w:numId w:val="13"/>
        </w:numPr>
        <w:tabs>
          <w:tab w:val="left" w:pos="-1440"/>
        </w:tabs>
        <w:outlineLvl w:val="0"/>
      </w:pPr>
      <w:r>
        <w:t xml:space="preserve">SDG&amp;E’s response to CalPA DR#23, question 1, provides peak load data for SDG&amp;E’s circuits and substations, including timing of the peak loads.  Please provide 8760 hourly load profiles in 2014-2016 for each of SDG&amp;E’s substations and circuits that were included in SDG&amp;E’s response to CalPA.  SDG&amp;E should continue to use the anonymous naming convention it devised for this information.  From SDG&amp;E’s response to CalPA, it appears that SDG&amp;E provided data for 142 substations and 803 circuits in 2016.  Please indicate whether </w:t>
      </w:r>
      <w:r>
        <w:lastRenderedPageBreak/>
        <w:t>this is the most recent data available.  If more recent data is available for 2017-2019, please provide that data.</w:t>
      </w:r>
    </w:p>
    <w:p w14:paraId="287A0850" w14:textId="6C9DA367" w:rsidR="00AB3DF1" w:rsidRDefault="00AB3DF1" w:rsidP="00AB3DF1">
      <w:pPr>
        <w:pStyle w:val="Level1"/>
        <w:tabs>
          <w:tab w:val="left" w:pos="-1440"/>
        </w:tabs>
        <w:outlineLvl w:val="0"/>
      </w:pPr>
    </w:p>
    <w:p w14:paraId="7692850D" w14:textId="3FBE6D30" w:rsidR="00AB3DF1" w:rsidRDefault="00AB3DF1" w:rsidP="00C862D2">
      <w:pPr>
        <w:pStyle w:val="Level1"/>
        <w:tabs>
          <w:tab w:val="left" w:pos="-1440"/>
        </w:tabs>
        <w:ind w:left="360"/>
        <w:outlineLvl w:val="0"/>
      </w:pPr>
      <w:r>
        <w:tab/>
      </w:r>
      <w:r w:rsidRPr="00AB3DF1">
        <w:rPr>
          <w:b/>
          <w:bCs/>
        </w:rPr>
        <w:t>SDG&amp;E Response:</w:t>
      </w:r>
      <w:r w:rsidR="00C862D2">
        <w:rPr>
          <w:b/>
          <w:bCs/>
        </w:rPr>
        <w:t xml:space="preserve"> </w:t>
      </w:r>
      <w:r w:rsidR="00D10293">
        <w:t>SDG&amp;E is in the process of developing an answer.</w:t>
      </w:r>
    </w:p>
    <w:p w14:paraId="076F9512" w14:textId="77777777" w:rsidR="00CA5CF7" w:rsidRPr="00C862D2" w:rsidRDefault="00CA5CF7" w:rsidP="00C862D2">
      <w:pPr>
        <w:pStyle w:val="Level1"/>
        <w:tabs>
          <w:tab w:val="left" w:pos="-1440"/>
        </w:tabs>
        <w:ind w:left="360"/>
        <w:outlineLvl w:val="0"/>
      </w:pPr>
    </w:p>
    <w:p w14:paraId="78E48302" w14:textId="77777777" w:rsidR="00AB3DF1" w:rsidRDefault="00AB3DF1" w:rsidP="00AB3DF1">
      <w:pPr>
        <w:pStyle w:val="ListParagraph"/>
      </w:pPr>
    </w:p>
    <w:p w14:paraId="7182D8E9" w14:textId="680876ED" w:rsidR="00AB3DF1" w:rsidRPr="00AA5455" w:rsidRDefault="00AB3DF1" w:rsidP="00AB3DF1">
      <w:pPr>
        <w:pStyle w:val="Level1"/>
        <w:numPr>
          <w:ilvl w:val="0"/>
          <w:numId w:val="13"/>
        </w:numPr>
        <w:tabs>
          <w:tab w:val="left" w:pos="-1440"/>
        </w:tabs>
        <w:outlineLvl w:val="0"/>
      </w:pPr>
      <w:r>
        <w:rPr>
          <w:rFonts w:eastAsia="Times New Roman"/>
        </w:rPr>
        <w:t>Decision 17-08-030 required SDG&amp;E to include at least one option for non-residential rate classes that exempts March and April super off-peak usage from distribution demand charges (see page 48 of the 2017 decision).  Please identify, in SDGE’s workpapers, where are the calculations of non-coincident demand charges that exclude super off-peak usage?  Also please provide a description of how SDG&amp;E performed its calculations to include this exemption.</w:t>
      </w:r>
    </w:p>
    <w:p w14:paraId="27C74B99" w14:textId="77777777" w:rsidR="00AA5455" w:rsidRPr="00AB3DF1" w:rsidRDefault="00AA5455" w:rsidP="00AA5455">
      <w:pPr>
        <w:pStyle w:val="Level1"/>
        <w:tabs>
          <w:tab w:val="left" w:pos="-1440"/>
        </w:tabs>
        <w:ind w:left="720"/>
        <w:outlineLvl w:val="0"/>
      </w:pPr>
    </w:p>
    <w:p w14:paraId="52950429" w14:textId="1A24A30F" w:rsidR="00AB3DF1" w:rsidRDefault="00AB3DF1" w:rsidP="00AB3DF1">
      <w:pPr>
        <w:pStyle w:val="Level1"/>
        <w:tabs>
          <w:tab w:val="left" w:pos="-1440"/>
        </w:tabs>
        <w:outlineLvl w:val="0"/>
      </w:pPr>
      <w:r>
        <w:rPr>
          <w:rFonts w:eastAsia="Times New Roman"/>
        </w:rPr>
        <w:tab/>
      </w:r>
      <w:r w:rsidRPr="00AB3DF1">
        <w:rPr>
          <w:b/>
          <w:bCs/>
        </w:rPr>
        <w:t>SDG&amp;E Response:</w:t>
      </w:r>
    </w:p>
    <w:p w14:paraId="59BCCA4B" w14:textId="3E86F731" w:rsidR="225F8D1D" w:rsidRDefault="225F8D1D" w:rsidP="225F8D1D">
      <w:pPr>
        <w:pStyle w:val="Level1"/>
        <w:outlineLvl w:val="0"/>
        <w:rPr>
          <w:b/>
          <w:bCs/>
        </w:rPr>
      </w:pPr>
    </w:p>
    <w:p w14:paraId="10156848" w14:textId="34D9E70D" w:rsidR="63DA5D04" w:rsidRPr="00551E45" w:rsidRDefault="63DA5D04" w:rsidP="225F8D1D">
      <w:pPr>
        <w:pStyle w:val="Level1"/>
        <w:ind w:left="720"/>
        <w:outlineLvl w:val="0"/>
      </w:pPr>
      <w:r w:rsidRPr="00551E45">
        <w:t>The Chapter 3 (Morien) Workpaper 1 – 2019 GRC Phase 2 Year 1</w:t>
      </w:r>
      <w:r w:rsidR="1F38FDB4" w:rsidRPr="00551E45">
        <w:t>, ‘Distribution Design’ tab</w:t>
      </w:r>
      <w:r w:rsidRPr="00551E45">
        <w:t xml:space="preserve"> </w:t>
      </w:r>
      <w:r w:rsidR="0E4720FC" w:rsidRPr="00551E45">
        <w:t xml:space="preserve">contains the calculation </w:t>
      </w:r>
      <w:r w:rsidR="1432ACE6" w:rsidRPr="00551E45">
        <w:t xml:space="preserve">of </w:t>
      </w:r>
      <w:r w:rsidR="5120FB65" w:rsidRPr="00551E45">
        <w:t xml:space="preserve">Distribution </w:t>
      </w:r>
      <w:r w:rsidR="1432ACE6" w:rsidRPr="00551E45">
        <w:t xml:space="preserve">Non-Coincident Demand Charges that have a Super Off-Peak TOU Period exemption. Currently, SDG&amp;E’s M/L C&amp;I </w:t>
      </w:r>
      <w:r w:rsidR="44FCADDF" w:rsidRPr="00551E45">
        <w:t xml:space="preserve">customer class </w:t>
      </w:r>
      <w:r w:rsidR="1432ACE6" w:rsidRPr="00551E45">
        <w:t xml:space="preserve">and Agricultural </w:t>
      </w:r>
      <w:r w:rsidR="0A076CD3" w:rsidRPr="00551E45">
        <w:t xml:space="preserve">customer class have </w:t>
      </w:r>
      <w:r w:rsidR="22AF80E4" w:rsidRPr="00551E45">
        <w:t xml:space="preserve">distribution </w:t>
      </w:r>
      <w:r w:rsidR="0A076CD3" w:rsidRPr="00551E45">
        <w:t>non-coincident demand charges</w:t>
      </w:r>
      <w:r w:rsidR="5ED3F284" w:rsidRPr="00551E45">
        <w:t xml:space="preserve">. The rates are calculated using the demand determinants </w:t>
      </w:r>
      <w:r w:rsidR="0D3F8D48" w:rsidRPr="00551E45">
        <w:t>developed for each class with the Super Off-Peak TOU Period exemption</w:t>
      </w:r>
      <w:r w:rsidR="489C8667" w:rsidRPr="00551E45">
        <w:t>, as opposed to demand determinants developed for each class with no Super Off-Peak TOU Period exemption for NCD charges</w:t>
      </w:r>
      <w:r w:rsidR="0D3F8D48" w:rsidRPr="00551E45">
        <w:t>. For the M/L C&amp;I Customer class, Schedule AL-TOU2 has</w:t>
      </w:r>
      <w:r w:rsidR="7554E23A" w:rsidRPr="00551E45">
        <w:t xml:space="preserve"> a </w:t>
      </w:r>
      <w:r w:rsidR="39A9B3A2" w:rsidRPr="00551E45">
        <w:t xml:space="preserve">distribution </w:t>
      </w:r>
      <w:r w:rsidR="7554E23A" w:rsidRPr="00551E45">
        <w:t xml:space="preserve">non-coincident demand charge exemption during the Super Off-Peak TOU period. For the Agricultural class, </w:t>
      </w:r>
      <w:r w:rsidR="0F2A440C" w:rsidRPr="00551E45">
        <w:t xml:space="preserve">Schedule PA-T-1 has a distribution non-coincident demand charge exemption during the Super Off-Peak TOU period. </w:t>
      </w:r>
    </w:p>
    <w:p w14:paraId="22C57D88" w14:textId="77777777" w:rsidR="00AB3DF1" w:rsidRPr="00751BE1" w:rsidRDefault="00AB3DF1" w:rsidP="00AB3DF1">
      <w:pPr>
        <w:ind w:right="297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</w:p>
    <w:sectPr w:rsidR="00AB3DF1" w:rsidRPr="00751BE1">
      <w:headerReference w:type="default" r:id="rId12"/>
      <w:footerReference w:type="default" r:id="rId13"/>
      <w:pgSz w:w="12240" w:h="15840"/>
      <w:pgMar w:top="1480" w:right="1220" w:bottom="1140" w:left="1180" w:header="0" w:footer="9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E0A9C" w14:textId="77777777" w:rsidR="00866EA1" w:rsidRDefault="00866EA1">
      <w:r>
        <w:separator/>
      </w:r>
    </w:p>
  </w:endnote>
  <w:endnote w:type="continuationSeparator" w:id="0">
    <w:p w14:paraId="5BE1BA6B" w14:textId="77777777" w:rsidR="00866EA1" w:rsidRDefault="00866EA1">
      <w:r>
        <w:continuationSeparator/>
      </w:r>
    </w:p>
  </w:endnote>
  <w:endnote w:type="continuationNotice" w:id="1">
    <w:p w14:paraId="51E41794" w14:textId="77777777" w:rsidR="00866EA1" w:rsidRDefault="00866E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8332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6DD083" w14:textId="129CA02B" w:rsidR="00257835" w:rsidRDefault="002578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70B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0DA468B" w14:textId="1C52C22D" w:rsidR="00257835" w:rsidRDefault="00257835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DC70D7" w14:textId="77777777" w:rsidR="00866EA1" w:rsidRDefault="00866EA1">
      <w:r>
        <w:separator/>
      </w:r>
    </w:p>
  </w:footnote>
  <w:footnote w:type="continuationSeparator" w:id="0">
    <w:p w14:paraId="40A00722" w14:textId="77777777" w:rsidR="00866EA1" w:rsidRDefault="00866EA1">
      <w:r>
        <w:continuationSeparator/>
      </w:r>
    </w:p>
  </w:footnote>
  <w:footnote w:type="continuationNotice" w:id="1">
    <w:p w14:paraId="35BA5975" w14:textId="77777777" w:rsidR="00866EA1" w:rsidRDefault="00866E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6C1B7" w14:textId="77777777" w:rsidR="00257835" w:rsidRDefault="00257835" w:rsidP="00E904AE">
    <w:pPr>
      <w:pStyle w:val="Default"/>
      <w:jc w:val="center"/>
      <w:rPr>
        <w:b/>
        <w:bCs/>
        <w:sz w:val="23"/>
        <w:szCs w:val="23"/>
      </w:rPr>
    </w:pPr>
    <w:r>
      <w:rPr>
        <w:b/>
        <w:bCs/>
        <w:sz w:val="23"/>
        <w:szCs w:val="23"/>
      </w:rPr>
      <w:softHyphen/>
    </w:r>
    <w:r>
      <w:rPr>
        <w:b/>
        <w:bCs/>
        <w:sz w:val="23"/>
        <w:szCs w:val="23"/>
      </w:rPr>
      <w:softHyphen/>
    </w:r>
    <w:r>
      <w:rPr>
        <w:b/>
        <w:bCs/>
        <w:sz w:val="23"/>
        <w:szCs w:val="23"/>
      </w:rPr>
      <w:softHyphen/>
    </w:r>
    <w:r>
      <w:rPr>
        <w:b/>
        <w:bCs/>
        <w:sz w:val="23"/>
        <w:szCs w:val="23"/>
      </w:rPr>
      <w:softHyphen/>
    </w:r>
    <w:r>
      <w:rPr>
        <w:b/>
        <w:bCs/>
        <w:sz w:val="23"/>
        <w:szCs w:val="23"/>
      </w:rPr>
      <w:softHyphen/>
    </w:r>
    <w:r>
      <w:rPr>
        <w:b/>
        <w:bCs/>
        <w:sz w:val="23"/>
        <w:szCs w:val="23"/>
      </w:rPr>
      <w:softHyphen/>
    </w:r>
  </w:p>
  <w:p w14:paraId="37A28815" w14:textId="77777777" w:rsidR="00F51D3E" w:rsidRDefault="00F51D3E" w:rsidP="00E904AE">
    <w:pPr>
      <w:pStyle w:val="Default"/>
      <w:jc w:val="center"/>
      <w:rPr>
        <w:b/>
        <w:bCs/>
      </w:rPr>
    </w:pPr>
  </w:p>
  <w:p w14:paraId="7BE3EDCF" w14:textId="44E9C337" w:rsidR="00090093" w:rsidRDefault="00E44CE6" w:rsidP="00F65911">
    <w:pPr>
      <w:pStyle w:val="Default"/>
      <w:jc w:val="center"/>
      <w:rPr>
        <w:b/>
        <w:bCs/>
      </w:rPr>
    </w:pPr>
    <w:r w:rsidRPr="00EB7811">
      <w:rPr>
        <w:b/>
        <w:bCs/>
      </w:rPr>
      <w:t>SDG&amp;E</w:t>
    </w:r>
    <w:r w:rsidR="008243E4" w:rsidRPr="00EB7811">
      <w:rPr>
        <w:b/>
        <w:bCs/>
      </w:rPr>
      <w:t xml:space="preserve"> </w:t>
    </w:r>
    <w:r w:rsidR="001F7DDC">
      <w:rPr>
        <w:b/>
        <w:bCs/>
      </w:rPr>
      <w:t>Data Request Response to SEIA</w:t>
    </w:r>
  </w:p>
  <w:p w14:paraId="691B519A" w14:textId="6F6A7456" w:rsidR="00F65911" w:rsidRPr="00EB7811" w:rsidRDefault="00F65911" w:rsidP="00F65911">
    <w:pPr>
      <w:pStyle w:val="Default"/>
      <w:jc w:val="center"/>
      <w:rPr>
        <w:b/>
        <w:bCs/>
      </w:rPr>
    </w:pPr>
    <w:r>
      <w:rPr>
        <w:b/>
        <w:bCs/>
      </w:rPr>
      <w:t>2019 GRC Phase II</w:t>
    </w:r>
    <w:r w:rsidR="001F7DDC">
      <w:rPr>
        <w:b/>
        <w:bCs/>
      </w:rPr>
      <w:t xml:space="preserve"> A.19-03-002</w:t>
    </w:r>
  </w:p>
  <w:p w14:paraId="1AFE3E9E" w14:textId="42B01297" w:rsidR="00257835" w:rsidRPr="00EB7811" w:rsidRDefault="00090093" w:rsidP="00E904AE">
    <w:pPr>
      <w:pStyle w:val="Default"/>
      <w:jc w:val="center"/>
      <w:rPr>
        <w:b/>
        <w:bCs/>
      </w:rPr>
    </w:pPr>
    <w:r w:rsidRPr="00EB7811">
      <w:rPr>
        <w:b/>
        <w:bCs/>
      </w:rPr>
      <w:t>T</w:t>
    </w:r>
    <w:r w:rsidR="00F65911">
      <w:rPr>
        <w:b/>
        <w:bCs/>
      </w:rPr>
      <w:t xml:space="preserve">o: </w:t>
    </w:r>
    <w:r w:rsidR="005E079D">
      <w:rPr>
        <w:b/>
        <w:bCs/>
      </w:rPr>
      <w:t>Jeanne Armstrong</w:t>
    </w:r>
  </w:p>
  <w:p w14:paraId="0B7B8D3D" w14:textId="218E8AE4" w:rsidR="00EB7811" w:rsidRPr="00EB7811" w:rsidRDefault="005E079D" w:rsidP="00EB7811">
    <w:pPr>
      <w:jc w:val="center"/>
      <w:outlineLvl w:val="0"/>
      <w:rPr>
        <w:rFonts w:ascii="Times New Roman" w:hAnsi="Times New Roman" w:cs="Times New Roman"/>
        <w:b/>
        <w:color w:val="000000"/>
        <w:sz w:val="24"/>
        <w:szCs w:val="24"/>
      </w:rPr>
    </w:pPr>
    <w:r>
      <w:rPr>
        <w:rFonts w:ascii="Times New Roman" w:hAnsi="Times New Roman" w:cs="Times New Roman"/>
        <w:b/>
        <w:color w:val="000000"/>
        <w:sz w:val="24"/>
        <w:szCs w:val="24"/>
      </w:rPr>
      <w:t xml:space="preserve">SEIA Data </w:t>
    </w:r>
    <w:r w:rsidR="00EB7811" w:rsidRPr="00EB7811">
      <w:rPr>
        <w:rFonts w:ascii="Times New Roman" w:hAnsi="Times New Roman" w:cs="Times New Roman"/>
        <w:b/>
        <w:color w:val="000000"/>
        <w:sz w:val="24"/>
        <w:szCs w:val="24"/>
      </w:rPr>
      <w:t>Re</w:t>
    </w:r>
    <w:r>
      <w:rPr>
        <w:rFonts w:ascii="Times New Roman" w:hAnsi="Times New Roman" w:cs="Times New Roman"/>
        <w:b/>
        <w:color w:val="000000"/>
        <w:sz w:val="24"/>
        <w:szCs w:val="24"/>
      </w:rPr>
      <w:t>quest No: 0</w:t>
    </w:r>
    <w:r w:rsidR="00E83012">
      <w:rPr>
        <w:rFonts w:ascii="Times New Roman" w:hAnsi="Times New Roman" w:cs="Times New Roman"/>
        <w:b/>
        <w:color w:val="000000"/>
        <w:sz w:val="24"/>
        <w:szCs w:val="24"/>
      </w:rPr>
      <w:t>2</w:t>
    </w:r>
  </w:p>
  <w:p w14:paraId="26B504EC" w14:textId="68041FEA" w:rsidR="00257835" w:rsidRPr="00EB7811" w:rsidRDefault="008243E4" w:rsidP="00E904AE">
    <w:pPr>
      <w:pStyle w:val="Default"/>
      <w:jc w:val="center"/>
      <w:rPr>
        <w:b/>
        <w:bCs/>
      </w:rPr>
    </w:pPr>
    <w:r w:rsidRPr="00EB7811">
      <w:rPr>
        <w:b/>
        <w:bCs/>
      </w:rPr>
      <w:t xml:space="preserve">DATE RECEIVED: </w:t>
    </w:r>
    <w:r w:rsidR="00E83012">
      <w:rPr>
        <w:b/>
        <w:bCs/>
      </w:rPr>
      <w:t>2</w:t>
    </w:r>
    <w:r w:rsidR="001F7DDC">
      <w:rPr>
        <w:b/>
        <w:bCs/>
      </w:rPr>
      <w:t>-</w:t>
    </w:r>
    <w:r w:rsidR="00E83012">
      <w:rPr>
        <w:b/>
        <w:bCs/>
      </w:rPr>
      <w:t>13</w:t>
    </w:r>
    <w:r w:rsidR="00F65911">
      <w:rPr>
        <w:b/>
        <w:bCs/>
      </w:rPr>
      <w:t>-20</w:t>
    </w:r>
    <w:r w:rsidR="00E83012">
      <w:rPr>
        <w:b/>
        <w:bCs/>
      </w:rPr>
      <w:t>20</w:t>
    </w:r>
    <w:r w:rsidR="00257835" w:rsidRPr="00EB7811">
      <w:rPr>
        <w:b/>
        <w:bCs/>
      </w:rPr>
      <w:t xml:space="preserve"> </w:t>
    </w:r>
  </w:p>
  <w:p w14:paraId="098A9D31" w14:textId="2238B549" w:rsidR="00257835" w:rsidRPr="00EB7811" w:rsidRDefault="00F65911" w:rsidP="00E904AE">
    <w:pPr>
      <w:pStyle w:val="Default"/>
      <w:jc w:val="center"/>
      <w:rPr>
        <w:b/>
        <w:bCs/>
      </w:rPr>
    </w:pPr>
    <w:r>
      <w:rPr>
        <w:b/>
        <w:bCs/>
      </w:rPr>
      <w:t xml:space="preserve">DATE RESPONDED: </w:t>
    </w:r>
    <w:r w:rsidR="00E83012">
      <w:rPr>
        <w:b/>
        <w:bCs/>
      </w:rPr>
      <w:t>2</w:t>
    </w:r>
    <w:r w:rsidR="00090093" w:rsidRPr="00EB7811">
      <w:rPr>
        <w:b/>
        <w:bCs/>
      </w:rPr>
      <w:t>-</w:t>
    </w:r>
    <w:r w:rsidR="008006AC">
      <w:rPr>
        <w:b/>
        <w:bCs/>
      </w:rPr>
      <w:t>2</w:t>
    </w:r>
    <w:r w:rsidR="00E83012">
      <w:rPr>
        <w:b/>
        <w:bCs/>
      </w:rPr>
      <w:t>8</w:t>
    </w:r>
    <w:r>
      <w:rPr>
        <w:b/>
        <w:bCs/>
      </w:rPr>
      <w:t>-20</w:t>
    </w:r>
    <w:r w:rsidR="00E83012">
      <w:rPr>
        <w:b/>
        <w:bCs/>
      </w:rPr>
      <w:t>20</w:t>
    </w:r>
  </w:p>
  <w:p w14:paraId="25BD10E8" w14:textId="77777777" w:rsidR="00257835" w:rsidRDefault="002578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3F23AF5"/>
    <w:multiLevelType w:val="hybridMultilevel"/>
    <w:tmpl w:val="63CCEBA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414B33"/>
    <w:multiLevelType w:val="hybridMultilevel"/>
    <w:tmpl w:val="6EDC76D8"/>
    <w:lvl w:ilvl="0" w:tplc="93F23040">
      <w:start w:val="1"/>
      <w:numFmt w:val="upperLetter"/>
      <w:lvlText w:val="%1: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7065E"/>
    <w:multiLevelType w:val="hybridMultilevel"/>
    <w:tmpl w:val="03A4F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31FB0"/>
    <w:multiLevelType w:val="multilevel"/>
    <w:tmpl w:val="BE928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1F4B4A71"/>
    <w:multiLevelType w:val="hybridMultilevel"/>
    <w:tmpl w:val="53FC4FF2"/>
    <w:lvl w:ilvl="0" w:tplc="0178BF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A307B6"/>
    <w:multiLevelType w:val="hybridMultilevel"/>
    <w:tmpl w:val="16EA4DB4"/>
    <w:lvl w:ilvl="0" w:tplc="546045B2">
      <w:start w:val="1"/>
      <w:numFmt w:val="upperLetter"/>
      <w:lvlText w:val="%1."/>
      <w:lvlJc w:val="left"/>
      <w:pPr>
        <w:ind w:hanging="361"/>
      </w:pPr>
      <w:rPr>
        <w:rFonts w:ascii="Times New Roman" w:eastAsia="Times New Roman" w:hAnsi="Times New Roman" w:hint="default"/>
        <w:spacing w:val="-1"/>
        <w:sz w:val="22"/>
        <w:szCs w:val="22"/>
      </w:rPr>
    </w:lvl>
    <w:lvl w:ilvl="1" w:tplc="3948D4D2">
      <w:start w:val="1"/>
      <w:numFmt w:val="decimal"/>
      <w:lvlText w:val="%2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F53ED514">
      <w:start w:val="1"/>
      <w:numFmt w:val="lowerLetter"/>
      <w:lvlText w:val="%3."/>
      <w:lvlJc w:val="left"/>
      <w:pPr>
        <w:ind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E480AD78">
      <w:start w:val="1"/>
      <w:numFmt w:val="lowerRoman"/>
      <w:lvlText w:val="%4."/>
      <w:lvlJc w:val="left"/>
      <w:pPr>
        <w:ind w:hanging="308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4" w:tplc="81F621A4">
      <w:start w:val="1"/>
      <w:numFmt w:val="bullet"/>
      <w:lvlText w:val="•"/>
      <w:lvlJc w:val="left"/>
      <w:rPr>
        <w:rFonts w:hint="default"/>
      </w:rPr>
    </w:lvl>
    <w:lvl w:ilvl="5" w:tplc="EA229F24">
      <w:start w:val="1"/>
      <w:numFmt w:val="bullet"/>
      <w:lvlText w:val="•"/>
      <w:lvlJc w:val="left"/>
      <w:rPr>
        <w:rFonts w:hint="default"/>
      </w:rPr>
    </w:lvl>
    <w:lvl w:ilvl="6" w:tplc="ACE2DC56">
      <w:start w:val="1"/>
      <w:numFmt w:val="bullet"/>
      <w:lvlText w:val="•"/>
      <w:lvlJc w:val="left"/>
      <w:rPr>
        <w:rFonts w:hint="default"/>
      </w:rPr>
    </w:lvl>
    <w:lvl w:ilvl="7" w:tplc="898C3E08">
      <w:start w:val="1"/>
      <w:numFmt w:val="bullet"/>
      <w:lvlText w:val="•"/>
      <w:lvlJc w:val="left"/>
      <w:rPr>
        <w:rFonts w:hint="default"/>
      </w:rPr>
    </w:lvl>
    <w:lvl w:ilvl="8" w:tplc="37D2C976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8C736CC"/>
    <w:multiLevelType w:val="hybridMultilevel"/>
    <w:tmpl w:val="53FC4FF2"/>
    <w:lvl w:ilvl="0" w:tplc="0178BF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0FD1A4C"/>
    <w:multiLevelType w:val="hybridMultilevel"/>
    <w:tmpl w:val="E3246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0256D6"/>
    <w:multiLevelType w:val="hybridMultilevel"/>
    <w:tmpl w:val="F110A1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963B59"/>
    <w:multiLevelType w:val="hybridMultilevel"/>
    <w:tmpl w:val="F554523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1"/>
  </w:num>
  <w:num w:numId="9">
    <w:abstractNumId w:val="8"/>
  </w:num>
  <w:num w:numId="10">
    <w:abstractNumId w:val="9"/>
  </w:num>
  <w:num w:numId="11">
    <w:abstractNumId w:val="4"/>
  </w:num>
  <w:num w:numId="12">
    <w:abstractNumId w:val="6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1D6"/>
    <w:rsid w:val="00005422"/>
    <w:rsid w:val="000133A9"/>
    <w:rsid w:val="00015BD1"/>
    <w:rsid w:val="000213C5"/>
    <w:rsid w:val="000249E4"/>
    <w:rsid w:val="000253F7"/>
    <w:rsid w:val="00030F83"/>
    <w:rsid w:val="00033EAF"/>
    <w:rsid w:val="000441DD"/>
    <w:rsid w:val="000473F3"/>
    <w:rsid w:val="00057E02"/>
    <w:rsid w:val="000607BC"/>
    <w:rsid w:val="000709F2"/>
    <w:rsid w:val="00072250"/>
    <w:rsid w:val="00090093"/>
    <w:rsid w:val="000932E2"/>
    <w:rsid w:val="000A6F05"/>
    <w:rsid w:val="000B710B"/>
    <w:rsid w:val="000D24BA"/>
    <w:rsid w:val="000D6ECD"/>
    <w:rsid w:val="000F0CF3"/>
    <w:rsid w:val="000F5557"/>
    <w:rsid w:val="000F6F65"/>
    <w:rsid w:val="00101D98"/>
    <w:rsid w:val="00104F5E"/>
    <w:rsid w:val="0010718F"/>
    <w:rsid w:val="001109D5"/>
    <w:rsid w:val="00117124"/>
    <w:rsid w:val="001219F6"/>
    <w:rsid w:val="00121E7C"/>
    <w:rsid w:val="00137417"/>
    <w:rsid w:val="00142C40"/>
    <w:rsid w:val="0014783D"/>
    <w:rsid w:val="00154595"/>
    <w:rsid w:val="001644AD"/>
    <w:rsid w:val="00166C29"/>
    <w:rsid w:val="00167CF6"/>
    <w:rsid w:val="001729AE"/>
    <w:rsid w:val="00184A93"/>
    <w:rsid w:val="00192F9B"/>
    <w:rsid w:val="001B356C"/>
    <w:rsid w:val="001B6807"/>
    <w:rsid w:val="001E73D1"/>
    <w:rsid w:val="001F1F3B"/>
    <w:rsid w:val="001F7DDC"/>
    <w:rsid w:val="00221381"/>
    <w:rsid w:val="00223768"/>
    <w:rsid w:val="00227922"/>
    <w:rsid w:val="00227AD1"/>
    <w:rsid w:val="00230361"/>
    <w:rsid w:val="00242383"/>
    <w:rsid w:val="0024599B"/>
    <w:rsid w:val="00247644"/>
    <w:rsid w:val="00250C1F"/>
    <w:rsid w:val="002540A5"/>
    <w:rsid w:val="00256561"/>
    <w:rsid w:val="00257835"/>
    <w:rsid w:val="00264F5F"/>
    <w:rsid w:val="00271339"/>
    <w:rsid w:val="002733A3"/>
    <w:rsid w:val="0027631B"/>
    <w:rsid w:val="002769FF"/>
    <w:rsid w:val="00294908"/>
    <w:rsid w:val="002A19BC"/>
    <w:rsid w:val="002A48B2"/>
    <w:rsid w:val="002B7723"/>
    <w:rsid w:val="002C3FC3"/>
    <w:rsid w:val="002C51C0"/>
    <w:rsid w:val="002E43A4"/>
    <w:rsid w:val="002F2139"/>
    <w:rsid w:val="002F4871"/>
    <w:rsid w:val="002F68E2"/>
    <w:rsid w:val="00316A6C"/>
    <w:rsid w:val="003178B7"/>
    <w:rsid w:val="00317A8F"/>
    <w:rsid w:val="00320493"/>
    <w:rsid w:val="00320693"/>
    <w:rsid w:val="00322EA2"/>
    <w:rsid w:val="003260B6"/>
    <w:rsid w:val="0032675C"/>
    <w:rsid w:val="00330DBF"/>
    <w:rsid w:val="00331DCE"/>
    <w:rsid w:val="00333564"/>
    <w:rsid w:val="00360568"/>
    <w:rsid w:val="003618B6"/>
    <w:rsid w:val="00362A8A"/>
    <w:rsid w:val="00365A68"/>
    <w:rsid w:val="003719EA"/>
    <w:rsid w:val="003842AE"/>
    <w:rsid w:val="003920AA"/>
    <w:rsid w:val="003A3C21"/>
    <w:rsid w:val="003A5C61"/>
    <w:rsid w:val="003A6866"/>
    <w:rsid w:val="003B40AB"/>
    <w:rsid w:val="003B7BC2"/>
    <w:rsid w:val="003C7476"/>
    <w:rsid w:val="003D0506"/>
    <w:rsid w:val="003D317D"/>
    <w:rsid w:val="003D3CA2"/>
    <w:rsid w:val="003E089D"/>
    <w:rsid w:val="003E1C2F"/>
    <w:rsid w:val="00400B71"/>
    <w:rsid w:val="00404616"/>
    <w:rsid w:val="004178A0"/>
    <w:rsid w:val="00417F97"/>
    <w:rsid w:val="00423E3A"/>
    <w:rsid w:val="00434374"/>
    <w:rsid w:val="00445522"/>
    <w:rsid w:val="00445FA9"/>
    <w:rsid w:val="004468BB"/>
    <w:rsid w:val="004741CD"/>
    <w:rsid w:val="00480FBA"/>
    <w:rsid w:val="004970CF"/>
    <w:rsid w:val="004A0D4C"/>
    <w:rsid w:val="004B0621"/>
    <w:rsid w:val="004B251A"/>
    <w:rsid w:val="004D375A"/>
    <w:rsid w:val="004F6A69"/>
    <w:rsid w:val="0050650D"/>
    <w:rsid w:val="00515927"/>
    <w:rsid w:val="00535B9A"/>
    <w:rsid w:val="00542997"/>
    <w:rsid w:val="00543600"/>
    <w:rsid w:val="005447F1"/>
    <w:rsid w:val="0054694B"/>
    <w:rsid w:val="00551E45"/>
    <w:rsid w:val="00562385"/>
    <w:rsid w:val="0056650A"/>
    <w:rsid w:val="00570EBF"/>
    <w:rsid w:val="00584FC4"/>
    <w:rsid w:val="00593491"/>
    <w:rsid w:val="00593616"/>
    <w:rsid w:val="00594AF1"/>
    <w:rsid w:val="005B5AF1"/>
    <w:rsid w:val="005E037F"/>
    <w:rsid w:val="005E079D"/>
    <w:rsid w:val="005E77CF"/>
    <w:rsid w:val="005F1950"/>
    <w:rsid w:val="005F7793"/>
    <w:rsid w:val="006125D9"/>
    <w:rsid w:val="00614A34"/>
    <w:rsid w:val="00621321"/>
    <w:rsid w:val="00632DC5"/>
    <w:rsid w:val="00635102"/>
    <w:rsid w:val="00636ED4"/>
    <w:rsid w:val="00641D34"/>
    <w:rsid w:val="00644171"/>
    <w:rsid w:val="006550BE"/>
    <w:rsid w:val="00657F6E"/>
    <w:rsid w:val="006659B7"/>
    <w:rsid w:val="00676426"/>
    <w:rsid w:val="00682777"/>
    <w:rsid w:val="00683DE9"/>
    <w:rsid w:val="00690996"/>
    <w:rsid w:val="00691668"/>
    <w:rsid w:val="00693A22"/>
    <w:rsid w:val="0069799F"/>
    <w:rsid w:val="006A2A33"/>
    <w:rsid w:val="006B0A13"/>
    <w:rsid w:val="006B7D74"/>
    <w:rsid w:val="006C46C9"/>
    <w:rsid w:val="006C6EDA"/>
    <w:rsid w:val="006D0EFB"/>
    <w:rsid w:val="006E073E"/>
    <w:rsid w:val="006F440F"/>
    <w:rsid w:val="006F6651"/>
    <w:rsid w:val="007054B6"/>
    <w:rsid w:val="00721F1E"/>
    <w:rsid w:val="00727C31"/>
    <w:rsid w:val="00734731"/>
    <w:rsid w:val="00736C9A"/>
    <w:rsid w:val="0073762C"/>
    <w:rsid w:val="00743DB3"/>
    <w:rsid w:val="007449EF"/>
    <w:rsid w:val="00751BE1"/>
    <w:rsid w:val="00754327"/>
    <w:rsid w:val="00761F42"/>
    <w:rsid w:val="00780DC3"/>
    <w:rsid w:val="0078262C"/>
    <w:rsid w:val="00782657"/>
    <w:rsid w:val="007876AA"/>
    <w:rsid w:val="00787AC5"/>
    <w:rsid w:val="007A7F06"/>
    <w:rsid w:val="007B4A07"/>
    <w:rsid w:val="007C07FE"/>
    <w:rsid w:val="007C1397"/>
    <w:rsid w:val="007C3A48"/>
    <w:rsid w:val="007C5EF9"/>
    <w:rsid w:val="007D3F16"/>
    <w:rsid w:val="007D677E"/>
    <w:rsid w:val="007E4F06"/>
    <w:rsid w:val="007F0826"/>
    <w:rsid w:val="007F1C60"/>
    <w:rsid w:val="008006AC"/>
    <w:rsid w:val="008046AD"/>
    <w:rsid w:val="008113E5"/>
    <w:rsid w:val="00811904"/>
    <w:rsid w:val="008131FF"/>
    <w:rsid w:val="00817F06"/>
    <w:rsid w:val="00823134"/>
    <w:rsid w:val="008243E4"/>
    <w:rsid w:val="00830724"/>
    <w:rsid w:val="0083359A"/>
    <w:rsid w:val="00835CAF"/>
    <w:rsid w:val="00844369"/>
    <w:rsid w:val="0085302F"/>
    <w:rsid w:val="00855C82"/>
    <w:rsid w:val="00866EA1"/>
    <w:rsid w:val="00867EE3"/>
    <w:rsid w:val="0087248C"/>
    <w:rsid w:val="00883D24"/>
    <w:rsid w:val="0089004F"/>
    <w:rsid w:val="008A7402"/>
    <w:rsid w:val="008B6B02"/>
    <w:rsid w:val="008C1929"/>
    <w:rsid w:val="008D0191"/>
    <w:rsid w:val="008F02E0"/>
    <w:rsid w:val="008F0E48"/>
    <w:rsid w:val="00904E44"/>
    <w:rsid w:val="00907727"/>
    <w:rsid w:val="00921C40"/>
    <w:rsid w:val="00922C0C"/>
    <w:rsid w:val="00924668"/>
    <w:rsid w:val="009274BB"/>
    <w:rsid w:val="009319FE"/>
    <w:rsid w:val="009340E1"/>
    <w:rsid w:val="009412FB"/>
    <w:rsid w:val="00943820"/>
    <w:rsid w:val="00943B34"/>
    <w:rsid w:val="00957BE3"/>
    <w:rsid w:val="0097209E"/>
    <w:rsid w:val="00972AE0"/>
    <w:rsid w:val="00985081"/>
    <w:rsid w:val="00986599"/>
    <w:rsid w:val="00993F4E"/>
    <w:rsid w:val="0099634B"/>
    <w:rsid w:val="009A740A"/>
    <w:rsid w:val="009B18B5"/>
    <w:rsid w:val="009B6AC0"/>
    <w:rsid w:val="009B7DCB"/>
    <w:rsid w:val="009D18E7"/>
    <w:rsid w:val="009F790A"/>
    <w:rsid w:val="00A022D3"/>
    <w:rsid w:val="00A06D28"/>
    <w:rsid w:val="00A06EFD"/>
    <w:rsid w:val="00A0769E"/>
    <w:rsid w:val="00A20CBF"/>
    <w:rsid w:val="00A30EF2"/>
    <w:rsid w:val="00A3700F"/>
    <w:rsid w:val="00A479CD"/>
    <w:rsid w:val="00A52FCF"/>
    <w:rsid w:val="00A56B5A"/>
    <w:rsid w:val="00A705C2"/>
    <w:rsid w:val="00A748DD"/>
    <w:rsid w:val="00A76036"/>
    <w:rsid w:val="00A8723D"/>
    <w:rsid w:val="00A90892"/>
    <w:rsid w:val="00A92E57"/>
    <w:rsid w:val="00A93E3A"/>
    <w:rsid w:val="00A95F00"/>
    <w:rsid w:val="00AA4411"/>
    <w:rsid w:val="00AA5455"/>
    <w:rsid w:val="00AB3DF1"/>
    <w:rsid w:val="00AD3D3A"/>
    <w:rsid w:val="00AD7840"/>
    <w:rsid w:val="00AE1E1C"/>
    <w:rsid w:val="00AF59A2"/>
    <w:rsid w:val="00AF6700"/>
    <w:rsid w:val="00AF6CF1"/>
    <w:rsid w:val="00B05633"/>
    <w:rsid w:val="00B1392C"/>
    <w:rsid w:val="00B3116A"/>
    <w:rsid w:val="00B333AB"/>
    <w:rsid w:val="00B44B48"/>
    <w:rsid w:val="00B45304"/>
    <w:rsid w:val="00B603AB"/>
    <w:rsid w:val="00B64BDE"/>
    <w:rsid w:val="00B670B5"/>
    <w:rsid w:val="00B73736"/>
    <w:rsid w:val="00B750BD"/>
    <w:rsid w:val="00B754F4"/>
    <w:rsid w:val="00B83761"/>
    <w:rsid w:val="00B91B88"/>
    <w:rsid w:val="00B97974"/>
    <w:rsid w:val="00B97CEE"/>
    <w:rsid w:val="00BA7F23"/>
    <w:rsid w:val="00BB5E45"/>
    <w:rsid w:val="00BB79A4"/>
    <w:rsid w:val="00BC35A8"/>
    <w:rsid w:val="00BC4268"/>
    <w:rsid w:val="00BD16C2"/>
    <w:rsid w:val="00BE2AA1"/>
    <w:rsid w:val="00BE2B6B"/>
    <w:rsid w:val="00C00172"/>
    <w:rsid w:val="00C03810"/>
    <w:rsid w:val="00C0389C"/>
    <w:rsid w:val="00C044A9"/>
    <w:rsid w:val="00C12323"/>
    <w:rsid w:val="00C15A07"/>
    <w:rsid w:val="00C21882"/>
    <w:rsid w:val="00C2679D"/>
    <w:rsid w:val="00C35A79"/>
    <w:rsid w:val="00C47377"/>
    <w:rsid w:val="00C5169E"/>
    <w:rsid w:val="00C526B3"/>
    <w:rsid w:val="00C862D2"/>
    <w:rsid w:val="00C92602"/>
    <w:rsid w:val="00CA12F0"/>
    <w:rsid w:val="00CA3F16"/>
    <w:rsid w:val="00CA5CF7"/>
    <w:rsid w:val="00CB0883"/>
    <w:rsid w:val="00CB269D"/>
    <w:rsid w:val="00CB7A9A"/>
    <w:rsid w:val="00CC5B87"/>
    <w:rsid w:val="00CC5BFC"/>
    <w:rsid w:val="00CE35CE"/>
    <w:rsid w:val="00D10293"/>
    <w:rsid w:val="00D10EA5"/>
    <w:rsid w:val="00D23A7A"/>
    <w:rsid w:val="00D26552"/>
    <w:rsid w:val="00D35420"/>
    <w:rsid w:val="00D40FED"/>
    <w:rsid w:val="00D4525A"/>
    <w:rsid w:val="00D51844"/>
    <w:rsid w:val="00D5475F"/>
    <w:rsid w:val="00D54854"/>
    <w:rsid w:val="00D70CB3"/>
    <w:rsid w:val="00D80F30"/>
    <w:rsid w:val="00D93E3D"/>
    <w:rsid w:val="00D9485E"/>
    <w:rsid w:val="00DA7DD9"/>
    <w:rsid w:val="00DB116E"/>
    <w:rsid w:val="00DB2529"/>
    <w:rsid w:val="00DE53EB"/>
    <w:rsid w:val="00DF1DCF"/>
    <w:rsid w:val="00E101F3"/>
    <w:rsid w:val="00E20266"/>
    <w:rsid w:val="00E243BA"/>
    <w:rsid w:val="00E335B9"/>
    <w:rsid w:val="00E36910"/>
    <w:rsid w:val="00E41516"/>
    <w:rsid w:val="00E44CE6"/>
    <w:rsid w:val="00E700F7"/>
    <w:rsid w:val="00E83012"/>
    <w:rsid w:val="00E904AE"/>
    <w:rsid w:val="00E97312"/>
    <w:rsid w:val="00EA1598"/>
    <w:rsid w:val="00EB4A24"/>
    <w:rsid w:val="00EB7811"/>
    <w:rsid w:val="00ED1A8B"/>
    <w:rsid w:val="00ED3661"/>
    <w:rsid w:val="00ED442A"/>
    <w:rsid w:val="00ED5601"/>
    <w:rsid w:val="00EF0B14"/>
    <w:rsid w:val="00F02614"/>
    <w:rsid w:val="00F053B0"/>
    <w:rsid w:val="00F11BD6"/>
    <w:rsid w:val="00F40609"/>
    <w:rsid w:val="00F4157A"/>
    <w:rsid w:val="00F46517"/>
    <w:rsid w:val="00F5199D"/>
    <w:rsid w:val="00F51D3E"/>
    <w:rsid w:val="00F56806"/>
    <w:rsid w:val="00F571D6"/>
    <w:rsid w:val="00F62AC4"/>
    <w:rsid w:val="00F65911"/>
    <w:rsid w:val="00F84402"/>
    <w:rsid w:val="00F86E79"/>
    <w:rsid w:val="00F879EE"/>
    <w:rsid w:val="00F926AF"/>
    <w:rsid w:val="00FA43C2"/>
    <w:rsid w:val="00FA4C36"/>
    <w:rsid w:val="00FB1F2E"/>
    <w:rsid w:val="00FB2ADB"/>
    <w:rsid w:val="00FB3101"/>
    <w:rsid w:val="00FB4157"/>
    <w:rsid w:val="00FE17BB"/>
    <w:rsid w:val="00FF39E4"/>
    <w:rsid w:val="00FF7179"/>
    <w:rsid w:val="0A076CD3"/>
    <w:rsid w:val="0A805D7E"/>
    <w:rsid w:val="0D3F8D48"/>
    <w:rsid w:val="0E160FFA"/>
    <w:rsid w:val="0E4720FC"/>
    <w:rsid w:val="0F2A440C"/>
    <w:rsid w:val="120E7191"/>
    <w:rsid w:val="1432ACE6"/>
    <w:rsid w:val="155B79EC"/>
    <w:rsid w:val="196266AA"/>
    <w:rsid w:val="19B07F92"/>
    <w:rsid w:val="1E8611B5"/>
    <w:rsid w:val="1F38FDB4"/>
    <w:rsid w:val="225F8D1D"/>
    <w:rsid w:val="22AF80E4"/>
    <w:rsid w:val="36784D2B"/>
    <w:rsid w:val="39A9B3A2"/>
    <w:rsid w:val="44BBA62A"/>
    <w:rsid w:val="44FCADDF"/>
    <w:rsid w:val="489C8667"/>
    <w:rsid w:val="4AD147DC"/>
    <w:rsid w:val="4B133522"/>
    <w:rsid w:val="4EE063BF"/>
    <w:rsid w:val="4F6ED94E"/>
    <w:rsid w:val="5120FB65"/>
    <w:rsid w:val="51FAED24"/>
    <w:rsid w:val="52CD5382"/>
    <w:rsid w:val="5ED3F284"/>
    <w:rsid w:val="5F590D0B"/>
    <w:rsid w:val="60979EED"/>
    <w:rsid w:val="63DA5D04"/>
    <w:rsid w:val="65FD39D7"/>
    <w:rsid w:val="7554E23A"/>
    <w:rsid w:val="7949FEC1"/>
    <w:rsid w:val="7D778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46F79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6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736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99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6C46C9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904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04AE"/>
  </w:style>
  <w:style w:type="paragraph" w:styleId="Footer">
    <w:name w:val="footer"/>
    <w:basedOn w:val="Normal"/>
    <w:link w:val="FooterChar"/>
    <w:uiPriority w:val="99"/>
    <w:unhideWhenUsed/>
    <w:rsid w:val="00E904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04AE"/>
  </w:style>
  <w:style w:type="table" w:styleId="TableGrid">
    <w:name w:val="Table Grid"/>
    <w:basedOn w:val="TableNormal"/>
    <w:uiPriority w:val="39"/>
    <w:rsid w:val="002F48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0CB3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D70CB3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3D31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31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31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1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17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1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17D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392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392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1392C"/>
    <w:rPr>
      <w:vertAlign w:val="superscript"/>
    </w:rPr>
  </w:style>
  <w:style w:type="paragraph" w:styleId="Revision">
    <w:name w:val="Revision"/>
    <w:hidden/>
    <w:uiPriority w:val="99"/>
    <w:semiHidden/>
    <w:rsid w:val="0014783D"/>
    <w:pPr>
      <w:widowControl/>
    </w:pPr>
  </w:style>
  <w:style w:type="character" w:styleId="UnresolvedMention">
    <w:name w:val="Unresolved Mention"/>
    <w:basedOn w:val="DefaultParagraphFont"/>
    <w:uiPriority w:val="99"/>
    <w:semiHidden/>
    <w:unhideWhenUsed/>
    <w:rsid w:val="00090093"/>
    <w:rPr>
      <w:color w:val="808080"/>
      <w:shd w:val="clear" w:color="auto" w:fill="E6E6E6"/>
    </w:rPr>
  </w:style>
  <w:style w:type="paragraph" w:customStyle="1" w:styleId="Level1">
    <w:name w:val="Level 1"/>
    <w:basedOn w:val="Normal"/>
    <w:uiPriority w:val="99"/>
    <w:rsid w:val="00320493"/>
    <w:pPr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320493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4599B"/>
  </w:style>
  <w:style w:type="character" w:customStyle="1" w:styleId="eop">
    <w:name w:val="eop"/>
    <w:basedOn w:val="DefaultParagraphFont"/>
    <w:rsid w:val="0024599B"/>
  </w:style>
  <w:style w:type="paragraph" w:customStyle="1" w:styleId="paragraph">
    <w:name w:val="paragraph"/>
    <w:basedOn w:val="Normal"/>
    <w:rsid w:val="006916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20266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8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89B4D-BFD2-4C11-AEB0-562A712B0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2020-02-28T23:03:00Z</dcterms:created>
  <dcterms:modified xsi:type="dcterms:W3CDTF">2020-02-29T00:10:00Z</dcterms:modified>
</cp:coreProperties>
</file>