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D266" w14:textId="77777777" w:rsidR="00F15F49" w:rsidRDefault="00F15F49" w:rsidP="00E06687">
      <w:pPr>
        <w:autoSpaceDE w:val="0"/>
        <w:autoSpaceDN w:val="0"/>
        <w:adjustRightInd w:val="0"/>
        <w:spacing w:after="0" w:line="240" w:lineRule="auto"/>
        <w:ind w:left="720" w:hanging="360"/>
      </w:pPr>
    </w:p>
    <w:p w14:paraId="7861FD75" w14:textId="3EF466D5" w:rsidR="00E06687" w:rsidRPr="00E06687" w:rsidRDefault="00E06687" w:rsidP="00E06687">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E06687">
        <w:rPr>
          <w:rFonts w:ascii="TimesNewRomanPSMT" w:hAnsi="TimesNewRomanPSMT" w:cs="TimesNewRomanPSMT"/>
          <w:sz w:val="24"/>
          <w:szCs w:val="24"/>
        </w:rPr>
        <w:t>Please explain the methodology that SDG&amp;E uses to allocate net revenues/energy</w:t>
      </w:r>
    </w:p>
    <w:p w14:paraId="624562A5"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sales/sales for resale (of excess capacity) across customer classes. Please explain at</w:t>
      </w:r>
    </w:p>
    <w:p w14:paraId="1AE63893"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which point in the process the revenue is credited back to customers, and if it is</w:t>
      </w:r>
    </w:p>
    <w:p w14:paraId="0D1510B5" w14:textId="474B952E"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based on EPMC or some other weighting factor.</w:t>
      </w:r>
    </w:p>
    <w:p w14:paraId="39A6E58C" w14:textId="52C0EB8C" w:rsidR="00E06687" w:rsidRDefault="00E06687" w:rsidP="00E06687">
      <w:pPr>
        <w:autoSpaceDE w:val="0"/>
        <w:autoSpaceDN w:val="0"/>
        <w:adjustRightInd w:val="0"/>
        <w:spacing w:after="0" w:line="240" w:lineRule="auto"/>
        <w:rPr>
          <w:rFonts w:ascii="TimesNewRomanPSMT" w:hAnsi="TimesNewRomanPSMT" w:cs="TimesNewRomanPSMT"/>
          <w:sz w:val="24"/>
          <w:szCs w:val="24"/>
        </w:rPr>
      </w:pPr>
    </w:p>
    <w:p w14:paraId="4E1942D5" w14:textId="66D8A37E" w:rsidR="00E06687" w:rsidRPr="00E06687" w:rsidRDefault="00E06687" w:rsidP="00E06687">
      <w:pPr>
        <w:autoSpaceDE w:val="0"/>
        <w:autoSpaceDN w:val="0"/>
        <w:adjustRightInd w:val="0"/>
        <w:spacing w:after="0" w:line="240" w:lineRule="auto"/>
        <w:rPr>
          <w:rFonts w:ascii="TimesNewRomanPSMT" w:hAnsi="TimesNewRomanPSMT" w:cs="TimesNewRomanPSMT"/>
          <w:b/>
          <w:bCs/>
          <w:sz w:val="24"/>
          <w:szCs w:val="24"/>
        </w:rPr>
      </w:pPr>
      <w:r w:rsidRPr="00E06687">
        <w:rPr>
          <w:rFonts w:ascii="TimesNewRomanPSMT" w:hAnsi="TimesNewRomanPSMT" w:cs="TimesNewRomanPSMT"/>
          <w:b/>
          <w:bCs/>
          <w:sz w:val="24"/>
          <w:szCs w:val="24"/>
        </w:rPr>
        <w:t>Response:</w:t>
      </w:r>
    </w:p>
    <w:p w14:paraId="5D0D833F" w14:textId="0D88C50E" w:rsidR="005E2826" w:rsidRPr="00F9076B" w:rsidRDefault="00F9076B" w:rsidP="00F9076B">
      <w:pPr>
        <w:autoSpaceDE w:val="0"/>
        <w:autoSpaceDN w:val="0"/>
      </w:pPr>
      <w:r w:rsidRPr="00F9076B">
        <w:rPr>
          <w:rFonts w:ascii="TimesNewRomanPSMT" w:hAnsi="TimesNewRomanPSMT"/>
          <w:sz w:val="24"/>
          <w:szCs w:val="24"/>
        </w:rPr>
        <w:t xml:space="preserve">Currently, net revenues, energy sales, and sales for resale of excess capacity for </w:t>
      </w:r>
      <w:r w:rsidR="003B7FF1" w:rsidRPr="00F9076B">
        <w:rPr>
          <w:rFonts w:ascii="TimesNewRomanPSMT" w:hAnsi="TimesNewRomanPSMT"/>
          <w:sz w:val="24"/>
          <w:szCs w:val="24"/>
        </w:rPr>
        <w:t>Power Charge Indifference Amount (PCIA)</w:t>
      </w:r>
      <w:r w:rsidRPr="00F9076B">
        <w:rPr>
          <w:rFonts w:ascii="TimesNewRomanPSMT" w:hAnsi="TimesNewRomanPSMT"/>
          <w:sz w:val="24"/>
          <w:szCs w:val="24"/>
        </w:rPr>
        <w:t xml:space="preserve"> eligible generation resources are netted against “up to market” commodity costs in </w:t>
      </w:r>
      <w:r w:rsidR="000362F4">
        <w:rPr>
          <w:rFonts w:ascii="TimesNewRomanPSMT" w:hAnsi="TimesNewRomanPSMT"/>
          <w:sz w:val="24"/>
          <w:szCs w:val="24"/>
        </w:rPr>
        <w:t xml:space="preserve">Energy Resource Recovery Account (ERRA) </w:t>
      </w:r>
      <w:r w:rsidRPr="00F9076B">
        <w:rPr>
          <w:rFonts w:ascii="TimesNewRomanPSMT" w:hAnsi="TimesNewRomanPSMT"/>
          <w:sz w:val="24"/>
          <w:szCs w:val="24"/>
        </w:rPr>
        <w:t>and “above market” costs in</w:t>
      </w:r>
      <w:r w:rsidR="00336245">
        <w:rPr>
          <w:rFonts w:ascii="TimesNewRomanPSMT" w:hAnsi="TimesNewRomanPSMT"/>
          <w:sz w:val="24"/>
          <w:szCs w:val="24"/>
        </w:rPr>
        <w:t xml:space="preserve"> the Portfolio Allocation Balancing Account</w:t>
      </w:r>
      <w:r w:rsidRPr="00F9076B">
        <w:rPr>
          <w:rFonts w:ascii="TimesNewRomanPSMT" w:hAnsi="TimesNewRomanPSMT"/>
          <w:sz w:val="24"/>
          <w:szCs w:val="24"/>
        </w:rPr>
        <w:t xml:space="preserve"> </w:t>
      </w:r>
      <w:r w:rsidR="00336245">
        <w:rPr>
          <w:rFonts w:ascii="TimesNewRomanPSMT" w:hAnsi="TimesNewRomanPSMT"/>
          <w:sz w:val="24"/>
          <w:szCs w:val="24"/>
        </w:rPr>
        <w:t xml:space="preserve">(PABA). </w:t>
      </w:r>
      <w:r w:rsidRPr="00F9076B">
        <w:rPr>
          <w:rFonts w:ascii="TimesNewRomanPSMT" w:hAnsi="TimesNewRomanPSMT"/>
          <w:sz w:val="24"/>
          <w:szCs w:val="24"/>
        </w:rPr>
        <w:t>PABA. The</w:t>
      </w:r>
      <w:r w:rsidR="00234B27">
        <w:rPr>
          <w:rFonts w:ascii="TimesNewRomanPSMT" w:hAnsi="TimesNewRomanPSMT"/>
          <w:sz w:val="24"/>
          <w:szCs w:val="24"/>
        </w:rPr>
        <w:t xml:space="preserve"> </w:t>
      </w:r>
      <w:r w:rsidRPr="00F9076B">
        <w:rPr>
          <w:rFonts w:ascii="TimesNewRomanPSMT" w:hAnsi="TimesNewRomanPSMT"/>
          <w:sz w:val="24"/>
          <w:szCs w:val="24"/>
        </w:rPr>
        <w:t xml:space="preserve">net costs are allocated through the </w:t>
      </w:r>
      <w:r w:rsidR="003B7FF1">
        <w:rPr>
          <w:rFonts w:ascii="TimesNewRomanPSMT" w:hAnsi="TimesNewRomanPSMT"/>
          <w:sz w:val="24"/>
          <w:szCs w:val="24"/>
        </w:rPr>
        <w:t xml:space="preserve">PICA </w:t>
      </w:r>
      <w:r w:rsidRPr="00F9076B">
        <w:rPr>
          <w:rFonts w:ascii="TimesNewRomanPSMT" w:hAnsi="TimesNewRomanPSMT"/>
          <w:sz w:val="24"/>
          <w:szCs w:val="24"/>
        </w:rPr>
        <w:t xml:space="preserve">methodology by contract vintage, then allocated to PABA to be paid by all customers based on their vintage or </w:t>
      </w:r>
      <w:r w:rsidRPr="00F9076B">
        <w:rPr>
          <w:rFonts w:ascii="TimesNewRomanPSMT" w:hAnsi="TimesNewRomanPSMT"/>
          <w:strike/>
          <w:sz w:val="24"/>
          <w:szCs w:val="24"/>
        </w:rPr>
        <w:t>in</w:t>
      </w:r>
      <w:r w:rsidRPr="00F9076B">
        <w:rPr>
          <w:rFonts w:ascii="TimesNewRomanPSMT" w:hAnsi="TimesNewRomanPSMT"/>
          <w:sz w:val="24"/>
          <w:szCs w:val="24"/>
        </w:rPr>
        <w:t xml:space="preserve"> ERRA to be paid by Bundled customers. The net costs are allocated to customer classes on an </w:t>
      </w:r>
      <w:r w:rsidR="00972FEB">
        <w:rPr>
          <w:rFonts w:ascii="TimesNewRomanPSMT" w:hAnsi="TimesNewRomanPSMT"/>
          <w:sz w:val="24"/>
          <w:szCs w:val="24"/>
        </w:rPr>
        <w:t xml:space="preserve">Equal </w:t>
      </w:r>
      <w:r w:rsidR="008E2662">
        <w:rPr>
          <w:rFonts w:ascii="TimesNewRomanPSMT" w:hAnsi="TimesNewRomanPSMT"/>
          <w:sz w:val="24"/>
          <w:szCs w:val="24"/>
        </w:rPr>
        <w:t xml:space="preserve">Percent Marginal Cost </w:t>
      </w:r>
      <w:r w:rsidRPr="00F9076B">
        <w:rPr>
          <w:rFonts w:ascii="TimesNewRomanPSMT" w:hAnsi="TimesNewRomanPSMT"/>
          <w:sz w:val="24"/>
          <w:szCs w:val="24"/>
        </w:rPr>
        <w:t>EPMC basis. The PCIA phase 2 working groups are currently reviewing and defining this methodology going forward. Additionally, the net costs for local generation resources which are Cost Allocation Methodology (CAM) eligible are allocated to the customer classes based on the 12-month coincident peak demand methodology, pursuant to D.08-09-012 and D.06-07-029. SDG&amp;E’s current</w:t>
      </w:r>
      <w:r w:rsidR="008E2662">
        <w:rPr>
          <w:rFonts w:ascii="TimesNewRomanPSMT" w:hAnsi="TimesNewRomanPSMT"/>
          <w:sz w:val="24"/>
          <w:szCs w:val="24"/>
        </w:rPr>
        <w:t xml:space="preserve"> Local Generation Charge</w:t>
      </w:r>
      <w:r w:rsidRPr="00F9076B">
        <w:rPr>
          <w:rFonts w:ascii="TimesNewRomanPSMT" w:hAnsi="TimesNewRomanPSMT"/>
          <w:sz w:val="24"/>
          <w:szCs w:val="24"/>
        </w:rPr>
        <w:t xml:space="preserve"> </w:t>
      </w:r>
      <w:r w:rsidR="008E2662">
        <w:rPr>
          <w:rFonts w:ascii="TimesNewRomanPSMT" w:hAnsi="TimesNewRomanPSMT"/>
          <w:sz w:val="24"/>
          <w:szCs w:val="24"/>
        </w:rPr>
        <w:t>(</w:t>
      </w:r>
      <w:r w:rsidRPr="00F9076B">
        <w:rPr>
          <w:rFonts w:ascii="TimesNewRomanPSMT" w:hAnsi="TimesNewRomanPSMT"/>
          <w:sz w:val="24"/>
          <w:szCs w:val="24"/>
        </w:rPr>
        <w:t>LGC</w:t>
      </w:r>
      <w:r w:rsidR="008E2662">
        <w:rPr>
          <w:rFonts w:ascii="TimesNewRomanPSMT" w:hAnsi="TimesNewRomanPSMT"/>
          <w:sz w:val="24"/>
          <w:szCs w:val="24"/>
        </w:rPr>
        <w:t>)</w:t>
      </w:r>
      <w:r w:rsidRPr="00F9076B">
        <w:rPr>
          <w:rFonts w:ascii="TimesNewRomanPSMT" w:hAnsi="TimesNewRomanPSMT"/>
          <w:sz w:val="24"/>
          <w:szCs w:val="24"/>
        </w:rPr>
        <w:t>/</w:t>
      </w:r>
      <w:r w:rsidR="008E2662">
        <w:rPr>
          <w:rFonts w:ascii="TimesNewRomanPSMT" w:hAnsi="TimesNewRomanPSMT"/>
          <w:sz w:val="24"/>
          <w:szCs w:val="24"/>
        </w:rPr>
        <w:t xml:space="preserve"> </w:t>
      </w:r>
      <w:r w:rsidR="005234A0">
        <w:rPr>
          <w:rFonts w:ascii="TimesNewRomanPSMT" w:hAnsi="TimesNewRomanPSMT"/>
          <w:sz w:val="24"/>
          <w:szCs w:val="24"/>
        </w:rPr>
        <w:t>Cost Allocation Me</w:t>
      </w:r>
      <w:r w:rsidR="00234B27">
        <w:rPr>
          <w:rFonts w:ascii="TimesNewRomanPSMT" w:hAnsi="TimesNewRomanPSMT"/>
          <w:sz w:val="24"/>
          <w:szCs w:val="24"/>
        </w:rPr>
        <w:t xml:space="preserve">chanism (CAM) </w:t>
      </w:r>
      <w:r w:rsidRPr="00F9076B">
        <w:rPr>
          <w:rFonts w:ascii="TimesNewRomanPSMT" w:hAnsi="TimesNewRomanPSMT"/>
          <w:sz w:val="24"/>
          <w:szCs w:val="24"/>
        </w:rPr>
        <w:t>customer class revenue allocation was determined in the settlement adopted in D.17-08-030.</w:t>
      </w:r>
      <w:r w:rsidRPr="00F9076B">
        <w:t xml:space="preserve"> </w:t>
      </w:r>
    </w:p>
    <w:p w14:paraId="60C150F1"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p>
    <w:p w14:paraId="7C2EB728" w14:textId="0722E53F"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Please provide the capacity costs in the contracts for the following:</w:t>
      </w:r>
    </w:p>
    <w:p w14:paraId="27357DB5"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a. 300 MW from Pio Pico (D.14-02-016)</w:t>
      </w:r>
    </w:p>
    <w:p w14:paraId="4A244C1D"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b. 500 MW from Carlsbad Energy Center (D.15-05-051)</w:t>
      </w:r>
    </w:p>
    <w:p w14:paraId="6D88D9B0"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c. 88 MW of storage from DR contracts (D.18-05-024)</w:t>
      </w:r>
    </w:p>
    <w:p w14:paraId="20CED459" w14:textId="75D46A6A" w:rsidR="00E06687" w:rsidRDefault="00E06687" w:rsidP="00E06687">
      <w:pPr>
        <w:autoSpaceDE w:val="0"/>
        <w:autoSpaceDN w:val="0"/>
        <w:adjustRightInd w:val="0"/>
        <w:spacing w:after="0" w:line="240" w:lineRule="auto"/>
        <w:rPr>
          <w:rFonts w:ascii="TimesNewRomanPSMT" w:hAnsi="TimesNewRomanPSMT" w:cs="TimesNewRomanPSMT"/>
          <w:sz w:val="24"/>
          <w:szCs w:val="24"/>
        </w:rPr>
      </w:pPr>
    </w:p>
    <w:p w14:paraId="710355B9" w14:textId="77777777" w:rsidR="00DF423F" w:rsidRDefault="00DF423F" w:rsidP="00E06687">
      <w:pPr>
        <w:autoSpaceDE w:val="0"/>
        <w:autoSpaceDN w:val="0"/>
        <w:adjustRightInd w:val="0"/>
        <w:spacing w:after="0" w:line="240" w:lineRule="auto"/>
        <w:rPr>
          <w:rFonts w:ascii="TimesNewRomanPSMT" w:hAnsi="TimesNewRomanPSMT" w:cs="TimesNewRomanPSMT"/>
          <w:sz w:val="24"/>
          <w:szCs w:val="24"/>
        </w:rPr>
      </w:pPr>
    </w:p>
    <w:p w14:paraId="19F10C54" w14:textId="4F72C190" w:rsidR="00B63620" w:rsidRDefault="00AF0D61" w:rsidP="00B63620">
      <w:pPr>
        <w:autoSpaceDE w:val="0"/>
        <w:autoSpaceDN w:val="0"/>
        <w:adjustRightInd w:val="0"/>
        <w:spacing w:after="0" w:line="240" w:lineRule="auto"/>
        <w:rPr>
          <w:rFonts w:ascii="TimesNewRomanPSMT" w:hAnsi="TimesNewRomanPSMT" w:cs="TimesNewRomanPSMT"/>
          <w:b/>
          <w:bCs/>
          <w:sz w:val="24"/>
          <w:szCs w:val="24"/>
        </w:rPr>
      </w:pPr>
      <w:r w:rsidRPr="00E06687">
        <w:rPr>
          <w:rFonts w:ascii="TimesNewRomanPSMT" w:hAnsi="TimesNewRomanPSMT" w:cs="TimesNewRomanPSMT"/>
          <w:b/>
          <w:bCs/>
          <w:sz w:val="24"/>
          <w:szCs w:val="24"/>
        </w:rPr>
        <w:t>Response</w:t>
      </w:r>
      <w:r w:rsidR="00B63620">
        <w:rPr>
          <w:rFonts w:ascii="TimesNewRomanPSMT" w:hAnsi="TimesNewRomanPSMT" w:cs="TimesNewRomanPSMT"/>
          <w:b/>
          <w:bCs/>
          <w:sz w:val="24"/>
          <w:szCs w:val="24"/>
        </w:rPr>
        <w:t>:</w:t>
      </w:r>
    </w:p>
    <w:p w14:paraId="37D1D3AD" w14:textId="77777777" w:rsidR="00D246C9" w:rsidRDefault="00D246C9" w:rsidP="00D246C9">
      <w:pPr>
        <w:rPr>
          <w:color w:val="1F3864"/>
        </w:rPr>
      </w:pPr>
      <w:r>
        <w:rPr>
          <w:rFonts w:ascii="Times New Roman" w:hAnsi="Times New Roman" w:cs="Times New Roman"/>
          <w:sz w:val="24"/>
          <w:szCs w:val="24"/>
        </w:rPr>
        <w:t>SDG&amp;E objects to this request pursuant to Rule 10.1 of the Commission’s Rules of Practice and Procedure on the grounds that it seeks the production of information that is neither relevant to the subject matter involved in the pending proceeding nor is likely reasonably calculated to lead to the discovery of admissible evidence.</w:t>
      </w:r>
    </w:p>
    <w:p w14:paraId="1B6BD518" w14:textId="77777777" w:rsidR="00AF0D61" w:rsidRDefault="00AF0D61" w:rsidP="00E06687">
      <w:pPr>
        <w:autoSpaceDE w:val="0"/>
        <w:autoSpaceDN w:val="0"/>
        <w:adjustRightInd w:val="0"/>
        <w:spacing w:after="0" w:line="240" w:lineRule="auto"/>
        <w:rPr>
          <w:rFonts w:ascii="TimesNewRomanPSMT" w:hAnsi="TimesNewRomanPSMT" w:cs="TimesNewRomanPSMT"/>
          <w:sz w:val="24"/>
          <w:szCs w:val="24"/>
        </w:rPr>
      </w:pPr>
    </w:p>
    <w:p w14:paraId="36141705" w14:textId="734B0A16"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 Does SDG&amp;E have capacity contract prices to offer CCAs? If yes, please provide</w:t>
      </w:r>
    </w:p>
    <w:p w14:paraId="3BC3EBD1"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any level of detail possible (average price, such as $/mW, etc.)</w:t>
      </w:r>
    </w:p>
    <w:p w14:paraId="72978797" w14:textId="0C4F791D" w:rsidR="00E06687" w:rsidRDefault="00E06687" w:rsidP="00E06687">
      <w:pPr>
        <w:autoSpaceDE w:val="0"/>
        <w:autoSpaceDN w:val="0"/>
        <w:adjustRightInd w:val="0"/>
        <w:spacing w:after="0" w:line="240" w:lineRule="auto"/>
        <w:rPr>
          <w:rFonts w:ascii="TimesNewRomanPSMT" w:hAnsi="TimesNewRomanPSMT" w:cs="TimesNewRomanPSMT"/>
          <w:sz w:val="24"/>
          <w:szCs w:val="24"/>
        </w:rPr>
      </w:pPr>
    </w:p>
    <w:p w14:paraId="175CAF45" w14:textId="77777777" w:rsidR="00AF0D61" w:rsidRPr="00E06687" w:rsidRDefault="00AF0D61" w:rsidP="00AF0D61">
      <w:pPr>
        <w:autoSpaceDE w:val="0"/>
        <w:autoSpaceDN w:val="0"/>
        <w:adjustRightInd w:val="0"/>
        <w:spacing w:after="0" w:line="240" w:lineRule="auto"/>
        <w:rPr>
          <w:rFonts w:ascii="TimesNewRomanPSMT" w:hAnsi="TimesNewRomanPSMT" w:cs="TimesNewRomanPSMT"/>
          <w:b/>
          <w:bCs/>
          <w:sz w:val="24"/>
          <w:szCs w:val="24"/>
        </w:rPr>
      </w:pPr>
      <w:r w:rsidRPr="00E06687">
        <w:rPr>
          <w:rFonts w:ascii="TimesNewRomanPSMT" w:hAnsi="TimesNewRomanPSMT" w:cs="TimesNewRomanPSMT"/>
          <w:b/>
          <w:bCs/>
          <w:sz w:val="24"/>
          <w:szCs w:val="24"/>
        </w:rPr>
        <w:t>Response:</w:t>
      </w:r>
    </w:p>
    <w:p w14:paraId="59BCB598" w14:textId="2AD85EA8" w:rsidR="00AF0D61" w:rsidRDefault="00980749" w:rsidP="00AF0D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PCIA Phase 2 working group</w:t>
      </w:r>
      <w:r w:rsidR="00BB6107">
        <w:rPr>
          <w:rFonts w:ascii="TimesNewRomanPSMT" w:hAnsi="TimesNewRomanPSMT" w:cs="TimesNewRomanPSMT"/>
          <w:sz w:val="24"/>
          <w:szCs w:val="24"/>
        </w:rPr>
        <w:t xml:space="preserve"> 3</w:t>
      </w:r>
      <w:r>
        <w:rPr>
          <w:rFonts w:ascii="TimesNewRomanPSMT" w:hAnsi="TimesNewRomanPSMT" w:cs="TimesNewRomanPSMT"/>
          <w:sz w:val="24"/>
          <w:szCs w:val="24"/>
        </w:rPr>
        <w:t xml:space="preserve"> is </w:t>
      </w:r>
      <w:r w:rsidR="00BB6107">
        <w:rPr>
          <w:rFonts w:ascii="TimesNewRomanPSMT" w:hAnsi="TimesNewRomanPSMT" w:cs="TimesNewRomanPSMT"/>
          <w:sz w:val="24"/>
          <w:szCs w:val="24"/>
        </w:rPr>
        <w:t xml:space="preserve">currently developing the methodology for </w:t>
      </w:r>
      <w:r w:rsidR="0098569A">
        <w:rPr>
          <w:rFonts w:ascii="TimesNewRomanPSMT" w:hAnsi="TimesNewRomanPSMT" w:cs="TimesNewRomanPSMT"/>
          <w:sz w:val="24"/>
          <w:szCs w:val="24"/>
        </w:rPr>
        <w:t xml:space="preserve">allocation or sale of contracts to departed load customers, such as CCA’s. </w:t>
      </w:r>
      <w:r w:rsidR="00B533CE">
        <w:rPr>
          <w:rFonts w:ascii="TimesNewRomanPSMT" w:hAnsi="TimesNewRomanPSMT" w:cs="TimesNewRomanPSMT"/>
          <w:sz w:val="24"/>
          <w:szCs w:val="24"/>
        </w:rPr>
        <w:t>The goal of this process is for</w:t>
      </w:r>
      <w:r w:rsidR="0058074E">
        <w:rPr>
          <w:rFonts w:ascii="TimesNewRomanPSMT" w:hAnsi="TimesNewRomanPSMT" w:cs="TimesNewRomanPSMT"/>
          <w:sz w:val="24"/>
          <w:szCs w:val="24"/>
        </w:rPr>
        <w:t xml:space="preserve"> </w:t>
      </w:r>
      <w:r w:rsidR="0058074E">
        <w:rPr>
          <w:rFonts w:ascii="TimesNewRomanPSMT" w:hAnsi="TimesNewRomanPSMT" w:cs="TimesNewRomanPSMT"/>
          <w:sz w:val="24"/>
          <w:szCs w:val="24"/>
        </w:rPr>
        <w:lastRenderedPageBreak/>
        <w:t xml:space="preserve">IOU’s to be able to offer contracts or contract </w:t>
      </w:r>
      <w:r w:rsidR="000A3CC0">
        <w:rPr>
          <w:rFonts w:ascii="TimesNewRomanPSMT" w:hAnsi="TimesNewRomanPSMT" w:cs="TimesNewRomanPSMT"/>
          <w:sz w:val="24"/>
          <w:szCs w:val="24"/>
        </w:rPr>
        <w:t xml:space="preserve">attributes/ </w:t>
      </w:r>
      <w:r w:rsidR="0053210E">
        <w:rPr>
          <w:rFonts w:ascii="TimesNewRomanPSMT" w:hAnsi="TimesNewRomanPSMT" w:cs="TimesNewRomanPSMT"/>
          <w:sz w:val="24"/>
          <w:szCs w:val="24"/>
        </w:rPr>
        <w:t>benefits to CCAs</w:t>
      </w:r>
      <w:r w:rsidR="003B7FF1">
        <w:rPr>
          <w:rFonts w:ascii="TimesNewRomanPSMT" w:hAnsi="TimesNewRomanPSMT" w:cs="TimesNewRomanPSMT"/>
          <w:sz w:val="24"/>
          <w:szCs w:val="24"/>
        </w:rPr>
        <w:t>.</w:t>
      </w:r>
      <w:r w:rsidR="000A3CC0">
        <w:rPr>
          <w:rFonts w:ascii="TimesNewRomanPSMT" w:hAnsi="TimesNewRomanPSMT" w:cs="TimesNewRomanPSMT"/>
          <w:sz w:val="24"/>
          <w:szCs w:val="24"/>
        </w:rPr>
        <w:t xml:space="preserve"> </w:t>
      </w:r>
      <w:r w:rsidR="003B7FF1">
        <w:rPr>
          <w:rFonts w:ascii="TimesNewRomanPSMT" w:hAnsi="TimesNewRomanPSMT" w:cs="TimesNewRomanPSMT"/>
          <w:sz w:val="24"/>
          <w:szCs w:val="24"/>
        </w:rPr>
        <w:t>T</w:t>
      </w:r>
      <w:r w:rsidR="000A3CC0">
        <w:rPr>
          <w:rFonts w:ascii="TimesNewRomanPSMT" w:hAnsi="TimesNewRomanPSMT" w:cs="TimesNewRomanPSMT"/>
          <w:sz w:val="24"/>
          <w:szCs w:val="24"/>
        </w:rPr>
        <w:t xml:space="preserve">he </w:t>
      </w:r>
      <w:r w:rsidR="00A32C3F">
        <w:rPr>
          <w:rFonts w:ascii="TimesNewRomanPSMT" w:hAnsi="TimesNewRomanPSMT" w:cs="TimesNewRomanPSMT"/>
          <w:sz w:val="24"/>
          <w:szCs w:val="24"/>
        </w:rPr>
        <w:t xml:space="preserve">process and </w:t>
      </w:r>
      <w:r w:rsidR="000A3CC0">
        <w:rPr>
          <w:rFonts w:ascii="TimesNewRomanPSMT" w:hAnsi="TimesNewRomanPSMT" w:cs="TimesNewRomanPSMT"/>
          <w:sz w:val="24"/>
          <w:szCs w:val="24"/>
        </w:rPr>
        <w:t xml:space="preserve">methodology </w:t>
      </w:r>
      <w:r w:rsidR="00A32C3F">
        <w:rPr>
          <w:rFonts w:ascii="TimesNewRomanPSMT" w:hAnsi="TimesNewRomanPSMT" w:cs="TimesNewRomanPSMT"/>
          <w:sz w:val="24"/>
          <w:szCs w:val="24"/>
        </w:rPr>
        <w:t xml:space="preserve">are </w:t>
      </w:r>
      <w:r w:rsidR="000A3CC0">
        <w:rPr>
          <w:rFonts w:ascii="TimesNewRomanPSMT" w:hAnsi="TimesNewRomanPSMT" w:cs="TimesNewRomanPSMT"/>
          <w:sz w:val="24"/>
          <w:szCs w:val="24"/>
        </w:rPr>
        <w:t>not yet complete.</w:t>
      </w:r>
    </w:p>
    <w:p w14:paraId="5FE60BB9" w14:textId="77777777" w:rsidR="00AF0D61" w:rsidRDefault="00AF0D61" w:rsidP="00E06687">
      <w:pPr>
        <w:autoSpaceDE w:val="0"/>
        <w:autoSpaceDN w:val="0"/>
        <w:adjustRightInd w:val="0"/>
        <w:spacing w:after="0" w:line="240" w:lineRule="auto"/>
        <w:rPr>
          <w:rFonts w:ascii="TimesNewRomanPSMT" w:hAnsi="TimesNewRomanPSMT" w:cs="TimesNewRomanPSMT"/>
          <w:sz w:val="24"/>
          <w:szCs w:val="24"/>
        </w:rPr>
      </w:pPr>
    </w:p>
    <w:p w14:paraId="663A71F6" w14:textId="39B5129B"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 Please provide for each year for the past 5 years, average capacity prices for the</w:t>
      </w:r>
    </w:p>
    <w:p w14:paraId="6B32DDAE"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capacity purchased by SDG&amp;E</w:t>
      </w:r>
    </w:p>
    <w:p w14:paraId="196F4AF5"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a. For current peak periods</w:t>
      </w:r>
    </w:p>
    <w:p w14:paraId="5D9B5E76"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b. For current off-peak periods</w:t>
      </w:r>
    </w:p>
    <w:p w14:paraId="2C83BD52"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c. For current super off-peak periods</w:t>
      </w:r>
    </w:p>
    <w:p w14:paraId="523145B2" w14:textId="378F65A8" w:rsidR="00E06687" w:rsidRDefault="00E06687" w:rsidP="00E06687">
      <w:pPr>
        <w:autoSpaceDE w:val="0"/>
        <w:autoSpaceDN w:val="0"/>
        <w:adjustRightInd w:val="0"/>
        <w:spacing w:after="0" w:line="240" w:lineRule="auto"/>
        <w:rPr>
          <w:rFonts w:ascii="TimesNewRomanPSMT" w:hAnsi="TimesNewRomanPSMT" w:cs="TimesNewRomanPSMT"/>
          <w:sz w:val="24"/>
          <w:szCs w:val="24"/>
        </w:rPr>
      </w:pPr>
    </w:p>
    <w:p w14:paraId="72327866" w14:textId="77777777" w:rsidR="00AF0D61" w:rsidRPr="00E06687" w:rsidRDefault="00AF0D61" w:rsidP="00AF0D61">
      <w:pPr>
        <w:autoSpaceDE w:val="0"/>
        <w:autoSpaceDN w:val="0"/>
        <w:adjustRightInd w:val="0"/>
        <w:spacing w:after="0" w:line="240" w:lineRule="auto"/>
        <w:rPr>
          <w:rFonts w:ascii="TimesNewRomanPSMT" w:hAnsi="TimesNewRomanPSMT" w:cs="TimesNewRomanPSMT"/>
          <w:b/>
          <w:bCs/>
          <w:sz w:val="24"/>
          <w:szCs w:val="24"/>
        </w:rPr>
      </w:pPr>
      <w:r w:rsidRPr="00E06687">
        <w:rPr>
          <w:rFonts w:ascii="TimesNewRomanPSMT" w:hAnsi="TimesNewRomanPSMT" w:cs="TimesNewRomanPSMT"/>
          <w:b/>
          <w:bCs/>
          <w:sz w:val="24"/>
          <w:szCs w:val="24"/>
        </w:rPr>
        <w:t>Response:</w:t>
      </w:r>
    </w:p>
    <w:p w14:paraId="4EAD056E" w14:textId="383B9877" w:rsidR="00AB4677" w:rsidRDefault="001B15FB" w:rsidP="00234B27">
      <w:pPr>
        <w:autoSpaceDE w:val="0"/>
        <w:autoSpaceDN w:val="0"/>
        <w:spacing w:after="0" w:line="240" w:lineRule="auto"/>
        <w:rPr>
          <w:rFonts w:ascii="TimesNewRomanPSMT" w:hAnsi="TimesNewRomanPSMT" w:cs="TimesNewRomanPSMT"/>
          <w:sz w:val="24"/>
          <w:szCs w:val="24"/>
        </w:rPr>
      </w:pPr>
      <w:r>
        <w:rPr>
          <w:rFonts w:ascii="TimesNewRomanPSMT" w:hAnsi="TimesNewRomanPSMT"/>
          <w:sz w:val="24"/>
          <w:szCs w:val="24"/>
        </w:rPr>
        <w:t xml:space="preserve">SDG&amp;E does not procure capacity by TOU period. </w:t>
      </w:r>
    </w:p>
    <w:p w14:paraId="133BA4EB" w14:textId="77777777" w:rsidR="00AF0D61" w:rsidRDefault="00AF0D61" w:rsidP="00E06687">
      <w:pPr>
        <w:autoSpaceDE w:val="0"/>
        <w:autoSpaceDN w:val="0"/>
        <w:adjustRightInd w:val="0"/>
        <w:spacing w:after="0" w:line="240" w:lineRule="auto"/>
        <w:rPr>
          <w:rFonts w:ascii="TimesNewRomanPSMT" w:hAnsi="TimesNewRomanPSMT" w:cs="TimesNewRomanPSMT"/>
          <w:sz w:val="24"/>
          <w:szCs w:val="24"/>
        </w:rPr>
      </w:pPr>
    </w:p>
    <w:p w14:paraId="5502AE35" w14:textId="3A39B068"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In calculating the top 100 LOLE, does SDG&amp;E include the load of the Agriculture</w:t>
      </w:r>
    </w:p>
    <w:p w14:paraId="62E202AA" w14:textId="77777777" w:rsidR="00E06687" w:rsidRDefault="00E06687" w:rsidP="00E066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class, or any other interruptible customer class?</w:t>
      </w:r>
    </w:p>
    <w:p w14:paraId="138D24AE" w14:textId="77777777" w:rsidR="00E06687" w:rsidRDefault="00E06687" w:rsidP="00E06687">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a. If not, please explain the methodology by which they are excluded.</w:t>
      </w:r>
    </w:p>
    <w:p w14:paraId="217B4C67" w14:textId="09735469" w:rsidR="00AF0D61" w:rsidRDefault="00E06687" w:rsidP="00B63620">
      <w:pPr>
        <w:ind w:left="720"/>
        <w:rPr>
          <w:rFonts w:ascii="TimesNewRomanPSMT" w:hAnsi="TimesNewRomanPSMT" w:cs="TimesNewRomanPSMT"/>
          <w:sz w:val="24"/>
          <w:szCs w:val="24"/>
        </w:rPr>
      </w:pPr>
      <w:r>
        <w:rPr>
          <w:rFonts w:ascii="TimesNewRomanPSMT" w:hAnsi="TimesNewRomanPSMT" w:cs="TimesNewRomanPSMT"/>
          <w:sz w:val="24"/>
          <w:szCs w:val="24"/>
        </w:rPr>
        <w:t>b. If so, please explain the rationale.</w:t>
      </w:r>
    </w:p>
    <w:p w14:paraId="53962E27" w14:textId="77777777" w:rsidR="00AF0D61" w:rsidRPr="00E06687" w:rsidRDefault="00AF0D61" w:rsidP="00AF0D61">
      <w:pPr>
        <w:autoSpaceDE w:val="0"/>
        <w:autoSpaceDN w:val="0"/>
        <w:adjustRightInd w:val="0"/>
        <w:spacing w:after="0" w:line="240" w:lineRule="auto"/>
        <w:rPr>
          <w:rFonts w:ascii="TimesNewRomanPSMT" w:hAnsi="TimesNewRomanPSMT" w:cs="TimesNewRomanPSMT"/>
          <w:b/>
          <w:bCs/>
          <w:sz w:val="24"/>
          <w:szCs w:val="24"/>
        </w:rPr>
      </w:pPr>
      <w:r w:rsidRPr="00E06687">
        <w:rPr>
          <w:rFonts w:ascii="TimesNewRomanPSMT" w:hAnsi="TimesNewRomanPSMT" w:cs="TimesNewRomanPSMT"/>
          <w:b/>
          <w:bCs/>
          <w:sz w:val="24"/>
          <w:szCs w:val="24"/>
        </w:rPr>
        <w:t>Response:</w:t>
      </w:r>
    </w:p>
    <w:p w14:paraId="296645F2" w14:textId="79A1E53B" w:rsidR="00AF0D61" w:rsidRDefault="00B86BD6" w:rsidP="00E668F6">
      <w:pPr>
        <w:autoSpaceDE w:val="0"/>
        <w:autoSpaceDN w:val="0"/>
        <w:rPr>
          <w:rFonts w:ascii="TimesNewRomanPSMT" w:hAnsi="TimesNewRomanPSMT"/>
          <w:sz w:val="24"/>
          <w:szCs w:val="24"/>
        </w:rPr>
      </w:pPr>
      <w:r>
        <w:rPr>
          <w:rFonts w:ascii="TimesNewRomanPSMT" w:hAnsi="TimesNewRomanPSMT"/>
          <w:sz w:val="24"/>
          <w:szCs w:val="24"/>
        </w:rPr>
        <w:t>In calculating the top 100 hour</w:t>
      </w:r>
      <w:r w:rsidR="00762092">
        <w:rPr>
          <w:rFonts w:ascii="TimesNewRomanPSMT" w:hAnsi="TimesNewRomanPSMT"/>
          <w:sz w:val="24"/>
          <w:szCs w:val="24"/>
        </w:rPr>
        <w:t xml:space="preserve"> Loss of Load Expectation</w:t>
      </w:r>
      <w:r>
        <w:rPr>
          <w:rFonts w:ascii="TimesNewRomanPSMT" w:hAnsi="TimesNewRomanPSMT"/>
          <w:sz w:val="24"/>
          <w:szCs w:val="24"/>
        </w:rPr>
        <w:t xml:space="preserve"> </w:t>
      </w:r>
      <w:r w:rsidR="00762092">
        <w:rPr>
          <w:rFonts w:ascii="TimesNewRomanPSMT" w:hAnsi="TimesNewRomanPSMT"/>
          <w:sz w:val="24"/>
          <w:szCs w:val="24"/>
        </w:rPr>
        <w:t>(</w:t>
      </w:r>
      <w:r>
        <w:rPr>
          <w:rFonts w:ascii="TimesNewRomanPSMT" w:hAnsi="TimesNewRomanPSMT"/>
          <w:sz w:val="24"/>
          <w:szCs w:val="24"/>
        </w:rPr>
        <w:t>LOLE</w:t>
      </w:r>
      <w:r w:rsidR="00762092">
        <w:rPr>
          <w:rFonts w:ascii="TimesNewRomanPSMT" w:hAnsi="TimesNewRomanPSMT"/>
          <w:sz w:val="24"/>
          <w:szCs w:val="24"/>
        </w:rPr>
        <w:t>)</w:t>
      </w:r>
      <w:r>
        <w:rPr>
          <w:rFonts w:ascii="TimesNewRomanPSMT" w:hAnsi="TimesNewRomanPSMT"/>
          <w:sz w:val="24"/>
          <w:szCs w:val="24"/>
        </w:rPr>
        <w:t xml:space="preserve">, SDG&amp;E includes all customer class load. The LOLE analysis is performed in order to allocate marginal capacity costs to customer classes based on their hourly usage in the hours when capacity is most needed. </w:t>
      </w:r>
      <w:r w:rsidR="00752AB4">
        <w:rPr>
          <w:rFonts w:ascii="TimesNewRomanPSMT" w:hAnsi="TimesNewRomanPSMT"/>
          <w:sz w:val="24"/>
          <w:szCs w:val="24"/>
        </w:rPr>
        <w:t>Since i</w:t>
      </w:r>
      <w:r>
        <w:rPr>
          <w:rFonts w:ascii="TimesNewRomanPSMT" w:hAnsi="TimesNewRomanPSMT"/>
          <w:sz w:val="24"/>
          <w:szCs w:val="24"/>
        </w:rPr>
        <w:t xml:space="preserve">nterruptible customers </w:t>
      </w:r>
      <w:r w:rsidR="00E3306D">
        <w:rPr>
          <w:rFonts w:ascii="TimesNewRomanPSMT" w:hAnsi="TimesNewRomanPSMT"/>
          <w:sz w:val="24"/>
          <w:szCs w:val="24"/>
        </w:rPr>
        <w:t>represent a</w:t>
      </w:r>
      <w:r w:rsidR="00AD125C">
        <w:rPr>
          <w:rFonts w:ascii="TimesNewRomanPSMT" w:hAnsi="TimesNewRomanPSMT"/>
          <w:sz w:val="24"/>
          <w:szCs w:val="24"/>
        </w:rPr>
        <w:t xml:space="preserve"> minimal </w:t>
      </w:r>
      <w:r w:rsidR="00E3306D">
        <w:rPr>
          <w:rFonts w:ascii="TimesNewRomanPSMT" w:hAnsi="TimesNewRomanPSMT"/>
          <w:sz w:val="24"/>
          <w:szCs w:val="24"/>
        </w:rPr>
        <w:t>portion of S</w:t>
      </w:r>
      <w:r w:rsidR="00AD125C">
        <w:rPr>
          <w:rFonts w:ascii="TimesNewRomanPSMT" w:hAnsi="TimesNewRomanPSMT"/>
          <w:sz w:val="24"/>
          <w:szCs w:val="24"/>
        </w:rPr>
        <w:t>DG&amp;</w:t>
      </w:r>
      <w:r w:rsidR="00E3306D">
        <w:rPr>
          <w:rFonts w:ascii="TimesNewRomanPSMT" w:hAnsi="TimesNewRomanPSMT"/>
          <w:sz w:val="24"/>
          <w:szCs w:val="24"/>
        </w:rPr>
        <w:t>E’s load</w:t>
      </w:r>
      <w:r w:rsidR="00752AB4">
        <w:rPr>
          <w:rFonts w:ascii="TimesNewRomanPSMT" w:hAnsi="TimesNewRomanPSMT"/>
          <w:sz w:val="24"/>
          <w:szCs w:val="24"/>
        </w:rPr>
        <w:t xml:space="preserve">, they </w:t>
      </w:r>
      <w:r w:rsidR="00051304">
        <w:rPr>
          <w:rFonts w:ascii="TimesNewRomanPSMT" w:hAnsi="TimesNewRomanPSMT"/>
          <w:sz w:val="24"/>
          <w:szCs w:val="24"/>
        </w:rPr>
        <w:t xml:space="preserve">would have </w:t>
      </w:r>
      <w:r w:rsidR="00220C34">
        <w:rPr>
          <w:rFonts w:ascii="TimesNewRomanPSMT" w:hAnsi="TimesNewRomanPSMT"/>
          <w:sz w:val="24"/>
          <w:szCs w:val="24"/>
        </w:rPr>
        <w:t xml:space="preserve">minimal </w:t>
      </w:r>
      <w:r w:rsidR="00051304">
        <w:rPr>
          <w:rFonts w:ascii="TimesNewRomanPSMT" w:hAnsi="TimesNewRomanPSMT"/>
          <w:sz w:val="24"/>
          <w:szCs w:val="24"/>
        </w:rPr>
        <w:t>effect on this calculation. Therefore</w:t>
      </w:r>
      <w:r w:rsidR="00E668F6">
        <w:rPr>
          <w:rFonts w:ascii="TimesNewRomanPSMT" w:hAnsi="TimesNewRomanPSMT"/>
          <w:sz w:val="24"/>
          <w:szCs w:val="24"/>
        </w:rPr>
        <w:t>,</w:t>
      </w:r>
      <w:r w:rsidR="00051304">
        <w:rPr>
          <w:rFonts w:ascii="TimesNewRomanPSMT" w:hAnsi="TimesNewRomanPSMT"/>
          <w:sz w:val="24"/>
          <w:szCs w:val="24"/>
        </w:rPr>
        <w:t xml:space="preserve"> they remain included in this calculation</w:t>
      </w:r>
      <w:r w:rsidR="00E668F6">
        <w:rPr>
          <w:rFonts w:ascii="TimesNewRomanPSMT" w:hAnsi="TimesNewRomanPSMT"/>
          <w:sz w:val="24"/>
          <w:szCs w:val="24"/>
        </w:rPr>
        <w:t>.</w:t>
      </w:r>
    </w:p>
    <w:p w14:paraId="200FBC42" w14:textId="16B5ED0C" w:rsidR="00590582" w:rsidRDefault="00590582" w:rsidP="00E668F6">
      <w:pPr>
        <w:autoSpaceDE w:val="0"/>
        <w:autoSpaceDN w:val="0"/>
        <w:rPr>
          <w:rFonts w:ascii="TimesNewRomanPSMT" w:hAnsi="TimesNewRomanPSMT"/>
          <w:sz w:val="24"/>
          <w:szCs w:val="24"/>
        </w:rPr>
      </w:pPr>
    </w:p>
    <w:p w14:paraId="0E51B8F6" w14:textId="77777777" w:rsidR="00590582"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 Please provide for each class for the past 10 years</w:t>
      </w:r>
    </w:p>
    <w:p w14:paraId="703166D1" w14:textId="77777777" w:rsidR="00590582"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 # of new actual customers</w:t>
      </w:r>
    </w:p>
    <w:p w14:paraId="32425BA2" w14:textId="77777777" w:rsidR="00590582"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 # of newly installed final line transformers for new customers (not</w:t>
      </w:r>
    </w:p>
    <w:p w14:paraId="36C22B7F" w14:textId="77777777" w:rsidR="00590582"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replacement)</w:t>
      </w:r>
    </w:p>
    <w:p w14:paraId="7A299868" w14:textId="000231C3" w:rsidR="00A142A3" w:rsidRPr="00F019EA"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 Total number of customers</w:t>
      </w:r>
      <w:bookmarkStart w:id="0" w:name="_GoBack"/>
      <w:bookmarkEnd w:id="0"/>
    </w:p>
    <w:p w14:paraId="1C2981F9" w14:textId="29FD6C1F" w:rsidR="00590582" w:rsidRPr="00590582" w:rsidRDefault="00590582" w:rsidP="00590582">
      <w:pPr>
        <w:autoSpaceDE w:val="0"/>
        <w:autoSpaceDN w:val="0"/>
        <w:adjustRightInd w:val="0"/>
        <w:rPr>
          <w:rFonts w:ascii="TimesNewRomanPSMT" w:hAnsi="TimesNewRomanPSMT" w:cs="TimesNewRomanPSMT"/>
          <w:sz w:val="24"/>
          <w:szCs w:val="24"/>
        </w:rPr>
      </w:pPr>
      <w:r>
        <w:rPr>
          <w:rFonts w:ascii="TimesNewRomanPSMT" w:hAnsi="TimesNewRomanPSMT" w:cs="TimesNewRomanPSMT"/>
        </w:rPr>
        <w:t>d. Total number of final line transformers</w:t>
      </w:r>
    </w:p>
    <w:p w14:paraId="697E5889" w14:textId="0E1DE46B" w:rsidR="00590582" w:rsidRPr="00BF143D" w:rsidRDefault="00590582" w:rsidP="00590582">
      <w:pPr>
        <w:autoSpaceDE w:val="0"/>
        <w:autoSpaceDN w:val="0"/>
        <w:adjustRightInd w:val="0"/>
        <w:rPr>
          <w:rFonts w:ascii="Times New Roman" w:hAnsi="Times New Roman" w:cs="Times New Roman"/>
          <w:b/>
          <w:bCs/>
          <w:sz w:val="24"/>
          <w:szCs w:val="24"/>
        </w:rPr>
      </w:pPr>
      <w:r w:rsidRPr="00675C28">
        <w:rPr>
          <w:rFonts w:ascii="TimesNewRomanPSMT" w:hAnsi="TimesNewRomanPSMT" w:cs="TimesNewRomanPSMT"/>
          <w:b/>
          <w:bCs/>
          <w:sz w:val="24"/>
          <w:szCs w:val="24"/>
        </w:rPr>
        <w:t>SDG&amp;E Response:</w:t>
      </w:r>
    </w:p>
    <w:p w14:paraId="2F17752F" w14:textId="18E87126" w:rsidR="00590582" w:rsidRPr="00BF143D" w:rsidRDefault="00590582" w:rsidP="00590582">
      <w:pPr>
        <w:pStyle w:val="ListParagraph"/>
        <w:numPr>
          <w:ilvl w:val="0"/>
          <w:numId w:val="3"/>
        </w:numPr>
        <w:autoSpaceDE w:val="0"/>
        <w:autoSpaceDN w:val="0"/>
        <w:adjustRightInd w:val="0"/>
        <w:spacing w:after="0" w:line="240" w:lineRule="auto"/>
        <w:contextualSpacing w:val="0"/>
        <w:rPr>
          <w:rFonts w:ascii="Times New Roman" w:hAnsi="Times New Roman" w:cs="Times New Roman"/>
          <w:bCs/>
          <w:sz w:val="24"/>
          <w:szCs w:val="24"/>
        </w:rPr>
      </w:pPr>
      <w:r w:rsidRPr="00BF143D">
        <w:rPr>
          <w:rFonts w:ascii="Times New Roman" w:hAnsi="Times New Roman" w:cs="Times New Roman"/>
          <w:sz w:val="24"/>
          <w:szCs w:val="24"/>
        </w:rPr>
        <w:t xml:space="preserve">The </w:t>
      </w:r>
      <w:r>
        <w:rPr>
          <w:rFonts w:ascii="Times New Roman" w:hAnsi="Times New Roman" w:cs="Times New Roman"/>
          <w:sz w:val="24"/>
          <w:szCs w:val="24"/>
        </w:rPr>
        <w:t xml:space="preserve">table </w:t>
      </w:r>
      <w:r w:rsidRPr="00BF143D">
        <w:rPr>
          <w:rFonts w:ascii="Times New Roman" w:hAnsi="Times New Roman" w:cs="Times New Roman"/>
          <w:sz w:val="24"/>
          <w:szCs w:val="24"/>
        </w:rPr>
        <w:t xml:space="preserve">below provides the number of new meter installations installed by SDG&amp;E </w:t>
      </w:r>
      <w:r w:rsidR="003D5EF4">
        <w:rPr>
          <w:rFonts w:ascii="Times New Roman" w:hAnsi="Times New Roman" w:cs="Times New Roman"/>
          <w:sz w:val="24"/>
          <w:szCs w:val="24"/>
        </w:rPr>
        <w:t>for</w:t>
      </w:r>
      <w:r w:rsidRPr="00BF143D">
        <w:rPr>
          <w:rFonts w:ascii="Times New Roman" w:hAnsi="Times New Roman" w:cs="Times New Roman"/>
          <w:sz w:val="24"/>
          <w:szCs w:val="24"/>
        </w:rPr>
        <w:t xml:space="preserve"> the most recent ten years, 2010-2019.  The new meter installation data is used as the basis for the number of new actual customers.  SDG&amp;E does not track the new meter installation data by non-residential customer class which is the reason the meter data provided was aggregated for non-residential customers. </w:t>
      </w:r>
    </w:p>
    <w:p w14:paraId="31F757C1" w14:textId="77777777" w:rsidR="00590582" w:rsidRDefault="00590582" w:rsidP="00590582">
      <w:pPr>
        <w:autoSpaceDE w:val="0"/>
        <w:autoSpaceDN w:val="0"/>
        <w:adjustRightInd w:val="0"/>
        <w:rPr>
          <w:rFonts w:ascii="TimesNewRomanPSMT" w:hAnsi="TimesNewRomanPSMT" w:cs="TimesNewRomanPSMT"/>
          <w:bCs/>
          <w:sz w:val="24"/>
          <w:szCs w:val="24"/>
        </w:rPr>
      </w:pPr>
    </w:p>
    <w:p w14:paraId="78EE4C1E" w14:textId="28497B46" w:rsidR="00590582" w:rsidRDefault="00590582" w:rsidP="00590582">
      <w:pPr>
        <w:autoSpaceDE w:val="0"/>
        <w:autoSpaceDN w:val="0"/>
        <w:adjustRightInd w:val="0"/>
        <w:ind w:left="720"/>
        <w:rPr>
          <w:rFonts w:ascii="TimesNewRomanPSMT" w:hAnsi="TimesNewRomanPSMT" w:cs="TimesNewRomanPSMT"/>
          <w:bCs/>
          <w:sz w:val="24"/>
          <w:szCs w:val="24"/>
        </w:rPr>
      </w:pPr>
      <w:r w:rsidRPr="00D239AA">
        <w:rPr>
          <w:noProof/>
        </w:rPr>
        <w:drawing>
          <wp:inline distT="0" distB="0" distL="0" distR="0" wp14:anchorId="6063A4CC" wp14:editId="69B61214">
            <wp:extent cx="2828925" cy="2324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inline>
        </w:drawing>
      </w:r>
    </w:p>
    <w:p w14:paraId="260AF650" w14:textId="77777777" w:rsidR="003D5EF4" w:rsidRDefault="003D5EF4" w:rsidP="00590582">
      <w:pPr>
        <w:autoSpaceDE w:val="0"/>
        <w:autoSpaceDN w:val="0"/>
        <w:adjustRightInd w:val="0"/>
        <w:ind w:left="720"/>
        <w:rPr>
          <w:rFonts w:ascii="TimesNewRomanPSMT" w:hAnsi="TimesNewRomanPSMT" w:cs="TimesNewRomanPSMT"/>
          <w:bCs/>
          <w:sz w:val="24"/>
          <w:szCs w:val="24"/>
        </w:rPr>
      </w:pPr>
    </w:p>
    <w:p w14:paraId="32D0A7FF" w14:textId="77777777" w:rsidR="00590582" w:rsidRPr="00BF143D" w:rsidRDefault="00590582" w:rsidP="00590582">
      <w:pPr>
        <w:pStyle w:val="ListParagraph"/>
        <w:numPr>
          <w:ilvl w:val="0"/>
          <w:numId w:val="3"/>
        </w:numPr>
        <w:autoSpaceDE w:val="0"/>
        <w:autoSpaceDN w:val="0"/>
        <w:adjustRightInd w:val="0"/>
        <w:spacing w:after="0" w:line="240" w:lineRule="auto"/>
        <w:contextualSpacing w:val="0"/>
        <w:rPr>
          <w:rFonts w:ascii="TimesNewRomanPSMT" w:hAnsi="TimesNewRomanPSMT" w:cs="TimesNewRomanPSMT"/>
          <w:bCs/>
          <w:sz w:val="24"/>
          <w:szCs w:val="24"/>
        </w:rPr>
      </w:pPr>
      <w:r w:rsidRPr="00BF143D">
        <w:rPr>
          <w:rFonts w:ascii="TimesNewRomanPSMT" w:hAnsi="TimesNewRomanPSMT" w:cs="TimesNewRomanPSMT"/>
          <w:bCs/>
          <w:sz w:val="24"/>
          <w:szCs w:val="24"/>
        </w:rPr>
        <w:t xml:space="preserve">SDG&amp;E does not track the number of newly installed </w:t>
      </w:r>
      <w:r>
        <w:rPr>
          <w:rFonts w:ascii="TimesNewRomanPSMT" w:hAnsi="TimesNewRomanPSMT" w:cs="TimesNewRomanPSMT"/>
          <w:bCs/>
          <w:sz w:val="24"/>
          <w:szCs w:val="24"/>
        </w:rPr>
        <w:t xml:space="preserve">final line </w:t>
      </w:r>
      <w:r w:rsidRPr="00BF143D">
        <w:rPr>
          <w:rFonts w:ascii="TimesNewRomanPSMT" w:hAnsi="TimesNewRomanPSMT" w:cs="TimesNewRomanPSMT"/>
          <w:bCs/>
          <w:sz w:val="24"/>
          <w:szCs w:val="24"/>
        </w:rPr>
        <w:t>transformers for each customer class.</w:t>
      </w:r>
    </w:p>
    <w:p w14:paraId="09C9C153" w14:textId="77777777" w:rsidR="00590582" w:rsidRPr="00BF143D" w:rsidRDefault="00590582" w:rsidP="00590582">
      <w:pPr>
        <w:pStyle w:val="ListParagraph"/>
        <w:rPr>
          <w:rFonts w:ascii="TimesNewRomanPSMT" w:hAnsi="TimesNewRomanPSMT" w:cs="TimesNewRomanPSMT"/>
          <w:bCs/>
          <w:sz w:val="24"/>
          <w:szCs w:val="24"/>
        </w:rPr>
      </w:pPr>
    </w:p>
    <w:p w14:paraId="32072595" w14:textId="1B3EFB51" w:rsidR="00D211FF" w:rsidRPr="003D5EF4" w:rsidRDefault="00590582" w:rsidP="00BE0A37">
      <w:pPr>
        <w:pStyle w:val="ListParagraph"/>
        <w:numPr>
          <w:ilvl w:val="0"/>
          <w:numId w:val="3"/>
        </w:numPr>
        <w:autoSpaceDE w:val="0"/>
        <w:autoSpaceDN w:val="0"/>
        <w:adjustRightInd w:val="0"/>
        <w:spacing w:after="0" w:line="240" w:lineRule="auto"/>
        <w:contextualSpacing w:val="0"/>
        <w:rPr>
          <w:rFonts w:ascii="TimesNewRomanPSMT" w:hAnsi="TimesNewRomanPSMT" w:cs="TimesNewRomanPSMT"/>
          <w:bCs/>
          <w:sz w:val="24"/>
          <w:szCs w:val="24"/>
        </w:rPr>
      </w:pPr>
      <w:r w:rsidRPr="003D5EF4">
        <w:rPr>
          <w:rFonts w:ascii="TimesNewRomanPSMT" w:hAnsi="TimesNewRomanPSMT" w:cs="TimesNewRomanPSMT"/>
          <w:bCs/>
          <w:sz w:val="24"/>
          <w:szCs w:val="24"/>
        </w:rPr>
        <w:t xml:space="preserve">The table below provides the total number of SDG&amp;E customers </w:t>
      </w:r>
      <w:r w:rsidR="003D5EF4">
        <w:rPr>
          <w:rFonts w:ascii="TimesNewRomanPSMT" w:hAnsi="TimesNewRomanPSMT" w:cs="TimesNewRomanPSMT"/>
          <w:bCs/>
          <w:sz w:val="24"/>
          <w:szCs w:val="24"/>
        </w:rPr>
        <w:t xml:space="preserve">for </w:t>
      </w:r>
      <w:r w:rsidRPr="003D5EF4">
        <w:rPr>
          <w:rFonts w:ascii="Times New Roman" w:hAnsi="Times New Roman" w:cs="Times New Roman"/>
          <w:sz w:val="24"/>
          <w:szCs w:val="24"/>
        </w:rPr>
        <w:t>the most recent ten years, 2010-2019.</w:t>
      </w:r>
      <w:r w:rsidR="00D211FF" w:rsidRPr="003D5EF4">
        <w:rPr>
          <w:rFonts w:ascii="Times New Roman" w:hAnsi="Times New Roman" w:cs="Times New Roman"/>
          <w:sz w:val="24"/>
          <w:szCs w:val="24"/>
        </w:rPr>
        <w:t xml:space="preserve"> </w:t>
      </w:r>
    </w:p>
    <w:p w14:paraId="7A77FE6D" w14:textId="77777777" w:rsidR="003D5EF4" w:rsidRPr="003D5EF4" w:rsidRDefault="003D5EF4" w:rsidP="003D5EF4">
      <w:pPr>
        <w:pStyle w:val="ListParagraph"/>
        <w:rPr>
          <w:rFonts w:ascii="TimesNewRomanPSMT" w:hAnsi="TimesNewRomanPSMT" w:cs="TimesNewRomanPSMT"/>
          <w:bCs/>
          <w:sz w:val="24"/>
          <w:szCs w:val="24"/>
        </w:rPr>
      </w:pPr>
    </w:p>
    <w:p w14:paraId="301A428E" w14:textId="172C70EF" w:rsidR="003D5EF4" w:rsidRPr="003D5EF4" w:rsidRDefault="003D5EF4" w:rsidP="003D5EF4">
      <w:pPr>
        <w:pStyle w:val="ListParagraph"/>
        <w:autoSpaceDE w:val="0"/>
        <w:autoSpaceDN w:val="0"/>
        <w:adjustRightInd w:val="0"/>
        <w:spacing w:after="0" w:line="240" w:lineRule="auto"/>
        <w:contextualSpacing w:val="0"/>
        <w:rPr>
          <w:rFonts w:ascii="TimesNewRomanPSMT" w:hAnsi="TimesNewRomanPSMT" w:cs="TimesNewRomanPSMT"/>
          <w:bCs/>
          <w:sz w:val="24"/>
          <w:szCs w:val="24"/>
        </w:rPr>
      </w:pPr>
      <w:r w:rsidRPr="003D5EF4">
        <w:rPr>
          <w:noProof/>
        </w:rPr>
        <w:drawing>
          <wp:inline distT="0" distB="0" distL="0" distR="0" wp14:anchorId="7DB0F3DA" wp14:editId="3FBAB2C7">
            <wp:extent cx="5943600" cy="1160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60780"/>
                    </a:xfrm>
                    <a:prstGeom prst="rect">
                      <a:avLst/>
                    </a:prstGeom>
                    <a:noFill/>
                    <a:ln>
                      <a:noFill/>
                    </a:ln>
                  </pic:spPr>
                </pic:pic>
              </a:graphicData>
            </a:graphic>
          </wp:inline>
        </w:drawing>
      </w:r>
    </w:p>
    <w:p w14:paraId="3C420AA9" w14:textId="77777777" w:rsidR="003D5EF4" w:rsidRPr="003D5EF4" w:rsidRDefault="003D5EF4" w:rsidP="003D5EF4">
      <w:pPr>
        <w:autoSpaceDE w:val="0"/>
        <w:autoSpaceDN w:val="0"/>
        <w:adjustRightInd w:val="0"/>
        <w:spacing w:after="0" w:line="240" w:lineRule="auto"/>
        <w:rPr>
          <w:rFonts w:ascii="TimesNewRomanPSMT" w:hAnsi="TimesNewRomanPSMT" w:cs="TimesNewRomanPSMT"/>
          <w:bCs/>
          <w:sz w:val="24"/>
          <w:szCs w:val="24"/>
        </w:rPr>
      </w:pPr>
    </w:p>
    <w:p w14:paraId="6E47C689" w14:textId="4AA75D3F" w:rsidR="003D5EF4" w:rsidRPr="00BF143D" w:rsidRDefault="003D5EF4" w:rsidP="003D5EF4">
      <w:pPr>
        <w:pStyle w:val="ListParagraph"/>
        <w:numPr>
          <w:ilvl w:val="0"/>
          <w:numId w:val="3"/>
        </w:numPr>
        <w:autoSpaceDE w:val="0"/>
        <w:autoSpaceDN w:val="0"/>
        <w:adjustRightInd w:val="0"/>
        <w:spacing w:after="0" w:line="240" w:lineRule="auto"/>
        <w:contextualSpacing w:val="0"/>
        <w:rPr>
          <w:rFonts w:ascii="TimesNewRomanPSMT" w:hAnsi="TimesNewRomanPSMT" w:cs="TimesNewRomanPSMT"/>
          <w:bCs/>
          <w:sz w:val="24"/>
          <w:szCs w:val="24"/>
        </w:rPr>
      </w:pPr>
      <w:r w:rsidRPr="00BF143D">
        <w:rPr>
          <w:rFonts w:ascii="TimesNewRomanPSMT" w:hAnsi="TimesNewRomanPSMT" w:cs="TimesNewRomanPSMT"/>
          <w:bCs/>
          <w:sz w:val="24"/>
          <w:szCs w:val="24"/>
        </w:rPr>
        <w:t xml:space="preserve">SDG&amp;E does not track the number of </w:t>
      </w:r>
      <w:r>
        <w:rPr>
          <w:rFonts w:ascii="TimesNewRomanPSMT" w:hAnsi="TimesNewRomanPSMT" w:cs="TimesNewRomanPSMT"/>
          <w:bCs/>
          <w:sz w:val="24"/>
          <w:szCs w:val="24"/>
        </w:rPr>
        <w:t xml:space="preserve">final line </w:t>
      </w:r>
      <w:r w:rsidRPr="00BF143D">
        <w:rPr>
          <w:rFonts w:ascii="TimesNewRomanPSMT" w:hAnsi="TimesNewRomanPSMT" w:cs="TimesNewRomanPSMT"/>
          <w:bCs/>
          <w:sz w:val="24"/>
          <w:szCs w:val="24"/>
        </w:rPr>
        <w:t>transformers for each customer class.</w:t>
      </w:r>
    </w:p>
    <w:p w14:paraId="501C1522" w14:textId="77777777" w:rsidR="00590582" w:rsidRPr="00BF143D" w:rsidRDefault="00590582" w:rsidP="00590582">
      <w:pPr>
        <w:pStyle w:val="ListParagraph"/>
        <w:rPr>
          <w:rFonts w:ascii="TimesNewRomanPSMT" w:hAnsi="TimesNewRomanPSMT" w:cs="TimesNewRomanPSMT"/>
          <w:bCs/>
          <w:sz w:val="24"/>
          <w:szCs w:val="24"/>
        </w:rPr>
      </w:pPr>
    </w:p>
    <w:p w14:paraId="5C539A42" w14:textId="77777777" w:rsidR="00590582" w:rsidRPr="00E668F6" w:rsidRDefault="00590582" w:rsidP="00E668F6">
      <w:pPr>
        <w:autoSpaceDE w:val="0"/>
        <w:autoSpaceDN w:val="0"/>
        <w:rPr>
          <w:rFonts w:ascii="TimesNewRomanPSMT" w:hAnsi="TimesNewRomanPSMT"/>
          <w:sz w:val="24"/>
          <w:szCs w:val="24"/>
        </w:rPr>
      </w:pPr>
    </w:p>
    <w:sectPr w:rsidR="00590582" w:rsidRPr="00E668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2FF7" w14:textId="77777777" w:rsidR="00C92C7D" w:rsidRDefault="00C92C7D" w:rsidP="009E0784">
      <w:pPr>
        <w:spacing w:after="0" w:line="240" w:lineRule="auto"/>
      </w:pPr>
      <w:r>
        <w:separator/>
      </w:r>
    </w:p>
  </w:endnote>
  <w:endnote w:type="continuationSeparator" w:id="0">
    <w:p w14:paraId="24B671A8" w14:textId="77777777" w:rsidR="00C92C7D" w:rsidRDefault="00C92C7D" w:rsidP="009E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98EB" w14:textId="77777777" w:rsidR="00C92C7D" w:rsidRDefault="00C92C7D" w:rsidP="009E0784">
      <w:pPr>
        <w:spacing w:after="0" w:line="240" w:lineRule="auto"/>
      </w:pPr>
      <w:r>
        <w:separator/>
      </w:r>
    </w:p>
  </w:footnote>
  <w:footnote w:type="continuationSeparator" w:id="0">
    <w:p w14:paraId="5A1059CD" w14:textId="77777777" w:rsidR="00C92C7D" w:rsidRDefault="00C92C7D" w:rsidP="009E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95C8" w14:textId="2EA420B3" w:rsidR="009E0784" w:rsidRPr="00BB3B03" w:rsidRDefault="009E0784" w:rsidP="009E0784">
    <w:pPr>
      <w:pStyle w:val="ListParagraph"/>
      <w:jc w:val="center"/>
      <w:rPr>
        <w:rFonts w:ascii="Times New Roman" w:hAnsi="Times New Roman" w:cs="Times New Roman"/>
        <w:b/>
      </w:rPr>
    </w:pPr>
    <w:r>
      <w:rPr>
        <w:rFonts w:ascii="Times New Roman" w:hAnsi="Times New Roman" w:cs="Times New Roman"/>
        <w:b/>
      </w:rPr>
      <w:t>TURN</w:t>
    </w:r>
    <w:r w:rsidRPr="00BB3B03">
      <w:rPr>
        <w:rFonts w:ascii="Times New Roman" w:hAnsi="Times New Roman" w:cs="Times New Roman"/>
        <w:b/>
      </w:rPr>
      <w:t xml:space="preserve"> DATA REQUEST</w:t>
    </w:r>
    <w:r>
      <w:rPr>
        <w:rFonts w:ascii="Times New Roman" w:hAnsi="Times New Roman" w:cs="Times New Roman"/>
        <w:b/>
      </w:rPr>
      <w:t xml:space="preserve"> – SDG&amp;E RESPONSE</w:t>
    </w:r>
    <w:r w:rsidRPr="00BB3B03">
      <w:rPr>
        <w:rFonts w:ascii="Times New Roman" w:hAnsi="Times New Roman" w:cs="Times New Roman"/>
        <w:b/>
      </w:rPr>
      <w:br/>
    </w:r>
    <w:r>
      <w:rPr>
        <w:rFonts w:ascii="Times New Roman" w:hAnsi="Times New Roman" w:cs="Times New Roman"/>
        <w:b/>
      </w:rPr>
      <w:t>TURN-SDGE-04</w:t>
    </w:r>
    <w:r w:rsidRPr="00BB3B03">
      <w:rPr>
        <w:rFonts w:ascii="Times New Roman" w:hAnsi="Times New Roman" w:cs="Times New Roman"/>
        <w:b/>
      </w:rPr>
      <w:br/>
      <w:t>SDG&amp;</w:t>
    </w:r>
    <w:r>
      <w:rPr>
        <w:rFonts w:ascii="Times New Roman" w:hAnsi="Times New Roman" w:cs="Times New Roman"/>
        <w:b/>
      </w:rPr>
      <w:t>E GRC PHASE 2</w:t>
    </w:r>
    <w:r w:rsidRPr="00BB3B03">
      <w:rPr>
        <w:rFonts w:ascii="Times New Roman" w:hAnsi="Times New Roman" w:cs="Times New Roman"/>
        <w:b/>
      </w:rPr>
      <w:t xml:space="preserve"> PROCEEDING</w:t>
    </w:r>
    <w:r>
      <w:rPr>
        <w:rFonts w:ascii="Times New Roman" w:hAnsi="Times New Roman" w:cs="Times New Roman"/>
        <w:b/>
      </w:rPr>
      <w:t xml:space="preserve"> -</w:t>
    </w:r>
    <w:r w:rsidRPr="00BB3B03">
      <w:rPr>
        <w:rFonts w:ascii="Times New Roman" w:hAnsi="Times New Roman" w:cs="Times New Roman"/>
        <w:b/>
      </w:rPr>
      <w:t xml:space="preserve"> A.19-0</w:t>
    </w:r>
    <w:r>
      <w:rPr>
        <w:rFonts w:ascii="Times New Roman" w:hAnsi="Times New Roman" w:cs="Times New Roman"/>
        <w:b/>
      </w:rPr>
      <w:t>3</w:t>
    </w:r>
    <w:r w:rsidRPr="00BB3B03">
      <w:rPr>
        <w:rFonts w:ascii="Times New Roman" w:hAnsi="Times New Roman" w:cs="Times New Roman"/>
        <w:b/>
      </w:rPr>
      <w:t>-00</w:t>
    </w:r>
    <w:r>
      <w:rPr>
        <w:rFonts w:ascii="Times New Roman" w:hAnsi="Times New Roman" w:cs="Times New Roman"/>
        <w:b/>
      </w:rPr>
      <w:t>2</w:t>
    </w:r>
    <w:r w:rsidRPr="00BB3B03">
      <w:rPr>
        <w:rFonts w:ascii="Times New Roman" w:hAnsi="Times New Roman" w:cs="Times New Roman"/>
        <w:b/>
      </w:rPr>
      <w:br/>
      <w:t xml:space="preserve">DATE RECEIVED: </w:t>
    </w:r>
    <w:r>
      <w:rPr>
        <w:rFonts w:ascii="Times New Roman" w:hAnsi="Times New Roman" w:cs="Times New Roman"/>
        <w:b/>
      </w:rPr>
      <w:t>February 18</w:t>
    </w:r>
    <w:r w:rsidRPr="00BB3B03">
      <w:rPr>
        <w:rFonts w:ascii="Times New Roman" w:hAnsi="Times New Roman" w:cs="Times New Roman"/>
        <w:b/>
      </w:rPr>
      <w:t>, 20</w:t>
    </w:r>
    <w:r>
      <w:rPr>
        <w:rFonts w:ascii="Times New Roman" w:hAnsi="Times New Roman" w:cs="Times New Roman"/>
        <w:b/>
      </w:rPr>
      <w:t>20</w:t>
    </w:r>
  </w:p>
  <w:p w14:paraId="3444D826" w14:textId="0E34EDE4" w:rsidR="009E0784" w:rsidRPr="00BB3B03" w:rsidRDefault="009E0784" w:rsidP="009E0784">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March 4, 2020</w:t>
    </w:r>
  </w:p>
  <w:p w14:paraId="1FCE015B" w14:textId="2B9FDB13" w:rsidR="009E0784" w:rsidRDefault="009E0784">
    <w:pPr>
      <w:pStyle w:val="Header"/>
    </w:pPr>
  </w:p>
  <w:p w14:paraId="611956F1" w14:textId="77777777" w:rsidR="009E0784" w:rsidRDefault="009E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1405"/>
    <w:multiLevelType w:val="hybridMultilevel"/>
    <w:tmpl w:val="13087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5142C"/>
    <w:multiLevelType w:val="hybridMultilevel"/>
    <w:tmpl w:val="D77A0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E77D4"/>
    <w:multiLevelType w:val="hybridMultilevel"/>
    <w:tmpl w:val="5C9C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87"/>
    <w:rsid w:val="000362F4"/>
    <w:rsid w:val="00051304"/>
    <w:rsid w:val="00072D71"/>
    <w:rsid w:val="00074126"/>
    <w:rsid w:val="000A3CC0"/>
    <w:rsid w:val="000F62B2"/>
    <w:rsid w:val="00147ADA"/>
    <w:rsid w:val="001749EB"/>
    <w:rsid w:val="00190D6E"/>
    <w:rsid w:val="001B15FB"/>
    <w:rsid w:val="001E539D"/>
    <w:rsid w:val="00201E18"/>
    <w:rsid w:val="00220C34"/>
    <w:rsid w:val="00234B27"/>
    <w:rsid w:val="0024756B"/>
    <w:rsid w:val="00272343"/>
    <w:rsid w:val="002D183F"/>
    <w:rsid w:val="002E4264"/>
    <w:rsid w:val="00336245"/>
    <w:rsid w:val="00393A26"/>
    <w:rsid w:val="003B7FF1"/>
    <w:rsid w:val="003D5EF4"/>
    <w:rsid w:val="00416391"/>
    <w:rsid w:val="00430745"/>
    <w:rsid w:val="004441E9"/>
    <w:rsid w:val="00464717"/>
    <w:rsid w:val="00471332"/>
    <w:rsid w:val="004941BC"/>
    <w:rsid w:val="004E66B0"/>
    <w:rsid w:val="0051401A"/>
    <w:rsid w:val="005234A0"/>
    <w:rsid w:val="00525DBF"/>
    <w:rsid w:val="0053210E"/>
    <w:rsid w:val="00557434"/>
    <w:rsid w:val="0058074E"/>
    <w:rsid w:val="00580EB6"/>
    <w:rsid w:val="00590582"/>
    <w:rsid w:val="005A6295"/>
    <w:rsid w:val="005A7028"/>
    <w:rsid w:val="005B7B37"/>
    <w:rsid w:val="005E2826"/>
    <w:rsid w:val="006512A6"/>
    <w:rsid w:val="006576B8"/>
    <w:rsid w:val="006601FF"/>
    <w:rsid w:val="00752AB4"/>
    <w:rsid w:val="00753307"/>
    <w:rsid w:val="00753679"/>
    <w:rsid w:val="00762092"/>
    <w:rsid w:val="007750E8"/>
    <w:rsid w:val="00780169"/>
    <w:rsid w:val="007C59E8"/>
    <w:rsid w:val="007C788C"/>
    <w:rsid w:val="007E5475"/>
    <w:rsid w:val="007F46A0"/>
    <w:rsid w:val="008E2662"/>
    <w:rsid w:val="00933B9A"/>
    <w:rsid w:val="0096456B"/>
    <w:rsid w:val="009651FC"/>
    <w:rsid w:val="00972FEB"/>
    <w:rsid w:val="00980749"/>
    <w:rsid w:val="0098569A"/>
    <w:rsid w:val="009C3030"/>
    <w:rsid w:val="009E0784"/>
    <w:rsid w:val="00A05837"/>
    <w:rsid w:val="00A142A3"/>
    <w:rsid w:val="00A1551F"/>
    <w:rsid w:val="00A32C3F"/>
    <w:rsid w:val="00A67F47"/>
    <w:rsid w:val="00A83ADD"/>
    <w:rsid w:val="00AA547A"/>
    <w:rsid w:val="00AB4677"/>
    <w:rsid w:val="00AD125C"/>
    <w:rsid w:val="00AF0D61"/>
    <w:rsid w:val="00B10EA1"/>
    <w:rsid w:val="00B11B1C"/>
    <w:rsid w:val="00B3235E"/>
    <w:rsid w:val="00B533CE"/>
    <w:rsid w:val="00B63620"/>
    <w:rsid w:val="00B678DB"/>
    <w:rsid w:val="00B85840"/>
    <w:rsid w:val="00B86BD6"/>
    <w:rsid w:val="00BA6EAE"/>
    <w:rsid w:val="00BB6107"/>
    <w:rsid w:val="00BC1FBD"/>
    <w:rsid w:val="00C06A41"/>
    <w:rsid w:val="00C07E1A"/>
    <w:rsid w:val="00C92C7D"/>
    <w:rsid w:val="00D01D1D"/>
    <w:rsid w:val="00D211FF"/>
    <w:rsid w:val="00D246C9"/>
    <w:rsid w:val="00D24957"/>
    <w:rsid w:val="00DC590E"/>
    <w:rsid w:val="00DF423F"/>
    <w:rsid w:val="00E06687"/>
    <w:rsid w:val="00E10A80"/>
    <w:rsid w:val="00E3306D"/>
    <w:rsid w:val="00E668F6"/>
    <w:rsid w:val="00EF5E57"/>
    <w:rsid w:val="00F019EA"/>
    <w:rsid w:val="00F04195"/>
    <w:rsid w:val="00F15F49"/>
    <w:rsid w:val="00F43710"/>
    <w:rsid w:val="00F9076B"/>
    <w:rsid w:val="00F92A82"/>
    <w:rsid w:val="00FC09EF"/>
    <w:rsid w:val="00FC478A"/>
    <w:rsid w:val="00FF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7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06687"/>
  </w:style>
  <w:style w:type="character" w:customStyle="1" w:styleId="spellingerror">
    <w:name w:val="spellingerror"/>
    <w:basedOn w:val="DefaultParagraphFont"/>
    <w:rsid w:val="00E06687"/>
  </w:style>
  <w:style w:type="character" w:customStyle="1" w:styleId="eop">
    <w:name w:val="eop"/>
    <w:basedOn w:val="DefaultParagraphFont"/>
    <w:rsid w:val="00E06687"/>
  </w:style>
  <w:style w:type="paragraph" w:styleId="ListParagraph">
    <w:name w:val="List Paragraph"/>
    <w:basedOn w:val="Normal"/>
    <w:uiPriority w:val="34"/>
    <w:qFormat/>
    <w:rsid w:val="00E06687"/>
    <w:pPr>
      <w:ind w:left="720"/>
      <w:contextualSpacing/>
    </w:pPr>
  </w:style>
  <w:style w:type="paragraph" w:styleId="BodyText">
    <w:name w:val="Body Text"/>
    <w:basedOn w:val="Normal"/>
    <w:link w:val="BodyTextChar"/>
    <w:uiPriority w:val="1"/>
    <w:qFormat/>
    <w:rsid w:val="00590582"/>
    <w:pPr>
      <w:widowControl w:val="0"/>
      <w:spacing w:after="0" w:line="240" w:lineRule="auto"/>
      <w:ind w:left="1736"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9058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5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F4"/>
    <w:rPr>
      <w:rFonts w:ascii="Segoe UI" w:hAnsi="Segoe UI" w:cs="Segoe UI"/>
      <w:sz w:val="18"/>
      <w:szCs w:val="18"/>
    </w:rPr>
  </w:style>
  <w:style w:type="character" w:styleId="CommentReference">
    <w:name w:val="annotation reference"/>
    <w:basedOn w:val="DefaultParagraphFont"/>
    <w:uiPriority w:val="99"/>
    <w:semiHidden/>
    <w:unhideWhenUsed/>
    <w:rsid w:val="003B7FF1"/>
    <w:rPr>
      <w:sz w:val="16"/>
      <w:szCs w:val="16"/>
    </w:rPr>
  </w:style>
  <w:style w:type="paragraph" w:styleId="CommentText">
    <w:name w:val="annotation text"/>
    <w:basedOn w:val="Normal"/>
    <w:link w:val="CommentTextChar"/>
    <w:uiPriority w:val="99"/>
    <w:semiHidden/>
    <w:unhideWhenUsed/>
    <w:rsid w:val="003B7FF1"/>
    <w:pPr>
      <w:spacing w:line="240" w:lineRule="auto"/>
    </w:pPr>
    <w:rPr>
      <w:sz w:val="20"/>
      <w:szCs w:val="20"/>
    </w:rPr>
  </w:style>
  <w:style w:type="character" w:customStyle="1" w:styleId="CommentTextChar">
    <w:name w:val="Comment Text Char"/>
    <w:basedOn w:val="DefaultParagraphFont"/>
    <w:link w:val="CommentText"/>
    <w:uiPriority w:val="99"/>
    <w:semiHidden/>
    <w:rsid w:val="003B7FF1"/>
    <w:rPr>
      <w:sz w:val="20"/>
      <w:szCs w:val="20"/>
    </w:rPr>
  </w:style>
  <w:style w:type="paragraph" w:styleId="CommentSubject">
    <w:name w:val="annotation subject"/>
    <w:basedOn w:val="CommentText"/>
    <w:next w:val="CommentText"/>
    <w:link w:val="CommentSubjectChar"/>
    <w:uiPriority w:val="99"/>
    <w:semiHidden/>
    <w:unhideWhenUsed/>
    <w:rsid w:val="003B7FF1"/>
    <w:rPr>
      <w:b/>
      <w:bCs/>
    </w:rPr>
  </w:style>
  <w:style w:type="character" w:customStyle="1" w:styleId="CommentSubjectChar">
    <w:name w:val="Comment Subject Char"/>
    <w:basedOn w:val="CommentTextChar"/>
    <w:link w:val="CommentSubject"/>
    <w:uiPriority w:val="99"/>
    <w:semiHidden/>
    <w:rsid w:val="003B7FF1"/>
    <w:rPr>
      <w:b/>
      <w:bCs/>
      <w:sz w:val="20"/>
      <w:szCs w:val="20"/>
    </w:rPr>
  </w:style>
  <w:style w:type="paragraph" w:styleId="Header">
    <w:name w:val="header"/>
    <w:basedOn w:val="Normal"/>
    <w:link w:val="HeaderChar"/>
    <w:uiPriority w:val="99"/>
    <w:unhideWhenUsed/>
    <w:rsid w:val="009E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84"/>
  </w:style>
  <w:style w:type="paragraph" w:styleId="Footer">
    <w:name w:val="footer"/>
    <w:basedOn w:val="Normal"/>
    <w:link w:val="FooterChar"/>
    <w:uiPriority w:val="99"/>
    <w:unhideWhenUsed/>
    <w:rsid w:val="009E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5479">
      <w:bodyDiv w:val="1"/>
      <w:marLeft w:val="0"/>
      <w:marRight w:val="0"/>
      <w:marTop w:val="0"/>
      <w:marBottom w:val="0"/>
      <w:divBdr>
        <w:top w:val="none" w:sz="0" w:space="0" w:color="auto"/>
        <w:left w:val="none" w:sz="0" w:space="0" w:color="auto"/>
        <w:bottom w:val="none" w:sz="0" w:space="0" w:color="auto"/>
        <w:right w:val="none" w:sz="0" w:space="0" w:color="auto"/>
      </w:divBdr>
    </w:div>
    <w:div w:id="565385843">
      <w:bodyDiv w:val="1"/>
      <w:marLeft w:val="0"/>
      <w:marRight w:val="0"/>
      <w:marTop w:val="0"/>
      <w:marBottom w:val="0"/>
      <w:divBdr>
        <w:top w:val="none" w:sz="0" w:space="0" w:color="auto"/>
        <w:left w:val="none" w:sz="0" w:space="0" w:color="auto"/>
        <w:bottom w:val="none" w:sz="0" w:space="0" w:color="auto"/>
        <w:right w:val="none" w:sz="0" w:space="0" w:color="auto"/>
      </w:divBdr>
    </w:div>
    <w:div w:id="1285235765">
      <w:bodyDiv w:val="1"/>
      <w:marLeft w:val="0"/>
      <w:marRight w:val="0"/>
      <w:marTop w:val="0"/>
      <w:marBottom w:val="0"/>
      <w:divBdr>
        <w:top w:val="none" w:sz="0" w:space="0" w:color="auto"/>
        <w:left w:val="none" w:sz="0" w:space="0" w:color="auto"/>
        <w:bottom w:val="none" w:sz="0" w:space="0" w:color="auto"/>
        <w:right w:val="none" w:sz="0" w:space="0" w:color="auto"/>
      </w:divBdr>
    </w:div>
    <w:div w:id="17805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2020-03-04T19:57:00Z</dcterms:created>
  <dcterms:modified xsi:type="dcterms:W3CDTF">2020-03-04T20:00:00Z</dcterms:modified>
</cp:coreProperties>
</file>