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51FF1" w14:textId="77777777" w:rsidR="00FD0196" w:rsidRPr="00CE0431" w:rsidRDefault="00FD0196">
      <w:pPr>
        <w:widowControl w:val="0"/>
        <w:outlineLvl w:val="0"/>
        <w:rPr>
          <w:color w:val="000000"/>
          <w:sz w:val="24"/>
          <w:szCs w:val="24"/>
        </w:rPr>
      </w:pPr>
    </w:p>
    <w:p w14:paraId="32154F2D" w14:textId="77777777" w:rsidR="00AE6355" w:rsidRPr="00CE0431" w:rsidRDefault="00932C83" w:rsidP="0007273D">
      <w:pPr>
        <w:pStyle w:val="Default"/>
        <w:spacing w:line="360" w:lineRule="auto"/>
        <w:rPr>
          <w:rFonts w:ascii="Times New Roman" w:hAnsi="Times New Roman" w:cs="Times New Roman"/>
          <w:sz w:val="32"/>
          <w:szCs w:val="32"/>
          <w:u w:val="single"/>
        </w:rPr>
      </w:pPr>
      <w:r w:rsidRPr="00CE0431">
        <w:rPr>
          <w:rFonts w:ascii="Times New Roman" w:hAnsi="Times New Roman" w:cs="Times New Roman"/>
          <w:u w:val="single"/>
        </w:rPr>
        <w:t>Subject:</w:t>
      </w:r>
      <w:r w:rsidRPr="00CE0431">
        <w:rPr>
          <w:rFonts w:ascii="Times New Roman" w:hAnsi="Times New Roman" w:cs="Times New Roman"/>
        </w:rPr>
        <w:t xml:space="preserve"> </w:t>
      </w:r>
      <w:r w:rsidR="00040A33" w:rsidRPr="00CE0431">
        <w:rPr>
          <w:rFonts w:ascii="Times New Roman" w:hAnsi="Times New Roman" w:cs="Times New Roman"/>
        </w:rPr>
        <w:t xml:space="preserve"> </w:t>
      </w:r>
    </w:p>
    <w:p w14:paraId="768B518D" w14:textId="6AA1AF20" w:rsidR="00AE6355" w:rsidRPr="0092433B" w:rsidRDefault="00AE6355" w:rsidP="0007273D">
      <w:pPr>
        <w:pStyle w:val="Default"/>
        <w:spacing w:line="360" w:lineRule="auto"/>
        <w:rPr>
          <w:rFonts w:ascii="Times New Roman" w:hAnsi="Times New Roman" w:cs="Times New Roman"/>
        </w:rPr>
      </w:pPr>
      <w:r w:rsidRPr="0092433B">
        <w:rPr>
          <w:rFonts w:ascii="Times New Roman" w:hAnsi="Times New Roman" w:cs="Times New Roman"/>
        </w:rPr>
        <w:t xml:space="preserve">Re: </w:t>
      </w:r>
      <w:r w:rsidR="00DE150E" w:rsidRPr="00DE150E">
        <w:rPr>
          <w:rFonts w:ascii="Times New Roman" w:hAnsi="Times New Roman" w:cs="Times New Roman"/>
        </w:rPr>
        <w:t>Application of San Diego Gas &amp; Electric Company for Authority to Update Marginal costs, Cost Allocation, and Electric Rate Design</w:t>
      </w:r>
      <w:r w:rsidR="0068479A">
        <w:rPr>
          <w:rFonts w:ascii="Times New Roman" w:hAnsi="Times New Roman" w:cs="Times New Roman"/>
        </w:rPr>
        <w:t>.</w:t>
      </w:r>
    </w:p>
    <w:p w14:paraId="59C4971E" w14:textId="77777777" w:rsidR="00C1062F" w:rsidRPr="00CE0431" w:rsidRDefault="00C1062F" w:rsidP="0007273D">
      <w:pPr>
        <w:widowControl w:val="0"/>
        <w:spacing w:line="360" w:lineRule="auto"/>
        <w:outlineLvl w:val="0"/>
        <w:rPr>
          <w:sz w:val="24"/>
          <w:szCs w:val="24"/>
          <w:u w:val="single"/>
        </w:rPr>
      </w:pPr>
    </w:p>
    <w:p w14:paraId="65E62E57" w14:textId="77777777" w:rsidR="00B42E9A" w:rsidRPr="00CE0431" w:rsidRDefault="004E7636" w:rsidP="0007273D">
      <w:pPr>
        <w:autoSpaceDE w:val="0"/>
        <w:autoSpaceDN w:val="0"/>
        <w:adjustRightInd w:val="0"/>
        <w:spacing w:line="360" w:lineRule="auto"/>
        <w:rPr>
          <w:sz w:val="24"/>
          <w:szCs w:val="24"/>
        </w:rPr>
      </w:pPr>
      <w:r w:rsidRPr="00CE0431">
        <w:rPr>
          <w:sz w:val="24"/>
          <w:szCs w:val="24"/>
          <w:u w:val="single"/>
        </w:rPr>
        <w:t>Request</w:t>
      </w:r>
      <w:r w:rsidRPr="00CE0431">
        <w:rPr>
          <w:sz w:val="24"/>
          <w:szCs w:val="24"/>
        </w:rPr>
        <w:t xml:space="preserve">: </w:t>
      </w:r>
    </w:p>
    <w:p w14:paraId="4A8CB4A5" w14:textId="32F8B816" w:rsidR="004234A5" w:rsidRDefault="00E80584" w:rsidP="0007273D">
      <w:pPr>
        <w:pStyle w:val="Default"/>
        <w:spacing w:line="360" w:lineRule="auto"/>
        <w:rPr>
          <w:rFonts w:ascii="Times New Roman" w:hAnsi="Times New Roman" w:cs="Times New Roman"/>
        </w:rPr>
      </w:pPr>
      <w:r>
        <w:rPr>
          <w:rFonts w:ascii="Times New Roman" w:hAnsi="Times New Roman" w:cs="Times New Roman"/>
        </w:rPr>
        <w:t xml:space="preserve">As part of SDG&amp;E’s GRC 2 application, </w:t>
      </w:r>
      <w:r w:rsidR="009308DF">
        <w:rPr>
          <w:rFonts w:ascii="Times New Roman" w:hAnsi="Times New Roman" w:cs="Times New Roman"/>
        </w:rPr>
        <w:t>E</w:t>
      </w:r>
      <w:r>
        <w:rPr>
          <w:rFonts w:ascii="Times New Roman" w:hAnsi="Times New Roman" w:cs="Times New Roman"/>
        </w:rPr>
        <w:t xml:space="preserve">nergy </w:t>
      </w:r>
      <w:r w:rsidR="009308DF">
        <w:rPr>
          <w:rFonts w:ascii="Times New Roman" w:hAnsi="Times New Roman" w:cs="Times New Roman"/>
        </w:rPr>
        <w:t>D</w:t>
      </w:r>
      <w:r>
        <w:rPr>
          <w:rFonts w:ascii="Times New Roman" w:hAnsi="Times New Roman" w:cs="Times New Roman"/>
        </w:rPr>
        <w:t>ivision</w:t>
      </w:r>
      <w:r w:rsidR="009308DF">
        <w:rPr>
          <w:rFonts w:ascii="Times New Roman" w:hAnsi="Times New Roman" w:cs="Times New Roman"/>
        </w:rPr>
        <w:t xml:space="preserve"> </w:t>
      </w:r>
      <w:r w:rsidR="00214B3D">
        <w:rPr>
          <w:rFonts w:ascii="Times New Roman" w:hAnsi="Times New Roman" w:cs="Times New Roman"/>
        </w:rPr>
        <w:t>has some</w:t>
      </w:r>
      <w:r w:rsidR="009308DF">
        <w:rPr>
          <w:rFonts w:ascii="Times New Roman" w:hAnsi="Times New Roman" w:cs="Times New Roman"/>
        </w:rPr>
        <w:t xml:space="preserve"> </w:t>
      </w:r>
      <w:r w:rsidR="00C60930">
        <w:rPr>
          <w:rFonts w:ascii="Times New Roman" w:hAnsi="Times New Roman" w:cs="Times New Roman"/>
        </w:rPr>
        <w:t>follow up</w:t>
      </w:r>
      <w:r w:rsidR="009308DF">
        <w:rPr>
          <w:rFonts w:ascii="Times New Roman" w:hAnsi="Times New Roman" w:cs="Times New Roman"/>
        </w:rPr>
        <w:t xml:space="preserve"> questions on the revenue impact of demand charges</w:t>
      </w:r>
      <w:r>
        <w:rPr>
          <w:rFonts w:ascii="Times New Roman" w:hAnsi="Times New Roman" w:cs="Times New Roman"/>
        </w:rPr>
        <w:t>.</w:t>
      </w:r>
      <w:r w:rsidR="00E30544">
        <w:rPr>
          <w:rFonts w:ascii="Times New Roman" w:hAnsi="Times New Roman" w:cs="Times New Roman"/>
        </w:rPr>
        <w:t xml:space="preserve"> </w:t>
      </w:r>
      <w:r w:rsidR="004234A5">
        <w:rPr>
          <w:rFonts w:ascii="Times New Roman" w:hAnsi="Times New Roman" w:cs="Times New Roman"/>
        </w:rPr>
        <w:t>Please provide the following:</w:t>
      </w:r>
    </w:p>
    <w:p w14:paraId="12FAED25" w14:textId="77777777" w:rsidR="00AE6355" w:rsidRPr="0092433B" w:rsidRDefault="00AE6355" w:rsidP="0007273D">
      <w:pPr>
        <w:pStyle w:val="Default"/>
        <w:spacing w:line="360" w:lineRule="auto"/>
        <w:rPr>
          <w:rFonts w:ascii="Times New Roman" w:hAnsi="Times New Roman" w:cs="Times New Roman"/>
        </w:rPr>
      </w:pPr>
      <w:r w:rsidRPr="0092433B">
        <w:rPr>
          <w:rFonts w:ascii="Times New Roman" w:hAnsi="Times New Roman" w:cs="Times New Roman"/>
        </w:rPr>
        <w:t xml:space="preserve"> </w:t>
      </w:r>
      <w:r w:rsidRPr="00AE6355">
        <w:rPr>
          <w:rFonts w:ascii="Times New Roman" w:hAnsi="Times New Roman" w:cs="Times New Roman"/>
        </w:rPr>
        <w:t xml:space="preserve"> </w:t>
      </w:r>
    </w:p>
    <w:p w14:paraId="44C356D6" w14:textId="75A84D36" w:rsidR="00DE150E" w:rsidRDefault="00DE150E" w:rsidP="003D66F4">
      <w:pPr>
        <w:pStyle w:val="ListParagraph"/>
        <w:numPr>
          <w:ilvl w:val="0"/>
          <w:numId w:val="1"/>
        </w:numPr>
        <w:spacing w:line="360" w:lineRule="auto"/>
        <w:rPr>
          <w:color w:val="000000"/>
          <w:sz w:val="24"/>
          <w:szCs w:val="24"/>
        </w:rPr>
      </w:pPr>
      <w:r w:rsidRPr="00DE150E">
        <w:rPr>
          <w:color w:val="000000"/>
          <w:sz w:val="24"/>
          <w:szCs w:val="24"/>
        </w:rPr>
        <w:t>Identify and describe all inputs and assumptions and provide the work</w:t>
      </w:r>
      <w:r w:rsidR="0007273D">
        <w:rPr>
          <w:color w:val="000000"/>
          <w:sz w:val="24"/>
          <w:szCs w:val="24"/>
        </w:rPr>
        <w:t xml:space="preserve"> </w:t>
      </w:r>
      <w:r w:rsidRPr="00DE150E">
        <w:rPr>
          <w:color w:val="000000"/>
          <w:sz w:val="24"/>
          <w:szCs w:val="24"/>
        </w:rPr>
        <w:t>papers, in Excel format, that SDG&amp;E used to calculate the 2015-2019 “under</w:t>
      </w:r>
      <w:r>
        <w:rPr>
          <w:color w:val="000000"/>
          <w:sz w:val="24"/>
          <w:szCs w:val="24"/>
        </w:rPr>
        <w:t>-</w:t>
      </w:r>
      <w:r w:rsidRPr="00DE150E">
        <w:rPr>
          <w:color w:val="000000"/>
          <w:sz w:val="24"/>
          <w:szCs w:val="24"/>
        </w:rPr>
        <w:t xml:space="preserve">collections” from </w:t>
      </w:r>
      <w:r w:rsidR="00B46393">
        <w:rPr>
          <w:color w:val="000000"/>
          <w:sz w:val="24"/>
          <w:szCs w:val="24"/>
        </w:rPr>
        <w:t xml:space="preserve">the </w:t>
      </w:r>
      <w:r w:rsidRPr="00DE150E">
        <w:rPr>
          <w:color w:val="000000"/>
          <w:sz w:val="24"/>
          <w:szCs w:val="24"/>
        </w:rPr>
        <w:t>implementation of Schedule DG-R, as shown on slide/page 8 of SDG&amp;E’s presentation during the August 27, 2019</w:t>
      </w:r>
      <w:r w:rsidR="00214B3D">
        <w:rPr>
          <w:color w:val="000000"/>
          <w:sz w:val="24"/>
          <w:szCs w:val="24"/>
        </w:rPr>
        <w:t>,</w:t>
      </w:r>
      <w:r w:rsidRPr="00DE150E">
        <w:rPr>
          <w:color w:val="000000"/>
          <w:sz w:val="24"/>
          <w:szCs w:val="24"/>
        </w:rPr>
        <w:t xml:space="preserve"> Demand Charge workshop. </w:t>
      </w:r>
    </w:p>
    <w:p w14:paraId="54A71936" w14:textId="24C0C390" w:rsidR="003D66F4" w:rsidRPr="003D66F4" w:rsidRDefault="003D66F4" w:rsidP="003D66F4">
      <w:pPr>
        <w:spacing w:line="360" w:lineRule="auto"/>
        <w:ind w:left="360"/>
        <w:rPr>
          <w:b/>
          <w:color w:val="000000"/>
          <w:sz w:val="24"/>
          <w:szCs w:val="24"/>
        </w:rPr>
      </w:pPr>
      <w:r w:rsidRPr="003D66F4">
        <w:rPr>
          <w:b/>
          <w:color w:val="000000"/>
          <w:sz w:val="24"/>
          <w:szCs w:val="24"/>
        </w:rPr>
        <w:t>SDG&amp;E Response:</w:t>
      </w:r>
    </w:p>
    <w:p w14:paraId="3DA025B5" w14:textId="311F6E2A" w:rsidR="00170E1C" w:rsidRPr="00170E1C" w:rsidRDefault="00C8262F" w:rsidP="00170E1C">
      <w:pPr>
        <w:rPr>
          <w:rFonts w:ascii="Calibri" w:hAnsi="Calibri" w:cs="Calibri"/>
          <w:b/>
          <w:bCs/>
          <w:color w:val="FF0000"/>
        </w:rPr>
      </w:pPr>
      <w:r>
        <w:rPr>
          <w:rFonts w:ascii="Calibri" w:hAnsi="Calibri" w:cs="Calibri"/>
          <w:b/>
          <w:bCs/>
          <w:color w:val="FF0000"/>
        </w:rPr>
        <w:t>This response contains</w:t>
      </w:r>
      <w:r w:rsidR="00170E1C" w:rsidRPr="00170E1C">
        <w:rPr>
          <w:rFonts w:ascii="Calibri" w:hAnsi="Calibri" w:cs="Calibri"/>
          <w:b/>
          <w:bCs/>
          <w:color w:val="FF0000"/>
        </w:rPr>
        <w:t xml:space="preserve"> Confidential Pursuant to </w:t>
      </w:r>
      <w:r w:rsidR="00391B6F">
        <w:rPr>
          <w:rFonts w:ascii="Calibri" w:hAnsi="Calibri" w:cs="Calibri"/>
          <w:b/>
          <w:bCs/>
          <w:color w:val="FF0000"/>
        </w:rPr>
        <w:t xml:space="preserve">the </w:t>
      </w:r>
      <w:r w:rsidR="00170E1C" w:rsidRPr="00170E1C">
        <w:rPr>
          <w:rFonts w:ascii="Calibri" w:hAnsi="Calibri" w:cs="Calibri"/>
          <w:b/>
          <w:bCs/>
          <w:color w:val="FF0000"/>
        </w:rPr>
        <w:t>Applicable Provisions</w:t>
      </w:r>
      <w:r w:rsidR="006F0680">
        <w:rPr>
          <w:rFonts w:ascii="Calibri" w:hAnsi="Calibri" w:cs="Calibri"/>
          <w:b/>
          <w:bCs/>
          <w:color w:val="FF0000"/>
        </w:rPr>
        <w:t xml:space="preserve"> of </w:t>
      </w:r>
      <w:r w:rsidR="00170E1C" w:rsidRPr="00170E1C">
        <w:rPr>
          <w:rFonts w:ascii="Calibri" w:hAnsi="Calibri" w:cs="Calibri"/>
          <w:b/>
          <w:bCs/>
          <w:color w:val="FF0000"/>
        </w:rPr>
        <w:t>G.O. 66-C, D.17-09-023, and PUC Code Section 583 and Section 454.5 (g)</w:t>
      </w:r>
      <w:r w:rsidR="00A269BF">
        <w:rPr>
          <w:rFonts w:ascii="Calibri" w:hAnsi="Calibri" w:cs="Calibri"/>
          <w:b/>
          <w:bCs/>
          <w:color w:val="FF0000"/>
        </w:rPr>
        <w:t>.</w:t>
      </w:r>
      <w:bookmarkStart w:id="0" w:name="_GoBack"/>
      <w:bookmarkEnd w:id="0"/>
    </w:p>
    <w:p w14:paraId="5BB112BE" w14:textId="77777777" w:rsidR="00DE150E" w:rsidRPr="00DE150E" w:rsidRDefault="00DE150E" w:rsidP="0007273D">
      <w:pPr>
        <w:pStyle w:val="ListParagraph"/>
        <w:spacing w:line="360" w:lineRule="auto"/>
        <w:rPr>
          <w:color w:val="000000"/>
          <w:sz w:val="24"/>
          <w:szCs w:val="24"/>
        </w:rPr>
      </w:pPr>
    </w:p>
    <w:p w14:paraId="14E722EA" w14:textId="2613349C" w:rsidR="00DE150E" w:rsidRPr="00DE150E" w:rsidRDefault="00DE150E" w:rsidP="003D66F4">
      <w:pPr>
        <w:pStyle w:val="ListParagraph"/>
        <w:numPr>
          <w:ilvl w:val="0"/>
          <w:numId w:val="1"/>
        </w:numPr>
        <w:spacing w:line="360" w:lineRule="auto"/>
        <w:rPr>
          <w:color w:val="000000"/>
          <w:sz w:val="24"/>
          <w:szCs w:val="24"/>
        </w:rPr>
      </w:pPr>
      <w:r w:rsidRPr="00DE150E">
        <w:rPr>
          <w:color w:val="000000"/>
          <w:sz w:val="24"/>
          <w:szCs w:val="24"/>
        </w:rPr>
        <w:t>To describe the impact to customers and to SDG&amp;E (if any) of moving from a 65</w:t>
      </w:r>
      <w:r w:rsidR="009308DF">
        <w:rPr>
          <w:color w:val="000000"/>
          <w:sz w:val="24"/>
          <w:szCs w:val="24"/>
        </w:rPr>
        <w:t>%:</w:t>
      </w:r>
      <w:r w:rsidRPr="00DE150E">
        <w:rPr>
          <w:color w:val="000000"/>
          <w:sz w:val="24"/>
          <w:szCs w:val="24"/>
        </w:rPr>
        <w:t>35% split between non-coincident and coincident peak demand charges (prior to D.17-08-030) to the 31%</w:t>
      </w:r>
      <w:r w:rsidR="009308DF">
        <w:rPr>
          <w:color w:val="000000"/>
          <w:sz w:val="24"/>
          <w:szCs w:val="24"/>
        </w:rPr>
        <w:t>:</w:t>
      </w:r>
      <w:r w:rsidRPr="00DE150E">
        <w:rPr>
          <w:color w:val="000000"/>
          <w:sz w:val="24"/>
          <w:szCs w:val="24"/>
        </w:rPr>
        <w:t>69% split between non-coincident and coincident peak demand charges adopted in D.17-08-030, please provide the following:</w:t>
      </w:r>
    </w:p>
    <w:p w14:paraId="02333651" w14:textId="03C2E602" w:rsidR="00DE150E" w:rsidRPr="003D66F4" w:rsidRDefault="00DE150E" w:rsidP="003D66F4">
      <w:pPr>
        <w:pStyle w:val="ListParagraph"/>
        <w:numPr>
          <w:ilvl w:val="0"/>
          <w:numId w:val="2"/>
        </w:numPr>
        <w:spacing w:line="360" w:lineRule="auto"/>
        <w:rPr>
          <w:color w:val="000000"/>
          <w:sz w:val="24"/>
          <w:szCs w:val="24"/>
        </w:rPr>
      </w:pPr>
      <w:r w:rsidRPr="00DE150E">
        <w:rPr>
          <w:color w:val="000000"/>
          <w:sz w:val="24"/>
          <w:szCs w:val="24"/>
        </w:rPr>
        <w:t xml:space="preserve">Describe the magnitude (if any) on SDG&amp;E’s annual revenue collections resulting </w:t>
      </w:r>
      <w:r w:rsidRPr="003D66F4">
        <w:rPr>
          <w:color w:val="000000"/>
          <w:sz w:val="24"/>
          <w:szCs w:val="24"/>
        </w:rPr>
        <w:t xml:space="preserve">from this change. </w:t>
      </w:r>
    </w:p>
    <w:p w14:paraId="01B76399" w14:textId="5CFD783F" w:rsidR="00DE150E" w:rsidRPr="003D66F4" w:rsidRDefault="00DE150E" w:rsidP="003D66F4">
      <w:pPr>
        <w:pStyle w:val="ListParagraph"/>
        <w:numPr>
          <w:ilvl w:val="0"/>
          <w:numId w:val="2"/>
        </w:numPr>
        <w:spacing w:line="360" w:lineRule="auto"/>
        <w:rPr>
          <w:color w:val="000000"/>
          <w:sz w:val="24"/>
          <w:szCs w:val="24"/>
        </w:rPr>
      </w:pPr>
      <w:r w:rsidRPr="003D66F4">
        <w:rPr>
          <w:color w:val="000000"/>
          <w:sz w:val="24"/>
          <w:szCs w:val="24"/>
        </w:rPr>
        <w:t xml:space="preserve">Identify the amount and percentage increase (if any), and effective date, of any rate change(s) resulting from this change. </w:t>
      </w:r>
    </w:p>
    <w:p w14:paraId="0F64955E" w14:textId="11A3F080" w:rsidR="00A61207" w:rsidRPr="003D66F4" w:rsidRDefault="00DE150E" w:rsidP="003D66F4">
      <w:pPr>
        <w:pStyle w:val="ListParagraph"/>
        <w:numPr>
          <w:ilvl w:val="0"/>
          <w:numId w:val="2"/>
        </w:numPr>
        <w:spacing w:line="360" w:lineRule="auto"/>
        <w:rPr>
          <w:color w:val="000000"/>
          <w:sz w:val="24"/>
          <w:szCs w:val="24"/>
        </w:rPr>
      </w:pPr>
      <w:r w:rsidRPr="003D66F4">
        <w:rPr>
          <w:color w:val="000000"/>
          <w:sz w:val="24"/>
          <w:szCs w:val="24"/>
        </w:rPr>
        <w:t>Provide supporting work</w:t>
      </w:r>
      <w:r w:rsidR="0007273D" w:rsidRPr="003D66F4">
        <w:rPr>
          <w:color w:val="000000"/>
          <w:sz w:val="24"/>
          <w:szCs w:val="24"/>
        </w:rPr>
        <w:t xml:space="preserve"> </w:t>
      </w:r>
      <w:r w:rsidRPr="003D66F4">
        <w:rPr>
          <w:color w:val="000000"/>
          <w:sz w:val="24"/>
          <w:szCs w:val="24"/>
        </w:rPr>
        <w:t>papers detailing SDG&amp;E’s calculation of these impacts.</w:t>
      </w:r>
    </w:p>
    <w:p w14:paraId="6A11E7A3" w14:textId="77777777" w:rsidR="00DE150E" w:rsidRPr="003D66F4" w:rsidRDefault="00DE150E" w:rsidP="00DE150E">
      <w:pPr>
        <w:ind w:left="360"/>
        <w:rPr>
          <w:color w:val="000000"/>
          <w:sz w:val="24"/>
          <w:szCs w:val="24"/>
        </w:rPr>
      </w:pPr>
    </w:p>
    <w:p w14:paraId="6632627D" w14:textId="77777777" w:rsidR="0007273D" w:rsidRPr="003D66F4" w:rsidRDefault="0007273D" w:rsidP="003D73EA">
      <w:pPr>
        <w:autoSpaceDE w:val="0"/>
        <w:autoSpaceDN w:val="0"/>
        <w:adjustRightInd w:val="0"/>
        <w:rPr>
          <w:color w:val="000000"/>
          <w:sz w:val="24"/>
          <w:szCs w:val="24"/>
        </w:rPr>
      </w:pPr>
    </w:p>
    <w:p w14:paraId="376D8FB1" w14:textId="146297A3" w:rsidR="0007273D" w:rsidRPr="003D66F4" w:rsidRDefault="003D66F4" w:rsidP="003D73EA">
      <w:pPr>
        <w:autoSpaceDE w:val="0"/>
        <w:autoSpaceDN w:val="0"/>
        <w:adjustRightInd w:val="0"/>
        <w:rPr>
          <w:b/>
          <w:color w:val="000000"/>
          <w:sz w:val="24"/>
          <w:szCs w:val="24"/>
        </w:rPr>
      </w:pPr>
      <w:r w:rsidRPr="003D66F4">
        <w:rPr>
          <w:b/>
          <w:color w:val="000000"/>
          <w:sz w:val="24"/>
          <w:szCs w:val="24"/>
        </w:rPr>
        <w:t>SDG&amp;E Response:</w:t>
      </w:r>
    </w:p>
    <w:p w14:paraId="25600343" w14:textId="77777777" w:rsidR="003D66F4" w:rsidRPr="003D66F4" w:rsidRDefault="003D66F4" w:rsidP="003D73EA">
      <w:pPr>
        <w:autoSpaceDE w:val="0"/>
        <w:autoSpaceDN w:val="0"/>
        <w:adjustRightInd w:val="0"/>
        <w:rPr>
          <w:color w:val="000000"/>
          <w:sz w:val="24"/>
          <w:szCs w:val="24"/>
        </w:rPr>
      </w:pPr>
    </w:p>
    <w:p w14:paraId="1C75C76E" w14:textId="0630B831" w:rsidR="00770EE8" w:rsidRDefault="00770EE8" w:rsidP="003D66F4">
      <w:pPr>
        <w:pStyle w:val="ListParagraph"/>
        <w:numPr>
          <w:ilvl w:val="0"/>
          <w:numId w:val="4"/>
        </w:numPr>
        <w:autoSpaceDE w:val="0"/>
        <w:autoSpaceDN w:val="0"/>
        <w:adjustRightInd w:val="0"/>
        <w:rPr>
          <w:color w:val="000000"/>
          <w:sz w:val="24"/>
          <w:szCs w:val="24"/>
        </w:rPr>
      </w:pPr>
      <w:r>
        <w:rPr>
          <w:color w:val="000000"/>
          <w:sz w:val="24"/>
          <w:szCs w:val="24"/>
        </w:rPr>
        <w:lastRenderedPageBreak/>
        <w:t>Please see the attached file “ED_</w:t>
      </w:r>
      <w:r w:rsidR="00814C63">
        <w:rPr>
          <w:color w:val="000000"/>
          <w:sz w:val="24"/>
          <w:szCs w:val="24"/>
        </w:rPr>
        <w:t>ES3</w:t>
      </w:r>
      <w:r>
        <w:rPr>
          <w:color w:val="000000"/>
          <w:sz w:val="24"/>
          <w:szCs w:val="24"/>
        </w:rPr>
        <w:t xml:space="preserve">_Q2.xlsx”. </w:t>
      </w:r>
      <w:r w:rsidR="00CB2DCA">
        <w:rPr>
          <w:color w:val="000000"/>
          <w:sz w:val="24"/>
          <w:szCs w:val="24"/>
        </w:rPr>
        <w:t xml:space="preserve">The file presents the sales determinants, rates, and revenues from </w:t>
      </w:r>
      <w:r w:rsidR="00977110">
        <w:rPr>
          <w:color w:val="000000"/>
          <w:sz w:val="24"/>
          <w:szCs w:val="24"/>
        </w:rPr>
        <w:t>distribution rates</w:t>
      </w:r>
      <w:r w:rsidR="00CB2DCA">
        <w:rPr>
          <w:color w:val="000000"/>
          <w:sz w:val="24"/>
          <w:szCs w:val="24"/>
        </w:rPr>
        <w:t xml:space="preserve"> for SDG&amp;E’s Medium/Large Commercial &amp; Industrial Class for November 1, 2017, and December 1, 2017. </w:t>
      </w:r>
    </w:p>
    <w:p w14:paraId="13E43503" w14:textId="77777777" w:rsidR="00770EE8" w:rsidRDefault="00770EE8" w:rsidP="00770EE8">
      <w:pPr>
        <w:pStyle w:val="ListParagraph"/>
        <w:autoSpaceDE w:val="0"/>
        <w:autoSpaceDN w:val="0"/>
        <w:adjustRightInd w:val="0"/>
        <w:rPr>
          <w:color w:val="000000"/>
          <w:sz w:val="24"/>
          <w:szCs w:val="24"/>
        </w:rPr>
      </w:pPr>
    </w:p>
    <w:p w14:paraId="6AA84D32" w14:textId="055D27F0" w:rsidR="0007273D" w:rsidRDefault="0037083D" w:rsidP="00770EE8">
      <w:pPr>
        <w:pStyle w:val="ListParagraph"/>
        <w:autoSpaceDE w:val="0"/>
        <w:autoSpaceDN w:val="0"/>
        <w:adjustRightInd w:val="0"/>
        <w:rPr>
          <w:color w:val="000000"/>
          <w:sz w:val="24"/>
          <w:szCs w:val="24"/>
        </w:rPr>
      </w:pPr>
      <w:r>
        <w:rPr>
          <w:color w:val="000000"/>
          <w:sz w:val="24"/>
          <w:szCs w:val="24"/>
        </w:rPr>
        <w:t xml:space="preserve">On December 1, 2017, SDG&amp;E implemented the first phase of its 2016 GRC Phase 2, </w:t>
      </w:r>
      <w:r w:rsidR="00770EE8">
        <w:rPr>
          <w:color w:val="000000"/>
          <w:sz w:val="24"/>
          <w:szCs w:val="24"/>
        </w:rPr>
        <w:t>which included</w:t>
      </w:r>
      <w:r>
        <w:rPr>
          <w:color w:val="000000"/>
          <w:sz w:val="24"/>
          <w:szCs w:val="24"/>
        </w:rPr>
        <w:t xml:space="preserve"> the change from 65%/35% non-coincident/coincident peak demand charges to 31%/69%</w:t>
      </w:r>
      <w:r w:rsidR="00770EE8">
        <w:rPr>
          <w:color w:val="000000"/>
          <w:sz w:val="24"/>
          <w:szCs w:val="24"/>
        </w:rPr>
        <w:t>, per D.17-08-030</w:t>
      </w:r>
      <w:r>
        <w:rPr>
          <w:color w:val="000000"/>
          <w:sz w:val="24"/>
          <w:szCs w:val="24"/>
        </w:rPr>
        <w:t>. Along with this change, SDG&amp;E implemented adopted sales determinants</w:t>
      </w:r>
      <w:r w:rsidR="00770EE8">
        <w:rPr>
          <w:color w:val="000000"/>
          <w:sz w:val="24"/>
          <w:szCs w:val="24"/>
        </w:rPr>
        <w:t xml:space="preserve"> and updated class revenue allocations</w:t>
      </w:r>
      <w:r>
        <w:rPr>
          <w:color w:val="000000"/>
          <w:sz w:val="24"/>
          <w:szCs w:val="24"/>
        </w:rPr>
        <w:t>,</w:t>
      </w:r>
      <w:r w:rsidR="00770EE8">
        <w:rPr>
          <w:color w:val="000000"/>
          <w:sz w:val="24"/>
          <w:szCs w:val="24"/>
        </w:rPr>
        <w:t xml:space="preserve"> both of which changed </w:t>
      </w:r>
      <w:r>
        <w:rPr>
          <w:color w:val="000000"/>
          <w:sz w:val="24"/>
          <w:szCs w:val="24"/>
        </w:rPr>
        <w:t>from what was in effect prior to December 1, 2017. Therefore, the attached file reflects the change in noncoincident/coincident peak demand charge cost recovery split</w:t>
      </w:r>
      <w:r w:rsidR="00770EE8">
        <w:rPr>
          <w:color w:val="000000"/>
          <w:sz w:val="24"/>
          <w:szCs w:val="24"/>
        </w:rPr>
        <w:t>, as well as the revenue allocation changes</w:t>
      </w:r>
      <w:r>
        <w:rPr>
          <w:color w:val="000000"/>
          <w:sz w:val="24"/>
          <w:szCs w:val="24"/>
        </w:rPr>
        <w:t xml:space="preserve"> and the updated sales determinants. </w:t>
      </w:r>
    </w:p>
    <w:p w14:paraId="61D1D3B7" w14:textId="49B3EFCB" w:rsidR="002A7242" w:rsidRDefault="002A7242" w:rsidP="00770EE8">
      <w:pPr>
        <w:pStyle w:val="ListParagraph"/>
        <w:autoSpaceDE w:val="0"/>
        <w:autoSpaceDN w:val="0"/>
        <w:adjustRightInd w:val="0"/>
        <w:rPr>
          <w:color w:val="000000"/>
          <w:sz w:val="24"/>
          <w:szCs w:val="24"/>
        </w:rPr>
      </w:pPr>
    </w:p>
    <w:p w14:paraId="31215208" w14:textId="0109F65C" w:rsidR="005C529D" w:rsidRDefault="002A7242" w:rsidP="005C529D">
      <w:pPr>
        <w:pStyle w:val="ListParagraph"/>
        <w:autoSpaceDE w:val="0"/>
        <w:autoSpaceDN w:val="0"/>
        <w:adjustRightInd w:val="0"/>
        <w:rPr>
          <w:color w:val="000000"/>
          <w:sz w:val="24"/>
          <w:szCs w:val="24"/>
        </w:rPr>
      </w:pPr>
      <w:r>
        <w:rPr>
          <w:color w:val="000000"/>
          <w:sz w:val="24"/>
          <w:szCs w:val="24"/>
        </w:rPr>
        <w:t>Additionally, because the cost recovery</w:t>
      </w:r>
      <w:r w:rsidR="0000657B">
        <w:rPr>
          <w:color w:val="000000"/>
          <w:sz w:val="24"/>
          <w:szCs w:val="24"/>
        </w:rPr>
        <w:t>, and therefore price signals,</w:t>
      </w:r>
      <w:r>
        <w:rPr>
          <w:color w:val="000000"/>
          <w:sz w:val="24"/>
          <w:szCs w:val="24"/>
        </w:rPr>
        <w:t xml:space="preserve"> between non-coincident and coincident peak demand charges changed, it is possible that customers also changed their behavior. Therefore, SDG&amp;E is unable to determine the magnitude on </w:t>
      </w:r>
      <w:r w:rsidR="00CE4FCA">
        <w:rPr>
          <w:color w:val="000000"/>
          <w:sz w:val="24"/>
          <w:szCs w:val="24"/>
        </w:rPr>
        <w:t xml:space="preserve">actual </w:t>
      </w:r>
      <w:r>
        <w:rPr>
          <w:color w:val="000000"/>
          <w:sz w:val="24"/>
          <w:szCs w:val="24"/>
        </w:rPr>
        <w:t>annual revenue collections resulting from this change</w:t>
      </w:r>
      <w:r w:rsidR="00B434ED">
        <w:rPr>
          <w:color w:val="000000"/>
          <w:sz w:val="24"/>
          <w:szCs w:val="24"/>
        </w:rPr>
        <w:t xml:space="preserve">, but </w:t>
      </w:r>
      <w:r w:rsidR="008C513B">
        <w:rPr>
          <w:color w:val="000000"/>
          <w:sz w:val="24"/>
          <w:szCs w:val="24"/>
        </w:rPr>
        <w:t xml:space="preserve">does </w:t>
      </w:r>
      <w:r w:rsidR="00B434ED">
        <w:rPr>
          <w:color w:val="000000"/>
          <w:sz w:val="24"/>
          <w:szCs w:val="24"/>
        </w:rPr>
        <w:t>present</w:t>
      </w:r>
      <w:r w:rsidR="008C513B">
        <w:rPr>
          <w:color w:val="000000"/>
          <w:sz w:val="24"/>
          <w:szCs w:val="24"/>
        </w:rPr>
        <w:t xml:space="preserve"> </w:t>
      </w:r>
      <w:r w:rsidR="00B434ED">
        <w:rPr>
          <w:color w:val="000000"/>
          <w:sz w:val="24"/>
          <w:szCs w:val="24"/>
        </w:rPr>
        <w:t xml:space="preserve">the revenue-neutral rate design and resulting revenues by component </w:t>
      </w:r>
      <w:r w:rsidR="000B1810">
        <w:rPr>
          <w:color w:val="000000"/>
          <w:sz w:val="24"/>
          <w:szCs w:val="24"/>
        </w:rPr>
        <w:t>that was implemented on 12/1/2017</w:t>
      </w:r>
      <w:r>
        <w:rPr>
          <w:color w:val="000000"/>
          <w:sz w:val="24"/>
          <w:szCs w:val="24"/>
        </w:rPr>
        <w:t xml:space="preserve">.  </w:t>
      </w:r>
    </w:p>
    <w:p w14:paraId="763CC850" w14:textId="14DD9B4E" w:rsidR="005C529D" w:rsidRDefault="005C529D" w:rsidP="005C529D">
      <w:pPr>
        <w:pStyle w:val="ListParagraph"/>
        <w:autoSpaceDE w:val="0"/>
        <w:autoSpaceDN w:val="0"/>
        <w:adjustRightInd w:val="0"/>
        <w:rPr>
          <w:color w:val="000000"/>
          <w:sz w:val="24"/>
          <w:szCs w:val="24"/>
        </w:rPr>
      </w:pPr>
    </w:p>
    <w:p w14:paraId="149BB01E" w14:textId="63F6D752" w:rsidR="005C529D" w:rsidRDefault="00E13D6B" w:rsidP="005C529D">
      <w:pPr>
        <w:pStyle w:val="ListParagraph"/>
        <w:numPr>
          <w:ilvl w:val="0"/>
          <w:numId w:val="4"/>
        </w:numPr>
        <w:autoSpaceDE w:val="0"/>
        <w:autoSpaceDN w:val="0"/>
        <w:adjustRightInd w:val="0"/>
        <w:rPr>
          <w:color w:val="000000"/>
          <w:sz w:val="24"/>
          <w:szCs w:val="24"/>
        </w:rPr>
      </w:pPr>
      <w:r>
        <w:rPr>
          <w:color w:val="000000"/>
          <w:sz w:val="24"/>
          <w:szCs w:val="24"/>
        </w:rPr>
        <w:t>Please see the attached file titled “ED_</w:t>
      </w:r>
      <w:r w:rsidR="003D370E">
        <w:rPr>
          <w:color w:val="000000"/>
          <w:sz w:val="24"/>
          <w:szCs w:val="24"/>
        </w:rPr>
        <w:t>ES3</w:t>
      </w:r>
      <w:r>
        <w:rPr>
          <w:color w:val="000000"/>
          <w:sz w:val="24"/>
          <w:szCs w:val="24"/>
        </w:rPr>
        <w:t xml:space="preserve">_Q2.xlsx” for revenue-neutral impacts of changes that were implemented on 12/1/2017, including the change in cost recovery split between non-coincident and coincident peak demand charges. </w:t>
      </w:r>
    </w:p>
    <w:p w14:paraId="6DD8C957" w14:textId="77777777" w:rsidR="009706A2" w:rsidRDefault="009706A2" w:rsidP="009706A2">
      <w:pPr>
        <w:pStyle w:val="ListParagraph"/>
        <w:autoSpaceDE w:val="0"/>
        <w:autoSpaceDN w:val="0"/>
        <w:adjustRightInd w:val="0"/>
        <w:rPr>
          <w:color w:val="000000"/>
          <w:sz w:val="24"/>
          <w:szCs w:val="24"/>
        </w:rPr>
      </w:pPr>
    </w:p>
    <w:p w14:paraId="6B75BF56" w14:textId="641BDC3E" w:rsidR="009706A2" w:rsidRPr="005C529D" w:rsidRDefault="009706A2" w:rsidP="005C529D">
      <w:pPr>
        <w:pStyle w:val="ListParagraph"/>
        <w:numPr>
          <w:ilvl w:val="0"/>
          <w:numId w:val="4"/>
        </w:numPr>
        <w:autoSpaceDE w:val="0"/>
        <w:autoSpaceDN w:val="0"/>
        <w:adjustRightInd w:val="0"/>
        <w:rPr>
          <w:color w:val="000000"/>
          <w:sz w:val="24"/>
          <w:szCs w:val="24"/>
        </w:rPr>
      </w:pPr>
      <w:r>
        <w:rPr>
          <w:color w:val="000000"/>
          <w:sz w:val="24"/>
          <w:szCs w:val="24"/>
        </w:rPr>
        <w:t>See attached file “ED</w:t>
      </w:r>
      <w:r w:rsidR="003D370E">
        <w:rPr>
          <w:color w:val="000000"/>
          <w:sz w:val="24"/>
          <w:szCs w:val="24"/>
        </w:rPr>
        <w:t>_ES3</w:t>
      </w:r>
      <w:r>
        <w:rPr>
          <w:color w:val="000000"/>
          <w:sz w:val="24"/>
          <w:szCs w:val="24"/>
        </w:rPr>
        <w:t xml:space="preserve">_Q2.xlsx”. </w:t>
      </w:r>
    </w:p>
    <w:p w14:paraId="02B6EF25" w14:textId="3F01107E" w:rsidR="005C529D" w:rsidRDefault="005C529D" w:rsidP="005C529D">
      <w:pPr>
        <w:autoSpaceDE w:val="0"/>
        <w:autoSpaceDN w:val="0"/>
        <w:adjustRightInd w:val="0"/>
        <w:rPr>
          <w:color w:val="000000"/>
          <w:sz w:val="24"/>
          <w:szCs w:val="18"/>
        </w:rPr>
      </w:pPr>
    </w:p>
    <w:sectPr w:rsidR="005C529D" w:rsidSect="00177C75">
      <w:footerReference w:type="default" r:id="rId7"/>
      <w:headerReference w:type="first" r:id="rId8"/>
      <w:footerReference w:type="first" r:id="rId9"/>
      <w:pgSz w:w="12240" w:h="15840" w:code="1"/>
      <w:pgMar w:top="1296" w:right="1296" w:bottom="1296" w:left="1296" w:header="1152"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7DB5DE" w14:textId="77777777" w:rsidR="00F1588F" w:rsidRDefault="00F1588F">
      <w:r>
        <w:separator/>
      </w:r>
    </w:p>
  </w:endnote>
  <w:endnote w:type="continuationSeparator" w:id="0">
    <w:p w14:paraId="1D2D4CAA" w14:textId="77777777" w:rsidR="00F1588F" w:rsidRDefault="00F15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rus BT Roman">
    <w:altName w:val="Arial Narrow"/>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1410679"/>
      <w:docPartObj>
        <w:docPartGallery w:val="Page Numbers (Bottom of Page)"/>
        <w:docPartUnique/>
      </w:docPartObj>
    </w:sdtPr>
    <w:sdtEndPr/>
    <w:sdtContent>
      <w:sdt>
        <w:sdtPr>
          <w:id w:val="-724992920"/>
          <w:docPartObj>
            <w:docPartGallery w:val="Page Numbers (Top of Page)"/>
            <w:docPartUnique/>
          </w:docPartObj>
        </w:sdtPr>
        <w:sdtEndPr/>
        <w:sdtContent>
          <w:p w14:paraId="7DDA5965" w14:textId="0BC3A783" w:rsidR="00B077DE" w:rsidRDefault="00B077D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66BA52F0" w14:textId="77777777" w:rsidR="0007273D" w:rsidRDefault="0007273D" w:rsidP="00177C75">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525035"/>
      <w:docPartObj>
        <w:docPartGallery w:val="Page Numbers (Bottom of Page)"/>
        <w:docPartUnique/>
      </w:docPartObj>
    </w:sdtPr>
    <w:sdtEndPr/>
    <w:sdtContent>
      <w:sdt>
        <w:sdtPr>
          <w:id w:val="1728636285"/>
          <w:docPartObj>
            <w:docPartGallery w:val="Page Numbers (Top of Page)"/>
            <w:docPartUnique/>
          </w:docPartObj>
        </w:sdtPr>
        <w:sdtEndPr/>
        <w:sdtContent>
          <w:p w14:paraId="46BED31B" w14:textId="4ACAFD09" w:rsidR="005E7C3A" w:rsidRDefault="005E7C3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02C00630" w14:textId="77777777" w:rsidR="0007273D" w:rsidRDefault="000727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01E86" w14:textId="77777777" w:rsidR="00F1588F" w:rsidRDefault="00F1588F">
      <w:r>
        <w:separator/>
      </w:r>
    </w:p>
  </w:footnote>
  <w:footnote w:type="continuationSeparator" w:id="0">
    <w:p w14:paraId="7DE00F91" w14:textId="77777777" w:rsidR="00F1588F" w:rsidRDefault="00F15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755F3" w14:textId="776165B9" w:rsidR="00E130FA" w:rsidRPr="0038199C" w:rsidRDefault="00E130FA" w:rsidP="00E130FA">
    <w:pPr>
      <w:widowControl w:val="0"/>
      <w:outlineLvl w:val="0"/>
      <w:rPr>
        <w:color w:val="000000"/>
        <w:sz w:val="24"/>
        <w:szCs w:val="24"/>
      </w:rPr>
    </w:pPr>
  </w:p>
  <w:p w14:paraId="42A8FDA1" w14:textId="190ED2A7" w:rsidR="00E130FA" w:rsidRPr="0038199C" w:rsidRDefault="00E130FA" w:rsidP="00E130FA">
    <w:pPr>
      <w:pStyle w:val="ListParagraph"/>
      <w:jc w:val="center"/>
      <w:rPr>
        <w:b/>
        <w:sz w:val="24"/>
        <w:szCs w:val="24"/>
      </w:rPr>
    </w:pPr>
    <w:r w:rsidRPr="0038199C">
      <w:rPr>
        <w:b/>
        <w:sz w:val="24"/>
        <w:szCs w:val="24"/>
      </w:rPr>
      <w:t xml:space="preserve">Energy Division Staff Data Request </w:t>
    </w:r>
    <w:r w:rsidR="00F722E6">
      <w:rPr>
        <w:b/>
        <w:sz w:val="24"/>
        <w:szCs w:val="24"/>
      </w:rPr>
      <w:t>#</w:t>
    </w:r>
    <w:r w:rsidRPr="0038199C">
      <w:rPr>
        <w:b/>
        <w:sz w:val="24"/>
        <w:szCs w:val="24"/>
      </w:rPr>
      <w:t>ES</w:t>
    </w:r>
    <w:r w:rsidR="00F34B34" w:rsidRPr="0038199C">
      <w:rPr>
        <w:b/>
        <w:sz w:val="24"/>
        <w:szCs w:val="24"/>
      </w:rPr>
      <w:t>3</w:t>
    </w:r>
    <w:r w:rsidRPr="0038199C">
      <w:rPr>
        <w:b/>
        <w:sz w:val="24"/>
        <w:szCs w:val="24"/>
      </w:rPr>
      <w:br/>
      <w:t>SDG&amp;E PHASE 2 GRC PROCEEDING - A.19-03-002</w:t>
    </w:r>
    <w:r w:rsidRPr="0038199C">
      <w:rPr>
        <w:b/>
        <w:sz w:val="24"/>
        <w:szCs w:val="24"/>
      </w:rPr>
      <w:br/>
      <w:t xml:space="preserve">DATE RECEIVED: October </w:t>
    </w:r>
    <w:r w:rsidR="0048367D" w:rsidRPr="0038199C">
      <w:rPr>
        <w:b/>
        <w:sz w:val="24"/>
        <w:szCs w:val="24"/>
      </w:rPr>
      <w:t>8</w:t>
    </w:r>
    <w:r w:rsidRPr="0038199C">
      <w:rPr>
        <w:b/>
        <w:sz w:val="24"/>
        <w:szCs w:val="24"/>
      </w:rPr>
      <w:t>, 2019</w:t>
    </w:r>
  </w:p>
  <w:p w14:paraId="79C1974D" w14:textId="54B68823" w:rsidR="00E130FA" w:rsidRPr="0038199C" w:rsidRDefault="00E130FA" w:rsidP="00E130FA">
    <w:pPr>
      <w:pStyle w:val="ListParagraph"/>
      <w:jc w:val="center"/>
      <w:rPr>
        <w:b/>
        <w:sz w:val="24"/>
        <w:szCs w:val="24"/>
      </w:rPr>
    </w:pPr>
    <w:r w:rsidRPr="0038199C">
      <w:rPr>
        <w:b/>
        <w:sz w:val="24"/>
        <w:szCs w:val="24"/>
      </w:rPr>
      <w:t xml:space="preserve">DATE RESPONDED: October </w:t>
    </w:r>
    <w:r w:rsidR="00BC746E">
      <w:rPr>
        <w:b/>
        <w:sz w:val="24"/>
        <w:szCs w:val="24"/>
      </w:rPr>
      <w:t>21</w:t>
    </w:r>
    <w:r w:rsidRPr="0038199C">
      <w:rPr>
        <w:b/>
        <w:sz w:val="24"/>
        <w:szCs w:val="24"/>
      </w:rPr>
      <w:t>, 2019</w:t>
    </w:r>
  </w:p>
  <w:p w14:paraId="24B492E4" w14:textId="77777777" w:rsidR="0007273D" w:rsidRDefault="000727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E7308"/>
    <w:multiLevelType w:val="hybridMultilevel"/>
    <w:tmpl w:val="3416B7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E82B8D"/>
    <w:multiLevelType w:val="hybridMultilevel"/>
    <w:tmpl w:val="CDFAA04A"/>
    <w:lvl w:ilvl="0" w:tplc="0409000F">
      <w:start w:val="1"/>
      <w:numFmt w:val="decimal"/>
      <w:lvlText w:val="%1."/>
      <w:lvlJc w:val="left"/>
      <w:pPr>
        <w:ind w:left="720" w:hanging="360"/>
      </w:pPr>
      <w:rPr>
        <w:rFonts w:hint="default"/>
      </w:rPr>
    </w:lvl>
    <w:lvl w:ilvl="1" w:tplc="CD3634B0">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7E27E4E"/>
    <w:multiLevelType w:val="hybridMultilevel"/>
    <w:tmpl w:val="9724E3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78651223"/>
    <w:multiLevelType w:val="hybridMultilevel"/>
    <w:tmpl w:val="FD3A633A"/>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3"/>
  </w:num>
  <w:num w:numId="3">
    <w:abstractNumId w:val="2"/>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UwNjUxNDAwNjOwNLFU0lEKTi0uzszPAykwrAUA9KlT8SwAAAA="/>
  </w:docVars>
  <w:rsids>
    <w:rsidRoot w:val="00B861F3"/>
    <w:rsid w:val="0000657B"/>
    <w:rsid w:val="0002631E"/>
    <w:rsid w:val="00027225"/>
    <w:rsid w:val="000335EE"/>
    <w:rsid w:val="00040A33"/>
    <w:rsid w:val="00060930"/>
    <w:rsid w:val="00062A35"/>
    <w:rsid w:val="0007273D"/>
    <w:rsid w:val="000B1810"/>
    <w:rsid w:val="000B29E1"/>
    <w:rsid w:val="000B35DA"/>
    <w:rsid w:val="000C32DE"/>
    <w:rsid w:val="000C6C27"/>
    <w:rsid w:val="000D1108"/>
    <w:rsid w:val="000D5FB3"/>
    <w:rsid w:val="000F1E05"/>
    <w:rsid w:val="0011166F"/>
    <w:rsid w:val="001334ED"/>
    <w:rsid w:val="001447D5"/>
    <w:rsid w:val="00160F43"/>
    <w:rsid w:val="00170E1C"/>
    <w:rsid w:val="00177C75"/>
    <w:rsid w:val="00195178"/>
    <w:rsid w:val="00200BF0"/>
    <w:rsid w:val="00214B3D"/>
    <w:rsid w:val="00223EA4"/>
    <w:rsid w:val="00230B83"/>
    <w:rsid w:val="00267204"/>
    <w:rsid w:val="002A7242"/>
    <w:rsid w:val="002B31BA"/>
    <w:rsid w:val="002E6D10"/>
    <w:rsid w:val="002F2A80"/>
    <w:rsid w:val="00301BC6"/>
    <w:rsid w:val="00303295"/>
    <w:rsid w:val="003071D3"/>
    <w:rsid w:val="003175CE"/>
    <w:rsid w:val="00321407"/>
    <w:rsid w:val="003243EF"/>
    <w:rsid w:val="00327FD6"/>
    <w:rsid w:val="0034458D"/>
    <w:rsid w:val="00344A44"/>
    <w:rsid w:val="00352346"/>
    <w:rsid w:val="00360638"/>
    <w:rsid w:val="0037083D"/>
    <w:rsid w:val="0038199C"/>
    <w:rsid w:val="00391B6F"/>
    <w:rsid w:val="003C6446"/>
    <w:rsid w:val="003D370E"/>
    <w:rsid w:val="003D66F4"/>
    <w:rsid w:val="003D73EA"/>
    <w:rsid w:val="004234A5"/>
    <w:rsid w:val="0042501C"/>
    <w:rsid w:val="004301EB"/>
    <w:rsid w:val="00431256"/>
    <w:rsid w:val="0048236C"/>
    <w:rsid w:val="0048367D"/>
    <w:rsid w:val="00492F8A"/>
    <w:rsid w:val="004B41CA"/>
    <w:rsid w:val="004C7402"/>
    <w:rsid w:val="004D05C3"/>
    <w:rsid w:val="004E7636"/>
    <w:rsid w:val="00553BC1"/>
    <w:rsid w:val="005C529D"/>
    <w:rsid w:val="005D4B5A"/>
    <w:rsid w:val="005D4CB2"/>
    <w:rsid w:val="005E7C3A"/>
    <w:rsid w:val="00610358"/>
    <w:rsid w:val="00612934"/>
    <w:rsid w:val="00617A80"/>
    <w:rsid w:val="00646A6D"/>
    <w:rsid w:val="0066124C"/>
    <w:rsid w:val="0066319B"/>
    <w:rsid w:val="00681BFA"/>
    <w:rsid w:val="00681DE8"/>
    <w:rsid w:val="0068479A"/>
    <w:rsid w:val="0069253D"/>
    <w:rsid w:val="006B01E8"/>
    <w:rsid w:val="006E2C7E"/>
    <w:rsid w:val="006F0680"/>
    <w:rsid w:val="00711597"/>
    <w:rsid w:val="00730B9C"/>
    <w:rsid w:val="007400A5"/>
    <w:rsid w:val="00770EE8"/>
    <w:rsid w:val="007B6588"/>
    <w:rsid w:val="007F0DE0"/>
    <w:rsid w:val="0080487F"/>
    <w:rsid w:val="00814C63"/>
    <w:rsid w:val="00832346"/>
    <w:rsid w:val="00862C5C"/>
    <w:rsid w:val="00870A95"/>
    <w:rsid w:val="008930A5"/>
    <w:rsid w:val="008C513B"/>
    <w:rsid w:val="008C6746"/>
    <w:rsid w:val="008F1415"/>
    <w:rsid w:val="009011E2"/>
    <w:rsid w:val="00903333"/>
    <w:rsid w:val="0092433B"/>
    <w:rsid w:val="00927EEC"/>
    <w:rsid w:val="009308DF"/>
    <w:rsid w:val="00932C83"/>
    <w:rsid w:val="009477A5"/>
    <w:rsid w:val="009518BC"/>
    <w:rsid w:val="009706A2"/>
    <w:rsid w:val="009707D8"/>
    <w:rsid w:val="00977110"/>
    <w:rsid w:val="009B4E0C"/>
    <w:rsid w:val="00A269BF"/>
    <w:rsid w:val="00A302A9"/>
    <w:rsid w:val="00A343BC"/>
    <w:rsid w:val="00A52886"/>
    <w:rsid w:val="00A54A94"/>
    <w:rsid w:val="00A61207"/>
    <w:rsid w:val="00A873CE"/>
    <w:rsid w:val="00A9358F"/>
    <w:rsid w:val="00A93F50"/>
    <w:rsid w:val="00AA6267"/>
    <w:rsid w:val="00AB002D"/>
    <w:rsid w:val="00AD135C"/>
    <w:rsid w:val="00AD45EF"/>
    <w:rsid w:val="00AE505D"/>
    <w:rsid w:val="00AE6355"/>
    <w:rsid w:val="00B077DE"/>
    <w:rsid w:val="00B31A97"/>
    <w:rsid w:val="00B37226"/>
    <w:rsid w:val="00B42E9A"/>
    <w:rsid w:val="00B434ED"/>
    <w:rsid w:val="00B46393"/>
    <w:rsid w:val="00B830F2"/>
    <w:rsid w:val="00B861F3"/>
    <w:rsid w:val="00B95EBC"/>
    <w:rsid w:val="00BC093B"/>
    <w:rsid w:val="00BC52DC"/>
    <w:rsid w:val="00BC746E"/>
    <w:rsid w:val="00BD60D4"/>
    <w:rsid w:val="00BF0FEC"/>
    <w:rsid w:val="00C02441"/>
    <w:rsid w:val="00C05332"/>
    <w:rsid w:val="00C1062F"/>
    <w:rsid w:val="00C22C0D"/>
    <w:rsid w:val="00C60930"/>
    <w:rsid w:val="00C7693B"/>
    <w:rsid w:val="00C81F3D"/>
    <w:rsid w:val="00C8262F"/>
    <w:rsid w:val="00C849ED"/>
    <w:rsid w:val="00CB2DCA"/>
    <w:rsid w:val="00CC02CC"/>
    <w:rsid w:val="00CD0DA1"/>
    <w:rsid w:val="00CE0431"/>
    <w:rsid w:val="00CE4027"/>
    <w:rsid w:val="00CE4FCA"/>
    <w:rsid w:val="00CF0C54"/>
    <w:rsid w:val="00CF7CC9"/>
    <w:rsid w:val="00D17A77"/>
    <w:rsid w:val="00D345CE"/>
    <w:rsid w:val="00D4406C"/>
    <w:rsid w:val="00D60F77"/>
    <w:rsid w:val="00D6188E"/>
    <w:rsid w:val="00D863E8"/>
    <w:rsid w:val="00DA200C"/>
    <w:rsid w:val="00DC1FF3"/>
    <w:rsid w:val="00DE14A5"/>
    <w:rsid w:val="00DE150E"/>
    <w:rsid w:val="00DF5110"/>
    <w:rsid w:val="00E130FA"/>
    <w:rsid w:val="00E13D6B"/>
    <w:rsid w:val="00E30544"/>
    <w:rsid w:val="00E53583"/>
    <w:rsid w:val="00E544B9"/>
    <w:rsid w:val="00E711FA"/>
    <w:rsid w:val="00E80584"/>
    <w:rsid w:val="00E8088B"/>
    <w:rsid w:val="00EA1712"/>
    <w:rsid w:val="00EA433C"/>
    <w:rsid w:val="00EB7CCA"/>
    <w:rsid w:val="00EC4161"/>
    <w:rsid w:val="00ED48FA"/>
    <w:rsid w:val="00EE0183"/>
    <w:rsid w:val="00F1588F"/>
    <w:rsid w:val="00F34B34"/>
    <w:rsid w:val="00F46F52"/>
    <w:rsid w:val="00F722E6"/>
    <w:rsid w:val="00F72C81"/>
    <w:rsid w:val="00F769E3"/>
    <w:rsid w:val="00F82E1C"/>
    <w:rsid w:val="00FC521E"/>
    <w:rsid w:val="00FD0196"/>
    <w:rsid w:val="00FF086B"/>
    <w:rsid w:val="00FF5319"/>
    <w:rsid w:val="00FF6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37DB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basedOn w:val="Normal"/>
    <w:next w:val="Normal"/>
    <w:qFormat/>
    <w:pPr>
      <w:keepNext/>
      <w:jc w:val="center"/>
      <w:outlineLvl w:val="0"/>
    </w:pPr>
    <w:rPr>
      <w:rFonts w:ascii="Arrus BT Roman" w:hAnsi="Arrus BT Roman"/>
      <w:i/>
      <w:sz w:val="24"/>
    </w:rPr>
  </w:style>
  <w:style w:type="paragraph" w:styleId="Heading2">
    <w:name w:val="heading 2"/>
    <w:basedOn w:val="Normal"/>
    <w:next w:val="Normal"/>
    <w:qFormat/>
    <w:pPr>
      <w:keepNext/>
      <w:jc w:val="center"/>
      <w:outlineLvl w:val="1"/>
    </w:pPr>
    <w:rPr>
      <w:rFonts w:ascii="Arrus BT Roman" w:hAnsi="Arrus BT Roman"/>
      <w:sz w:val="40"/>
    </w:rPr>
  </w:style>
  <w:style w:type="paragraph" w:styleId="Heading3">
    <w:name w:val="heading 3"/>
    <w:basedOn w:val="Normal"/>
    <w:next w:val="Normal"/>
    <w:qFormat/>
    <w:pPr>
      <w:keepNext/>
      <w:jc w:val="center"/>
      <w:outlineLvl w:val="2"/>
    </w:pPr>
    <w:rPr>
      <w:b/>
    </w:rPr>
  </w:style>
  <w:style w:type="paragraph" w:styleId="Heading4">
    <w:name w:val="heading 4"/>
    <w:basedOn w:val="Normal"/>
    <w:next w:val="Normal"/>
    <w:qFormat/>
    <w:pPr>
      <w:keepNext/>
      <w:jc w:val="center"/>
      <w:outlineLvl w:val="3"/>
    </w:pPr>
    <w:rPr>
      <w:rFonts w:ascii="Arrus BT Roman" w:hAnsi="Arrus BT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basedOn w:val="DefaultParagraphFont"/>
    <w:rPr>
      <w:color w:val="0000FF"/>
      <w:u w:val="single"/>
    </w:rPr>
  </w:style>
  <w:style w:type="paragraph" w:styleId="BalloonText">
    <w:name w:val="Balloon Text"/>
    <w:basedOn w:val="Normal"/>
    <w:semiHidden/>
    <w:rPr>
      <w:rFonts w:ascii="Tahoma" w:hAnsi="Tahoma" w:cs="Tahoma"/>
      <w:sz w:val="16"/>
      <w:szCs w:val="16"/>
    </w:rPr>
  </w:style>
  <w:style w:type="paragraph" w:styleId="BodyText">
    <w:name w:val="Body Text"/>
    <w:basedOn w:val="Normal"/>
    <w:rPr>
      <w:sz w:val="24"/>
    </w:rPr>
  </w:style>
  <w:style w:type="paragraph" w:styleId="BodyText2">
    <w:name w:val="Body Text 2"/>
    <w:basedOn w:val="Normal"/>
    <w:rPr>
      <w:i/>
      <w:iCs/>
      <w:sz w:val="24"/>
    </w:rPr>
  </w:style>
  <w:style w:type="paragraph" w:styleId="BodyText3">
    <w:name w:val="Body Text 3"/>
    <w:basedOn w:val="Normal"/>
    <w:pPr>
      <w:widowControl w:val="0"/>
      <w:jc w:val="center"/>
    </w:pPr>
    <w:rPr>
      <w:rFonts w:ascii="Arial" w:hAnsi="Arial"/>
    </w:rPr>
  </w:style>
  <w:style w:type="paragraph" w:styleId="DocumentMap">
    <w:name w:val="Document Map"/>
    <w:basedOn w:val="Normal"/>
    <w:semiHidden/>
    <w:pPr>
      <w:shd w:val="clear" w:color="auto" w:fill="000080"/>
    </w:pPr>
    <w:rPr>
      <w:rFonts w:ascii="Tahoma" w:hAnsi="Tahoma" w:cs="Tahoma"/>
    </w:rPr>
  </w:style>
  <w:style w:type="paragraph" w:customStyle="1" w:styleId="Testimony">
    <w:name w:val="Testimony"/>
    <w:pPr>
      <w:spacing w:after="360" w:line="480" w:lineRule="auto"/>
      <w:ind w:firstLine="720"/>
    </w:pPr>
    <w:rPr>
      <w:sz w:val="24"/>
    </w:r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style>
  <w:style w:type="paragraph" w:styleId="ListParagraph">
    <w:name w:val="List Paragraph"/>
    <w:basedOn w:val="Normal"/>
    <w:uiPriority w:val="34"/>
    <w:qFormat/>
    <w:rsid w:val="00C81F3D"/>
    <w:pPr>
      <w:ind w:left="720"/>
      <w:contextualSpacing/>
    </w:pPr>
  </w:style>
  <w:style w:type="paragraph" w:styleId="FootnoteText">
    <w:name w:val="footnote text"/>
    <w:aliases w:val="Footnote Text Char2 Char,Footnote Text Char Char Char,Footnote Text Char2 Char Char Char,Footnote Text Char Char Char Char Char,Footnote Text Char2 Char Char Char Char1 Char,Footnote Text Char2,Footnote Text Char Char,fn"/>
    <w:basedOn w:val="Normal"/>
    <w:link w:val="FootnoteTextChar"/>
    <w:unhideWhenUsed/>
    <w:rsid w:val="00862C5C"/>
    <w:pPr>
      <w:spacing w:after="200" w:line="276" w:lineRule="auto"/>
    </w:pPr>
    <w:rPr>
      <w:rFonts w:ascii="Calibri" w:eastAsia="Calibri" w:hAnsi="Calibri"/>
    </w:rPr>
  </w:style>
  <w:style w:type="character" w:customStyle="1" w:styleId="FootnoteTextChar">
    <w:name w:val="Footnote Text Char"/>
    <w:aliases w:val="Footnote Text Char2 Char Char,Footnote Text Char Char Char Char,Footnote Text Char2 Char Char Char Char,Footnote Text Char Char Char Char Char Char,Footnote Text Char2 Char Char Char Char1 Char Char,Footnote Text Char2 Char1,fn Char"/>
    <w:basedOn w:val="DefaultParagraphFont"/>
    <w:link w:val="FootnoteText"/>
    <w:rsid w:val="00862C5C"/>
    <w:rPr>
      <w:rFonts w:ascii="Calibri" w:eastAsia="Calibri" w:hAnsi="Calibri"/>
    </w:rPr>
  </w:style>
  <w:style w:type="character" w:styleId="FootnoteReference">
    <w:name w:val="footnote reference"/>
    <w:basedOn w:val="DefaultParagraphFont"/>
    <w:rsid w:val="00FF5319"/>
    <w:rPr>
      <w:vertAlign w:val="superscript"/>
    </w:rPr>
  </w:style>
  <w:style w:type="paragraph" w:styleId="CommentSubject">
    <w:name w:val="annotation subject"/>
    <w:basedOn w:val="CommentText"/>
    <w:next w:val="CommentText"/>
    <w:link w:val="CommentSubjectChar"/>
    <w:rsid w:val="0011166F"/>
    <w:rPr>
      <w:b/>
      <w:bCs/>
    </w:rPr>
  </w:style>
  <w:style w:type="character" w:customStyle="1" w:styleId="CommentTextChar">
    <w:name w:val="Comment Text Char"/>
    <w:basedOn w:val="DefaultParagraphFont"/>
    <w:link w:val="CommentText"/>
    <w:semiHidden/>
    <w:rsid w:val="0011166F"/>
  </w:style>
  <w:style w:type="character" w:customStyle="1" w:styleId="CommentSubjectChar">
    <w:name w:val="Comment Subject Char"/>
    <w:basedOn w:val="CommentTextChar"/>
    <w:link w:val="CommentSubject"/>
    <w:rsid w:val="0011166F"/>
    <w:rPr>
      <w:b/>
      <w:bCs/>
    </w:rPr>
  </w:style>
  <w:style w:type="paragraph" w:customStyle="1" w:styleId="Default">
    <w:name w:val="Default"/>
    <w:rsid w:val="00AE6355"/>
    <w:pPr>
      <w:autoSpaceDE w:val="0"/>
      <w:autoSpaceDN w:val="0"/>
      <w:adjustRightInd w:val="0"/>
    </w:pPr>
    <w:rPr>
      <w:rFonts w:ascii="Book Antiqua" w:hAnsi="Book Antiqua" w:cs="Book Antiqua"/>
      <w:color w:val="000000"/>
      <w:sz w:val="24"/>
      <w:szCs w:val="24"/>
    </w:rPr>
  </w:style>
  <w:style w:type="character" w:customStyle="1" w:styleId="FooterChar">
    <w:name w:val="Footer Char"/>
    <w:basedOn w:val="DefaultParagraphFont"/>
    <w:link w:val="Footer"/>
    <w:uiPriority w:val="99"/>
    <w:rsid w:val="005E7C3A"/>
  </w:style>
  <w:style w:type="character" w:customStyle="1" w:styleId="HeaderChar">
    <w:name w:val="Header Char"/>
    <w:basedOn w:val="DefaultParagraphFont"/>
    <w:link w:val="Header"/>
    <w:uiPriority w:val="99"/>
    <w:rsid w:val="00E130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397419">
      <w:bodyDiv w:val="1"/>
      <w:marLeft w:val="0"/>
      <w:marRight w:val="0"/>
      <w:marTop w:val="0"/>
      <w:marBottom w:val="0"/>
      <w:divBdr>
        <w:top w:val="none" w:sz="0" w:space="0" w:color="auto"/>
        <w:left w:val="none" w:sz="0" w:space="0" w:color="auto"/>
        <w:bottom w:val="none" w:sz="0" w:space="0" w:color="auto"/>
        <w:right w:val="none" w:sz="0" w:space="0" w:color="auto"/>
      </w:divBdr>
    </w:div>
    <w:div w:id="1447119387">
      <w:bodyDiv w:val="1"/>
      <w:marLeft w:val="0"/>
      <w:marRight w:val="0"/>
      <w:marTop w:val="0"/>
      <w:marBottom w:val="0"/>
      <w:divBdr>
        <w:top w:val="none" w:sz="0" w:space="0" w:color="auto"/>
        <w:left w:val="none" w:sz="0" w:space="0" w:color="auto"/>
        <w:bottom w:val="none" w:sz="0" w:space="0" w:color="auto"/>
        <w:right w:val="none" w:sz="0" w:space="0" w:color="auto"/>
      </w:divBdr>
    </w:div>
    <w:div w:id="1801267888">
      <w:bodyDiv w:val="1"/>
      <w:marLeft w:val="0"/>
      <w:marRight w:val="0"/>
      <w:marTop w:val="0"/>
      <w:marBottom w:val="0"/>
      <w:divBdr>
        <w:top w:val="none" w:sz="0" w:space="0" w:color="auto"/>
        <w:left w:val="none" w:sz="0" w:space="0" w:color="auto"/>
        <w:bottom w:val="none" w:sz="0" w:space="0" w:color="auto"/>
        <w:right w:val="none" w:sz="0" w:space="0" w:color="auto"/>
      </w:divBdr>
    </w:div>
    <w:div w:id="190560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2487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2918</CharactersWithSpaces>
  <SharedDoc>false</SharedDoc>
  <HLinks>
    <vt:vector size="18" baseType="variant">
      <vt:variant>
        <vt:i4>2883672</vt:i4>
      </vt:variant>
      <vt:variant>
        <vt:i4>3</vt:i4>
      </vt:variant>
      <vt:variant>
        <vt:i4>0</vt:i4>
      </vt:variant>
      <vt:variant>
        <vt:i4>5</vt:i4>
      </vt:variant>
      <vt:variant>
        <vt:lpwstr>mailto:TCR@cpuc.ca.gov</vt:lpwstr>
      </vt:variant>
      <vt:variant>
        <vt:lpwstr/>
      </vt:variant>
      <vt:variant>
        <vt:i4>262250</vt:i4>
      </vt:variant>
      <vt:variant>
        <vt:i4>0</vt:i4>
      </vt:variant>
      <vt:variant>
        <vt:i4>0</vt:i4>
      </vt:variant>
      <vt:variant>
        <vt:i4>5</vt:i4>
      </vt:variant>
      <vt:variant>
        <vt:lpwstr>mailto:KCK5@pge.com</vt:lpwstr>
      </vt:variant>
      <vt:variant>
        <vt:lpwstr/>
      </vt:variant>
      <vt:variant>
        <vt:i4>2293797</vt:i4>
      </vt:variant>
      <vt:variant>
        <vt:i4>0</vt:i4>
      </vt:variant>
      <vt:variant>
        <vt:i4>0</vt:i4>
      </vt:variant>
      <vt:variant>
        <vt:i4>5</vt:i4>
      </vt:variant>
      <vt:variant>
        <vt:lpwstr>http://dra.ca.gov/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2019-10-21T17:08:00Z</dcterms:created>
  <dcterms:modified xsi:type="dcterms:W3CDTF">2019-10-21T17:15:00Z</dcterms:modified>
</cp:coreProperties>
</file>