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F2" w:rsidRPr="00D53FF2" w:rsidRDefault="00D53FF2">
      <w:pPr>
        <w:rPr>
          <w:rFonts w:ascii="Calibri" w:hAnsi="Calibri" w:cs="Calibri"/>
        </w:rPr>
      </w:pPr>
    </w:p>
    <w:p w:rsidR="00D53FF2" w:rsidRPr="00D53FF2" w:rsidRDefault="00D53FF2" w:rsidP="00D53FF2">
      <w:pPr>
        <w:rPr>
          <w:rFonts w:ascii="Calibri" w:hAnsi="Calibri" w:cs="Calibri"/>
        </w:rPr>
      </w:pPr>
    </w:p>
    <w:p w:rsidR="00D53FF2" w:rsidRPr="00D53FF2" w:rsidRDefault="00D53FF2" w:rsidP="00D53FF2">
      <w:pPr>
        <w:rPr>
          <w:rFonts w:ascii="Calibri" w:hAnsi="Calibri" w:cs="Calibri"/>
        </w:rPr>
      </w:pPr>
    </w:p>
    <w:p w:rsidR="00D53FF2" w:rsidRPr="00D53FF2" w:rsidRDefault="00D53FF2" w:rsidP="00D53FF2">
      <w:pPr>
        <w:rPr>
          <w:rFonts w:ascii="Calibri" w:hAnsi="Calibri" w:cs="Calibri"/>
        </w:rPr>
      </w:pPr>
    </w:p>
    <w:p w:rsidR="00D53FF2" w:rsidRPr="00D53FF2" w:rsidRDefault="00D53FF2" w:rsidP="00D53FF2">
      <w:pPr>
        <w:numPr>
          <w:ilvl w:val="0"/>
          <w:numId w:val="1"/>
        </w:numPr>
        <w:spacing w:after="240"/>
        <w:rPr>
          <w:rFonts w:ascii="Calibri" w:hAnsi="Calibri" w:cs="Calibri"/>
          <w:bCs/>
          <w:sz w:val="24"/>
          <w:szCs w:val="24"/>
        </w:rPr>
      </w:pPr>
      <w:r w:rsidRPr="00D53FF2">
        <w:rPr>
          <w:rFonts w:ascii="Calibri" w:hAnsi="Calibri" w:cs="Calibri"/>
          <w:bCs/>
          <w:sz w:val="24"/>
          <w:szCs w:val="24"/>
        </w:rPr>
        <w:t>Please provide all workpapers, in active excel spreadsheet format, related to A.19-07-006.</w:t>
      </w:r>
    </w:p>
    <w:p w:rsidR="007961A8" w:rsidRDefault="00D53FF2" w:rsidP="007961A8">
      <w:pPr>
        <w:spacing w:after="240"/>
        <w:rPr>
          <w:rFonts w:ascii="Calibri" w:hAnsi="Calibri" w:cs="Calibri"/>
          <w:b/>
          <w:bCs/>
          <w:sz w:val="24"/>
          <w:szCs w:val="24"/>
        </w:rPr>
      </w:pPr>
      <w:r w:rsidRPr="00D53FF2">
        <w:rPr>
          <w:rFonts w:ascii="Calibri" w:hAnsi="Calibri" w:cs="Calibri"/>
          <w:b/>
          <w:bCs/>
          <w:sz w:val="24"/>
          <w:szCs w:val="24"/>
        </w:rPr>
        <w:t>SDG&amp;E Response:</w:t>
      </w:r>
    </w:p>
    <w:p w:rsidR="007961A8" w:rsidRPr="00307AC6" w:rsidRDefault="007961A8" w:rsidP="007961A8">
      <w:pPr>
        <w:spacing w:after="24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All workpapers </w:t>
      </w:r>
      <w:r w:rsidR="00307AC6">
        <w:rPr>
          <w:rFonts w:ascii="Calibri" w:hAnsi="Calibri" w:cs="Calibri"/>
          <w:bCs/>
          <w:sz w:val="24"/>
          <w:szCs w:val="24"/>
        </w:rPr>
        <w:t xml:space="preserve">are </w:t>
      </w:r>
      <w:r>
        <w:rPr>
          <w:rFonts w:ascii="Calibri" w:hAnsi="Calibri" w:cs="Calibri"/>
          <w:bCs/>
          <w:sz w:val="24"/>
          <w:szCs w:val="24"/>
        </w:rPr>
        <w:t xml:space="preserve">available for download at: </w:t>
      </w:r>
      <w:hyperlink r:id="rId10" w:history="1">
        <w:r w:rsidRPr="007961A8">
          <w:rPr>
            <w:rStyle w:val="Hyperlink"/>
            <w:rFonts w:ascii="Calibri" w:hAnsi="Calibri" w:cs="Calibri"/>
          </w:rPr>
          <w:t>https://www.sdge.com/rates-and-regulations/proceedings/ev-high-power-charging-rate</w:t>
        </w:r>
      </w:hyperlink>
    </w:p>
    <w:p w:rsidR="00D53FF2" w:rsidRPr="00D53FF2" w:rsidRDefault="00D53FF2" w:rsidP="00D53FF2">
      <w:pPr>
        <w:numPr>
          <w:ilvl w:val="0"/>
          <w:numId w:val="1"/>
        </w:numPr>
        <w:spacing w:after="240"/>
        <w:rPr>
          <w:rFonts w:ascii="Calibri" w:hAnsi="Calibri" w:cs="Calibri"/>
          <w:bCs/>
          <w:sz w:val="24"/>
          <w:szCs w:val="24"/>
        </w:rPr>
      </w:pPr>
      <w:r w:rsidRPr="00D53FF2">
        <w:rPr>
          <w:rFonts w:ascii="Calibri" w:hAnsi="Calibri" w:cs="Calibri"/>
          <w:bCs/>
          <w:sz w:val="24"/>
          <w:szCs w:val="24"/>
        </w:rPr>
        <w:t>On an ongoing basis, provide a copy of all data request responses in A.19-07-006 provided by SDG&amp;E in response to discovery from Energy Division, and from other intervenor parties.</w:t>
      </w:r>
    </w:p>
    <w:p w:rsidR="00D53FF2" w:rsidRPr="00D53FF2" w:rsidRDefault="00D53FF2" w:rsidP="00D53FF2">
      <w:pPr>
        <w:spacing w:after="240"/>
        <w:rPr>
          <w:rFonts w:ascii="Calibri" w:hAnsi="Calibri" w:cs="Calibri"/>
          <w:b/>
          <w:bCs/>
          <w:sz w:val="24"/>
          <w:szCs w:val="24"/>
        </w:rPr>
      </w:pPr>
      <w:r w:rsidRPr="00D53FF2">
        <w:rPr>
          <w:rFonts w:ascii="Calibri" w:hAnsi="Calibri" w:cs="Calibri"/>
          <w:b/>
          <w:bCs/>
          <w:sz w:val="24"/>
          <w:szCs w:val="24"/>
        </w:rPr>
        <w:t xml:space="preserve">SDG&amp;E Response: </w:t>
      </w:r>
    </w:p>
    <w:p w:rsidR="00D53FF2" w:rsidRPr="00D53FF2" w:rsidRDefault="00D53FF2" w:rsidP="00D53FF2">
      <w:pPr>
        <w:spacing w:after="240"/>
        <w:rPr>
          <w:rFonts w:ascii="Calibri" w:hAnsi="Calibri" w:cs="Calibri"/>
          <w:bCs/>
          <w:sz w:val="24"/>
          <w:szCs w:val="24"/>
        </w:rPr>
      </w:pPr>
      <w:r w:rsidRPr="00D53FF2">
        <w:rPr>
          <w:rFonts w:ascii="Calibri" w:hAnsi="Calibri" w:cs="Calibri"/>
          <w:bCs/>
          <w:sz w:val="24"/>
          <w:szCs w:val="24"/>
        </w:rPr>
        <w:t>SDG&amp;E will post all discovery</w:t>
      </w:r>
      <w:r w:rsidR="009E2E2C">
        <w:rPr>
          <w:rFonts w:ascii="Calibri" w:hAnsi="Calibri" w:cs="Calibri"/>
          <w:bCs/>
          <w:sz w:val="24"/>
          <w:szCs w:val="24"/>
        </w:rPr>
        <w:t xml:space="preserve"> responses</w:t>
      </w:r>
      <w:r w:rsidRPr="00D53FF2">
        <w:rPr>
          <w:rFonts w:ascii="Calibri" w:hAnsi="Calibri" w:cs="Calibri"/>
          <w:bCs/>
          <w:sz w:val="24"/>
          <w:szCs w:val="24"/>
        </w:rPr>
        <w:t xml:space="preserve"> at: </w:t>
      </w:r>
      <w:hyperlink r:id="rId11" w:history="1">
        <w:r w:rsidRPr="00D53FF2">
          <w:rPr>
            <w:rStyle w:val="Hyperlink"/>
            <w:rFonts w:ascii="Calibri" w:hAnsi="Calibri" w:cs="Calibri"/>
          </w:rPr>
          <w:t>https://www.sdge.com/rates-and-regulations/proceedings/ev-high-power-charging-rate</w:t>
        </w:r>
      </w:hyperlink>
    </w:p>
    <w:p w:rsidR="00DC4726" w:rsidRPr="00D53FF2" w:rsidRDefault="004F0952" w:rsidP="00D53FF2">
      <w:pPr>
        <w:tabs>
          <w:tab w:val="left" w:pos="3645"/>
        </w:tabs>
        <w:rPr>
          <w:rFonts w:ascii="Calibri" w:hAnsi="Calibri" w:cs="Calibri"/>
        </w:rPr>
      </w:pPr>
    </w:p>
    <w:sectPr w:rsidR="00DC4726" w:rsidRPr="00D53FF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52" w:rsidRDefault="004F0952" w:rsidP="00D53FF2">
      <w:r>
        <w:separator/>
      </w:r>
    </w:p>
  </w:endnote>
  <w:endnote w:type="continuationSeparator" w:id="0">
    <w:p w:rsidR="004F0952" w:rsidRDefault="004F0952" w:rsidP="00D5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YCZGQ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52" w:rsidRDefault="004F0952" w:rsidP="00D53FF2">
      <w:r>
        <w:separator/>
      </w:r>
    </w:p>
  </w:footnote>
  <w:footnote w:type="continuationSeparator" w:id="0">
    <w:p w:rsidR="004F0952" w:rsidRDefault="004F0952" w:rsidP="00D5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>
      <w:rPr>
        <w:rFonts w:asciiTheme="minorHAnsi" w:hAnsiTheme="minorHAnsi" w:cstheme="minorHAnsi"/>
        <w:b/>
        <w:bCs/>
        <w:sz w:val="23"/>
        <w:szCs w:val="23"/>
      </w:rPr>
      <w:t>Cal PA</w:t>
    </w:r>
    <w:r w:rsidRPr="00D53FF2">
      <w:rPr>
        <w:rFonts w:asciiTheme="minorHAnsi" w:hAnsiTheme="minorHAnsi" w:cstheme="minorHAnsi"/>
        <w:b/>
        <w:bCs/>
        <w:sz w:val="23"/>
        <w:szCs w:val="23"/>
      </w:rPr>
      <w:t xml:space="preserve"> DATA REQUEST 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proofErr w:type="spellStart"/>
    <w:r>
      <w:rPr>
        <w:rFonts w:asciiTheme="minorHAnsi" w:hAnsiTheme="minorHAnsi" w:cstheme="minorHAnsi"/>
        <w:b/>
        <w:bCs/>
        <w:sz w:val="23"/>
        <w:szCs w:val="23"/>
      </w:rPr>
      <w:t>CalPA</w:t>
    </w:r>
    <w:proofErr w:type="spellEnd"/>
    <w:r>
      <w:rPr>
        <w:rFonts w:asciiTheme="minorHAnsi" w:hAnsiTheme="minorHAnsi" w:cstheme="minorHAnsi"/>
        <w:b/>
        <w:bCs/>
        <w:sz w:val="23"/>
        <w:szCs w:val="23"/>
      </w:rPr>
      <w:t xml:space="preserve"> </w:t>
    </w:r>
    <w:r w:rsidRPr="00D53FF2">
      <w:rPr>
        <w:rFonts w:asciiTheme="minorHAnsi" w:hAnsiTheme="minorHAnsi" w:cstheme="minorHAnsi"/>
        <w:b/>
        <w:bCs/>
        <w:sz w:val="23"/>
        <w:szCs w:val="23"/>
      </w:rPr>
      <w:t>-SDG&amp;E-DR-01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>Application for Approval of Electric Vehicle High Power Charging Rate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 xml:space="preserve">SDG&amp;E RESPONSE 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 xml:space="preserve">DATE RECEIVED: July 23, 2019 </w:t>
    </w:r>
  </w:p>
  <w:p w:rsidR="00D53FF2" w:rsidRPr="00D53FF2" w:rsidRDefault="00D53FF2" w:rsidP="00D53FF2">
    <w:pPr>
      <w:pStyle w:val="Default"/>
      <w:jc w:val="center"/>
      <w:rPr>
        <w:rFonts w:asciiTheme="minorHAnsi" w:hAnsiTheme="minorHAnsi" w:cstheme="minorHAnsi"/>
        <w:b/>
        <w:bCs/>
        <w:sz w:val="23"/>
        <w:szCs w:val="23"/>
      </w:rPr>
    </w:pPr>
    <w:r w:rsidRPr="00D53FF2">
      <w:rPr>
        <w:rFonts w:asciiTheme="minorHAnsi" w:hAnsiTheme="minorHAnsi" w:cstheme="minorHAnsi"/>
        <w:b/>
        <w:bCs/>
        <w:sz w:val="23"/>
        <w:szCs w:val="23"/>
      </w:rPr>
      <w:t>DATE RESPONDED: July 3</w:t>
    </w:r>
    <w:r w:rsidR="002100DF">
      <w:rPr>
        <w:rFonts w:asciiTheme="minorHAnsi" w:hAnsiTheme="minorHAnsi" w:cstheme="minorHAnsi"/>
        <w:b/>
        <w:bCs/>
        <w:sz w:val="23"/>
        <w:szCs w:val="23"/>
      </w:rPr>
      <w:t>1</w:t>
    </w:r>
    <w:r w:rsidRPr="00D53FF2">
      <w:rPr>
        <w:rFonts w:asciiTheme="minorHAnsi" w:hAnsiTheme="minorHAnsi" w:cstheme="minorHAnsi"/>
        <w:b/>
        <w:bCs/>
        <w:sz w:val="23"/>
        <w:szCs w:val="23"/>
      </w:rPr>
      <w:t>, 2019</w:t>
    </w:r>
  </w:p>
  <w:p w:rsidR="00D53FF2" w:rsidRDefault="00D53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78"/>
    <w:multiLevelType w:val="hybridMultilevel"/>
    <w:tmpl w:val="325E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796A"/>
    <w:multiLevelType w:val="hybridMultilevel"/>
    <w:tmpl w:val="E6107830"/>
    <w:lvl w:ilvl="0" w:tplc="2EE8C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F2"/>
    <w:rsid w:val="002100DF"/>
    <w:rsid w:val="002E2C65"/>
    <w:rsid w:val="00307AC6"/>
    <w:rsid w:val="00345237"/>
    <w:rsid w:val="003D40DA"/>
    <w:rsid w:val="00412CF2"/>
    <w:rsid w:val="00461ACA"/>
    <w:rsid w:val="004878FC"/>
    <w:rsid w:val="004D38A6"/>
    <w:rsid w:val="004F0952"/>
    <w:rsid w:val="006C6D74"/>
    <w:rsid w:val="007961A8"/>
    <w:rsid w:val="00830095"/>
    <w:rsid w:val="008A603C"/>
    <w:rsid w:val="008D06C8"/>
    <w:rsid w:val="00902F3C"/>
    <w:rsid w:val="009E2E2C"/>
    <w:rsid w:val="009F3708"/>
    <w:rsid w:val="00A275F0"/>
    <w:rsid w:val="00C62ED3"/>
    <w:rsid w:val="00D53FF2"/>
    <w:rsid w:val="00D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1C9B"/>
  <w15:chartTrackingRefBased/>
  <w15:docId w15:val="{94D5D2DE-2E1C-4F42-8E4B-65A4BE4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FF2"/>
  </w:style>
  <w:style w:type="paragraph" w:styleId="Footer">
    <w:name w:val="footer"/>
    <w:basedOn w:val="Normal"/>
    <w:link w:val="FooterChar"/>
    <w:uiPriority w:val="99"/>
    <w:unhideWhenUsed/>
    <w:rsid w:val="00D53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F2"/>
  </w:style>
  <w:style w:type="paragraph" w:customStyle="1" w:styleId="Default">
    <w:name w:val="Default"/>
    <w:rsid w:val="00D53FF2"/>
    <w:pPr>
      <w:widowControl w:val="0"/>
      <w:autoSpaceDE w:val="0"/>
      <w:autoSpaceDN w:val="0"/>
      <w:adjustRightInd w:val="0"/>
      <w:spacing w:after="0" w:line="240" w:lineRule="auto"/>
    </w:pPr>
    <w:rPr>
      <w:rFonts w:ascii="TYCZGQ+TimesNewRomanPS-BoldMT" w:eastAsiaTheme="minorEastAsia" w:hAnsi="TYCZGQ+TimesNewRomanPS-BoldMT" w:cs="TYCZGQ+TimesNewRomanPS-Bold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F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3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ge.com/rates-and-regulations/proceedings/ev-high-power-charging-rat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dge.com/rates-and-regulations/proceedings/ev-high-power-charging-r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6BB30C0D30D41804A108B0C7714B4" ma:contentTypeVersion="10" ma:contentTypeDescription="Create a new document." ma:contentTypeScope="" ma:versionID="8beef71b578bd6ea5b10a76259470713">
  <xsd:schema xmlns:xsd="http://www.w3.org/2001/XMLSchema" xmlns:xs="http://www.w3.org/2001/XMLSchema" xmlns:p="http://schemas.microsoft.com/office/2006/metadata/properties" xmlns:ns3="c73499d5-9063-48be-be09-22088d5a88c3" targetNamespace="http://schemas.microsoft.com/office/2006/metadata/properties" ma:root="true" ma:fieldsID="6ba8eac9f7caac9edb1b47146b1b45a8" ns3:_="">
    <xsd:import namespace="c73499d5-9063-48be-be09-22088d5a8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99d5-9063-48be-be09-22088d5a8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9B8B8-5B69-4D12-AAD8-6FDBDA027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8D8CF-31AD-4774-8C7B-7178C85F0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8E261-8653-4F88-B8C8-86B07613A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99d5-9063-48be-be09-22088d5a8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Kinports, Dean A.</dc:creator>
  <cp:keywords/>
  <dc:description/>
  <cp:lastModifiedBy>Kinports, Dean A.</cp:lastModifiedBy>
  <cp:revision>2</cp:revision>
  <dcterms:created xsi:type="dcterms:W3CDTF">2019-07-31T18:30:00Z</dcterms:created>
  <dcterms:modified xsi:type="dcterms:W3CDTF">2019-07-31T18:30:00Z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0x0101008BA6BB30C0D30D41804A108B0C7714B4</vt:lpwstr>
  </property>
</Properties>
</file>