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076B50" w:rsidRDefault="006C46C9" w:rsidP="00ED1A8B">
      <w:pPr>
        <w:pStyle w:val="Default"/>
        <w:rPr>
          <w:b/>
          <w:bCs/>
          <w:color w:val="auto"/>
        </w:rPr>
      </w:pPr>
    </w:p>
    <w:p w14:paraId="39C5F65B" w14:textId="77777777" w:rsidR="00F571D6" w:rsidRPr="00076B50" w:rsidRDefault="00F571D6">
      <w:pPr>
        <w:spacing w:before="3" w:line="120" w:lineRule="exact"/>
        <w:rPr>
          <w:rFonts w:ascii="Times New Roman" w:hAnsi="Times New Roman" w:cs="Times New Roman"/>
          <w:sz w:val="24"/>
          <w:szCs w:val="24"/>
        </w:rPr>
      </w:pPr>
    </w:p>
    <w:p w14:paraId="7A88CEE8" w14:textId="2B0D7D55" w:rsidR="00F571D6" w:rsidRPr="00076B50" w:rsidRDefault="00C03810">
      <w:pPr>
        <w:ind w:right="297"/>
        <w:jc w:val="center"/>
        <w:rPr>
          <w:rFonts w:ascii="Times New Roman" w:eastAsia="Times New Roman" w:hAnsi="Times New Roman" w:cs="Times New Roman"/>
          <w:b/>
          <w:bCs/>
          <w:sz w:val="24"/>
          <w:szCs w:val="24"/>
          <w:u w:val="thick" w:color="000000"/>
        </w:rPr>
      </w:pPr>
      <w:r w:rsidRPr="00076B50">
        <w:rPr>
          <w:rFonts w:ascii="Times New Roman" w:eastAsia="Times New Roman" w:hAnsi="Times New Roman" w:cs="Times New Roman"/>
          <w:b/>
          <w:bCs/>
          <w:spacing w:val="-2"/>
          <w:sz w:val="24"/>
          <w:szCs w:val="24"/>
          <w:u w:val="thick" w:color="000000"/>
        </w:rPr>
        <w:t>DA</w:t>
      </w:r>
      <w:r w:rsidRPr="00076B50">
        <w:rPr>
          <w:rFonts w:ascii="Times New Roman" w:eastAsia="Times New Roman" w:hAnsi="Times New Roman" w:cs="Times New Roman"/>
          <w:b/>
          <w:bCs/>
          <w:spacing w:val="-1"/>
          <w:sz w:val="24"/>
          <w:szCs w:val="24"/>
          <w:u w:val="thick" w:color="000000"/>
        </w:rPr>
        <w:t>T</w:t>
      </w:r>
      <w:r w:rsidRPr="00076B50">
        <w:rPr>
          <w:rFonts w:ascii="Times New Roman" w:eastAsia="Times New Roman" w:hAnsi="Times New Roman" w:cs="Times New Roman"/>
          <w:b/>
          <w:bCs/>
          <w:sz w:val="24"/>
          <w:szCs w:val="24"/>
          <w:u w:val="thick" w:color="000000"/>
        </w:rPr>
        <w:t>A</w:t>
      </w:r>
      <w:r w:rsidRPr="00076B50">
        <w:rPr>
          <w:rFonts w:ascii="Times New Roman" w:eastAsia="Times New Roman" w:hAnsi="Times New Roman" w:cs="Times New Roman"/>
          <w:b/>
          <w:bCs/>
          <w:spacing w:val="-2"/>
          <w:sz w:val="24"/>
          <w:szCs w:val="24"/>
          <w:u w:val="thick" w:color="000000"/>
        </w:rPr>
        <w:t xml:space="preserve"> R</w:t>
      </w:r>
      <w:r w:rsidRPr="00076B50">
        <w:rPr>
          <w:rFonts w:ascii="Times New Roman" w:eastAsia="Times New Roman" w:hAnsi="Times New Roman" w:cs="Times New Roman"/>
          <w:b/>
          <w:bCs/>
          <w:spacing w:val="-1"/>
          <w:sz w:val="24"/>
          <w:szCs w:val="24"/>
          <w:u w:val="thick" w:color="000000"/>
        </w:rPr>
        <w:t>E</w:t>
      </w:r>
      <w:r w:rsidRPr="00076B50">
        <w:rPr>
          <w:rFonts w:ascii="Times New Roman" w:eastAsia="Times New Roman" w:hAnsi="Times New Roman" w:cs="Times New Roman"/>
          <w:b/>
          <w:bCs/>
          <w:sz w:val="24"/>
          <w:szCs w:val="24"/>
          <w:u w:val="thick" w:color="000000"/>
        </w:rPr>
        <w:t>Q</w:t>
      </w:r>
      <w:r w:rsidRPr="00076B50">
        <w:rPr>
          <w:rFonts w:ascii="Times New Roman" w:eastAsia="Times New Roman" w:hAnsi="Times New Roman" w:cs="Times New Roman"/>
          <w:b/>
          <w:bCs/>
          <w:spacing w:val="-2"/>
          <w:sz w:val="24"/>
          <w:szCs w:val="24"/>
          <w:u w:val="thick" w:color="000000"/>
        </w:rPr>
        <w:t>U</w:t>
      </w:r>
      <w:r w:rsidRPr="00076B50">
        <w:rPr>
          <w:rFonts w:ascii="Times New Roman" w:eastAsia="Times New Roman" w:hAnsi="Times New Roman" w:cs="Times New Roman"/>
          <w:b/>
          <w:bCs/>
          <w:spacing w:val="-1"/>
          <w:sz w:val="24"/>
          <w:szCs w:val="24"/>
          <w:u w:val="thick" w:color="000000"/>
        </w:rPr>
        <w:t>E</w:t>
      </w:r>
      <w:r w:rsidRPr="00076B50">
        <w:rPr>
          <w:rFonts w:ascii="Times New Roman" w:eastAsia="Times New Roman" w:hAnsi="Times New Roman" w:cs="Times New Roman"/>
          <w:b/>
          <w:bCs/>
          <w:sz w:val="24"/>
          <w:szCs w:val="24"/>
          <w:u w:val="thick" w:color="000000"/>
        </w:rPr>
        <w:t>ST</w:t>
      </w:r>
    </w:p>
    <w:p w14:paraId="063B9248" w14:textId="215229A0" w:rsidR="00F65911" w:rsidRPr="00E64294" w:rsidRDefault="00E7705E" w:rsidP="00E7705E">
      <w:pPr>
        <w:widowControl/>
        <w:jc w:val="center"/>
        <w:rPr>
          <w:rFonts w:ascii="Times New Roman" w:hAnsi="Times New Roman" w:cs="Times New Roman"/>
          <w:b/>
          <w:bCs/>
          <w:sz w:val="24"/>
          <w:szCs w:val="24"/>
        </w:rPr>
      </w:pPr>
      <w:r w:rsidRPr="00E7705E">
        <w:rPr>
          <w:rFonts w:ascii="Times New Roman" w:hAnsi="Times New Roman" w:cs="Times New Roman"/>
          <w:b/>
          <w:bCs/>
          <w:sz w:val="24"/>
          <w:szCs w:val="24"/>
        </w:rPr>
        <w:t xml:space="preserve">SUBJECT: </w:t>
      </w:r>
      <w:r w:rsidR="00E64294" w:rsidRPr="00E64294">
        <w:rPr>
          <w:rFonts w:ascii="Times New Roman" w:hAnsi="Times New Roman" w:cs="Times New Roman"/>
          <w:b/>
          <w:bCs/>
          <w:sz w:val="24"/>
          <w:szCs w:val="24"/>
        </w:rPr>
        <w:t>EFFECT OF DEMAND CHARGE STUDY ON RATE DESIGN</w:t>
      </w:r>
    </w:p>
    <w:p w14:paraId="3BF66D18" w14:textId="77C40928" w:rsidR="00F65911" w:rsidRPr="00076B50" w:rsidRDefault="00F65911" w:rsidP="00CB269D">
      <w:pPr>
        <w:widowControl/>
        <w:rPr>
          <w:rFonts w:ascii="Times New Roman" w:eastAsia="Times New Roman" w:hAnsi="Times New Roman" w:cs="Times New Roman"/>
          <w:sz w:val="24"/>
          <w:szCs w:val="24"/>
        </w:rPr>
      </w:pPr>
    </w:p>
    <w:p w14:paraId="6361DF0F" w14:textId="77777777" w:rsidR="0074059D" w:rsidRPr="0074059D" w:rsidRDefault="0074059D" w:rsidP="0074059D">
      <w:pPr>
        <w:widowControl/>
        <w:autoSpaceDE w:val="0"/>
        <w:autoSpaceDN w:val="0"/>
        <w:adjustRightInd w:val="0"/>
        <w:rPr>
          <w:rFonts w:ascii="Times New Roman" w:hAnsi="Times New Roman" w:cs="Times New Roman"/>
          <w:color w:val="000000"/>
          <w:sz w:val="24"/>
          <w:szCs w:val="24"/>
        </w:rPr>
      </w:pPr>
    </w:p>
    <w:p w14:paraId="3CB73829" w14:textId="654A24EE" w:rsidR="0074059D" w:rsidRDefault="0074059D" w:rsidP="0074059D">
      <w:pPr>
        <w:widowControl/>
        <w:autoSpaceDE w:val="0"/>
        <w:autoSpaceDN w:val="0"/>
        <w:adjustRightInd w:val="0"/>
        <w:rPr>
          <w:rFonts w:ascii="Times New Roman" w:hAnsi="Times New Roman" w:cs="Times New Roman"/>
          <w:color w:val="000000"/>
          <w:sz w:val="23"/>
          <w:szCs w:val="23"/>
        </w:rPr>
      </w:pPr>
      <w:r w:rsidRPr="0074059D">
        <w:rPr>
          <w:rFonts w:ascii="Times New Roman" w:hAnsi="Times New Roman" w:cs="Times New Roman"/>
          <w:color w:val="000000"/>
          <w:sz w:val="23"/>
          <w:szCs w:val="23"/>
        </w:rPr>
        <w:t xml:space="preserve">1. In SDG&amp;E’s Chapter 5 workpapers, a revenue allocation is produced using marginal distribution demand costs that were developed using a regression analysis where, for the forecast years, 2.2% of feeder costs and 22.4% of substation costs (4.9% combined) are regarded as load related. These same percentages are shown in Attachment A-2 of the Demand Charge Study. </w:t>
      </w:r>
    </w:p>
    <w:p w14:paraId="68779CDE" w14:textId="4FC9EBC1" w:rsidR="0074059D" w:rsidRDefault="0074059D" w:rsidP="0074059D">
      <w:pPr>
        <w:widowControl/>
        <w:autoSpaceDE w:val="0"/>
        <w:autoSpaceDN w:val="0"/>
        <w:adjustRightInd w:val="0"/>
        <w:rPr>
          <w:rFonts w:ascii="Times New Roman" w:hAnsi="Times New Roman" w:cs="Times New Roman"/>
          <w:color w:val="000000"/>
          <w:sz w:val="23"/>
          <w:szCs w:val="23"/>
        </w:rPr>
      </w:pPr>
    </w:p>
    <w:p w14:paraId="5E66C4F9" w14:textId="535DED7C" w:rsidR="00391A0D" w:rsidRDefault="0074059D" w:rsidP="0074059D">
      <w:pPr>
        <w:widowControl/>
        <w:autoSpaceDE w:val="0"/>
        <w:autoSpaceDN w:val="0"/>
        <w:adjustRightInd w:val="0"/>
        <w:rPr>
          <w:rFonts w:ascii="Times New Roman" w:hAnsi="Times New Roman" w:cs="Times New Roman"/>
          <w:color w:val="000000"/>
          <w:sz w:val="23"/>
          <w:szCs w:val="23"/>
        </w:rPr>
      </w:pPr>
      <w:r w:rsidRPr="0074059D">
        <w:rPr>
          <w:rFonts w:ascii="Times New Roman" w:hAnsi="Times New Roman" w:cs="Times New Roman"/>
          <w:color w:val="000000"/>
          <w:sz w:val="23"/>
          <w:szCs w:val="23"/>
        </w:rPr>
        <w:t>Please develop a rate design for Schedule AL-TOU where the distribution coincident and non-coincident demand charges are based on the results of the demand charge study. Indicate what percentage of distribution demand costs are recovered in the coincident demand charge, and what percentage are recovered in the non-coincided demand charge. Explain how the “Forecasted On-Peak Capacity-Related Distribution Demand Costs” on the top six lines of Attachment A-3 of the Demand Charge Study, where on-peak three-year average demand costs are 66.3% for feeders and 72.1% for substations, are incorporated into the rate design. Explain how the EPMC markup is partitioned between coincident and non-coincident demand charge. Provide an Excel</w:t>
      </w:r>
      <w:r w:rsidR="009A2938">
        <w:rPr>
          <w:rFonts w:ascii="Times New Roman" w:hAnsi="Times New Roman" w:cs="Times New Roman"/>
          <w:color w:val="000000"/>
          <w:sz w:val="23"/>
          <w:szCs w:val="23"/>
        </w:rPr>
        <w:t xml:space="preserve"> </w:t>
      </w:r>
      <w:r w:rsidR="009A2938" w:rsidRPr="009A2938">
        <w:rPr>
          <w:rFonts w:ascii="Times New Roman" w:hAnsi="Times New Roman" w:cs="Times New Roman"/>
          <w:color w:val="000000"/>
          <w:sz w:val="23"/>
          <w:szCs w:val="23"/>
        </w:rPr>
        <w:t>workpaper with all references and formulae intact that develops this rate design.</w:t>
      </w:r>
    </w:p>
    <w:p w14:paraId="1117FBBE" w14:textId="60216FBB" w:rsidR="0074059D" w:rsidRDefault="0074059D" w:rsidP="0074059D">
      <w:pPr>
        <w:widowControl/>
        <w:autoSpaceDE w:val="0"/>
        <w:autoSpaceDN w:val="0"/>
        <w:adjustRightInd w:val="0"/>
        <w:rPr>
          <w:rFonts w:ascii="Times New Roman" w:hAnsi="Times New Roman" w:cs="Times New Roman"/>
          <w:color w:val="000000"/>
          <w:sz w:val="23"/>
          <w:szCs w:val="23"/>
        </w:rPr>
      </w:pPr>
    </w:p>
    <w:p w14:paraId="050FCEF8" w14:textId="2FA59DB3" w:rsidR="0074059D" w:rsidRDefault="0074059D" w:rsidP="0074059D">
      <w:pPr>
        <w:widowControl/>
        <w:autoSpaceDE w:val="0"/>
        <w:autoSpaceDN w:val="0"/>
        <w:adjustRightInd w:val="0"/>
        <w:rPr>
          <w:rFonts w:ascii="Times New Roman" w:hAnsi="Times New Roman" w:cs="Times New Roman"/>
          <w:b/>
          <w:color w:val="000000"/>
          <w:sz w:val="23"/>
          <w:szCs w:val="23"/>
        </w:rPr>
      </w:pPr>
      <w:r w:rsidRPr="0074059D">
        <w:rPr>
          <w:rFonts w:ascii="Times New Roman" w:hAnsi="Times New Roman" w:cs="Times New Roman"/>
          <w:b/>
          <w:color w:val="000000"/>
          <w:sz w:val="23"/>
          <w:szCs w:val="23"/>
        </w:rPr>
        <w:t>SDG&amp;E Response:</w:t>
      </w:r>
    </w:p>
    <w:p w14:paraId="7F9FA42E" w14:textId="2A6A75D8" w:rsidR="00741A46" w:rsidRDefault="00741A46" w:rsidP="0074059D">
      <w:pPr>
        <w:widowControl/>
        <w:autoSpaceDE w:val="0"/>
        <w:autoSpaceDN w:val="0"/>
        <w:adjustRightInd w:val="0"/>
        <w:rPr>
          <w:rFonts w:ascii="Times New Roman" w:hAnsi="Times New Roman" w:cs="Times New Roman"/>
          <w:b/>
          <w:color w:val="000000"/>
          <w:sz w:val="23"/>
          <w:szCs w:val="23"/>
        </w:rPr>
      </w:pPr>
    </w:p>
    <w:p w14:paraId="43845124" w14:textId="2189FA1E" w:rsidR="00E941FE" w:rsidRDefault="001C31ED" w:rsidP="00E941FE">
      <w:pPr>
        <w:widowControl/>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As requested, t</w:t>
      </w:r>
      <w:r w:rsidR="0091261F">
        <w:rPr>
          <w:rFonts w:ascii="Times New Roman" w:hAnsi="Times New Roman" w:cs="Times New Roman"/>
          <w:color w:val="000000"/>
          <w:sz w:val="23"/>
          <w:szCs w:val="23"/>
        </w:rPr>
        <w:t xml:space="preserve">he attached file </w:t>
      </w:r>
      <w:r w:rsidR="00E1023F">
        <w:rPr>
          <w:rFonts w:ascii="Times New Roman" w:hAnsi="Times New Roman" w:cs="Times New Roman"/>
          <w:color w:val="000000"/>
          <w:sz w:val="23"/>
          <w:szCs w:val="23"/>
        </w:rPr>
        <w:t xml:space="preserve">(CalPA DR-019) </w:t>
      </w:r>
      <w:r w:rsidR="0091261F">
        <w:rPr>
          <w:rFonts w:ascii="Times New Roman" w:hAnsi="Times New Roman" w:cs="Times New Roman"/>
          <w:color w:val="000000"/>
          <w:sz w:val="23"/>
          <w:szCs w:val="23"/>
        </w:rPr>
        <w:t xml:space="preserve">provides the calculation of the non-coincident and on-peak demand charges for Schedule AL-TOU based on SDG&amp;E’s 2019 GRC Phase 2 </w:t>
      </w:r>
      <w:r w:rsidR="003F4E16">
        <w:rPr>
          <w:rFonts w:ascii="Times New Roman" w:hAnsi="Times New Roman" w:cs="Times New Roman"/>
          <w:color w:val="000000"/>
          <w:sz w:val="23"/>
          <w:szCs w:val="23"/>
        </w:rPr>
        <w:t xml:space="preserve">demand charge </w:t>
      </w:r>
      <w:r w:rsidR="0091261F">
        <w:rPr>
          <w:rFonts w:ascii="Times New Roman" w:hAnsi="Times New Roman" w:cs="Times New Roman"/>
          <w:color w:val="000000"/>
          <w:sz w:val="23"/>
          <w:szCs w:val="23"/>
        </w:rPr>
        <w:t>proposal</w:t>
      </w:r>
      <w:r w:rsidR="003F4E16">
        <w:rPr>
          <w:rFonts w:ascii="Times New Roman" w:hAnsi="Times New Roman" w:cs="Times New Roman"/>
          <w:color w:val="000000"/>
          <w:sz w:val="23"/>
          <w:szCs w:val="23"/>
        </w:rPr>
        <w:t>s</w:t>
      </w:r>
      <w:r w:rsidR="0091261F">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(Proposed Demand Charges [DC] tab) </w:t>
      </w:r>
      <w:r w:rsidR="0091261F">
        <w:rPr>
          <w:rFonts w:ascii="Times New Roman" w:hAnsi="Times New Roman" w:cs="Times New Roman"/>
          <w:color w:val="000000"/>
          <w:sz w:val="23"/>
          <w:szCs w:val="23"/>
        </w:rPr>
        <w:t xml:space="preserve">compared to </w:t>
      </w:r>
      <w:r w:rsidR="003F4E16">
        <w:rPr>
          <w:rFonts w:ascii="Times New Roman" w:hAnsi="Times New Roman" w:cs="Times New Roman"/>
          <w:color w:val="000000"/>
          <w:sz w:val="23"/>
          <w:szCs w:val="23"/>
        </w:rPr>
        <w:t xml:space="preserve">the resulting </w:t>
      </w:r>
      <w:r w:rsidR="0091261F">
        <w:rPr>
          <w:rFonts w:ascii="Times New Roman" w:hAnsi="Times New Roman" w:cs="Times New Roman"/>
          <w:color w:val="000000"/>
          <w:sz w:val="23"/>
          <w:szCs w:val="23"/>
        </w:rPr>
        <w:t xml:space="preserve">demand charges </w:t>
      </w:r>
      <w:r w:rsidR="003F4E16">
        <w:rPr>
          <w:rFonts w:ascii="Times New Roman" w:hAnsi="Times New Roman" w:cs="Times New Roman"/>
          <w:color w:val="000000"/>
          <w:sz w:val="23"/>
          <w:szCs w:val="23"/>
        </w:rPr>
        <w:t xml:space="preserve">based on </w:t>
      </w:r>
      <w:r w:rsidR="0091261F">
        <w:rPr>
          <w:rFonts w:ascii="Times New Roman" w:hAnsi="Times New Roman" w:cs="Times New Roman"/>
          <w:color w:val="000000"/>
          <w:sz w:val="23"/>
          <w:szCs w:val="23"/>
        </w:rPr>
        <w:t xml:space="preserve">SDG&amp;E’s </w:t>
      </w:r>
      <w:r>
        <w:rPr>
          <w:rFonts w:ascii="Times New Roman" w:hAnsi="Times New Roman" w:cs="Times New Roman"/>
          <w:color w:val="000000"/>
          <w:sz w:val="23"/>
          <w:szCs w:val="23"/>
        </w:rPr>
        <w:t xml:space="preserve">distribution </w:t>
      </w:r>
      <w:r w:rsidR="0091261F">
        <w:rPr>
          <w:rFonts w:ascii="Times New Roman" w:hAnsi="Times New Roman" w:cs="Times New Roman"/>
          <w:color w:val="000000"/>
          <w:sz w:val="23"/>
          <w:szCs w:val="23"/>
        </w:rPr>
        <w:t>demand charge study</w:t>
      </w:r>
      <w:r>
        <w:rPr>
          <w:rFonts w:ascii="Times New Roman" w:hAnsi="Times New Roman" w:cs="Times New Roman"/>
          <w:color w:val="000000"/>
          <w:sz w:val="23"/>
          <w:szCs w:val="23"/>
        </w:rPr>
        <w:t xml:space="preserve"> (DC Based on Demand Charge Study)</w:t>
      </w:r>
      <w:r w:rsidR="0091261F">
        <w:rPr>
          <w:rFonts w:ascii="Times New Roman" w:hAnsi="Times New Roman" w:cs="Times New Roman"/>
          <w:color w:val="000000"/>
          <w:sz w:val="23"/>
          <w:szCs w:val="23"/>
        </w:rPr>
        <w:t>.</w:t>
      </w:r>
      <w:r w:rsidR="003F4E16">
        <w:rPr>
          <w:rFonts w:ascii="Times New Roman" w:hAnsi="Times New Roman" w:cs="Times New Roman"/>
          <w:color w:val="000000"/>
          <w:sz w:val="23"/>
          <w:szCs w:val="23"/>
        </w:rPr>
        <w:t xml:space="preserve"> </w:t>
      </w:r>
      <w:r w:rsidR="0091261F">
        <w:rPr>
          <w:rFonts w:ascii="Times New Roman" w:hAnsi="Times New Roman" w:cs="Times New Roman"/>
          <w:color w:val="000000"/>
          <w:sz w:val="23"/>
          <w:szCs w:val="23"/>
        </w:rPr>
        <w:t xml:space="preserve">As shown in Attachment </w:t>
      </w:r>
      <w:r>
        <w:rPr>
          <w:rFonts w:ascii="Times New Roman" w:hAnsi="Times New Roman" w:cs="Times New Roman"/>
          <w:color w:val="000000"/>
          <w:sz w:val="23"/>
          <w:szCs w:val="23"/>
        </w:rPr>
        <w:t>A</w:t>
      </w:r>
      <w:r w:rsidR="0091261F">
        <w:rPr>
          <w:rFonts w:ascii="Times New Roman" w:hAnsi="Times New Roman" w:cs="Times New Roman"/>
          <w:color w:val="000000"/>
          <w:sz w:val="23"/>
          <w:szCs w:val="23"/>
        </w:rPr>
        <w:t>3</w:t>
      </w:r>
      <w:r>
        <w:rPr>
          <w:rFonts w:ascii="Times New Roman" w:hAnsi="Times New Roman" w:cs="Times New Roman"/>
          <w:color w:val="000000"/>
          <w:sz w:val="23"/>
          <w:szCs w:val="23"/>
        </w:rPr>
        <w:t xml:space="preserve"> of SDG&amp;E’s Distribution Demand Charge Study</w:t>
      </w:r>
      <w:r w:rsidR="0091261F">
        <w:rPr>
          <w:rFonts w:ascii="Times New Roman" w:hAnsi="Times New Roman" w:cs="Times New Roman"/>
          <w:color w:val="000000"/>
          <w:sz w:val="23"/>
          <w:szCs w:val="23"/>
        </w:rPr>
        <w:t xml:space="preserve">, the 94.8% non-coincident demand costs and 5.2% on-peak demand costs are developed based on 66.3% of Feeder &amp; Local Distribution and 72.1% of Substation costs being on-peak related, as shown in Cells D16 and D22, respectively, of Attachment </w:t>
      </w:r>
      <w:r>
        <w:rPr>
          <w:rFonts w:ascii="Times New Roman" w:hAnsi="Times New Roman" w:cs="Times New Roman"/>
          <w:color w:val="000000"/>
          <w:sz w:val="23"/>
          <w:szCs w:val="23"/>
        </w:rPr>
        <w:t>A</w:t>
      </w:r>
      <w:r w:rsidR="0091261F">
        <w:rPr>
          <w:rFonts w:ascii="Times New Roman" w:hAnsi="Times New Roman" w:cs="Times New Roman"/>
          <w:color w:val="000000"/>
          <w:sz w:val="23"/>
          <w:szCs w:val="23"/>
        </w:rPr>
        <w:t>3.</w:t>
      </w:r>
      <w:r w:rsidR="003F4E16">
        <w:rPr>
          <w:rFonts w:ascii="Times New Roman" w:hAnsi="Times New Roman" w:cs="Times New Roman"/>
          <w:color w:val="000000"/>
          <w:sz w:val="23"/>
          <w:szCs w:val="23"/>
        </w:rPr>
        <w:t xml:space="preserve"> However, Feeder &amp; Local Distribution and Substation </w:t>
      </w:r>
      <w:r>
        <w:rPr>
          <w:rFonts w:ascii="Times New Roman" w:hAnsi="Times New Roman" w:cs="Times New Roman"/>
          <w:color w:val="000000"/>
          <w:sz w:val="23"/>
          <w:szCs w:val="23"/>
        </w:rPr>
        <w:t xml:space="preserve">capacity </w:t>
      </w:r>
      <w:r w:rsidR="003F4E16">
        <w:rPr>
          <w:rFonts w:ascii="Times New Roman" w:hAnsi="Times New Roman" w:cs="Times New Roman"/>
          <w:color w:val="000000"/>
          <w:sz w:val="23"/>
          <w:szCs w:val="23"/>
        </w:rPr>
        <w:t xml:space="preserve">costs </w:t>
      </w:r>
      <w:r>
        <w:rPr>
          <w:rFonts w:ascii="Times New Roman" w:hAnsi="Times New Roman" w:cs="Times New Roman"/>
          <w:color w:val="000000"/>
          <w:sz w:val="23"/>
          <w:szCs w:val="23"/>
        </w:rPr>
        <w:t xml:space="preserve">only </w:t>
      </w:r>
      <w:r w:rsidR="003F4E16">
        <w:rPr>
          <w:rFonts w:ascii="Times New Roman" w:hAnsi="Times New Roman" w:cs="Times New Roman"/>
          <w:color w:val="000000"/>
          <w:sz w:val="23"/>
          <w:szCs w:val="23"/>
        </w:rPr>
        <w:t xml:space="preserve">reflect </w:t>
      </w:r>
      <w:r>
        <w:rPr>
          <w:rFonts w:ascii="Times New Roman" w:hAnsi="Times New Roman" w:cs="Times New Roman"/>
          <w:color w:val="000000"/>
          <w:sz w:val="23"/>
          <w:szCs w:val="23"/>
        </w:rPr>
        <w:t xml:space="preserve">2.2% and 22.4% </w:t>
      </w:r>
      <w:r w:rsidR="003F4E16">
        <w:rPr>
          <w:rFonts w:ascii="Times New Roman" w:hAnsi="Times New Roman" w:cs="Times New Roman"/>
          <w:color w:val="000000"/>
          <w:sz w:val="23"/>
          <w:szCs w:val="23"/>
        </w:rPr>
        <w:t xml:space="preserve">of the total distribution </w:t>
      </w:r>
      <w:r>
        <w:rPr>
          <w:rFonts w:ascii="Times New Roman" w:hAnsi="Times New Roman" w:cs="Times New Roman"/>
          <w:color w:val="000000"/>
          <w:sz w:val="23"/>
          <w:szCs w:val="23"/>
        </w:rPr>
        <w:t xml:space="preserve">marginal </w:t>
      </w:r>
      <w:r w:rsidR="003F4E16">
        <w:rPr>
          <w:rFonts w:ascii="Times New Roman" w:hAnsi="Times New Roman" w:cs="Times New Roman"/>
          <w:color w:val="000000"/>
          <w:sz w:val="23"/>
          <w:szCs w:val="23"/>
        </w:rPr>
        <w:t xml:space="preserve">demand costs, </w:t>
      </w:r>
      <w:r>
        <w:rPr>
          <w:rFonts w:ascii="Times New Roman" w:hAnsi="Times New Roman" w:cs="Times New Roman"/>
          <w:color w:val="000000"/>
          <w:sz w:val="23"/>
          <w:szCs w:val="23"/>
        </w:rPr>
        <w:t xml:space="preserve">respectively, </w:t>
      </w:r>
      <w:r w:rsidR="003F4E16">
        <w:rPr>
          <w:rFonts w:ascii="Times New Roman" w:hAnsi="Times New Roman" w:cs="Times New Roman"/>
          <w:color w:val="000000"/>
          <w:sz w:val="23"/>
          <w:szCs w:val="23"/>
        </w:rPr>
        <w:t xml:space="preserve">as shown in Cells </w:t>
      </w:r>
      <w:r w:rsidR="00E941FE">
        <w:rPr>
          <w:rFonts w:ascii="Times New Roman" w:hAnsi="Times New Roman" w:cs="Times New Roman"/>
          <w:color w:val="000000"/>
          <w:sz w:val="23"/>
          <w:szCs w:val="23"/>
        </w:rPr>
        <w:t>D25</w:t>
      </w:r>
      <w:r>
        <w:rPr>
          <w:rFonts w:ascii="Times New Roman" w:hAnsi="Times New Roman" w:cs="Times New Roman"/>
          <w:color w:val="000000"/>
          <w:sz w:val="23"/>
          <w:szCs w:val="23"/>
        </w:rPr>
        <w:t xml:space="preserve"> and </w:t>
      </w:r>
      <w:r w:rsidR="00E941FE">
        <w:rPr>
          <w:rFonts w:ascii="Times New Roman" w:hAnsi="Times New Roman" w:cs="Times New Roman"/>
          <w:color w:val="000000"/>
          <w:sz w:val="23"/>
          <w:szCs w:val="23"/>
        </w:rPr>
        <w:t>D</w:t>
      </w:r>
      <w:r>
        <w:rPr>
          <w:rFonts w:ascii="Times New Roman" w:hAnsi="Times New Roman" w:cs="Times New Roman"/>
          <w:color w:val="000000"/>
          <w:sz w:val="23"/>
          <w:szCs w:val="23"/>
        </w:rPr>
        <w:t>26</w:t>
      </w:r>
      <w:r w:rsidR="00E941FE">
        <w:rPr>
          <w:rFonts w:ascii="Times New Roman" w:hAnsi="Times New Roman" w:cs="Times New Roman"/>
          <w:color w:val="000000"/>
          <w:sz w:val="23"/>
          <w:szCs w:val="23"/>
        </w:rPr>
        <w:t xml:space="preserve"> of Attachment A</w:t>
      </w:r>
      <w:r>
        <w:rPr>
          <w:rFonts w:ascii="Times New Roman" w:hAnsi="Times New Roman" w:cs="Times New Roman"/>
          <w:color w:val="000000"/>
          <w:sz w:val="23"/>
          <w:szCs w:val="23"/>
        </w:rPr>
        <w:t>3</w:t>
      </w:r>
      <w:r w:rsidR="00E941FE">
        <w:rPr>
          <w:rFonts w:ascii="Times New Roman" w:hAnsi="Times New Roman" w:cs="Times New Roman"/>
          <w:color w:val="000000"/>
          <w:sz w:val="23"/>
          <w:szCs w:val="23"/>
        </w:rPr>
        <w:t>. For this reason, the resulting total on-peak distribution demand charge percentage is 5.2% and the non-coincident distribution demand charge percentage is 94.8%, as shown in Cells D43 and D50, respectively, of Attachment A3.</w:t>
      </w:r>
    </w:p>
    <w:p w14:paraId="23145791" w14:textId="5E7023AD" w:rsidR="00A105F6" w:rsidRDefault="00A105F6" w:rsidP="00E941FE">
      <w:pPr>
        <w:widowControl/>
        <w:autoSpaceDE w:val="0"/>
        <w:autoSpaceDN w:val="0"/>
        <w:adjustRightInd w:val="0"/>
        <w:rPr>
          <w:rFonts w:ascii="Times New Roman" w:hAnsi="Times New Roman" w:cs="Times New Roman"/>
          <w:color w:val="000000"/>
          <w:sz w:val="23"/>
          <w:szCs w:val="23"/>
        </w:rPr>
      </w:pPr>
    </w:p>
    <w:p w14:paraId="0F158110" w14:textId="0BDE98E8" w:rsidR="00A105F6" w:rsidRDefault="00A105F6" w:rsidP="00E941FE">
      <w:pPr>
        <w:widowControl/>
        <w:autoSpaceDE w:val="0"/>
        <w:autoSpaceDN w:val="0"/>
        <w:adjustRightInd w:val="0"/>
        <w:rPr>
          <w:rFonts w:ascii="Times New Roman" w:hAnsi="Times New Roman" w:cs="Times New Roman"/>
          <w:color w:val="000000"/>
          <w:sz w:val="23"/>
          <w:szCs w:val="23"/>
        </w:rPr>
      </w:pPr>
      <w:r>
        <w:object w:dxaOrig="1540" w:dyaOrig="997" w14:anchorId="000CF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11" o:title=""/>
          </v:shape>
          <o:OLEObject Type="Embed" ProgID="Excel.Sheet.12" ShapeID="_x0000_i1025" DrawAspect="Icon" ObjectID="_1633242426" r:id="rId12"/>
        </w:object>
      </w:r>
    </w:p>
    <w:p w14:paraId="5137A022" w14:textId="4F64AF64" w:rsidR="00741A46" w:rsidRPr="0091261F" w:rsidRDefault="00E941FE" w:rsidP="00E941FE">
      <w:pPr>
        <w:widowControl/>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Regarding the EPMC applied to the coincident (on-peak) and non-coincident demand charge</w:t>
      </w:r>
      <w:r w:rsidR="001C31ED">
        <w:rPr>
          <w:rFonts w:ascii="Times New Roman" w:hAnsi="Times New Roman" w:cs="Times New Roman"/>
          <w:color w:val="000000"/>
          <w:sz w:val="23"/>
          <w:szCs w:val="23"/>
        </w:rPr>
        <w:t>s</w:t>
      </w:r>
      <w:r>
        <w:rPr>
          <w:rFonts w:ascii="Times New Roman" w:hAnsi="Times New Roman" w:cs="Times New Roman"/>
          <w:color w:val="000000"/>
          <w:sz w:val="23"/>
          <w:szCs w:val="23"/>
        </w:rPr>
        <w:t>, the same EPMC factor is applied to both the on-peak and non-coincident demand charges to ensure recovery of SDG&amp;E’s authorized distribution revenue requirement. The EPMC is applied in SDG&amp;E’s distribution revenue allocation workpaper</w:t>
      </w:r>
      <w:r w:rsidR="008B25BC">
        <w:rPr>
          <w:rFonts w:ascii="Times New Roman" w:hAnsi="Times New Roman" w:cs="Times New Roman"/>
          <w:color w:val="000000"/>
          <w:sz w:val="23"/>
          <w:szCs w:val="23"/>
        </w:rPr>
        <w:t xml:space="preserve"> (“Ch_5_WP#1_Dist Rev Alloc_Public”). Cell C157 of the “Dist Class EPMC Rates &amp; Rev” tab </w:t>
      </w:r>
      <w:r w:rsidR="004A33E6">
        <w:rPr>
          <w:rFonts w:ascii="Times New Roman" w:hAnsi="Times New Roman" w:cs="Times New Roman"/>
          <w:color w:val="000000"/>
          <w:sz w:val="23"/>
          <w:szCs w:val="23"/>
        </w:rPr>
        <w:t xml:space="preserve">in this workpaper </w:t>
      </w:r>
      <w:r w:rsidR="008B25BC">
        <w:rPr>
          <w:rFonts w:ascii="Times New Roman" w:hAnsi="Times New Roman" w:cs="Times New Roman"/>
          <w:color w:val="000000"/>
          <w:sz w:val="23"/>
          <w:szCs w:val="23"/>
        </w:rPr>
        <w:t xml:space="preserve">presents the EPMC factor of 196.73% that gets applied to all marginal distribution cost rates in this tab, including the on-peak and non-coincident demand charges for Schedule AL-TOU. The on-peak and non-coincident EPMC demand charges for Schedule AL-TOU </w:t>
      </w:r>
      <w:r w:rsidR="008B25BC">
        <w:rPr>
          <w:rFonts w:ascii="Times New Roman" w:hAnsi="Times New Roman" w:cs="Times New Roman"/>
          <w:color w:val="000000"/>
          <w:sz w:val="23"/>
          <w:szCs w:val="23"/>
        </w:rPr>
        <w:lastRenderedPageBreak/>
        <w:t>shown in Cells E59-E60 and E75-E76, respectively, are</w:t>
      </w:r>
      <w:r w:rsidR="004A33E6">
        <w:rPr>
          <w:rFonts w:ascii="Times New Roman" w:hAnsi="Times New Roman" w:cs="Times New Roman"/>
          <w:color w:val="000000"/>
          <w:sz w:val="23"/>
          <w:szCs w:val="23"/>
        </w:rPr>
        <w:t xml:space="preserve"> the on-peak and no</w:t>
      </w:r>
      <w:bookmarkStart w:id="0" w:name="_GoBack"/>
      <w:bookmarkEnd w:id="0"/>
      <w:r w:rsidR="004A33E6">
        <w:rPr>
          <w:rFonts w:ascii="Times New Roman" w:hAnsi="Times New Roman" w:cs="Times New Roman"/>
          <w:color w:val="000000"/>
          <w:sz w:val="23"/>
          <w:szCs w:val="23"/>
        </w:rPr>
        <w:t xml:space="preserve">n-coincident EPMC rates shown in the attached </w:t>
      </w:r>
      <w:r w:rsidR="00E1023F">
        <w:rPr>
          <w:rFonts w:ascii="Times New Roman" w:hAnsi="Times New Roman" w:cs="Times New Roman"/>
          <w:color w:val="000000"/>
          <w:sz w:val="23"/>
          <w:szCs w:val="23"/>
        </w:rPr>
        <w:t>“</w:t>
      </w:r>
      <w:r w:rsidR="004A33E6">
        <w:rPr>
          <w:rFonts w:ascii="Times New Roman" w:hAnsi="Times New Roman" w:cs="Times New Roman"/>
          <w:color w:val="000000"/>
          <w:sz w:val="23"/>
          <w:szCs w:val="23"/>
        </w:rPr>
        <w:t>CalPA DR-019</w:t>
      </w:r>
      <w:r w:rsidR="00E1023F">
        <w:rPr>
          <w:rFonts w:ascii="Times New Roman" w:hAnsi="Times New Roman" w:cs="Times New Roman"/>
          <w:color w:val="000000"/>
          <w:sz w:val="23"/>
          <w:szCs w:val="23"/>
        </w:rPr>
        <w:t>”</w:t>
      </w:r>
      <w:r w:rsidR="004A33E6">
        <w:rPr>
          <w:rFonts w:ascii="Times New Roman" w:hAnsi="Times New Roman" w:cs="Times New Roman"/>
          <w:color w:val="000000"/>
          <w:sz w:val="23"/>
          <w:szCs w:val="23"/>
        </w:rPr>
        <w:t xml:space="preserve"> file, Cells B20-B21 and B24-B25, respectively.</w:t>
      </w:r>
      <w:r w:rsidR="008B25BC">
        <w:rPr>
          <w:rFonts w:ascii="Times New Roman" w:hAnsi="Times New Roman" w:cs="Times New Roman"/>
          <w:color w:val="000000"/>
          <w:sz w:val="23"/>
          <w:szCs w:val="23"/>
        </w:rPr>
        <w:t xml:space="preserve">     </w:t>
      </w:r>
      <w:r w:rsidR="0091261F">
        <w:rPr>
          <w:rFonts w:ascii="Times New Roman" w:hAnsi="Times New Roman" w:cs="Times New Roman"/>
          <w:color w:val="000000"/>
          <w:sz w:val="23"/>
          <w:szCs w:val="23"/>
        </w:rPr>
        <w:t xml:space="preserve"> </w:t>
      </w:r>
    </w:p>
    <w:sectPr w:rsidR="00741A46" w:rsidRPr="0091261F">
      <w:headerReference w:type="default" r:id="rId13"/>
      <w:footerReference w:type="default" r:id="rId14"/>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F8951" w14:textId="77777777" w:rsidR="00D2431F" w:rsidRDefault="00D2431F">
      <w:r>
        <w:separator/>
      </w:r>
    </w:p>
  </w:endnote>
  <w:endnote w:type="continuationSeparator" w:id="0">
    <w:p w14:paraId="5D227E71" w14:textId="77777777" w:rsidR="00D2431F" w:rsidRDefault="00D2431F">
      <w:r>
        <w:continuationSeparator/>
      </w:r>
    </w:p>
  </w:endnote>
  <w:endnote w:type="continuationNotice" w:id="1">
    <w:p w14:paraId="7DDC23AE" w14:textId="77777777" w:rsidR="00D2431F" w:rsidRDefault="00D24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DD0F0" w14:textId="77777777" w:rsidR="00D2431F" w:rsidRDefault="00D2431F">
      <w:r>
        <w:separator/>
      </w:r>
    </w:p>
  </w:footnote>
  <w:footnote w:type="continuationSeparator" w:id="0">
    <w:p w14:paraId="6A51CE8A" w14:textId="77777777" w:rsidR="00D2431F" w:rsidRDefault="00D2431F">
      <w:r>
        <w:continuationSeparator/>
      </w:r>
    </w:p>
  </w:footnote>
  <w:footnote w:type="continuationNotice" w:id="1">
    <w:p w14:paraId="04614C9D" w14:textId="77777777" w:rsidR="00D2431F" w:rsidRDefault="00D24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362857B1" w:rsidR="009D6650" w:rsidRPr="00BB3B03" w:rsidRDefault="006A724E" w:rsidP="009D6650">
    <w:pPr>
      <w:pStyle w:val="ListParagraph"/>
      <w:jc w:val="center"/>
      <w:rPr>
        <w:rFonts w:ascii="Times New Roman" w:hAnsi="Times New Roman" w:cs="Times New Roman"/>
        <w:b/>
      </w:rPr>
    </w:pPr>
    <w:r>
      <w:rPr>
        <w:rFonts w:ascii="Times New Roman" w:hAnsi="Times New Roman" w:cs="Times New Roman"/>
        <w:b/>
      </w:rPr>
      <w:t>CalPA</w:t>
    </w:r>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Pr>
        <w:rFonts w:ascii="Times New Roman" w:hAnsi="Times New Roman" w:cs="Times New Roman"/>
        <w:b/>
      </w:rPr>
      <w:t>#</w:t>
    </w:r>
    <w:r w:rsidR="00076B50">
      <w:rPr>
        <w:rFonts w:ascii="Times New Roman" w:hAnsi="Times New Roman" w:cs="Times New Roman"/>
        <w:b/>
      </w:rPr>
      <w:t>1</w:t>
    </w:r>
    <w:r w:rsidR="004E7847">
      <w:rPr>
        <w:rFonts w:ascii="Times New Roman" w:hAnsi="Times New Roman" w:cs="Times New Roman"/>
        <w:b/>
      </w:rPr>
      <w:t>9</w:t>
    </w:r>
    <w:r w:rsidR="009D6650" w:rsidRPr="00BB3B03">
      <w:rPr>
        <w:rFonts w:ascii="Times New Roman" w:hAnsi="Times New Roman" w:cs="Times New Roman"/>
        <w:b/>
      </w:rPr>
      <w:br/>
      <w:t>SDG&amp;E PHASE 2 GRC PROCEEDING-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4E7847">
      <w:rPr>
        <w:rFonts w:ascii="Times New Roman" w:hAnsi="Times New Roman" w:cs="Times New Roman"/>
        <w:b/>
      </w:rPr>
      <w:t>October 9</w:t>
    </w:r>
    <w:r w:rsidR="009D6650" w:rsidRPr="00BB3B03">
      <w:rPr>
        <w:rFonts w:ascii="Times New Roman" w:hAnsi="Times New Roman" w:cs="Times New Roman"/>
        <w:b/>
      </w:rPr>
      <w:t>, 2019</w:t>
    </w:r>
  </w:p>
  <w:p w14:paraId="46DCAB12" w14:textId="27971747"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F140DE">
      <w:rPr>
        <w:rFonts w:ascii="Times New Roman" w:hAnsi="Times New Roman" w:cs="Times New Roman"/>
        <w:b/>
      </w:rPr>
      <w:t xml:space="preserve">October </w:t>
    </w:r>
    <w:r w:rsidR="00E64294">
      <w:rPr>
        <w:rFonts w:ascii="Times New Roman" w:hAnsi="Times New Roman" w:cs="Times New Roman"/>
        <w:b/>
      </w:rPr>
      <w:t>2</w:t>
    </w:r>
    <w:r w:rsidR="00532227">
      <w:rPr>
        <w:rFonts w:ascii="Times New Roman" w:hAnsi="Times New Roman" w:cs="Times New Roman"/>
        <w:b/>
      </w:rPr>
      <w:t>2</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E8DFA3"/>
    <w:multiLevelType w:val="hybridMultilevel"/>
    <w:tmpl w:val="2DFE77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7"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4AA6"/>
    <w:rsid w:val="000121A0"/>
    <w:rsid w:val="000133A9"/>
    <w:rsid w:val="00015BD1"/>
    <w:rsid w:val="000249E4"/>
    <w:rsid w:val="000473F3"/>
    <w:rsid w:val="00076B50"/>
    <w:rsid w:val="00090093"/>
    <w:rsid w:val="000932E2"/>
    <w:rsid w:val="000A6F05"/>
    <w:rsid w:val="000B710B"/>
    <w:rsid w:val="000C59B3"/>
    <w:rsid w:val="000D24BA"/>
    <w:rsid w:val="000D6ECD"/>
    <w:rsid w:val="000F5557"/>
    <w:rsid w:val="000F6F65"/>
    <w:rsid w:val="00101D98"/>
    <w:rsid w:val="00104F5E"/>
    <w:rsid w:val="0010718F"/>
    <w:rsid w:val="00117124"/>
    <w:rsid w:val="0012172A"/>
    <w:rsid w:val="00121E7C"/>
    <w:rsid w:val="00134409"/>
    <w:rsid w:val="00137417"/>
    <w:rsid w:val="00142C40"/>
    <w:rsid w:val="0014783D"/>
    <w:rsid w:val="00163795"/>
    <w:rsid w:val="00166C29"/>
    <w:rsid w:val="00167CF6"/>
    <w:rsid w:val="001729AE"/>
    <w:rsid w:val="00192F9B"/>
    <w:rsid w:val="00194819"/>
    <w:rsid w:val="00197618"/>
    <w:rsid w:val="001B6807"/>
    <w:rsid w:val="001C31ED"/>
    <w:rsid w:val="001E73D1"/>
    <w:rsid w:val="001F1F3B"/>
    <w:rsid w:val="001F2072"/>
    <w:rsid w:val="001F7360"/>
    <w:rsid w:val="00203105"/>
    <w:rsid w:val="002121F9"/>
    <w:rsid w:val="00227922"/>
    <w:rsid w:val="00227AD1"/>
    <w:rsid w:val="00230361"/>
    <w:rsid w:val="00242383"/>
    <w:rsid w:val="00246F20"/>
    <w:rsid w:val="00247644"/>
    <w:rsid w:val="002532B0"/>
    <w:rsid w:val="002540A5"/>
    <w:rsid w:val="00256561"/>
    <w:rsid w:val="00257835"/>
    <w:rsid w:val="00264F5F"/>
    <w:rsid w:val="0027631B"/>
    <w:rsid w:val="002816EA"/>
    <w:rsid w:val="00294908"/>
    <w:rsid w:val="002A19BC"/>
    <w:rsid w:val="002A48B2"/>
    <w:rsid w:val="002B7723"/>
    <w:rsid w:val="002C3FC3"/>
    <w:rsid w:val="002C51C0"/>
    <w:rsid w:val="002C54A3"/>
    <w:rsid w:val="002E6BD7"/>
    <w:rsid w:val="002F2139"/>
    <w:rsid w:val="002F4871"/>
    <w:rsid w:val="00317A8F"/>
    <w:rsid w:val="00320693"/>
    <w:rsid w:val="00322EA2"/>
    <w:rsid w:val="00331DCE"/>
    <w:rsid w:val="00331F5A"/>
    <w:rsid w:val="003450F6"/>
    <w:rsid w:val="00360568"/>
    <w:rsid w:val="00361920"/>
    <w:rsid w:val="00362A8A"/>
    <w:rsid w:val="003719EA"/>
    <w:rsid w:val="003847FD"/>
    <w:rsid w:val="00391A0D"/>
    <w:rsid w:val="003920AA"/>
    <w:rsid w:val="00393377"/>
    <w:rsid w:val="003A6866"/>
    <w:rsid w:val="003B0D51"/>
    <w:rsid w:val="003B40AB"/>
    <w:rsid w:val="003B7BC2"/>
    <w:rsid w:val="003D0506"/>
    <w:rsid w:val="003D317D"/>
    <w:rsid w:val="003E1C2F"/>
    <w:rsid w:val="003F4E16"/>
    <w:rsid w:val="00404616"/>
    <w:rsid w:val="0040608E"/>
    <w:rsid w:val="00410E93"/>
    <w:rsid w:val="004178A0"/>
    <w:rsid w:val="00445522"/>
    <w:rsid w:val="004A0D4C"/>
    <w:rsid w:val="004A33E6"/>
    <w:rsid w:val="004B0621"/>
    <w:rsid w:val="004B7E27"/>
    <w:rsid w:val="004D1F01"/>
    <w:rsid w:val="004D375A"/>
    <w:rsid w:val="004E7847"/>
    <w:rsid w:val="004F3D2F"/>
    <w:rsid w:val="004F474B"/>
    <w:rsid w:val="004F6A69"/>
    <w:rsid w:val="0050650D"/>
    <w:rsid w:val="00525FB3"/>
    <w:rsid w:val="00532227"/>
    <w:rsid w:val="00542997"/>
    <w:rsid w:val="00584FC4"/>
    <w:rsid w:val="00593616"/>
    <w:rsid w:val="005B5AF1"/>
    <w:rsid w:val="00621321"/>
    <w:rsid w:val="00657F6E"/>
    <w:rsid w:val="006659B7"/>
    <w:rsid w:val="006749F6"/>
    <w:rsid w:val="00676426"/>
    <w:rsid w:val="00683DE9"/>
    <w:rsid w:val="00690E56"/>
    <w:rsid w:val="0069799F"/>
    <w:rsid w:val="006A2A33"/>
    <w:rsid w:val="006A724E"/>
    <w:rsid w:val="006B7D74"/>
    <w:rsid w:val="006C46C9"/>
    <w:rsid w:val="006E073E"/>
    <w:rsid w:val="006F440F"/>
    <w:rsid w:val="0071629E"/>
    <w:rsid w:val="00727C31"/>
    <w:rsid w:val="0074059D"/>
    <w:rsid w:val="00741A46"/>
    <w:rsid w:val="0074366C"/>
    <w:rsid w:val="007449EF"/>
    <w:rsid w:val="00753147"/>
    <w:rsid w:val="0078262C"/>
    <w:rsid w:val="007876AA"/>
    <w:rsid w:val="00787AC5"/>
    <w:rsid w:val="007A7F06"/>
    <w:rsid w:val="007C3A48"/>
    <w:rsid w:val="007C5EF9"/>
    <w:rsid w:val="007D677E"/>
    <w:rsid w:val="007E4F06"/>
    <w:rsid w:val="007F0826"/>
    <w:rsid w:val="008113E5"/>
    <w:rsid w:val="00811904"/>
    <w:rsid w:val="008131FF"/>
    <w:rsid w:val="00817C7C"/>
    <w:rsid w:val="00817F06"/>
    <w:rsid w:val="008243E4"/>
    <w:rsid w:val="00824B85"/>
    <w:rsid w:val="00844369"/>
    <w:rsid w:val="0085302F"/>
    <w:rsid w:val="00855C82"/>
    <w:rsid w:val="0087248C"/>
    <w:rsid w:val="00883D24"/>
    <w:rsid w:val="008A5085"/>
    <w:rsid w:val="008A7402"/>
    <w:rsid w:val="008B1E3A"/>
    <w:rsid w:val="008B25BC"/>
    <w:rsid w:val="008B27B8"/>
    <w:rsid w:val="008C1929"/>
    <w:rsid w:val="008D0191"/>
    <w:rsid w:val="008F02E0"/>
    <w:rsid w:val="00907727"/>
    <w:rsid w:val="0091196E"/>
    <w:rsid w:val="0091261F"/>
    <w:rsid w:val="00913E59"/>
    <w:rsid w:val="009146C4"/>
    <w:rsid w:val="00921C40"/>
    <w:rsid w:val="00922C0C"/>
    <w:rsid w:val="009274BB"/>
    <w:rsid w:val="009319FE"/>
    <w:rsid w:val="009412FB"/>
    <w:rsid w:val="00943820"/>
    <w:rsid w:val="00943B34"/>
    <w:rsid w:val="0095098F"/>
    <w:rsid w:val="0097209E"/>
    <w:rsid w:val="00975F39"/>
    <w:rsid w:val="00990624"/>
    <w:rsid w:val="00990CB8"/>
    <w:rsid w:val="00993F4E"/>
    <w:rsid w:val="009A2938"/>
    <w:rsid w:val="009A740A"/>
    <w:rsid w:val="009B18B5"/>
    <w:rsid w:val="009B3149"/>
    <w:rsid w:val="009B6AC0"/>
    <w:rsid w:val="009B7DCB"/>
    <w:rsid w:val="009C02E0"/>
    <w:rsid w:val="009D18E7"/>
    <w:rsid w:val="009D3F35"/>
    <w:rsid w:val="009D6650"/>
    <w:rsid w:val="009E0129"/>
    <w:rsid w:val="009E708C"/>
    <w:rsid w:val="009F790A"/>
    <w:rsid w:val="00A06D28"/>
    <w:rsid w:val="00A06EFD"/>
    <w:rsid w:val="00A105D4"/>
    <w:rsid w:val="00A105F6"/>
    <w:rsid w:val="00A20CBF"/>
    <w:rsid w:val="00A30EF2"/>
    <w:rsid w:val="00A3337A"/>
    <w:rsid w:val="00A479CD"/>
    <w:rsid w:val="00A52FCF"/>
    <w:rsid w:val="00A90892"/>
    <w:rsid w:val="00A95F00"/>
    <w:rsid w:val="00AD7840"/>
    <w:rsid w:val="00AE1E1C"/>
    <w:rsid w:val="00AF59A2"/>
    <w:rsid w:val="00AF6700"/>
    <w:rsid w:val="00B05633"/>
    <w:rsid w:val="00B1392C"/>
    <w:rsid w:val="00B3116A"/>
    <w:rsid w:val="00B312AB"/>
    <w:rsid w:val="00B333AB"/>
    <w:rsid w:val="00B405A7"/>
    <w:rsid w:val="00B45304"/>
    <w:rsid w:val="00B603AB"/>
    <w:rsid w:val="00B64BDE"/>
    <w:rsid w:val="00B670B5"/>
    <w:rsid w:val="00B73736"/>
    <w:rsid w:val="00B754F4"/>
    <w:rsid w:val="00B97974"/>
    <w:rsid w:val="00BA7F23"/>
    <w:rsid w:val="00BB75F5"/>
    <w:rsid w:val="00BB79A4"/>
    <w:rsid w:val="00BC35A8"/>
    <w:rsid w:val="00BD16C2"/>
    <w:rsid w:val="00BE2AA1"/>
    <w:rsid w:val="00C03810"/>
    <w:rsid w:val="00C2679D"/>
    <w:rsid w:val="00C41588"/>
    <w:rsid w:val="00C7184F"/>
    <w:rsid w:val="00C92602"/>
    <w:rsid w:val="00CA22E0"/>
    <w:rsid w:val="00CA3F16"/>
    <w:rsid w:val="00CB0637"/>
    <w:rsid w:val="00CB269D"/>
    <w:rsid w:val="00CB7A9A"/>
    <w:rsid w:val="00CC5B87"/>
    <w:rsid w:val="00CE35CE"/>
    <w:rsid w:val="00D17473"/>
    <w:rsid w:val="00D23A7A"/>
    <w:rsid w:val="00D2431F"/>
    <w:rsid w:val="00D26552"/>
    <w:rsid w:val="00D33EA8"/>
    <w:rsid w:val="00D35420"/>
    <w:rsid w:val="00D3787C"/>
    <w:rsid w:val="00D51844"/>
    <w:rsid w:val="00D5475F"/>
    <w:rsid w:val="00D70CB3"/>
    <w:rsid w:val="00D771E6"/>
    <w:rsid w:val="00D917D0"/>
    <w:rsid w:val="00D9485E"/>
    <w:rsid w:val="00DA1A74"/>
    <w:rsid w:val="00DA7DD9"/>
    <w:rsid w:val="00DB2529"/>
    <w:rsid w:val="00DB40E8"/>
    <w:rsid w:val="00DD169D"/>
    <w:rsid w:val="00E101F3"/>
    <w:rsid w:val="00E1023F"/>
    <w:rsid w:val="00E27865"/>
    <w:rsid w:val="00E335B9"/>
    <w:rsid w:val="00E41516"/>
    <w:rsid w:val="00E44CE6"/>
    <w:rsid w:val="00E4666A"/>
    <w:rsid w:val="00E64294"/>
    <w:rsid w:val="00E6666A"/>
    <w:rsid w:val="00E7705E"/>
    <w:rsid w:val="00E77469"/>
    <w:rsid w:val="00E8350A"/>
    <w:rsid w:val="00E904AE"/>
    <w:rsid w:val="00E941FE"/>
    <w:rsid w:val="00E97312"/>
    <w:rsid w:val="00EA1598"/>
    <w:rsid w:val="00EB2BEA"/>
    <w:rsid w:val="00EB7811"/>
    <w:rsid w:val="00EC0FED"/>
    <w:rsid w:val="00EC4F83"/>
    <w:rsid w:val="00ED1A8B"/>
    <w:rsid w:val="00ED442A"/>
    <w:rsid w:val="00ED4C75"/>
    <w:rsid w:val="00ED54E5"/>
    <w:rsid w:val="00EF0B14"/>
    <w:rsid w:val="00F0056E"/>
    <w:rsid w:val="00F140DE"/>
    <w:rsid w:val="00F142ED"/>
    <w:rsid w:val="00F25E6E"/>
    <w:rsid w:val="00F33A6D"/>
    <w:rsid w:val="00F5199D"/>
    <w:rsid w:val="00F51D3E"/>
    <w:rsid w:val="00F571D6"/>
    <w:rsid w:val="00F65911"/>
    <w:rsid w:val="00F77434"/>
    <w:rsid w:val="00F86E79"/>
    <w:rsid w:val="00F926AF"/>
    <w:rsid w:val="00FA43C2"/>
    <w:rsid w:val="00FB4157"/>
    <w:rsid w:val="00FF39E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326633373">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10745684">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1F627085820B45ABDC82DD35D4FDFD" ma:contentTypeVersion="4" ma:contentTypeDescription="Create a new document." ma:contentTypeScope="" ma:versionID="737ec10dc4eac5fc3b4adce81d1e61aa">
  <xsd:schema xmlns:xsd="http://www.w3.org/2001/XMLSchema" xmlns:xs="http://www.w3.org/2001/XMLSchema" xmlns:p="http://schemas.microsoft.com/office/2006/metadata/properties" xmlns:ns2="c67951e0-1750-45b8-a06c-ba7fb743eef7" targetNamespace="http://schemas.microsoft.com/office/2006/metadata/properties" ma:root="true" ma:fieldsID="b92c95fef94f627e1dcf25923dcf2342" ns2:_="">
    <xsd:import namespace="c67951e0-1750-45b8-a06c-ba7fb743e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51e0-1750-45b8-a06c-ba7fb743ee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6647-D2AA-4257-BEC8-14347EDE3E25}">
  <ds:schemaRefs>
    <ds:schemaRef ds:uri="http://schemas.openxmlformats.org/package/2006/metadata/core-properties"/>
    <ds:schemaRef ds:uri="c67951e0-1750-45b8-a06c-ba7fb743eef7"/>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40F2DA64-D6BD-47C5-9600-AFC0063FFC41}">
  <ds:schemaRefs>
    <ds:schemaRef ds:uri="http://schemas.microsoft.com/sharepoint/v3/contenttype/forms"/>
  </ds:schemaRefs>
</ds:datastoreItem>
</file>

<file path=customXml/itemProps3.xml><?xml version="1.0" encoding="utf-8"?>
<ds:datastoreItem xmlns:ds="http://schemas.openxmlformats.org/officeDocument/2006/customXml" ds:itemID="{4873BE2A-C5B1-44E8-8372-88DFE791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51e0-1750-45b8-a06c-ba7fb743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35E23-F711-4530-A43E-9A049DE8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2019-10-17T17:04:00Z</dcterms:created>
  <dcterms:modified xsi:type="dcterms:W3CDTF">2019-10-22T16:41:00Z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0x010100421F627085820B45ABDC82DD35D4FDFD</vt:lpwstr>
  </property>
</Properties>
</file>