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5F65B" w14:textId="77777777" w:rsidR="00F571D6" w:rsidRPr="00076B50" w:rsidRDefault="00F571D6">
      <w:pPr>
        <w:spacing w:before="3" w:line="120" w:lineRule="exact"/>
        <w:rPr>
          <w:rFonts w:ascii="Times New Roman" w:hAnsi="Times New Roman" w:cs="Times New Roman"/>
          <w:sz w:val="24"/>
          <w:szCs w:val="24"/>
        </w:rPr>
      </w:pPr>
    </w:p>
    <w:p w14:paraId="7A88CEE8" w14:textId="2B0D7D55" w:rsidR="00F571D6" w:rsidRPr="00076B50" w:rsidRDefault="00C03810">
      <w:pPr>
        <w:ind w:right="297"/>
        <w:jc w:val="center"/>
        <w:rPr>
          <w:rFonts w:ascii="Times New Roman" w:eastAsia="Times New Roman" w:hAnsi="Times New Roman" w:cs="Times New Roman"/>
          <w:b/>
          <w:bCs/>
          <w:sz w:val="24"/>
          <w:szCs w:val="24"/>
          <w:u w:val="thick" w:color="000000"/>
        </w:rPr>
      </w:pPr>
      <w:r w:rsidRPr="00076B50">
        <w:rPr>
          <w:rFonts w:ascii="Times New Roman" w:eastAsia="Times New Roman" w:hAnsi="Times New Roman" w:cs="Times New Roman"/>
          <w:b/>
          <w:bCs/>
          <w:spacing w:val="-2"/>
          <w:sz w:val="24"/>
          <w:szCs w:val="24"/>
          <w:u w:val="thick" w:color="000000"/>
        </w:rPr>
        <w:t>DA</w:t>
      </w:r>
      <w:r w:rsidRPr="00076B50">
        <w:rPr>
          <w:rFonts w:ascii="Times New Roman" w:eastAsia="Times New Roman" w:hAnsi="Times New Roman" w:cs="Times New Roman"/>
          <w:b/>
          <w:bCs/>
          <w:spacing w:val="-1"/>
          <w:sz w:val="24"/>
          <w:szCs w:val="24"/>
          <w:u w:val="thick" w:color="000000"/>
        </w:rPr>
        <w:t>T</w:t>
      </w:r>
      <w:r w:rsidRPr="00076B50">
        <w:rPr>
          <w:rFonts w:ascii="Times New Roman" w:eastAsia="Times New Roman" w:hAnsi="Times New Roman" w:cs="Times New Roman"/>
          <w:b/>
          <w:bCs/>
          <w:sz w:val="24"/>
          <w:szCs w:val="24"/>
          <w:u w:val="thick" w:color="000000"/>
        </w:rPr>
        <w:t>A</w:t>
      </w:r>
      <w:r w:rsidRPr="00076B50">
        <w:rPr>
          <w:rFonts w:ascii="Times New Roman" w:eastAsia="Times New Roman" w:hAnsi="Times New Roman" w:cs="Times New Roman"/>
          <w:b/>
          <w:bCs/>
          <w:spacing w:val="-2"/>
          <w:sz w:val="24"/>
          <w:szCs w:val="24"/>
          <w:u w:val="thick" w:color="000000"/>
        </w:rPr>
        <w:t xml:space="preserve"> R</w:t>
      </w:r>
      <w:r w:rsidRPr="00076B50">
        <w:rPr>
          <w:rFonts w:ascii="Times New Roman" w:eastAsia="Times New Roman" w:hAnsi="Times New Roman" w:cs="Times New Roman"/>
          <w:b/>
          <w:bCs/>
          <w:spacing w:val="-1"/>
          <w:sz w:val="24"/>
          <w:szCs w:val="24"/>
          <w:u w:val="thick" w:color="000000"/>
        </w:rPr>
        <w:t>E</w:t>
      </w:r>
      <w:r w:rsidRPr="00076B50">
        <w:rPr>
          <w:rFonts w:ascii="Times New Roman" w:eastAsia="Times New Roman" w:hAnsi="Times New Roman" w:cs="Times New Roman"/>
          <w:b/>
          <w:bCs/>
          <w:sz w:val="24"/>
          <w:szCs w:val="24"/>
          <w:u w:val="thick" w:color="000000"/>
        </w:rPr>
        <w:t>Q</w:t>
      </w:r>
      <w:r w:rsidRPr="00076B50">
        <w:rPr>
          <w:rFonts w:ascii="Times New Roman" w:eastAsia="Times New Roman" w:hAnsi="Times New Roman" w:cs="Times New Roman"/>
          <w:b/>
          <w:bCs/>
          <w:spacing w:val="-2"/>
          <w:sz w:val="24"/>
          <w:szCs w:val="24"/>
          <w:u w:val="thick" w:color="000000"/>
        </w:rPr>
        <w:t>U</w:t>
      </w:r>
      <w:r w:rsidRPr="00076B50">
        <w:rPr>
          <w:rFonts w:ascii="Times New Roman" w:eastAsia="Times New Roman" w:hAnsi="Times New Roman" w:cs="Times New Roman"/>
          <w:b/>
          <w:bCs/>
          <w:spacing w:val="-1"/>
          <w:sz w:val="24"/>
          <w:szCs w:val="24"/>
          <w:u w:val="thick" w:color="000000"/>
        </w:rPr>
        <w:t>E</w:t>
      </w:r>
      <w:r w:rsidRPr="00076B50">
        <w:rPr>
          <w:rFonts w:ascii="Times New Roman" w:eastAsia="Times New Roman" w:hAnsi="Times New Roman" w:cs="Times New Roman"/>
          <w:b/>
          <w:bCs/>
          <w:sz w:val="24"/>
          <w:szCs w:val="24"/>
          <w:u w:val="thick" w:color="000000"/>
        </w:rPr>
        <w:t>ST</w:t>
      </w:r>
    </w:p>
    <w:p w14:paraId="3BF66D18" w14:textId="54216169" w:rsidR="00F65911" w:rsidRPr="00010A14" w:rsidRDefault="00010A14" w:rsidP="00010A14">
      <w:pPr>
        <w:widowControl/>
        <w:jc w:val="center"/>
        <w:rPr>
          <w:rFonts w:ascii="Times New Roman" w:eastAsia="Times New Roman" w:hAnsi="Times New Roman" w:cs="Times New Roman"/>
          <w:b/>
          <w:bCs/>
          <w:spacing w:val="-2"/>
          <w:sz w:val="24"/>
          <w:szCs w:val="24"/>
          <w:u w:color="000000"/>
        </w:rPr>
      </w:pPr>
      <w:r w:rsidRPr="00010A14">
        <w:rPr>
          <w:rFonts w:ascii="Times New Roman" w:eastAsia="Times New Roman" w:hAnsi="Times New Roman" w:cs="Times New Roman"/>
          <w:b/>
          <w:bCs/>
          <w:spacing w:val="-2"/>
          <w:sz w:val="24"/>
          <w:szCs w:val="24"/>
          <w:u w:color="000000"/>
        </w:rPr>
        <w:t>SUBJECT: FOLLOW UP TO SDG&amp;E’S RESPONSES TO CAL ADVOCATES DR #13 ON MARGINAL CUSTOMER COSTS</w:t>
      </w:r>
    </w:p>
    <w:p w14:paraId="502D2C4D" w14:textId="77777777" w:rsidR="00CD4397" w:rsidRPr="00CD4397" w:rsidRDefault="00CD4397" w:rsidP="00CD4397">
      <w:pPr>
        <w:widowControl/>
        <w:autoSpaceDE w:val="0"/>
        <w:autoSpaceDN w:val="0"/>
        <w:adjustRightInd w:val="0"/>
        <w:rPr>
          <w:rFonts w:ascii="Times New Roman" w:hAnsi="Times New Roman" w:cs="Times New Roman"/>
          <w:color w:val="000000"/>
          <w:sz w:val="24"/>
          <w:szCs w:val="24"/>
        </w:rPr>
      </w:pPr>
    </w:p>
    <w:p w14:paraId="61B614D7" w14:textId="3E4336F3" w:rsidR="0033737D" w:rsidRDefault="001B1B63" w:rsidP="00CD4397">
      <w:pPr>
        <w:widowControl/>
        <w:autoSpaceDE w:val="0"/>
        <w:autoSpaceDN w:val="0"/>
        <w:adjustRightInd w:val="0"/>
        <w:rPr>
          <w:rFonts w:ascii="Times New Roman" w:hAnsi="Times New Roman" w:cs="Times New Roman"/>
          <w:color w:val="000000"/>
          <w:sz w:val="24"/>
          <w:szCs w:val="24"/>
        </w:rPr>
      </w:pPr>
      <w:r w:rsidRPr="00ED5C7B">
        <w:rPr>
          <w:rFonts w:ascii="Times New Roman" w:hAnsi="Times New Roman" w:cs="Times New Roman"/>
          <w:b/>
          <w:color w:val="000000"/>
          <w:sz w:val="24"/>
          <w:szCs w:val="24"/>
        </w:rPr>
        <w:t xml:space="preserve">Question </w:t>
      </w:r>
      <w:r w:rsidR="00CD4397" w:rsidRPr="00ED5C7B">
        <w:rPr>
          <w:rFonts w:ascii="Times New Roman" w:hAnsi="Times New Roman" w:cs="Times New Roman"/>
          <w:b/>
          <w:color w:val="000000"/>
          <w:sz w:val="24"/>
          <w:szCs w:val="24"/>
        </w:rPr>
        <w:t>1</w:t>
      </w:r>
      <w:r w:rsidR="00CD4397" w:rsidRPr="00CD4397">
        <w:rPr>
          <w:rFonts w:ascii="Times New Roman" w:hAnsi="Times New Roman" w:cs="Times New Roman"/>
          <w:color w:val="000000"/>
          <w:sz w:val="24"/>
          <w:szCs w:val="24"/>
        </w:rPr>
        <w:t xml:space="preserve">. Please provide 30 recent invoices of a 25kVA transformer built to provide service at 120/140 voltage rating. Please also include invoices for transformer pad, connection and cable costs associated with installing the transformer. Please also provide invoices for any labor and transport costs involved in installing this transformer. Please also provide estimates for any overhead costs associated with procuring and installing this equipment. If no invoice is available for the latter, please provide the methodology for determining the overhead costs. Please record the prices on the invoice, the date, and the equipment the invoice covers in an excel spreadsheet. If more than 30 invoices exist for any one category of costs, please provide a random sample of 30 data points. If fewer than 30 invoices exist, please provide them all. </w:t>
      </w:r>
    </w:p>
    <w:p w14:paraId="3BE42CAF" w14:textId="77777777" w:rsidR="0033737D" w:rsidRDefault="0033737D" w:rsidP="00CD4397">
      <w:pPr>
        <w:widowControl/>
        <w:autoSpaceDE w:val="0"/>
        <w:autoSpaceDN w:val="0"/>
        <w:adjustRightInd w:val="0"/>
        <w:rPr>
          <w:rFonts w:ascii="Times New Roman" w:hAnsi="Times New Roman" w:cs="Times New Roman"/>
          <w:color w:val="000000"/>
          <w:sz w:val="24"/>
          <w:szCs w:val="24"/>
        </w:rPr>
      </w:pPr>
    </w:p>
    <w:p w14:paraId="351DB634" w14:textId="507C5485" w:rsidR="00896E18" w:rsidRDefault="001B1B63" w:rsidP="00CD4397">
      <w:pPr>
        <w:widowControl/>
        <w:autoSpaceDE w:val="0"/>
        <w:autoSpaceDN w:val="0"/>
        <w:adjustRightInd w:val="0"/>
        <w:rPr>
          <w:rFonts w:ascii="Times New Roman" w:hAnsi="Times New Roman" w:cs="Times New Roman"/>
          <w:color w:val="000000"/>
          <w:sz w:val="24"/>
          <w:szCs w:val="24"/>
        </w:rPr>
      </w:pPr>
      <w:r w:rsidRPr="00ED5C7B">
        <w:rPr>
          <w:rFonts w:ascii="Times New Roman" w:hAnsi="Times New Roman" w:cs="Times New Roman"/>
          <w:b/>
          <w:color w:val="000000"/>
          <w:sz w:val="24"/>
          <w:szCs w:val="24"/>
        </w:rPr>
        <w:t>Question 1</w:t>
      </w:r>
      <w:r w:rsidR="00CD4397" w:rsidRPr="00ED5C7B">
        <w:rPr>
          <w:rFonts w:ascii="Times New Roman" w:hAnsi="Times New Roman" w:cs="Times New Roman"/>
          <w:b/>
          <w:color w:val="000000"/>
          <w:sz w:val="24"/>
          <w:szCs w:val="24"/>
        </w:rPr>
        <w:t>a.</w:t>
      </w:r>
      <w:r w:rsidR="00CD4397" w:rsidRPr="00CD4397">
        <w:rPr>
          <w:rFonts w:ascii="Times New Roman" w:hAnsi="Times New Roman" w:cs="Times New Roman"/>
          <w:color w:val="000000"/>
          <w:sz w:val="24"/>
          <w:szCs w:val="24"/>
        </w:rPr>
        <w:t xml:space="preserve"> Please provide the number of residential customer</w:t>
      </w:r>
      <w:bookmarkStart w:id="0" w:name="_GoBack"/>
      <w:bookmarkEnd w:id="0"/>
      <w:r w:rsidR="00CD4397" w:rsidRPr="00CD4397">
        <w:rPr>
          <w:rFonts w:ascii="Times New Roman" w:hAnsi="Times New Roman" w:cs="Times New Roman"/>
          <w:color w:val="000000"/>
          <w:sz w:val="24"/>
          <w:szCs w:val="24"/>
        </w:rPr>
        <w:t>s estimated to be served on a 25kVA transformer for customers with following demand ranges. These numbers should be in line with the estimates used to inform SDG&amp;E’s engineering estimates used to determine unit transformer costs per residential customer.</w:t>
      </w:r>
    </w:p>
    <w:p w14:paraId="700961D5" w14:textId="63364C65" w:rsidR="00CD4397" w:rsidRPr="00CD4397" w:rsidRDefault="00CD4397" w:rsidP="00CD4397">
      <w:pPr>
        <w:widowControl/>
        <w:autoSpaceDE w:val="0"/>
        <w:autoSpaceDN w:val="0"/>
        <w:adjustRightInd w:val="0"/>
        <w:rPr>
          <w:rFonts w:ascii="Times New Roman" w:hAnsi="Times New Roman" w:cs="Times New Roman"/>
          <w:color w:val="000000"/>
          <w:sz w:val="24"/>
          <w:szCs w:val="24"/>
        </w:rPr>
      </w:pPr>
      <w:r w:rsidRPr="00CD4397">
        <w:rPr>
          <w:rFonts w:ascii="Times New Roman" w:hAnsi="Times New Roman" w:cs="Times New Roman"/>
          <w:color w:val="000000"/>
          <w:sz w:val="24"/>
          <w:szCs w:val="24"/>
        </w:rPr>
        <w:t xml:space="preserve"> i. 0-2kW </w:t>
      </w:r>
    </w:p>
    <w:p w14:paraId="32FB1CBE" w14:textId="77777777" w:rsidR="00CD4397" w:rsidRPr="00CD4397" w:rsidRDefault="00CD4397" w:rsidP="00896E18">
      <w:pPr>
        <w:widowControl/>
        <w:autoSpaceDE w:val="0"/>
        <w:autoSpaceDN w:val="0"/>
        <w:adjustRightInd w:val="0"/>
        <w:rPr>
          <w:rFonts w:ascii="Times New Roman" w:hAnsi="Times New Roman" w:cs="Times New Roman"/>
          <w:color w:val="000000"/>
          <w:sz w:val="24"/>
          <w:szCs w:val="24"/>
        </w:rPr>
      </w:pPr>
      <w:r w:rsidRPr="00CD4397">
        <w:rPr>
          <w:rFonts w:ascii="Times New Roman" w:hAnsi="Times New Roman" w:cs="Times New Roman"/>
          <w:color w:val="000000"/>
          <w:sz w:val="24"/>
          <w:szCs w:val="24"/>
        </w:rPr>
        <w:t xml:space="preserve">ii. 3-6 kW </w:t>
      </w:r>
    </w:p>
    <w:p w14:paraId="343BD539" w14:textId="43B9D626" w:rsidR="00FB43F4" w:rsidRDefault="00CD4397" w:rsidP="00896E18">
      <w:pPr>
        <w:widowControl/>
        <w:autoSpaceDE w:val="0"/>
        <w:autoSpaceDN w:val="0"/>
        <w:adjustRightInd w:val="0"/>
        <w:rPr>
          <w:rFonts w:ascii="Times New Roman" w:hAnsi="Times New Roman" w:cs="Times New Roman"/>
          <w:color w:val="000000"/>
          <w:sz w:val="24"/>
          <w:szCs w:val="24"/>
        </w:rPr>
      </w:pPr>
      <w:r w:rsidRPr="00CD4397">
        <w:rPr>
          <w:rFonts w:ascii="Times New Roman" w:hAnsi="Times New Roman" w:cs="Times New Roman"/>
          <w:color w:val="000000"/>
          <w:sz w:val="24"/>
          <w:szCs w:val="24"/>
        </w:rPr>
        <w:t>iii. 7-12kW</w:t>
      </w:r>
    </w:p>
    <w:p w14:paraId="4B5957F4" w14:textId="3D9017EA" w:rsidR="00FB43F4" w:rsidRDefault="00FB43F4" w:rsidP="00896E18">
      <w:pPr>
        <w:widowControl/>
        <w:autoSpaceDE w:val="0"/>
        <w:autoSpaceDN w:val="0"/>
        <w:adjustRightInd w:val="0"/>
        <w:rPr>
          <w:rFonts w:ascii="Times New Roman" w:hAnsi="Times New Roman" w:cs="Times New Roman"/>
          <w:color w:val="000000"/>
          <w:sz w:val="24"/>
          <w:szCs w:val="24"/>
        </w:rPr>
      </w:pPr>
    </w:p>
    <w:p w14:paraId="1E470451" w14:textId="117E3646" w:rsidR="00986325" w:rsidRDefault="00FB43F4" w:rsidP="00043F42">
      <w:pPr>
        <w:widowControl/>
        <w:autoSpaceDE w:val="0"/>
        <w:autoSpaceDN w:val="0"/>
        <w:adjustRightInd w:val="0"/>
        <w:rPr>
          <w:rFonts w:ascii="Times New Roman" w:hAnsi="Times New Roman" w:cs="Times New Roman"/>
          <w:sz w:val="24"/>
          <w:szCs w:val="24"/>
        </w:rPr>
      </w:pPr>
      <w:r>
        <w:rPr>
          <w:rFonts w:ascii="Times New Roman" w:hAnsi="Times New Roman" w:cs="Times New Roman"/>
          <w:b/>
          <w:color w:val="000000"/>
          <w:sz w:val="24"/>
          <w:szCs w:val="24"/>
        </w:rPr>
        <w:t>SDG&amp;E Response</w:t>
      </w:r>
      <w:r w:rsidR="001B1B63">
        <w:rPr>
          <w:rFonts w:ascii="Times New Roman" w:hAnsi="Times New Roman" w:cs="Times New Roman"/>
          <w:b/>
          <w:color w:val="000000"/>
          <w:sz w:val="24"/>
          <w:szCs w:val="24"/>
        </w:rPr>
        <w:t xml:space="preserve"> to Question 1</w:t>
      </w:r>
      <w:r>
        <w:rPr>
          <w:rFonts w:ascii="Times New Roman" w:hAnsi="Times New Roman" w:cs="Times New Roman"/>
          <w:b/>
          <w:color w:val="000000"/>
          <w:sz w:val="24"/>
          <w:szCs w:val="24"/>
        </w:rPr>
        <w:t>:</w:t>
      </w:r>
      <w:r w:rsidR="00E91C71">
        <w:rPr>
          <w:rFonts w:ascii="Times New Roman" w:hAnsi="Times New Roman" w:cs="Times New Roman"/>
          <w:b/>
          <w:color w:val="000000"/>
          <w:sz w:val="24"/>
          <w:szCs w:val="24"/>
        </w:rPr>
        <w:t xml:space="preserve"> </w:t>
      </w:r>
      <w:r w:rsidR="00986325" w:rsidRPr="0017334C">
        <w:rPr>
          <w:rFonts w:ascii="Times New Roman" w:hAnsi="Times New Roman" w:cs="Times New Roman"/>
          <w:sz w:val="24"/>
          <w:szCs w:val="24"/>
        </w:rPr>
        <w:t xml:space="preserve">SDG&amp;E does not have invoices that identify the costs of installing specific transformers. Consistent with the marginal transformer costs proposed in SDG&amp;E’s 2019 GRC Phase 2 proceeding the cost to install a </w:t>
      </w:r>
      <w:r w:rsidR="00A312FB" w:rsidRPr="0017334C">
        <w:rPr>
          <w:rFonts w:ascii="Times New Roman" w:hAnsi="Times New Roman" w:cs="Times New Roman"/>
          <w:sz w:val="24"/>
          <w:szCs w:val="24"/>
        </w:rPr>
        <w:t>transformer</w:t>
      </w:r>
      <w:r w:rsidR="00986325" w:rsidRPr="0017334C">
        <w:rPr>
          <w:rFonts w:ascii="Times New Roman" w:hAnsi="Times New Roman" w:cs="Times New Roman"/>
          <w:sz w:val="24"/>
          <w:szCs w:val="24"/>
        </w:rPr>
        <w:t xml:space="preserve"> is based on recent purchased prices of </w:t>
      </w:r>
      <w:r w:rsidR="00A312FB" w:rsidRPr="0017334C">
        <w:rPr>
          <w:rFonts w:ascii="Times New Roman" w:hAnsi="Times New Roman" w:cs="Times New Roman"/>
          <w:sz w:val="24"/>
          <w:szCs w:val="24"/>
        </w:rPr>
        <w:t>transformers</w:t>
      </w:r>
      <w:r w:rsidR="00986325" w:rsidRPr="0017334C">
        <w:rPr>
          <w:rFonts w:ascii="Times New Roman" w:hAnsi="Times New Roman" w:cs="Times New Roman"/>
          <w:sz w:val="24"/>
          <w:szCs w:val="24"/>
        </w:rPr>
        <w:t xml:space="preserve"> and the costs to install </w:t>
      </w:r>
      <w:r w:rsidR="00317235" w:rsidRPr="0017334C">
        <w:rPr>
          <w:rFonts w:ascii="Times New Roman" w:hAnsi="Times New Roman" w:cs="Times New Roman"/>
          <w:sz w:val="24"/>
          <w:szCs w:val="24"/>
        </w:rPr>
        <w:t xml:space="preserve">transformers </w:t>
      </w:r>
      <w:r w:rsidR="00986325" w:rsidRPr="0017334C">
        <w:rPr>
          <w:rFonts w:ascii="Times New Roman" w:hAnsi="Times New Roman" w:cs="Times New Roman"/>
          <w:sz w:val="24"/>
          <w:szCs w:val="24"/>
        </w:rPr>
        <w:t xml:space="preserve">based on labor and overhead costs at that point in time. For this reason, the invoices requested with a detailed breakdown of the costs to install specific </w:t>
      </w:r>
      <w:r w:rsidR="009318DA" w:rsidRPr="0017334C">
        <w:rPr>
          <w:rFonts w:ascii="Times New Roman" w:hAnsi="Times New Roman" w:cs="Times New Roman"/>
          <w:sz w:val="24"/>
          <w:szCs w:val="24"/>
        </w:rPr>
        <w:t>transformer</w:t>
      </w:r>
      <w:r w:rsidR="00B718E3">
        <w:rPr>
          <w:rFonts w:ascii="Times New Roman" w:hAnsi="Times New Roman" w:cs="Times New Roman"/>
          <w:sz w:val="24"/>
          <w:szCs w:val="24"/>
        </w:rPr>
        <w:t>s</w:t>
      </w:r>
      <w:r w:rsidR="00986325" w:rsidRPr="0017334C">
        <w:rPr>
          <w:rFonts w:ascii="Times New Roman" w:hAnsi="Times New Roman" w:cs="Times New Roman"/>
          <w:sz w:val="24"/>
          <w:szCs w:val="24"/>
        </w:rPr>
        <w:t xml:space="preserve"> </w:t>
      </w:r>
      <w:r w:rsidR="00AB165A">
        <w:rPr>
          <w:rFonts w:ascii="Times New Roman" w:hAnsi="Times New Roman" w:cs="Times New Roman"/>
          <w:sz w:val="24"/>
          <w:szCs w:val="24"/>
        </w:rPr>
        <w:t>are</w:t>
      </w:r>
      <w:r w:rsidR="00AB165A" w:rsidRPr="0017334C">
        <w:rPr>
          <w:rFonts w:ascii="Times New Roman" w:hAnsi="Times New Roman" w:cs="Times New Roman"/>
          <w:sz w:val="24"/>
          <w:szCs w:val="24"/>
        </w:rPr>
        <w:t xml:space="preserve"> </w:t>
      </w:r>
      <w:r w:rsidR="00986325" w:rsidRPr="0017334C">
        <w:rPr>
          <w:rFonts w:ascii="Times New Roman" w:hAnsi="Times New Roman" w:cs="Times New Roman"/>
          <w:sz w:val="24"/>
          <w:szCs w:val="24"/>
        </w:rPr>
        <w:t>not available.</w:t>
      </w:r>
    </w:p>
    <w:p w14:paraId="3CBFF035" w14:textId="2A6EFEB1" w:rsidR="00772567" w:rsidRDefault="00772567" w:rsidP="00043F42">
      <w:pPr>
        <w:widowControl/>
        <w:autoSpaceDE w:val="0"/>
        <w:autoSpaceDN w:val="0"/>
        <w:adjustRightInd w:val="0"/>
        <w:rPr>
          <w:rFonts w:ascii="Times New Roman" w:hAnsi="Times New Roman" w:cs="Times New Roman"/>
          <w:sz w:val="24"/>
          <w:szCs w:val="24"/>
        </w:rPr>
      </w:pPr>
    </w:p>
    <w:p w14:paraId="7F2D932E" w14:textId="44169126" w:rsidR="00772567" w:rsidRDefault="007D276C" w:rsidP="00043F42">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As explained</w:t>
      </w:r>
      <w:r w:rsidR="00754208">
        <w:rPr>
          <w:rFonts w:ascii="Times New Roman" w:hAnsi="Times New Roman" w:cs="Times New Roman"/>
          <w:sz w:val="24"/>
          <w:szCs w:val="24"/>
        </w:rPr>
        <w:t xml:space="preserve"> in </w:t>
      </w:r>
      <w:r w:rsidR="00453D20">
        <w:rPr>
          <w:rFonts w:ascii="Times New Roman" w:hAnsi="Times New Roman" w:cs="Times New Roman"/>
          <w:sz w:val="24"/>
          <w:szCs w:val="24"/>
        </w:rPr>
        <w:t xml:space="preserve">the SDG&amp;E </w:t>
      </w:r>
      <w:r w:rsidR="00754208">
        <w:rPr>
          <w:rFonts w:ascii="Times New Roman" w:hAnsi="Times New Roman" w:cs="Times New Roman"/>
          <w:sz w:val="24"/>
          <w:szCs w:val="24"/>
        </w:rPr>
        <w:t xml:space="preserve">2019 GRC Phase 2 Prepared Direct Testimony of William G. Saxe, the transformer costs are based on </w:t>
      </w:r>
      <w:r w:rsidR="005A753C">
        <w:rPr>
          <w:rFonts w:ascii="Times New Roman" w:hAnsi="Times New Roman" w:cs="Times New Roman"/>
          <w:sz w:val="24"/>
          <w:szCs w:val="24"/>
        </w:rPr>
        <w:t xml:space="preserve">cost to </w:t>
      </w:r>
      <w:r w:rsidR="00836674">
        <w:rPr>
          <w:rFonts w:ascii="Times New Roman" w:hAnsi="Times New Roman" w:cs="Times New Roman"/>
          <w:sz w:val="24"/>
          <w:szCs w:val="24"/>
        </w:rPr>
        <w:t>install transfo</w:t>
      </w:r>
      <w:r w:rsidR="006747D6">
        <w:rPr>
          <w:rFonts w:ascii="Times New Roman" w:hAnsi="Times New Roman" w:cs="Times New Roman"/>
          <w:sz w:val="24"/>
          <w:szCs w:val="24"/>
        </w:rPr>
        <w:t xml:space="preserve">rmers of a given size and based on the number of customers </w:t>
      </w:r>
      <w:r w:rsidR="0005730C">
        <w:rPr>
          <w:rFonts w:ascii="Times New Roman" w:hAnsi="Times New Roman" w:cs="Times New Roman"/>
          <w:sz w:val="24"/>
          <w:szCs w:val="24"/>
        </w:rPr>
        <w:t xml:space="preserve">that can be served on </w:t>
      </w:r>
      <w:r w:rsidR="00BF0B91">
        <w:rPr>
          <w:rFonts w:ascii="Times New Roman" w:hAnsi="Times New Roman" w:cs="Times New Roman"/>
          <w:sz w:val="24"/>
          <w:szCs w:val="24"/>
        </w:rPr>
        <w:t xml:space="preserve">the </w:t>
      </w:r>
      <w:r w:rsidR="0005730C">
        <w:rPr>
          <w:rFonts w:ascii="Times New Roman" w:hAnsi="Times New Roman" w:cs="Times New Roman"/>
          <w:sz w:val="24"/>
          <w:szCs w:val="24"/>
        </w:rPr>
        <w:t>transformer</w:t>
      </w:r>
      <w:r w:rsidR="009D0EB8">
        <w:rPr>
          <w:rFonts w:ascii="Times New Roman" w:hAnsi="Times New Roman" w:cs="Times New Roman"/>
          <w:sz w:val="24"/>
          <w:szCs w:val="24"/>
        </w:rPr>
        <w:t xml:space="preserve"> based on the type and size of </w:t>
      </w:r>
      <w:r w:rsidR="00074CA2">
        <w:rPr>
          <w:rFonts w:ascii="Times New Roman" w:hAnsi="Times New Roman" w:cs="Times New Roman"/>
          <w:sz w:val="24"/>
          <w:szCs w:val="24"/>
        </w:rPr>
        <w:t>the customer</w:t>
      </w:r>
      <w:r w:rsidR="00BF0B91">
        <w:rPr>
          <w:rFonts w:ascii="Times New Roman" w:hAnsi="Times New Roman" w:cs="Times New Roman"/>
          <w:sz w:val="24"/>
          <w:szCs w:val="24"/>
        </w:rPr>
        <w:t>.</w:t>
      </w:r>
      <w:r w:rsidR="00BF0B91">
        <w:rPr>
          <w:rStyle w:val="FootnoteReference"/>
          <w:rFonts w:ascii="Times New Roman" w:hAnsi="Times New Roman" w:cs="Times New Roman"/>
          <w:sz w:val="24"/>
          <w:szCs w:val="24"/>
        </w:rPr>
        <w:footnoteReference w:id="2"/>
      </w:r>
      <w:r w:rsidR="007777BC">
        <w:rPr>
          <w:rFonts w:ascii="Times New Roman" w:hAnsi="Times New Roman" w:cs="Times New Roman"/>
          <w:sz w:val="24"/>
          <w:szCs w:val="24"/>
        </w:rPr>
        <w:t xml:space="preserve"> The transformer costs reflect the SDG&amp;E costs at th</w:t>
      </w:r>
      <w:r w:rsidR="00BF7E8B">
        <w:rPr>
          <w:rFonts w:ascii="Times New Roman" w:hAnsi="Times New Roman" w:cs="Times New Roman"/>
          <w:sz w:val="24"/>
          <w:szCs w:val="24"/>
        </w:rPr>
        <w:t>e</w:t>
      </w:r>
      <w:r w:rsidR="007777BC">
        <w:rPr>
          <w:rFonts w:ascii="Times New Roman" w:hAnsi="Times New Roman" w:cs="Times New Roman"/>
          <w:sz w:val="24"/>
          <w:szCs w:val="24"/>
        </w:rPr>
        <w:t xml:space="preserve"> given point in time when the marginal </w:t>
      </w:r>
      <w:r w:rsidR="00762EF6">
        <w:rPr>
          <w:rFonts w:ascii="Times New Roman" w:hAnsi="Times New Roman" w:cs="Times New Roman"/>
          <w:sz w:val="24"/>
          <w:szCs w:val="24"/>
        </w:rPr>
        <w:t>distribution customer costs were being developed for the 2019 GRC Phase 2 proceeding</w:t>
      </w:r>
      <w:r w:rsidR="00792C15">
        <w:rPr>
          <w:rFonts w:ascii="Times New Roman" w:hAnsi="Times New Roman" w:cs="Times New Roman"/>
          <w:sz w:val="24"/>
          <w:szCs w:val="24"/>
        </w:rPr>
        <w:t xml:space="preserve">. Likewise, the overhead costs </w:t>
      </w:r>
      <w:r w:rsidR="00361997">
        <w:rPr>
          <w:rFonts w:ascii="Times New Roman" w:hAnsi="Times New Roman" w:cs="Times New Roman"/>
          <w:sz w:val="24"/>
          <w:szCs w:val="24"/>
        </w:rPr>
        <w:t>associated with installing the transformers consisting of</w:t>
      </w:r>
      <w:r w:rsidR="00C110EB">
        <w:rPr>
          <w:rFonts w:ascii="Times New Roman" w:hAnsi="Times New Roman" w:cs="Times New Roman"/>
          <w:sz w:val="24"/>
          <w:szCs w:val="24"/>
        </w:rPr>
        <w:t xml:space="preserve"> </w:t>
      </w:r>
      <w:r w:rsidR="00C755A3">
        <w:rPr>
          <w:rFonts w:ascii="Times New Roman" w:hAnsi="Times New Roman" w:cs="Times New Roman"/>
          <w:sz w:val="24"/>
          <w:szCs w:val="24"/>
        </w:rPr>
        <w:t>overhead costs for Purchasing &amp; Warehous</w:t>
      </w:r>
      <w:r w:rsidR="00D93850">
        <w:rPr>
          <w:rFonts w:ascii="Times New Roman" w:hAnsi="Times New Roman" w:cs="Times New Roman"/>
          <w:sz w:val="24"/>
          <w:szCs w:val="24"/>
        </w:rPr>
        <w:t>e</w:t>
      </w:r>
      <w:r w:rsidR="00C755A3">
        <w:rPr>
          <w:rFonts w:ascii="Times New Roman" w:hAnsi="Times New Roman" w:cs="Times New Roman"/>
          <w:sz w:val="24"/>
          <w:szCs w:val="24"/>
        </w:rPr>
        <w:t>, Exempt Material,</w:t>
      </w:r>
      <w:r w:rsidR="00534A15">
        <w:rPr>
          <w:rFonts w:ascii="Times New Roman" w:hAnsi="Times New Roman" w:cs="Times New Roman"/>
          <w:sz w:val="24"/>
          <w:szCs w:val="24"/>
        </w:rPr>
        <w:t xml:space="preserve"> Transportation &amp; Yard, </w:t>
      </w:r>
      <w:r w:rsidR="00A9470C">
        <w:rPr>
          <w:rFonts w:ascii="Times New Roman" w:hAnsi="Times New Roman" w:cs="Times New Roman"/>
          <w:sz w:val="24"/>
          <w:szCs w:val="24"/>
        </w:rPr>
        <w:t xml:space="preserve">Local </w:t>
      </w:r>
      <w:r w:rsidR="005C3E40">
        <w:rPr>
          <w:rFonts w:ascii="Times New Roman" w:hAnsi="Times New Roman" w:cs="Times New Roman"/>
          <w:sz w:val="24"/>
          <w:szCs w:val="24"/>
        </w:rPr>
        <w:t xml:space="preserve">Engineering, </w:t>
      </w:r>
      <w:r w:rsidR="00E63D03">
        <w:rPr>
          <w:rFonts w:ascii="Times New Roman" w:hAnsi="Times New Roman" w:cs="Times New Roman"/>
          <w:sz w:val="24"/>
          <w:szCs w:val="24"/>
        </w:rPr>
        <w:t>Admin</w:t>
      </w:r>
      <w:r w:rsidR="00BC3D4A">
        <w:rPr>
          <w:rFonts w:ascii="Times New Roman" w:hAnsi="Times New Roman" w:cs="Times New Roman"/>
          <w:sz w:val="24"/>
          <w:szCs w:val="24"/>
        </w:rPr>
        <w:t>i</w:t>
      </w:r>
      <w:r w:rsidR="00E63D03">
        <w:rPr>
          <w:rFonts w:ascii="Times New Roman" w:hAnsi="Times New Roman" w:cs="Times New Roman"/>
          <w:sz w:val="24"/>
          <w:szCs w:val="24"/>
        </w:rPr>
        <w:t xml:space="preserve">stration </w:t>
      </w:r>
      <w:r w:rsidR="00BC3D4A">
        <w:rPr>
          <w:rFonts w:ascii="Times New Roman" w:hAnsi="Times New Roman" w:cs="Times New Roman"/>
          <w:sz w:val="24"/>
          <w:szCs w:val="24"/>
        </w:rPr>
        <w:t xml:space="preserve">&amp; General, </w:t>
      </w:r>
      <w:r w:rsidR="005C3E40">
        <w:rPr>
          <w:rFonts w:ascii="Times New Roman" w:hAnsi="Times New Roman" w:cs="Times New Roman"/>
          <w:sz w:val="24"/>
          <w:szCs w:val="24"/>
        </w:rPr>
        <w:t xml:space="preserve">and Indirect Labor costs reflect SDG&amp;E’s </w:t>
      </w:r>
      <w:r w:rsidR="00CE0B07">
        <w:rPr>
          <w:rFonts w:ascii="Times New Roman" w:hAnsi="Times New Roman" w:cs="Times New Roman"/>
          <w:sz w:val="24"/>
          <w:szCs w:val="24"/>
        </w:rPr>
        <w:t>overhead costs</w:t>
      </w:r>
      <w:r w:rsidR="008369B9">
        <w:rPr>
          <w:rFonts w:ascii="Times New Roman" w:hAnsi="Times New Roman" w:cs="Times New Roman"/>
          <w:sz w:val="24"/>
          <w:szCs w:val="24"/>
        </w:rPr>
        <w:t xml:space="preserve"> as of April 2017</w:t>
      </w:r>
      <w:r w:rsidR="00CE0B07">
        <w:rPr>
          <w:rFonts w:ascii="Times New Roman" w:hAnsi="Times New Roman" w:cs="Times New Roman"/>
          <w:sz w:val="24"/>
          <w:szCs w:val="24"/>
        </w:rPr>
        <w:t>.</w:t>
      </w:r>
      <w:r w:rsidR="00361997">
        <w:rPr>
          <w:rFonts w:ascii="Times New Roman" w:hAnsi="Times New Roman" w:cs="Times New Roman"/>
          <w:sz w:val="24"/>
          <w:szCs w:val="24"/>
        </w:rPr>
        <w:t xml:space="preserve"> </w:t>
      </w:r>
    </w:p>
    <w:p w14:paraId="5F3CA940" w14:textId="3535EB85" w:rsidR="00015FB4" w:rsidRDefault="00015FB4" w:rsidP="00043F42">
      <w:pPr>
        <w:widowControl/>
        <w:autoSpaceDE w:val="0"/>
        <w:autoSpaceDN w:val="0"/>
        <w:adjustRightInd w:val="0"/>
        <w:rPr>
          <w:rFonts w:ascii="Times New Roman" w:hAnsi="Times New Roman" w:cs="Times New Roman"/>
          <w:b/>
          <w:color w:val="000000"/>
          <w:sz w:val="24"/>
          <w:szCs w:val="24"/>
        </w:rPr>
      </w:pPr>
    </w:p>
    <w:p w14:paraId="70991D0A" w14:textId="30CB3DAA" w:rsidR="00015FB4" w:rsidRPr="00015FB4" w:rsidRDefault="005907E5" w:rsidP="00043F42">
      <w:pPr>
        <w:widowControl/>
        <w:autoSpaceDE w:val="0"/>
        <w:autoSpaceDN w:val="0"/>
        <w:adjustRightInd w:val="0"/>
        <w:rPr>
          <w:rFonts w:ascii="Times New Roman" w:hAnsi="Times New Roman" w:cs="Times New Roman"/>
          <w:color w:val="000000"/>
          <w:sz w:val="24"/>
          <w:szCs w:val="24"/>
        </w:rPr>
      </w:pPr>
      <w:r w:rsidRPr="001C7B20">
        <w:rPr>
          <w:rFonts w:ascii="Times New Roman" w:hAnsi="Times New Roman" w:cs="Times New Roman"/>
          <w:b/>
          <w:color w:val="000000"/>
          <w:sz w:val="24"/>
          <w:szCs w:val="24"/>
        </w:rPr>
        <w:t>SDG&amp;E Response to Question 1</w:t>
      </w:r>
      <w:r w:rsidR="00015FB4" w:rsidRPr="001C7B20">
        <w:rPr>
          <w:rFonts w:ascii="Times New Roman" w:hAnsi="Times New Roman" w:cs="Times New Roman"/>
          <w:b/>
          <w:color w:val="000000"/>
          <w:sz w:val="24"/>
          <w:szCs w:val="24"/>
        </w:rPr>
        <w:t>a</w:t>
      </w:r>
      <w:r w:rsidR="00015FB4" w:rsidRPr="00015FB4">
        <w:rPr>
          <w:rFonts w:ascii="Times New Roman" w:hAnsi="Times New Roman" w:cs="Times New Roman"/>
          <w:color w:val="000000"/>
          <w:sz w:val="24"/>
          <w:szCs w:val="24"/>
        </w:rPr>
        <w:t xml:space="preserve">. </w:t>
      </w:r>
      <w:r w:rsidR="00CE0B07">
        <w:rPr>
          <w:rFonts w:ascii="Times New Roman" w:hAnsi="Times New Roman" w:cs="Times New Roman"/>
          <w:color w:val="000000"/>
          <w:sz w:val="24"/>
          <w:szCs w:val="24"/>
        </w:rPr>
        <w:t xml:space="preserve">As stated above SDG&amp;E does not have invoices that identify </w:t>
      </w:r>
      <w:r w:rsidR="00F03CBA">
        <w:rPr>
          <w:rFonts w:ascii="Times New Roman" w:hAnsi="Times New Roman" w:cs="Times New Roman"/>
          <w:color w:val="000000"/>
          <w:sz w:val="24"/>
          <w:szCs w:val="24"/>
        </w:rPr>
        <w:t xml:space="preserve">the installation of specific transformers </w:t>
      </w:r>
      <w:r w:rsidR="007F0267">
        <w:rPr>
          <w:rFonts w:ascii="Times New Roman" w:hAnsi="Times New Roman" w:cs="Times New Roman"/>
          <w:color w:val="000000"/>
          <w:sz w:val="24"/>
          <w:szCs w:val="24"/>
        </w:rPr>
        <w:t>to serve customers</w:t>
      </w:r>
      <w:r w:rsidR="001C7ADD">
        <w:rPr>
          <w:rFonts w:ascii="Times New Roman" w:hAnsi="Times New Roman" w:cs="Times New Roman"/>
          <w:color w:val="000000"/>
          <w:sz w:val="24"/>
          <w:szCs w:val="24"/>
        </w:rPr>
        <w:t xml:space="preserve">. </w:t>
      </w:r>
      <w:r w:rsidR="00FA79ED">
        <w:rPr>
          <w:rFonts w:ascii="Times New Roman" w:hAnsi="Times New Roman" w:cs="Times New Roman"/>
          <w:color w:val="000000"/>
          <w:sz w:val="24"/>
          <w:szCs w:val="24"/>
        </w:rPr>
        <w:t>However, based on the number and size of residential customers SDG&amp;E currently serves</w:t>
      </w:r>
      <w:r w:rsidR="00A01373">
        <w:rPr>
          <w:rFonts w:ascii="Times New Roman" w:hAnsi="Times New Roman" w:cs="Times New Roman"/>
          <w:color w:val="000000"/>
          <w:sz w:val="24"/>
          <w:szCs w:val="24"/>
        </w:rPr>
        <w:t xml:space="preserve">, the table below provides the </w:t>
      </w:r>
      <w:r w:rsidR="00A83165">
        <w:rPr>
          <w:rFonts w:ascii="Times New Roman" w:hAnsi="Times New Roman" w:cs="Times New Roman"/>
          <w:color w:val="000000"/>
          <w:sz w:val="24"/>
          <w:szCs w:val="24"/>
        </w:rPr>
        <w:t xml:space="preserve">estimated </w:t>
      </w:r>
      <w:r w:rsidR="00A01373">
        <w:rPr>
          <w:rFonts w:ascii="Times New Roman" w:hAnsi="Times New Roman" w:cs="Times New Roman"/>
          <w:color w:val="000000"/>
          <w:sz w:val="24"/>
          <w:szCs w:val="24"/>
        </w:rPr>
        <w:t>number of residential</w:t>
      </w:r>
      <w:r w:rsidR="00A83165">
        <w:rPr>
          <w:rFonts w:ascii="Times New Roman" w:hAnsi="Times New Roman" w:cs="Times New Roman"/>
          <w:color w:val="000000"/>
          <w:sz w:val="24"/>
          <w:szCs w:val="24"/>
        </w:rPr>
        <w:t xml:space="preserve"> customers served on a 25 kV</w:t>
      </w:r>
      <w:r w:rsidR="00554ECD">
        <w:rPr>
          <w:rFonts w:ascii="Times New Roman" w:hAnsi="Times New Roman" w:cs="Times New Roman"/>
          <w:color w:val="000000"/>
          <w:sz w:val="24"/>
          <w:szCs w:val="24"/>
        </w:rPr>
        <w:t>A</w:t>
      </w:r>
      <w:r w:rsidR="00A83165">
        <w:rPr>
          <w:rFonts w:ascii="Times New Roman" w:hAnsi="Times New Roman" w:cs="Times New Roman"/>
          <w:color w:val="000000"/>
          <w:sz w:val="24"/>
          <w:szCs w:val="24"/>
        </w:rPr>
        <w:t xml:space="preserve"> transformer </w:t>
      </w:r>
      <w:r w:rsidR="00820472">
        <w:rPr>
          <w:rFonts w:ascii="Times New Roman" w:hAnsi="Times New Roman" w:cs="Times New Roman"/>
          <w:color w:val="000000"/>
          <w:sz w:val="24"/>
          <w:szCs w:val="24"/>
        </w:rPr>
        <w:t xml:space="preserve">for customers </w:t>
      </w:r>
      <w:r w:rsidR="005572A7">
        <w:rPr>
          <w:rFonts w:ascii="Times New Roman" w:hAnsi="Times New Roman" w:cs="Times New Roman"/>
          <w:color w:val="000000"/>
          <w:sz w:val="24"/>
          <w:szCs w:val="24"/>
        </w:rPr>
        <w:t xml:space="preserve">by </w:t>
      </w:r>
      <w:r w:rsidR="00820472">
        <w:rPr>
          <w:rFonts w:ascii="Times New Roman" w:hAnsi="Times New Roman" w:cs="Times New Roman"/>
          <w:color w:val="000000"/>
          <w:sz w:val="24"/>
          <w:szCs w:val="24"/>
        </w:rPr>
        <w:t xml:space="preserve">demand ranges, </w:t>
      </w:r>
      <w:r w:rsidR="003078A2">
        <w:rPr>
          <w:rFonts w:ascii="Times New Roman" w:hAnsi="Times New Roman" w:cs="Times New Roman"/>
          <w:color w:val="000000"/>
          <w:sz w:val="24"/>
          <w:szCs w:val="24"/>
        </w:rPr>
        <w:t xml:space="preserve">which are </w:t>
      </w:r>
      <w:r w:rsidR="00F53F27">
        <w:rPr>
          <w:rFonts w:ascii="Times New Roman" w:hAnsi="Times New Roman" w:cs="Times New Roman"/>
          <w:color w:val="000000"/>
          <w:sz w:val="24"/>
          <w:szCs w:val="24"/>
        </w:rPr>
        <w:t xml:space="preserve">all </w:t>
      </w:r>
      <w:r w:rsidR="00253A15">
        <w:rPr>
          <w:rFonts w:ascii="Times New Roman" w:hAnsi="Times New Roman" w:cs="Times New Roman"/>
          <w:color w:val="000000"/>
          <w:sz w:val="24"/>
          <w:szCs w:val="24"/>
        </w:rPr>
        <w:lastRenderedPageBreak/>
        <w:t xml:space="preserve">residential customers </w:t>
      </w:r>
      <w:r w:rsidR="00832F91">
        <w:rPr>
          <w:rFonts w:ascii="Times New Roman" w:hAnsi="Times New Roman" w:cs="Times New Roman"/>
          <w:color w:val="000000"/>
          <w:sz w:val="24"/>
          <w:szCs w:val="24"/>
        </w:rPr>
        <w:t xml:space="preserve">up to 25 kW taking 120/240 </w:t>
      </w:r>
      <w:r w:rsidR="00FB5C1B">
        <w:rPr>
          <w:rFonts w:ascii="Times New Roman" w:hAnsi="Times New Roman" w:cs="Times New Roman"/>
          <w:color w:val="000000"/>
          <w:sz w:val="24"/>
          <w:szCs w:val="24"/>
        </w:rPr>
        <w:t xml:space="preserve">Volt </w:t>
      </w:r>
      <w:r w:rsidR="000802B9">
        <w:rPr>
          <w:rFonts w:ascii="Times New Roman" w:hAnsi="Times New Roman" w:cs="Times New Roman"/>
          <w:color w:val="000000"/>
          <w:sz w:val="24"/>
          <w:szCs w:val="24"/>
        </w:rPr>
        <w:t>Single P</w:t>
      </w:r>
      <w:r w:rsidR="00832F91">
        <w:rPr>
          <w:rFonts w:ascii="Times New Roman" w:hAnsi="Times New Roman" w:cs="Times New Roman"/>
          <w:color w:val="000000"/>
          <w:sz w:val="24"/>
          <w:szCs w:val="24"/>
        </w:rPr>
        <w:t xml:space="preserve">hase </w:t>
      </w:r>
      <w:r w:rsidR="000802B9">
        <w:rPr>
          <w:rFonts w:ascii="Times New Roman" w:hAnsi="Times New Roman" w:cs="Times New Roman"/>
          <w:color w:val="000000"/>
          <w:sz w:val="24"/>
          <w:szCs w:val="24"/>
        </w:rPr>
        <w:t xml:space="preserve">electric </w:t>
      </w:r>
      <w:r w:rsidR="008C0369">
        <w:rPr>
          <w:rFonts w:ascii="Times New Roman" w:hAnsi="Times New Roman" w:cs="Times New Roman"/>
          <w:color w:val="000000"/>
          <w:sz w:val="24"/>
          <w:szCs w:val="24"/>
        </w:rPr>
        <w:t>service</w:t>
      </w:r>
      <w:r w:rsidR="00FB5C1B">
        <w:rPr>
          <w:rFonts w:ascii="Times New Roman" w:hAnsi="Times New Roman" w:cs="Times New Roman"/>
          <w:color w:val="000000"/>
          <w:sz w:val="24"/>
          <w:szCs w:val="24"/>
        </w:rPr>
        <w:t>,</w:t>
      </w:r>
      <w:r w:rsidR="008C0369">
        <w:rPr>
          <w:rFonts w:ascii="Times New Roman" w:hAnsi="Times New Roman" w:cs="Times New Roman"/>
          <w:color w:val="000000"/>
          <w:sz w:val="24"/>
          <w:szCs w:val="24"/>
        </w:rPr>
        <w:t xml:space="preserve"> </w:t>
      </w:r>
      <w:r w:rsidR="00820472">
        <w:rPr>
          <w:rFonts w:ascii="Times New Roman" w:hAnsi="Times New Roman" w:cs="Times New Roman"/>
          <w:color w:val="000000"/>
          <w:sz w:val="24"/>
          <w:szCs w:val="24"/>
        </w:rPr>
        <w:t xml:space="preserve">as identified in </w:t>
      </w:r>
      <w:r w:rsidR="00392059">
        <w:rPr>
          <w:rFonts w:ascii="Times New Roman" w:hAnsi="Times New Roman" w:cs="Times New Roman"/>
          <w:color w:val="000000"/>
          <w:sz w:val="24"/>
          <w:szCs w:val="24"/>
        </w:rPr>
        <w:t xml:space="preserve">the “Resid Cust Fcst” tab of </w:t>
      </w:r>
      <w:r w:rsidR="00820472">
        <w:rPr>
          <w:rFonts w:ascii="Times New Roman" w:hAnsi="Times New Roman" w:cs="Times New Roman"/>
          <w:color w:val="000000"/>
          <w:sz w:val="24"/>
          <w:szCs w:val="24"/>
        </w:rPr>
        <w:t>SDG&amp;E’s “Ch_5</w:t>
      </w:r>
      <w:r w:rsidR="007F7FF9">
        <w:rPr>
          <w:rFonts w:ascii="Times New Roman" w:hAnsi="Times New Roman" w:cs="Times New Roman"/>
          <w:color w:val="000000"/>
          <w:sz w:val="24"/>
          <w:szCs w:val="24"/>
        </w:rPr>
        <w:t>_WP#2_Marg Distribution Cust Costs</w:t>
      </w:r>
      <w:r w:rsidR="00EE69BA">
        <w:rPr>
          <w:rFonts w:ascii="Times New Roman" w:hAnsi="Times New Roman" w:cs="Times New Roman"/>
          <w:color w:val="000000"/>
          <w:sz w:val="24"/>
          <w:szCs w:val="24"/>
        </w:rPr>
        <w:t xml:space="preserve"> for Non School Class_Public”</w:t>
      </w:r>
      <w:r w:rsidR="00AF5318">
        <w:rPr>
          <w:rFonts w:ascii="Times New Roman" w:hAnsi="Times New Roman" w:cs="Times New Roman"/>
          <w:color w:val="000000"/>
          <w:sz w:val="24"/>
          <w:szCs w:val="24"/>
        </w:rPr>
        <w:t xml:space="preserve"> and</w:t>
      </w:r>
      <w:r w:rsidR="00A01373">
        <w:rPr>
          <w:rFonts w:ascii="Times New Roman" w:hAnsi="Times New Roman" w:cs="Times New Roman"/>
          <w:color w:val="000000"/>
          <w:sz w:val="24"/>
          <w:szCs w:val="24"/>
        </w:rPr>
        <w:t xml:space="preserve"> </w:t>
      </w:r>
      <w:r w:rsidR="00AF5318">
        <w:rPr>
          <w:rFonts w:ascii="Times New Roman" w:hAnsi="Times New Roman" w:cs="Times New Roman"/>
          <w:color w:val="000000"/>
          <w:sz w:val="24"/>
          <w:szCs w:val="24"/>
        </w:rPr>
        <w:t>“Ch_5_WP#2_Marg Distribution Cust Costs for Class_Public” workpapers.</w:t>
      </w:r>
    </w:p>
    <w:p w14:paraId="550536B0" w14:textId="77777777" w:rsidR="00986325" w:rsidRDefault="00986325" w:rsidP="00E91C71">
      <w:pPr>
        <w:widowControl/>
        <w:autoSpaceDE w:val="0"/>
        <w:autoSpaceDN w:val="0"/>
        <w:adjustRightInd w:val="0"/>
        <w:rPr>
          <w:rFonts w:ascii="Times New Roman" w:hAnsi="Times New Roman" w:cs="Times New Roman"/>
          <w:sz w:val="24"/>
          <w:szCs w:val="24"/>
        </w:rPr>
      </w:pPr>
    </w:p>
    <w:p w14:paraId="7EDBB962" w14:textId="70CA0580" w:rsidR="003F3BD8" w:rsidRDefault="00CD3952" w:rsidP="00E91C71">
      <w:pPr>
        <w:widowControl/>
        <w:autoSpaceDE w:val="0"/>
        <w:autoSpaceDN w:val="0"/>
        <w:adjustRightInd w:val="0"/>
        <w:rPr>
          <w:rFonts w:ascii="Times New Roman" w:hAnsi="Times New Roman" w:cs="Times New Roman"/>
          <w:sz w:val="24"/>
          <w:szCs w:val="24"/>
        </w:rPr>
      </w:pPr>
      <w:r w:rsidRPr="00CD3952">
        <w:rPr>
          <w:noProof/>
        </w:rPr>
        <w:drawing>
          <wp:inline distT="0" distB="0" distL="0" distR="0" wp14:anchorId="1610F303" wp14:editId="33EB9BF0">
            <wp:extent cx="5359400" cy="192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9400" cy="1924050"/>
                    </a:xfrm>
                    <a:prstGeom prst="rect">
                      <a:avLst/>
                    </a:prstGeom>
                    <a:noFill/>
                    <a:ln>
                      <a:noFill/>
                    </a:ln>
                  </pic:spPr>
                </pic:pic>
              </a:graphicData>
            </a:graphic>
          </wp:inline>
        </w:drawing>
      </w:r>
    </w:p>
    <w:p w14:paraId="2314401D" w14:textId="77777777" w:rsidR="00E91C71" w:rsidRDefault="00E91C71" w:rsidP="00896E18">
      <w:pPr>
        <w:widowControl/>
        <w:autoSpaceDE w:val="0"/>
        <w:autoSpaceDN w:val="0"/>
        <w:adjustRightInd w:val="0"/>
        <w:rPr>
          <w:rFonts w:ascii="Times New Roman" w:hAnsi="Times New Roman" w:cs="Times New Roman"/>
          <w:color w:val="000000"/>
          <w:sz w:val="24"/>
          <w:szCs w:val="24"/>
        </w:rPr>
      </w:pPr>
    </w:p>
    <w:p w14:paraId="50C3DAFF" w14:textId="7D1435C0" w:rsidR="00CD4397" w:rsidRPr="00CD4397" w:rsidRDefault="005907E5" w:rsidP="00896E18">
      <w:pPr>
        <w:widowControl/>
        <w:autoSpaceDE w:val="0"/>
        <w:autoSpaceDN w:val="0"/>
        <w:adjustRightInd w:val="0"/>
        <w:rPr>
          <w:rFonts w:ascii="Times New Roman" w:hAnsi="Times New Roman" w:cs="Times New Roman"/>
          <w:color w:val="000000"/>
          <w:sz w:val="24"/>
          <w:szCs w:val="24"/>
        </w:rPr>
      </w:pPr>
      <w:r w:rsidRPr="001C7B20">
        <w:rPr>
          <w:rFonts w:ascii="Times New Roman" w:hAnsi="Times New Roman" w:cs="Times New Roman"/>
          <w:b/>
          <w:color w:val="000000"/>
          <w:sz w:val="24"/>
          <w:szCs w:val="24"/>
        </w:rPr>
        <w:t>Question 1</w:t>
      </w:r>
      <w:r w:rsidR="00CD4397" w:rsidRPr="001C7B20">
        <w:rPr>
          <w:rFonts w:ascii="Times New Roman" w:hAnsi="Times New Roman" w:cs="Times New Roman"/>
          <w:b/>
          <w:color w:val="000000"/>
          <w:sz w:val="24"/>
          <w:szCs w:val="24"/>
        </w:rPr>
        <w:t>b.</w:t>
      </w:r>
      <w:r w:rsidR="00CD4397" w:rsidRPr="00CD4397">
        <w:rPr>
          <w:rFonts w:ascii="Times New Roman" w:hAnsi="Times New Roman" w:cs="Times New Roman"/>
          <w:color w:val="000000"/>
          <w:sz w:val="24"/>
          <w:szCs w:val="24"/>
        </w:rPr>
        <w:t xml:space="preserve"> Please show in excel spreadsheet how the cost of the 25kVA transformer, the number of customers estimated to be served this transformer for each demand range in question 1a and all other costs are used to derive the per customer transformer cost for each demand range used to estimate marginal customer costs. To the extent that the final unit costs of the transformer form these invoices does not match the ones estimated for use in computing SDG&amp;E’s marginal customer costs, please explain. </w:t>
      </w:r>
    </w:p>
    <w:p w14:paraId="04B5501E" w14:textId="5445DE90" w:rsidR="00CD4397" w:rsidRDefault="00CD4397" w:rsidP="00FB43F4">
      <w:pPr>
        <w:widowControl/>
        <w:autoSpaceDE w:val="0"/>
        <w:autoSpaceDN w:val="0"/>
        <w:adjustRightInd w:val="0"/>
        <w:rPr>
          <w:rFonts w:ascii="Times New Roman" w:hAnsi="Times New Roman" w:cs="Times New Roman"/>
          <w:color w:val="000000"/>
          <w:sz w:val="24"/>
          <w:szCs w:val="24"/>
        </w:rPr>
      </w:pPr>
    </w:p>
    <w:p w14:paraId="0AFA30E1" w14:textId="53CF704A" w:rsidR="005907E5" w:rsidRDefault="00FB43F4" w:rsidP="00FB43F4">
      <w:pPr>
        <w:widowControl/>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SDG&amp;E Response</w:t>
      </w:r>
      <w:r w:rsidR="005907E5">
        <w:rPr>
          <w:rFonts w:ascii="Times New Roman" w:hAnsi="Times New Roman" w:cs="Times New Roman"/>
          <w:b/>
          <w:color w:val="000000"/>
          <w:sz w:val="24"/>
          <w:szCs w:val="24"/>
        </w:rPr>
        <w:t xml:space="preserve"> to Question 1b</w:t>
      </w:r>
      <w:r>
        <w:rPr>
          <w:rFonts w:ascii="Times New Roman" w:hAnsi="Times New Roman" w:cs="Times New Roman"/>
          <w:b/>
          <w:color w:val="000000"/>
          <w:sz w:val="24"/>
          <w:szCs w:val="24"/>
        </w:rPr>
        <w:t>:</w:t>
      </w:r>
    </w:p>
    <w:p w14:paraId="04B90761" w14:textId="77777777" w:rsidR="005907E5" w:rsidRPr="00CD4397" w:rsidRDefault="005907E5" w:rsidP="00FB43F4">
      <w:pPr>
        <w:widowControl/>
        <w:autoSpaceDE w:val="0"/>
        <w:autoSpaceDN w:val="0"/>
        <w:adjustRightInd w:val="0"/>
        <w:rPr>
          <w:rFonts w:ascii="Times New Roman" w:hAnsi="Times New Roman" w:cs="Times New Roman"/>
          <w:b/>
          <w:color w:val="000000"/>
          <w:sz w:val="24"/>
          <w:szCs w:val="24"/>
        </w:rPr>
      </w:pPr>
    </w:p>
    <w:p w14:paraId="37971078" w14:textId="0885D845" w:rsidR="00E91C71" w:rsidRPr="001C7B20" w:rsidRDefault="00DC147C" w:rsidP="001C7B20">
      <w:pPr>
        <w:widowControl/>
        <w:autoSpaceDE w:val="0"/>
        <w:autoSpaceDN w:val="0"/>
        <w:adjustRightInd w:val="0"/>
        <w:rPr>
          <w:rFonts w:ascii="Times New Roman" w:hAnsi="Times New Roman" w:cs="Times New Roman"/>
          <w:color w:val="000000"/>
          <w:sz w:val="24"/>
          <w:szCs w:val="24"/>
        </w:rPr>
      </w:pPr>
      <w:r w:rsidRPr="001C7B20">
        <w:rPr>
          <w:rFonts w:ascii="Times New Roman" w:hAnsi="Times New Roman" w:cs="Times New Roman"/>
          <w:color w:val="000000"/>
          <w:sz w:val="24"/>
          <w:szCs w:val="24"/>
        </w:rPr>
        <w:t>Please see the response to</w:t>
      </w:r>
      <w:r w:rsidR="005907E5" w:rsidRPr="001C7B20">
        <w:rPr>
          <w:rFonts w:ascii="Times New Roman" w:hAnsi="Times New Roman" w:cs="Times New Roman"/>
          <w:color w:val="000000"/>
          <w:sz w:val="24"/>
          <w:szCs w:val="24"/>
        </w:rPr>
        <w:t xml:space="preserve"> </w:t>
      </w:r>
      <w:r w:rsidR="00B342C2" w:rsidRPr="001C7B20">
        <w:rPr>
          <w:rFonts w:ascii="Times New Roman" w:hAnsi="Times New Roman" w:cs="Times New Roman"/>
          <w:color w:val="000000"/>
          <w:sz w:val="24"/>
          <w:szCs w:val="24"/>
        </w:rPr>
        <w:t xml:space="preserve">Question </w:t>
      </w:r>
      <w:r w:rsidRPr="001C7B20">
        <w:rPr>
          <w:rFonts w:ascii="Times New Roman" w:hAnsi="Times New Roman" w:cs="Times New Roman"/>
          <w:color w:val="000000"/>
          <w:sz w:val="24"/>
          <w:szCs w:val="24"/>
        </w:rPr>
        <w:t>1 above.</w:t>
      </w:r>
    </w:p>
    <w:p w14:paraId="288A0107" w14:textId="77777777" w:rsidR="00C7087E" w:rsidRPr="00CD4397" w:rsidRDefault="00C7087E" w:rsidP="00FB43F4">
      <w:pPr>
        <w:widowControl/>
        <w:autoSpaceDE w:val="0"/>
        <w:autoSpaceDN w:val="0"/>
        <w:adjustRightInd w:val="0"/>
        <w:rPr>
          <w:rFonts w:ascii="Times New Roman" w:hAnsi="Times New Roman" w:cs="Times New Roman"/>
          <w:color w:val="000000"/>
          <w:sz w:val="24"/>
          <w:szCs w:val="24"/>
        </w:rPr>
      </w:pPr>
    </w:p>
    <w:p w14:paraId="3ACF3C75" w14:textId="77777777" w:rsidR="00CD4397" w:rsidRPr="00CD4397" w:rsidRDefault="00CD4397" w:rsidP="00CD4397">
      <w:pPr>
        <w:widowControl/>
        <w:autoSpaceDE w:val="0"/>
        <w:autoSpaceDN w:val="0"/>
        <w:adjustRightInd w:val="0"/>
        <w:rPr>
          <w:rFonts w:ascii="Times New Roman" w:hAnsi="Times New Roman" w:cs="Times New Roman"/>
          <w:color w:val="000000"/>
          <w:sz w:val="24"/>
          <w:szCs w:val="24"/>
        </w:rPr>
      </w:pPr>
    </w:p>
    <w:p w14:paraId="3B4F18C4" w14:textId="4FFB82BB" w:rsidR="00CD4397" w:rsidRDefault="005907E5" w:rsidP="00CD4397">
      <w:pPr>
        <w:widowControl/>
        <w:autoSpaceDE w:val="0"/>
        <w:autoSpaceDN w:val="0"/>
        <w:adjustRightInd w:val="0"/>
        <w:rPr>
          <w:rFonts w:ascii="Times New Roman" w:hAnsi="Times New Roman" w:cs="Times New Roman"/>
          <w:color w:val="000000"/>
          <w:sz w:val="24"/>
          <w:szCs w:val="24"/>
        </w:rPr>
      </w:pPr>
      <w:r w:rsidRPr="001C7B20">
        <w:rPr>
          <w:rFonts w:ascii="Times New Roman" w:hAnsi="Times New Roman" w:cs="Times New Roman"/>
          <w:b/>
          <w:color w:val="000000"/>
          <w:sz w:val="24"/>
          <w:szCs w:val="24"/>
        </w:rPr>
        <w:t xml:space="preserve">Question </w:t>
      </w:r>
      <w:r w:rsidR="00CD4397" w:rsidRPr="001C7B20">
        <w:rPr>
          <w:rFonts w:ascii="Times New Roman" w:hAnsi="Times New Roman" w:cs="Times New Roman"/>
          <w:b/>
          <w:color w:val="000000"/>
          <w:sz w:val="24"/>
          <w:szCs w:val="24"/>
        </w:rPr>
        <w:t>2</w:t>
      </w:r>
      <w:r w:rsidR="00CD4397" w:rsidRPr="00CD4397">
        <w:rPr>
          <w:rFonts w:ascii="Times New Roman" w:hAnsi="Times New Roman" w:cs="Times New Roman"/>
          <w:color w:val="000000"/>
          <w:sz w:val="24"/>
          <w:szCs w:val="24"/>
        </w:rPr>
        <w:t xml:space="preserve">. Please provide 30 recent invoices of SmartMeters SDG&amp;E uses to service new residential connections. Please also provide invoices for any labor, transport costs, and additional equipment costs involved in installing this SmartMeter. Please also provide estimates for any overhead costs associated with procuring and installing this equipment. If no invoice is available for the latter, please provide the methodology for determining the overhead costs. Please record the prices on the invoice, the date, and the equipment the invoice covers in an excel spreadsheet. If more than 30 invoices exist one category of costs, please provide a random sample of 30 data points. If fewer than 30 invoices exist, please provide them all. </w:t>
      </w:r>
    </w:p>
    <w:p w14:paraId="7ED32934" w14:textId="05E0B7F7" w:rsidR="005907E5" w:rsidRDefault="005907E5" w:rsidP="00CD4397">
      <w:pPr>
        <w:widowControl/>
        <w:autoSpaceDE w:val="0"/>
        <w:autoSpaceDN w:val="0"/>
        <w:adjustRightInd w:val="0"/>
        <w:rPr>
          <w:rFonts w:ascii="Times New Roman" w:hAnsi="Times New Roman" w:cs="Times New Roman"/>
          <w:color w:val="000000"/>
          <w:sz w:val="24"/>
          <w:szCs w:val="24"/>
        </w:rPr>
      </w:pPr>
    </w:p>
    <w:p w14:paraId="18FE2CD0" w14:textId="32FBD3C9" w:rsidR="005907E5" w:rsidRDefault="005907E5" w:rsidP="001C7B20">
      <w:pPr>
        <w:autoSpaceDE w:val="0"/>
        <w:autoSpaceDN w:val="0"/>
        <w:rPr>
          <w:rFonts w:ascii="Times New Roman" w:hAnsi="Times New Roman" w:cs="Times New Roman"/>
          <w:color w:val="000000"/>
          <w:sz w:val="24"/>
          <w:szCs w:val="24"/>
        </w:rPr>
      </w:pPr>
      <w:r w:rsidRPr="00CD4397">
        <w:rPr>
          <w:rFonts w:ascii="Times New Roman" w:hAnsi="Times New Roman" w:cs="Times New Roman"/>
          <w:color w:val="000000"/>
          <w:sz w:val="24"/>
          <w:szCs w:val="24"/>
        </w:rPr>
        <w:t xml:space="preserve">To the extent that the final unit costs of the SmartMeter from these invoices does not match the ones estimated for use in computing SDG&amp;E’s marginal customer costs, please explain. </w:t>
      </w:r>
    </w:p>
    <w:p w14:paraId="6721A647" w14:textId="10F4F24C" w:rsidR="00FB43F4" w:rsidRDefault="00FB43F4" w:rsidP="00CD4397">
      <w:pPr>
        <w:widowControl/>
        <w:autoSpaceDE w:val="0"/>
        <w:autoSpaceDN w:val="0"/>
        <w:adjustRightInd w:val="0"/>
        <w:rPr>
          <w:rFonts w:ascii="Times New Roman" w:hAnsi="Times New Roman" w:cs="Times New Roman"/>
          <w:color w:val="000000"/>
          <w:sz w:val="24"/>
          <w:szCs w:val="24"/>
        </w:rPr>
      </w:pPr>
    </w:p>
    <w:p w14:paraId="3E2A78A7" w14:textId="72B8B89A" w:rsidR="00FB43F4" w:rsidRPr="00CD4397" w:rsidRDefault="00FB43F4" w:rsidP="00FB43F4">
      <w:pPr>
        <w:widowControl/>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SDG&amp;E Response</w:t>
      </w:r>
      <w:r w:rsidR="005907E5">
        <w:rPr>
          <w:rFonts w:ascii="Times New Roman" w:hAnsi="Times New Roman" w:cs="Times New Roman"/>
          <w:b/>
          <w:color w:val="000000"/>
          <w:sz w:val="24"/>
          <w:szCs w:val="24"/>
        </w:rPr>
        <w:t xml:space="preserve"> to Question 2</w:t>
      </w:r>
      <w:r>
        <w:rPr>
          <w:rFonts w:ascii="Times New Roman" w:hAnsi="Times New Roman" w:cs="Times New Roman"/>
          <w:b/>
          <w:color w:val="000000"/>
          <w:sz w:val="24"/>
          <w:szCs w:val="24"/>
        </w:rPr>
        <w:t>:</w:t>
      </w:r>
    </w:p>
    <w:p w14:paraId="200014CB" w14:textId="77777777" w:rsidR="00FB43F4" w:rsidRPr="00CD4397" w:rsidRDefault="00FB43F4" w:rsidP="00CD4397">
      <w:pPr>
        <w:widowControl/>
        <w:autoSpaceDE w:val="0"/>
        <w:autoSpaceDN w:val="0"/>
        <w:adjustRightInd w:val="0"/>
        <w:rPr>
          <w:rFonts w:ascii="Times New Roman" w:hAnsi="Times New Roman" w:cs="Times New Roman"/>
          <w:color w:val="000000"/>
          <w:sz w:val="24"/>
          <w:szCs w:val="24"/>
        </w:rPr>
      </w:pPr>
    </w:p>
    <w:p w14:paraId="531218EA" w14:textId="2F52E535" w:rsidR="003F3BD8" w:rsidRDefault="00986325" w:rsidP="00986325">
      <w:pPr>
        <w:autoSpaceDE w:val="0"/>
        <w:autoSpaceDN w:val="0"/>
        <w:rPr>
          <w:rFonts w:ascii="Times New Roman" w:hAnsi="Times New Roman" w:cs="Times New Roman"/>
          <w:sz w:val="24"/>
          <w:szCs w:val="24"/>
        </w:rPr>
      </w:pPr>
      <w:r w:rsidRPr="00986325">
        <w:rPr>
          <w:rFonts w:ascii="Times New Roman" w:hAnsi="Times New Roman" w:cs="Times New Roman"/>
          <w:sz w:val="24"/>
          <w:szCs w:val="24"/>
        </w:rPr>
        <w:t>SDG&amp;E does not have invoices that identify the costs of installing specific Smart Meters.</w:t>
      </w:r>
      <w:r w:rsidR="001B1B63">
        <w:rPr>
          <w:rFonts w:ascii="Times New Roman" w:hAnsi="Times New Roman" w:cs="Times New Roman"/>
          <w:sz w:val="24"/>
          <w:szCs w:val="24"/>
        </w:rPr>
        <w:t xml:space="preserve"> </w:t>
      </w:r>
      <w:r w:rsidRPr="00986325">
        <w:rPr>
          <w:rFonts w:ascii="Times New Roman" w:hAnsi="Times New Roman" w:cs="Times New Roman"/>
          <w:sz w:val="24"/>
          <w:szCs w:val="24"/>
        </w:rPr>
        <w:t>Consistent with the marginal meter costs proposed in SDG&amp;E’s 2019 GRC Phase 2 proceeding</w:t>
      </w:r>
      <w:r w:rsidR="001B2A71">
        <w:rPr>
          <w:rFonts w:ascii="Times New Roman" w:hAnsi="Times New Roman" w:cs="Times New Roman"/>
          <w:sz w:val="24"/>
          <w:szCs w:val="24"/>
        </w:rPr>
        <w:t>,</w:t>
      </w:r>
      <w:r w:rsidRPr="00986325">
        <w:rPr>
          <w:rFonts w:ascii="Times New Roman" w:hAnsi="Times New Roman" w:cs="Times New Roman"/>
          <w:sz w:val="24"/>
          <w:szCs w:val="24"/>
        </w:rPr>
        <w:t xml:space="preserve"> the cost to install a Smart Meter is based on recent purchased prices of Smart Meters and the costs to install </w:t>
      </w:r>
      <w:r w:rsidRPr="00986325">
        <w:rPr>
          <w:rFonts w:ascii="Times New Roman" w:hAnsi="Times New Roman" w:cs="Times New Roman"/>
          <w:sz w:val="24"/>
          <w:szCs w:val="24"/>
        </w:rPr>
        <w:lastRenderedPageBreak/>
        <w:t xml:space="preserve">Smart Meters based on labor and overhead costs at that point in time. For this reason, the invoices requested with a detailed breakdown of the costs to install specific Smart Meters </w:t>
      </w:r>
      <w:r w:rsidR="002D482C">
        <w:rPr>
          <w:rFonts w:ascii="Times New Roman" w:hAnsi="Times New Roman" w:cs="Times New Roman"/>
          <w:sz w:val="24"/>
          <w:szCs w:val="24"/>
        </w:rPr>
        <w:t>are</w:t>
      </w:r>
      <w:r w:rsidR="002D482C" w:rsidRPr="00986325">
        <w:rPr>
          <w:rFonts w:ascii="Times New Roman" w:hAnsi="Times New Roman" w:cs="Times New Roman"/>
          <w:sz w:val="24"/>
          <w:szCs w:val="24"/>
        </w:rPr>
        <w:t xml:space="preserve"> </w:t>
      </w:r>
      <w:r w:rsidRPr="00986325">
        <w:rPr>
          <w:rFonts w:ascii="Times New Roman" w:hAnsi="Times New Roman" w:cs="Times New Roman"/>
          <w:sz w:val="24"/>
          <w:szCs w:val="24"/>
        </w:rPr>
        <w:t>not available.</w:t>
      </w:r>
    </w:p>
    <w:p w14:paraId="13C5A173" w14:textId="77777777" w:rsidR="003F3BD8" w:rsidRDefault="003F3BD8" w:rsidP="00986325">
      <w:pPr>
        <w:autoSpaceDE w:val="0"/>
        <w:autoSpaceDN w:val="0"/>
        <w:rPr>
          <w:rFonts w:ascii="Times New Roman" w:hAnsi="Times New Roman" w:cs="Times New Roman"/>
          <w:sz w:val="24"/>
          <w:szCs w:val="24"/>
        </w:rPr>
      </w:pPr>
    </w:p>
    <w:p w14:paraId="0A48DF1C" w14:textId="51322318" w:rsidR="005907E5" w:rsidRDefault="003F3BD8" w:rsidP="00986325">
      <w:pPr>
        <w:autoSpaceDE w:val="0"/>
        <w:autoSpaceDN w:val="0"/>
        <w:rPr>
          <w:rFonts w:ascii="Times New Roman" w:hAnsi="Times New Roman" w:cs="Times New Roman"/>
          <w:color w:val="000000"/>
          <w:sz w:val="24"/>
          <w:szCs w:val="24"/>
        </w:rPr>
      </w:pPr>
      <w:r>
        <w:rPr>
          <w:rFonts w:ascii="Times New Roman" w:hAnsi="Times New Roman" w:cs="Times New Roman"/>
          <w:sz w:val="24"/>
          <w:szCs w:val="24"/>
        </w:rPr>
        <w:t xml:space="preserve">As explained in the </w:t>
      </w:r>
      <w:r w:rsidR="005741D3">
        <w:rPr>
          <w:rFonts w:ascii="Times New Roman" w:hAnsi="Times New Roman" w:cs="Times New Roman"/>
          <w:sz w:val="24"/>
          <w:szCs w:val="24"/>
        </w:rPr>
        <w:t xml:space="preserve">SDG&amp;E </w:t>
      </w:r>
      <w:r>
        <w:rPr>
          <w:rFonts w:ascii="Times New Roman" w:hAnsi="Times New Roman" w:cs="Times New Roman"/>
          <w:sz w:val="24"/>
          <w:szCs w:val="24"/>
        </w:rPr>
        <w:t>2019 GRC Phase 2 Prepared Direct Testimony of William G. Saxe, the meter costs are based on cost to install meter</w:t>
      </w:r>
      <w:r w:rsidR="0077098C">
        <w:rPr>
          <w:rFonts w:ascii="Times New Roman" w:hAnsi="Times New Roman" w:cs="Times New Roman"/>
          <w:sz w:val="24"/>
          <w:szCs w:val="24"/>
        </w:rPr>
        <w:t>s</w:t>
      </w:r>
      <w:r>
        <w:rPr>
          <w:rFonts w:ascii="Times New Roman" w:hAnsi="Times New Roman" w:cs="Times New Roman"/>
          <w:sz w:val="24"/>
          <w:szCs w:val="24"/>
        </w:rPr>
        <w:t xml:space="preserve"> </w:t>
      </w:r>
      <w:r w:rsidR="0077098C">
        <w:rPr>
          <w:rFonts w:ascii="Times New Roman" w:hAnsi="Times New Roman" w:cs="Times New Roman"/>
          <w:sz w:val="24"/>
          <w:szCs w:val="24"/>
        </w:rPr>
        <w:t xml:space="preserve">to serve customers of a particular size </w:t>
      </w:r>
      <w:r w:rsidR="00BF7E8B">
        <w:rPr>
          <w:rFonts w:ascii="Times New Roman" w:hAnsi="Times New Roman" w:cs="Times New Roman"/>
          <w:sz w:val="24"/>
          <w:szCs w:val="24"/>
        </w:rPr>
        <w:t>and type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w:t>
      </w:r>
      <w:r w:rsidR="00BF7E8B">
        <w:rPr>
          <w:rFonts w:ascii="Times New Roman" w:hAnsi="Times New Roman" w:cs="Times New Roman"/>
          <w:sz w:val="24"/>
          <w:szCs w:val="24"/>
        </w:rPr>
        <w:t xml:space="preserve">meter </w:t>
      </w:r>
      <w:r>
        <w:rPr>
          <w:rFonts w:ascii="Times New Roman" w:hAnsi="Times New Roman" w:cs="Times New Roman"/>
          <w:sz w:val="24"/>
          <w:szCs w:val="24"/>
        </w:rPr>
        <w:t>costs reflect the SDG&amp;E costs at th</w:t>
      </w:r>
      <w:r w:rsidR="00BF7E8B">
        <w:rPr>
          <w:rFonts w:ascii="Times New Roman" w:hAnsi="Times New Roman" w:cs="Times New Roman"/>
          <w:sz w:val="24"/>
          <w:szCs w:val="24"/>
        </w:rPr>
        <w:t>e</w:t>
      </w:r>
      <w:r>
        <w:rPr>
          <w:rFonts w:ascii="Times New Roman" w:hAnsi="Times New Roman" w:cs="Times New Roman"/>
          <w:sz w:val="24"/>
          <w:szCs w:val="24"/>
        </w:rPr>
        <w:t xml:space="preserve"> given point in time when the marginal distribution customer costs were being developed for the 2019 GRC Phase 2 proceeding. Likewise, the overhead costs associated with installing the </w:t>
      </w:r>
      <w:r w:rsidR="00BF7E8B">
        <w:rPr>
          <w:rFonts w:ascii="Times New Roman" w:hAnsi="Times New Roman" w:cs="Times New Roman"/>
          <w:sz w:val="24"/>
          <w:szCs w:val="24"/>
        </w:rPr>
        <w:t xml:space="preserve">meters </w:t>
      </w:r>
      <w:r>
        <w:rPr>
          <w:rFonts w:ascii="Times New Roman" w:hAnsi="Times New Roman" w:cs="Times New Roman"/>
          <w:sz w:val="24"/>
          <w:szCs w:val="24"/>
        </w:rPr>
        <w:t xml:space="preserve">consisting of overhead costs for </w:t>
      </w:r>
      <w:r w:rsidR="00BC3D4A">
        <w:rPr>
          <w:rFonts w:ascii="Times New Roman" w:hAnsi="Times New Roman" w:cs="Times New Roman"/>
          <w:sz w:val="24"/>
          <w:szCs w:val="24"/>
        </w:rPr>
        <w:t>Purchasing &amp; Warehouse, Exempt Material, Transportation &amp; Yard, Local Engineering, Administration &amp; General, and Indirect Labor costs</w:t>
      </w:r>
      <w:r>
        <w:rPr>
          <w:rFonts w:ascii="Times New Roman" w:hAnsi="Times New Roman" w:cs="Times New Roman"/>
          <w:sz w:val="24"/>
          <w:szCs w:val="24"/>
        </w:rPr>
        <w:t xml:space="preserve"> reflect SDG&amp;E</w:t>
      </w:r>
      <w:r w:rsidR="00F02BE1">
        <w:rPr>
          <w:rFonts w:ascii="Times New Roman" w:hAnsi="Times New Roman" w:cs="Times New Roman"/>
          <w:sz w:val="24"/>
          <w:szCs w:val="24"/>
        </w:rPr>
        <w:t>’s</w:t>
      </w:r>
      <w:r>
        <w:rPr>
          <w:rFonts w:ascii="Times New Roman" w:hAnsi="Times New Roman" w:cs="Times New Roman"/>
          <w:sz w:val="24"/>
          <w:szCs w:val="24"/>
        </w:rPr>
        <w:t xml:space="preserve"> overhead costs</w:t>
      </w:r>
      <w:r w:rsidR="00F02BE1">
        <w:rPr>
          <w:rFonts w:ascii="Times New Roman" w:hAnsi="Times New Roman" w:cs="Times New Roman"/>
          <w:sz w:val="24"/>
          <w:szCs w:val="24"/>
        </w:rPr>
        <w:t xml:space="preserve"> as of April 2017</w:t>
      </w:r>
      <w:r>
        <w:rPr>
          <w:rFonts w:ascii="Times New Roman" w:hAnsi="Times New Roman" w:cs="Times New Roman"/>
          <w:sz w:val="24"/>
          <w:szCs w:val="24"/>
        </w:rPr>
        <w:t>.</w:t>
      </w:r>
      <w:r w:rsidR="00986325">
        <w:rPr>
          <w:rFonts w:ascii="Times New Roman" w:hAnsi="Times New Roman" w:cs="Times New Roman"/>
          <w:sz w:val="24"/>
          <w:szCs w:val="24"/>
        </w:rPr>
        <w:t> </w:t>
      </w:r>
    </w:p>
    <w:p w14:paraId="5942505E" w14:textId="77777777" w:rsidR="005907E5" w:rsidRDefault="005907E5" w:rsidP="00986325">
      <w:pPr>
        <w:autoSpaceDE w:val="0"/>
        <w:autoSpaceDN w:val="0"/>
        <w:rPr>
          <w:rFonts w:ascii="Times New Roman" w:hAnsi="Times New Roman" w:cs="Times New Roman"/>
          <w:b/>
          <w:bCs/>
          <w:color w:val="000000"/>
          <w:sz w:val="24"/>
          <w:szCs w:val="24"/>
        </w:rPr>
      </w:pPr>
    </w:p>
    <w:p w14:paraId="14C6C2F3" w14:textId="77777777" w:rsidR="00896E18" w:rsidRDefault="00896E18" w:rsidP="001C7B20">
      <w:pPr>
        <w:widowControl/>
        <w:autoSpaceDE w:val="0"/>
        <w:autoSpaceDN w:val="0"/>
        <w:adjustRightInd w:val="0"/>
        <w:rPr>
          <w:rFonts w:ascii="Times New Roman" w:hAnsi="Times New Roman" w:cs="Times New Roman"/>
          <w:color w:val="000000"/>
          <w:sz w:val="24"/>
          <w:szCs w:val="24"/>
        </w:rPr>
      </w:pPr>
    </w:p>
    <w:p w14:paraId="62786E37" w14:textId="77777777" w:rsidR="00181402" w:rsidRDefault="00181402" w:rsidP="00CD4397">
      <w:pPr>
        <w:widowControl/>
        <w:numPr>
          <w:ilvl w:val="1"/>
          <w:numId w:val="14"/>
        </w:numPr>
        <w:autoSpaceDE w:val="0"/>
        <w:autoSpaceDN w:val="0"/>
        <w:adjustRightInd w:val="0"/>
        <w:rPr>
          <w:rFonts w:ascii="Times New Roman" w:hAnsi="Times New Roman" w:cs="Times New Roman"/>
          <w:color w:val="000000"/>
          <w:sz w:val="24"/>
          <w:szCs w:val="24"/>
        </w:rPr>
      </w:pPr>
      <w:r w:rsidRPr="001C7B20">
        <w:rPr>
          <w:rFonts w:ascii="Times New Roman" w:hAnsi="Times New Roman" w:cs="Times New Roman"/>
          <w:b/>
          <w:color w:val="000000"/>
          <w:sz w:val="24"/>
          <w:szCs w:val="24"/>
        </w:rPr>
        <w:t xml:space="preserve">Question </w:t>
      </w:r>
      <w:r w:rsidR="00CD4397" w:rsidRPr="001C7B20">
        <w:rPr>
          <w:rFonts w:ascii="Times New Roman" w:hAnsi="Times New Roman" w:cs="Times New Roman"/>
          <w:b/>
          <w:color w:val="000000"/>
          <w:sz w:val="24"/>
          <w:szCs w:val="24"/>
        </w:rPr>
        <w:t>3.</w:t>
      </w:r>
      <w:r w:rsidR="00CD4397" w:rsidRPr="00CD4397">
        <w:rPr>
          <w:rFonts w:ascii="Times New Roman" w:hAnsi="Times New Roman" w:cs="Times New Roman"/>
          <w:color w:val="000000"/>
          <w:sz w:val="24"/>
          <w:szCs w:val="24"/>
        </w:rPr>
        <w:t xml:space="preserve"> With regards to transformers serving both residential and non-residential customers; </w:t>
      </w:r>
    </w:p>
    <w:p w14:paraId="61206AA5" w14:textId="77777777" w:rsidR="00181402" w:rsidRDefault="00181402" w:rsidP="00CD4397">
      <w:pPr>
        <w:widowControl/>
        <w:numPr>
          <w:ilvl w:val="1"/>
          <w:numId w:val="14"/>
        </w:numPr>
        <w:autoSpaceDE w:val="0"/>
        <w:autoSpaceDN w:val="0"/>
        <w:adjustRightInd w:val="0"/>
        <w:rPr>
          <w:rFonts w:ascii="Times New Roman" w:hAnsi="Times New Roman" w:cs="Times New Roman"/>
          <w:color w:val="000000"/>
          <w:sz w:val="24"/>
          <w:szCs w:val="24"/>
        </w:rPr>
      </w:pPr>
    </w:p>
    <w:p w14:paraId="18A7C776" w14:textId="13FBC1FD" w:rsidR="00CD4397" w:rsidRPr="00CD4397" w:rsidRDefault="00181402" w:rsidP="00CD4397">
      <w:pPr>
        <w:widowControl/>
        <w:numPr>
          <w:ilvl w:val="1"/>
          <w:numId w:val="14"/>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ab/>
      </w:r>
      <w:r w:rsidRPr="001C7B20">
        <w:rPr>
          <w:rFonts w:ascii="Times New Roman" w:hAnsi="Times New Roman" w:cs="Times New Roman"/>
          <w:b/>
          <w:color w:val="000000"/>
          <w:sz w:val="24"/>
          <w:szCs w:val="24"/>
        </w:rPr>
        <w:t>Question 3</w:t>
      </w:r>
      <w:r w:rsidR="00CD4397" w:rsidRPr="001C7B20">
        <w:rPr>
          <w:rFonts w:ascii="Times New Roman" w:hAnsi="Times New Roman" w:cs="Times New Roman"/>
          <w:b/>
          <w:color w:val="000000"/>
          <w:sz w:val="24"/>
          <w:szCs w:val="24"/>
        </w:rPr>
        <w:t>a.</w:t>
      </w:r>
      <w:r w:rsidR="00CD4397" w:rsidRPr="00CD4397">
        <w:rPr>
          <w:rFonts w:ascii="Times New Roman" w:hAnsi="Times New Roman" w:cs="Times New Roman"/>
          <w:color w:val="000000"/>
          <w:sz w:val="24"/>
          <w:szCs w:val="24"/>
        </w:rPr>
        <w:t xml:space="preserve"> Does SDG&amp;E determine the size of the transformer required based on the </w:t>
      </w:r>
      <w:r>
        <w:rPr>
          <w:rFonts w:ascii="Times New Roman" w:hAnsi="Times New Roman" w:cs="Times New Roman"/>
          <w:color w:val="000000"/>
          <w:sz w:val="24"/>
          <w:szCs w:val="24"/>
        </w:rPr>
        <w:tab/>
      </w:r>
      <w:r w:rsidR="00CD4397" w:rsidRPr="00CD4397">
        <w:rPr>
          <w:rFonts w:ascii="Times New Roman" w:hAnsi="Times New Roman" w:cs="Times New Roman"/>
          <w:color w:val="000000"/>
          <w:sz w:val="24"/>
          <w:szCs w:val="24"/>
        </w:rPr>
        <w:t xml:space="preserve">combined non-coincident demands of non-residential and residential customers that would </w:t>
      </w:r>
      <w:r>
        <w:rPr>
          <w:rFonts w:ascii="Times New Roman" w:hAnsi="Times New Roman" w:cs="Times New Roman"/>
          <w:color w:val="000000"/>
          <w:sz w:val="24"/>
          <w:szCs w:val="24"/>
        </w:rPr>
        <w:tab/>
      </w:r>
      <w:r w:rsidR="00CD4397" w:rsidRPr="00CD4397">
        <w:rPr>
          <w:rFonts w:ascii="Times New Roman" w:hAnsi="Times New Roman" w:cs="Times New Roman"/>
          <w:color w:val="000000"/>
          <w:sz w:val="24"/>
          <w:szCs w:val="24"/>
        </w:rPr>
        <w:t xml:space="preserve">take service on the transformer? </w:t>
      </w:r>
    </w:p>
    <w:p w14:paraId="779BA8EB" w14:textId="0E0FC039" w:rsidR="00CD4397" w:rsidRDefault="00181402" w:rsidP="00CD4397">
      <w:pPr>
        <w:widowControl/>
        <w:numPr>
          <w:ilvl w:val="1"/>
          <w:numId w:val="14"/>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ab/>
      </w:r>
      <w:r w:rsidRPr="001C7B20">
        <w:rPr>
          <w:rFonts w:ascii="Times New Roman" w:hAnsi="Times New Roman" w:cs="Times New Roman"/>
          <w:b/>
          <w:color w:val="000000"/>
          <w:sz w:val="24"/>
          <w:szCs w:val="24"/>
        </w:rPr>
        <w:t>Question 3</w:t>
      </w:r>
      <w:r w:rsidR="00CD4397" w:rsidRPr="001C7B20">
        <w:rPr>
          <w:rFonts w:ascii="Times New Roman" w:hAnsi="Times New Roman" w:cs="Times New Roman"/>
          <w:b/>
          <w:color w:val="000000"/>
          <w:sz w:val="24"/>
          <w:szCs w:val="24"/>
        </w:rPr>
        <w:t>b.</w:t>
      </w:r>
      <w:r w:rsidR="00CD4397" w:rsidRPr="00CD4397">
        <w:rPr>
          <w:rFonts w:ascii="Times New Roman" w:hAnsi="Times New Roman" w:cs="Times New Roman"/>
          <w:color w:val="000000"/>
          <w:sz w:val="24"/>
          <w:szCs w:val="24"/>
        </w:rPr>
        <w:t xml:space="preserve"> Does SDG&amp;E account for some load diversity between the two classes to </w:t>
      </w:r>
      <w:r>
        <w:rPr>
          <w:rFonts w:ascii="Times New Roman" w:hAnsi="Times New Roman" w:cs="Times New Roman"/>
          <w:color w:val="000000"/>
          <w:sz w:val="24"/>
          <w:szCs w:val="24"/>
        </w:rPr>
        <w:tab/>
      </w:r>
      <w:r w:rsidR="00CD4397" w:rsidRPr="00CD4397">
        <w:rPr>
          <w:rFonts w:ascii="Times New Roman" w:hAnsi="Times New Roman" w:cs="Times New Roman"/>
          <w:color w:val="000000"/>
          <w:sz w:val="24"/>
          <w:szCs w:val="24"/>
        </w:rPr>
        <w:t xml:space="preserve">determine transformer size? That is, does SDG&amp;E account for the fact that residential and </w:t>
      </w:r>
      <w:r>
        <w:rPr>
          <w:rFonts w:ascii="Times New Roman" w:hAnsi="Times New Roman" w:cs="Times New Roman"/>
          <w:color w:val="000000"/>
          <w:sz w:val="24"/>
          <w:szCs w:val="24"/>
        </w:rPr>
        <w:tab/>
      </w:r>
      <w:r w:rsidR="00CD4397" w:rsidRPr="00CD4397">
        <w:rPr>
          <w:rFonts w:ascii="Times New Roman" w:hAnsi="Times New Roman" w:cs="Times New Roman"/>
          <w:color w:val="000000"/>
          <w:sz w:val="24"/>
          <w:szCs w:val="24"/>
        </w:rPr>
        <w:t xml:space="preserve">commercial load profiles are different (for example, differences in timing of maximum </w:t>
      </w:r>
      <w:r>
        <w:rPr>
          <w:rFonts w:ascii="Times New Roman" w:hAnsi="Times New Roman" w:cs="Times New Roman"/>
          <w:color w:val="000000"/>
          <w:sz w:val="24"/>
          <w:szCs w:val="24"/>
        </w:rPr>
        <w:tab/>
      </w:r>
      <w:r w:rsidR="00CD4397" w:rsidRPr="00CD4397">
        <w:rPr>
          <w:rFonts w:ascii="Times New Roman" w:hAnsi="Times New Roman" w:cs="Times New Roman"/>
          <w:color w:val="000000"/>
          <w:sz w:val="24"/>
          <w:szCs w:val="24"/>
        </w:rPr>
        <w:t xml:space="preserve">demand between residential and non-residential customers on the same transformer)? </w:t>
      </w:r>
    </w:p>
    <w:p w14:paraId="27ACEF76" w14:textId="306B405C" w:rsidR="00FB43F4" w:rsidRDefault="00FB43F4" w:rsidP="00FB43F4">
      <w:pPr>
        <w:widowControl/>
        <w:autoSpaceDE w:val="0"/>
        <w:autoSpaceDN w:val="0"/>
        <w:adjustRightInd w:val="0"/>
        <w:rPr>
          <w:rFonts w:ascii="Times New Roman" w:hAnsi="Times New Roman" w:cs="Times New Roman"/>
          <w:color w:val="000000"/>
          <w:sz w:val="24"/>
          <w:szCs w:val="24"/>
        </w:rPr>
      </w:pPr>
    </w:p>
    <w:p w14:paraId="577A34E5" w14:textId="12799EAD" w:rsidR="00FB43F4" w:rsidRPr="00CD4397" w:rsidRDefault="00FB43F4" w:rsidP="00FB43F4">
      <w:pPr>
        <w:widowControl/>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SDG&amp;E Response</w:t>
      </w:r>
      <w:r w:rsidR="00312EA6">
        <w:rPr>
          <w:rFonts w:ascii="Times New Roman" w:hAnsi="Times New Roman" w:cs="Times New Roman"/>
          <w:b/>
          <w:color w:val="000000"/>
          <w:sz w:val="24"/>
          <w:szCs w:val="24"/>
        </w:rPr>
        <w:t xml:space="preserve"> to Question 3a and 3b</w:t>
      </w:r>
      <w:r>
        <w:rPr>
          <w:rFonts w:ascii="Times New Roman" w:hAnsi="Times New Roman" w:cs="Times New Roman"/>
          <w:b/>
          <w:color w:val="000000"/>
          <w:sz w:val="24"/>
          <w:szCs w:val="24"/>
        </w:rPr>
        <w:t>:</w:t>
      </w:r>
    </w:p>
    <w:p w14:paraId="1D90CFA2" w14:textId="77777777" w:rsidR="00FB43F4" w:rsidRDefault="00FB43F4" w:rsidP="00FB43F4">
      <w:pPr>
        <w:widowControl/>
        <w:autoSpaceDE w:val="0"/>
        <w:autoSpaceDN w:val="0"/>
        <w:adjustRightInd w:val="0"/>
        <w:rPr>
          <w:rFonts w:ascii="Times New Roman" w:hAnsi="Times New Roman" w:cs="Times New Roman"/>
          <w:color w:val="000000"/>
          <w:sz w:val="24"/>
          <w:szCs w:val="24"/>
        </w:rPr>
      </w:pPr>
    </w:p>
    <w:p w14:paraId="6AFDBFE1" w14:textId="0B7922F8" w:rsidR="00DD3A85" w:rsidRDefault="00D43885" w:rsidP="00DD3A85">
      <w:pPr>
        <w:pStyle w:val="ListParagraph"/>
        <w:widowControl/>
        <w:numPr>
          <w:ilvl w:val="0"/>
          <w:numId w:val="18"/>
        </w:numPr>
        <w:autoSpaceDE w:val="0"/>
        <w:autoSpaceDN w:val="0"/>
        <w:adjustRightInd w:val="0"/>
        <w:rPr>
          <w:rFonts w:ascii="Times New Roman" w:hAnsi="Times New Roman" w:cs="Times New Roman"/>
          <w:color w:val="000000"/>
          <w:sz w:val="24"/>
          <w:szCs w:val="24"/>
        </w:rPr>
      </w:pPr>
      <w:r w:rsidRPr="00D43885">
        <w:rPr>
          <w:rFonts w:ascii="Times New Roman" w:eastAsia="Times New Roman" w:hAnsi="Times New Roman" w:cs="Times New Roman"/>
          <w:sz w:val="24"/>
          <w:szCs w:val="24"/>
        </w:rPr>
        <w:t>Yes. SDG&amp;E sizes the transformer based on the residential diversified demand added to the estimated demand of the non-residential load.</w:t>
      </w:r>
      <w:r w:rsidRPr="00D43885">
        <w:rPr>
          <w:rFonts w:ascii="Times New Roman" w:eastAsia="Times New Roman" w:hAnsi="Times New Roman" w:cs="Times New Roman"/>
          <w:color w:val="FF0000"/>
          <w:sz w:val="24"/>
          <w:szCs w:val="24"/>
        </w:rPr>
        <w:t xml:space="preserve">  </w:t>
      </w:r>
    </w:p>
    <w:p w14:paraId="17E8DA2C" w14:textId="77777777" w:rsidR="00DD3A85" w:rsidRPr="00DD3A85" w:rsidRDefault="00DD3A85" w:rsidP="00DD3A85">
      <w:pPr>
        <w:pStyle w:val="ListParagraph"/>
        <w:widowControl/>
        <w:autoSpaceDE w:val="0"/>
        <w:autoSpaceDN w:val="0"/>
        <w:adjustRightInd w:val="0"/>
        <w:ind w:left="360"/>
        <w:rPr>
          <w:rFonts w:ascii="Times New Roman" w:hAnsi="Times New Roman" w:cs="Times New Roman"/>
          <w:color w:val="000000"/>
          <w:sz w:val="24"/>
          <w:szCs w:val="24"/>
        </w:rPr>
      </w:pPr>
    </w:p>
    <w:p w14:paraId="6B1DB404" w14:textId="0AA4318E" w:rsidR="0028402F" w:rsidRPr="0028402F" w:rsidRDefault="001D763E" w:rsidP="00DD3A85">
      <w:pPr>
        <w:pStyle w:val="ListParagraph"/>
        <w:widowControl/>
        <w:numPr>
          <w:ilvl w:val="0"/>
          <w:numId w:val="18"/>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Yes, if a transformer is being design</w:t>
      </w:r>
      <w:r w:rsidR="0025220F">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to serve both </w:t>
      </w:r>
      <w:r w:rsidR="00AC754C">
        <w:rPr>
          <w:rFonts w:ascii="Times New Roman" w:hAnsi="Times New Roman" w:cs="Times New Roman"/>
          <w:color w:val="000000"/>
          <w:sz w:val="24"/>
          <w:szCs w:val="24"/>
        </w:rPr>
        <w:t>non-residential and residential customers</w:t>
      </w:r>
      <w:r w:rsidR="00FA6736">
        <w:rPr>
          <w:rFonts w:ascii="Times New Roman" w:hAnsi="Times New Roman" w:cs="Times New Roman"/>
          <w:color w:val="000000"/>
          <w:sz w:val="24"/>
          <w:szCs w:val="24"/>
        </w:rPr>
        <w:t>,</w:t>
      </w:r>
      <w:r w:rsidR="00AC754C">
        <w:rPr>
          <w:rFonts w:ascii="Times New Roman" w:hAnsi="Times New Roman" w:cs="Times New Roman"/>
          <w:color w:val="000000"/>
          <w:sz w:val="24"/>
          <w:szCs w:val="24"/>
        </w:rPr>
        <w:t xml:space="preserve"> </w:t>
      </w:r>
      <w:r w:rsidR="00E56C91">
        <w:rPr>
          <w:rFonts w:ascii="Times New Roman" w:hAnsi="Times New Roman" w:cs="Times New Roman"/>
          <w:color w:val="000000"/>
          <w:sz w:val="24"/>
          <w:szCs w:val="24"/>
        </w:rPr>
        <w:t xml:space="preserve">the size of the transformer needed </w:t>
      </w:r>
      <w:r w:rsidR="0027530B">
        <w:rPr>
          <w:rFonts w:ascii="Times New Roman" w:hAnsi="Times New Roman" w:cs="Times New Roman"/>
          <w:color w:val="000000"/>
          <w:sz w:val="24"/>
          <w:szCs w:val="24"/>
        </w:rPr>
        <w:t>takes into consideration</w:t>
      </w:r>
      <w:r w:rsidR="00A13502">
        <w:rPr>
          <w:rFonts w:ascii="Times New Roman" w:hAnsi="Times New Roman" w:cs="Times New Roman"/>
          <w:color w:val="000000"/>
          <w:sz w:val="24"/>
          <w:szCs w:val="24"/>
        </w:rPr>
        <w:t xml:space="preserve"> </w:t>
      </w:r>
      <w:r w:rsidR="001A41B7">
        <w:rPr>
          <w:rFonts w:ascii="Times New Roman" w:hAnsi="Times New Roman" w:cs="Times New Roman"/>
          <w:color w:val="000000"/>
          <w:sz w:val="24"/>
          <w:szCs w:val="24"/>
        </w:rPr>
        <w:t xml:space="preserve">the </w:t>
      </w:r>
      <w:r w:rsidR="00E7573B">
        <w:rPr>
          <w:rFonts w:ascii="Times New Roman" w:hAnsi="Times New Roman" w:cs="Times New Roman"/>
          <w:color w:val="000000"/>
          <w:sz w:val="24"/>
          <w:szCs w:val="24"/>
        </w:rPr>
        <w:t xml:space="preserve">maximum demands </w:t>
      </w:r>
      <w:r w:rsidR="004E0034">
        <w:rPr>
          <w:rFonts w:ascii="Times New Roman" w:hAnsi="Times New Roman" w:cs="Times New Roman"/>
          <w:color w:val="000000"/>
          <w:sz w:val="24"/>
          <w:szCs w:val="24"/>
        </w:rPr>
        <w:t>of both the non-residential and residential customer that would be taking service on this transformer.</w:t>
      </w:r>
      <w:r w:rsidR="00DD3A85">
        <w:rPr>
          <w:rFonts w:ascii="Times New Roman" w:hAnsi="Times New Roman" w:cs="Times New Roman"/>
          <w:color w:val="000000"/>
          <w:sz w:val="24"/>
          <w:szCs w:val="24"/>
        </w:rPr>
        <w:t xml:space="preserve"> </w:t>
      </w:r>
      <w:r w:rsidR="0028402F" w:rsidRPr="008F4ADF">
        <w:rPr>
          <w:rFonts w:ascii="Times New Roman" w:eastAsia="Times New Roman" w:hAnsi="Times New Roman" w:cs="Times New Roman"/>
          <w:sz w:val="24"/>
          <w:szCs w:val="24"/>
        </w:rPr>
        <w:t>SDG&amp;E does not account for differences in residential and commercial load profiles when determining the transformer size. The present practice is to determine the residential load by using a diversity factor. The commercial load demand is then calculated based on building size and type of load. The two loads are then added together to determine the total load and the transformer size is determined based on the total.</w:t>
      </w:r>
    </w:p>
    <w:p w14:paraId="27F7D337" w14:textId="77777777" w:rsidR="0028402F" w:rsidRPr="0028402F" w:rsidRDefault="0028402F" w:rsidP="0028402F">
      <w:pPr>
        <w:widowControl/>
        <w:autoSpaceDE w:val="0"/>
        <w:autoSpaceDN w:val="0"/>
        <w:adjustRightInd w:val="0"/>
        <w:rPr>
          <w:rFonts w:ascii="Times New Roman" w:hAnsi="Times New Roman" w:cs="Times New Roman"/>
          <w:color w:val="000000"/>
          <w:sz w:val="24"/>
          <w:szCs w:val="24"/>
        </w:rPr>
      </w:pPr>
    </w:p>
    <w:p w14:paraId="10C5C23B" w14:textId="77777777" w:rsidR="00896E18" w:rsidRDefault="00896E18" w:rsidP="00CD4397">
      <w:pPr>
        <w:widowControl/>
        <w:numPr>
          <w:ilvl w:val="1"/>
          <w:numId w:val="14"/>
        </w:numPr>
        <w:autoSpaceDE w:val="0"/>
        <w:autoSpaceDN w:val="0"/>
        <w:adjustRightInd w:val="0"/>
        <w:rPr>
          <w:rFonts w:ascii="Times New Roman" w:hAnsi="Times New Roman" w:cs="Times New Roman"/>
          <w:color w:val="000000"/>
          <w:sz w:val="24"/>
          <w:szCs w:val="24"/>
        </w:rPr>
      </w:pPr>
    </w:p>
    <w:p w14:paraId="03AE706F" w14:textId="77777777" w:rsidR="008233C6" w:rsidRDefault="008233C6" w:rsidP="00CD4397">
      <w:pPr>
        <w:widowControl/>
        <w:numPr>
          <w:ilvl w:val="1"/>
          <w:numId w:val="14"/>
        </w:numPr>
        <w:autoSpaceDE w:val="0"/>
        <w:autoSpaceDN w:val="0"/>
        <w:adjustRightInd w:val="0"/>
        <w:rPr>
          <w:rFonts w:ascii="Times New Roman" w:hAnsi="Times New Roman" w:cs="Times New Roman"/>
          <w:color w:val="000000"/>
          <w:sz w:val="24"/>
          <w:szCs w:val="24"/>
        </w:rPr>
      </w:pPr>
    </w:p>
    <w:p w14:paraId="2FACEEC9" w14:textId="185162B9" w:rsidR="00FB43F4" w:rsidRDefault="00FB43F4" w:rsidP="00FB43F4">
      <w:pPr>
        <w:widowControl/>
        <w:autoSpaceDE w:val="0"/>
        <w:autoSpaceDN w:val="0"/>
        <w:adjustRightInd w:val="0"/>
        <w:rPr>
          <w:rFonts w:ascii="Times New Roman" w:hAnsi="Times New Roman" w:cs="Times New Roman"/>
          <w:color w:val="000000"/>
          <w:sz w:val="24"/>
          <w:szCs w:val="24"/>
        </w:rPr>
      </w:pPr>
    </w:p>
    <w:p w14:paraId="0898C23B" w14:textId="77777777" w:rsidR="00CD4397" w:rsidRDefault="00CD4397" w:rsidP="00C127B5">
      <w:pPr>
        <w:widowControl/>
        <w:autoSpaceDE w:val="0"/>
        <w:autoSpaceDN w:val="0"/>
        <w:adjustRightInd w:val="0"/>
        <w:rPr>
          <w:rFonts w:ascii="Times New Roman" w:hAnsi="Times New Roman" w:cs="Times New Roman"/>
          <w:color w:val="000000"/>
          <w:sz w:val="24"/>
          <w:szCs w:val="24"/>
        </w:rPr>
      </w:pPr>
    </w:p>
    <w:p w14:paraId="270AA79F" w14:textId="77777777" w:rsidR="0017334C" w:rsidRDefault="0017334C" w:rsidP="00C127B5">
      <w:pPr>
        <w:widowControl/>
        <w:autoSpaceDE w:val="0"/>
        <w:autoSpaceDN w:val="0"/>
        <w:adjustRightInd w:val="0"/>
        <w:rPr>
          <w:rFonts w:ascii="Times New Roman" w:hAnsi="Times New Roman" w:cs="Times New Roman"/>
          <w:color w:val="000000"/>
          <w:sz w:val="24"/>
          <w:szCs w:val="24"/>
        </w:rPr>
      </w:pPr>
    </w:p>
    <w:p w14:paraId="0393E2BD" w14:textId="77777777" w:rsidR="0017334C" w:rsidRDefault="0017334C" w:rsidP="00C127B5">
      <w:pPr>
        <w:widowControl/>
        <w:autoSpaceDE w:val="0"/>
        <w:autoSpaceDN w:val="0"/>
        <w:adjustRightInd w:val="0"/>
        <w:rPr>
          <w:rFonts w:ascii="Times New Roman" w:hAnsi="Times New Roman" w:cs="Times New Roman"/>
          <w:color w:val="000000"/>
          <w:sz w:val="24"/>
          <w:szCs w:val="24"/>
        </w:rPr>
      </w:pPr>
    </w:p>
    <w:p w14:paraId="29C85C6A" w14:textId="77777777" w:rsidR="0017334C" w:rsidRDefault="0017334C" w:rsidP="00C127B5">
      <w:pPr>
        <w:widowControl/>
        <w:autoSpaceDE w:val="0"/>
        <w:autoSpaceDN w:val="0"/>
        <w:adjustRightInd w:val="0"/>
        <w:rPr>
          <w:rFonts w:ascii="Times New Roman" w:hAnsi="Times New Roman" w:cs="Times New Roman"/>
          <w:color w:val="000000"/>
          <w:sz w:val="24"/>
          <w:szCs w:val="24"/>
        </w:rPr>
      </w:pPr>
    </w:p>
    <w:p w14:paraId="0C4EC8E6" w14:textId="77777777" w:rsidR="00C127B5" w:rsidRPr="00CD4397" w:rsidRDefault="00C127B5" w:rsidP="00C127B5">
      <w:pPr>
        <w:widowControl/>
        <w:autoSpaceDE w:val="0"/>
        <w:autoSpaceDN w:val="0"/>
        <w:adjustRightInd w:val="0"/>
        <w:rPr>
          <w:rFonts w:ascii="Times New Roman" w:hAnsi="Times New Roman" w:cs="Times New Roman"/>
          <w:color w:val="000000"/>
          <w:sz w:val="24"/>
          <w:szCs w:val="24"/>
        </w:rPr>
      </w:pPr>
    </w:p>
    <w:p w14:paraId="676002A9" w14:textId="77777777" w:rsidR="00CD4397" w:rsidRPr="00CD4397" w:rsidRDefault="00CD4397" w:rsidP="00CD4397">
      <w:pPr>
        <w:widowControl/>
        <w:autoSpaceDE w:val="0"/>
        <w:autoSpaceDN w:val="0"/>
        <w:adjustRightInd w:val="0"/>
        <w:rPr>
          <w:rFonts w:ascii="Times New Roman" w:hAnsi="Times New Roman" w:cs="Times New Roman"/>
          <w:color w:val="000000"/>
          <w:sz w:val="24"/>
          <w:szCs w:val="24"/>
        </w:rPr>
      </w:pPr>
    </w:p>
    <w:p w14:paraId="6952F432" w14:textId="68BF92CE" w:rsidR="00CD4397" w:rsidRDefault="00DD3A85" w:rsidP="00CD4397">
      <w:pPr>
        <w:widowControl/>
        <w:autoSpaceDE w:val="0"/>
        <w:autoSpaceDN w:val="0"/>
        <w:adjustRightInd w:val="0"/>
        <w:rPr>
          <w:rFonts w:ascii="Times New Roman" w:hAnsi="Times New Roman" w:cs="Times New Roman"/>
          <w:color w:val="000000"/>
          <w:sz w:val="24"/>
          <w:szCs w:val="24"/>
        </w:rPr>
      </w:pPr>
      <w:r w:rsidRPr="00DD3A85">
        <w:rPr>
          <w:rFonts w:ascii="Times New Roman" w:hAnsi="Times New Roman" w:cs="Times New Roman"/>
          <w:b/>
          <w:color w:val="000000"/>
          <w:sz w:val="24"/>
          <w:szCs w:val="24"/>
        </w:rPr>
        <w:t xml:space="preserve">Question </w:t>
      </w:r>
      <w:r w:rsidR="00CD4397" w:rsidRPr="00DD3A85">
        <w:rPr>
          <w:rFonts w:ascii="Times New Roman" w:hAnsi="Times New Roman" w:cs="Times New Roman"/>
          <w:b/>
          <w:color w:val="000000"/>
          <w:sz w:val="24"/>
          <w:szCs w:val="24"/>
        </w:rPr>
        <w:t>4</w:t>
      </w:r>
      <w:r w:rsidR="00CD4397" w:rsidRPr="00CD4397">
        <w:rPr>
          <w:rFonts w:ascii="Times New Roman" w:hAnsi="Times New Roman" w:cs="Times New Roman"/>
          <w:color w:val="000000"/>
          <w:sz w:val="24"/>
          <w:szCs w:val="24"/>
        </w:rPr>
        <w:t xml:space="preserve">. What is the line extension allowance for customer connection costs for residential customers? </w:t>
      </w:r>
    </w:p>
    <w:p w14:paraId="1B10B115" w14:textId="6A664413" w:rsidR="00FB43F4" w:rsidRDefault="00FB43F4" w:rsidP="00CD4397">
      <w:pPr>
        <w:widowControl/>
        <w:autoSpaceDE w:val="0"/>
        <w:autoSpaceDN w:val="0"/>
        <w:adjustRightInd w:val="0"/>
        <w:rPr>
          <w:rFonts w:ascii="Times New Roman" w:hAnsi="Times New Roman" w:cs="Times New Roman"/>
          <w:color w:val="000000"/>
          <w:sz w:val="24"/>
          <w:szCs w:val="24"/>
        </w:rPr>
      </w:pPr>
    </w:p>
    <w:p w14:paraId="0D54DB57" w14:textId="0D5E9EEB" w:rsidR="00FB43F4" w:rsidRPr="00CD4397" w:rsidRDefault="00FB43F4" w:rsidP="00FB43F4">
      <w:pPr>
        <w:widowControl/>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SDG&amp;E Response</w:t>
      </w:r>
      <w:r w:rsidR="00AD2590">
        <w:rPr>
          <w:rFonts w:ascii="Times New Roman" w:hAnsi="Times New Roman" w:cs="Times New Roman"/>
          <w:b/>
          <w:color w:val="000000"/>
          <w:sz w:val="24"/>
          <w:szCs w:val="24"/>
        </w:rPr>
        <w:t xml:space="preserve"> to Question 4</w:t>
      </w:r>
      <w:r>
        <w:rPr>
          <w:rFonts w:ascii="Times New Roman" w:hAnsi="Times New Roman" w:cs="Times New Roman"/>
          <w:b/>
          <w:color w:val="000000"/>
          <w:sz w:val="24"/>
          <w:szCs w:val="24"/>
        </w:rPr>
        <w:t>:</w:t>
      </w:r>
    </w:p>
    <w:p w14:paraId="704E77BF" w14:textId="77777777" w:rsidR="00FB43F4" w:rsidRDefault="00FB43F4" w:rsidP="00CD4397">
      <w:pPr>
        <w:widowControl/>
        <w:autoSpaceDE w:val="0"/>
        <w:autoSpaceDN w:val="0"/>
        <w:adjustRightInd w:val="0"/>
        <w:rPr>
          <w:rFonts w:ascii="Times New Roman" w:hAnsi="Times New Roman" w:cs="Times New Roman"/>
          <w:b/>
          <w:color w:val="000000"/>
          <w:sz w:val="24"/>
          <w:szCs w:val="24"/>
        </w:rPr>
      </w:pPr>
    </w:p>
    <w:p w14:paraId="623E68FC" w14:textId="5EE44F17" w:rsidR="00274810" w:rsidRPr="00274810" w:rsidRDefault="004E1B04" w:rsidP="00CD4397">
      <w:pPr>
        <w:widowControl/>
        <w:autoSpaceDE w:val="0"/>
        <w:autoSpaceDN w:val="0"/>
        <w:adjustRightInd w:val="0"/>
        <w:rPr>
          <w:rFonts w:ascii="Times New Roman" w:hAnsi="Times New Roman" w:cs="Times New Roman"/>
          <w:b/>
          <w:color w:val="000000"/>
          <w:sz w:val="24"/>
          <w:szCs w:val="24"/>
        </w:rPr>
      </w:pPr>
      <w:r>
        <w:rPr>
          <w:rFonts w:ascii="Times New Roman" w:hAnsi="Times New Roman" w:cs="Times New Roman"/>
          <w:sz w:val="24"/>
          <w:szCs w:val="24"/>
        </w:rPr>
        <w:t>The line extension allowance for residential customers is currently $3,241, as stated in the Chapter 5 Prepared Direct Testimony of William G. Saxe</w:t>
      </w:r>
      <w:r w:rsidR="00307F31">
        <w:rPr>
          <w:rStyle w:val="FootnoteReference"/>
          <w:rFonts w:ascii="Times New Roman" w:hAnsi="Times New Roman" w:cs="Times New Roman"/>
          <w:sz w:val="24"/>
          <w:szCs w:val="24"/>
        </w:rPr>
        <w:footnoteReference w:id="4"/>
      </w:r>
      <w:r w:rsidR="00966389">
        <w:rPr>
          <w:rFonts w:ascii="Times New Roman" w:hAnsi="Times New Roman" w:cs="Times New Roman"/>
          <w:sz w:val="24"/>
          <w:szCs w:val="24"/>
        </w:rPr>
        <w:t xml:space="preserve">, which is </w:t>
      </w:r>
      <w:r w:rsidR="007737CD">
        <w:rPr>
          <w:rFonts w:ascii="Times New Roman" w:hAnsi="Times New Roman" w:cs="Times New Roman"/>
          <w:sz w:val="24"/>
          <w:szCs w:val="24"/>
        </w:rPr>
        <w:t>presented in SDG&amp;E’s Rule 15.</w:t>
      </w:r>
      <w:r w:rsidR="007737CD">
        <w:rPr>
          <w:rStyle w:val="FootnoteReference"/>
          <w:rFonts w:ascii="Times New Roman" w:hAnsi="Times New Roman" w:cs="Times New Roman"/>
          <w:sz w:val="24"/>
          <w:szCs w:val="24"/>
        </w:rPr>
        <w:footnoteReference w:id="5"/>
      </w:r>
    </w:p>
    <w:p w14:paraId="0A623F5A" w14:textId="77777777" w:rsidR="009426DA" w:rsidRDefault="009426DA" w:rsidP="00AD2590">
      <w:pPr>
        <w:widowControl/>
        <w:autoSpaceDE w:val="0"/>
        <w:autoSpaceDN w:val="0"/>
        <w:adjustRightInd w:val="0"/>
        <w:rPr>
          <w:rFonts w:ascii="Times New Roman" w:hAnsi="Times New Roman" w:cs="Times New Roman"/>
          <w:color w:val="000000"/>
          <w:sz w:val="24"/>
          <w:szCs w:val="24"/>
        </w:rPr>
      </w:pPr>
    </w:p>
    <w:p w14:paraId="76251FFB" w14:textId="5C815BD6" w:rsidR="00FB43F4" w:rsidRDefault="00AD2590" w:rsidP="00FB43F4">
      <w:pPr>
        <w:widowControl/>
        <w:numPr>
          <w:ilvl w:val="1"/>
          <w:numId w:val="15"/>
        </w:numPr>
        <w:autoSpaceDE w:val="0"/>
        <w:autoSpaceDN w:val="0"/>
        <w:adjustRightInd w:val="0"/>
        <w:rPr>
          <w:rFonts w:ascii="Times New Roman" w:hAnsi="Times New Roman" w:cs="Times New Roman"/>
          <w:color w:val="000000"/>
          <w:sz w:val="24"/>
          <w:szCs w:val="24"/>
        </w:rPr>
      </w:pPr>
      <w:r w:rsidRPr="00AD2590">
        <w:rPr>
          <w:rFonts w:ascii="Times New Roman" w:hAnsi="Times New Roman" w:cs="Times New Roman"/>
          <w:b/>
          <w:color w:val="000000"/>
          <w:sz w:val="24"/>
          <w:szCs w:val="24"/>
        </w:rPr>
        <w:t>Question 4</w:t>
      </w:r>
      <w:r w:rsidR="00FB43F4" w:rsidRPr="00AD2590">
        <w:rPr>
          <w:rFonts w:ascii="Times New Roman" w:hAnsi="Times New Roman" w:cs="Times New Roman"/>
          <w:b/>
          <w:color w:val="000000"/>
          <w:sz w:val="24"/>
          <w:szCs w:val="24"/>
        </w:rPr>
        <w:t>a.</w:t>
      </w:r>
      <w:r w:rsidR="00FB43F4" w:rsidRPr="00FB43F4">
        <w:rPr>
          <w:rFonts w:ascii="Times New Roman" w:hAnsi="Times New Roman" w:cs="Times New Roman"/>
          <w:color w:val="000000"/>
          <w:sz w:val="24"/>
          <w:szCs w:val="24"/>
        </w:rPr>
        <w:t xml:space="preserve"> How does SDG&amp;E calculate the allowances for non-residential customers? Please provide the formula for determining how much ratepayers must subsidize. Please provide a hypothetical example with inputs and outputs properly linked in Excel format. </w:t>
      </w:r>
    </w:p>
    <w:p w14:paraId="4B41AB36" w14:textId="31520478" w:rsidR="00FB43F4" w:rsidRDefault="00FB43F4" w:rsidP="00FB43F4">
      <w:pPr>
        <w:widowControl/>
        <w:autoSpaceDE w:val="0"/>
        <w:autoSpaceDN w:val="0"/>
        <w:adjustRightInd w:val="0"/>
        <w:rPr>
          <w:rFonts w:ascii="Times New Roman" w:hAnsi="Times New Roman" w:cs="Times New Roman"/>
          <w:color w:val="000000"/>
          <w:sz w:val="24"/>
          <w:szCs w:val="24"/>
        </w:rPr>
      </w:pPr>
    </w:p>
    <w:p w14:paraId="49B2AB3B" w14:textId="27B2AF08" w:rsidR="00FB43F4" w:rsidRPr="00CD4397" w:rsidRDefault="00FB43F4" w:rsidP="00FB43F4">
      <w:pPr>
        <w:widowControl/>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SDG&amp;E Response</w:t>
      </w:r>
      <w:r w:rsidR="00AD2590">
        <w:rPr>
          <w:rFonts w:ascii="Times New Roman" w:hAnsi="Times New Roman" w:cs="Times New Roman"/>
          <w:b/>
          <w:color w:val="000000"/>
          <w:sz w:val="24"/>
          <w:szCs w:val="24"/>
        </w:rPr>
        <w:t xml:space="preserve"> to Question 4a</w:t>
      </w:r>
      <w:r>
        <w:rPr>
          <w:rFonts w:ascii="Times New Roman" w:hAnsi="Times New Roman" w:cs="Times New Roman"/>
          <w:b/>
          <w:color w:val="000000"/>
          <w:sz w:val="24"/>
          <w:szCs w:val="24"/>
        </w:rPr>
        <w:t>:</w:t>
      </w:r>
    </w:p>
    <w:p w14:paraId="32823EDE" w14:textId="77777777" w:rsidR="00FB43F4" w:rsidRDefault="00FB43F4" w:rsidP="00FB43F4">
      <w:pPr>
        <w:widowControl/>
        <w:autoSpaceDE w:val="0"/>
        <w:autoSpaceDN w:val="0"/>
        <w:adjustRightInd w:val="0"/>
        <w:rPr>
          <w:rFonts w:ascii="Times New Roman" w:hAnsi="Times New Roman" w:cs="Times New Roman"/>
          <w:color w:val="000000"/>
          <w:sz w:val="24"/>
          <w:szCs w:val="24"/>
        </w:rPr>
      </w:pPr>
    </w:p>
    <w:p w14:paraId="28440A9A" w14:textId="580DBCF9" w:rsidR="00374A6B" w:rsidRPr="00DC3A7C" w:rsidRDefault="00374A6B" w:rsidP="0017334C">
      <w:pPr>
        <w:pStyle w:val="Default"/>
        <w:numPr>
          <w:ilvl w:val="0"/>
          <w:numId w:val="23"/>
        </w:numPr>
        <w:adjustRightInd/>
      </w:pPr>
      <w:r w:rsidRPr="00DC3A7C">
        <w:t xml:space="preserve">As stated in the </w:t>
      </w:r>
      <w:r w:rsidR="00F24242">
        <w:t>SDG&amp;E 2019 GRC Phase 2</w:t>
      </w:r>
      <w:r w:rsidRPr="00DC3A7C">
        <w:t xml:space="preserve"> Prepared Direct Testimony of William G. Saxe, the TSM allowances for non-residential customers </w:t>
      </w:r>
      <w:r w:rsidR="00606C81">
        <w:t>are</w:t>
      </w:r>
      <w:r w:rsidRPr="00DC3A7C">
        <w:t xml:space="preserve"> calculated on a customer specific basis.</w:t>
      </w:r>
      <w:r>
        <w:rPr>
          <w:rStyle w:val="FootnoteReference"/>
        </w:rPr>
        <w:footnoteReference w:id="6"/>
      </w:r>
      <w:r w:rsidRPr="00DC3A7C">
        <w:t xml:space="preserve"> The non-residential customer specific allowances are developed based on the ne</w:t>
      </w:r>
      <w:r>
        <w:t>t</w:t>
      </w:r>
      <w:r w:rsidRPr="00DC3A7C">
        <w:t xml:space="preserve"> revenues expected to be collected from the non-residential customer. SDG&amp;E’s Rule 15 states the following regarding the non-residential allowance:</w:t>
      </w:r>
    </w:p>
    <w:p w14:paraId="55577735" w14:textId="77777777" w:rsidR="00374A6B" w:rsidRPr="00DC3A7C" w:rsidRDefault="00374A6B" w:rsidP="00374A6B">
      <w:pPr>
        <w:pStyle w:val="Default"/>
        <w:rPr>
          <w:rFonts w:eastAsiaTheme="minorHAnsi"/>
        </w:rPr>
      </w:pPr>
    </w:p>
    <w:p w14:paraId="17850E1D" w14:textId="77777777" w:rsidR="00374A6B" w:rsidRPr="00DC3A7C" w:rsidRDefault="00374A6B" w:rsidP="00DE4CE4">
      <w:pPr>
        <w:pStyle w:val="Default"/>
        <w:ind w:left="360"/>
        <w:rPr>
          <w:i/>
          <w:iCs/>
        </w:rPr>
      </w:pPr>
      <w:r w:rsidRPr="00DC3A7C">
        <w:rPr>
          <w:i/>
          <w:iCs/>
        </w:rPr>
        <w:t>“Non-Residential Allowances: The allowance for Distribution Line Extensions, Service Extensions, or a combination thereof, for Permanent Non-Residential Service is determined by utility using the formula in Section C.2. The utility, at its election, may apply a Non-Residential Allowance Net Revenue Multiplier as defined in Section J.”</w:t>
      </w:r>
    </w:p>
    <w:p w14:paraId="667B2A8D" w14:textId="77777777" w:rsidR="00374A6B" w:rsidRPr="00DC3A7C" w:rsidRDefault="00374A6B" w:rsidP="00374A6B">
      <w:pPr>
        <w:pStyle w:val="Default"/>
        <w:ind w:left="1080"/>
        <w:rPr>
          <w:i/>
          <w:iCs/>
        </w:rPr>
      </w:pPr>
    </w:p>
    <w:p w14:paraId="1E1C5005" w14:textId="77777777" w:rsidR="00374A6B" w:rsidRPr="00DC3A7C" w:rsidRDefault="00374A6B" w:rsidP="00DE4CE4">
      <w:pPr>
        <w:pStyle w:val="Default"/>
        <w:ind w:left="360"/>
      </w:pPr>
      <w:r w:rsidRPr="00DC3A7C">
        <w:t xml:space="preserve">Section C.2 presents the following </w:t>
      </w:r>
      <w:r>
        <w:t>formula</w:t>
      </w:r>
      <w:r w:rsidRPr="00DC3A7C">
        <w:t>:</w:t>
      </w:r>
    </w:p>
    <w:p w14:paraId="3F369FC4" w14:textId="77777777" w:rsidR="00374A6B" w:rsidRPr="00DC3A7C" w:rsidRDefault="00374A6B" w:rsidP="00374A6B">
      <w:pPr>
        <w:pStyle w:val="Default"/>
        <w:ind w:left="720"/>
      </w:pPr>
    </w:p>
    <w:p w14:paraId="2D9BF4C7" w14:textId="77777777" w:rsidR="00374A6B" w:rsidRPr="00DC3A7C" w:rsidRDefault="00374A6B" w:rsidP="00DE4CE4">
      <w:pPr>
        <w:pStyle w:val="Default"/>
        <w:ind w:left="720"/>
        <w:rPr>
          <w:i/>
          <w:iCs/>
        </w:rPr>
      </w:pPr>
      <w:r w:rsidRPr="00DC3A7C">
        <w:rPr>
          <w:i/>
          <w:iCs/>
        </w:rPr>
        <w:t xml:space="preserve">ALLOWANCE =                </w:t>
      </w:r>
      <w:r w:rsidRPr="00DC3A7C">
        <w:rPr>
          <w:i/>
          <w:iCs/>
          <w:u w:val="single"/>
        </w:rPr>
        <w:t>NET REVENUE</w:t>
      </w:r>
    </w:p>
    <w:p w14:paraId="530A3036" w14:textId="77777777" w:rsidR="00374A6B" w:rsidRPr="00DC3A7C" w:rsidRDefault="00374A6B" w:rsidP="00DE4CE4">
      <w:pPr>
        <w:pStyle w:val="Default"/>
        <w:ind w:left="2160"/>
      </w:pPr>
      <w:r w:rsidRPr="00DC3A7C">
        <w:rPr>
          <w:i/>
          <w:iCs/>
        </w:rPr>
        <w:t>         COST OF SERVICE FACTOR</w:t>
      </w:r>
    </w:p>
    <w:p w14:paraId="48E8711E" w14:textId="77777777" w:rsidR="00374A6B" w:rsidRPr="00DC3A7C" w:rsidRDefault="00374A6B" w:rsidP="00374A6B">
      <w:pPr>
        <w:ind w:left="720"/>
        <w:rPr>
          <w:rFonts w:ascii="Times New Roman" w:hAnsi="Times New Roman" w:cs="Times New Roman"/>
          <w:sz w:val="24"/>
          <w:szCs w:val="24"/>
        </w:rPr>
      </w:pPr>
    </w:p>
    <w:p w14:paraId="18485C26" w14:textId="77777777" w:rsidR="00374A6B" w:rsidRPr="00DC3A7C" w:rsidRDefault="00374A6B" w:rsidP="00DE4CE4">
      <w:pPr>
        <w:ind w:left="360"/>
        <w:rPr>
          <w:rFonts w:ascii="Times New Roman" w:hAnsi="Times New Roman" w:cs="Times New Roman"/>
          <w:i/>
          <w:iCs/>
          <w:sz w:val="24"/>
          <w:szCs w:val="24"/>
        </w:rPr>
      </w:pPr>
      <w:r w:rsidRPr="00DC3A7C">
        <w:rPr>
          <w:rFonts w:ascii="Times New Roman" w:hAnsi="Times New Roman" w:cs="Times New Roman"/>
          <w:i/>
          <w:iCs/>
          <w:sz w:val="24"/>
          <w:szCs w:val="24"/>
          <w:u w:val="single"/>
        </w:rPr>
        <w:t>Net Revenue</w:t>
      </w:r>
      <w:r w:rsidRPr="00DC3A7C">
        <w:rPr>
          <w:rFonts w:ascii="Times New Roman" w:hAnsi="Times New Roman" w:cs="Times New Roman"/>
          <w:i/>
          <w:iCs/>
          <w:sz w:val="24"/>
          <w:szCs w:val="24"/>
        </w:rPr>
        <w:t xml:space="preserve">: That portion of the total rate revenues that supports utility's distribution line and service extension costs and excludes such items as energy, transmission, Competition Transition Charge (CTC), public purpose programs, revenue cycle services revenues, and other revenues that do not support the Distribution Line and Service Extension costs. For residential line extensions the net revenue is a fixed amount calculated from the annual total residential distribution rate revenue divided by the number of residential customers with a deduction for revenue cycle service credits. </w:t>
      </w:r>
    </w:p>
    <w:p w14:paraId="2B03E5E3" w14:textId="77777777" w:rsidR="00374A6B" w:rsidRPr="00DC3A7C" w:rsidRDefault="00374A6B" w:rsidP="00374A6B">
      <w:pPr>
        <w:ind w:left="720"/>
        <w:rPr>
          <w:rFonts w:ascii="Times New Roman" w:hAnsi="Times New Roman" w:cs="Times New Roman"/>
          <w:i/>
          <w:iCs/>
          <w:sz w:val="24"/>
          <w:szCs w:val="24"/>
          <w:u w:val="single"/>
        </w:rPr>
      </w:pPr>
    </w:p>
    <w:p w14:paraId="4F970543" w14:textId="77777777" w:rsidR="00374A6B" w:rsidRPr="00DC3A7C" w:rsidRDefault="00374A6B" w:rsidP="00DE4CE4">
      <w:pPr>
        <w:ind w:left="360"/>
        <w:rPr>
          <w:rFonts w:ascii="Times New Roman" w:hAnsi="Times New Roman" w:cs="Times New Roman"/>
          <w:i/>
          <w:iCs/>
          <w:sz w:val="24"/>
          <w:szCs w:val="24"/>
        </w:rPr>
      </w:pPr>
      <w:r w:rsidRPr="00DC3A7C">
        <w:rPr>
          <w:rFonts w:ascii="Times New Roman" w:hAnsi="Times New Roman" w:cs="Times New Roman"/>
          <w:i/>
          <w:iCs/>
          <w:sz w:val="24"/>
          <w:szCs w:val="24"/>
          <w:u w:val="single"/>
        </w:rPr>
        <w:lastRenderedPageBreak/>
        <w:t>Cost of Service Factor (COS)</w:t>
      </w:r>
      <w:r w:rsidRPr="00DC3A7C">
        <w:rPr>
          <w:rFonts w:ascii="Times New Roman" w:hAnsi="Times New Roman" w:cs="Times New Roman"/>
          <w:i/>
          <w:iCs/>
          <w:sz w:val="24"/>
          <w:szCs w:val="24"/>
        </w:rPr>
        <w:t>: the factor that is divided into the Net Revenue to determine the Utility’s investment in distribution facilities. The COS Factor includes depreciation, return, income taxes, property taxes, Operating and Maintenance (O&amp;M), Administrative and General (A&amp;G), Franchise Fees and Uncollectible Expenses (FF&amp;U) and replacement of facilities for 60 years at no additional cost to customer. For the purpose of calculating residential allowances, a COS Factor of 14.63% will be used.</w:t>
      </w:r>
    </w:p>
    <w:p w14:paraId="6FB1C656" w14:textId="77777777" w:rsidR="00374A6B" w:rsidRPr="00DC3A7C" w:rsidRDefault="00374A6B" w:rsidP="00374A6B">
      <w:pPr>
        <w:ind w:left="720"/>
        <w:rPr>
          <w:rFonts w:ascii="Times New Roman" w:hAnsi="Times New Roman" w:cs="Times New Roman"/>
          <w:i/>
          <w:iCs/>
          <w:sz w:val="24"/>
          <w:szCs w:val="24"/>
        </w:rPr>
      </w:pPr>
    </w:p>
    <w:p w14:paraId="1212B9C5" w14:textId="77777777" w:rsidR="00374A6B" w:rsidRPr="00DC3A7C" w:rsidRDefault="00374A6B" w:rsidP="00DE4CE4">
      <w:pPr>
        <w:ind w:left="360"/>
        <w:rPr>
          <w:rFonts w:ascii="Times New Roman" w:hAnsi="Times New Roman" w:cs="Times New Roman"/>
          <w:i/>
          <w:iCs/>
          <w:sz w:val="24"/>
          <w:szCs w:val="24"/>
        </w:rPr>
      </w:pPr>
      <w:r w:rsidRPr="00DC3A7C">
        <w:rPr>
          <w:rFonts w:ascii="Times New Roman" w:hAnsi="Times New Roman" w:cs="Times New Roman"/>
          <w:i/>
          <w:iCs/>
          <w:sz w:val="24"/>
          <w:szCs w:val="24"/>
          <w:u w:val="single"/>
        </w:rPr>
        <w:t>Non-Residential Allowance Net Revenue Multiplier</w:t>
      </w:r>
      <w:r w:rsidRPr="00DC3A7C">
        <w:rPr>
          <w:rFonts w:ascii="Times New Roman" w:hAnsi="Times New Roman" w:cs="Times New Roman"/>
          <w:i/>
          <w:iCs/>
          <w:sz w:val="24"/>
          <w:szCs w:val="24"/>
        </w:rPr>
        <w:t>: This is a revenue-supported factor determined by the utility that is applied to the net revenues expected from non-residential load to determine nonresidential allowances.</w:t>
      </w:r>
    </w:p>
    <w:p w14:paraId="736D7D06" w14:textId="77777777" w:rsidR="00374A6B" w:rsidRPr="00DC3A7C" w:rsidRDefault="00374A6B" w:rsidP="00374A6B">
      <w:pPr>
        <w:ind w:left="720"/>
        <w:rPr>
          <w:rFonts w:ascii="Times New Roman" w:hAnsi="Times New Roman" w:cs="Times New Roman"/>
          <w:i/>
          <w:iCs/>
          <w:sz w:val="24"/>
          <w:szCs w:val="24"/>
        </w:rPr>
      </w:pPr>
    </w:p>
    <w:p w14:paraId="4A6253CD" w14:textId="6A688F57" w:rsidR="00374A6B" w:rsidRPr="00DC3A7C" w:rsidRDefault="00374A6B" w:rsidP="00DE4CE4">
      <w:pPr>
        <w:ind w:left="360"/>
        <w:rPr>
          <w:rFonts w:ascii="Times New Roman" w:hAnsi="Times New Roman" w:cs="Times New Roman"/>
          <w:sz w:val="24"/>
          <w:szCs w:val="24"/>
        </w:rPr>
      </w:pPr>
      <w:r w:rsidRPr="00DC3A7C">
        <w:rPr>
          <w:rFonts w:ascii="Times New Roman" w:hAnsi="Times New Roman" w:cs="Times New Roman"/>
          <w:sz w:val="24"/>
          <w:szCs w:val="24"/>
        </w:rPr>
        <w:t xml:space="preserve">As requested, </w:t>
      </w:r>
      <w:r w:rsidR="00C34AE8">
        <w:rPr>
          <w:rFonts w:ascii="Times New Roman" w:hAnsi="Times New Roman" w:cs="Times New Roman"/>
          <w:sz w:val="24"/>
          <w:szCs w:val="24"/>
        </w:rPr>
        <w:t>the attached file (CalPA DR-016, Question 4a) provides</w:t>
      </w:r>
      <w:r w:rsidRPr="00DC3A7C">
        <w:rPr>
          <w:rFonts w:ascii="Times New Roman" w:hAnsi="Times New Roman" w:cs="Times New Roman"/>
          <w:sz w:val="24"/>
          <w:szCs w:val="24"/>
        </w:rPr>
        <w:t xml:space="preserve"> a hypothetical example of the non-residential allowance calculation based on applying a Non-Residential Allowance Net Revenue Multiplier</w:t>
      </w:r>
      <w:r>
        <w:rPr>
          <w:rFonts w:ascii="Times New Roman" w:hAnsi="Times New Roman" w:cs="Times New Roman"/>
          <w:sz w:val="24"/>
          <w:szCs w:val="24"/>
        </w:rPr>
        <w:t>, as SDG&amp;E does in calculating non-residential allowances</w:t>
      </w:r>
      <w:r w:rsidRPr="00DC3A7C">
        <w:rPr>
          <w:rFonts w:ascii="Times New Roman" w:hAnsi="Times New Roman" w:cs="Times New Roman"/>
          <w:sz w:val="24"/>
          <w:szCs w:val="24"/>
        </w:rPr>
        <w:t>:</w:t>
      </w:r>
    </w:p>
    <w:p w14:paraId="484FFCA8" w14:textId="77777777" w:rsidR="002029E1" w:rsidRPr="00DC3A7C" w:rsidRDefault="002029E1" w:rsidP="00DE4CE4">
      <w:pPr>
        <w:ind w:left="360"/>
        <w:rPr>
          <w:rFonts w:ascii="Times New Roman" w:hAnsi="Times New Roman" w:cs="Times New Roman"/>
          <w:sz w:val="24"/>
          <w:szCs w:val="24"/>
        </w:rPr>
      </w:pPr>
    </w:p>
    <w:bookmarkStart w:id="1" w:name="_1634363360"/>
    <w:bookmarkEnd w:id="1"/>
    <w:p w14:paraId="3935CCCB" w14:textId="6245DBC2" w:rsidR="00374A6B" w:rsidRPr="00D1519C" w:rsidRDefault="00312EA6" w:rsidP="00DE4CE4">
      <w:pPr>
        <w:rPr>
          <w:rFonts w:ascii="Times New Roman" w:hAnsi="Times New Roman" w:cs="Times New Roman"/>
          <w:sz w:val="24"/>
          <w:szCs w:val="24"/>
        </w:rPr>
      </w:pPr>
      <w:r>
        <w:object w:dxaOrig="1579" w:dyaOrig="1022" w14:anchorId="47EB5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8.9pt;height:50.7pt" o:ole="">
            <v:imagedata r:id="rId9" o:title=""/>
          </v:shape>
          <o:OLEObject Type="Embed" ProgID="Excel.Sheet.12" ShapeID="_x0000_i1027" DrawAspect="Icon" ObjectID="_1634380223" r:id="rId10"/>
        </w:object>
      </w:r>
    </w:p>
    <w:p w14:paraId="3D06A842" w14:textId="77777777" w:rsidR="00374A6B" w:rsidRPr="00D1519C" w:rsidRDefault="00374A6B" w:rsidP="00DE4CE4">
      <w:pPr>
        <w:autoSpaceDE w:val="0"/>
        <w:autoSpaceDN w:val="0"/>
        <w:rPr>
          <w:rFonts w:ascii="Times New Roman" w:hAnsi="Times New Roman" w:cs="Times New Roman"/>
          <w:color w:val="000000"/>
          <w:sz w:val="24"/>
          <w:szCs w:val="24"/>
        </w:rPr>
      </w:pPr>
    </w:p>
    <w:p w14:paraId="3BB9AFAD" w14:textId="77777777" w:rsidR="00471113" w:rsidRDefault="00471113" w:rsidP="00FB43F4">
      <w:pPr>
        <w:widowControl/>
        <w:autoSpaceDE w:val="0"/>
        <w:autoSpaceDN w:val="0"/>
        <w:adjustRightInd w:val="0"/>
        <w:rPr>
          <w:rFonts w:ascii="Times New Roman" w:hAnsi="Times New Roman" w:cs="Times New Roman"/>
          <w:color w:val="000000"/>
          <w:sz w:val="24"/>
          <w:szCs w:val="24"/>
        </w:rPr>
      </w:pPr>
    </w:p>
    <w:p w14:paraId="0948DA8C" w14:textId="549E517F" w:rsidR="00FB43F4" w:rsidRPr="00FB43F4" w:rsidRDefault="00AD2590" w:rsidP="00FB43F4">
      <w:pPr>
        <w:widowControl/>
        <w:numPr>
          <w:ilvl w:val="1"/>
          <w:numId w:val="15"/>
        </w:numPr>
        <w:autoSpaceDE w:val="0"/>
        <w:autoSpaceDN w:val="0"/>
        <w:adjustRightInd w:val="0"/>
        <w:rPr>
          <w:rFonts w:ascii="Times New Roman" w:hAnsi="Times New Roman" w:cs="Times New Roman"/>
          <w:color w:val="000000"/>
          <w:sz w:val="24"/>
          <w:szCs w:val="24"/>
        </w:rPr>
      </w:pPr>
      <w:r w:rsidRPr="00AD2590">
        <w:rPr>
          <w:rFonts w:ascii="Times New Roman" w:hAnsi="Times New Roman" w:cs="Times New Roman"/>
          <w:b/>
          <w:color w:val="000000"/>
          <w:sz w:val="24"/>
          <w:szCs w:val="24"/>
        </w:rPr>
        <w:t>Question 4</w:t>
      </w:r>
      <w:r w:rsidR="00FB43F4" w:rsidRPr="00AD2590">
        <w:rPr>
          <w:rFonts w:ascii="Times New Roman" w:hAnsi="Times New Roman" w:cs="Times New Roman"/>
          <w:b/>
          <w:color w:val="000000"/>
          <w:sz w:val="24"/>
          <w:szCs w:val="24"/>
        </w:rPr>
        <w:t>b</w:t>
      </w:r>
      <w:r w:rsidR="00FB43F4" w:rsidRPr="00FB43F4">
        <w:rPr>
          <w:rFonts w:ascii="Times New Roman" w:hAnsi="Times New Roman" w:cs="Times New Roman"/>
          <w:color w:val="000000"/>
          <w:sz w:val="24"/>
          <w:szCs w:val="24"/>
        </w:rPr>
        <w:t xml:space="preserve">. Please provide the ratio, for each class, of how much of connection costs are </w:t>
      </w:r>
      <w:r w:rsidR="00FB43F4" w:rsidRPr="00FB43F4">
        <w:rPr>
          <w:rFonts w:ascii="Times New Roman" w:hAnsi="Times New Roman" w:cs="Times New Roman"/>
          <w:i/>
          <w:iCs/>
          <w:color w:val="000000"/>
          <w:sz w:val="24"/>
          <w:szCs w:val="24"/>
        </w:rPr>
        <w:t xml:space="preserve">typically </w:t>
      </w:r>
      <w:r w:rsidR="00FB43F4" w:rsidRPr="00FB43F4">
        <w:rPr>
          <w:rFonts w:ascii="Times New Roman" w:hAnsi="Times New Roman" w:cs="Times New Roman"/>
          <w:color w:val="000000"/>
          <w:sz w:val="24"/>
          <w:szCs w:val="24"/>
        </w:rPr>
        <w:t xml:space="preserve">covered by the line extension allowances (i.e. covered by ratepayers) and how much are paid for by the applicants. </w:t>
      </w:r>
    </w:p>
    <w:p w14:paraId="4AF4D1CC" w14:textId="665FD571" w:rsidR="00FB43F4" w:rsidRDefault="00FB43F4" w:rsidP="00FB43F4">
      <w:pPr>
        <w:widowControl/>
        <w:autoSpaceDE w:val="0"/>
        <w:autoSpaceDN w:val="0"/>
        <w:adjustRightInd w:val="0"/>
        <w:rPr>
          <w:rFonts w:ascii="Times New Roman" w:hAnsi="Times New Roman" w:cs="Times New Roman"/>
          <w:color w:val="000000"/>
          <w:sz w:val="24"/>
          <w:szCs w:val="24"/>
        </w:rPr>
      </w:pPr>
    </w:p>
    <w:p w14:paraId="26A8C695" w14:textId="1D344B78" w:rsidR="00E87379" w:rsidRDefault="00FB43F4" w:rsidP="00FB3F99">
      <w:pPr>
        <w:widowControl/>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SDG&amp;E Response</w:t>
      </w:r>
      <w:r w:rsidR="00AD2590">
        <w:rPr>
          <w:rFonts w:ascii="Times New Roman" w:hAnsi="Times New Roman" w:cs="Times New Roman"/>
          <w:b/>
          <w:color w:val="000000"/>
          <w:sz w:val="24"/>
          <w:szCs w:val="24"/>
        </w:rPr>
        <w:t xml:space="preserve"> to Question 4b</w:t>
      </w:r>
      <w:r w:rsidR="00E87379">
        <w:rPr>
          <w:rFonts w:ascii="Times New Roman" w:hAnsi="Times New Roman" w:cs="Times New Roman"/>
          <w:b/>
          <w:color w:val="000000"/>
          <w:sz w:val="24"/>
          <w:szCs w:val="24"/>
        </w:rPr>
        <w:t>:</w:t>
      </w:r>
    </w:p>
    <w:p w14:paraId="2F56F46A" w14:textId="77777777" w:rsidR="00FB3F99" w:rsidRDefault="00FB3F99" w:rsidP="00FB3F99">
      <w:pPr>
        <w:widowControl/>
        <w:autoSpaceDE w:val="0"/>
        <w:autoSpaceDN w:val="0"/>
        <w:adjustRightInd w:val="0"/>
        <w:rPr>
          <w:rFonts w:ascii="Times New Roman" w:hAnsi="Times New Roman" w:cs="Times New Roman"/>
          <w:color w:val="000000"/>
          <w:sz w:val="24"/>
          <w:szCs w:val="24"/>
        </w:rPr>
      </w:pPr>
    </w:p>
    <w:p w14:paraId="1602F56A" w14:textId="221772A0" w:rsidR="009C0C98" w:rsidRPr="0017334C" w:rsidRDefault="009C0C98" w:rsidP="0017334C">
      <w:pPr>
        <w:pStyle w:val="ListParagraph"/>
        <w:widowControl/>
        <w:numPr>
          <w:ilvl w:val="0"/>
          <w:numId w:val="23"/>
        </w:numPr>
        <w:autoSpaceDE w:val="0"/>
        <w:autoSpaceDN w:val="0"/>
        <w:rPr>
          <w:rFonts w:ascii="Times New Roman" w:eastAsia="Times New Roman" w:hAnsi="Times New Roman" w:cs="Times New Roman"/>
          <w:color w:val="000000"/>
          <w:sz w:val="24"/>
          <w:szCs w:val="24"/>
        </w:rPr>
      </w:pPr>
      <w:r w:rsidRPr="0017334C">
        <w:rPr>
          <w:rFonts w:ascii="Times New Roman" w:eastAsia="Times New Roman" w:hAnsi="Times New Roman" w:cs="Times New Roman"/>
          <w:color w:val="000000"/>
          <w:sz w:val="24"/>
          <w:szCs w:val="24"/>
        </w:rPr>
        <w:t xml:space="preserve">The percentages of non-residential customer connection costs paid covered by the line-extension allowance versus being paid by the customer is not known by customer class. For this reason, as stated </w:t>
      </w:r>
      <w:r w:rsidRPr="0017334C">
        <w:rPr>
          <w:rFonts w:ascii="Times New Roman" w:eastAsia="Times New Roman" w:hAnsi="Times New Roman" w:cs="Times New Roman"/>
          <w:sz w:val="24"/>
          <w:szCs w:val="24"/>
        </w:rPr>
        <w:t xml:space="preserve">in the Chapter 5 Prepared Direct Testimony of William G. Saxe </w:t>
      </w:r>
      <w:r w:rsidRPr="0017334C">
        <w:rPr>
          <w:rFonts w:ascii="Times New Roman" w:eastAsia="Times New Roman" w:hAnsi="Times New Roman" w:cs="Times New Roman"/>
          <w:color w:val="000000"/>
          <w:sz w:val="24"/>
          <w:szCs w:val="24"/>
        </w:rPr>
        <w:t>SDG&amp;E proposed using the percentages for the non-residential customers as a whole based on historical data, which was 81% cover by the line-extension allowance and the remaining 19% paid by the customer</w:t>
      </w:r>
      <w:r w:rsidRPr="0017334C">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7"/>
      </w:r>
    </w:p>
    <w:p w14:paraId="217D2C46" w14:textId="77777777" w:rsidR="00FB3F99" w:rsidRPr="00803589" w:rsidRDefault="00FB3F99" w:rsidP="00FB3F99">
      <w:pPr>
        <w:widowControl/>
        <w:autoSpaceDE w:val="0"/>
        <w:autoSpaceDN w:val="0"/>
        <w:adjustRightInd w:val="0"/>
        <w:rPr>
          <w:rFonts w:ascii="Times New Roman" w:hAnsi="Times New Roman" w:cs="Times New Roman"/>
          <w:color w:val="000000"/>
          <w:sz w:val="24"/>
          <w:szCs w:val="24"/>
        </w:rPr>
      </w:pPr>
    </w:p>
    <w:sectPr w:rsidR="00FB3F99" w:rsidRPr="00803589">
      <w:headerReference w:type="default" r:id="rId11"/>
      <w:footerReference w:type="default" r:id="rId12"/>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CE848" w14:textId="77777777" w:rsidR="00FB5EF0" w:rsidRDefault="00FB5EF0">
      <w:r>
        <w:separator/>
      </w:r>
    </w:p>
  </w:endnote>
  <w:endnote w:type="continuationSeparator" w:id="0">
    <w:p w14:paraId="42BFEE09" w14:textId="77777777" w:rsidR="00FB5EF0" w:rsidRDefault="00FB5EF0">
      <w:r>
        <w:continuationSeparator/>
      </w:r>
    </w:p>
  </w:endnote>
  <w:endnote w:type="continuationNotice" w:id="1">
    <w:p w14:paraId="35C0C50A" w14:textId="77777777" w:rsidR="00FB5EF0" w:rsidRDefault="00FB5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786FC" w14:textId="77777777" w:rsidR="00FB5EF0" w:rsidRDefault="00FB5EF0">
      <w:r>
        <w:separator/>
      </w:r>
    </w:p>
  </w:footnote>
  <w:footnote w:type="continuationSeparator" w:id="0">
    <w:p w14:paraId="0D7C59A7" w14:textId="77777777" w:rsidR="00FB5EF0" w:rsidRDefault="00FB5EF0">
      <w:r>
        <w:continuationSeparator/>
      </w:r>
    </w:p>
  </w:footnote>
  <w:footnote w:type="continuationNotice" w:id="1">
    <w:p w14:paraId="5B74FEBA" w14:textId="77777777" w:rsidR="00FB5EF0" w:rsidRDefault="00FB5EF0"/>
  </w:footnote>
  <w:footnote w:id="2">
    <w:p w14:paraId="689946C5" w14:textId="1F700D2D" w:rsidR="00A16CF6" w:rsidRPr="00307F31" w:rsidRDefault="00A16CF6" w:rsidP="00BF0B91">
      <w:pPr>
        <w:pStyle w:val="FootnoteText"/>
        <w:rPr>
          <w:rFonts w:ascii="Times New Roman" w:hAnsi="Times New Roman" w:cs="Times New Roman"/>
          <w:sz w:val="22"/>
          <w:szCs w:val="22"/>
        </w:rPr>
      </w:pPr>
      <w:r w:rsidRPr="00BF0B91">
        <w:rPr>
          <w:rStyle w:val="FootnoteReference"/>
          <w:rFonts w:ascii="Times New Roman" w:hAnsi="Times New Roman" w:cs="Times New Roman"/>
          <w:sz w:val="22"/>
          <w:szCs w:val="22"/>
        </w:rPr>
        <w:footnoteRef/>
      </w:r>
      <w:r w:rsidRPr="00BF0B91">
        <w:rPr>
          <w:rFonts w:ascii="Times New Roman" w:hAnsi="Times New Roman" w:cs="Times New Roman"/>
          <w:sz w:val="22"/>
          <w:szCs w:val="22"/>
        </w:rPr>
        <w:t xml:space="preserve"> </w:t>
      </w:r>
      <w:r w:rsidRPr="00CE58CC">
        <w:rPr>
          <w:rFonts w:ascii="Times New Roman" w:hAnsi="Times New Roman" w:cs="Times New Roman"/>
          <w:sz w:val="22"/>
          <w:szCs w:val="22"/>
        </w:rPr>
        <w:t>2</w:t>
      </w:r>
      <w:r>
        <w:rPr>
          <w:rFonts w:ascii="Times New Roman" w:hAnsi="Times New Roman" w:cs="Times New Roman"/>
          <w:sz w:val="22"/>
          <w:szCs w:val="22"/>
        </w:rPr>
        <w:t>019 GRC Phase 2 Prepared Direct Testimony of William G. Saxe (Chapter 5), p. WGS-7 and WGS-8.</w:t>
      </w:r>
    </w:p>
    <w:p w14:paraId="08CCA807" w14:textId="544C8214" w:rsidR="00A16CF6" w:rsidRPr="00BF0B91" w:rsidRDefault="00A16CF6">
      <w:pPr>
        <w:pStyle w:val="FootnoteText"/>
        <w:rPr>
          <w:rFonts w:ascii="Times New Roman" w:hAnsi="Times New Roman" w:cs="Times New Roman"/>
          <w:sz w:val="22"/>
          <w:szCs w:val="22"/>
        </w:rPr>
      </w:pPr>
    </w:p>
  </w:footnote>
  <w:footnote w:id="3">
    <w:p w14:paraId="61FF57BD" w14:textId="1DC1550B" w:rsidR="00A16CF6" w:rsidRPr="00307F31" w:rsidRDefault="00A16CF6" w:rsidP="003F3BD8">
      <w:pPr>
        <w:pStyle w:val="FootnoteText"/>
        <w:rPr>
          <w:rFonts w:ascii="Times New Roman" w:hAnsi="Times New Roman" w:cs="Times New Roman"/>
          <w:sz w:val="22"/>
          <w:szCs w:val="22"/>
        </w:rPr>
      </w:pPr>
      <w:r w:rsidRPr="00BF0B91">
        <w:rPr>
          <w:rStyle w:val="FootnoteReference"/>
          <w:rFonts w:ascii="Times New Roman" w:hAnsi="Times New Roman" w:cs="Times New Roman"/>
          <w:sz w:val="22"/>
          <w:szCs w:val="22"/>
        </w:rPr>
        <w:footnoteRef/>
      </w:r>
      <w:r w:rsidRPr="00BF0B91">
        <w:rPr>
          <w:rFonts w:ascii="Times New Roman" w:hAnsi="Times New Roman" w:cs="Times New Roman"/>
          <w:sz w:val="22"/>
          <w:szCs w:val="22"/>
        </w:rPr>
        <w:t xml:space="preserve"> </w:t>
      </w:r>
      <w:r w:rsidRPr="00CE58CC">
        <w:rPr>
          <w:rFonts w:ascii="Times New Roman" w:hAnsi="Times New Roman" w:cs="Times New Roman"/>
          <w:sz w:val="22"/>
          <w:szCs w:val="22"/>
        </w:rPr>
        <w:t>2</w:t>
      </w:r>
      <w:r>
        <w:rPr>
          <w:rFonts w:ascii="Times New Roman" w:hAnsi="Times New Roman" w:cs="Times New Roman"/>
          <w:sz w:val="22"/>
          <w:szCs w:val="22"/>
        </w:rPr>
        <w:t>019 GRC Phase 2 Prepared Direct Testimony of William G. Saxe (Chapter 5), p</w:t>
      </w:r>
      <w:r w:rsidR="00DD0F7B">
        <w:rPr>
          <w:rFonts w:ascii="Times New Roman" w:hAnsi="Times New Roman" w:cs="Times New Roman"/>
          <w:sz w:val="22"/>
          <w:szCs w:val="22"/>
        </w:rPr>
        <w:t>p</w:t>
      </w:r>
      <w:r>
        <w:rPr>
          <w:rFonts w:ascii="Times New Roman" w:hAnsi="Times New Roman" w:cs="Times New Roman"/>
          <w:sz w:val="22"/>
          <w:szCs w:val="22"/>
        </w:rPr>
        <w:t>. WGS-7 and WGS-8.</w:t>
      </w:r>
    </w:p>
    <w:p w14:paraId="1BD5D24B" w14:textId="77777777" w:rsidR="00A16CF6" w:rsidRPr="00BF0B91" w:rsidRDefault="00A16CF6" w:rsidP="003F3BD8">
      <w:pPr>
        <w:pStyle w:val="FootnoteText"/>
        <w:rPr>
          <w:rFonts w:ascii="Times New Roman" w:hAnsi="Times New Roman" w:cs="Times New Roman"/>
          <w:sz w:val="22"/>
          <w:szCs w:val="22"/>
        </w:rPr>
      </w:pPr>
    </w:p>
  </w:footnote>
  <w:footnote w:id="4">
    <w:p w14:paraId="0EC87A01" w14:textId="35DD28ED" w:rsidR="00307F31" w:rsidRPr="00307F31" w:rsidRDefault="00307F31">
      <w:pPr>
        <w:pStyle w:val="FootnoteText"/>
        <w:rPr>
          <w:rFonts w:ascii="Times New Roman" w:hAnsi="Times New Roman" w:cs="Times New Roman"/>
          <w:sz w:val="22"/>
          <w:szCs w:val="22"/>
        </w:rPr>
      </w:pPr>
      <w:r w:rsidRPr="00307F31">
        <w:rPr>
          <w:rStyle w:val="FootnoteReference"/>
          <w:rFonts w:ascii="Times New Roman" w:hAnsi="Times New Roman" w:cs="Times New Roman"/>
          <w:sz w:val="22"/>
          <w:szCs w:val="22"/>
        </w:rPr>
        <w:footnoteRef/>
      </w:r>
      <w:r w:rsidRPr="00307F31">
        <w:rPr>
          <w:rFonts w:ascii="Times New Roman" w:hAnsi="Times New Roman" w:cs="Times New Roman"/>
          <w:sz w:val="22"/>
          <w:szCs w:val="22"/>
        </w:rPr>
        <w:t xml:space="preserve"> </w:t>
      </w:r>
      <w:r w:rsidRPr="00CE58CC">
        <w:rPr>
          <w:rFonts w:ascii="Times New Roman" w:hAnsi="Times New Roman" w:cs="Times New Roman"/>
          <w:sz w:val="22"/>
          <w:szCs w:val="22"/>
        </w:rPr>
        <w:t>2</w:t>
      </w:r>
      <w:r>
        <w:rPr>
          <w:rFonts w:ascii="Times New Roman" w:hAnsi="Times New Roman" w:cs="Times New Roman"/>
          <w:sz w:val="22"/>
          <w:szCs w:val="22"/>
        </w:rPr>
        <w:t xml:space="preserve">019 GRC Phase 2 Prepared Direct Testimony of William G. Saxe (Chapter 5), p. WGS-8, lines </w:t>
      </w:r>
      <w:r w:rsidR="00966389">
        <w:rPr>
          <w:rFonts w:ascii="Times New Roman" w:hAnsi="Times New Roman" w:cs="Times New Roman"/>
          <w:sz w:val="22"/>
          <w:szCs w:val="22"/>
        </w:rPr>
        <w:t>9</w:t>
      </w:r>
      <w:r>
        <w:rPr>
          <w:rFonts w:ascii="Times New Roman" w:hAnsi="Times New Roman" w:cs="Times New Roman"/>
          <w:sz w:val="22"/>
          <w:szCs w:val="22"/>
        </w:rPr>
        <w:t>-1</w:t>
      </w:r>
      <w:r w:rsidR="00966389">
        <w:rPr>
          <w:rFonts w:ascii="Times New Roman" w:hAnsi="Times New Roman" w:cs="Times New Roman"/>
          <w:sz w:val="22"/>
          <w:szCs w:val="22"/>
        </w:rPr>
        <w:t>2</w:t>
      </w:r>
      <w:r>
        <w:rPr>
          <w:rFonts w:ascii="Times New Roman" w:hAnsi="Times New Roman" w:cs="Times New Roman"/>
          <w:sz w:val="22"/>
          <w:szCs w:val="22"/>
        </w:rPr>
        <w:t>.</w:t>
      </w:r>
    </w:p>
  </w:footnote>
  <w:footnote w:id="5">
    <w:p w14:paraId="77BB1884" w14:textId="46167C3A" w:rsidR="007737CD" w:rsidRPr="007737CD" w:rsidRDefault="007737CD">
      <w:pPr>
        <w:pStyle w:val="FootnoteText"/>
        <w:rPr>
          <w:rFonts w:ascii="Times New Roman" w:hAnsi="Times New Roman" w:cs="Times New Roman"/>
          <w:sz w:val="22"/>
          <w:szCs w:val="22"/>
        </w:rPr>
      </w:pPr>
      <w:r w:rsidRPr="007737CD">
        <w:rPr>
          <w:rStyle w:val="FootnoteReference"/>
          <w:rFonts w:ascii="Times New Roman" w:hAnsi="Times New Roman" w:cs="Times New Roman"/>
          <w:sz w:val="22"/>
          <w:szCs w:val="22"/>
        </w:rPr>
        <w:footnoteRef/>
      </w:r>
      <w:r w:rsidRPr="007737CD">
        <w:rPr>
          <w:rFonts w:ascii="Times New Roman" w:hAnsi="Times New Roman" w:cs="Times New Roman"/>
          <w:sz w:val="22"/>
          <w:szCs w:val="22"/>
        </w:rPr>
        <w:t xml:space="preserve"> </w:t>
      </w:r>
      <w:r>
        <w:rPr>
          <w:rFonts w:ascii="Times New Roman" w:hAnsi="Times New Roman" w:cs="Times New Roman"/>
          <w:sz w:val="22"/>
          <w:szCs w:val="22"/>
        </w:rPr>
        <w:t>SDG&amp;E Rule 15</w:t>
      </w:r>
      <w:r w:rsidR="00970BF2">
        <w:rPr>
          <w:rFonts w:ascii="Times New Roman" w:hAnsi="Times New Roman" w:cs="Times New Roman"/>
          <w:sz w:val="22"/>
          <w:szCs w:val="22"/>
        </w:rPr>
        <w:t xml:space="preserve"> Tariff, Sheet 4 (effective October 20, 2017)</w:t>
      </w:r>
      <w:r w:rsidR="00764C4E">
        <w:rPr>
          <w:rFonts w:ascii="Times New Roman" w:hAnsi="Times New Roman" w:cs="Times New Roman"/>
          <w:sz w:val="22"/>
          <w:szCs w:val="22"/>
        </w:rPr>
        <w:t xml:space="preserve"> at Section C3.</w:t>
      </w:r>
    </w:p>
  </w:footnote>
  <w:footnote w:id="6">
    <w:p w14:paraId="146B37BF" w14:textId="77777777" w:rsidR="00374A6B" w:rsidRDefault="00374A6B" w:rsidP="00374A6B">
      <w:pPr>
        <w:pStyle w:val="FootnoteText"/>
      </w:pPr>
      <w:r w:rsidRPr="00CE58CC">
        <w:rPr>
          <w:rStyle w:val="FootnoteReference"/>
          <w:rFonts w:ascii="Times New Roman" w:hAnsi="Times New Roman" w:cs="Times New Roman"/>
          <w:sz w:val="22"/>
          <w:szCs w:val="22"/>
        </w:rPr>
        <w:footnoteRef/>
      </w:r>
      <w:r w:rsidRPr="00CE58CC">
        <w:rPr>
          <w:rFonts w:ascii="Times New Roman" w:hAnsi="Times New Roman" w:cs="Times New Roman"/>
          <w:sz w:val="22"/>
          <w:szCs w:val="22"/>
        </w:rPr>
        <w:t xml:space="preserve"> 2</w:t>
      </w:r>
      <w:r>
        <w:rPr>
          <w:rFonts w:ascii="Times New Roman" w:hAnsi="Times New Roman" w:cs="Times New Roman"/>
          <w:sz w:val="22"/>
          <w:szCs w:val="22"/>
        </w:rPr>
        <w:t>019 GRC Phase 2 Prepared Direct Testimony of William G. Saxe (Chapter 5), p. WGS-8, lines 12-13.</w:t>
      </w:r>
    </w:p>
  </w:footnote>
  <w:footnote w:id="7">
    <w:p w14:paraId="0A8D8E98" w14:textId="77777777" w:rsidR="009C0C98" w:rsidRDefault="009C0C98" w:rsidP="009C0C98">
      <w:pPr>
        <w:pStyle w:val="FootnoteText"/>
      </w:pPr>
      <w:r w:rsidRPr="00233242">
        <w:rPr>
          <w:rStyle w:val="FootnoteReference"/>
          <w:rFonts w:ascii="Times New Roman" w:hAnsi="Times New Roman" w:cs="Times New Roman"/>
          <w:sz w:val="22"/>
          <w:szCs w:val="22"/>
        </w:rPr>
        <w:footnoteRef/>
      </w:r>
      <w:r w:rsidRPr="00233242">
        <w:rPr>
          <w:rFonts w:ascii="Times New Roman" w:hAnsi="Times New Roman" w:cs="Times New Roman"/>
          <w:sz w:val="22"/>
          <w:szCs w:val="22"/>
        </w:rPr>
        <w:t xml:space="preserve"> 2</w:t>
      </w:r>
      <w:r>
        <w:rPr>
          <w:rFonts w:ascii="Times New Roman" w:hAnsi="Times New Roman" w:cs="Times New Roman"/>
          <w:sz w:val="22"/>
          <w:szCs w:val="22"/>
        </w:rPr>
        <w:t>019 GRC Phase 2 Prepared Direct Testimony of William G. Saxe (Chapter 5), p. WGS-8, lines 12-15.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559483C5" w:rsidR="009D6650" w:rsidRPr="00BB3B03" w:rsidRDefault="006A724E" w:rsidP="009D6650">
    <w:pPr>
      <w:pStyle w:val="ListParagraph"/>
      <w:jc w:val="center"/>
      <w:rPr>
        <w:rFonts w:ascii="Times New Roman" w:hAnsi="Times New Roman" w:cs="Times New Roman"/>
        <w:b/>
      </w:rPr>
    </w:pPr>
    <w:r>
      <w:rPr>
        <w:rFonts w:ascii="Times New Roman" w:hAnsi="Times New Roman" w:cs="Times New Roman"/>
        <w:b/>
      </w:rPr>
      <w:t>CalPA</w:t>
    </w:r>
    <w:r w:rsidR="009D6650" w:rsidRPr="00BB3B03">
      <w:rPr>
        <w:rFonts w:ascii="Times New Roman" w:hAnsi="Times New Roman" w:cs="Times New Roman"/>
        <w:b/>
      </w:rPr>
      <w:t xml:space="preserve"> DATA REQUEST </w:t>
    </w:r>
    <w:r w:rsidR="009D6650" w:rsidRPr="00BB3B03">
      <w:rPr>
        <w:rFonts w:ascii="Times New Roman" w:hAnsi="Times New Roman" w:cs="Times New Roman"/>
        <w:b/>
      </w:rPr>
      <w:br/>
    </w:r>
    <w:r>
      <w:rPr>
        <w:rFonts w:ascii="Times New Roman" w:hAnsi="Times New Roman" w:cs="Times New Roman"/>
        <w:b/>
      </w:rPr>
      <w:t>#</w:t>
    </w:r>
    <w:r w:rsidR="00076B50">
      <w:rPr>
        <w:rFonts w:ascii="Times New Roman" w:hAnsi="Times New Roman" w:cs="Times New Roman"/>
        <w:b/>
      </w:rPr>
      <w:t>1</w:t>
    </w:r>
    <w:r w:rsidR="00D019E8">
      <w:rPr>
        <w:rFonts w:ascii="Times New Roman" w:hAnsi="Times New Roman" w:cs="Times New Roman"/>
        <w:b/>
      </w:rPr>
      <w:t>6</w:t>
    </w:r>
    <w:r w:rsidR="009D6650" w:rsidRPr="00BB3B03">
      <w:rPr>
        <w:rFonts w:ascii="Times New Roman" w:hAnsi="Times New Roman" w:cs="Times New Roman"/>
        <w:b/>
      </w:rPr>
      <w:br/>
      <w:t>SDG&amp;E PHASE 2 GRC PROCEEDING-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4E7847">
      <w:rPr>
        <w:rFonts w:ascii="Times New Roman" w:hAnsi="Times New Roman" w:cs="Times New Roman"/>
        <w:b/>
      </w:rPr>
      <w:t xml:space="preserve">October </w:t>
    </w:r>
    <w:r w:rsidR="003833B4">
      <w:rPr>
        <w:rFonts w:ascii="Times New Roman" w:hAnsi="Times New Roman" w:cs="Times New Roman"/>
        <w:b/>
      </w:rPr>
      <w:t>4</w:t>
    </w:r>
    <w:r w:rsidR="009D6650" w:rsidRPr="00BB3B03">
      <w:rPr>
        <w:rFonts w:ascii="Times New Roman" w:hAnsi="Times New Roman" w:cs="Times New Roman"/>
        <w:b/>
      </w:rPr>
      <w:t>, 2019</w:t>
    </w:r>
  </w:p>
  <w:p w14:paraId="46DCAB12" w14:textId="0DED9C66"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1B1B63">
      <w:rPr>
        <w:rFonts w:ascii="Times New Roman" w:hAnsi="Times New Roman" w:cs="Times New Roman"/>
        <w:b/>
      </w:rPr>
      <w:t>November 4</w:t>
    </w:r>
    <w:r w:rsidR="00F25E6E">
      <w:rPr>
        <w:rFonts w:ascii="Times New Roman" w:hAnsi="Times New Roman" w:cs="Times New Roman"/>
        <w:b/>
      </w:rPr>
      <w:t>, 2019</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941C4D"/>
    <w:multiLevelType w:val="hybridMultilevel"/>
    <w:tmpl w:val="DF1E1C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E8DFA3"/>
    <w:multiLevelType w:val="hybridMultilevel"/>
    <w:tmpl w:val="2DFE77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B3A48E"/>
    <w:multiLevelType w:val="multilevel"/>
    <w:tmpl w:val="72EA101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D552CDE"/>
    <w:multiLevelType w:val="hybridMultilevel"/>
    <w:tmpl w:val="53208C3E"/>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567EAE"/>
    <w:multiLevelType w:val="hybridMultilevel"/>
    <w:tmpl w:val="7F021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5282496"/>
    <w:multiLevelType w:val="hybridMultilevel"/>
    <w:tmpl w:val="BD3C48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7B45B6"/>
    <w:multiLevelType w:val="hybridMultilevel"/>
    <w:tmpl w:val="C8200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13" w15:restartNumberingAfterBreak="0">
    <w:nsid w:val="55C22D8A"/>
    <w:multiLevelType w:val="hybridMultilevel"/>
    <w:tmpl w:val="7F021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296F4"/>
    <w:multiLevelType w:val="hybridMultilevel"/>
    <w:tmpl w:val="3F088680"/>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EE7002F"/>
    <w:multiLevelType w:val="multilevel"/>
    <w:tmpl w:val="55C49D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C649C"/>
    <w:multiLevelType w:val="hybridMultilevel"/>
    <w:tmpl w:val="542219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543DB1"/>
    <w:multiLevelType w:val="hybridMultilevel"/>
    <w:tmpl w:val="5F6C23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5"/>
  </w:num>
  <w:num w:numId="8">
    <w:abstractNumId w:val="6"/>
  </w:num>
  <w:num w:numId="9">
    <w:abstractNumId w:val="19"/>
  </w:num>
  <w:num w:numId="10">
    <w:abstractNumId w:val="14"/>
  </w:num>
  <w:num w:numId="11">
    <w:abstractNumId w:val="2"/>
  </w:num>
  <w:num w:numId="12">
    <w:abstractNumId w:val="3"/>
  </w:num>
  <w:num w:numId="13">
    <w:abstractNumId w:val="4"/>
  </w:num>
  <w:num w:numId="14">
    <w:abstractNumId w:val="16"/>
  </w:num>
  <w:num w:numId="15">
    <w:abstractNumId w:val="0"/>
  </w:num>
  <w:num w:numId="16">
    <w:abstractNumId w:val="13"/>
  </w:num>
  <w:num w:numId="17">
    <w:abstractNumId w:val="11"/>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8"/>
  </w:num>
  <w:num w:numId="22">
    <w:abstractNumId w:val="20"/>
  </w:num>
  <w:num w:numId="23">
    <w:abstractNumId w:val="2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04AA6"/>
    <w:rsid w:val="00005B6C"/>
    <w:rsid w:val="00010A14"/>
    <w:rsid w:val="000121A0"/>
    <w:rsid w:val="000133A9"/>
    <w:rsid w:val="00015BD1"/>
    <w:rsid w:val="00015FB4"/>
    <w:rsid w:val="000249E4"/>
    <w:rsid w:val="000347D5"/>
    <w:rsid w:val="00037200"/>
    <w:rsid w:val="00043F42"/>
    <w:rsid w:val="000473F3"/>
    <w:rsid w:val="0005247C"/>
    <w:rsid w:val="000524AF"/>
    <w:rsid w:val="000550B6"/>
    <w:rsid w:val="00055E11"/>
    <w:rsid w:val="0005730C"/>
    <w:rsid w:val="00060BDD"/>
    <w:rsid w:val="0006267D"/>
    <w:rsid w:val="00067A83"/>
    <w:rsid w:val="0007441C"/>
    <w:rsid w:val="00074CA2"/>
    <w:rsid w:val="00076B50"/>
    <w:rsid w:val="000802B9"/>
    <w:rsid w:val="000848A2"/>
    <w:rsid w:val="00090093"/>
    <w:rsid w:val="000904E1"/>
    <w:rsid w:val="0009185F"/>
    <w:rsid w:val="000932E2"/>
    <w:rsid w:val="000A19C9"/>
    <w:rsid w:val="000A3AC5"/>
    <w:rsid w:val="000A6F05"/>
    <w:rsid w:val="000A7E47"/>
    <w:rsid w:val="000B710B"/>
    <w:rsid w:val="000C1CE2"/>
    <w:rsid w:val="000C59B3"/>
    <w:rsid w:val="000C63D0"/>
    <w:rsid w:val="000D24BA"/>
    <w:rsid w:val="000D56DD"/>
    <w:rsid w:val="000D67DF"/>
    <w:rsid w:val="000D6ECD"/>
    <w:rsid w:val="000E03A8"/>
    <w:rsid w:val="000E2024"/>
    <w:rsid w:val="000E6085"/>
    <w:rsid w:val="000E6E7F"/>
    <w:rsid w:val="000F5557"/>
    <w:rsid w:val="000F6F65"/>
    <w:rsid w:val="00101D98"/>
    <w:rsid w:val="00104F5E"/>
    <w:rsid w:val="00104FC7"/>
    <w:rsid w:val="00105AFC"/>
    <w:rsid w:val="0010718F"/>
    <w:rsid w:val="00113406"/>
    <w:rsid w:val="00117124"/>
    <w:rsid w:val="0012172A"/>
    <w:rsid w:val="00121E7C"/>
    <w:rsid w:val="00126FDE"/>
    <w:rsid w:val="00134409"/>
    <w:rsid w:val="00137417"/>
    <w:rsid w:val="00142C40"/>
    <w:rsid w:val="0014783D"/>
    <w:rsid w:val="00151BE1"/>
    <w:rsid w:val="00162224"/>
    <w:rsid w:val="00163795"/>
    <w:rsid w:val="00166C29"/>
    <w:rsid w:val="00167CF6"/>
    <w:rsid w:val="0017114C"/>
    <w:rsid w:val="001729AE"/>
    <w:rsid w:val="0017334C"/>
    <w:rsid w:val="00175550"/>
    <w:rsid w:val="00181402"/>
    <w:rsid w:val="00181D46"/>
    <w:rsid w:val="0018258D"/>
    <w:rsid w:val="00184D3C"/>
    <w:rsid w:val="00186C4B"/>
    <w:rsid w:val="001874E3"/>
    <w:rsid w:val="0019233D"/>
    <w:rsid w:val="00192F9B"/>
    <w:rsid w:val="00193780"/>
    <w:rsid w:val="001939B8"/>
    <w:rsid w:val="00194819"/>
    <w:rsid w:val="00195191"/>
    <w:rsid w:val="00197618"/>
    <w:rsid w:val="001A41B7"/>
    <w:rsid w:val="001B1B63"/>
    <w:rsid w:val="001B2A71"/>
    <w:rsid w:val="001B3F50"/>
    <w:rsid w:val="001B4E66"/>
    <w:rsid w:val="001B577D"/>
    <w:rsid w:val="001B6807"/>
    <w:rsid w:val="001C2EA1"/>
    <w:rsid w:val="001C31ED"/>
    <w:rsid w:val="001C52CE"/>
    <w:rsid w:val="001C7ADD"/>
    <w:rsid w:val="001C7B20"/>
    <w:rsid w:val="001D311A"/>
    <w:rsid w:val="001D56DD"/>
    <w:rsid w:val="001D763E"/>
    <w:rsid w:val="001E0A22"/>
    <w:rsid w:val="001E2C54"/>
    <w:rsid w:val="001E332B"/>
    <w:rsid w:val="001E73D1"/>
    <w:rsid w:val="001E7D1A"/>
    <w:rsid w:val="001F1F3B"/>
    <w:rsid w:val="001F2072"/>
    <w:rsid w:val="001F7360"/>
    <w:rsid w:val="002029E1"/>
    <w:rsid w:val="00203105"/>
    <w:rsid w:val="002121F9"/>
    <w:rsid w:val="00227922"/>
    <w:rsid w:val="00227AD1"/>
    <w:rsid w:val="00227EEC"/>
    <w:rsid w:val="00230361"/>
    <w:rsid w:val="00231FBF"/>
    <w:rsid w:val="00233242"/>
    <w:rsid w:val="0023794D"/>
    <w:rsid w:val="00242383"/>
    <w:rsid w:val="002449ED"/>
    <w:rsid w:val="00246F20"/>
    <w:rsid w:val="00247644"/>
    <w:rsid w:val="0024769E"/>
    <w:rsid w:val="00251018"/>
    <w:rsid w:val="002521A0"/>
    <w:rsid w:val="0025220F"/>
    <w:rsid w:val="002532B0"/>
    <w:rsid w:val="00253598"/>
    <w:rsid w:val="00253A15"/>
    <w:rsid w:val="002540A5"/>
    <w:rsid w:val="00256561"/>
    <w:rsid w:val="00257835"/>
    <w:rsid w:val="00261924"/>
    <w:rsid w:val="00262082"/>
    <w:rsid w:val="00264F5F"/>
    <w:rsid w:val="00265DA2"/>
    <w:rsid w:val="00267320"/>
    <w:rsid w:val="00274810"/>
    <w:rsid w:val="0027530B"/>
    <w:rsid w:val="0027631B"/>
    <w:rsid w:val="00277E90"/>
    <w:rsid w:val="002816EA"/>
    <w:rsid w:val="0028402F"/>
    <w:rsid w:val="00294908"/>
    <w:rsid w:val="002A0868"/>
    <w:rsid w:val="002A19BC"/>
    <w:rsid w:val="002A48B2"/>
    <w:rsid w:val="002A5C1F"/>
    <w:rsid w:val="002A6024"/>
    <w:rsid w:val="002B0897"/>
    <w:rsid w:val="002B6604"/>
    <w:rsid w:val="002B7723"/>
    <w:rsid w:val="002C0E04"/>
    <w:rsid w:val="002C3FC3"/>
    <w:rsid w:val="002C4C68"/>
    <w:rsid w:val="002C51C0"/>
    <w:rsid w:val="002C54A3"/>
    <w:rsid w:val="002C6F90"/>
    <w:rsid w:val="002D2E26"/>
    <w:rsid w:val="002D482C"/>
    <w:rsid w:val="002E177B"/>
    <w:rsid w:val="002E5946"/>
    <w:rsid w:val="002E6BD7"/>
    <w:rsid w:val="002E7D0C"/>
    <w:rsid w:val="002F2139"/>
    <w:rsid w:val="002F2D58"/>
    <w:rsid w:val="002F4871"/>
    <w:rsid w:val="00305462"/>
    <w:rsid w:val="003078A2"/>
    <w:rsid w:val="00307F31"/>
    <w:rsid w:val="003110BC"/>
    <w:rsid w:val="00312EA6"/>
    <w:rsid w:val="00317235"/>
    <w:rsid w:val="00317A8F"/>
    <w:rsid w:val="00320693"/>
    <w:rsid w:val="00322EA2"/>
    <w:rsid w:val="00323102"/>
    <w:rsid w:val="00331DCE"/>
    <w:rsid w:val="00331F5A"/>
    <w:rsid w:val="003339B3"/>
    <w:rsid w:val="003362B3"/>
    <w:rsid w:val="0033737D"/>
    <w:rsid w:val="003428C2"/>
    <w:rsid w:val="0034297F"/>
    <w:rsid w:val="00343439"/>
    <w:rsid w:val="003450F6"/>
    <w:rsid w:val="0035522E"/>
    <w:rsid w:val="00357B53"/>
    <w:rsid w:val="00360568"/>
    <w:rsid w:val="00361920"/>
    <w:rsid w:val="00361997"/>
    <w:rsid w:val="00362A8A"/>
    <w:rsid w:val="00362FA4"/>
    <w:rsid w:val="00364809"/>
    <w:rsid w:val="00367493"/>
    <w:rsid w:val="00367EEF"/>
    <w:rsid w:val="003719EA"/>
    <w:rsid w:val="00371D90"/>
    <w:rsid w:val="0037335F"/>
    <w:rsid w:val="00374A6B"/>
    <w:rsid w:val="003833B4"/>
    <w:rsid w:val="003847FD"/>
    <w:rsid w:val="00391A0D"/>
    <w:rsid w:val="00392059"/>
    <w:rsid w:val="003920AA"/>
    <w:rsid w:val="00392D39"/>
    <w:rsid w:val="00393377"/>
    <w:rsid w:val="00395F1E"/>
    <w:rsid w:val="00396619"/>
    <w:rsid w:val="003A21EF"/>
    <w:rsid w:val="003A3B42"/>
    <w:rsid w:val="003A6866"/>
    <w:rsid w:val="003B0544"/>
    <w:rsid w:val="003B0D51"/>
    <w:rsid w:val="003B40AB"/>
    <w:rsid w:val="003B43EC"/>
    <w:rsid w:val="003B7BC2"/>
    <w:rsid w:val="003C61B3"/>
    <w:rsid w:val="003C775B"/>
    <w:rsid w:val="003D0506"/>
    <w:rsid w:val="003D1D0D"/>
    <w:rsid w:val="003D2597"/>
    <w:rsid w:val="003D317D"/>
    <w:rsid w:val="003D7F65"/>
    <w:rsid w:val="003E1C2F"/>
    <w:rsid w:val="003F173D"/>
    <w:rsid w:val="003F2837"/>
    <w:rsid w:val="003F3BD8"/>
    <w:rsid w:val="003F4E16"/>
    <w:rsid w:val="00404616"/>
    <w:rsid w:val="0040608E"/>
    <w:rsid w:val="004071A5"/>
    <w:rsid w:val="00410E93"/>
    <w:rsid w:val="00415785"/>
    <w:rsid w:val="00416C1D"/>
    <w:rsid w:val="004178A0"/>
    <w:rsid w:val="004200B7"/>
    <w:rsid w:val="00420E84"/>
    <w:rsid w:val="004429CE"/>
    <w:rsid w:val="00445522"/>
    <w:rsid w:val="00446BA8"/>
    <w:rsid w:val="004533CD"/>
    <w:rsid w:val="00453D20"/>
    <w:rsid w:val="0046031C"/>
    <w:rsid w:val="00466AB2"/>
    <w:rsid w:val="00471113"/>
    <w:rsid w:val="00471CA6"/>
    <w:rsid w:val="00480A32"/>
    <w:rsid w:val="00482DE1"/>
    <w:rsid w:val="00485179"/>
    <w:rsid w:val="004A0D4C"/>
    <w:rsid w:val="004A0FAB"/>
    <w:rsid w:val="004A33E6"/>
    <w:rsid w:val="004A3B5A"/>
    <w:rsid w:val="004B0621"/>
    <w:rsid w:val="004B2414"/>
    <w:rsid w:val="004B7E27"/>
    <w:rsid w:val="004D1B24"/>
    <w:rsid w:val="004D1F01"/>
    <w:rsid w:val="004D375A"/>
    <w:rsid w:val="004E0034"/>
    <w:rsid w:val="004E1B04"/>
    <w:rsid w:val="004E3266"/>
    <w:rsid w:val="004E42DF"/>
    <w:rsid w:val="004E5602"/>
    <w:rsid w:val="004E7847"/>
    <w:rsid w:val="004F0D37"/>
    <w:rsid w:val="004F3D2F"/>
    <w:rsid w:val="004F474B"/>
    <w:rsid w:val="004F6A69"/>
    <w:rsid w:val="0050650D"/>
    <w:rsid w:val="00506C52"/>
    <w:rsid w:val="00512234"/>
    <w:rsid w:val="00512D8A"/>
    <w:rsid w:val="005155A2"/>
    <w:rsid w:val="00525EC1"/>
    <w:rsid w:val="00525FB3"/>
    <w:rsid w:val="00530B16"/>
    <w:rsid w:val="00532227"/>
    <w:rsid w:val="00534A15"/>
    <w:rsid w:val="00542997"/>
    <w:rsid w:val="00545BB4"/>
    <w:rsid w:val="00551C40"/>
    <w:rsid w:val="00554ECD"/>
    <w:rsid w:val="005567C5"/>
    <w:rsid w:val="005572A7"/>
    <w:rsid w:val="005640D2"/>
    <w:rsid w:val="005741D3"/>
    <w:rsid w:val="005846C0"/>
    <w:rsid w:val="00584FC4"/>
    <w:rsid w:val="0058668F"/>
    <w:rsid w:val="005907E5"/>
    <w:rsid w:val="00590BBE"/>
    <w:rsid w:val="00593616"/>
    <w:rsid w:val="00597952"/>
    <w:rsid w:val="005A1727"/>
    <w:rsid w:val="005A386A"/>
    <w:rsid w:val="005A753C"/>
    <w:rsid w:val="005A76F5"/>
    <w:rsid w:val="005B5AF1"/>
    <w:rsid w:val="005B6F7A"/>
    <w:rsid w:val="005C2842"/>
    <w:rsid w:val="005C3E40"/>
    <w:rsid w:val="005D2F26"/>
    <w:rsid w:val="005E53C5"/>
    <w:rsid w:val="005E65A7"/>
    <w:rsid w:val="005F18C0"/>
    <w:rsid w:val="005F3F11"/>
    <w:rsid w:val="005F7C87"/>
    <w:rsid w:val="00601621"/>
    <w:rsid w:val="006017B2"/>
    <w:rsid w:val="00605E1F"/>
    <w:rsid w:val="00606C81"/>
    <w:rsid w:val="006142ED"/>
    <w:rsid w:val="00621321"/>
    <w:rsid w:val="00623468"/>
    <w:rsid w:val="0063227A"/>
    <w:rsid w:val="0063353E"/>
    <w:rsid w:val="00634244"/>
    <w:rsid w:val="00642259"/>
    <w:rsid w:val="006534F7"/>
    <w:rsid w:val="00655487"/>
    <w:rsid w:val="00655EDD"/>
    <w:rsid w:val="00657C80"/>
    <w:rsid w:val="00657F6E"/>
    <w:rsid w:val="00662204"/>
    <w:rsid w:val="0066342D"/>
    <w:rsid w:val="006659B7"/>
    <w:rsid w:val="006678D8"/>
    <w:rsid w:val="00671EAA"/>
    <w:rsid w:val="00673A9E"/>
    <w:rsid w:val="0067411C"/>
    <w:rsid w:val="006747D6"/>
    <w:rsid w:val="006749F6"/>
    <w:rsid w:val="00674AEB"/>
    <w:rsid w:val="00676426"/>
    <w:rsid w:val="00682953"/>
    <w:rsid w:val="00683DE9"/>
    <w:rsid w:val="00684169"/>
    <w:rsid w:val="00690E56"/>
    <w:rsid w:val="00696F8F"/>
    <w:rsid w:val="0069799F"/>
    <w:rsid w:val="006A2A33"/>
    <w:rsid w:val="006A43E0"/>
    <w:rsid w:val="006A724E"/>
    <w:rsid w:val="006B00E2"/>
    <w:rsid w:val="006B7D74"/>
    <w:rsid w:val="006C2FB7"/>
    <w:rsid w:val="006C46C9"/>
    <w:rsid w:val="006C68F4"/>
    <w:rsid w:val="006C7CE8"/>
    <w:rsid w:val="006D48CE"/>
    <w:rsid w:val="006D63DE"/>
    <w:rsid w:val="006D7603"/>
    <w:rsid w:val="006E073E"/>
    <w:rsid w:val="006E0860"/>
    <w:rsid w:val="006E11E4"/>
    <w:rsid w:val="006E73DA"/>
    <w:rsid w:val="006F1BD5"/>
    <w:rsid w:val="006F1EF5"/>
    <w:rsid w:val="006F228B"/>
    <w:rsid w:val="006F25BB"/>
    <w:rsid w:val="006F440F"/>
    <w:rsid w:val="006F5705"/>
    <w:rsid w:val="006F7D7B"/>
    <w:rsid w:val="006F7D9B"/>
    <w:rsid w:val="00700335"/>
    <w:rsid w:val="00705CCA"/>
    <w:rsid w:val="00712C51"/>
    <w:rsid w:val="00712C92"/>
    <w:rsid w:val="0071629E"/>
    <w:rsid w:val="00724BA9"/>
    <w:rsid w:val="007278CA"/>
    <w:rsid w:val="00727C31"/>
    <w:rsid w:val="00736547"/>
    <w:rsid w:val="0074059D"/>
    <w:rsid w:val="00741A46"/>
    <w:rsid w:val="0074366C"/>
    <w:rsid w:val="007449EF"/>
    <w:rsid w:val="00747423"/>
    <w:rsid w:val="00753147"/>
    <w:rsid w:val="00754208"/>
    <w:rsid w:val="0075597D"/>
    <w:rsid w:val="00762EF6"/>
    <w:rsid w:val="00764C4E"/>
    <w:rsid w:val="0077098C"/>
    <w:rsid w:val="007709FD"/>
    <w:rsid w:val="00772567"/>
    <w:rsid w:val="007737CD"/>
    <w:rsid w:val="007777BC"/>
    <w:rsid w:val="0078262C"/>
    <w:rsid w:val="007830E2"/>
    <w:rsid w:val="007876AA"/>
    <w:rsid w:val="00787AC5"/>
    <w:rsid w:val="00792C15"/>
    <w:rsid w:val="00796EED"/>
    <w:rsid w:val="007A7F06"/>
    <w:rsid w:val="007C3A48"/>
    <w:rsid w:val="007C5EF9"/>
    <w:rsid w:val="007C6F33"/>
    <w:rsid w:val="007D276C"/>
    <w:rsid w:val="007D677E"/>
    <w:rsid w:val="007E0337"/>
    <w:rsid w:val="007E2003"/>
    <w:rsid w:val="007E4F06"/>
    <w:rsid w:val="007F0267"/>
    <w:rsid w:val="007F0826"/>
    <w:rsid w:val="007F1FB6"/>
    <w:rsid w:val="007F37CC"/>
    <w:rsid w:val="007F7175"/>
    <w:rsid w:val="007F7FF9"/>
    <w:rsid w:val="0080137D"/>
    <w:rsid w:val="00801A91"/>
    <w:rsid w:val="00803589"/>
    <w:rsid w:val="008113E5"/>
    <w:rsid w:val="00811904"/>
    <w:rsid w:val="008131FF"/>
    <w:rsid w:val="00815E3D"/>
    <w:rsid w:val="0081744A"/>
    <w:rsid w:val="00817C7C"/>
    <w:rsid w:val="00817F06"/>
    <w:rsid w:val="008200B5"/>
    <w:rsid w:val="00820472"/>
    <w:rsid w:val="008229CD"/>
    <w:rsid w:val="008233C6"/>
    <w:rsid w:val="008243E4"/>
    <w:rsid w:val="00824B85"/>
    <w:rsid w:val="00832F91"/>
    <w:rsid w:val="00833BB4"/>
    <w:rsid w:val="00835478"/>
    <w:rsid w:val="00836674"/>
    <w:rsid w:val="008369B9"/>
    <w:rsid w:val="00837C6D"/>
    <w:rsid w:val="00840140"/>
    <w:rsid w:val="00844369"/>
    <w:rsid w:val="0085302F"/>
    <w:rsid w:val="00853480"/>
    <w:rsid w:val="00855C82"/>
    <w:rsid w:val="00866E52"/>
    <w:rsid w:val="00866F67"/>
    <w:rsid w:val="00870653"/>
    <w:rsid w:val="0087248C"/>
    <w:rsid w:val="0088123D"/>
    <w:rsid w:val="0088252A"/>
    <w:rsid w:val="00883D24"/>
    <w:rsid w:val="0089079A"/>
    <w:rsid w:val="008936A8"/>
    <w:rsid w:val="00896E18"/>
    <w:rsid w:val="00897AFF"/>
    <w:rsid w:val="008A1527"/>
    <w:rsid w:val="008A5085"/>
    <w:rsid w:val="008A6B87"/>
    <w:rsid w:val="008A7402"/>
    <w:rsid w:val="008B1E3A"/>
    <w:rsid w:val="008B25BC"/>
    <w:rsid w:val="008B27B8"/>
    <w:rsid w:val="008C0369"/>
    <w:rsid w:val="008C1929"/>
    <w:rsid w:val="008C2FFC"/>
    <w:rsid w:val="008D0191"/>
    <w:rsid w:val="008E30FA"/>
    <w:rsid w:val="008E59E2"/>
    <w:rsid w:val="008E76E0"/>
    <w:rsid w:val="008F0191"/>
    <w:rsid w:val="008F02E0"/>
    <w:rsid w:val="008F4ADF"/>
    <w:rsid w:val="008F624E"/>
    <w:rsid w:val="00901FFA"/>
    <w:rsid w:val="00907727"/>
    <w:rsid w:val="0091196E"/>
    <w:rsid w:val="0091261F"/>
    <w:rsid w:val="00913E59"/>
    <w:rsid w:val="009141CA"/>
    <w:rsid w:val="009146C4"/>
    <w:rsid w:val="00921C40"/>
    <w:rsid w:val="009227B7"/>
    <w:rsid w:val="00922C0C"/>
    <w:rsid w:val="00925F23"/>
    <w:rsid w:val="009274BB"/>
    <w:rsid w:val="009316C1"/>
    <w:rsid w:val="009318DA"/>
    <w:rsid w:val="009319FE"/>
    <w:rsid w:val="009329FA"/>
    <w:rsid w:val="009339E9"/>
    <w:rsid w:val="00937DDB"/>
    <w:rsid w:val="009411D7"/>
    <w:rsid w:val="009412FB"/>
    <w:rsid w:val="00942505"/>
    <w:rsid w:val="009426DA"/>
    <w:rsid w:val="00943820"/>
    <w:rsid w:val="00943B34"/>
    <w:rsid w:val="0095098F"/>
    <w:rsid w:val="00962434"/>
    <w:rsid w:val="00962D11"/>
    <w:rsid w:val="00966389"/>
    <w:rsid w:val="0097053F"/>
    <w:rsid w:val="00970BF2"/>
    <w:rsid w:val="0097209E"/>
    <w:rsid w:val="00975F39"/>
    <w:rsid w:val="00981A58"/>
    <w:rsid w:val="00982FA4"/>
    <w:rsid w:val="00986325"/>
    <w:rsid w:val="00990624"/>
    <w:rsid w:val="00990CB8"/>
    <w:rsid w:val="00992D28"/>
    <w:rsid w:val="00993F4E"/>
    <w:rsid w:val="009A17F0"/>
    <w:rsid w:val="009A2938"/>
    <w:rsid w:val="009A740A"/>
    <w:rsid w:val="009B18B5"/>
    <w:rsid w:val="009B3149"/>
    <w:rsid w:val="009B6AC0"/>
    <w:rsid w:val="009B7DCB"/>
    <w:rsid w:val="009C02E0"/>
    <w:rsid w:val="009C0C98"/>
    <w:rsid w:val="009C4F1F"/>
    <w:rsid w:val="009D0DAF"/>
    <w:rsid w:val="009D0EB8"/>
    <w:rsid w:val="009D18E7"/>
    <w:rsid w:val="009D3F35"/>
    <w:rsid w:val="009D4D94"/>
    <w:rsid w:val="009D6650"/>
    <w:rsid w:val="009E0129"/>
    <w:rsid w:val="009E3A5B"/>
    <w:rsid w:val="009E3F9D"/>
    <w:rsid w:val="009E480E"/>
    <w:rsid w:val="009E4CAE"/>
    <w:rsid w:val="009E708C"/>
    <w:rsid w:val="009F0860"/>
    <w:rsid w:val="009F2EF4"/>
    <w:rsid w:val="009F4EC8"/>
    <w:rsid w:val="009F790A"/>
    <w:rsid w:val="009F7EE3"/>
    <w:rsid w:val="00A01373"/>
    <w:rsid w:val="00A01C0C"/>
    <w:rsid w:val="00A06D28"/>
    <w:rsid w:val="00A06EFD"/>
    <w:rsid w:val="00A105D4"/>
    <w:rsid w:val="00A105F6"/>
    <w:rsid w:val="00A13502"/>
    <w:rsid w:val="00A13D51"/>
    <w:rsid w:val="00A152E6"/>
    <w:rsid w:val="00A16492"/>
    <w:rsid w:val="00A16CF6"/>
    <w:rsid w:val="00A20A0D"/>
    <w:rsid w:val="00A20CBF"/>
    <w:rsid w:val="00A238BE"/>
    <w:rsid w:val="00A24FB6"/>
    <w:rsid w:val="00A30EF2"/>
    <w:rsid w:val="00A312FB"/>
    <w:rsid w:val="00A3337A"/>
    <w:rsid w:val="00A436DA"/>
    <w:rsid w:val="00A46B3C"/>
    <w:rsid w:val="00A479CD"/>
    <w:rsid w:val="00A52FCF"/>
    <w:rsid w:val="00A57EA3"/>
    <w:rsid w:val="00A6444F"/>
    <w:rsid w:val="00A728D5"/>
    <w:rsid w:val="00A764A8"/>
    <w:rsid w:val="00A823EB"/>
    <w:rsid w:val="00A83165"/>
    <w:rsid w:val="00A84038"/>
    <w:rsid w:val="00A846CA"/>
    <w:rsid w:val="00A90892"/>
    <w:rsid w:val="00A925D3"/>
    <w:rsid w:val="00A9470C"/>
    <w:rsid w:val="00A95F00"/>
    <w:rsid w:val="00AA3708"/>
    <w:rsid w:val="00AB165A"/>
    <w:rsid w:val="00AB709C"/>
    <w:rsid w:val="00AB7174"/>
    <w:rsid w:val="00AC1738"/>
    <w:rsid w:val="00AC3EE6"/>
    <w:rsid w:val="00AC754C"/>
    <w:rsid w:val="00AD2590"/>
    <w:rsid w:val="00AD28DF"/>
    <w:rsid w:val="00AD4EA1"/>
    <w:rsid w:val="00AD5679"/>
    <w:rsid w:val="00AD7840"/>
    <w:rsid w:val="00AE1E1C"/>
    <w:rsid w:val="00AE4E21"/>
    <w:rsid w:val="00AF5318"/>
    <w:rsid w:val="00AF56C6"/>
    <w:rsid w:val="00AF59A2"/>
    <w:rsid w:val="00AF6700"/>
    <w:rsid w:val="00B037A8"/>
    <w:rsid w:val="00B04C56"/>
    <w:rsid w:val="00B04DD5"/>
    <w:rsid w:val="00B05633"/>
    <w:rsid w:val="00B1392C"/>
    <w:rsid w:val="00B141D8"/>
    <w:rsid w:val="00B153D6"/>
    <w:rsid w:val="00B25B9E"/>
    <w:rsid w:val="00B26EB8"/>
    <w:rsid w:val="00B27B89"/>
    <w:rsid w:val="00B30AF0"/>
    <w:rsid w:val="00B3116A"/>
    <w:rsid w:val="00B312AB"/>
    <w:rsid w:val="00B333AB"/>
    <w:rsid w:val="00B342C2"/>
    <w:rsid w:val="00B34F6B"/>
    <w:rsid w:val="00B37956"/>
    <w:rsid w:val="00B405A7"/>
    <w:rsid w:val="00B45304"/>
    <w:rsid w:val="00B466E8"/>
    <w:rsid w:val="00B50E75"/>
    <w:rsid w:val="00B56B5B"/>
    <w:rsid w:val="00B603AB"/>
    <w:rsid w:val="00B61A1D"/>
    <w:rsid w:val="00B64BDE"/>
    <w:rsid w:val="00B670B5"/>
    <w:rsid w:val="00B718E3"/>
    <w:rsid w:val="00B72815"/>
    <w:rsid w:val="00B73736"/>
    <w:rsid w:val="00B754F4"/>
    <w:rsid w:val="00B756F2"/>
    <w:rsid w:val="00B879EF"/>
    <w:rsid w:val="00B919B7"/>
    <w:rsid w:val="00B93099"/>
    <w:rsid w:val="00B97974"/>
    <w:rsid w:val="00BA7F23"/>
    <w:rsid w:val="00BB097A"/>
    <w:rsid w:val="00BB6752"/>
    <w:rsid w:val="00BB75F5"/>
    <w:rsid w:val="00BB79A4"/>
    <w:rsid w:val="00BC35A8"/>
    <w:rsid w:val="00BC3D4A"/>
    <w:rsid w:val="00BD16C2"/>
    <w:rsid w:val="00BE12BD"/>
    <w:rsid w:val="00BE1B57"/>
    <w:rsid w:val="00BE2AA1"/>
    <w:rsid w:val="00BF0B91"/>
    <w:rsid w:val="00BF7E8B"/>
    <w:rsid w:val="00C030F4"/>
    <w:rsid w:val="00C03810"/>
    <w:rsid w:val="00C06C35"/>
    <w:rsid w:val="00C07B81"/>
    <w:rsid w:val="00C110EB"/>
    <w:rsid w:val="00C127B5"/>
    <w:rsid w:val="00C12E1A"/>
    <w:rsid w:val="00C2679D"/>
    <w:rsid w:val="00C34AE8"/>
    <w:rsid w:val="00C35520"/>
    <w:rsid w:val="00C41588"/>
    <w:rsid w:val="00C44792"/>
    <w:rsid w:val="00C51D53"/>
    <w:rsid w:val="00C63E39"/>
    <w:rsid w:val="00C7087E"/>
    <w:rsid w:val="00C7184F"/>
    <w:rsid w:val="00C755A3"/>
    <w:rsid w:val="00C75E6A"/>
    <w:rsid w:val="00C77F5A"/>
    <w:rsid w:val="00C91E73"/>
    <w:rsid w:val="00C92602"/>
    <w:rsid w:val="00C958A1"/>
    <w:rsid w:val="00C95F7D"/>
    <w:rsid w:val="00C9758B"/>
    <w:rsid w:val="00CA22E0"/>
    <w:rsid w:val="00CA2552"/>
    <w:rsid w:val="00CA3F16"/>
    <w:rsid w:val="00CA5E78"/>
    <w:rsid w:val="00CB0637"/>
    <w:rsid w:val="00CB269D"/>
    <w:rsid w:val="00CB27D7"/>
    <w:rsid w:val="00CB5DF6"/>
    <w:rsid w:val="00CB7A9A"/>
    <w:rsid w:val="00CC5B87"/>
    <w:rsid w:val="00CD3952"/>
    <w:rsid w:val="00CD4397"/>
    <w:rsid w:val="00CD4D7E"/>
    <w:rsid w:val="00CE0B07"/>
    <w:rsid w:val="00CE35CE"/>
    <w:rsid w:val="00CE58CC"/>
    <w:rsid w:val="00CE5D57"/>
    <w:rsid w:val="00CE742E"/>
    <w:rsid w:val="00CF088C"/>
    <w:rsid w:val="00CF52AF"/>
    <w:rsid w:val="00D019E8"/>
    <w:rsid w:val="00D129EA"/>
    <w:rsid w:val="00D1339A"/>
    <w:rsid w:val="00D1519C"/>
    <w:rsid w:val="00D16EFB"/>
    <w:rsid w:val="00D17473"/>
    <w:rsid w:val="00D23A7A"/>
    <w:rsid w:val="00D2431F"/>
    <w:rsid w:val="00D26552"/>
    <w:rsid w:val="00D33EA8"/>
    <w:rsid w:val="00D3518B"/>
    <w:rsid w:val="00D35420"/>
    <w:rsid w:val="00D3787C"/>
    <w:rsid w:val="00D43885"/>
    <w:rsid w:val="00D445CD"/>
    <w:rsid w:val="00D51844"/>
    <w:rsid w:val="00D5475F"/>
    <w:rsid w:val="00D6081A"/>
    <w:rsid w:val="00D66235"/>
    <w:rsid w:val="00D70CB3"/>
    <w:rsid w:val="00D73C4A"/>
    <w:rsid w:val="00D7436B"/>
    <w:rsid w:val="00D765A1"/>
    <w:rsid w:val="00D771E6"/>
    <w:rsid w:val="00D83857"/>
    <w:rsid w:val="00D90F86"/>
    <w:rsid w:val="00D917D0"/>
    <w:rsid w:val="00D92D46"/>
    <w:rsid w:val="00D93850"/>
    <w:rsid w:val="00D9485E"/>
    <w:rsid w:val="00DA111C"/>
    <w:rsid w:val="00DA1A74"/>
    <w:rsid w:val="00DA7DD9"/>
    <w:rsid w:val="00DB1681"/>
    <w:rsid w:val="00DB2529"/>
    <w:rsid w:val="00DB40E8"/>
    <w:rsid w:val="00DB45BD"/>
    <w:rsid w:val="00DC147C"/>
    <w:rsid w:val="00DC3527"/>
    <w:rsid w:val="00DC3A7C"/>
    <w:rsid w:val="00DD0F7B"/>
    <w:rsid w:val="00DD13CC"/>
    <w:rsid w:val="00DD169D"/>
    <w:rsid w:val="00DD3A85"/>
    <w:rsid w:val="00DD5F82"/>
    <w:rsid w:val="00DD6D46"/>
    <w:rsid w:val="00DE2824"/>
    <w:rsid w:val="00DE4CE4"/>
    <w:rsid w:val="00DF229F"/>
    <w:rsid w:val="00DF7429"/>
    <w:rsid w:val="00E01734"/>
    <w:rsid w:val="00E101F3"/>
    <w:rsid w:val="00E1023F"/>
    <w:rsid w:val="00E12A2C"/>
    <w:rsid w:val="00E155C3"/>
    <w:rsid w:val="00E27865"/>
    <w:rsid w:val="00E335B9"/>
    <w:rsid w:val="00E41516"/>
    <w:rsid w:val="00E44B20"/>
    <w:rsid w:val="00E44CE6"/>
    <w:rsid w:val="00E45445"/>
    <w:rsid w:val="00E4666A"/>
    <w:rsid w:val="00E470BE"/>
    <w:rsid w:val="00E47C04"/>
    <w:rsid w:val="00E51515"/>
    <w:rsid w:val="00E56C91"/>
    <w:rsid w:val="00E63D03"/>
    <w:rsid w:val="00E64294"/>
    <w:rsid w:val="00E651ED"/>
    <w:rsid w:val="00E6666A"/>
    <w:rsid w:val="00E7573B"/>
    <w:rsid w:val="00E769B4"/>
    <w:rsid w:val="00E7705E"/>
    <w:rsid w:val="00E77469"/>
    <w:rsid w:val="00E82ACC"/>
    <w:rsid w:val="00E82F0C"/>
    <w:rsid w:val="00E8350A"/>
    <w:rsid w:val="00E87379"/>
    <w:rsid w:val="00E87DD0"/>
    <w:rsid w:val="00E87FD0"/>
    <w:rsid w:val="00E87FE4"/>
    <w:rsid w:val="00E900F0"/>
    <w:rsid w:val="00E904AE"/>
    <w:rsid w:val="00E91C71"/>
    <w:rsid w:val="00E941FE"/>
    <w:rsid w:val="00E96059"/>
    <w:rsid w:val="00E97312"/>
    <w:rsid w:val="00EA1598"/>
    <w:rsid w:val="00EA344B"/>
    <w:rsid w:val="00EA45C3"/>
    <w:rsid w:val="00EA4C82"/>
    <w:rsid w:val="00EA583B"/>
    <w:rsid w:val="00EB2BEA"/>
    <w:rsid w:val="00EB3639"/>
    <w:rsid w:val="00EB40CF"/>
    <w:rsid w:val="00EB7811"/>
    <w:rsid w:val="00EC0FED"/>
    <w:rsid w:val="00EC31A3"/>
    <w:rsid w:val="00EC4F83"/>
    <w:rsid w:val="00ED1A8B"/>
    <w:rsid w:val="00ED442A"/>
    <w:rsid w:val="00ED4C75"/>
    <w:rsid w:val="00ED54E5"/>
    <w:rsid w:val="00ED5C7B"/>
    <w:rsid w:val="00EE0CA6"/>
    <w:rsid w:val="00EE318F"/>
    <w:rsid w:val="00EE654D"/>
    <w:rsid w:val="00EE69BA"/>
    <w:rsid w:val="00EE7751"/>
    <w:rsid w:val="00EF0B14"/>
    <w:rsid w:val="00F00015"/>
    <w:rsid w:val="00F0056E"/>
    <w:rsid w:val="00F02BE1"/>
    <w:rsid w:val="00F02EAE"/>
    <w:rsid w:val="00F03CBA"/>
    <w:rsid w:val="00F055E7"/>
    <w:rsid w:val="00F05952"/>
    <w:rsid w:val="00F11A38"/>
    <w:rsid w:val="00F1232A"/>
    <w:rsid w:val="00F140DE"/>
    <w:rsid w:val="00F142ED"/>
    <w:rsid w:val="00F21365"/>
    <w:rsid w:val="00F239F0"/>
    <w:rsid w:val="00F24242"/>
    <w:rsid w:val="00F25E6E"/>
    <w:rsid w:val="00F334C5"/>
    <w:rsid w:val="00F33A6D"/>
    <w:rsid w:val="00F43E71"/>
    <w:rsid w:val="00F50C94"/>
    <w:rsid w:val="00F5199D"/>
    <w:rsid w:val="00F51D3E"/>
    <w:rsid w:val="00F53F27"/>
    <w:rsid w:val="00F55845"/>
    <w:rsid w:val="00F56C51"/>
    <w:rsid w:val="00F571D6"/>
    <w:rsid w:val="00F60864"/>
    <w:rsid w:val="00F65911"/>
    <w:rsid w:val="00F74722"/>
    <w:rsid w:val="00F751DB"/>
    <w:rsid w:val="00F755EA"/>
    <w:rsid w:val="00F76D79"/>
    <w:rsid w:val="00F77434"/>
    <w:rsid w:val="00F822AD"/>
    <w:rsid w:val="00F86E79"/>
    <w:rsid w:val="00F86E86"/>
    <w:rsid w:val="00F926AF"/>
    <w:rsid w:val="00F935F5"/>
    <w:rsid w:val="00F93BFE"/>
    <w:rsid w:val="00F94024"/>
    <w:rsid w:val="00FA41A5"/>
    <w:rsid w:val="00FA43C2"/>
    <w:rsid w:val="00FA6736"/>
    <w:rsid w:val="00FA6A23"/>
    <w:rsid w:val="00FA79ED"/>
    <w:rsid w:val="00FB08B6"/>
    <w:rsid w:val="00FB3F99"/>
    <w:rsid w:val="00FB4157"/>
    <w:rsid w:val="00FB43F4"/>
    <w:rsid w:val="00FB5C1B"/>
    <w:rsid w:val="00FB5EF0"/>
    <w:rsid w:val="00FB6361"/>
    <w:rsid w:val="00FC161C"/>
    <w:rsid w:val="00FC6ED2"/>
    <w:rsid w:val="00FE2C29"/>
    <w:rsid w:val="00FF1FE2"/>
    <w:rsid w:val="00FF39E4"/>
    <w:rsid w:val="00FF3CE0"/>
    <w:rsid w:val="00FF4212"/>
    <w:rsid w:val="00FF7179"/>
    <w:rsid w:val="00FF792E"/>
    <w:rsid w:val="5DE26FF9"/>
    <w:rsid w:val="61137EBE"/>
    <w:rsid w:val="76D7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 w:type="paragraph" w:customStyle="1" w:styleId="xmsolistparagraph">
    <w:name w:val="x_msolistparagraph"/>
    <w:basedOn w:val="Normal"/>
    <w:rsid w:val="00CD4D7E"/>
    <w:pPr>
      <w:widowControl/>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5752">
      <w:bodyDiv w:val="1"/>
      <w:marLeft w:val="0"/>
      <w:marRight w:val="0"/>
      <w:marTop w:val="0"/>
      <w:marBottom w:val="0"/>
      <w:divBdr>
        <w:top w:val="none" w:sz="0" w:space="0" w:color="auto"/>
        <w:left w:val="none" w:sz="0" w:space="0" w:color="auto"/>
        <w:bottom w:val="none" w:sz="0" w:space="0" w:color="auto"/>
        <w:right w:val="none" w:sz="0" w:space="0" w:color="auto"/>
      </w:divBdr>
    </w:div>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326633373">
      <w:bodyDiv w:val="1"/>
      <w:marLeft w:val="0"/>
      <w:marRight w:val="0"/>
      <w:marTop w:val="0"/>
      <w:marBottom w:val="0"/>
      <w:divBdr>
        <w:top w:val="none" w:sz="0" w:space="0" w:color="auto"/>
        <w:left w:val="none" w:sz="0" w:space="0" w:color="auto"/>
        <w:bottom w:val="none" w:sz="0" w:space="0" w:color="auto"/>
        <w:right w:val="none" w:sz="0" w:space="0" w:color="auto"/>
      </w:divBdr>
    </w:div>
    <w:div w:id="474375716">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56847972">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03046082">
      <w:bodyDiv w:val="1"/>
      <w:marLeft w:val="0"/>
      <w:marRight w:val="0"/>
      <w:marTop w:val="0"/>
      <w:marBottom w:val="0"/>
      <w:divBdr>
        <w:top w:val="none" w:sz="0" w:space="0" w:color="auto"/>
        <w:left w:val="none" w:sz="0" w:space="0" w:color="auto"/>
        <w:bottom w:val="none" w:sz="0" w:space="0" w:color="auto"/>
        <w:right w:val="none" w:sz="0" w:space="0" w:color="auto"/>
      </w:divBdr>
    </w:div>
    <w:div w:id="1041124654">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280725853">
      <w:bodyDiv w:val="1"/>
      <w:marLeft w:val="0"/>
      <w:marRight w:val="0"/>
      <w:marTop w:val="0"/>
      <w:marBottom w:val="0"/>
      <w:divBdr>
        <w:top w:val="none" w:sz="0" w:space="0" w:color="auto"/>
        <w:left w:val="none" w:sz="0" w:space="0" w:color="auto"/>
        <w:bottom w:val="none" w:sz="0" w:space="0" w:color="auto"/>
        <w:right w:val="none" w:sz="0" w:space="0" w:color="auto"/>
      </w:divBdr>
    </w:div>
    <w:div w:id="1286303944">
      <w:bodyDiv w:val="1"/>
      <w:marLeft w:val="0"/>
      <w:marRight w:val="0"/>
      <w:marTop w:val="0"/>
      <w:marBottom w:val="0"/>
      <w:divBdr>
        <w:top w:val="none" w:sz="0" w:space="0" w:color="auto"/>
        <w:left w:val="none" w:sz="0" w:space="0" w:color="auto"/>
        <w:bottom w:val="none" w:sz="0" w:space="0" w:color="auto"/>
        <w:right w:val="none" w:sz="0" w:space="0" w:color="auto"/>
      </w:divBdr>
    </w:div>
    <w:div w:id="1310745684">
      <w:bodyDiv w:val="1"/>
      <w:marLeft w:val="0"/>
      <w:marRight w:val="0"/>
      <w:marTop w:val="0"/>
      <w:marBottom w:val="0"/>
      <w:divBdr>
        <w:top w:val="none" w:sz="0" w:space="0" w:color="auto"/>
        <w:left w:val="none" w:sz="0" w:space="0" w:color="auto"/>
        <w:bottom w:val="none" w:sz="0" w:space="0" w:color="auto"/>
        <w:right w:val="none" w:sz="0" w:space="0" w:color="auto"/>
      </w:divBdr>
    </w:div>
    <w:div w:id="1359357629">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1822229554">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9D64-3534-423F-ACA9-23380685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2019-11-04T21:44:00Z</dcterms:created>
  <dcterms:modified xsi:type="dcterms:W3CDTF">2019-11-04T21:44:00Z</dcterms:modified>
</cp:coreProperties>
</file>