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CF866" w14:textId="68B8A1CD" w:rsidR="00DB2BF4" w:rsidRDefault="009131DE" w:rsidP="00DB2BF4">
      <w:pPr>
        <w:pStyle w:val="QA"/>
        <w:spacing w:before="0"/>
      </w:pPr>
      <w:r>
        <w:t xml:space="preserve">SDG&amp;E </w:t>
      </w:r>
      <w:r w:rsidR="00E57C24">
        <w:t>20</w:t>
      </w:r>
      <w:r w:rsidR="00933E8A">
        <w:t>19</w:t>
      </w:r>
      <w:r w:rsidR="00E57C24">
        <w:t xml:space="preserve"> </w:t>
      </w:r>
      <w:r w:rsidR="00794DF6">
        <w:t xml:space="preserve">GRC Phase II, </w:t>
      </w:r>
      <w:r w:rsidR="00361F04">
        <w:t>P</w:t>
      </w:r>
      <w:r w:rsidR="00284514">
        <w:t>ublic Advocates Office</w:t>
      </w:r>
      <w:r w:rsidR="00361F04">
        <w:t xml:space="preserve"> </w:t>
      </w:r>
      <w:r w:rsidR="00794DF6">
        <w:t>DR 1; M</w:t>
      </w:r>
      <w:r w:rsidR="00A64CB2">
        <w:t xml:space="preserve">aster </w:t>
      </w:r>
      <w:r w:rsidR="00794DF6">
        <w:t>D</w:t>
      </w:r>
      <w:r w:rsidR="00A64CB2">
        <w:t xml:space="preserve">ata </w:t>
      </w:r>
      <w:r w:rsidR="00794DF6">
        <w:t>R</w:t>
      </w:r>
      <w:r w:rsidR="00A64CB2">
        <w:t>equest</w:t>
      </w:r>
    </w:p>
    <w:p w14:paraId="0E242917" w14:textId="22492106" w:rsidR="00DB2BF4" w:rsidRPr="00DB2BF4" w:rsidRDefault="00DB2BF4" w:rsidP="00DB2BF4">
      <w:pPr>
        <w:jc w:val="center"/>
        <w:rPr>
          <w:b/>
          <w:u w:val="single"/>
        </w:rPr>
      </w:pPr>
      <w:r w:rsidRPr="00DB2BF4">
        <w:rPr>
          <w:b/>
          <w:u w:val="single"/>
        </w:rPr>
        <w:t>SDG&amp;E Responses</w:t>
      </w:r>
      <w:r w:rsidR="005D0370">
        <w:rPr>
          <w:b/>
          <w:u w:val="single"/>
        </w:rPr>
        <w:t xml:space="preserve"> to Questions 1</w:t>
      </w:r>
      <w:r w:rsidR="004E0BEF">
        <w:rPr>
          <w:b/>
          <w:u w:val="single"/>
        </w:rPr>
        <w:t xml:space="preserve"> &amp;</w:t>
      </w:r>
      <w:r w:rsidR="00411FDB">
        <w:rPr>
          <w:b/>
          <w:u w:val="single"/>
        </w:rPr>
        <w:t xml:space="preserve"> 2 &amp; </w:t>
      </w:r>
      <w:r w:rsidR="00C8652B">
        <w:rPr>
          <w:b/>
          <w:u w:val="single"/>
        </w:rPr>
        <w:t>10</w:t>
      </w:r>
      <w:r w:rsidR="00411FDB">
        <w:rPr>
          <w:b/>
          <w:u w:val="single"/>
        </w:rPr>
        <w:t xml:space="preserve"> - 15</w:t>
      </w:r>
    </w:p>
    <w:p w14:paraId="16BFDAF4" w14:textId="48A7BB88" w:rsidR="00794DF6" w:rsidRDefault="00794DF6" w:rsidP="000C3364">
      <w:pPr>
        <w:pStyle w:val="QA"/>
        <w:numPr>
          <w:ilvl w:val="0"/>
          <w:numId w:val="16"/>
        </w:numPr>
        <w:ind w:left="360"/>
      </w:pPr>
    </w:p>
    <w:p w14:paraId="593F86E6" w14:textId="5D4A5A7E" w:rsidR="00794DF6" w:rsidRDefault="00794DF6" w:rsidP="000C3364">
      <w:pPr>
        <w:pStyle w:val="ListParagraph"/>
        <w:numPr>
          <w:ilvl w:val="0"/>
          <w:numId w:val="5"/>
        </w:numPr>
        <w:contextualSpacing w:val="0"/>
      </w:pPr>
      <w:r w:rsidRPr="005545FE">
        <w:t xml:space="preserve">Please provide a description of the process that </w:t>
      </w:r>
      <w:r w:rsidR="00361F04">
        <w:t>SD</w:t>
      </w:r>
      <w:r w:rsidR="00361F04" w:rsidRPr="005545FE">
        <w:t>G</w:t>
      </w:r>
      <w:r w:rsidRPr="005545FE">
        <w:t>&amp;E will employ to determine each of its marginal cost components, the allocation determinants (e.g.,</w:t>
      </w:r>
      <w:r>
        <w:t> </w:t>
      </w:r>
      <w:r w:rsidRPr="005545FE">
        <w:t>number of new customers and/or total customers, coincident peak, loss of load probability, etc.), and the process for allocating the revenues to customer classes.</w:t>
      </w:r>
    </w:p>
    <w:p w14:paraId="087E80A6" w14:textId="74309893" w:rsidR="00F06E01" w:rsidRPr="00C04561" w:rsidRDefault="7B11164B" w:rsidP="00F06E01">
      <w:pPr>
        <w:pStyle w:val="ListParagraph"/>
        <w:contextualSpacing w:val="0"/>
        <w:rPr>
          <w:b/>
          <w:color w:val="FF0000"/>
        </w:rPr>
      </w:pPr>
      <w:bookmarkStart w:id="0" w:name="_Hlk6393053"/>
      <w:r w:rsidRPr="7B11164B">
        <w:rPr>
          <w:b/>
          <w:bCs/>
        </w:rPr>
        <w:t>SDG&amp;E Response:</w:t>
      </w:r>
    </w:p>
    <w:bookmarkEnd w:id="0"/>
    <w:p w14:paraId="09955C9D" w14:textId="3C254633" w:rsidR="7B11164B" w:rsidRDefault="00417CDD" w:rsidP="7B11164B">
      <w:pPr>
        <w:pStyle w:val="ListParagraph"/>
      </w:pPr>
      <w:r w:rsidRPr="00417CDD">
        <w:rPr>
          <w:u w:val="single"/>
        </w:rPr>
        <w:t>Distribution Marginal Costs</w:t>
      </w:r>
      <w:r>
        <w:t>: pages 3-</w:t>
      </w:r>
      <w:r w:rsidR="00412CB2">
        <w:t>9</w:t>
      </w:r>
      <w:r>
        <w:t xml:space="preserve"> of SDG&amp;E’s </w:t>
      </w:r>
      <w:r w:rsidR="00A2181F">
        <w:t xml:space="preserve">2019 GRC Phase 2 </w:t>
      </w:r>
      <w:r>
        <w:t>Chapter 5 direct testimony describe</w:t>
      </w:r>
      <w:r w:rsidR="0090074A">
        <w:t>s</w:t>
      </w:r>
      <w:r>
        <w:t xml:space="preserve"> the process for calculating </w:t>
      </w:r>
      <w:r w:rsidR="00AB7199">
        <w:t xml:space="preserve">the </w:t>
      </w:r>
      <w:r>
        <w:t xml:space="preserve">marginal distribution demand costs and marginal distribution customer costs.  The calculation of the proposed marginal distribution costs, including the determinants used to calculate the marginal costs, are presented in the Chapter 5 workpapers </w:t>
      </w:r>
      <w:r w:rsidR="00A74B30">
        <w:t xml:space="preserve">previously </w:t>
      </w:r>
      <w:r>
        <w:t xml:space="preserve">provided: (a) marginal distribution demand costs are found in the “2019 GRC P2 Marg </w:t>
      </w:r>
      <w:proofErr w:type="spellStart"/>
      <w:r>
        <w:t>Dist</w:t>
      </w:r>
      <w:proofErr w:type="spellEnd"/>
      <w:r>
        <w:t xml:space="preserve"> Demand Costs (Chapter 5 Workpaper)” file; (b) marginal distribution customer costs for non-schools are found in the “2019 GRC P2 Marg </w:t>
      </w:r>
      <w:proofErr w:type="spellStart"/>
      <w:r>
        <w:t>Dist</w:t>
      </w:r>
      <w:proofErr w:type="spellEnd"/>
      <w:r>
        <w:t xml:space="preserve"> Cust Costs for Non</w:t>
      </w:r>
      <w:r w:rsidR="008776E8">
        <w:t xml:space="preserve"> </w:t>
      </w:r>
      <w:r>
        <w:t xml:space="preserve">School Class (Chapter 5 Workpaper)” file; and (c) marginal distribution customer costs for schools are found in the “2019 GRC P2 Marg </w:t>
      </w:r>
      <w:proofErr w:type="spellStart"/>
      <w:r>
        <w:t>Dist</w:t>
      </w:r>
      <w:proofErr w:type="spellEnd"/>
      <w:r>
        <w:t xml:space="preserve"> Cust Costs for School Class (Chapter 5 Workpaper) file”.</w:t>
      </w:r>
    </w:p>
    <w:p w14:paraId="7D02E612" w14:textId="73412EAE" w:rsidR="008A1922" w:rsidRDefault="008A1922" w:rsidP="7B11164B">
      <w:pPr>
        <w:pStyle w:val="ListParagraph"/>
        <w:rPr>
          <w:b/>
          <w:bCs/>
          <w:color w:val="FF0000"/>
        </w:rPr>
      </w:pPr>
    </w:p>
    <w:p w14:paraId="26A8CA04" w14:textId="345AB839" w:rsidR="008A1922" w:rsidRDefault="008A1922" w:rsidP="7B11164B">
      <w:pPr>
        <w:pStyle w:val="ListParagraph"/>
        <w:rPr>
          <w:b/>
          <w:bCs/>
          <w:color w:val="FF0000"/>
        </w:rPr>
      </w:pPr>
      <w:r w:rsidRPr="007513A4">
        <w:rPr>
          <w:u w:val="single"/>
        </w:rPr>
        <w:t>Generation Marginal Costs</w:t>
      </w:r>
      <w:r w:rsidRPr="00B86EC8">
        <w:t>: pages</w:t>
      </w:r>
      <w:r>
        <w:t xml:space="preserve"> 3-8 of SDG&amp;E GRC Phase 2 Chapter 6 direct testimony describes the process for calculating the marginal energy costs and the marginal generation capacity costs. Pages 8-10 describe the process for allocating commodity revenue to customer classes and the allocation of CTC revenue to customer classes. The calculations and allocations of these marginal costs are presented in the workpapers entitled “</w:t>
      </w:r>
      <w:r w:rsidRPr="00D84B6F">
        <w:t>CONFIDENTIAL_2019 GRC P2- Marg Gen Comm Cost (Chapter 6 Workpaper)</w:t>
      </w:r>
      <w:r>
        <w:t>” and “</w:t>
      </w:r>
      <w:r w:rsidRPr="00683655">
        <w:t>CONFIDENTIAL_2019 GRC P2- CTC Allocations (Chapter 6 Workpaper)</w:t>
      </w:r>
      <w:r>
        <w:t>”.</w:t>
      </w:r>
    </w:p>
    <w:p w14:paraId="7F54D1B6" w14:textId="2BC975DB" w:rsidR="7B11164B" w:rsidRDefault="7B11164B" w:rsidP="7B11164B">
      <w:pPr>
        <w:pStyle w:val="ListParagraph"/>
        <w:rPr>
          <w:b/>
          <w:bCs/>
          <w:color w:val="FF0000"/>
        </w:rPr>
      </w:pPr>
    </w:p>
    <w:p w14:paraId="75271199" w14:textId="118C59A5" w:rsidR="00903D13" w:rsidRPr="00AC2743" w:rsidRDefault="00903D13" w:rsidP="00C8652B">
      <w:pPr>
        <w:pStyle w:val="ListParagraph"/>
        <w:numPr>
          <w:ilvl w:val="0"/>
          <w:numId w:val="5"/>
        </w:numPr>
        <w:contextualSpacing w:val="0"/>
      </w:pPr>
      <w:bookmarkStart w:id="1" w:name="_Hlk12257596"/>
      <w:bookmarkStart w:id="2" w:name="_Hlk12257665"/>
      <w:r w:rsidRPr="00933E8A">
        <w:t xml:space="preserve">Are </w:t>
      </w:r>
      <w:r w:rsidRPr="00AC2743">
        <w:t xml:space="preserve">the </w:t>
      </w:r>
      <w:r w:rsidR="00361F04" w:rsidRPr="00AC2743">
        <w:t>20</w:t>
      </w:r>
      <w:r w:rsidR="00933E8A" w:rsidRPr="00AC2743">
        <w:t>19</w:t>
      </w:r>
      <w:r w:rsidR="00361F04" w:rsidRPr="00AC2743">
        <w:t xml:space="preserve"> </w:t>
      </w:r>
      <w:r w:rsidRPr="00AC2743">
        <w:t xml:space="preserve">billing determinants consistent with the </w:t>
      </w:r>
      <w:r w:rsidR="00361F04" w:rsidRPr="00AC2743">
        <w:t>20</w:t>
      </w:r>
      <w:r w:rsidR="00933E8A" w:rsidRPr="00AC2743">
        <w:t>19</w:t>
      </w:r>
      <w:r w:rsidR="00361F04" w:rsidRPr="00AC2743">
        <w:t xml:space="preserve"> </w:t>
      </w:r>
      <w:r w:rsidRPr="00AC2743">
        <w:t>ERRA forecast?</w:t>
      </w:r>
    </w:p>
    <w:p w14:paraId="5057D2D3" w14:textId="0E0A848B" w:rsidR="00F06E01" w:rsidRPr="00AC2743" w:rsidRDefault="00F06E01" w:rsidP="00F06E01">
      <w:pPr>
        <w:pStyle w:val="ListParagraph"/>
        <w:contextualSpacing w:val="0"/>
        <w:rPr>
          <w:color w:val="000000" w:themeColor="text1"/>
        </w:rPr>
      </w:pPr>
      <w:r w:rsidRPr="00AC2743">
        <w:rPr>
          <w:b/>
        </w:rPr>
        <w:t>SDG&amp;E Response:</w:t>
      </w:r>
      <w:r w:rsidR="00484E9F" w:rsidRPr="00AC2743">
        <w:rPr>
          <w:b/>
        </w:rPr>
        <w:t xml:space="preserve"> </w:t>
      </w:r>
      <w:r w:rsidR="00484E9F" w:rsidRPr="00AC2743">
        <w:rPr>
          <w:color w:val="000000" w:themeColor="text1"/>
        </w:rPr>
        <w:t>No</w:t>
      </w:r>
      <w:r w:rsidR="00D01E9D" w:rsidRPr="00AC2743">
        <w:rPr>
          <w:color w:val="000000" w:themeColor="text1"/>
        </w:rPr>
        <w:t>, SDG&amp;E’s billing determinants in its 2019 GRC Phase 2 Application are not consistent with the 2019 ERRA forecast.</w:t>
      </w:r>
    </w:p>
    <w:p w14:paraId="76DB17EF" w14:textId="13A2BE12" w:rsidR="00903D13" w:rsidRPr="00AC2743" w:rsidRDefault="00903D13" w:rsidP="000C3364">
      <w:pPr>
        <w:pStyle w:val="ListParagraph"/>
        <w:numPr>
          <w:ilvl w:val="1"/>
          <w:numId w:val="5"/>
        </w:numPr>
        <w:contextualSpacing w:val="0"/>
      </w:pPr>
      <w:r w:rsidRPr="00AC2743">
        <w:t>If yes, please show the data for validation.</w:t>
      </w:r>
    </w:p>
    <w:p w14:paraId="65627E4C" w14:textId="49C957B1" w:rsidR="00F06E01" w:rsidRPr="00AC2743" w:rsidRDefault="00883E0F" w:rsidP="002D5379">
      <w:pPr>
        <w:pStyle w:val="ListParagraph"/>
        <w:contextualSpacing w:val="0"/>
      </w:pPr>
      <w:r w:rsidRPr="00AC2743">
        <w:rPr>
          <w:b/>
        </w:rPr>
        <w:t>SDG&amp;E Response:</w:t>
      </w:r>
      <w:r w:rsidR="00484E9F" w:rsidRPr="00AC2743">
        <w:rPr>
          <w:b/>
        </w:rPr>
        <w:t xml:space="preserve"> </w:t>
      </w:r>
      <w:r w:rsidR="00484E9F" w:rsidRPr="00AC2743">
        <w:t>N/A</w:t>
      </w:r>
    </w:p>
    <w:p w14:paraId="4E3227AE" w14:textId="588E67B2" w:rsidR="00903D13" w:rsidRDefault="00903D13" w:rsidP="000C3364">
      <w:pPr>
        <w:pStyle w:val="ListParagraph"/>
        <w:numPr>
          <w:ilvl w:val="1"/>
          <w:numId w:val="5"/>
        </w:numPr>
        <w:contextualSpacing w:val="0"/>
      </w:pPr>
      <w:r w:rsidRPr="00AC2743">
        <w:t>If not, please explain the</w:t>
      </w:r>
      <w:r w:rsidRPr="00933E8A">
        <w:t xml:space="preserve"> </w:t>
      </w:r>
      <w:r w:rsidR="00A62066" w:rsidRPr="00933E8A">
        <w:t>discrepancies</w:t>
      </w:r>
      <w:r w:rsidRPr="00933E8A">
        <w:t xml:space="preserve">. </w:t>
      </w:r>
    </w:p>
    <w:p w14:paraId="698FC99F" w14:textId="439629BF" w:rsidR="00883E0F" w:rsidRDefault="00883E0F" w:rsidP="00A216A0">
      <w:pPr>
        <w:pStyle w:val="ListParagraph"/>
        <w:contextualSpacing w:val="0"/>
      </w:pPr>
      <w:r w:rsidRPr="00F06E01">
        <w:rPr>
          <w:b/>
        </w:rPr>
        <w:lastRenderedPageBreak/>
        <w:t>SDG&amp;E Response</w:t>
      </w:r>
      <w:r w:rsidRPr="00AC2743">
        <w:rPr>
          <w:b/>
        </w:rPr>
        <w:t>:</w:t>
      </w:r>
      <w:r w:rsidR="00484E9F" w:rsidRPr="00AC2743">
        <w:rPr>
          <w:b/>
        </w:rPr>
        <w:t xml:space="preserve"> </w:t>
      </w:r>
      <w:r w:rsidR="004D2E00" w:rsidRPr="00AC2743">
        <w:t xml:space="preserve">The 2019 ERRA forecast </w:t>
      </w:r>
      <w:r w:rsidR="0015591B" w:rsidRPr="00AC2743">
        <w:t xml:space="preserve">(A.18-04-004) </w:t>
      </w:r>
      <w:r w:rsidR="004D2E00" w:rsidRPr="00AC2743">
        <w:t xml:space="preserve">was filed </w:t>
      </w:r>
      <w:r w:rsidR="0015591B" w:rsidRPr="00AC2743">
        <w:t xml:space="preserve">on April 13, </w:t>
      </w:r>
      <w:r w:rsidR="004D2E00" w:rsidRPr="00AC2743">
        <w:t>2018</w:t>
      </w:r>
      <w:r w:rsidR="002D5379" w:rsidRPr="00AC2743">
        <w:t xml:space="preserve"> and used the </w:t>
      </w:r>
      <w:r w:rsidR="00935292" w:rsidRPr="00AC2743">
        <w:t xml:space="preserve">current, authorized </w:t>
      </w:r>
      <w:r w:rsidR="002D5379" w:rsidRPr="00AC2743">
        <w:t xml:space="preserve">sales / billing determinants that </w:t>
      </w:r>
      <w:r w:rsidR="00935292" w:rsidRPr="00AC2743">
        <w:t xml:space="preserve">existed at that time – those adopted in SDG&amp;E’s </w:t>
      </w:r>
      <w:r w:rsidR="002D5379" w:rsidRPr="00AC2743">
        <w:t>2016 GRC Phase 2</w:t>
      </w:r>
      <w:r w:rsidR="00935292" w:rsidRPr="00AC2743">
        <w:t xml:space="preserve"> D.17-08-030</w:t>
      </w:r>
      <w:r w:rsidR="002D5379" w:rsidRPr="00AC2743">
        <w:t xml:space="preserve">. </w:t>
      </w:r>
      <w:r w:rsidR="00935292" w:rsidRPr="00AC2743">
        <w:t xml:space="preserve">The </w:t>
      </w:r>
      <w:r w:rsidR="0015591B" w:rsidRPr="00AC2743">
        <w:t xml:space="preserve">current </w:t>
      </w:r>
      <w:r w:rsidR="00935292" w:rsidRPr="00AC2743">
        <w:t xml:space="preserve">sales/billing determinants </w:t>
      </w:r>
      <w:r w:rsidR="0015591B" w:rsidRPr="00AC2743">
        <w:t>that represent current</w:t>
      </w:r>
      <w:r w:rsidR="0015591B">
        <w:t xml:space="preserve"> rates </w:t>
      </w:r>
      <w:r w:rsidR="00935292">
        <w:t xml:space="preserve">in </w:t>
      </w:r>
      <w:r w:rsidR="0015591B">
        <w:t xml:space="preserve">SDG&amp;E’s 2019 GRC Phase 2 </w:t>
      </w:r>
      <w:r w:rsidR="00935292">
        <w:t>filing are those adopted in D.18-11-035</w:t>
      </w:r>
      <w:r w:rsidR="0015591B">
        <w:t>, authorized in SDG&amp;E’s 2019 Sales Forecast Application, A.18-03-003</w:t>
      </w:r>
      <w:r w:rsidR="00935292">
        <w:t>.</w:t>
      </w:r>
      <w:bookmarkEnd w:id="1"/>
      <w:r w:rsidR="0015591B">
        <w:t xml:space="preserve"> </w:t>
      </w:r>
      <w:bookmarkEnd w:id="2"/>
    </w:p>
    <w:p w14:paraId="122A7D08" w14:textId="77777777" w:rsidR="00C8652B" w:rsidRDefault="00C8652B" w:rsidP="00C8652B">
      <w:pPr>
        <w:pStyle w:val="QA"/>
        <w:numPr>
          <w:ilvl w:val="0"/>
          <w:numId w:val="16"/>
        </w:numPr>
        <w:ind w:left="360"/>
      </w:pPr>
      <w:bookmarkStart w:id="3" w:name="_Hlk12278460"/>
    </w:p>
    <w:p w14:paraId="030B5049" w14:textId="77777777" w:rsidR="00C8652B" w:rsidRDefault="00C8652B" w:rsidP="00C8652B">
      <w:r w:rsidRPr="00975D5B">
        <w:t>For marginal energy costs, please identify specific ancillary services and</w:t>
      </w:r>
      <w:r>
        <w:t>/or</w:t>
      </w:r>
      <w:r w:rsidRPr="00975D5B">
        <w:t xml:space="preserve"> RPS adders, and the methodologies </w:t>
      </w:r>
      <w:r>
        <w:t xml:space="preserve">and data </w:t>
      </w:r>
      <w:r w:rsidRPr="00975D5B">
        <w:t>used in developing them.</w:t>
      </w:r>
      <w:r>
        <w:t xml:space="preserve"> </w:t>
      </w:r>
      <w:r w:rsidRPr="00845637">
        <w:t xml:space="preserve">Please also provide all supporting databases and computer programs so that </w:t>
      </w:r>
      <w:r>
        <w:t xml:space="preserve">the Public Advocates Office </w:t>
      </w:r>
      <w:r w:rsidRPr="00845637">
        <w:t xml:space="preserve">can replicate </w:t>
      </w:r>
      <w:r>
        <w:t>SDG</w:t>
      </w:r>
      <w:r w:rsidRPr="00845637">
        <w:t>&amp;E’s analysis.</w:t>
      </w:r>
      <w:r>
        <w:t xml:space="preserve"> </w:t>
      </w:r>
    </w:p>
    <w:p w14:paraId="6413B2B8" w14:textId="77777777" w:rsidR="00C8652B" w:rsidRDefault="00C8652B" w:rsidP="00C8652B">
      <w:pPr>
        <w:pStyle w:val="ListParagraph"/>
        <w:numPr>
          <w:ilvl w:val="0"/>
          <w:numId w:val="14"/>
        </w:numPr>
        <w:ind w:left="720" w:hanging="360"/>
        <w:contextualSpacing w:val="0"/>
      </w:pPr>
      <w:r>
        <w:t xml:space="preserve">Did SDG&amp;E use a production cost modeling software such as PLEXOS to forecast hourly marginal energy costs (MECs)?  If so, please provide the model and all input files (including the load, behind-the-meter solar generation, and fuel price files) in comma separated value (csv) file format or in another format that can be opened using Excel. </w:t>
      </w:r>
    </w:p>
    <w:p w14:paraId="68C431F3" w14:textId="55CC786E" w:rsidR="00C8652B" w:rsidRPr="00C8652B" w:rsidRDefault="00C8652B" w:rsidP="00C8652B">
      <w:pPr>
        <w:pStyle w:val="ListParagraph"/>
        <w:ind w:left="990"/>
        <w:contextualSpacing w:val="0"/>
        <w:rPr>
          <w:b/>
          <w:color w:val="FF0000"/>
        </w:rPr>
      </w:pPr>
      <w:r w:rsidRPr="00F06E01">
        <w:rPr>
          <w:b/>
        </w:rPr>
        <w:t>SDG&amp;E Response:</w:t>
      </w:r>
      <w:r>
        <w:rPr>
          <w:b/>
        </w:rPr>
        <w:t xml:space="preserve"> </w:t>
      </w:r>
      <w:r>
        <w:t xml:space="preserve">SDG&amp;E does not use a production cost model to forecast marginal energy costs. The description of how SDG&amp;E develops its marginal energy cost is presented on </w:t>
      </w:r>
      <w:r w:rsidRPr="00B86EC8">
        <w:t>pages</w:t>
      </w:r>
      <w:r>
        <w:t xml:space="preserve"> 3-7 of SDG&amp;E’s “GRC Phase 2 Chapter 6 direct testimony”. The calculations of these marginal energy costs are presented in the workpaper entitled “</w:t>
      </w:r>
      <w:r w:rsidRPr="00D84B6F">
        <w:t>CONFIDENTIAL_2019 GRC P2- Marg Gen Comm Cost (Chapter 6 Workpaper)</w:t>
      </w:r>
      <w:r>
        <w:t>.” The Net Load calculation is performed in the “</w:t>
      </w:r>
      <w:r w:rsidRPr="001849D4">
        <w:t>CONFIDENTIAL_2020 Net Load Workpaper</w:t>
      </w:r>
      <w:r>
        <w:t>” and is input to the “Net load” tab of the MGCC workpaper. The hourly net load is then converted to an hourly profile (tab “Monthly Load Shape”) which is applied to a forward price curve (tab “Long Prices”) and then an RPS adder is applied (tab “Prices Summary”) to produce final marginal energy prices per TOU period.</w:t>
      </w:r>
    </w:p>
    <w:p w14:paraId="49BD1C6E" w14:textId="77777777" w:rsidR="00C8652B" w:rsidRDefault="00C8652B" w:rsidP="00C8652B">
      <w:pPr>
        <w:pStyle w:val="ListParagraph"/>
        <w:numPr>
          <w:ilvl w:val="0"/>
          <w:numId w:val="14"/>
        </w:numPr>
        <w:ind w:left="720" w:hanging="360"/>
        <w:contextualSpacing w:val="0"/>
      </w:pPr>
      <w:r w:rsidRPr="000C3364">
        <w:t xml:space="preserve">If the answer to </w:t>
      </w:r>
      <w:r>
        <w:t>a</w:t>
      </w:r>
      <w:r w:rsidRPr="000C3364">
        <w:t xml:space="preserve"> is “yes,” do the load forecasts and behind-the-meter solar generation forecasts match the “mid” forecasts in the 2019 Integrated Energy Policy Research (IEPR) report?  If not, please describe the data sources and processes that SDG&amp;E used to produce its forecasts.  Please provide workpapers showing all underlying calculations and data sources.</w:t>
      </w:r>
    </w:p>
    <w:p w14:paraId="37D498EB" w14:textId="21706528" w:rsidR="00C8652B" w:rsidRPr="00C750A2" w:rsidRDefault="00C8652B" w:rsidP="00204251">
      <w:pPr>
        <w:pStyle w:val="ListParagraph"/>
        <w:contextualSpacing w:val="0"/>
        <w:rPr>
          <w:color w:val="FF0000"/>
        </w:rPr>
      </w:pPr>
      <w:r w:rsidRPr="00F06E01">
        <w:rPr>
          <w:b/>
        </w:rPr>
        <w:t>SDG&amp;E Response:</w:t>
      </w:r>
      <w:r w:rsidR="00204251">
        <w:rPr>
          <w:b/>
        </w:rPr>
        <w:t xml:space="preserve"> </w:t>
      </w:r>
      <w:r w:rsidR="00C750A2">
        <w:t>Answered “no” to Q.2a.</w:t>
      </w:r>
    </w:p>
    <w:bookmarkEnd w:id="3"/>
    <w:p w14:paraId="72CC6A49" w14:textId="271673EC" w:rsidR="00C8652B" w:rsidRDefault="00C8652B" w:rsidP="00A216A0">
      <w:pPr>
        <w:pStyle w:val="ListParagraph"/>
        <w:contextualSpacing w:val="0"/>
      </w:pPr>
    </w:p>
    <w:p w14:paraId="2369F2E3" w14:textId="3297B340" w:rsidR="00C8652B" w:rsidRDefault="00C8652B" w:rsidP="00A216A0">
      <w:pPr>
        <w:pStyle w:val="ListParagraph"/>
        <w:contextualSpacing w:val="0"/>
      </w:pPr>
    </w:p>
    <w:p w14:paraId="00C46E5A" w14:textId="77777777" w:rsidR="00C8652B" w:rsidRPr="00E04558" w:rsidRDefault="00C8652B" w:rsidP="00A216A0">
      <w:pPr>
        <w:pStyle w:val="ListParagraph"/>
        <w:contextualSpacing w:val="0"/>
      </w:pPr>
    </w:p>
    <w:p w14:paraId="0F455854" w14:textId="493AD5C8" w:rsidR="004A1437" w:rsidRDefault="004A1437" w:rsidP="00C8652B">
      <w:pPr>
        <w:pStyle w:val="QA"/>
        <w:numPr>
          <w:ilvl w:val="0"/>
          <w:numId w:val="21"/>
        </w:numPr>
      </w:pPr>
    </w:p>
    <w:p w14:paraId="725A546C" w14:textId="02F780F8" w:rsidR="00341394" w:rsidRDefault="00341394" w:rsidP="00C8652B">
      <w:pPr>
        <w:spacing w:after="160" w:line="256" w:lineRule="auto"/>
      </w:pPr>
      <w:r>
        <w:t xml:space="preserve">Please provide a listing of the resources that received RMR or CPM contracts over the last two years in </w:t>
      </w:r>
      <w:r w:rsidR="00B6370B">
        <w:t>SD</w:t>
      </w:r>
      <w:r>
        <w:t xml:space="preserve">G&amp;E’s service area, the kW of load each one covered, and its price in $/kW-month.  </w:t>
      </w:r>
    </w:p>
    <w:p w14:paraId="5DD9B87E" w14:textId="77777777" w:rsidR="00B57305" w:rsidRDefault="00883E0F" w:rsidP="00883E0F">
      <w:pPr>
        <w:pStyle w:val="ListParagraph"/>
        <w:contextualSpacing w:val="0"/>
        <w:rPr>
          <w:b/>
        </w:rPr>
      </w:pPr>
      <w:r w:rsidRPr="00F06E01">
        <w:rPr>
          <w:b/>
        </w:rPr>
        <w:t>SDG&amp;E Response:</w:t>
      </w:r>
      <w:r w:rsidR="00C3390F">
        <w:rPr>
          <w:b/>
        </w:rPr>
        <w:t xml:space="preserve"> </w:t>
      </w:r>
    </w:p>
    <w:p w14:paraId="44291561" w14:textId="77777777" w:rsidR="000F0BF7" w:rsidRDefault="000F0BF7" w:rsidP="000F0BF7">
      <w:pPr>
        <w:rPr>
          <w:rFonts w:ascii="Calibri" w:hAnsi="Calibri"/>
          <w:sz w:val="22"/>
          <w:szCs w:val="22"/>
        </w:rPr>
      </w:pPr>
      <w:r>
        <w:t>The following links are to CAISO CPM designation market notices and RMR extensions. As noted there were no RMR extensions in the San Diego area over the past two years.</w:t>
      </w:r>
    </w:p>
    <w:p w14:paraId="7725F098" w14:textId="77777777" w:rsidR="000F0BF7" w:rsidRDefault="000F0BF7" w:rsidP="000F0BF7">
      <w:r>
        <w:t>May 23, 2019</w:t>
      </w:r>
    </w:p>
    <w:p w14:paraId="058BE691" w14:textId="77777777" w:rsidR="000F0BF7" w:rsidRDefault="003953DA" w:rsidP="000F0BF7">
      <w:hyperlink r:id="rId11" w:anchor="search=capacity%20procurement%20mechanism%20designation" w:history="1">
        <w:r w:rsidR="000F0BF7">
          <w:rPr>
            <w:rStyle w:val="Hyperlink"/>
          </w:rPr>
          <w:t>http://www.caiso.com/Documents/CapacityProcurementMechanismDesignation-052319.html</w:t>
        </w:r>
      </w:hyperlink>
    </w:p>
    <w:p w14:paraId="6318F927" w14:textId="77777777" w:rsidR="000F0BF7" w:rsidRDefault="000F0BF7" w:rsidP="000F0BF7">
      <w:r>
        <w:t>2018 CPM designation reports</w:t>
      </w:r>
    </w:p>
    <w:p w14:paraId="501B3B03" w14:textId="77777777" w:rsidR="000F0BF7" w:rsidRDefault="003953DA" w:rsidP="000F0BF7">
      <w:hyperlink r:id="rId12" w:history="1">
        <w:r w:rsidR="000F0BF7">
          <w:rPr>
            <w:rStyle w:val="Hyperlink"/>
          </w:rPr>
          <w:t>http://www.caiso.com/Pages/documentsbygroup.aspx?GroupID=883F7D08-5AA6-42A2-8B34-82D70E5653F5</w:t>
        </w:r>
      </w:hyperlink>
    </w:p>
    <w:p w14:paraId="3FB3C6DE" w14:textId="77777777" w:rsidR="000F0BF7" w:rsidRDefault="000F0BF7" w:rsidP="000F0BF7">
      <w:r>
        <w:t>2017 CPM designation reports</w:t>
      </w:r>
    </w:p>
    <w:p w14:paraId="6EE11840" w14:textId="77777777" w:rsidR="000F0BF7" w:rsidRDefault="003953DA" w:rsidP="000F0BF7">
      <w:hyperlink r:id="rId13" w:history="1">
        <w:r w:rsidR="000F0BF7">
          <w:rPr>
            <w:rStyle w:val="Hyperlink"/>
          </w:rPr>
          <w:t>http://www.caiso.com/Pages/documentsbygroup.aspx?GroupID=6B413850-85A2-42A8-8C45-8F23A3B7E91E</w:t>
        </w:r>
      </w:hyperlink>
    </w:p>
    <w:p w14:paraId="4C6C34C7" w14:textId="77777777" w:rsidR="000F0BF7" w:rsidRDefault="000F0BF7" w:rsidP="000F0BF7">
      <w:pPr>
        <w:rPr>
          <w:rFonts w:ascii="Calibri" w:hAnsi="Calibri"/>
          <w:sz w:val="22"/>
          <w:szCs w:val="22"/>
        </w:rPr>
      </w:pPr>
      <w:r>
        <w:t>2019 RMR extensions – none in San Diego</w:t>
      </w:r>
    </w:p>
    <w:p w14:paraId="6E3194ED" w14:textId="77777777" w:rsidR="000F0BF7" w:rsidRDefault="003953DA" w:rsidP="000F0BF7">
      <w:hyperlink r:id="rId14" w:anchor="search=RMR" w:history="1">
        <w:r w:rsidR="000F0BF7">
          <w:rPr>
            <w:rStyle w:val="Hyperlink"/>
          </w:rPr>
          <w:t>http://www.caiso.com/Documents/Update-Results-RMRContractExtensions-2019-Nov2018.pdf</w:t>
        </w:r>
      </w:hyperlink>
    </w:p>
    <w:p w14:paraId="7F2B31BE" w14:textId="77777777" w:rsidR="000F0BF7" w:rsidRDefault="000F0BF7" w:rsidP="000F0BF7">
      <w:r>
        <w:t>2018 RMR extensions – none in San Diego</w:t>
      </w:r>
    </w:p>
    <w:p w14:paraId="2CF310BD" w14:textId="3BEA6C1F" w:rsidR="000F0BF7" w:rsidRDefault="003953DA" w:rsidP="00A216A0">
      <w:pPr>
        <w:pStyle w:val="ListParagraph"/>
        <w:contextualSpacing w:val="0"/>
        <w:rPr>
          <w:rStyle w:val="Hyperlink"/>
        </w:rPr>
      </w:pPr>
      <w:hyperlink r:id="rId15" w:history="1">
        <w:r w:rsidR="000F0BF7">
          <w:rPr>
            <w:rStyle w:val="Hyperlink"/>
          </w:rPr>
          <w:t>http://www.caiso.com/Documents/Update_Results_RMR_ContractExtensions_2018-Nov2017.pdf</w:t>
        </w:r>
      </w:hyperlink>
    </w:p>
    <w:p w14:paraId="0E659F22" w14:textId="5EA5034E" w:rsidR="004A1437" w:rsidRDefault="004A1437" w:rsidP="00C8652B">
      <w:pPr>
        <w:pStyle w:val="QA"/>
        <w:numPr>
          <w:ilvl w:val="0"/>
          <w:numId w:val="21"/>
        </w:numPr>
      </w:pPr>
    </w:p>
    <w:p w14:paraId="6B96A468" w14:textId="723E109C" w:rsidR="00341394" w:rsidRDefault="00341394" w:rsidP="000C3364">
      <w:pPr>
        <w:spacing w:after="160" w:line="256" w:lineRule="auto"/>
      </w:pPr>
      <w:r>
        <w:t xml:space="preserve">Please list any resources, about which </w:t>
      </w:r>
      <w:r w:rsidR="00B6370B">
        <w:t>SD</w:t>
      </w:r>
      <w:r>
        <w:t>G&amp;E is aware, where the owner has threatened to shut down the resource in the near future because short-run bilateral contracts will not support their operations, and they cannot obtain an RMR, CPM, or other kind of contract for backstop capacity.</w:t>
      </w:r>
      <w:r>
        <w:rPr>
          <w:rStyle w:val="FootnoteReference"/>
        </w:rPr>
        <w:footnoteReference w:id="2"/>
      </w:r>
      <w:r>
        <w:t xml:space="preserve">  For each resource, indicate the capacity deficit that would be produced, and whether </w:t>
      </w:r>
      <w:r w:rsidR="00B6370B">
        <w:t>SDG</w:t>
      </w:r>
      <w:r>
        <w:t xml:space="preserve">&amp;E has plans to fill that deficit. </w:t>
      </w:r>
    </w:p>
    <w:p w14:paraId="3103DEE6" w14:textId="7015C889" w:rsidR="00C8652B" w:rsidRPr="00C8652B" w:rsidRDefault="00883E0F" w:rsidP="00C8652B">
      <w:pPr>
        <w:rPr>
          <w:rFonts w:cstheme="minorHAnsi"/>
        </w:rPr>
      </w:pPr>
      <w:r w:rsidRPr="00F06E01">
        <w:rPr>
          <w:b/>
        </w:rPr>
        <w:lastRenderedPageBreak/>
        <w:t>SDG&amp;E Response</w:t>
      </w:r>
      <w:proofErr w:type="gramStart"/>
      <w:r w:rsidRPr="00F06E01">
        <w:rPr>
          <w:b/>
        </w:rPr>
        <w:t>:</w:t>
      </w:r>
      <w:r w:rsidR="00C3390F">
        <w:rPr>
          <w:b/>
        </w:rPr>
        <w:t xml:space="preserve"> </w:t>
      </w:r>
      <w:r w:rsidR="00C8652B" w:rsidRPr="00C8652B">
        <w:rPr>
          <w:rFonts w:cstheme="minorHAnsi"/>
        </w:rPr>
        <w:t>.</w:t>
      </w:r>
      <w:proofErr w:type="gramEnd"/>
      <w:r w:rsidR="00C8652B" w:rsidRPr="00C8652B">
        <w:rPr>
          <w:rFonts w:cstheme="minorHAnsi"/>
        </w:rPr>
        <w:t xml:space="preserve"> SDG&amp;E is not aware of any 3</w:t>
      </w:r>
      <w:r w:rsidR="00C8652B" w:rsidRPr="00C8652B">
        <w:rPr>
          <w:rFonts w:cstheme="minorHAnsi"/>
          <w:vertAlign w:val="superscript"/>
        </w:rPr>
        <w:t>rd</w:t>
      </w:r>
      <w:r w:rsidR="00C8652B" w:rsidRPr="00C8652B">
        <w:rPr>
          <w:rFonts w:cstheme="minorHAnsi"/>
        </w:rPr>
        <w:t xml:space="preserve"> party resources that have threatened to shut down based on the reasons provided in the question.  The CAISO provides a list of resources that have requested to shut</w:t>
      </w:r>
      <w:r w:rsidR="00C8652B">
        <w:rPr>
          <w:rFonts w:cstheme="minorHAnsi"/>
        </w:rPr>
        <w:t xml:space="preserve"> </w:t>
      </w:r>
      <w:r w:rsidR="00C8652B" w:rsidRPr="00C8652B">
        <w:rPr>
          <w:rFonts w:cstheme="minorHAnsi"/>
        </w:rPr>
        <w:t>down in the link below.</w:t>
      </w:r>
    </w:p>
    <w:p w14:paraId="521020B0" w14:textId="0EBB13BA" w:rsidR="00883E0F" w:rsidRPr="00C8652B" w:rsidRDefault="003953DA" w:rsidP="0034744F">
      <w:pPr>
        <w:rPr>
          <w:rFonts w:cstheme="minorHAnsi"/>
        </w:rPr>
      </w:pPr>
      <w:hyperlink r:id="rId16" w:history="1">
        <w:r w:rsidR="00C8652B" w:rsidRPr="00C8652B">
          <w:rPr>
            <w:rStyle w:val="Hyperlink"/>
            <w:rFonts w:cstheme="minorHAnsi"/>
          </w:rPr>
          <w:t>http://www.caiso.com/Documents/AnnouncedRetirementAndMothballList.xlsx</w:t>
        </w:r>
      </w:hyperlink>
    </w:p>
    <w:p w14:paraId="0D2E0772" w14:textId="6D2EBE87" w:rsidR="004A1437" w:rsidRDefault="004A1437" w:rsidP="00C8652B">
      <w:pPr>
        <w:pStyle w:val="QA"/>
        <w:numPr>
          <w:ilvl w:val="0"/>
          <w:numId w:val="21"/>
        </w:numPr>
      </w:pPr>
    </w:p>
    <w:p w14:paraId="39E055FD" w14:textId="230463E2" w:rsidR="00341394" w:rsidRDefault="00341394" w:rsidP="000C3364">
      <w:pPr>
        <w:spacing w:after="160" w:line="256" w:lineRule="auto"/>
      </w:pPr>
      <w:r>
        <w:t>Based on the latest FRACMOO2 proposals, are there any existing resources that can be expected to shut down because their operational characteristics will not meet the anticipated new FRACMOO2 requirements?  If so, list each resource</w:t>
      </w:r>
      <w:r w:rsidR="00DF007B">
        <w:t xml:space="preserve">, </w:t>
      </w:r>
      <w:r>
        <w:t>provide the capacity deficit that will be produced by each</w:t>
      </w:r>
      <w:r w:rsidR="00DF007B">
        <w:t>,</w:t>
      </w:r>
      <w:r>
        <w:t xml:space="preserve"> </w:t>
      </w:r>
      <w:r w:rsidR="00651F02">
        <w:t>and explain</w:t>
      </w:r>
      <w:r w:rsidR="00DF007B">
        <w:t xml:space="preserve"> </w:t>
      </w:r>
      <w:r>
        <w:t xml:space="preserve">how will </w:t>
      </w:r>
      <w:r w:rsidR="00B6370B">
        <w:t>SDG</w:t>
      </w:r>
      <w:r>
        <w:t>&amp;E fill that deficit</w:t>
      </w:r>
      <w:r w:rsidR="00DF007B">
        <w:t>.</w:t>
      </w:r>
    </w:p>
    <w:p w14:paraId="5C8F8894" w14:textId="0E699069" w:rsidR="00C8652B" w:rsidRPr="00C8652B" w:rsidRDefault="00883E0F" w:rsidP="00C8652B">
      <w:pPr>
        <w:rPr>
          <w:rFonts w:cstheme="minorHAnsi"/>
        </w:rPr>
      </w:pPr>
      <w:r w:rsidRPr="00F06E01">
        <w:rPr>
          <w:b/>
        </w:rPr>
        <w:t>SDG&amp;E Response:</w:t>
      </w:r>
      <w:r w:rsidR="00C3390F">
        <w:rPr>
          <w:b/>
        </w:rPr>
        <w:t xml:space="preserve"> </w:t>
      </w:r>
      <w:r w:rsidR="00C8652B" w:rsidRPr="00C8652B">
        <w:rPr>
          <w:rFonts w:cstheme="minorHAnsi"/>
        </w:rPr>
        <w:t>CAISO’s Flexible Resource Adequacy Must Offer Obligation Phase 2 initiative has been suspended and therefore the FRACMOO 2 requirements are not being implemented.  In any event, SDG&amp;E also is not aware of any 3</w:t>
      </w:r>
      <w:r w:rsidR="00C8652B" w:rsidRPr="00C8652B">
        <w:rPr>
          <w:rFonts w:cstheme="minorHAnsi"/>
          <w:vertAlign w:val="superscript"/>
        </w:rPr>
        <w:t>rd</w:t>
      </w:r>
      <w:r w:rsidR="00C8652B" w:rsidRPr="00C8652B">
        <w:rPr>
          <w:rFonts w:cstheme="minorHAnsi"/>
        </w:rPr>
        <w:t xml:space="preserve"> party resources that are expected to shut down.</w:t>
      </w:r>
    </w:p>
    <w:p w14:paraId="7A788A4C" w14:textId="11D80CEF" w:rsidR="00883E0F" w:rsidRPr="00C8652B" w:rsidRDefault="003953DA" w:rsidP="00C8652B">
      <w:pPr>
        <w:rPr>
          <w:rFonts w:cstheme="minorHAnsi"/>
        </w:rPr>
      </w:pPr>
      <w:hyperlink r:id="rId17" w:history="1">
        <w:r w:rsidR="00C8652B" w:rsidRPr="00C8652B">
          <w:rPr>
            <w:rStyle w:val="Hyperlink"/>
            <w:rFonts w:cstheme="minorHAnsi"/>
          </w:rPr>
          <w:t>http://www.caiso.com/informed/Pages/StakeholderProcesses/FlexibleResourceAdequacyCriteria-MustOfferObligations.aspx</w:t>
        </w:r>
      </w:hyperlink>
    </w:p>
    <w:p w14:paraId="6E4F9FE0" w14:textId="4436CDC5" w:rsidR="00794DF6" w:rsidRDefault="00794DF6" w:rsidP="00C8652B">
      <w:pPr>
        <w:pStyle w:val="QA"/>
        <w:numPr>
          <w:ilvl w:val="0"/>
          <w:numId w:val="21"/>
        </w:numPr>
      </w:pPr>
    </w:p>
    <w:p w14:paraId="032C4E17" w14:textId="2E0C90A3" w:rsidR="00E04558" w:rsidRDefault="00794DF6" w:rsidP="00DF007B">
      <w:r w:rsidRPr="00E95233">
        <w:t>Provide complete documentation for any energy benefit or gross margin adjustment made to marginal generation capacity costs.  Describe the methodology</w:t>
      </w:r>
      <w:r w:rsidR="00954313">
        <w:t xml:space="preserve"> and justification</w:t>
      </w:r>
      <w:r w:rsidRPr="00E95233">
        <w:t>.  Provide the numerical inputs and the set of calculations that led to the results.</w:t>
      </w:r>
    </w:p>
    <w:p w14:paraId="5EEBFEC6" w14:textId="26DC8D65" w:rsidR="00883E0F" w:rsidRPr="00C3390F" w:rsidRDefault="00883E0F" w:rsidP="00883E0F">
      <w:pPr>
        <w:pStyle w:val="ListParagraph"/>
        <w:contextualSpacing w:val="0"/>
      </w:pPr>
      <w:r w:rsidRPr="00F06E01">
        <w:rPr>
          <w:b/>
        </w:rPr>
        <w:t>SDG&amp;E Response:</w:t>
      </w:r>
    </w:p>
    <w:p w14:paraId="33159B1A" w14:textId="5A4C222E" w:rsidR="00883E0F" w:rsidRDefault="003B429F" w:rsidP="00DF007B">
      <w:r>
        <w:t xml:space="preserve">Page 8 of SDG&amp;E GRC Phase 2 Chapter 6 direct testimony describes how the net cost of capacity is calculated by deducting the projected market earnings from California’s energy markets from the annualized cost of a Combustion Turbine. </w:t>
      </w:r>
      <w:r w:rsidRPr="00CF3F50">
        <w:t>SDG&amp;E uses a</w:t>
      </w:r>
      <w:r>
        <w:t>n</w:t>
      </w:r>
      <w:r w:rsidRPr="00CF3F50">
        <w:t xml:space="preserve"> average of </w:t>
      </w:r>
      <w:r>
        <w:t xml:space="preserve">three scenarios of </w:t>
      </w:r>
      <w:r w:rsidRPr="00CF3F50">
        <w:t xml:space="preserve">SP-15 </w:t>
      </w:r>
      <w:r>
        <w:t>net revenues (</w:t>
      </w:r>
      <w:r w:rsidRPr="00CF3F50">
        <w:t>energy revenues minus operating costs</w:t>
      </w:r>
      <w:r>
        <w:t>)</w:t>
      </w:r>
      <w:r w:rsidRPr="00CF3F50">
        <w:t xml:space="preserve"> from the CAISO Department of Market Monitoring Annual Report on Market Issues &amp; Performance</w:t>
      </w:r>
      <w:r>
        <w:t xml:space="preserve">. Source: </w:t>
      </w:r>
      <w:r w:rsidRPr="0084024C">
        <w:t xml:space="preserve">California ISO, </w:t>
      </w:r>
      <w:r w:rsidRPr="0084024C">
        <w:rPr>
          <w:i/>
        </w:rPr>
        <w:t>2016 Annual Report on Market Issues &amp; Performance</w:t>
      </w:r>
      <w:r w:rsidRPr="0084024C">
        <w:t xml:space="preserve"> (May 2017) at 57, Table 1.8 Financial analysis of new combustion turbine (2016).</w:t>
      </w:r>
      <w:r>
        <w:t xml:space="preserve"> From Table 1.8, the three scenario values for net revenue are $12.50, $13.87, and $17.29. Averaging these three values equals $16.26. This represents the net market earnings for a CT in the SP-15 zone and was subtracted from the </w:t>
      </w:r>
      <w:proofErr w:type="gramStart"/>
      <w:r>
        <w:t>short term</w:t>
      </w:r>
      <w:proofErr w:type="gramEnd"/>
      <w:r>
        <w:t xml:space="preserve"> </w:t>
      </w:r>
      <w:r>
        <w:lastRenderedPageBreak/>
        <w:t>marginal cost of a combustion turbine to arrive at a final marginal generation capacity cost.</w:t>
      </w:r>
    </w:p>
    <w:p w14:paraId="5878C123" w14:textId="3C28B1E0" w:rsidR="00E04558" w:rsidRDefault="00E04558" w:rsidP="00C8652B">
      <w:pPr>
        <w:pStyle w:val="QA"/>
        <w:keepNext/>
        <w:numPr>
          <w:ilvl w:val="0"/>
          <w:numId w:val="21"/>
        </w:numPr>
      </w:pPr>
    </w:p>
    <w:p w14:paraId="3EECFF1A" w14:textId="1E99D2F7" w:rsidR="00E04558" w:rsidRDefault="00E04558" w:rsidP="00DF007B">
      <w:r>
        <w:t xml:space="preserve">Provide a description of how generation capacity costs are allocated to TOU periods, as well as any underlying models, model inputs, and model outputs.  </w:t>
      </w:r>
    </w:p>
    <w:p w14:paraId="39A16BA1" w14:textId="44B60507" w:rsidR="00F278F8" w:rsidRDefault="00883E0F" w:rsidP="00F278F8">
      <w:r w:rsidRPr="00F06E01">
        <w:rPr>
          <w:b/>
        </w:rPr>
        <w:t>SDG&amp;E Response:</w:t>
      </w:r>
      <w:r w:rsidR="00C3390F">
        <w:rPr>
          <w:b/>
        </w:rPr>
        <w:t xml:space="preserve"> </w:t>
      </w:r>
      <w:r w:rsidR="00F278F8">
        <w:t>P</w:t>
      </w:r>
      <w:r w:rsidR="00F278F8" w:rsidRPr="00B86EC8">
        <w:t>ages</w:t>
      </w:r>
      <w:r w:rsidR="00F278F8">
        <w:t xml:space="preserve"> 3-8 of SDG&amp;E GRC Phase 2 Chapter 6 direct testimony describes the process for allocating marginal generation capacity costs to TOU periods. A description of the LOLE analysis and the model used to produce it is on pages 11-12 of the testimony.</w:t>
      </w:r>
    </w:p>
    <w:p w14:paraId="21BC1274" w14:textId="77777777" w:rsidR="006E0F32" w:rsidRPr="00DF007B" w:rsidRDefault="006E0F32" w:rsidP="00C8652B">
      <w:pPr>
        <w:pStyle w:val="ListParagraph"/>
        <w:numPr>
          <w:ilvl w:val="0"/>
          <w:numId w:val="21"/>
        </w:numPr>
        <w:contextualSpacing w:val="0"/>
        <w:rPr>
          <w:b/>
        </w:rPr>
      </w:pPr>
    </w:p>
    <w:p w14:paraId="471CB592" w14:textId="025D31EB" w:rsidR="006E0F32" w:rsidRDefault="006E0F32" w:rsidP="006E0F32">
      <w:pPr>
        <w:rPr>
          <w:rStyle w:val="Hyperlink"/>
        </w:rPr>
      </w:pPr>
      <w:r>
        <w:t xml:space="preserve">Please provide the variable renewable energy contract data that SDG&amp;E provided to the California Independent System Operator for each of the years </w:t>
      </w:r>
      <w:r w:rsidRPr="008C4462">
        <w:t>2016-2019</w:t>
      </w:r>
      <w:r>
        <w:t xml:space="preserve"> and which the CAISO uses in calculating annual flexible capacity needs.  Please provide the workpapers that </w:t>
      </w:r>
      <w:r w:rsidR="00651F02">
        <w:t>SD</w:t>
      </w:r>
      <w:r>
        <w:t>G&amp;E submitted to the CAISO for each year.  An example of the workpaper can be found at following link and is labeled “</w:t>
      </w:r>
      <w:hyperlink r:id="rId18" w:tgtFrame="_blank" w:history="1">
        <w:r w:rsidRPr="00830429">
          <w:rPr>
            <w:rStyle w:val="Hyperlink"/>
          </w:rPr>
          <w:t>2019 Flexible Capacity Requirement Assessment Data Request Template</w:t>
        </w:r>
      </w:hyperlink>
      <w:r>
        <w:t>.xlsx”:</w:t>
      </w:r>
      <w:hyperlink r:id="rId19" w:history="1">
        <w:r w:rsidRPr="00233F14">
          <w:rPr>
            <w:rStyle w:val="Hyperlink"/>
          </w:rPr>
          <w:t>http://www.caiso.com/informed/Pages/StakeholderProcesses/FlexibleCapacityNeedsAssessmentProcess.aspx</w:t>
        </w:r>
      </w:hyperlink>
    </w:p>
    <w:p w14:paraId="401465F8" w14:textId="4839A7C5" w:rsidR="00F53F4C" w:rsidRDefault="00883E0F" w:rsidP="00883E0F">
      <w:pPr>
        <w:pStyle w:val="ListParagraph"/>
        <w:contextualSpacing w:val="0"/>
        <w:rPr>
          <w:b/>
        </w:rPr>
      </w:pPr>
      <w:r w:rsidRPr="00F06E01">
        <w:rPr>
          <w:b/>
        </w:rPr>
        <w:t>SDG&amp;E Response:</w:t>
      </w:r>
      <w:r w:rsidR="00307B5F">
        <w:rPr>
          <w:b/>
        </w:rPr>
        <w:t xml:space="preserve"> </w:t>
      </w:r>
    </w:p>
    <w:p w14:paraId="66E618B7" w14:textId="5258D8B7" w:rsidR="006346FB" w:rsidRPr="006346FB" w:rsidRDefault="00FF1584" w:rsidP="00883E0F">
      <w:pPr>
        <w:pStyle w:val="ListParagraph"/>
        <w:contextualSpacing w:val="0"/>
      </w:pPr>
      <w:r>
        <w:t>Please s</w:t>
      </w:r>
      <w:r w:rsidR="006346FB" w:rsidRPr="006346FB">
        <w:t>ee th</w:t>
      </w:r>
      <w:r w:rsidR="006346FB">
        <w:t>e attached files</w:t>
      </w:r>
      <w:r>
        <w:t>:</w:t>
      </w:r>
    </w:p>
    <w:bookmarkStart w:id="4" w:name="_GoBack"/>
    <w:p w14:paraId="36883092" w14:textId="7A7DDF1D" w:rsidR="006E0F32" w:rsidRPr="00E04558" w:rsidRDefault="00364AEC" w:rsidP="00DF007B">
      <w:r>
        <w:object w:dxaOrig="1596" w:dyaOrig="1033" w14:anchorId="704F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51.75pt" o:ole="">
            <v:imagedata r:id="rId20" o:title=""/>
          </v:shape>
          <o:OLEObject Type="Embed" ProgID="Excel.Sheet.12" ShapeID="_x0000_i1030" DrawAspect="Icon" ObjectID="_1624946778" r:id="rId21"/>
        </w:object>
      </w:r>
      <w:bookmarkEnd w:id="4"/>
      <w:r w:rsidR="00FF1584">
        <w:object w:dxaOrig="1539" w:dyaOrig="997" w14:anchorId="7D4B3D2F">
          <v:shape id="_x0000_i1026" type="#_x0000_t75" style="width:76.5pt;height:50.25pt" o:ole="">
            <v:imagedata r:id="rId22" o:title=""/>
          </v:shape>
          <o:OLEObject Type="Embed" ProgID="Excel.Sheet.12" ShapeID="_x0000_i1026" DrawAspect="Icon" ObjectID="_1624946779" r:id="rId23"/>
        </w:object>
      </w:r>
      <w:r w:rsidR="0099515E">
        <w:object w:dxaOrig="1539" w:dyaOrig="997" w14:anchorId="4F803F52">
          <v:shape id="_x0000_i1027" type="#_x0000_t75" style="width:76.5pt;height:50.25pt" o:ole="">
            <v:imagedata r:id="rId24" o:title=""/>
          </v:shape>
          <o:OLEObject Type="Embed" ProgID="Excel.Sheet.12" ShapeID="_x0000_i1027" DrawAspect="Icon" ObjectID="_1624946780" r:id="rId25"/>
        </w:object>
      </w:r>
      <w:r w:rsidR="00D14C5F">
        <w:object w:dxaOrig="1539" w:dyaOrig="997" w14:anchorId="38F8AC04">
          <v:shape id="_x0000_i1028" type="#_x0000_t75" style="width:76.5pt;height:50.25pt" o:ole="">
            <v:imagedata r:id="rId26" o:title=""/>
          </v:shape>
          <o:OLEObject Type="Embed" ProgID="Excel.Sheet.12" ShapeID="_x0000_i1028" DrawAspect="Icon" ObjectID="_1624946781" r:id="rId27"/>
        </w:object>
      </w:r>
    </w:p>
    <w:sectPr w:rsidR="006E0F32" w:rsidRPr="00E04558" w:rsidSect="0004236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5DC58" w14:textId="77777777" w:rsidR="003953DA" w:rsidRDefault="003953DA" w:rsidP="00794DF6">
      <w:pPr>
        <w:spacing w:after="0" w:line="240" w:lineRule="auto"/>
      </w:pPr>
      <w:r>
        <w:separator/>
      </w:r>
    </w:p>
  </w:endnote>
  <w:endnote w:type="continuationSeparator" w:id="0">
    <w:p w14:paraId="6A04EECD" w14:textId="77777777" w:rsidR="003953DA" w:rsidRDefault="003953DA" w:rsidP="00794DF6">
      <w:pPr>
        <w:spacing w:after="0" w:line="240" w:lineRule="auto"/>
      </w:pPr>
      <w:r>
        <w:continuationSeparator/>
      </w:r>
    </w:p>
  </w:endnote>
  <w:endnote w:type="continuationNotice" w:id="1">
    <w:p w14:paraId="66DFC334" w14:textId="77777777" w:rsidR="003953DA" w:rsidRDefault="00395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681564DC" w14:textId="77777777" w:rsidTr="112C4B56">
      <w:tc>
        <w:tcPr>
          <w:tcW w:w="3120" w:type="dxa"/>
        </w:tcPr>
        <w:p w14:paraId="4960D72E" w14:textId="5C82CEFF" w:rsidR="45C18D32" w:rsidRDefault="45C18D32" w:rsidP="0091798C">
          <w:pPr>
            <w:pStyle w:val="Header"/>
            <w:ind w:left="-115"/>
          </w:pPr>
        </w:p>
      </w:tc>
      <w:tc>
        <w:tcPr>
          <w:tcW w:w="3120" w:type="dxa"/>
        </w:tcPr>
        <w:p w14:paraId="4E82396F" w14:textId="67C05F91" w:rsidR="45C18D32" w:rsidRDefault="45C18D32" w:rsidP="0091798C">
          <w:pPr>
            <w:pStyle w:val="Header"/>
            <w:jc w:val="center"/>
          </w:pPr>
        </w:p>
      </w:tc>
      <w:tc>
        <w:tcPr>
          <w:tcW w:w="3120" w:type="dxa"/>
        </w:tcPr>
        <w:p w14:paraId="6833BB63" w14:textId="3F3B12DA" w:rsidR="45C18D32" w:rsidRDefault="45C18D32" w:rsidP="0091798C">
          <w:pPr>
            <w:pStyle w:val="Header"/>
            <w:ind w:right="-115"/>
            <w:jc w:val="right"/>
          </w:pPr>
        </w:p>
      </w:tc>
    </w:tr>
  </w:tbl>
  <w:p w14:paraId="61235F15" w14:textId="0CC83A4C" w:rsidR="45C18D32" w:rsidRDefault="45C18D32" w:rsidP="0055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48A1C" w14:textId="77777777" w:rsidR="003953DA" w:rsidRDefault="003953DA" w:rsidP="00794DF6">
      <w:pPr>
        <w:spacing w:after="0" w:line="240" w:lineRule="auto"/>
      </w:pPr>
      <w:r>
        <w:separator/>
      </w:r>
    </w:p>
  </w:footnote>
  <w:footnote w:type="continuationSeparator" w:id="0">
    <w:p w14:paraId="0F682D84" w14:textId="77777777" w:rsidR="003953DA" w:rsidRDefault="003953DA" w:rsidP="00794DF6">
      <w:pPr>
        <w:spacing w:after="0" w:line="240" w:lineRule="auto"/>
      </w:pPr>
      <w:r>
        <w:continuationSeparator/>
      </w:r>
    </w:p>
  </w:footnote>
  <w:footnote w:type="continuationNotice" w:id="1">
    <w:p w14:paraId="606F0C42" w14:textId="77777777" w:rsidR="003953DA" w:rsidRDefault="003953DA">
      <w:pPr>
        <w:spacing w:after="0" w:line="240" w:lineRule="auto"/>
      </w:pPr>
    </w:p>
  </w:footnote>
  <w:footnote w:id="2">
    <w:p w14:paraId="22C65897" w14:textId="77777777" w:rsidR="00341394" w:rsidRDefault="00341394" w:rsidP="00341394">
      <w:pPr>
        <w:autoSpaceDE w:val="0"/>
        <w:autoSpaceDN w:val="0"/>
        <w:adjustRightInd w:val="0"/>
        <w:spacing w:after="0" w:line="240" w:lineRule="auto"/>
      </w:pPr>
      <w:r>
        <w:rPr>
          <w:rStyle w:val="FootnoteReference"/>
          <w:sz w:val="20"/>
          <w:szCs w:val="20"/>
        </w:rPr>
        <w:footnoteRef/>
      </w:r>
      <w:r>
        <w:rPr>
          <w:sz w:val="20"/>
          <w:szCs w:val="20"/>
        </w:rPr>
        <w:t xml:space="preserve"> For example, </w:t>
      </w:r>
      <w:r>
        <w:rPr>
          <w:rFonts w:cs="Cambria"/>
          <w:color w:val="000000"/>
          <w:sz w:val="20"/>
          <w:szCs w:val="20"/>
        </w:rPr>
        <w:t xml:space="preserve">La Paloma filed for bankruptcy, citing suppressed CAISO market prices due to increasing renewable generation (Reuters, December 6, 2016, “California gas power plant La Paloma files for bankruptcy” </w:t>
      </w:r>
      <w:hyperlink r:id="rId1" w:history="1">
        <w:r>
          <w:rPr>
            <w:rStyle w:val="Hyperlink"/>
            <w:rFonts w:cs="Cambria"/>
            <w:sz w:val="20"/>
            <w:szCs w:val="20"/>
          </w:rPr>
          <w:t>http://www.reuters.com/article/us-la-paloma-bankruptcy-idUSKBN13V2PY</w:t>
        </w:r>
      </w:hyperlink>
      <w:r>
        <w:rPr>
          <w:rFonts w:cs="Cambria"/>
          <w:color w:val="0000FF"/>
          <w:sz w:val="20"/>
          <w:szCs w:val="20"/>
        </w:rPr>
        <w:t xml:space="preserve">).  </w:t>
      </w:r>
      <w:r>
        <w:rPr>
          <w:rFonts w:cs="Cambria"/>
          <w:color w:val="000000"/>
          <w:sz w:val="20"/>
          <w:szCs w:val="20"/>
        </w:rPr>
        <w:t xml:space="preserve">The Commission approved Calpine’s request to place its Sutter plant into cold layup because it could not get an RA contract (Resolution ESRB-6).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3B69DFF2" w14:textId="77777777" w:rsidTr="112C4B56">
      <w:tc>
        <w:tcPr>
          <w:tcW w:w="3120" w:type="dxa"/>
        </w:tcPr>
        <w:p w14:paraId="177676F1" w14:textId="43DD6569" w:rsidR="45C18D32" w:rsidRDefault="45C18D32" w:rsidP="0091798C">
          <w:pPr>
            <w:pStyle w:val="Header"/>
            <w:ind w:left="-115"/>
          </w:pPr>
        </w:p>
      </w:tc>
      <w:tc>
        <w:tcPr>
          <w:tcW w:w="3120" w:type="dxa"/>
        </w:tcPr>
        <w:p w14:paraId="4C1580F3" w14:textId="50E057EB" w:rsidR="45C18D32" w:rsidRDefault="45C18D32" w:rsidP="0091798C">
          <w:pPr>
            <w:pStyle w:val="Header"/>
            <w:jc w:val="center"/>
          </w:pPr>
        </w:p>
      </w:tc>
      <w:tc>
        <w:tcPr>
          <w:tcW w:w="3120" w:type="dxa"/>
        </w:tcPr>
        <w:p w14:paraId="7FC2270B" w14:textId="6BFD132A" w:rsidR="45C18D32" w:rsidRDefault="45C18D32" w:rsidP="0091798C">
          <w:pPr>
            <w:pStyle w:val="Header"/>
            <w:ind w:right="-115"/>
            <w:jc w:val="right"/>
          </w:pPr>
        </w:p>
      </w:tc>
    </w:tr>
  </w:tbl>
  <w:p w14:paraId="110F66AD" w14:textId="15B9106B" w:rsidR="45C18D32" w:rsidRDefault="45C18D32" w:rsidP="0055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C7D"/>
    <w:multiLevelType w:val="hybridMultilevel"/>
    <w:tmpl w:val="F1084E50"/>
    <w:lvl w:ilvl="0" w:tplc="13F031FE">
      <w:start w:val="1"/>
      <w:numFmt w:val="decimal"/>
      <w:lvlText w:val="Question %1"/>
      <w:lvlJc w:val="left"/>
      <w:pPr>
        <w:ind w:left="1440" w:hanging="360"/>
      </w:pPr>
      <w:rPr>
        <w:rFonts w:ascii="Arial" w:hAnsi="Arial" w:hint="default"/>
        <w:b/>
        <w:i w:val="0"/>
        <w:caps w:val="0"/>
        <w:strike w:val="0"/>
        <w:dstrike w:val="0"/>
        <w:vanish w:val="0"/>
        <w:sz w:val="24"/>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B2AA8"/>
    <w:multiLevelType w:val="hybridMultilevel"/>
    <w:tmpl w:val="4C1A0F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1E3828"/>
    <w:multiLevelType w:val="hybridMultilevel"/>
    <w:tmpl w:val="3A5C4674"/>
    <w:lvl w:ilvl="0" w:tplc="1226872C">
      <w:start w:val="9"/>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01A77A3"/>
    <w:multiLevelType w:val="hybridMultilevel"/>
    <w:tmpl w:val="99AE4F98"/>
    <w:lvl w:ilvl="0" w:tplc="AD6697D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A7FB2"/>
    <w:multiLevelType w:val="hybridMultilevel"/>
    <w:tmpl w:val="29CCF48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29C769D"/>
    <w:multiLevelType w:val="hybridMultilevel"/>
    <w:tmpl w:val="49A47B22"/>
    <w:lvl w:ilvl="0" w:tplc="538EF4DC">
      <w:start w:val="10"/>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296190"/>
    <w:multiLevelType w:val="hybridMultilevel"/>
    <w:tmpl w:val="5F023DC8"/>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86E14"/>
    <w:multiLevelType w:val="hybridMultilevel"/>
    <w:tmpl w:val="DDB60D16"/>
    <w:lvl w:ilvl="0" w:tplc="59266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F42996"/>
    <w:multiLevelType w:val="hybridMultilevel"/>
    <w:tmpl w:val="D0E8FC0C"/>
    <w:lvl w:ilvl="0" w:tplc="D0501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7C6A80"/>
    <w:multiLevelType w:val="hybridMultilevel"/>
    <w:tmpl w:val="E2C88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31AD4"/>
    <w:multiLevelType w:val="hybridMultilevel"/>
    <w:tmpl w:val="408CC16A"/>
    <w:lvl w:ilvl="0" w:tplc="937A4198">
      <w:start w:val="1"/>
      <w:numFmt w:val="lowerLetter"/>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670D3"/>
    <w:multiLevelType w:val="hybridMultilevel"/>
    <w:tmpl w:val="1D06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C06F1"/>
    <w:multiLevelType w:val="hybridMultilevel"/>
    <w:tmpl w:val="720A57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55BE4"/>
    <w:multiLevelType w:val="hybridMultilevel"/>
    <w:tmpl w:val="FDFC4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42C66"/>
    <w:multiLevelType w:val="hybridMultilevel"/>
    <w:tmpl w:val="F476E81E"/>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F2975"/>
    <w:multiLevelType w:val="hybridMultilevel"/>
    <w:tmpl w:val="9A2CFB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0905E9"/>
    <w:multiLevelType w:val="hybridMultilevel"/>
    <w:tmpl w:val="3A8A39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10684"/>
    <w:multiLevelType w:val="hybridMultilevel"/>
    <w:tmpl w:val="4836BD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A227C"/>
    <w:multiLevelType w:val="hybridMultilevel"/>
    <w:tmpl w:val="7172A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0A56F1"/>
    <w:multiLevelType w:val="hybridMultilevel"/>
    <w:tmpl w:val="C2024D52"/>
    <w:lvl w:ilvl="0" w:tplc="04090019">
      <w:start w:val="1"/>
      <w:numFmt w:val="low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137CB5"/>
    <w:multiLevelType w:val="hybridMultilevel"/>
    <w:tmpl w:val="06C05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16"/>
  </w:num>
  <w:num w:numId="6">
    <w:abstractNumId w:val="18"/>
  </w:num>
  <w:num w:numId="7">
    <w:abstractNumId w:val="1"/>
  </w:num>
  <w:num w:numId="8">
    <w:abstractNumId w:val="12"/>
  </w:num>
  <w:num w:numId="9">
    <w:abstractNumId w:val="15"/>
  </w:num>
  <w:num w:numId="10">
    <w:abstractNumId w:val="11"/>
  </w:num>
  <w:num w:numId="11">
    <w:abstractNumId w:val="13"/>
  </w:num>
  <w:num w:numId="12">
    <w:abstractNumId w:val="20"/>
  </w:num>
  <w:num w:numId="13">
    <w:abstractNumId w:val="7"/>
  </w:num>
  <w:num w:numId="14">
    <w:abstractNumId w:val="19"/>
  </w:num>
  <w:num w:numId="15">
    <w:abstractNumId w:val="6"/>
  </w:num>
  <w:num w:numId="16">
    <w:abstractNumId w:val="0"/>
  </w:num>
  <w:num w:numId="17">
    <w:abstractNumId w:val="14"/>
  </w:num>
  <w:num w:numId="18">
    <w:abstractNumId w:val="17"/>
  </w:num>
  <w:num w:numId="19">
    <w:abstractNumId w:val="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F6"/>
    <w:rsid w:val="00005A51"/>
    <w:rsid w:val="00007893"/>
    <w:rsid w:val="00017900"/>
    <w:rsid w:val="000217B2"/>
    <w:rsid w:val="00027954"/>
    <w:rsid w:val="000301A0"/>
    <w:rsid w:val="000317BA"/>
    <w:rsid w:val="00032667"/>
    <w:rsid w:val="00033BE4"/>
    <w:rsid w:val="00037BE6"/>
    <w:rsid w:val="00042360"/>
    <w:rsid w:val="00044A8E"/>
    <w:rsid w:val="0005170F"/>
    <w:rsid w:val="0005233E"/>
    <w:rsid w:val="00052F02"/>
    <w:rsid w:val="0005612F"/>
    <w:rsid w:val="000565D7"/>
    <w:rsid w:val="00061B70"/>
    <w:rsid w:val="0006530A"/>
    <w:rsid w:val="000679CB"/>
    <w:rsid w:val="0007106A"/>
    <w:rsid w:val="00072269"/>
    <w:rsid w:val="00076A81"/>
    <w:rsid w:val="00076A85"/>
    <w:rsid w:val="00077693"/>
    <w:rsid w:val="00082429"/>
    <w:rsid w:val="0008606F"/>
    <w:rsid w:val="00093382"/>
    <w:rsid w:val="00097691"/>
    <w:rsid w:val="000A0F09"/>
    <w:rsid w:val="000A41B7"/>
    <w:rsid w:val="000B6FA4"/>
    <w:rsid w:val="000C3364"/>
    <w:rsid w:val="000C5861"/>
    <w:rsid w:val="000C76EB"/>
    <w:rsid w:val="000D2101"/>
    <w:rsid w:val="000D5414"/>
    <w:rsid w:val="000D5904"/>
    <w:rsid w:val="000D7D29"/>
    <w:rsid w:val="000E01FA"/>
    <w:rsid w:val="000E18FD"/>
    <w:rsid w:val="000E342A"/>
    <w:rsid w:val="000E4A7F"/>
    <w:rsid w:val="000E4EFE"/>
    <w:rsid w:val="000E6086"/>
    <w:rsid w:val="000F0BF7"/>
    <w:rsid w:val="000F3E06"/>
    <w:rsid w:val="000F7BC8"/>
    <w:rsid w:val="001003B1"/>
    <w:rsid w:val="001046E3"/>
    <w:rsid w:val="00106C90"/>
    <w:rsid w:val="0011262D"/>
    <w:rsid w:val="00114B71"/>
    <w:rsid w:val="001161DE"/>
    <w:rsid w:val="0011709D"/>
    <w:rsid w:val="00120B3E"/>
    <w:rsid w:val="001230E2"/>
    <w:rsid w:val="001245EB"/>
    <w:rsid w:val="001262F8"/>
    <w:rsid w:val="001263D1"/>
    <w:rsid w:val="0012769D"/>
    <w:rsid w:val="001309A2"/>
    <w:rsid w:val="00131F19"/>
    <w:rsid w:val="001336C0"/>
    <w:rsid w:val="00134049"/>
    <w:rsid w:val="00134A32"/>
    <w:rsid w:val="0015591B"/>
    <w:rsid w:val="0016722F"/>
    <w:rsid w:val="00170F0E"/>
    <w:rsid w:val="0017272C"/>
    <w:rsid w:val="00173BA1"/>
    <w:rsid w:val="001769FB"/>
    <w:rsid w:val="0018119A"/>
    <w:rsid w:val="00192705"/>
    <w:rsid w:val="00195EB1"/>
    <w:rsid w:val="001A57A9"/>
    <w:rsid w:val="001A63E7"/>
    <w:rsid w:val="001A7840"/>
    <w:rsid w:val="001A7C14"/>
    <w:rsid w:val="001B4305"/>
    <w:rsid w:val="001B7D67"/>
    <w:rsid w:val="001C339E"/>
    <w:rsid w:val="001C37B3"/>
    <w:rsid w:val="001D01CE"/>
    <w:rsid w:val="001D07B5"/>
    <w:rsid w:val="001D1193"/>
    <w:rsid w:val="001E0F8D"/>
    <w:rsid w:val="001E4AE3"/>
    <w:rsid w:val="001E4E20"/>
    <w:rsid w:val="001F55CB"/>
    <w:rsid w:val="00202760"/>
    <w:rsid w:val="00203122"/>
    <w:rsid w:val="00204251"/>
    <w:rsid w:val="00206E25"/>
    <w:rsid w:val="00212DBB"/>
    <w:rsid w:val="002145B0"/>
    <w:rsid w:val="00217D3C"/>
    <w:rsid w:val="002232AB"/>
    <w:rsid w:val="00224302"/>
    <w:rsid w:val="0022430B"/>
    <w:rsid w:val="00230CE3"/>
    <w:rsid w:val="00231B14"/>
    <w:rsid w:val="002324BA"/>
    <w:rsid w:val="00237823"/>
    <w:rsid w:val="00242BC8"/>
    <w:rsid w:val="002465EB"/>
    <w:rsid w:val="00247274"/>
    <w:rsid w:val="00255F9E"/>
    <w:rsid w:val="00256981"/>
    <w:rsid w:val="00261A01"/>
    <w:rsid w:val="002700CB"/>
    <w:rsid w:val="0027263F"/>
    <w:rsid w:val="00272CE9"/>
    <w:rsid w:val="002737FE"/>
    <w:rsid w:val="00273963"/>
    <w:rsid w:val="00283804"/>
    <w:rsid w:val="00284080"/>
    <w:rsid w:val="00284514"/>
    <w:rsid w:val="0028517E"/>
    <w:rsid w:val="00294F56"/>
    <w:rsid w:val="002A0698"/>
    <w:rsid w:val="002A0770"/>
    <w:rsid w:val="002A17E2"/>
    <w:rsid w:val="002A2521"/>
    <w:rsid w:val="002A78EE"/>
    <w:rsid w:val="002B0CBD"/>
    <w:rsid w:val="002B231D"/>
    <w:rsid w:val="002B304A"/>
    <w:rsid w:val="002C3429"/>
    <w:rsid w:val="002C59B4"/>
    <w:rsid w:val="002D43EE"/>
    <w:rsid w:val="002D4F52"/>
    <w:rsid w:val="002D5379"/>
    <w:rsid w:val="002D6192"/>
    <w:rsid w:val="002D6DB8"/>
    <w:rsid w:val="002D7A29"/>
    <w:rsid w:val="002E4397"/>
    <w:rsid w:val="002E5D3F"/>
    <w:rsid w:val="002F0132"/>
    <w:rsid w:val="002F237F"/>
    <w:rsid w:val="002F4B3A"/>
    <w:rsid w:val="00303930"/>
    <w:rsid w:val="00307B5F"/>
    <w:rsid w:val="00314612"/>
    <w:rsid w:val="00314667"/>
    <w:rsid w:val="00320086"/>
    <w:rsid w:val="003252A9"/>
    <w:rsid w:val="00325618"/>
    <w:rsid w:val="00327FB8"/>
    <w:rsid w:val="00330166"/>
    <w:rsid w:val="00332583"/>
    <w:rsid w:val="003409EF"/>
    <w:rsid w:val="00341394"/>
    <w:rsid w:val="003429FF"/>
    <w:rsid w:val="00343361"/>
    <w:rsid w:val="00343E44"/>
    <w:rsid w:val="003447A9"/>
    <w:rsid w:val="00346659"/>
    <w:rsid w:val="0034744F"/>
    <w:rsid w:val="003476F3"/>
    <w:rsid w:val="00347BF9"/>
    <w:rsid w:val="00353FAB"/>
    <w:rsid w:val="00361EDC"/>
    <w:rsid w:val="00361F04"/>
    <w:rsid w:val="00364AEC"/>
    <w:rsid w:val="003668BE"/>
    <w:rsid w:val="003708EE"/>
    <w:rsid w:val="00372D4A"/>
    <w:rsid w:val="00372F49"/>
    <w:rsid w:val="003740B7"/>
    <w:rsid w:val="00374EC9"/>
    <w:rsid w:val="00377801"/>
    <w:rsid w:val="00381FA5"/>
    <w:rsid w:val="00382AA1"/>
    <w:rsid w:val="003842A1"/>
    <w:rsid w:val="003846ED"/>
    <w:rsid w:val="0038479A"/>
    <w:rsid w:val="00386A16"/>
    <w:rsid w:val="003918A3"/>
    <w:rsid w:val="003940BD"/>
    <w:rsid w:val="003953DA"/>
    <w:rsid w:val="003A3AE8"/>
    <w:rsid w:val="003A4874"/>
    <w:rsid w:val="003A55B1"/>
    <w:rsid w:val="003A606B"/>
    <w:rsid w:val="003B19AB"/>
    <w:rsid w:val="003B1D96"/>
    <w:rsid w:val="003B429F"/>
    <w:rsid w:val="003B4F08"/>
    <w:rsid w:val="003B5D66"/>
    <w:rsid w:val="003C0CD0"/>
    <w:rsid w:val="003C4D93"/>
    <w:rsid w:val="003C6E4E"/>
    <w:rsid w:val="003C6FD2"/>
    <w:rsid w:val="003D3064"/>
    <w:rsid w:val="003D6B52"/>
    <w:rsid w:val="003D7260"/>
    <w:rsid w:val="003E0ACB"/>
    <w:rsid w:val="003F793E"/>
    <w:rsid w:val="00402487"/>
    <w:rsid w:val="00403E01"/>
    <w:rsid w:val="004041D3"/>
    <w:rsid w:val="0040492F"/>
    <w:rsid w:val="00405BD9"/>
    <w:rsid w:val="00405E7C"/>
    <w:rsid w:val="0040640C"/>
    <w:rsid w:val="0041026C"/>
    <w:rsid w:val="00411FDB"/>
    <w:rsid w:val="00412CB2"/>
    <w:rsid w:val="00413653"/>
    <w:rsid w:val="004156FE"/>
    <w:rsid w:val="00417CDD"/>
    <w:rsid w:val="00417D74"/>
    <w:rsid w:val="00423E07"/>
    <w:rsid w:val="00425F66"/>
    <w:rsid w:val="00427F8B"/>
    <w:rsid w:val="00430FAC"/>
    <w:rsid w:val="00431727"/>
    <w:rsid w:val="00433E98"/>
    <w:rsid w:val="00442255"/>
    <w:rsid w:val="00447379"/>
    <w:rsid w:val="0045162E"/>
    <w:rsid w:val="004522DC"/>
    <w:rsid w:val="00452752"/>
    <w:rsid w:val="004536D3"/>
    <w:rsid w:val="00453D78"/>
    <w:rsid w:val="00464443"/>
    <w:rsid w:val="004648B3"/>
    <w:rsid w:val="004655B9"/>
    <w:rsid w:val="00467D5E"/>
    <w:rsid w:val="00477BFF"/>
    <w:rsid w:val="0048057D"/>
    <w:rsid w:val="00481642"/>
    <w:rsid w:val="00482664"/>
    <w:rsid w:val="004837A9"/>
    <w:rsid w:val="004841B5"/>
    <w:rsid w:val="0048420C"/>
    <w:rsid w:val="00484E9F"/>
    <w:rsid w:val="00486A5F"/>
    <w:rsid w:val="0048722B"/>
    <w:rsid w:val="00495A2D"/>
    <w:rsid w:val="00495D33"/>
    <w:rsid w:val="0049643C"/>
    <w:rsid w:val="004A1437"/>
    <w:rsid w:val="004A15AC"/>
    <w:rsid w:val="004A1815"/>
    <w:rsid w:val="004A7498"/>
    <w:rsid w:val="004B461B"/>
    <w:rsid w:val="004B4A01"/>
    <w:rsid w:val="004B522B"/>
    <w:rsid w:val="004C2F28"/>
    <w:rsid w:val="004C3820"/>
    <w:rsid w:val="004C56B6"/>
    <w:rsid w:val="004D0FDA"/>
    <w:rsid w:val="004D280E"/>
    <w:rsid w:val="004D2E00"/>
    <w:rsid w:val="004D45A0"/>
    <w:rsid w:val="004E0BEF"/>
    <w:rsid w:val="004E3C13"/>
    <w:rsid w:val="004E6F6B"/>
    <w:rsid w:val="004E7184"/>
    <w:rsid w:val="004F598C"/>
    <w:rsid w:val="004F637D"/>
    <w:rsid w:val="00500FB8"/>
    <w:rsid w:val="00505222"/>
    <w:rsid w:val="005056E2"/>
    <w:rsid w:val="00513C63"/>
    <w:rsid w:val="00515115"/>
    <w:rsid w:val="00516FA6"/>
    <w:rsid w:val="00517E50"/>
    <w:rsid w:val="00521A49"/>
    <w:rsid w:val="00524BBA"/>
    <w:rsid w:val="00524DF5"/>
    <w:rsid w:val="00525388"/>
    <w:rsid w:val="00526B7D"/>
    <w:rsid w:val="00527AC7"/>
    <w:rsid w:val="00531214"/>
    <w:rsid w:val="00531DA4"/>
    <w:rsid w:val="00534A69"/>
    <w:rsid w:val="00535B1F"/>
    <w:rsid w:val="005377A4"/>
    <w:rsid w:val="005447DF"/>
    <w:rsid w:val="005475B6"/>
    <w:rsid w:val="005521CD"/>
    <w:rsid w:val="005529E7"/>
    <w:rsid w:val="00553608"/>
    <w:rsid w:val="00554FFF"/>
    <w:rsid w:val="00556845"/>
    <w:rsid w:val="00557339"/>
    <w:rsid w:val="00561AE4"/>
    <w:rsid w:val="005622F2"/>
    <w:rsid w:val="00566167"/>
    <w:rsid w:val="00567824"/>
    <w:rsid w:val="00570856"/>
    <w:rsid w:val="005708F7"/>
    <w:rsid w:val="00572301"/>
    <w:rsid w:val="00573031"/>
    <w:rsid w:val="00575CB4"/>
    <w:rsid w:val="005819C5"/>
    <w:rsid w:val="00582753"/>
    <w:rsid w:val="005830BB"/>
    <w:rsid w:val="00586676"/>
    <w:rsid w:val="005946B5"/>
    <w:rsid w:val="00594F1B"/>
    <w:rsid w:val="005A175E"/>
    <w:rsid w:val="005A6C43"/>
    <w:rsid w:val="005B2DC8"/>
    <w:rsid w:val="005B54FD"/>
    <w:rsid w:val="005B723B"/>
    <w:rsid w:val="005C1433"/>
    <w:rsid w:val="005C501C"/>
    <w:rsid w:val="005C5AB7"/>
    <w:rsid w:val="005C7ED5"/>
    <w:rsid w:val="005D0370"/>
    <w:rsid w:val="005D04BB"/>
    <w:rsid w:val="005E02BF"/>
    <w:rsid w:val="005E0597"/>
    <w:rsid w:val="005E541B"/>
    <w:rsid w:val="005F1F64"/>
    <w:rsid w:val="005F3E9C"/>
    <w:rsid w:val="005F574E"/>
    <w:rsid w:val="00605E16"/>
    <w:rsid w:val="006075B4"/>
    <w:rsid w:val="00613BD0"/>
    <w:rsid w:val="00616CED"/>
    <w:rsid w:val="00623709"/>
    <w:rsid w:val="00626D21"/>
    <w:rsid w:val="00627436"/>
    <w:rsid w:val="00632ACF"/>
    <w:rsid w:val="006346FB"/>
    <w:rsid w:val="0063470D"/>
    <w:rsid w:val="00637ACE"/>
    <w:rsid w:val="0064190B"/>
    <w:rsid w:val="006451F4"/>
    <w:rsid w:val="006452EA"/>
    <w:rsid w:val="00645DB7"/>
    <w:rsid w:val="0064691E"/>
    <w:rsid w:val="00651F02"/>
    <w:rsid w:val="00652EB3"/>
    <w:rsid w:val="006541BA"/>
    <w:rsid w:val="00660924"/>
    <w:rsid w:val="00661540"/>
    <w:rsid w:val="00661545"/>
    <w:rsid w:val="00663408"/>
    <w:rsid w:val="006635A3"/>
    <w:rsid w:val="006659ED"/>
    <w:rsid w:val="00667075"/>
    <w:rsid w:val="00667C3F"/>
    <w:rsid w:val="006762F4"/>
    <w:rsid w:val="00684774"/>
    <w:rsid w:val="00686378"/>
    <w:rsid w:val="00691696"/>
    <w:rsid w:val="00695019"/>
    <w:rsid w:val="00696548"/>
    <w:rsid w:val="00697EF6"/>
    <w:rsid w:val="006A0903"/>
    <w:rsid w:val="006A168B"/>
    <w:rsid w:val="006A7A90"/>
    <w:rsid w:val="006B26C9"/>
    <w:rsid w:val="006B6477"/>
    <w:rsid w:val="006C174F"/>
    <w:rsid w:val="006C5271"/>
    <w:rsid w:val="006C5B44"/>
    <w:rsid w:val="006C5C3D"/>
    <w:rsid w:val="006D1210"/>
    <w:rsid w:val="006D39F7"/>
    <w:rsid w:val="006E0F32"/>
    <w:rsid w:val="006E1AC2"/>
    <w:rsid w:val="006E4E9D"/>
    <w:rsid w:val="006E5936"/>
    <w:rsid w:val="006E5BAA"/>
    <w:rsid w:val="006F617C"/>
    <w:rsid w:val="006F7F26"/>
    <w:rsid w:val="00702D6C"/>
    <w:rsid w:val="00706C85"/>
    <w:rsid w:val="00716A24"/>
    <w:rsid w:val="00722994"/>
    <w:rsid w:val="00725A74"/>
    <w:rsid w:val="00726590"/>
    <w:rsid w:val="0072660D"/>
    <w:rsid w:val="0072681A"/>
    <w:rsid w:val="00730392"/>
    <w:rsid w:val="007304D5"/>
    <w:rsid w:val="007424A9"/>
    <w:rsid w:val="00743CB9"/>
    <w:rsid w:val="00744D23"/>
    <w:rsid w:val="00746027"/>
    <w:rsid w:val="007522D0"/>
    <w:rsid w:val="00752564"/>
    <w:rsid w:val="0075551D"/>
    <w:rsid w:val="007668A6"/>
    <w:rsid w:val="00767C8D"/>
    <w:rsid w:val="007731B7"/>
    <w:rsid w:val="007816DD"/>
    <w:rsid w:val="00784CB7"/>
    <w:rsid w:val="007850F7"/>
    <w:rsid w:val="0079393E"/>
    <w:rsid w:val="00794DF6"/>
    <w:rsid w:val="007A61AA"/>
    <w:rsid w:val="007A6890"/>
    <w:rsid w:val="007A7512"/>
    <w:rsid w:val="007B0703"/>
    <w:rsid w:val="007B0F1A"/>
    <w:rsid w:val="007B2A89"/>
    <w:rsid w:val="007B7AFA"/>
    <w:rsid w:val="007D11EE"/>
    <w:rsid w:val="007D1520"/>
    <w:rsid w:val="007D3FA2"/>
    <w:rsid w:val="007D46BB"/>
    <w:rsid w:val="007E1072"/>
    <w:rsid w:val="007E42BA"/>
    <w:rsid w:val="007E6690"/>
    <w:rsid w:val="007E7BC9"/>
    <w:rsid w:val="007F2A0C"/>
    <w:rsid w:val="007F3CF1"/>
    <w:rsid w:val="007F5458"/>
    <w:rsid w:val="007F7099"/>
    <w:rsid w:val="00806BF8"/>
    <w:rsid w:val="00812657"/>
    <w:rsid w:val="00812EBF"/>
    <w:rsid w:val="00813247"/>
    <w:rsid w:val="008139F8"/>
    <w:rsid w:val="008143C6"/>
    <w:rsid w:val="00816524"/>
    <w:rsid w:val="008223B2"/>
    <w:rsid w:val="00823DA3"/>
    <w:rsid w:val="00827271"/>
    <w:rsid w:val="00830429"/>
    <w:rsid w:val="0083494D"/>
    <w:rsid w:val="00834BE3"/>
    <w:rsid w:val="00835181"/>
    <w:rsid w:val="008368D7"/>
    <w:rsid w:val="00843CFB"/>
    <w:rsid w:val="00843F80"/>
    <w:rsid w:val="008545AD"/>
    <w:rsid w:val="008626D3"/>
    <w:rsid w:val="00863209"/>
    <w:rsid w:val="0086506B"/>
    <w:rsid w:val="00870EFA"/>
    <w:rsid w:val="0087688C"/>
    <w:rsid w:val="008776E8"/>
    <w:rsid w:val="00880173"/>
    <w:rsid w:val="008820DE"/>
    <w:rsid w:val="00883E0F"/>
    <w:rsid w:val="00884C2C"/>
    <w:rsid w:val="00885AD0"/>
    <w:rsid w:val="008927D6"/>
    <w:rsid w:val="0089417B"/>
    <w:rsid w:val="00895879"/>
    <w:rsid w:val="00896C38"/>
    <w:rsid w:val="008974E7"/>
    <w:rsid w:val="008A1922"/>
    <w:rsid w:val="008A54B0"/>
    <w:rsid w:val="008A5A67"/>
    <w:rsid w:val="008A60CC"/>
    <w:rsid w:val="008B3082"/>
    <w:rsid w:val="008B375E"/>
    <w:rsid w:val="008C4462"/>
    <w:rsid w:val="008C5A40"/>
    <w:rsid w:val="008C64DA"/>
    <w:rsid w:val="008D0138"/>
    <w:rsid w:val="008D3334"/>
    <w:rsid w:val="008D5007"/>
    <w:rsid w:val="008D56EA"/>
    <w:rsid w:val="008D624C"/>
    <w:rsid w:val="008D656E"/>
    <w:rsid w:val="008E0AB6"/>
    <w:rsid w:val="008E2134"/>
    <w:rsid w:val="008F5CFF"/>
    <w:rsid w:val="00900649"/>
    <w:rsid w:val="0090074A"/>
    <w:rsid w:val="009015AD"/>
    <w:rsid w:val="00903D13"/>
    <w:rsid w:val="00905A18"/>
    <w:rsid w:val="009063CF"/>
    <w:rsid w:val="00907980"/>
    <w:rsid w:val="00911E0D"/>
    <w:rsid w:val="009131DE"/>
    <w:rsid w:val="0091440C"/>
    <w:rsid w:val="0091638B"/>
    <w:rsid w:val="0091798C"/>
    <w:rsid w:val="00923643"/>
    <w:rsid w:val="00931D43"/>
    <w:rsid w:val="00932876"/>
    <w:rsid w:val="00933E8A"/>
    <w:rsid w:val="00935292"/>
    <w:rsid w:val="00935F2B"/>
    <w:rsid w:val="00937051"/>
    <w:rsid w:val="00940C05"/>
    <w:rsid w:val="00941550"/>
    <w:rsid w:val="00944580"/>
    <w:rsid w:val="009478F8"/>
    <w:rsid w:val="00950672"/>
    <w:rsid w:val="00951F2E"/>
    <w:rsid w:val="00952B3B"/>
    <w:rsid w:val="00954313"/>
    <w:rsid w:val="00954D12"/>
    <w:rsid w:val="0096422A"/>
    <w:rsid w:val="00964A51"/>
    <w:rsid w:val="0096733D"/>
    <w:rsid w:val="00973B6F"/>
    <w:rsid w:val="00982EE9"/>
    <w:rsid w:val="009919A1"/>
    <w:rsid w:val="0099269A"/>
    <w:rsid w:val="00993AF2"/>
    <w:rsid w:val="009946C8"/>
    <w:rsid w:val="0099515E"/>
    <w:rsid w:val="00996ED4"/>
    <w:rsid w:val="009A22B1"/>
    <w:rsid w:val="009A2D45"/>
    <w:rsid w:val="009B016E"/>
    <w:rsid w:val="009B2BA3"/>
    <w:rsid w:val="009B3BDE"/>
    <w:rsid w:val="009B4819"/>
    <w:rsid w:val="009B66F0"/>
    <w:rsid w:val="009B7736"/>
    <w:rsid w:val="009C1208"/>
    <w:rsid w:val="009C27B3"/>
    <w:rsid w:val="009C4AC5"/>
    <w:rsid w:val="009C78EC"/>
    <w:rsid w:val="009D487A"/>
    <w:rsid w:val="009E3542"/>
    <w:rsid w:val="009F5A1F"/>
    <w:rsid w:val="00A01D3A"/>
    <w:rsid w:val="00A0595F"/>
    <w:rsid w:val="00A0688B"/>
    <w:rsid w:val="00A1023C"/>
    <w:rsid w:val="00A10492"/>
    <w:rsid w:val="00A1366A"/>
    <w:rsid w:val="00A216A0"/>
    <w:rsid w:val="00A2181F"/>
    <w:rsid w:val="00A37DDA"/>
    <w:rsid w:val="00A401B1"/>
    <w:rsid w:val="00A42BF4"/>
    <w:rsid w:val="00A43421"/>
    <w:rsid w:val="00A50D79"/>
    <w:rsid w:val="00A52959"/>
    <w:rsid w:val="00A57041"/>
    <w:rsid w:val="00A62066"/>
    <w:rsid w:val="00A63E02"/>
    <w:rsid w:val="00A64CB2"/>
    <w:rsid w:val="00A66B34"/>
    <w:rsid w:val="00A71C95"/>
    <w:rsid w:val="00A74B30"/>
    <w:rsid w:val="00A81955"/>
    <w:rsid w:val="00A858FF"/>
    <w:rsid w:val="00A879F7"/>
    <w:rsid w:val="00A87BD8"/>
    <w:rsid w:val="00A948C3"/>
    <w:rsid w:val="00A97F6E"/>
    <w:rsid w:val="00AA2B48"/>
    <w:rsid w:val="00AA2C0A"/>
    <w:rsid w:val="00AA60F0"/>
    <w:rsid w:val="00AA7946"/>
    <w:rsid w:val="00AB0049"/>
    <w:rsid w:val="00AB1118"/>
    <w:rsid w:val="00AB2D8E"/>
    <w:rsid w:val="00AB36A6"/>
    <w:rsid w:val="00AB7199"/>
    <w:rsid w:val="00AC1800"/>
    <w:rsid w:val="00AC2743"/>
    <w:rsid w:val="00AE2D2B"/>
    <w:rsid w:val="00AE416B"/>
    <w:rsid w:val="00AE423A"/>
    <w:rsid w:val="00AE5DF7"/>
    <w:rsid w:val="00AE6658"/>
    <w:rsid w:val="00AF0D3F"/>
    <w:rsid w:val="00AF2F39"/>
    <w:rsid w:val="00B02297"/>
    <w:rsid w:val="00B03672"/>
    <w:rsid w:val="00B0371D"/>
    <w:rsid w:val="00B067F8"/>
    <w:rsid w:val="00B07E03"/>
    <w:rsid w:val="00B14FC6"/>
    <w:rsid w:val="00B2158D"/>
    <w:rsid w:val="00B25DEC"/>
    <w:rsid w:val="00B30624"/>
    <w:rsid w:val="00B31828"/>
    <w:rsid w:val="00B32FEC"/>
    <w:rsid w:val="00B37B5A"/>
    <w:rsid w:val="00B41001"/>
    <w:rsid w:val="00B41128"/>
    <w:rsid w:val="00B432B2"/>
    <w:rsid w:val="00B438DA"/>
    <w:rsid w:val="00B51195"/>
    <w:rsid w:val="00B5221D"/>
    <w:rsid w:val="00B5234E"/>
    <w:rsid w:val="00B531A7"/>
    <w:rsid w:val="00B53FB2"/>
    <w:rsid w:val="00B55677"/>
    <w:rsid w:val="00B57305"/>
    <w:rsid w:val="00B5785C"/>
    <w:rsid w:val="00B57E91"/>
    <w:rsid w:val="00B60321"/>
    <w:rsid w:val="00B6370B"/>
    <w:rsid w:val="00B65E55"/>
    <w:rsid w:val="00B66C17"/>
    <w:rsid w:val="00B721E7"/>
    <w:rsid w:val="00B726E1"/>
    <w:rsid w:val="00B75D3A"/>
    <w:rsid w:val="00B80713"/>
    <w:rsid w:val="00B82A32"/>
    <w:rsid w:val="00B86A02"/>
    <w:rsid w:val="00B87806"/>
    <w:rsid w:val="00B928F3"/>
    <w:rsid w:val="00B971C1"/>
    <w:rsid w:val="00B979D9"/>
    <w:rsid w:val="00BA34EF"/>
    <w:rsid w:val="00BA59F6"/>
    <w:rsid w:val="00BA5B39"/>
    <w:rsid w:val="00BA646E"/>
    <w:rsid w:val="00BB283E"/>
    <w:rsid w:val="00BB3DF4"/>
    <w:rsid w:val="00BB4C87"/>
    <w:rsid w:val="00BB6304"/>
    <w:rsid w:val="00BD34D6"/>
    <w:rsid w:val="00BD53EF"/>
    <w:rsid w:val="00BD5473"/>
    <w:rsid w:val="00BD594F"/>
    <w:rsid w:val="00BD671C"/>
    <w:rsid w:val="00BE145A"/>
    <w:rsid w:val="00BE6373"/>
    <w:rsid w:val="00BE7A22"/>
    <w:rsid w:val="00BF1F34"/>
    <w:rsid w:val="00BF397C"/>
    <w:rsid w:val="00BF3D8A"/>
    <w:rsid w:val="00C02987"/>
    <w:rsid w:val="00C029FB"/>
    <w:rsid w:val="00C04561"/>
    <w:rsid w:val="00C05322"/>
    <w:rsid w:val="00C10B31"/>
    <w:rsid w:val="00C10D2D"/>
    <w:rsid w:val="00C12632"/>
    <w:rsid w:val="00C15C9C"/>
    <w:rsid w:val="00C16398"/>
    <w:rsid w:val="00C231F3"/>
    <w:rsid w:val="00C25CA5"/>
    <w:rsid w:val="00C275FF"/>
    <w:rsid w:val="00C31B66"/>
    <w:rsid w:val="00C3390F"/>
    <w:rsid w:val="00C37041"/>
    <w:rsid w:val="00C43225"/>
    <w:rsid w:val="00C47AED"/>
    <w:rsid w:val="00C507BF"/>
    <w:rsid w:val="00C5175B"/>
    <w:rsid w:val="00C51A16"/>
    <w:rsid w:val="00C51CFD"/>
    <w:rsid w:val="00C55E19"/>
    <w:rsid w:val="00C65526"/>
    <w:rsid w:val="00C726DF"/>
    <w:rsid w:val="00C73A1E"/>
    <w:rsid w:val="00C73FC3"/>
    <w:rsid w:val="00C750A2"/>
    <w:rsid w:val="00C75B59"/>
    <w:rsid w:val="00C763BA"/>
    <w:rsid w:val="00C80603"/>
    <w:rsid w:val="00C84B29"/>
    <w:rsid w:val="00C8652B"/>
    <w:rsid w:val="00C92C34"/>
    <w:rsid w:val="00CA02F1"/>
    <w:rsid w:val="00CA68B8"/>
    <w:rsid w:val="00CB6878"/>
    <w:rsid w:val="00CB6A78"/>
    <w:rsid w:val="00CC1CC9"/>
    <w:rsid w:val="00CC6035"/>
    <w:rsid w:val="00CC64C5"/>
    <w:rsid w:val="00CD19D2"/>
    <w:rsid w:val="00CD1C8A"/>
    <w:rsid w:val="00CD2F6A"/>
    <w:rsid w:val="00CE50E6"/>
    <w:rsid w:val="00CF4C0E"/>
    <w:rsid w:val="00CF6935"/>
    <w:rsid w:val="00CF7DE9"/>
    <w:rsid w:val="00D009E6"/>
    <w:rsid w:val="00D01E9D"/>
    <w:rsid w:val="00D023F8"/>
    <w:rsid w:val="00D038A7"/>
    <w:rsid w:val="00D04926"/>
    <w:rsid w:val="00D0728A"/>
    <w:rsid w:val="00D106AC"/>
    <w:rsid w:val="00D10CE5"/>
    <w:rsid w:val="00D11EFD"/>
    <w:rsid w:val="00D14C5F"/>
    <w:rsid w:val="00D152AF"/>
    <w:rsid w:val="00D16D90"/>
    <w:rsid w:val="00D17F76"/>
    <w:rsid w:val="00D2385F"/>
    <w:rsid w:val="00D305B9"/>
    <w:rsid w:val="00D35E08"/>
    <w:rsid w:val="00D406A0"/>
    <w:rsid w:val="00D469DC"/>
    <w:rsid w:val="00D46BC1"/>
    <w:rsid w:val="00D47013"/>
    <w:rsid w:val="00D54601"/>
    <w:rsid w:val="00D6405B"/>
    <w:rsid w:val="00D73F45"/>
    <w:rsid w:val="00D74DEB"/>
    <w:rsid w:val="00D81EF4"/>
    <w:rsid w:val="00D95196"/>
    <w:rsid w:val="00D96E5F"/>
    <w:rsid w:val="00D974DE"/>
    <w:rsid w:val="00D974E1"/>
    <w:rsid w:val="00D97789"/>
    <w:rsid w:val="00DA20FD"/>
    <w:rsid w:val="00DA3784"/>
    <w:rsid w:val="00DA4FE2"/>
    <w:rsid w:val="00DB2BF4"/>
    <w:rsid w:val="00DB376C"/>
    <w:rsid w:val="00DB4C02"/>
    <w:rsid w:val="00DB59F3"/>
    <w:rsid w:val="00DB6E15"/>
    <w:rsid w:val="00DB736F"/>
    <w:rsid w:val="00DB7660"/>
    <w:rsid w:val="00DC151F"/>
    <w:rsid w:val="00DD6162"/>
    <w:rsid w:val="00DD75A6"/>
    <w:rsid w:val="00DE0E8D"/>
    <w:rsid w:val="00DE4A10"/>
    <w:rsid w:val="00DE5009"/>
    <w:rsid w:val="00DF007B"/>
    <w:rsid w:val="00DF0FBF"/>
    <w:rsid w:val="00DF19D1"/>
    <w:rsid w:val="00DF77B8"/>
    <w:rsid w:val="00E003C0"/>
    <w:rsid w:val="00E02B78"/>
    <w:rsid w:val="00E04558"/>
    <w:rsid w:val="00E04D43"/>
    <w:rsid w:val="00E1008B"/>
    <w:rsid w:val="00E1181F"/>
    <w:rsid w:val="00E12196"/>
    <w:rsid w:val="00E141A0"/>
    <w:rsid w:val="00E15FFA"/>
    <w:rsid w:val="00E16FDD"/>
    <w:rsid w:val="00E17388"/>
    <w:rsid w:val="00E258D3"/>
    <w:rsid w:val="00E3015A"/>
    <w:rsid w:val="00E34D05"/>
    <w:rsid w:val="00E3717D"/>
    <w:rsid w:val="00E409A6"/>
    <w:rsid w:val="00E419BA"/>
    <w:rsid w:val="00E43C31"/>
    <w:rsid w:val="00E45082"/>
    <w:rsid w:val="00E47877"/>
    <w:rsid w:val="00E51A3A"/>
    <w:rsid w:val="00E533C7"/>
    <w:rsid w:val="00E536B5"/>
    <w:rsid w:val="00E57C24"/>
    <w:rsid w:val="00E64B4F"/>
    <w:rsid w:val="00E64B55"/>
    <w:rsid w:val="00E64C96"/>
    <w:rsid w:val="00E64FBE"/>
    <w:rsid w:val="00E668AA"/>
    <w:rsid w:val="00E70698"/>
    <w:rsid w:val="00E75999"/>
    <w:rsid w:val="00E80932"/>
    <w:rsid w:val="00E81650"/>
    <w:rsid w:val="00E84776"/>
    <w:rsid w:val="00E850E0"/>
    <w:rsid w:val="00E8609E"/>
    <w:rsid w:val="00E869E6"/>
    <w:rsid w:val="00E91159"/>
    <w:rsid w:val="00E97EDA"/>
    <w:rsid w:val="00E97EE7"/>
    <w:rsid w:val="00EA5C77"/>
    <w:rsid w:val="00EA6A57"/>
    <w:rsid w:val="00EA6D0B"/>
    <w:rsid w:val="00EA725B"/>
    <w:rsid w:val="00EB27E1"/>
    <w:rsid w:val="00EB752B"/>
    <w:rsid w:val="00EC028C"/>
    <w:rsid w:val="00EC0D8B"/>
    <w:rsid w:val="00EC21F3"/>
    <w:rsid w:val="00EC2A88"/>
    <w:rsid w:val="00EC52BF"/>
    <w:rsid w:val="00EC590B"/>
    <w:rsid w:val="00ED4F71"/>
    <w:rsid w:val="00ED682B"/>
    <w:rsid w:val="00ED6A91"/>
    <w:rsid w:val="00EE066F"/>
    <w:rsid w:val="00EE09BC"/>
    <w:rsid w:val="00EE4219"/>
    <w:rsid w:val="00EE5092"/>
    <w:rsid w:val="00EE5EF5"/>
    <w:rsid w:val="00EE6C07"/>
    <w:rsid w:val="00EF1DB9"/>
    <w:rsid w:val="00EF435F"/>
    <w:rsid w:val="00EF6907"/>
    <w:rsid w:val="00F06E01"/>
    <w:rsid w:val="00F13261"/>
    <w:rsid w:val="00F14DD7"/>
    <w:rsid w:val="00F278F8"/>
    <w:rsid w:val="00F36D89"/>
    <w:rsid w:val="00F45015"/>
    <w:rsid w:val="00F53F4C"/>
    <w:rsid w:val="00F54C8F"/>
    <w:rsid w:val="00F601BC"/>
    <w:rsid w:val="00F6040F"/>
    <w:rsid w:val="00F61DD5"/>
    <w:rsid w:val="00F6384D"/>
    <w:rsid w:val="00F70B49"/>
    <w:rsid w:val="00F71706"/>
    <w:rsid w:val="00F7526E"/>
    <w:rsid w:val="00F753C5"/>
    <w:rsid w:val="00F75549"/>
    <w:rsid w:val="00F8007E"/>
    <w:rsid w:val="00F80677"/>
    <w:rsid w:val="00F808B8"/>
    <w:rsid w:val="00F81903"/>
    <w:rsid w:val="00F82312"/>
    <w:rsid w:val="00F82C54"/>
    <w:rsid w:val="00F84EB0"/>
    <w:rsid w:val="00F900AD"/>
    <w:rsid w:val="00F91AF7"/>
    <w:rsid w:val="00F945FC"/>
    <w:rsid w:val="00FA5076"/>
    <w:rsid w:val="00FB019F"/>
    <w:rsid w:val="00FB0647"/>
    <w:rsid w:val="00FB4297"/>
    <w:rsid w:val="00FB43D7"/>
    <w:rsid w:val="00FC2D02"/>
    <w:rsid w:val="00FC7F9A"/>
    <w:rsid w:val="00FD0BAA"/>
    <w:rsid w:val="00FD42CB"/>
    <w:rsid w:val="00FD4362"/>
    <w:rsid w:val="00FD5243"/>
    <w:rsid w:val="00FD5AFC"/>
    <w:rsid w:val="00FD6A75"/>
    <w:rsid w:val="00FE0704"/>
    <w:rsid w:val="00FE1559"/>
    <w:rsid w:val="00FE2378"/>
    <w:rsid w:val="00FE300E"/>
    <w:rsid w:val="00FF1584"/>
    <w:rsid w:val="00FF1953"/>
    <w:rsid w:val="00FF3C53"/>
    <w:rsid w:val="112C4B56"/>
    <w:rsid w:val="265B5391"/>
    <w:rsid w:val="45C18D32"/>
    <w:rsid w:val="7B11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8B6"/>
  <w15:docId w15:val="{0F3D0475-7E48-4CAA-A431-3E7CA37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E0F"/>
    <w:pPr>
      <w:spacing w:after="240" w:line="240" w:lineRule="atLeast"/>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
    <w:name w:val="Q/A"/>
    <w:basedOn w:val="Normal"/>
    <w:next w:val="Normal"/>
    <w:qFormat/>
    <w:rsid w:val="00794DF6"/>
    <w:pPr>
      <w:spacing w:before="480"/>
    </w:pPr>
    <w:rPr>
      <w:b/>
      <w:smallCaps/>
    </w:rPr>
  </w:style>
  <w:style w:type="paragraph" w:customStyle="1" w:styleId="BodyList1">
    <w:name w:val="BodyList 1"/>
    <w:basedOn w:val="Normal"/>
    <w:qFormat/>
    <w:rsid w:val="00794DF6"/>
    <w:pPr>
      <w:spacing w:after="120"/>
      <w:ind w:left="432" w:hanging="432"/>
    </w:pPr>
  </w:style>
  <w:style w:type="paragraph" w:styleId="FootnoteText">
    <w:name w:val="footnote text"/>
    <w:basedOn w:val="Normal"/>
    <w:link w:val="FootnoteTextChar"/>
    <w:uiPriority w:val="99"/>
    <w:semiHidden/>
    <w:unhideWhenUsed/>
    <w:rsid w:val="00794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DF6"/>
    <w:rPr>
      <w:rFonts w:ascii="Arial" w:hAnsi="Arial"/>
      <w:sz w:val="20"/>
      <w:szCs w:val="20"/>
    </w:rPr>
  </w:style>
  <w:style w:type="character" w:styleId="FootnoteReference">
    <w:name w:val="footnote reference"/>
    <w:basedOn w:val="DefaultParagraphFont"/>
    <w:uiPriority w:val="99"/>
    <w:rsid w:val="00794DF6"/>
    <w:rPr>
      <w:rFonts w:ascii="Arial" w:hAnsi="Arial"/>
      <w:b/>
      <w:position w:val="6"/>
      <w:sz w:val="22"/>
      <w:vertAlign w:val="baseline"/>
    </w:rPr>
  </w:style>
  <w:style w:type="paragraph" w:styleId="BalloonText">
    <w:name w:val="Balloon Text"/>
    <w:basedOn w:val="Normal"/>
    <w:link w:val="BalloonTextChar"/>
    <w:uiPriority w:val="99"/>
    <w:semiHidden/>
    <w:unhideWhenUsed/>
    <w:rsid w:val="0083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29"/>
    <w:rPr>
      <w:rFonts w:ascii="Tahoma" w:hAnsi="Tahoma" w:cs="Tahoma"/>
      <w:sz w:val="16"/>
      <w:szCs w:val="16"/>
    </w:rPr>
  </w:style>
  <w:style w:type="character" w:styleId="Hyperlink">
    <w:name w:val="Hyperlink"/>
    <w:basedOn w:val="DefaultParagraphFont"/>
    <w:uiPriority w:val="99"/>
    <w:unhideWhenUsed/>
    <w:rsid w:val="00830429"/>
    <w:rPr>
      <w:color w:val="0000FF" w:themeColor="hyperlink"/>
      <w:u w:val="single"/>
    </w:rPr>
  </w:style>
  <w:style w:type="paragraph" w:styleId="ListParagraph">
    <w:name w:val="List Paragraph"/>
    <w:basedOn w:val="Normal"/>
    <w:uiPriority w:val="34"/>
    <w:qFormat/>
    <w:rsid w:val="00937051"/>
    <w:pPr>
      <w:ind w:left="720"/>
      <w:contextualSpacing/>
    </w:pPr>
  </w:style>
  <w:style w:type="character" w:styleId="CommentReference">
    <w:name w:val="annotation reference"/>
    <w:basedOn w:val="DefaultParagraphFont"/>
    <w:uiPriority w:val="99"/>
    <w:semiHidden/>
    <w:unhideWhenUsed/>
    <w:rsid w:val="004156FE"/>
    <w:rPr>
      <w:sz w:val="16"/>
      <w:szCs w:val="16"/>
    </w:rPr>
  </w:style>
  <w:style w:type="paragraph" w:styleId="CommentText">
    <w:name w:val="annotation text"/>
    <w:basedOn w:val="Normal"/>
    <w:link w:val="CommentTextChar"/>
    <w:uiPriority w:val="99"/>
    <w:semiHidden/>
    <w:unhideWhenUsed/>
    <w:rsid w:val="004156FE"/>
    <w:pPr>
      <w:spacing w:line="240" w:lineRule="auto"/>
    </w:pPr>
    <w:rPr>
      <w:sz w:val="20"/>
      <w:szCs w:val="20"/>
    </w:rPr>
  </w:style>
  <w:style w:type="character" w:customStyle="1" w:styleId="CommentTextChar">
    <w:name w:val="Comment Text Char"/>
    <w:basedOn w:val="DefaultParagraphFont"/>
    <w:link w:val="CommentText"/>
    <w:uiPriority w:val="99"/>
    <w:semiHidden/>
    <w:rsid w:val="004156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56FE"/>
    <w:rPr>
      <w:b/>
      <w:bCs/>
    </w:rPr>
  </w:style>
  <w:style w:type="character" w:customStyle="1" w:styleId="CommentSubjectChar">
    <w:name w:val="Comment Subject Char"/>
    <w:basedOn w:val="CommentTextChar"/>
    <w:link w:val="CommentSubject"/>
    <w:uiPriority w:val="99"/>
    <w:semiHidden/>
    <w:rsid w:val="004156FE"/>
    <w:rPr>
      <w:rFonts w:ascii="Arial" w:hAnsi="Arial"/>
      <w:b/>
      <w:bCs/>
      <w:sz w:val="20"/>
      <w:szCs w:val="20"/>
    </w:rPr>
  </w:style>
  <w:style w:type="table" w:styleId="TableGrid">
    <w:name w:val="Table Grid"/>
    <w:basedOn w:val="TableNormal"/>
    <w:uiPriority w:val="59"/>
    <w:rsid w:val="0020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4462"/>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02D6C"/>
    <w:pPr>
      <w:spacing w:after="0" w:line="240" w:lineRule="auto"/>
    </w:pPr>
    <w:rPr>
      <w:rFonts w:ascii="Arial" w:hAnsi="Arial"/>
      <w:sz w:val="24"/>
      <w:szCs w:val="24"/>
    </w:rPr>
  </w:style>
  <w:style w:type="character" w:styleId="UnresolvedMention">
    <w:name w:val="Unresolved Mention"/>
    <w:basedOn w:val="DefaultParagraphFont"/>
    <w:uiPriority w:val="99"/>
    <w:semiHidden/>
    <w:unhideWhenUsed/>
    <w:rsid w:val="00C8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291244">
      <w:bodyDiv w:val="1"/>
      <w:marLeft w:val="0"/>
      <w:marRight w:val="0"/>
      <w:marTop w:val="0"/>
      <w:marBottom w:val="0"/>
      <w:divBdr>
        <w:top w:val="none" w:sz="0" w:space="0" w:color="auto"/>
        <w:left w:val="none" w:sz="0" w:space="0" w:color="auto"/>
        <w:bottom w:val="none" w:sz="0" w:space="0" w:color="auto"/>
        <w:right w:val="none" w:sz="0" w:space="0" w:color="auto"/>
      </w:divBdr>
    </w:div>
    <w:div w:id="1093474845">
      <w:bodyDiv w:val="1"/>
      <w:marLeft w:val="0"/>
      <w:marRight w:val="0"/>
      <w:marTop w:val="0"/>
      <w:marBottom w:val="0"/>
      <w:divBdr>
        <w:top w:val="none" w:sz="0" w:space="0" w:color="auto"/>
        <w:left w:val="none" w:sz="0" w:space="0" w:color="auto"/>
        <w:bottom w:val="none" w:sz="0" w:space="0" w:color="auto"/>
        <w:right w:val="none" w:sz="0" w:space="0" w:color="auto"/>
      </w:divBdr>
    </w:div>
    <w:div w:id="1331758378">
      <w:bodyDiv w:val="1"/>
      <w:marLeft w:val="0"/>
      <w:marRight w:val="0"/>
      <w:marTop w:val="0"/>
      <w:marBottom w:val="0"/>
      <w:divBdr>
        <w:top w:val="none" w:sz="0" w:space="0" w:color="auto"/>
        <w:left w:val="none" w:sz="0" w:space="0" w:color="auto"/>
        <w:bottom w:val="none" w:sz="0" w:space="0" w:color="auto"/>
        <w:right w:val="none" w:sz="0" w:space="0" w:color="auto"/>
      </w:divBdr>
    </w:div>
    <w:div w:id="1492869177">
      <w:bodyDiv w:val="1"/>
      <w:marLeft w:val="0"/>
      <w:marRight w:val="0"/>
      <w:marTop w:val="0"/>
      <w:marBottom w:val="0"/>
      <w:divBdr>
        <w:top w:val="none" w:sz="0" w:space="0" w:color="auto"/>
        <w:left w:val="none" w:sz="0" w:space="0" w:color="auto"/>
        <w:bottom w:val="none" w:sz="0" w:space="0" w:color="auto"/>
        <w:right w:val="none" w:sz="0" w:space="0" w:color="auto"/>
      </w:divBdr>
    </w:div>
    <w:div w:id="1812558991">
      <w:bodyDiv w:val="1"/>
      <w:marLeft w:val="0"/>
      <w:marRight w:val="0"/>
      <w:marTop w:val="0"/>
      <w:marBottom w:val="0"/>
      <w:divBdr>
        <w:top w:val="none" w:sz="0" w:space="0" w:color="auto"/>
        <w:left w:val="none" w:sz="0" w:space="0" w:color="auto"/>
        <w:bottom w:val="none" w:sz="0" w:space="0" w:color="auto"/>
        <w:right w:val="none" w:sz="0" w:space="0" w:color="auto"/>
      </w:divBdr>
    </w:div>
    <w:div w:id="18630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iso.com/Pages/documentsbygroup.aspx?GroupID=6B413850-85A2-42A8-8C45-8F23A3B7E91E" TargetMode="External"/><Relationship Id="rId18" Type="http://schemas.openxmlformats.org/officeDocument/2006/relationships/hyperlink" Target="http://www.caiso.com/Documents/2019FlexibleCapacityRequirementAssessmentDataRequestTemplate.xlsx"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www.caiso.com/Pages/documentsbygroup.aspx?GroupID=883F7D08-5AA6-42A2-8B34-82D70E5653F5" TargetMode="External"/><Relationship Id="rId17" Type="http://schemas.openxmlformats.org/officeDocument/2006/relationships/hyperlink" Target="http://www.caiso.com/informed/Pages/StakeholderProcesses/FlexibleResourceAdequacyCriteria-MustOfferObligations.aspx" TargetMode="External"/><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hyperlink" Target="http://www.caiso.com/Documents/AnnouncedRetirementAndMothballList.xlsx" TargetMode="External"/><Relationship Id="rId20" Type="http://schemas.openxmlformats.org/officeDocument/2006/relationships/image" Target="media/image1.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Documents/CapacityProcurementMechanismDesignation-052319.html"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caiso.com/Documents/Update_Results_RMR_ContractExtensions_2018-Nov2017.pdf" TargetMode="External"/><Relationship Id="rId23" Type="http://schemas.openxmlformats.org/officeDocument/2006/relationships/package" Target="embeddings/Microsoft_Excel_Worksheet1.xls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aiso.com/informed/Pages/StakeholderProcesses/FlexibleCapacityNeedsAssessmentProces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iso.com/Documents/Update-Results-RMRContractExtensions-2019-Nov2018.pdf" TargetMode="External"/><Relationship Id="rId22" Type="http://schemas.openxmlformats.org/officeDocument/2006/relationships/image" Target="media/image2.emf"/><Relationship Id="rId27" Type="http://schemas.openxmlformats.org/officeDocument/2006/relationships/package" Target="embeddings/Microsoft_Excel_Worksheet3.xlsx"/><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article/us-la-paloma-bankruptcy-idUSKBN13V2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2" ma:contentTypeDescription="Create a new document." ma:contentTypeScope="" ma:versionID="a4e2a4dfc80ff2b7d69d58d27d122245">
  <xsd:schema xmlns:xsd="http://www.w3.org/2001/XMLSchema" xmlns:xs="http://www.w3.org/2001/XMLSchema" xmlns:p="http://schemas.microsoft.com/office/2006/metadata/properties" xmlns:ns2="c67951e0-1750-45b8-a06c-ba7fb743eef7" targetNamespace="http://schemas.microsoft.com/office/2006/metadata/properties" ma:root="true" ma:fieldsID="471a4d3f01f75c13a895be642869780c" ns2:_="">
    <xsd:import namespace="c67951e0-1750-45b8-a06c-ba7fb743ee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80EC-2969-4FBD-A185-C12A9F57F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B2E53-69EF-4D4A-9A01-31F252FB6E57}">
  <ds:schemaRefs>
    <ds:schemaRef ds:uri="http://schemas.microsoft.com/sharepoint/v3/contenttype/forms"/>
  </ds:schemaRefs>
</ds:datastoreItem>
</file>

<file path=customXml/itemProps3.xml><?xml version="1.0" encoding="utf-8"?>
<ds:datastoreItem xmlns:ds="http://schemas.openxmlformats.org/officeDocument/2006/customXml" ds:itemID="{18C34675-B064-4A50-A80A-B12BA275A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DC8FB-7E94-4064-A172-354AD6BF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Daniel</dc:creator>
  <cp:lastModifiedBy>Anderson, Gregory S</cp:lastModifiedBy>
  <cp:revision>9</cp:revision>
  <cp:lastPrinted>2019-02-05T01:13:00Z</cp:lastPrinted>
  <dcterms:created xsi:type="dcterms:W3CDTF">2019-06-24T16:07:00Z</dcterms:created>
  <dcterms:modified xsi:type="dcterms:W3CDTF">2019-07-18T16:20:00Z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0x010100421F627085820B45ABDC82DD35D4FDFD</vt:lpwstr>
  </property>
</Properties>
</file>