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AD3D9" w14:textId="4FE607A1" w:rsidR="00C55B0E" w:rsidRPr="00B73FAF" w:rsidRDefault="0037542E" w:rsidP="00574681">
      <w:pPr>
        <w:autoSpaceDE w:val="0"/>
        <w:autoSpaceDN w:val="0"/>
        <w:adjustRightInd w:val="0"/>
        <w:rPr>
          <w:sz w:val="24"/>
          <w:szCs w:val="24"/>
        </w:rPr>
      </w:pPr>
      <w:r w:rsidRPr="00B73FAF">
        <w:rPr>
          <w:sz w:val="24"/>
          <w:szCs w:val="24"/>
        </w:rPr>
        <w:t>SUBJECT</w:t>
      </w:r>
      <w:proofErr w:type="gramStart"/>
      <w:r w:rsidRPr="00B73FAF">
        <w:rPr>
          <w:sz w:val="24"/>
          <w:szCs w:val="24"/>
        </w:rPr>
        <w:t>:  “</w:t>
      </w:r>
      <w:proofErr w:type="gramEnd"/>
      <w:r w:rsidR="00D77895" w:rsidRPr="00B73FAF">
        <w:rPr>
          <w:sz w:val="24"/>
          <w:szCs w:val="24"/>
        </w:rPr>
        <w:t>CONTRIBUTION TO MARGIN (CTM) ANALYSIS</w:t>
      </w:r>
      <w:r w:rsidRPr="00B73FAF">
        <w:rPr>
          <w:sz w:val="24"/>
          <w:szCs w:val="24"/>
        </w:rPr>
        <w:t>”</w:t>
      </w:r>
    </w:p>
    <w:p w14:paraId="01C72C5B" w14:textId="77777777" w:rsidR="00D77895" w:rsidRPr="00B73FAF" w:rsidRDefault="00D77895" w:rsidP="00D77895">
      <w:pPr>
        <w:autoSpaceDE w:val="0"/>
        <w:autoSpaceDN w:val="0"/>
        <w:adjustRightInd w:val="0"/>
        <w:rPr>
          <w:sz w:val="24"/>
          <w:szCs w:val="24"/>
        </w:rPr>
      </w:pPr>
    </w:p>
    <w:p w14:paraId="196A5FD8" w14:textId="5A91B874" w:rsidR="00C55B0E" w:rsidRPr="00B73FAF" w:rsidRDefault="00D77895" w:rsidP="00D77895">
      <w:pPr>
        <w:pStyle w:val="ListParagraph"/>
        <w:numPr>
          <w:ilvl w:val="0"/>
          <w:numId w:val="8"/>
        </w:numPr>
        <w:autoSpaceDE w:val="0"/>
        <w:autoSpaceDN w:val="0"/>
        <w:adjustRightInd w:val="0"/>
        <w:rPr>
          <w:sz w:val="24"/>
          <w:szCs w:val="24"/>
        </w:rPr>
      </w:pPr>
      <w:r w:rsidRPr="00B73FAF">
        <w:rPr>
          <w:sz w:val="24"/>
          <w:szCs w:val="24"/>
        </w:rPr>
        <w:t>In its response to Q1, SDG&amp;E states that “NBCs are assessed as an energy charge,” which includes tra</w:t>
      </w:r>
      <w:bookmarkStart w:id="0" w:name="_GoBack"/>
      <w:bookmarkEnd w:id="0"/>
      <w:r w:rsidRPr="00B73FAF">
        <w:rPr>
          <w:sz w:val="24"/>
          <w:szCs w:val="24"/>
        </w:rPr>
        <w:t xml:space="preserve">nsmission charges. The workpaper shows a single NBC charge ($0.04273 on row 36 of tab “CTM Calc”). Is </w:t>
      </w:r>
      <w:proofErr w:type="gramStart"/>
      <w:r w:rsidRPr="00B73FAF">
        <w:rPr>
          <w:sz w:val="24"/>
          <w:szCs w:val="24"/>
        </w:rPr>
        <w:t>it</w:t>
      </w:r>
      <w:proofErr w:type="gramEnd"/>
      <w:r w:rsidRPr="00B73FAF">
        <w:rPr>
          <w:sz w:val="24"/>
          <w:szCs w:val="24"/>
        </w:rPr>
        <w:t xml:space="preserve"> standard practice for SDG&amp;E to convert transmission charges into an energy rate for CTM analyses?</w:t>
      </w:r>
    </w:p>
    <w:p w14:paraId="08D1A901" w14:textId="77777777" w:rsidR="001A736E" w:rsidRPr="00B73FAF" w:rsidRDefault="001A736E" w:rsidP="00574681">
      <w:pPr>
        <w:autoSpaceDE w:val="0"/>
        <w:autoSpaceDN w:val="0"/>
        <w:adjustRightInd w:val="0"/>
        <w:rPr>
          <w:sz w:val="24"/>
          <w:szCs w:val="24"/>
        </w:rPr>
      </w:pPr>
    </w:p>
    <w:p w14:paraId="650A92DD" w14:textId="732D3D18" w:rsidR="00FE7CF1" w:rsidRPr="00B73FAF" w:rsidRDefault="003F72BF" w:rsidP="00662061">
      <w:pPr>
        <w:autoSpaceDE w:val="0"/>
        <w:autoSpaceDN w:val="0"/>
        <w:adjustRightInd w:val="0"/>
        <w:ind w:left="360"/>
        <w:rPr>
          <w:b/>
          <w:sz w:val="24"/>
          <w:szCs w:val="24"/>
        </w:rPr>
      </w:pPr>
      <w:r w:rsidRPr="00B73FAF">
        <w:rPr>
          <w:b/>
          <w:sz w:val="24"/>
          <w:szCs w:val="24"/>
        </w:rPr>
        <w:t xml:space="preserve">SDG&amp;E Response: </w:t>
      </w:r>
      <w:r w:rsidR="00133CDE" w:rsidRPr="00B73FAF">
        <w:rPr>
          <w:sz w:val="24"/>
          <w:szCs w:val="24"/>
        </w:rPr>
        <w:t>The Economic Development Rates (“EDR</w:t>
      </w:r>
      <w:r w:rsidR="00B35A27" w:rsidRPr="00B73FAF">
        <w:rPr>
          <w:sz w:val="24"/>
          <w:szCs w:val="24"/>
        </w:rPr>
        <w:t>”</w:t>
      </w:r>
      <w:r w:rsidR="00133CDE" w:rsidRPr="00B73FAF">
        <w:rPr>
          <w:sz w:val="24"/>
          <w:szCs w:val="24"/>
        </w:rPr>
        <w:t>) decisions adopted by the Commission have required the Contribution to Margin (“CTM”) calculations to determine the floor price, which consists of marginal distribution costs, marginal generation costs, and non-bypassable (“NBCs”) charges, including transmission charges.</w:t>
      </w:r>
      <w:r w:rsidR="00133CDE" w:rsidRPr="00B73FAF">
        <w:rPr>
          <w:rStyle w:val="FootnoteReference"/>
          <w:sz w:val="24"/>
          <w:szCs w:val="24"/>
        </w:rPr>
        <w:footnoteReference w:id="2"/>
      </w:r>
      <w:r w:rsidR="00133CDE" w:rsidRPr="00B73FAF">
        <w:rPr>
          <w:sz w:val="24"/>
          <w:szCs w:val="24"/>
        </w:rPr>
        <w:t xml:space="preserve">  Because marginal costs are not calculated for transmission, the transmission charge used in the CTM calculation, like all NBCs, reflect the average $/kWh rate for the customer class.  The $0.04273/kWh average NBC rate identified in your question represents the average NBC rate for the Medium/Large Commercial &amp; Industrial (“M/L C&amp;I”) customer class on January 1, 2018</w:t>
      </w:r>
      <w:r w:rsidR="004F4741" w:rsidRPr="00B73FAF">
        <w:rPr>
          <w:sz w:val="24"/>
          <w:szCs w:val="24"/>
        </w:rPr>
        <w:t>,</w:t>
      </w:r>
      <w:r w:rsidR="00133CDE" w:rsidRPr="00B73FAF">
        <w:rPr>
          <w:rStyle w:val="FootnoteReference"/>
          <w:sz w:val="24"/>
          <w:szCs w:val="24"/>
        </w:rPr>
        <w:footnoteReference w:id="3"/>
      </w:r>
      <w:r w:rsidR="00133CDE" w:rsidRPr="00B73FAF">
        <w:rPr>
          <w:sz w:val="24"/>
          <w:szCs w:val="24"/>
        </w:rPr>
        <w:t xml:space="preserve"> with the average transmission rate being $0.01891/kWh.</w:t>
      </w:r>
    </w:p>
    <w:p w14:paraId="51E79721" w14:textId="702A5DD0" w:rsidR="62352CEE" w:rsidRPr="00B73FAF" w:rsidRDefault="62352CEE" w:rsidP="62352CEE"/>
    <w:p w14:paraId="61B09482" w14:textId="50D4B3DA" w:rsidR="00FE7CF1" w:rsidRPr="00B73FAF" w:rsidRDefault="00D77895" w:rsidP="00D77895">
      <w:pPr>
        <w:pStyle w:val="ListParagraph"/>
        <w:numPr>
          <w:ilvl w:val="0"/>
          <w:numId w:val="8"/>
        </w:numPr>
        <w:autoSpaceDE w:val="0"/>
        <w:autoSpaceDN w:val="0"/>
        <w:adjustRightInd w:val="0"/>
        <w:rPr>
          <w:sz w:val="24"/>
          <w:szCs w:val="24"/>
        </w:rPr>
      </w:pPr>
      <w:r w:rsidRPr="00B73FAF">
        <w:rPr>
          <w:sz w:val="24"/>
          <w:szCs w:val="24"/>
        </w:rPr>
        <w:t>Total NBCs for the EV-HP rate schedule ($.05647/kWh) are significantly higher than in the port’s CTM analysis. Please explain the difference.</w:t>
      </w:r>
    </w:p>
    <w:p w14:paraId="0B04982D" w14:textId="77777777" w:rsidR="00D77895" w:rsidRPr="00B73FAF" w:rsidRDefault="00D77895" w:rsidP="00D77895">
      <w:pPr>
        <w:autoSpaceDE w:val="0"/>
        <w:autoSpaceDN w:val="0"/>
        <w:adjustRightInd w:val="0"/>
        <w:rPr>
          <w:sz w:val="24"/>
          <w:szCs w:val="24"/>
        </w:rPr>
      </w:pPr>
    </w:p>
    <w:p w14:paraId="43F78713" w14:textId="090F1A59" w:rsidR="00E61B3D" w:rsidRPr="00B73FAF" w:rsidRDefault="00D77895" w:rsidP="00662061">
      <w:pPr>
        <w:autoSpaceDE w:val="0"/>
        <w:autoSpaceDN w:val="0"/>
        <w:adjustRightInd w:val="0"/>
        <w:ind w:firstLine="360"/>
        <w:rPr>
          <w:sz w:val="24"/>
          <w:szCs w:val="24"/>
        </w:rPr>
      </w:pPr>
      <w:r w:rsidRPr="00B73FAF">
        <w:rPr>
          <w:noProof/>
        </w:rPr>
        <w:drawing>
          <wp:inline distT="0" distB="0" distL="0" distR="0" wp14:anchorId="3A1F99E1" wp14:editId="3E342754">
            <wp:extent cx="5753100" cy="16275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3100" cy="1627586"/>
                    </a:xfrm>
                    <a:prstGeom prst="rect">
                      <a:avLst/>
                    </a:prstGeom>
                  </pic:spPr>
                </pic:pic>
              </a:graphicData>
            </a:graphic>
          </wp:inline>
        </w:drawing>
      </w:r>
    </w:p>
    <w:p w14:paraId="237275E4" w14:textId="79217016" w:rsidR="00D77895" w:rsidRPr="00B73FAF" w:rsidRDefault="00D77895" w:rsidP="00E61B3D">
      <w:pPr>
        <w:autoSpaceDE w:val="0"/>
        <w:autoSpaceDN w:val="0"/>
        <w:adjustRightInd w:val="0"/>
        <w:rPr>
          <w:sz w:val="24"/>
          <w:szCs w:val="24"/>
        </w:rPr>
      </w:pPr>
    </w:p>
    <w:p w14:paraId="73DC8EA4" w14:textId="2250071A" w:rsidR="00133CDE" w:rsidRPr="00B73FAF" w:rsidRDefault="00D77895" w:rsidP="00662061">
      <w:pPr>
        <w:keepNext/>
        <w:autoSpaceDE w:val="0"/>
        <w:autoSpaceDN w:val="0"/>
        <w:adjustRightInd w:val="0"/>
        <w:ind w:left="360"/>
        <w:rPr>
          <w:sz w:val="24"/>
          <w:szCs w:val="24"/>
        </w:rPr>
      </w:pPr>
      <w:r w:rsidRPr="00B73FAF">
        <w:rPr>
          <w:b/>
          <w:sz w:val="24"/>
          <w:szCs w:val="24"/>
        </w:rPr>
        <w:t>SDG&amp;E Response:</w:t>
      </w:r>
      <w:r w:rsidRPr="00B73FAF">
        <w:rPr>
          <w:sz w:val="24"/>
          <w:szCs w:val="24"/>
        </w:rPr>
        <w:t xml:space="preserve"> </w:t>
      </w:r>
      <w:r w:rsidR="001A7E21" w:rsidRPr="00B73FAF">
        <w:rPr>
          <w:sz w:val="24"/>
          <w:szCs w:val="24"/>
        </w:rPr>
        <w:t xml:space="preserve">The difference between the EV-HP Total NBCs rate </w:t>
      </w:r>
      <w:r w:rsidR="00AC5431" w:rsidRPr="00B73FAF">
        <w:rPr>
          <w:sz w:val="24"/>
          <w:szCs w:val="24"/>
        </w:rPr>
        <w:t xml:space="preserve">of $0.05647 </w:t>
      </w:r>
      <w:r w:rsidR="001A7E21" w:rsidRPr="00B73FAF">
        <w:rPr>
          <w:sz w:val="24"/>
          <w:szCs w:val="24"/>
        </w:rPr>
        <w:t xml:space="preserve">and the EDR Total NBCs rate </w:t>
      </w:r>
      <w:r w:rsidR="00942B0E" w:rsidRPr="00B73FAF">
        <w:rPr>
          <w:sz w:val="24"/>
          <w:szCs w:val="24"/>
        </w:rPr>
        <w:t>of $</w:t>
      </w:r>
      <w:r w:rsidR="00AC5431" w:rsidRPr="00B73FAF">
        <w:rPr>
          <w:sz w:val="24"/>
          <w:szCs w:val="24"/>
        </w:rPr>
        <w:t xml:space="preserve">0.04273 </w:t>
      </w:r>
      <w:r w:rsidR="001A7E21" w:rsidRPr="00B73FAF">
        <w:rPr>
          <w:sz w:val="24"/>
          <w:szCs w:val="24"/>
        </w:rPr>
        <w:t>presented in Question 1 is due to the fact that the rates shown for EV-HP are based on SDG&amp;E’s electric rates effective June 1, 2019,</w:t>
      </w:r>
      <w:r w:rsidR="001A7E21" w:rsidRPr="00B73FAF">
        <w:rPr>
          <w:rStyle w:val="FootnoteReference"/>
          <w:sz w:val="24"/>
          <w:szCs w:val="24"/>
        </w:rPr>
        <w:footnoteReference w:id="4"/>
      </w:r>
      <w:r w:rsidR="001A7E21" w:rsidRPr="00B73FAF">
        <w:rPr>
          <w:sz w:val="24"/>
          <w:szCs w:val="24"/>
        </w:rPr>
        <w:t xml:space="preserve"> and reflect rates specific for Schedule AL-TOU, a rate schedule in the M/L C&amp;I customer class.  Therefore, the rate differences are due to changes in SDG&amp;E’s rates that occurred from </w:t>
      </w:r>
      <w:r w:rsidR="001A7E21" w:rsidRPr="00B73FAF">
        <w:rPr>
          <w:sz w:val="24"/>
          <w:szCs w:val="24"/>
        </w:rPr>
        <w:lastRenderedPageBreak/>
        <w:t>January 1, 2018, to June 1, 2019, and differences between Schedule AL-TOU rates compared to M/L C&amp;I class average rates.</w:t>
      </w:r>
    </w:p>
    <w:p w14:paraId="7DD108E7" w14:textId="77777777" w:rsidR="001A7E21" w:rsidRPr="00B73FAF" w:rsidRDefault="001A7E21" w:rsidP="00E61B3D">
      <w:pPr>
        <w:autoSpaceDE w:val="0"/>
        <w:autoSpaceDN w:val="0"/>
        <w:adjustRightInd w:val="0"/>
        <w:rPr>
          <w:sz w:val="24"/>
          <w:szCs w:val="24"/>
        </w:rPr>
      </w:pPr>
    </w:p>
    <w:p w14:paraId="08748834" w14:textId="2C81A9AD" w:rsidR="00D77895" w:rsidRPr="00B73FAF" w:rsidRDefault="00D77895" w:rsidP="00D77895">
      <w:pPr>
        <w:pStyle w:val="ListParagraph"/>
        <w:numPr>
          <w:ilvl w:val="0"/>
          <w:numId w:val="8"/>
        </w:numPr>
        <w:autoSpaceDE w:val="0"/>
        <w:autoSpaceDN w:val="0"/>
        <w:adjustRightInd w:val="0"/>
        <w:rPr>
          <w:sz w:val="24"/>
          <w:szCs w:val="24"/>
        </w:rPr>
      </w:pPr>
      <w:r w:rsidRPr="00B73FAF">
        <w:rPr>
          <w:sz w:val="24"/>
          <w:szCs w:val="24"/>
        </w:rPr>
        <w:t>SDG&amp;E assesses marginal distribution design demand costs as the marginal cost unit value (e.g. cell C23 of “CTM Calc” tab) times monthly non-coincident demand. However, SDG&amp;E does not incorporate the effect of effective demand factors (EDFs), which it normally uses to calculate total marginal distribution design demand costs in the revenue allocation process.2 What is SDG&amp;E’s rationale for not including the effect of EDFs in the port’s CTM analysis? Would it be appropriate to include the effect of EDFs for other medium and large commercial and industrial customers?</w:t>
      </w:r>
    </w:p>
    <w:p w14:paraId="795E2993" w14:textId="23FD40C8" w:rsidR="00D77895" w:rsidRPr="00B73FAF" w:rsidRDefault="00D77895" w:rsidP="00D77895">
      <w:pPr>
        <w:autoSpaceDE w:val="0"/>
        <w:autoSpaceDN w:val="0"/>
        <w:adjustRightInd w:val="0"/>
        <w:rPr>
          <w:sz w:val="24"/>
          <w:szCs w:val="24"/>
        </w:rPr>
      </w:pPr>
    </w:p>
    <w:p w14:paraId="1F101980" w14:textId="07BFF776" w:rsidR="001A7E21" w:rsidRPr="00B73FAF" w:rsidRDefault="00D77895" w:rsidP="00662061">
      <w:pPr>
        <w:autoSpaceDE w:val="0"/>
        <w:autoSpaceDN w:val="0"/>
        <w:adjustRightInd w:val="0"/>
        <w:ind w:left="360"/>
        <w:rPr>
          <w:b/>
          <w:sz w:val="24"/>
          <w:szCs w:val="24"/>
        </w:rPr>
      </w:pPr>
      <w:r w:rsidRPr="00B73FAF">
        <w:rPr>
          <w:b/>
          <w:sz w:val="24"/>
          <w:szCs w:val="24"/>
        </w:rPr>
        <w:t xml:space="preserve">SDG&amp;E Response: </w:t>
      </w:r>
      <w:r w:rsidR="0065327A" w:rsidRPr="00B73FAF">
        <w:rPr>
          <w:sz w:val="24"/>
          <w:szCs w:val="24"/>
        </w:rPr>
        <w:t>T</w:t>
      </w:r>
      <w:r w:rsidR="00747605" w:rsidRPr="00B73FAF">
        <w:rPr>
          <w:sz w:val="24"/>
          <w:szCs w:val="24"/>
        </w:rPr>
        <w:t xml:space="preserve">he monthly non-coincident demand rate in the CTM calculation you identify (Cell C23 of the “CTM Calc” tab) does reflect the effect of EDFs in the Port’s CTM analysis because the non-coincident demand rate reflects the Equal Percent Marginal Cost (“EPMC”) rate to recover the allocated distribution demand revenues based on the EDFs.  </w:t>
      </w:r>
      <w:r w:rsidR="002A1DE8" w:rsidRPr="00B73FAF">
        <w:rPr>
          <w:sz w:val="24"/>
          <w:szCs w:val="24"/>
        </w:rPr>
        <w:t>Therefore</w:t>
      </w:r>
      <w:r w:rsidR="00747605" w:rsidRPr="00B73FAF">
        <w:rPr>
          <w:sz w:val="24"/>
          <w:szCs w:val="24"/>
        </w:rPr>
        <w:t>, it would be appropriate to reflect the effect of EDFs for other M/L C&amp;I customers, which SDG&amp;E did by basing the EV-HP rates on Schedule AL-TOU</w:t>
      </w:r>
      <w:r w:rsidR="00A3480E" w:rsidRPr="00B73FAF">
        <w:rPr>
          <w:sz w:val="24"/>
          <w:szCs w:val="24"/>
        </w:rPr>
        <w:t>’s</w:t>
      </w:r>
      <w:r w:rsidR="00747605" w:rsidRPr="00B73FAF">
        <w:rPr>
          <w:sz w:val="24"/>
          <w:szCs w:val="24"/>
        </w:rPr>
        <w:t xml:space="preserve"> current effective June 1, 2019, rates that include the effect of EDFs.</w:t>
      </w:r>
    </w:p>
    <w:sectPr w:rsidR="001A7E21" w:rsidRPr="00B73FAF" w:rsidSect="009324A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2498A" w14:textId="77777777" w:rsidR="00FC0D43" w:rsidRDefault="00FC0D43" w:rsidP="00D53FF2">
      <w:r>
        <w:separator/>
      </w:r>
    </w:p>
  </w:endnote>
  <w:endnote w:type="continuationSeparator" w:id="0">
    <w:p w14:paraId="71C23FF0" w14:textId="77777777" w:rsidR="00FC0D43" w:rsidRDefault="00FC0D43" w:rsidP="00D53FF2">
      <w:r>
        <w:continuationSeparator/>
      </w:r>
    </w:p>
  </w:endnote>
  <w:endnote w:type="continuationNotice" w:id="1">
    <w:p w14:paraId="78AAB8A0" w14:textId="77777777" w:rsidR="00FC0D43" w:rsidRDefault="00FC0D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YCZGQ+TimesNewRomanPS-BoldMT">
    <w:altName w:val="Cambria"/>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82F35" w14:textId="04C38BA4" w:rsidR="00B73FAF" w:rsidRDefault="00B73FAF" w:rsidP="00B73FAF">
    <w:pPr>
      <w:pStyle w:val="Footer"/>
      <w:jc w:val="center"/>
    </w:pPr>
    <w:r>
      <w:t xml:space="preserve">Page </w:t>
    </w:r>
    <w:r w:rsidR="0055304D">
      <w:fldChar w:fldCharType="begin"/>
    </w:r>
    <w:r w:rsidR="0055304D">
      <w:instrText xml:space="preserve"> PAGE   \* MERGEFORMAT </w:instrText>
    </w:r>
    <w:r w:rsidR="0055304D">
      <w:fldChar w:fldCharType="separate"/>
    </w:r>
    <w:r w:rsidR="0055304D">
      <w:rPr>
        <w:noProof/>
      </w:rPr>
      <w:t>1</w:t>
    </w:r>
    <w:r w:rsidR="0055304D">
      <w:rPr>
        <w:noProof/>
      </w:rPr>
      <w:fldChar w:fldCharType="end"/>
    </w:r>
    <w:r w:rsidR="0055304D">
      <w:rPr>
        <w:noProof/>
      </w:rPr>
      <w:t xml:space="preserve"> of </w:t>
    </w:r>
    <w:r w:rsidR="0055304D">
      <w:rPr>
        <w:noProof/>
      </w:rPr>
      <w:fldChar w:fldCharType="begin"/>
    </w:r>
    <w:r w:rsidR="0055304D">
      <w:rPr>
        <w:noProof/>
      </w:rPr>
      <w:instrText xml:space="preserve"> NUMPAGES   \* MERGEFORMAT </w:instrText>
    </w:r>
    <w:r w:rsidR="0055304D">
      <w:rPr>
        <w:noProof/>
      </w:rPr>
      <w:fldChar w:fldCharType="separate"/>
    </w:r>
    <w:r w:rsidR="0055304D">
      <w:rPr>
        <w:noProof/>
      </w:rPr>
      <w:t>2</w:t>
    </w:r>
    <w:r w:rsidR="0055304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3C060" w14:textId="77777777" w:rsidR="00FC0D43" w:rsidRDefault="00FC0D43" w:rsidP="00D53FF2">
      <w:r>
        <w:separator/>
      </w:r>
    </w:p>
  </w:footnote>
  <w:footnote w:type="continuationSeparator" w:id="0">
    <w:p w14:paraId="2CE8033A" w14:textId="77777777" w:rsidR="00FC0D43" w:rsidRDefault="00FC0D43" w:rsidP="00D53FF2">
      <w:r>
        <w:continuationSeparator/>
      </w:r>
    </w:p>
  </w:footnote>
  <w:footnote w:type="continuationNotice" w:id="1">
    <w:p w14:paraId="6BE65013" w14:textId="77777777" w:rsidR="00FC0D43" w:rsidRDefault="00FC0D43"/>
  </w:footnote>
  <w:footnote w:id="2">
    <w:p w14:paraId="6049B9E2" w14:textId="77777777" w:rsidR="00133CDE" w:rsidRDefault="00133CDE" w:rsidP="00133CDE">
      <w:pPr>
        <w:pStyle w:val="FootnoteText"/>
      </w:pPr>
      <w:r>
        <w:rPr>
          <w:rStyle w:val="FootnoteReference"/>
        </w:rPr>
        <w:footnoteRef/>
      </w:r>
      <w:r>
        <w:t xml:space="preserve"> Decision 13-10-019, p. 17; and D.19-07-003, p. 7 and p. 8 (footnote 6).</w:t>
      </w:r>
    </w:p>
  </w:footnote>
  <w:footnote w:id="3">
    <w:p w14:paraId="076D08AB" w14:textId="77777777" w:rsidR="00133CDE" w:rsidRPr="00C27BE7" w:rsidRDefault="00133CDE" w:rsidP="00133CDE">
      <w:pPr>
        <w:pStyle w:val="FootnoteText"/>
      </w:pPr>
      <w:r w:rsidRPr="00C27BE7">
        <w:rPr>
          <w:rStyle w:val="FootnoteReference"/>
        </w:rPr>
        <w:footnoteRef/>
      </w:r>
      <w:r w:rsidRPr="00C27BE7">
        <w:t xml:space="preserve"> </w:t>
      </w:r>
      <w:r>
        <w:t>SDG&amp;E electric rates effective January 1, 2018, per SDG&amp;E Advice Letter approved by Energy Division letter on April 30, 2018.</w:t>
      </w:r>
    </w:p>
  </w:footnote>
  <w:footnote w:id="4">
    <w:p w14:paraId="17EFC9F0" w14:textId="77777777" w:rsidR="001A7E21" w:rsidRDefault="001A7E21" w:rsidP="001A7E21">
      <w:pPr>
        <w:pStyle w:val="FootnoteText"/>
      </w:pPr>
      <w:r>
        <w:rPr>
          <w:rStyle w:val="FootnoteReference"/>
        </w:rPr>
        <w:footnoteRef/>
      </w:r>
      <w:r>
        <w:t xml:space="preserve"> SDG&amp;E electric rates effective January 1, 2018, per SDG&amp;E Advice Letter approved by Energy Division letter on April 30,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ED128" w14:textId="77777777" w:rsidR="00D53FF2" w:rsidRPr="00B73FAF" w:rsidRDefault="00426ECC" w:rsidP="00D53FF2">
    <w:pPr>
      <w:pStyle w:val="Default"/>
      <w:jc w:val="center"/>
      <w:rPr>
        <w:rFonts w:ascii="Times New Roman" w:hAnsi="Times New Roman" w:cs="Times New Roman"/>
        <w:b/>
        <w:bCs/>
        <w:sz w:val="23"/>
        <w:szCs w:val="23"/>
      </w:rPr>
    </w:pPr>
    <w:r w:rsidRPr="00B73FAF">
      <w:rPr>
        <w:rFonts w:ascii="Times New Roman" w:hAnsi="Times New Roman" w:cs="Times New Roman"/>
        <w:b/>
        <w:bCs/>
        <w:sz w:val="23"/>
        <w:szCs w:val="23"/>
      </w:rPr>
      <w:t>Cal PA</w:t>
    </w:r>
    <w:r w:rsidR="00D53FF2" w:rsidRPr="00B73FAF">
      <w:rPr>
        <w:rFonts w:ascii="Times New Roman" w:hAnsi="Times New Roman" w:cs="Times New Roman"/>
        <w:b/>
        <w:bCs/>
        <w:sz w:val="23"/>
        <w:szCs w:val="23"/>
      </w:rPr>
      <w:t xml:space="preserve"> DATA REQUEST </w:t>
    </w:r>
  </w:p>
  <w:p w14:paraId="470AEC8F" w14:textId="19B72514" w:rsidR="00D53FF2" w:rsidRPr="00B73FAF" w:rsidRDefault="00426ECC" w:rsidP="00D53FF2">
    <w:pPr>
      <w:pStyle w:val="Default"/>
      <w:jc w:val="center"/>
      <w:rPr>
        <w:rFonts w:ascii="Times New Roman" w:hAnsi="Times New Roman" w:cs="Times New Roman"/>
        <w:b/>
        <w:bCs/>
        <w:sz w:val="23"/>
        <w:szCs w:val="23"/>
      </w:rPr>
    </w:pPr>
    <w:r w:rsidRPr="00B73FAF">
      <w:rPr>
        <w:rFonts w:ascii="Times New Roman" w:hAnsi="Times New Roman" w:cs="Times New Roman"/>
        <w:b/>
        <w:bCs/>
        <w:sz w:val="23"/>
        <w:szCs w:val="23"/>
      </w:rPr>
      <w:t>Cal PA</w:t>
    </w:r>
    <w:r w:rsidR="00D53FF2" w:rsidRPr="00B73FAF">
      <w:rPr>
        <w:rFonts w:ascii="Times New Roman" w:hAnsi="Times New Roman" w:cs="Times New Roman"/>
        <w:b/>
        <w:bCs/>
        <w:sz w:val="23"/>
        <w:szCs w:val="23"/>
      </w:rPr>
      <w:t>-SDG&amp;E-DR-0</w:t>
    </w:r>
    <w:r w:rsidR="00503EC8" w:rsidRPr="00B73FAF">
      <w:rPr>
        <w:rFonts w:ascii="Times New Roman" w:hAnsi="Times New Roman" w:cs="Times New Roman"/>
        <w:b/>
        <w:bCs/>
        <w:sz w:val="23"/>
        <w:szCs w:val="23"/>
      </w:rPr>
      <w:t>7</w:t>
    </w:r>
    <w:r w:rsidR="00563006" w:rsidRPr="00B73FAF">
      <w:rPr>
        <w:rFonts w:ascii="Times New Roman" w:hAnsi="Times New Roman" w:cs="Times New Roman"/>
        <w:b/>
        <w:bCs/>
        <w:sz w:val="23"/>
        <w:szCs w:val="23"/>
      </w:rPr>
      <w:t>, REQUEST 1</w:t>
    </w:r>
  </w:p>
  <w:p w14:paraId="0921FB8D" w14:textId="63962C6D" w:rsidR="00D53FF2" w:rsidRPr="00B73FAF" w:rsidRDefault="00D53FF2" w:rsidP="00D53FF2">
    <w:pPr>
      <w:pStyle w:val="Default"/>
      <w:jc w:val="center"/>
      <w:rPr>
        <w:rFonts w:ascii="Times New Roman" w:hAnsi="Times New Roman" w:cs="Times New Roman"/>
        <w:b/>
        <w:bCs/>
        <w:sz w:val="23"/>
        <w:szCs w:val="23"/>
      </w:rPr>
    </w:pPr>
    <w:r w:rsidRPr="00B73FAF">
      <w:rPr>
        <w:rFonts w:ascii="Times New Roman" w:hAnsi="Times New Roman" w:cs="Times New Roman"/>
        <w:b/>
        <w:bCs/>
        <w:sz w:val="23"/>
        <w:szCs w:val="23"/>
      </w:rPr>
      <w:t>Application for Approval of Electric Vehicle High Power Charging Rate</w:t>
    </w:r>
    <w:r w:rsidR="005078B2" w:rsidRPr="00B73FAF">
      <w:rPr>
        <w:rFonts w:ascii="Times New Roman" w:hAnsi="Times New Roman" w:cs="Times New Roman"/>
        <w:b/>
        <w:bCs/>
        <w:sz w:val="23"/>
        <w:szCs w:val="23"/>
      </w:rPr>
      <w:t xml:space="preserve"> (A.19-07-006)</w:t>
    </w:r>
  </w:p>
  <w:p w14:paraId="77BBFC47" w14:textId="77777777" w:rsidR="00D53FF2" w:rsidRPr="00B73FAF" w:rsidRDefault="00D53FF2" w:rsidP="00D53FF2">
    <w:pPr>
      <w:pStyle w:val="Default"/>
      <w:jc w:val="center"/>
      <w:rPr>
        <w:rFonts w:ascii="Times New Roman" w:hAnsi="Times New Roman" w:cs="Times New Roman"/>
        <w:b/>
        <w:bCs/>
        <w:sz w:val="23"/>
        <w:szCs w:val="23"/>
      </w:rPr>
    </w:pPr>
    <w:r w:rsidRPr="00B73FAF">
      <w:rPr>
        <w:rFonts w:ascii="Times New Roman" w:hAnsi="Times New Roman" w:cs="Times New Roman"/>
        <w:b/>
        <w:bCs/>
        <w:sz w:val="23"/>
        <w:szCs w:val="23"/>
      </w:rPr>
      <w:t xml:space="preserve">SDG&amp;E RESPONSE </w:t>
    </w:r>
  </w:p>
  <w:p w14:paraId="01CA2882" w14:textId="2930E8C9" w:rsidR="00D53FF2" w:rsidRPr="00B73FAF" w:rsidRDefault="00D53FF2" w:rsidP="00D53FF2">
    <w:pPr>
      <w:pStyle w:val="Default"/>
      <w:jc w:val="center"/>
      <w:rPr>
        <w:rFonts w:ascii="Times New Roman" w:hAnsi="Times New Roman" w:cs="Times New Roman"/>
        <w:b/>
        <w:bCs/>
        <w:sz w:val="23"/>
        <w:szCs w:val="23"/>
      </w:rPr>
    </w:pPr>
    <w:r w:rsidRPr="00B73FAF">
      <w:rPr>
        <w:rFonts w:ascii="Times New Roman" w:hAnsi="Times New Roman" w:cs="Times New Roman"/>
        <w:b/>
        <w:bCs/>
        <w:sz w:val="23"/>
        <w:szCs w:val="23"/>
      </w:rPr>
      <w:t xml:space="preserve">DATE RECEIVED: </w:t>
    </w:r>
    <w:r w:rsidR="00503EC8" w:rsidRPr="00B73FAF">
      <w:rPr>
        <w:rFonts w:ascii="Times New Roman" w:hAnsi="Times New Roman" w:cs="Times New Roman"/>
        <w:b/>
        <w:bCs/>
        <w:sz w:val="23"/>
        <w:szCs w:val="23"/>
      </w:rPr>
      <w:t>November</w:t>
    </w:r>
    <w:r w:rsidR="00F761A7" w:rsidRPr="00B73FAF">
      <w:rPr>
        <w:rFonts w:ascii="Times New Roman" w:hAnsi="Times New Roman" w:cs="Times New Roman"/>
        <w:b/>
        <w:bCs/>
        <w:sz w:val="23"/>
        <w:szCs w:val="23"/>
      </w:rPr>
      <w:t xml:space="preserve"> </w:t>
    </w:r>
    <w:r w:rsidR="00503EC8" w:rsidRPr="00B73FAF">
      <w:rPr>
        <w:rFonts w:ascii="Times New Roman" w:hAnsi="Times New Roman" w:cs="Times New Roman"/>
        <w:b/>
        <w:bCs/>
        <w:sz w:val="23"/>
        <w:szCs w:val="23"/>
      </w:rPr>
      <w:t>13</w:t>
    </w:r>
    <w:r w:rsidRPr="00B73FAF">
      <w:rPr>
        <w:rFonts w:ascii="Times New Roman" w:hAnsi="Times New Roman" w:cs="Times New Roman"/>
        <w:b/>
        <w:bCs/>
        <w:sz w:val="23"/>
        <w:szCs w:val="23"/>
      </w:rPr>
      <w:t xml:space="preserve">, 2019 </w:t>
    </w:r>
  </w:p>
  <w:p w14:paraId="4380A851" w14:textId="2632BACE" w:rsidR="00D53FF2" w:rsidRPr="00B73FAF" w:rsidRDefault="00D53FF2" w:rsidP="00D53FF2">
    <w:pPr>
      <w:pStyle w:val="Default"/>
      <w:jc w:val="center"/>
      <w:rPr>
        <w:rFonts w:ascii="Times New Roman" w:hAnsi="Times New Roman" w:cs="Times New Roman"/>
        <w:b/>
        <w:bCs/>
        <w:color w:val="auto"/>
        <w:sz w:val="23"/>
        <w:szCs w:val="23"/>
      </w:rPr>
    </w:pPr>
    <w:r w:rsidRPr="00B73FAF">
      <w:rPr>
        <w:rFonts w:ascii="Times New Roman" w:hAnsi="Times New Roman" w:cs="Times New Roman"/>
        <w:b/>
        <w:bCs/>
        <w:sz w:val="23"/>
        <w:szCs w:val="23"/>
      </w:rPr>
      <w:t xml:space="preserve">DATE RESPONDED: </w:t>
    </w:r>
    <w:r w:rsidR="00503EC8" w:rsidRPr="00B73FAF">
      <w:rPr>
        <w:rFonts w:ascii="Times New Roman" w:hAnsi="Times New Roman" w:cs="Times New Roman"/>
        <w:b/>
        <w:bCs/>
        <w:color w:val="auto"/>
        <w:sz w:val="23"/>
        <w:szCs w:val="23"/>
      </w:rPr>
      <w:t>November</w:t>
    </w:r>
    <w:r w:rsidR="009D2CE2" w:rsidRPr="00B73FAF">
      <w:rPr>
        <w:rFonts w:ascii="Times New Roman" w:hAnsi="Times New Roman" w:cs="Times New Roman"/>
        <w:b/>
        <w:bCs/>
        <w:color w:val="auto"/>
        <w:sz w:val="23"/>
        <w:szCs w:val="23"/>
      </w:rPr>
      <w:t xml:space="preserve"> </w:t>
    </w:r>
    <w:r w:rsidR="00503EC8" w:rsidRPr="00B73FAF">
      <w:rPr>
        <w:rFonts w:ascii="Times New Roman" w:hAnsi="Times New Roman" w:cs="Times New Roman"/>
        <w:b/>
        <w:bCs/>
        <w:color w:val="auto"/>
        <w:sz w:val="23"/>
        <w:szCs w:val="23"/>
      </w:rPr>
      <w:t>2</w:t>
    </w:r>
    <w:r w:rsidR="00B73FAF" w:rsidRPr="00B73FAF">
      <w:rPr>
        <w:rFonts w:ascii="Times New Roman" w:hAnsi="Times New Roman" w:cs="Times New Roman"/>
        <w:b/>
        <w:bCs/>
        <w:color w:val="auto"/>
        <w:sz w:val="23"/>
        <w:szCs w:val="23"/>
      </w:rPr>
      <w:t>6</w:t>
    </w:r>
    <w:r w:rsidRPr="00B73FAF">
      <w:rPr>
        <w:rFonts w:ascii="Times New Roman" w:hAnsi="Times New Roman" w:cs="Times New Roman"/>
        <w:b/>
        <w:bCs/>
        <w:color w:val="auto"/>
        <w:sz w:val="23"/>
        <w:szCs w:val="23"/>
      </w:rPr>
      <w:t>, 2019</w:t>
    </w:r>
  </w:p>
  <w:p w14:paraId="0278AC9A" w14:textId="77777777" w:rsidR="009D2CE2" w:rsidRDefault="009D2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45E8"/>
    <w:multiLevelType w:val="hybridMultilevel"/>
    <w:tmpl w:val="64E416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7A3078"/>
    <w:multiLevelType w:val="hybridMultilevel"/>
    <w:tmpl w:val="325EA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950EF"/>
    <w:multiLevelType w:val="hybridMultilevel"/>
    <w:tmpl w:val="6B0E7DE4"/>
    <w:lvl w:ilvl="0" w:tplc="368AA08A">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12E4BC3"/>
    <w:multiLevelType w:val="hybridMultilevel"/>
    <w:tmpl w:val="F79CC1B0"/>
    <w:lvl w:ilvl="0" w:tplc="0409000F">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A24796A"/>
    <w:multiLevelType w:val="hybridMultilevel"/>
    <w:tmpl w:val="F49EE6A2"/>
    <w:lvl w:ilvl="0" w:tplc="2EE8C6BC">
      <w:start w:val="1"/>
      <w:numFmt w:val="decimal"/>
      <w:lvlText w:val="%1."/>
      <w:lvlJc w:val="left"/>
      <w:pPr>
        <w:tabs>
          <w:tab w:val="num" w:pos="720"/>
        </w:tabs>
        <w:ind w:left="720" w:hanging="360"/>
      </w:pPr>
      <w:rPr>
        <w:rFonts w:ascii="Times New Roman" w:hAnsi="Times New Roman" w:cs="Times New Roman" w:hint="default"/>
        <w:b w:val="0"/>
        <w:i w:val="0"/>
        <w:sz w:val="24"/>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50FC2239"/>
    <w:multiLevelType w:val="hybridMultilevel"/>
    <w:tmpl w:val="F33040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4"/>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FF2"/>
    <w:rsid w:val="00001351"/>
    <w:rsid w:val="0000574C"/>
    <w:rsid w:val="000176AD"/>
    <w:rsid w:val="00022F53"/>
    <w:rsid w:val="000233D9"/>
    <w:rsid w:val="00024C2C"/>
    <w:rsid w:val="00026FCF"/>
    <w:rsid w:val="00030772"/>
    <w:rsid w:val="00030F37"/>
    <w:rsid w:val="00036FCB"/>
    <w:rsid w:val="000412FC"/>
    <w:rsid w:val="00043A47"/>
    <w:rsid w:val="00045992"/>
    <w:rsid w:val="000468A5"/>
    <w:rsid w:val="00060359"/>
    <w:rsid w:val="00065395"/>
    <w:rsid w:val="00070DDF"/>
    <w:rsid w:val="00075088"/>
    <w:rsid w:val="00080D12"/>
    <w:rsid w:val="00085953"/>
    <w:rsid w:val="00085E2F"/>
    <w:rsid w:val="00086AA2"/>
    <w:rsid w:val="000906CC"/>
    <w:rsid w:val="000945D9"/>
    <w:rsid w:val="000A3650"/>
    <w:rsid w:val="000A4989"/>
    <w:rsid w:val="000A550E"/>
    <w:rsid w:val="000A57BE"/>
    <w:rsid w:val="000B1AF6"/>
    <w:rsid w:val="000B1EC3"/>
    <w:rsid w:val="000C2C0D"/>
    <w:rsid w:val="000C40FC"/>
    <w:rsid w:val="000C4CBE"/>
    <w:rsid w:val="000C56BD"/>
    <w:rsid w:val="000C7410"/>
    <w:rsid w:val="000C7F38"/>
    <w:rsid w:val="000D338F"/>
    <w:rsid w:val="000D589E"/>
    <w:rsid w:val="000D7229"/>
    <w:rsid w:val="000D7471"/>
    <w:rsid w:val="000E3D5C"/>
    <w:rsid w:val="000E406B"/>
    <w:rsid w:val="000F0F1A"/>
    <w:rsid w:val="00115B11"/>
    <w:rsid w:val="00120DE0"/>
    <w:rsid w:val="00133CDE"/>
    <w:rsid w:val="00140BB6"/>
    <w:rsid w:val="00140D50"/>
    <w:rsid w:val="0014156C"/>
    <w:rsid w:val="001418F5"/>
    <w:rsid w:val="00141EEA"/>
    <w:rsid w:val="001478A8"/>
    <w:rsid w:val="0015225E"/>
    <w:rsid w:val="00154E3F"/>
    <w:rsid w:val="00154EB4"/>
    <w:rsid w:val="00154F72"/>
    <w:rsid w:val="00161A57"/>
    <w:rsid w:val="001621AE"/>
    <w:rsid w:val="0016533F"/>
    <w:rsid w:val="00167430"/>
    <w:rsid w:val="001744EF"/>
    <w:rsid w:val="00182619"/>
    <w:rsid w:val="00187681"/>
    <w:rsid w:val="0019470F"/>
    <w:rsid w:val="001A2259"/>
    <w:rsid w:val="001A3065"/>
    <w:rsid w:val="001A736E"/>
    <w:rsid w:val="001A7E21"/>
    <w:rsid w:val="001B0911"/>
    <w:rsid w:val="001B32C7"/>
    <w:rsid w:val="001B3E30"/>
    <w:rsid w:val="001B4572"/>
    <w:rsid w:val="001B4749"/>
    <w:rsid w:val="001B7583"/>
    <w:rsid w:val="001C3927"/>
    <w:rsid w:val="001C4C9E"/>
    <w:rsid w:val="001C507D"/>
    <w:rsid w:val="001D290E"/>
    <w:rsid w:val="001F51C3"/>
    <w:rsid w:val="001F7685"/>
    <w:rsid w:val="00202895"/>
    <w:rsid w:val="002039CD"/>
    <w:rsid w:val="002100DF"/>
    <w:rsid w:val="00223540"/>
    <w:rsid w:val="0022632A"/>
    <w:rsid w:val="00227155"/>
    <w:rsid w:val="00230EF6"/>
    <w:rsid w:val="00237D25"/>
    <w:rsid w:val="00237DE8"/>
    <w:rsid w:val="0024268E"/>
    <w:rsid w:val="00247138"/>
    <w:rsid w:val="00252809"/>
    <w:rsid w:val="002545FB"/>
    <w:rsid w:val="00282F12"/>
    <w:rsid w:val="00297039"/>
    <w:rsid w:val="002A010F"/>
    <w:rsid w:val="002A0548"/>
    <w:rsid w:val="002A1DE8"/>
    <w:rsid w:val="002A433B"/>
    <w:rsid w:val="002B670A"/>
    <w:rsid w:val="002C00DA"/>
    <w:rsid w:val="002C0C79"/>
    <w:rsid w:val="002C1E3E"/>
    <w:rsid w:val="002C2B03"/>
    <w:rsid w:val="002C3DC3"/>
    <w:rsid w:val="002C5907"/>
    <w:rsid w:val="002D6F18"/>
    <w:rsid w:val="002E2C65"/>
    <w:rsid w:val="002E4A1F"/>
    <w:rsid w:val="002E60A8"/>
    <w:rsid w:val="002F61AC"/>
    <w:rsid w:val="00300025"/>
    <w:rsid w:val="00307AC6"/>
    <w:rsid w:val="003116A8"/>
    <w:rsid w:val="003154FF"/>
    <w:rsid w:val="003169ED"/>
    <w:rsid w:val="003219F7"/>
    <w:rsid w:val="00322C47"/>
    <w:rsid w:val="003346F1"/>
    <w:rsid w:val="00335E7F"/>
    <w:rsid w:val="00336921"/>
    <w:rsid w:val="00345237"/>
    <w:rsid w:val="003475D1"/>
    <w:rsid w:val="00347B5E"/>
    <w:rsid w:val="00351ABC"/>
    <w:rsid w:val="00355CBD"/>
    <w:rsid w:val="00356C26"/>
    <w:rsid w:val="00371E1A"/>
    <w:rsid w:val="0037542E"/>
    <w:rsid w:val="0037570E"/>
    <w:rsid w:val="00383644"/>
    <w:rsid w:val="00387CA2"/>
    <w:rsid w:val="003A0FDC"/>
    <w:rsid w:val="003A1113"/>
    <w:rsid w:val="003B0015"/>
    <w:rsid w:val="003B1ECC"/>
    <w:rsid w:val="003C4135"/>
    <w:rsid w:val="003D0CC7"/>
    <w:rsid w:val="003D2171"/>
    <w:rsid w:val="003D4479"/>
    <w:rsid w:val="003D6D11"/>
    <w:rsid w:val="003E0D6B"/>
    <w:rsid w:val="003E355E"/>
    <w:rsid w:val="003F32C4"/>
    <w:rsid w:val="003F37D9"/>
    <w:rsid w:val="003F3CB0"/>
    <w:rsid w:val="003F5759"/>
    <w:rsid w:val="003F6FF9"/>
    <w:rsid w:val="003F72BF"/>
    <w:rsid w:val="003F7C58"/>
    <w:rsid w:val="004033A7"/>
    <w:rsid w:val="00407D56"/>
    <w:rsid w:val="00412CF2"/>
    <w:rsid w:val="00416D88"/>
    <w:rsid w:val="004210B2"/>
    <w:rsid w:val="004216C2"/>
    <w:rsid w:val="0042205C"/>
    <w:rsid w:val="0042386A"/>
    <w:rsid w:val="00424A41"/>
    <w:rsid w:val="00426ECC"/>
    <w:rsid w:val="00437A40"/>
    <w:rsid w:val="004441B2"/>
    <w:rsid w:val="00445219"/>
    <w:rsid w:val="004516A7"/>
    <w:rsid w:val="00452C5B"/>
    <w:rsid w:val="0045300B"/>
    <w:rsid w:val="00460209"/>
    <w:rsid w:val="00461ACA"/>
    <w:rsid w:val="0046242F"/>
    <w:rsid w:val="00467889"/>
    <w:rsid w:val="004728B9"/>
    <w:rsid w:val="00472F30"/>
    <w:rsid w:val="00472FBF"/>
    <w:rsid w:val="00476DEA"/>
    <w:rsid w:val="00481CD8"/>
    <w:rsid w:val="00482106"/>
    <w:rsid w:val="004878FC"/>
    <w:rsid w:val="0049679F"/>
    <w:rsid w:val="004A0B2A"/>
    <w:rsid w:val="004B05E4"/>
    <w:rsid w:val="004B06F6"/>
    <w:rsid w:val="004B7105"/>
    <w:rsid w:val="004B7221"/>
    <w:rsid w:val="004C2533"/>
    <w:rsid w:val="004C3EBB"/>
    <w:rsid w:val="004C4A04"/>
    <w:rsid w:val="004C7F7F"/>
    <w:rsid w:val="004D016F"/>
    <w:rsid w:val="004D19B8"/>
    <w:rsid w:val="004D2E3F"/>
    <w:rsid w:val="004D38A6"/>
    <w:rsid w:val="004D5C54"/>
    <w:rsid w:val="004D5F03"/>
    <w:rsid w:val="004D601F"/>
    <w:rsid w:val="004E2339"/>
    <w:rsid w:val="004F4741"/>
    <w:rsid w:val="004F7DBB"/>
    <w:rsid w:val="0050132A"/>
    <w:rsid w:val="00502B5A"/>
    <w:rsid w:val="00503EC8"/>
    <w:rsid w:val="00506305"/>
    <w:rsid w:val="005078B2"/>
    <w:rsid w:val="005126CC"/>
    <w:rsid w:val="005264F1"/>
    <w:rsid w:val="005278ED"/>
    <w:rsid w:val="005325E9"/>
    <w:rsid w:val="005360E3"/>
    <w:rsid w:val="00540FED"/>
    <w:rsid w:val="0055304D"/>
    <w:rsid w:val="005540BD"/>
    <w:rsid w:val="00556BB8"/>
    <w:rsid w:val="00560BD5"/>
    <w:rsid w:val="00563006"/>
    <w:rsid w:val="00564FA5"/>
    <w:rsid w:val="00572330"/>
    <w:rsid w:val="0057323D"/>
    <w:rsid w:val="005732D3"/>
    <w:rsid w:val="00574681"/>
    <w:rsid w:val="00574B72"/>
    <w:rsid w:val="00577A7A"/>
    <w:rsid w:val="00584CB6"/>
    <w:rsid w:val="00591D2E"/>
    <w:rsid w:val="00591DD2"/>
    <w:rsid w:val="005977B7"/>
    <w:rsid w:val="005A082C"/>
    <w:rsid w:val="005A155B"/>
    <w:rsid w:val="005A5543"/>
    <w:rsid w:val="005B083E"/>
    <w:rsid w:val="005B1DED"/>
    <w:rsid w:val="005B41C6"/>
    <w:rsid w:val="005B5BB1"/>
    <w:rsid w:val="005C1C9E"/>
    <w:rsid w:val="005C380E"/>
    <w:rsid w:val="005D09FA"/>
    <w:rsid w:val="005D42AD"/>
    <w:rsid w:val="005D6848"/>
    <w:rsid w:val="005E30B2"/>
    <w:rsid w:val="005E63B8"/>
    <w:rsid w:val="005F154E"/>
    <w:rsid w:val="00605B60"/>
    <w:rsid w:val="00607182"/>
    <w:rsid w:val="006145DC"/>
    <w:rsid w:val="00614954"/>
    <w:rsid w:val="006213E3"/>
    <w:rsid w:val="00623C3D"/>
    <w:rsid w:val="00626E08"/>
    <w:rsid w:val="00631559"/>
    <w:rsid w:val="00632628"/>
    <w:rsid w:val="0064108F"/>
    <w:rsid w:val="006425DD"/>
    <w:rsid w:val="00644E81"/>
    <w:rsid w:val="00647A7E"/>
    <w:rsid w:val="0065327A"/>
    <w:rsid w:val="0065566B"/>
    <w:rsid w:val="00656C63"/>
    <w:rsid w:val="00656E44"/>
    <w:rsid w:val="00656F53"/>
    <w:rsid w:val="00657CD5"/>
    <w:rsid w:val="006602EA"/>
    <w:rsid w:val="00662061"/>
    <w:rsid w:val="006745FB"/>
    <w:rsid w:val="00674B7B"/>
    <w:rsid w:val="006778CB"/>
    <w:rsid w:val="0068410E"/>
    <w:rsid w:val="00687EB1"/>
    <w:rsid w:val="006911E1"/>
    <w:rsid w:val="0069135B"/>
    <w:rsid w:val="0069158B"/>
    <w:rsid w:val="006938FD"/>
    <w:rsid w:val="00693BA6"/>
    <w:rsid w:val="00697102"/>
    <w:rsid w:val="006A5057"/>
    <w:rsid w:val="006A75D4"/>
    <w:rsid w:val="006B7EAC"/>
    <w:rsid w:val="006C2FA9"/>
    <w:rsid w:val="006C4DB1"/>
    <w:rsid w:val="006C58F5"/>
    <w:rsid w:val="006D0FCA"/>
    <w:rsid w:val="006E147E"/>
    <w:rsid w:val="006E6F56"/>
    <w:rsid w:val="006F2392"/>
    <w:rsid w:val="006F575C"/>
    <w:rsid w:val="006F5ABB"/>
    <w:rsid w:val="00701B42"/>
    <w:rsid w:val="00706788"/>
    <w:rsid w:val="00710D58"/>
    <w:rsid w:val="00711748"/>
    <w:rsid w:val="007120BE"/>
    <w:rsid w:val="007154B6"/>
    <w:rsid w:val="00715B3A"/>
    <w:rsid w:val="00716978"/>
    <w:rsid w:val="007257A6"/>
    <w:rsid w:val="00727B62"/>
    <w:rsid w:val="00741BC7"/>
    <w:rsid w:val="00747605"/>
    <w:rsid w:val="0075211E"/>
    <w:rsid w:val="00757988"/>
    <w:rsid w:val="00757C11"/>
    <w:rsid w:val="00763822"/>
    <w:rsid w:val="007714E9"/>
    <w:rsid w:val="00774F41"/>
    <w:rsid w:val="00780841"/>
    <w:rsid w:val="007857A2"/>
    <w:rsid w:val="00790708"/>
    <w:rsid w:val="00795AB6"/>
    <w:rsid w:val="007960DC"/>
    <w:rsid w:val="007961A8"/>
    <w:rsid w:val="007A1C07"/>
    <w:rsid w:val="007A360B"/>
    <w:rsid w:val="007A6EC1"/>
    <w:rsid w:val="007A6F4B"/>
    <w:rsid w:val="007B60DD"/>
    <w:rsid w:val="007C202A"/>
    <w:rsid w:val="007C407E"/>
    <w:rsid w:val="007D181A"/>
    <w:rsid w:val="007D5766"/>
    <w:rsid w:val="007E2CDC"/>
    <w:rsid w:val="007E3BCF"/>
    <w:rsid w:val="007E636F"/>
    <w:rsid w:val="007E6EAA"/>
    <w:rsid w:val="007E7653"/>
    <w:rsid w:val="007F70C6"/>
    <w:rsid w:val="00802EEF"/>
    <w:rsid w:val="0080308D"/>
    <w:rsid w:val="00805DBF"/>
    <w:rsid w:val="00811292"/>
    <w:rsid w:val="008124D4"/>
    <w:rsid w:val="00822999"/>
    <w:rsid w:val="00822D6D"/>
    <w:rsid w:val="00823E6E"/>
    <w:rsid w:val="00824EE9"/>
    <w:rsid w:val="00825FD5"/>
    <w:rsid w:val="00830095"/>
    <w:rsid w:val="008302EB"/>
    <w:rsid w:val="00833050"/>
    <w:rsid w:val="00834570"/>
    <w:rsid w:val="00834E00"/>
    <w:rsid w:val="008352B0"/>
    <w:rsid w:val="00835D56"/>
    <w:rsid w:val="00840558"/>
    <w:rsid w:val="00840EA7"/>
    <w:rsid w:val="00847963"/>
    <w:rsid w:val="008518CC"/>
    <w:rsid w:val="00854591"/>
    <w:rsid w:val="0086272F"/>
    <w:rsid w:val="00864444"/>
    <w:rsid w:val="00867BE5"/>
    <w:rsid w:val="00872974"/>
    <w:rsid w:val="00877364"/>
    <w:rsid w:val="0088202E"/>
    <w:rsid w:val="008854EF"/>
    <w:rsid w:val="00887E9C"/>
    <w:rsid w:val="00887EF9"/>
    <w:rsid w:val="00895E24"/>
    <w:rsid w:val="008961A5"/>
    <w:rsid w:val="008A07DD"/>
    <w:rsid w:val="008A132F"/>
    <w:rsid w:val="008A603C"/>
    <w:rsid w:val="008B40DD"/>
    <w:rsid w:val="008B5E4E"/>
    <w:rsid w:val="008B7D18"/>
    <w:rsid w:val="008C22D7"/>
    <w:rsid w:val="008C4B8F"/>
    <w:rsid w:val="008C6BDC"/>
    <w:rsid w:val="008C6D7F"/>
    <w:rsid w:val="008D06C8"/>
    <w:rsid w:val="008D0B45"/>
    <w:rsid w:val="008D3F4E"/>
    <w:rsid w:val="008E0ED1"/>
    <w:rsid w:val="008E7E26"/>
    <w:rsid w:val="008F4159"/>
    <w:rsid w:val="00912BE3"/>
    <w:rsid w:val="00912DB1"/>
    <w:rsid w:val="009142B4"/>
    <w:rsid w:val="00927F77"/>
    <w:rsid w:val="009310C6"/>
    <w:rsid w:val="009324A1"/>
    <w:rsid w:val="009374A7"/>
    <w:rsid w:val="00937DC3"/>
    <w:rsid w:val="00942B0E"/>
    <w:rsid w:val="0095598B"/>
    <w:rsid w:val="00960552"/>
    <w:rsid w:val="009631C9"/>
    <w:rsid w:val="00963D8F"/>
    <w:rsid w:val="00964E69"/>
    <w:rsid w:val="0096510A"/>
    <w:rsid w:val="00987E40"/>
    <w:rsid w:val="00990206"/>
    <w:rsid w:val="00993A4D"/>
    <w:rsid w:val="00995457"/>
    <w:rsid w:val="009A4911"/>
    <w:rsid w:val="009A591E"/>
    <w:rsid w:val="009C0128"/>
    <w:rsid w:val="009C09A3"/>
    <w:rsid w:val="009C759A"/>
    <w:rsid w:val="009C76D7"/>
    <w:rsid w:val="009C7AA3"/>
    <w:rsid w:val="009D0A19"/>
    <w:rsid w:val="009D1D43"/>
    <w:rsid w:val="009D2CE2"/>
    <w:rsid w:val="009E2E2C"/>
    <w:rsid w:val="009E3358"/>
    <w:rsid w:val="009E76DD"/>
    <w:rsid w:val="009F1AD4"/>
    <w:rsid w:val="009F3708"/>
    <w:rsid w:val="009F43E1"/>
    <w:rsid w:val="009F44B1"/>
    <w:rsid w:val="009F5C2C"/>
    <w:rsid w:val="009F5C63"/>
    <w:rsid w:val="00A059EB"/>
    <w:rsid w:val="00A1155B"/>
    <w:rsid w:val="00A13133"/>
    <w:rsid w:val="00A2217E"/>
    <w:rsid w:val="00A22807"/>
    <w:rsid w:val="00A249D3"/>
    <w:rsid w:val="00A31E2C"/>
    <w:rsid w:val="00A32D35"/>
    <w:rsid w:val="00A344CF"/>
    <w:rsid w:val="00A3480E"/>
    <w:rsid w:val="00A50173"/>
    <w:rsid w:val="00A53D2A"/>
    <w:rsid w:val="00A53DBD"/>
    <w:rsid w:val="00A562CD"/>
    <w:rsid w:val="00A7096F"/>
    <w:rsid w:val="00A753C3"/>
    <w:rsid w:val="00A75689"/>
    <w:rsid w:val="00A75740"/>
    <w:rsid w:val="00A85FEA"/>
    <w:rsid w:val="00A91668"/>
    <w:rsid w:val="00A91861"/>
    <w:rsid w:val="00A92702"/>
    <w:rsid w:val="00A9274E"/>
    <w:rsid w:val="00A92844"/>
    <w:rsid w:val="00A957F6"/>
    <w:rsid w:val="00AA4957"/>
    <w:rsid w:val="00AA54EE"/>
    <w:rsid w:val="00AB3770"/>
    <w:rsid w:val="00AB4A12"/>
    <w:rsid w:val="00AB5D41"/>
    <w:rsid w:val="00AB7B32"/>
    <w:rsid w:val="00AC3B3A"/>
    <w:rsid w:val="00AC5431"/>
    <w:rsid w:val="00AD12EE"/>
    <w:rsid w:val="00AD4A73"/>
    <w:rsid w:val="00AF194F"/>
    <w:rsid w:val="00AF7A5F"/>
    <w:rsid w:val="00B0111C"/>
    <w:rsid w:val="00B011E6"/>
    <w:rsid w:val="00B04D2A"/>
    <w:rsid w:val="00B100A2"/>
    <w:rsid w:val="00B10634"/>
    <w:rsid w:val="00B14651"/>
    <w:rsid w:val="00B15A2A"/>
    <w:rsid w:val="00B20EEB"/>
    <w:rsid w:val="00B22C7D"/>
    <w:rsid w:val="00B236A1"/>
    <w:rsid w:val="00B2417C"/>
    <w:rsid w:val="00B305B8"/>
    <w:rsid w:val="00B32120"/>
    <w:rsid w:val="00B35A27"/>
    <w:rsid w:val="00B43A6F"/>
    <w:rsid w:val="00B43C14"/>
    <w:rsid w:val="00B5380C"/>
    <w:rsid w:val="00B53DC6"/>
    <w:rsid w:val="00B71353"/>
    <w:rsid w:val="00B73FAF"/>
    <w:rsid w:val="00B76F65"/>
    <w:rsid w:val="00B87C24"/>
    <w:rsid w:val="00B93316"/>
    <w:rsid w:val="00B976DB"/>
    <w:rsid w:val="00BA5302"/>
    <w:rsid w:val="00BA71A8"/>
    <w:rsid w:val="00BB1D4A"/>
    <w:rsid w:val="00BC18AB"/>
    <w:rsid w:val="00BC2ADB"/>
    <w:rsid w:val="00BC49A1"/>
    <w:rsid w:val="00BC586A"/>
    <w:rsid w:val="00BD489F"/>
    <w:rsid w:val="00BD64B7"/>
    <w:rsid w:val="00BE0643"/>
    <w:rsid w:val="00BE5DD4"/>
    <w:rsid w:val="00C04A92"/>
    <w:rsid w:val="00C05F71"/>
    <w:rsid w:val="00C07660"/>
    <w:rsid w:val="00C07EC0"/>
    <w:rsid w:val="00C1330A"/>
    <w:rsid w:val="00C14B60"/>
    <w:rsid w:val="00C15D1A"/>
    <w:rsid w:val="00C16A5F"/>
    <w:rsid w:val="00C17011"/>
    <w:rsid w:val="00C23185"/>
    <w:rsid w:val="00C25B73"/>
    <w:rsid w:val="00C30DEA"/>
    <w:rsid w:val="00C31098"/>
    <w:rsid w:val="00C3113C"/>
    <w:rsid w:val="00C315DA"/>
    <w:rsid w:val="00C333B3"/>
    <w:rsid w:val="00C43AB7"/>
    <w:rsid w:val="00C4438B"/>
    <w:rsid w:val="00C456D2"/>
    <w:rsid w:val="00C51801"/>
    <w:rsid w:val="00C55B0E"/>
    <w:rsid w:val="00C62ED3"/>
    <w:rsid w:val="00C64C81"/>
    <w:rsid w:val="00C73B03"/>
    <w:rsid w:val="00C76DAF"/>
    <w:rsid w:val="00C778FF"/>
    <w:rsid w:val="00C81825"/>
    <w:rsid w:val="00C84BA5"/>
    <w:rsid w:val="00C85176"/>
    <w:rsid w:val="00C85CF8"/>
    <w:rsid w:val="00C87031"/>
    <w:rsid w:val="00C976BD"/>
    <w:rsid w:val="00CA02D6"/>
    <w:rsid w:val="00CA212F"/>
    <w:rsid w:val="00CB278F"/>
    <w:rsid w:val="00CB56A3"/>
    <w:rsid w:val="00CB72CA"/>
    <w:rsid w:val="00CC61E7"/>
    <w:rsid w:val="00CE11B1"/>
    <w:rsid w:val="00CE290D"/>
    <w:rsid w:val="00CE3C6D"/>
    <w:rsid w:val="00CF18F8"/>
    <w:rsid w:val="00D02075"/>
    <w:rsid w:val="00D07734"/>
    <w:rsid w:val="00D119F6"/>
    <w:rsid w:val="00D14F0B"/>
    <w:rsid w:val="00D14F76"/>
    <w:rsid w:val="00D17675"/>
    <w:rsid w:val="00D17B54"/>
    <w:rsid w:val="00D23CDB"/>
    <w:rsid w:val="00D24546"/>
    <w:rsid w:val="00D26ADA"/>
    <w:rsid w:val="00D26F73"/>
    <w:rsid w:val="00D27F6D"/>
    <w:rsid w:val="00D35628"/>
    <w:rsid w:val="00D418E3"/>
    <w:rsid w:val="00D42EAC"/>
    <w:rsid w:val="00D43650"/>
    <w:rsid w:val="00D46864"/>
    <w:rsid w:val="00D53367"/>
    <w:rsid w:val="00D53FF2"/>
    <w:rsid w:val="00D548FD"/>
    <w:rsid w:val="00D5527D"/>
    <w:rsid w:val="00D56192"/>
    <w:rsid w:val="00D57954"/>
    <w:rsid w:val="00D62184"/>
    <w:rsid w:val="00D64180"/>
    <w:rsid w:val="00D646B4"/>
    <w:rsid w:val="00D657CB"/>
    <w:rsid w:val="00D71301"/>
    <w:rsid w:val="00D730FC"/>
    <w:rsid w:val="00D75F5F"/>
    <w:rsid w:val="00D77895"/>
    <w:rsid w:val="00D859EC"/>
    <w:rsid w:val="00D86203"/>
    <w:rsid w:val="00D9005B"/>
    <w:rsid w:val="00D92F85"/>
    <w:rsid w:val="00D946C1"/>
    <w:rsid w:val="00D953B7"/>
    <w:rsid w:val="00DA254D"/>
    <w:rsid w:val="00DA5A65"/>
    <w:rsid w:val="00DA688C"/>
    <w:rsid w:val="00DB0BF5"/>
    <w:rsid w:val="00DB5CA5"/>
    <w:rsid w:val="00DB6134"/>
    <w:rsid w:val="00DC12B3"/>
    <w:rsid w:val="00DC3985"/>
    <w:rsid w:val="00DC5F50"/>
    <w:rsid w:val="00DC7EC9"/>
    <w:rsid w:val="00DD1433"/>
    <w:rsid w:val="00DD62EA"/>
    <w:rsid w:val="00DE0597"/>
    <w:rsid w:val="00DF4F8B"/>
    <w:rsid w:val="00E040FD"/>
    <w:rsid w:val="00E04B01"/>
    <w:rsid w:val="00E13C2C"/>
    <w:rsid w:val="00E14199"/>
    <w:rsid w:val="00E2154B"/>
    <w:rsid w:val="00E23217"/>
    <w:rsid w:val="00E2670F"/>
    <w:rsid w:val="00E27756"/>
    <w:rsid w:val="00E302BA"/>
    <w:rsid w:val="00E30545"/>
    <w:rsid w:val="00E32F5A"/>
    <w:rsid w:val="00E348AE"/>
    <w:rsid w:val="00E3597F"/>
    <w:rsid w:val="00E45AFF"/>
    <w:rsid w:val="00E53767"/>
    <w:rsid w:val="00E539CA"/>
    <w:rsid w:val="00E54CE6"/>
    <w:rsid w:val="00E61889"/>
    <w:rsid w:val="00E61B3D"/>
    <w:rsid w:val="00E62086"/>
    <w:rsid w:val="00E63F9E"/>
    <w:rsid w:val="00E644EE"/>
    <w:rsid w:val="00E65F6A"/>
    <w:rsid w:val="00E666F0"/>
    <w:rsid w:val="00E71A4F"/>
    <w:rsid w:val="00E73991"/>
    <w:rsid w:val="00E75118"/>
    <w:rsid w:val="00E83E42"/>
    <w:rsid w:val="00EA35E2"/>
    <w:rsid w:val="00EB7CF0"/>
    <w:rsid w:val="00EB7E06"/>
    <w:rsid w:val="00EC6A0B"/>
    <w:rsid w:val="00EC7A5A"/>
    <w:rsid w:val="00ED5E84"/>
    <w:rsid w:val="00EE6877"/>
    <w:rsid w:val="00EF158B"/>
    <w:rsid w:val="00F07243"/>
    <w:rsid w:val="00F11504"/>
    <w:rsid w:val="00F15149"/>
    <w:rsid w:val="00F220F5"/>
    <w:rsid w:val="00F24444"/>
    <w:rsid w:val="00F24645"/>
    <w:rsid w:val="00F24D59"/>
    <w:rsid w:val="00F27E0E"/>
    <w:rsid w:val="00F30688"/>
    <w:rsid w:val="00F30E37"/>
    <w:rsid w:val="00F330F9"/>
    <w:rsid w:val="00F34A94"/>
    <w:rsid w:val="00F427CC"/>
    <w:rsid w:val="00F43EC1"/>
    <w:rsid w:val="00F4483C"/>
    <w:rsid w:val="00F53830"/>
    <w:rsid w:val="00F57396"/>
    <w:rsid w:val="00F619A9"/>
    <w:rsid w:val="00F637D6"/>
    <w:rsid w:val="00F658AD"/>
    <w:rsid w:val="00F71ECE"/>
    <w:rsid w:val="00F72140"/>
    <w:rsid w:val="00F72367"/>
    <w:rsid w:val="00F747C9"/>
    <w:rsid w:val="00F75C03"/>
    <w:rsid w:val="00F761A7"/>
    <w:rsid w:val="00F82025"/>
    <w:rsid w:val="00F862B2"/>
    <w:rsid w:val="00F87663"/>
    <w:rsid w:val="00F93F41"/>
    <w:rsid w:val="00FA3519"/>
    <w:rsid w:val="00FA5C86"/>
    <w:rsid w:val="00FB0C94"/>
    <w:rsid w:val="00FB21B7"/>
    <w:rsid w:val="00FC0D43"/>
    <w:rsid w:val="00FC626E"/>
    <w:rsid w:val="00FC6FE5"/>
    <w:rsid w:val="00FD0E87"/>
    <w:rsid w:val="00FD20BA"/>
    <w:rsid w:val="00FE4920"/>
    <w:rsid w:val="00FE5A87"/>
    <w:rsid w:val="00FE6CBC"/>
    <w:rsid w:val="00FE7955"/>
    <w:rsid w:val="00FE7CF1"/>
    <w:rsid w:val="00FF0092"/>
    <w:rsid w:val="00FF457B"/>
    <w:rsid w:val="00FF6495"/>
    <w:rsid w:val="00FF689F"/>
    <w:rsid w:val="0D7F0E42"/>
    <w:rsid w:val="19C9BDA8"/>
    <w:rsid w:val="48EB0D06"/>
    <w:rsid w:val="4ECBF28E"/>
    <w:rsid w:val="5A61928A"/>
    <w:rsid w:val="5EB0BCAC"/>
    <w:rsid w:val="62352CEE"/>
    <w:rsid w:val="63C06C58"/>
    <w:rsid w:val="6C9F28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FED3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3FF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FF2"/>
    <w:pPr>
      <w:tabs>
        <w:tab w:val="center" w:pos="4680"/>
        <w:tab w:val="right" w:pos="9360"/>
      </w:tabs>
    </w:pPr>
  </w:style>
  <w:style w:type="character" w:customStyle="1" w:styleId="HeaderChar">
    <w:name w:val="Header Char"/>
    <w:basedOn w:val="DefaultParagraphFont"/>
    <w:link w:val="Header"/>
    <w:uiPriority w:val="99"/>
    <w:rsid w:val="00D53FF2"/>
  </w:style>
  <w:style w:type="paragraph" w:styleId="Footer">
    <w:name w:val="footer"/>
    <w:basedOn w:val="Normal"/>
    <w:link w:val="FooterChar"/>
    <w:uiPriority w:val="99"/>
    <w:unhideWhenUsed/>
    <w:rsid w:val="00D53FF2"/>
    <w:pPr>
      <w:tabs>
        <w:tab w:val="center" w:pos="4680"/>
        <w:tab w:val="right" w:pos="9360"/>
      </w:tabs>
    </w:pPr>
  </w:style>
  <w:style w:type="character" w:customStyle="1" w:styleId="FooterChar">
    <w:name w:val="Footer Char"/>
    <w:basedOn w:val="DefaultParagraphFont"/>
    <w:link w:val="Footer"/>
    <w:uiPriority w:val="99"/>
    <w:rsid w:val="00D53FF2"/>
  </w:style>
  <w:style w:type="paragraph" w:customStyle="1" w:styleId="Default">
    <w:name w:val="Default"/>
    <w:rsid w:val="00D53FF2"/>
    <w:pPr>
      <w:widowControl w:val="0"/>
      <w:autoSpaceDE w:val="0"/>
      <w:autoSpaceDN w:val="0"/>
      <w:adjustRightInd w:val="0"/>
      <w:spacing w:after="0" w:line="240" w:lineRule="auto"/>
    </w:pPr>
    <w:rPr>
      <w:rFonts w:ascii="TYCZGQ+TimesNewRomanPS-BoldMT" w:eastAsiaTheme="minorEastAsia" w:hAnsi="TYCZGQ+TimesNewRomanPS-BoldMT" w:cs="TYCZGQ+TimesNewRomanPS-BoldMT"/>
      <w:color w:val="000000"/>
      <w:sz w:val="24"/>
      <w:szCs w:val="24"/>
    </w:rPr>
  </w:style>
  <w:style w:type="paragraph" w:styleId="ListParagraph">
    <w:name w:val="List Paragraph"/>
    <w:basedOn w:val="Normal"/>
    <w:uiPriority w:val="34"/>
    <w:qFormat/>
    <w:rsid w:val="00D53FF2"/>
    <w:pPr>
      <w:ind w:left="720"/>
      <w:contextualSpacing/>
    </w:pPr>
  </w:style>
  <w:style w:type="character" w:styleId="Hyperlink">
    <w:name w:val="Hyperlink"/>
    <w:basedOn w:val="DefaultParagraphFont"/>
    <w:uiPriority w:val="99"/>
    <w:unhideWhenUsed/>
    <w:rsid w:val="00D53FF2"/>
    <w:rPr>
      <w:color w:val="0000FF"/>
      <w:u w:val="single"/>
    </w:rPr>
  </w:style>
  <w:style w:type="character" w:styleId="UnresolvedMention">
    <w:name w:val="Unresolved Mention"/>
    <w:basedOn w:val="DefaultParagraphFont"/>
    <w:uiPriority w:val="99"/>
    <w:semiHidden/>
    <w:unhideWhenUsed/>
    <w:rsid w:val="00335E7F"/>
    <w:rPr>
      <w:color w:val="605E5C"/>
      <w:shd w:val="clear" w:color="auto" w:fill="E1DFDD"/>
    </w:rPr>
  </w:style>
  <w:style w:type="paragraph" w:styleId="FootnoteText">
    <w:name w:val="footnote text"/>
    <w:basedOn w:val="Normal"/>
    <w:link w:val="FootnoteTextChar"/>
    <w:semiHidden/>
    <w:unhideWhenUsed/>
    <w:rsid w:val="00426ECC"/>
  </w:style>
  <w:style w:type="character" w:customStyle="1" w:styleId="FootnoteTextChar">
    <w:name w:val="Footnote Text Char"/>
    <w:basedOn w:val="DefaultParagraphFont"/>
    <w:link w:val="FootnoteText"/>
    <w:semiHidden/>
    <w:rsid w:val="00426ECC"/>
    <w:rPr>
      <w:rFonts w:ascii="Times New Roman" w:eastAsia="Times New Roman" w:hAnsi="Times New Roman" w:cs="Times New Roman"/>
      <w:sz w:val="20"/>
      <w:szCs w:val="20"/>
    </w:rPr>
  </w:style>
  <w:style w:type="character" w:styleId="FootnoteReference">
    <w:name w:val="footnote reference"/>
    <w:semiHidden/>
    <w:unhideWhenUsed/>
    <w:rsid w:val="00426ECC"/>
    <w:rPr>
      <w:vertAlign w:val="superscript"/>
    </w:rPr>
  </w:style>
  <w:style w:type="paragraph" w:styleId="BalloonText">
    <w:name w:val="Balloon Text"/>
    <w:basedOn w:val="Normal"/>
    <w:link w:val="BalloonTextChar"/>
    <w:uiPriority w:val="99"/>
    <w:semiHidden/>
    <w:unhideWhenUsed/>
    <w:rsid w:val="00BD64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B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15D1A"/>
    <w:rPr>
      <w:sz w:val="16"/>
      <w:szCs w:val="16"/>
    </w:rPr>
  </w:style>
  <w:style w:type="paragraph" w:styleId="CommentText">
    <w:name w:val="annotation text"/>
    <w:basedOn w:val="Normal"/>
    <w:link w:val="CommentTextChar"/>
    <w:uiPriority w:val="99"/>
    <w:semiHidden/>
    <w:unhideWhenUsed/>
    <w:rsid w:val="00C15D1A"/>
  </w:style>
  <w:style w:type="character" w:customStyle="1" w:styleId="CommentTextChar">
    <w:name w:val="Comment Text Char"/>
    <w:basedOn w:val="DefaultParagraphFont"/>
    <w:link w:val="CommentText"/>
    <w:uiPriority w:val="99"/>
    <w:semiHidden/>
    <w:rsid w:val="00C15D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5D1A"/>
    <w:rPr>
      <w:b/>
      <w:bCs/>
    </w:rPr>
  </w:style>
  <w:style w:type="character" w:customStyle="1" w:styleId="CommentSubjectChar">
    <w:name w:val="Comment Subject Char"/>
    <w:basedOn w:val="CommentTextChar"/>
    <w:link w:val="CommentSubject"/>
    <w:uiPriority w:val="99"/>
    <w:semiHidden/>
    <w:rsid w:val="00C15D1A"/>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E45AFF"/>
    <w:rPr>
      <w:color w:val="954F72" w:themeColor="followedHyperlink"/>
      <w:u w:val="single"/>
    </w:rPr>
  </w:style>
  <w:style w:type="paragraph" w:styleId="Revision">
    <w:name w:val="Revision"/>
    <w:hidden/>
    <w:uiPriority w:val="99"/>
    <w:semiHidden/>
    <w:rsid w:val="00141EEA"/>
    <w:pPr>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39"/>
    <w:rsid w:val="001A7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96350">
      <w:bodyDiv w:val="1"/>
      <w:marLeft w:val="0"/>
      <w:marRight w:val="0"/>
      <w:marTop w:val="0"/>
      <w:marBottom w:val="0"/>
      <w:divBdr>
        <w:top w:val="none" w:sz="0" w:space="0" w:color="auto"/>
        <w:left w:val="none" w:sz="0" w:space="0" w:color="auto"/>
        <w:bottom w:val="none" w:sz="0" w:space="0" w:color="auto"/>
        <w:right w:val="none" w:sz="0" w:space="0" w:color="auto"/>
      </w:divBdr>
    </w:div>
    <w:div w:id="341246890">
      <w:bodyDiv w:val="1"/>
      <w:marLeft w:val="0"/>
      <w:marRight w:val="0"/>
      <w:marTop w:val="0"/>
      <w:marBottom w:val="0"/>
      <w:divBdr>
        <w:top w:val="none" w:sz="0" w:space="0" w:color="auto"/>
        <w:left w:val="none" w:sz="0" w:space="0" w:color="auto"/>
        <w:bottom w:val="none" w:sz="0" w:space="0" w:color="auto"/>
        <w:right w:val="none" w:sz="0" w:space="0" w:color="auto"/>
      </w:divBdr>
    </w:div>
    <w:div w:id="670179827">
      <w:bodyDiv w:val="1"/>
      <w:marLeft w:val="0"/>
      <w:marRight w:val="0"/>
      <w:marTop w:val="0"/>
      <w:marBottom w:val="0"/>
      <w:divBdr>
        <w:top w:val="none" w:sz="0" w:space="0" w:color="auto"/>
        <w:left w:val="none" w:sz="0" w:space="0" w:color="auto"/>
        <w:bottom w:val="none" w:sz="0" w:space="0" w:color="auto"/>
        <w:right w:val="none" w:sz="0" w:space="0" w:color="auto"/>
      </w:divBdr>
    </w:div>
    <w:div w:id="1319530222">
      <w:bodyDiv w:val="1"/>
      <w:marLeft w:val="0"/>
      <w:marRight w:val="0"/>
      <w:marTop w:val="0"/>
      <w:marBottom w:val="0"/>
      <w:divBdr>
        <w:top w:val="none" w:sz="0" w:space="0" w:color="auto"/>
        <w:left w:val="none" w:sz="0" w:space="0" w:color="auto"/>
        <w:bottom w:val="none" w:sz="0" w:space="0" w:color="auto"/>
        <w:right w:val="none" w:sz="0" w:space="0" w:color="auto"/>
      </w:divBdr>
    </w:div>
    <w:div w:id="167819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558F04E8106243B64406965E06F819" ma:contentTypeVersion="13" ma:contentTypeDescription="Create a new document." ma:contentTypeScope="" ma:versionID="754e10d9494c3c896f56aded9097397a">
  <xsd:schema xmlns:xsd="http://www.w3.org/2001/XMLSchema" xmlns:xs="http://www.w3.org/2001/XMLSchema" xmlns:p="http://schemas.microsoft.com/office/2006/metadata/properties" xmlns:ns3="dee78854-d241-41b0-8411-773191e98521" xmlns:ns4="4df50eb4-e55a-407b-b586-d2eb866c9c5d" targetNamespace="http://schemas.microsoft.com/office/2006/metadata/properties" ma:root="true" ma:fieldsID="656ecd2478a38e092a22cd4db00f6511" ns3:_="" ns4:_="">
    <xsd:import namespace="dee78854-d241-41b0-8411-773191e98521"/>
    <xsd:import namespace="4df50eb4-e55a-407b-b586-d2eb866c9c5d"/>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78854-d241-41b0-8411-773191e9852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f50eb4-e55a-407b-b586-d2eb866c9c5d"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4FADA-B435-4B3B-97B7-D6C5311CE07D}">
  <ds:schemaRefs>
    <ds:schemaRef ds:uri="http://schemas.microsoft.com/sharepoint/v3/contenttype/forms"/>
  </ds:schemaRefs>
</ds:datastoreItem>
</file>

<file path=customXml/itemProps2.xml><?xml version="1.0" encoding="utf-8"?>
<ds:datastoreItem xmlns:ds="http://schemas.openxmlformats.org/officeDocument/2006/customXml" ds:itemID="{DDA9DBFD-D4AD-40B8-8633-BCEA0353FEB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df50eb4-e55a-407b-b586-d2eb866c9c5d"/>
    <ds:schemaRef ds:uri="http://purl.org/dc/elements/1.1/"/>
    <ds:schemaRef ds:uri="dee78854-d241-41b0-8411-773191e98521"/>
    <ds:schemaRef ds:uri="http://www.w3.org/XML/1998/namespace"/>
    <ds:schemaRef ds:uri="http://purl.org/dc/dcmitype/"/>
  </ds:schemaRefs>
</ds:datastoreItem>
</file>

<file path=customXml/itemProps3.xml><?xml version="1.0" encoding="utf-8"?>
<ds:datastoreItem xmlns:ds="http://schemas.openxmlformats.org/officeDocument/2006/customXml" ds:itemID="{5C7C3083-68C4-464F-AB68-F9871BFB7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78854-d241-41b0-8411-773191e98521"/>
    <ds:schemaRef ds:uri="4df50eb4-e55a-407b-b586-d2eb866c9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937A52-0078-4334-B7FD-92F084F39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2019-11-26T21:11:00Z</dcterms:created>
  <dcterms:modified xsi:type="dcterms:W3CDTF">2019-11-26T21:11:00Z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0x010100DE558F04E8106243B64406965E06F819</vt:lpwstr>
  </property>
</Properties>
</file>