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AD3D9" w14:textId="77777777" w:rsidR="00C55B0E" w:rsidRPr="0037542E" w:rsidRDefault="0037542E" w:rsidP="00574681">
      <w:pPr>
        <w:autoSpaceDE w:val="0"/>
        <w:autoSpaceDN w:val="0"/>
        <w:adjustRightInd w:val="0"/>
        <w:rPr>
          <w:rFonts w:asciiTheme="minorHAnsi" w:hAnsiTheme="minorHAnsi" w:cstheme="minorHAnsi"/>
          <w:b/>
          <w:sz w:val="24"/>
          <w:szCs w:val="24"/>
        </w:rPr>
      </w:pPr>
      <w:bookmarkStart w:id="0" w:name="_GoBack"/>
      <w:bookmarkEnd w:id="0"/>
      <w:r w:rsidRPr="0037542E">
        <w:rPr>
          <w:rFonts w:asciiTheme="minorHAnsi" w:hAnsiTheme="minorHAnsi" w:cstheme="minorHAnsi"/>
          <w:b/>
          <w:sz w:val="24"/>
          <w:szCs w:val="24"/>
        </w:rPr>
        <w:t>SUBJECT</w:t>
      </w:r>
      <w:proofErr w:type="gramStart"/>
      <w:r w:rsidRPr="0037542E">
        <w:rPr>
          <w:rFonts w:asciiTheme="minorHAnsi" w:hAnsiTheme="minorHAnsi" w:cstheme="minorHAnsi"/>
          <w:b/>
          <w:sz w:val="24"/>
          <w:szCs w:val="24"/>
        </w:rPr>
        <w:t>:  “</w:t>
      </w:r>
      <w:proofErr w:type="gramEnd"/>
      <w:r w:rsidRPr="0037542E">
        <w:rPr>
          <w:rFonts w:asciiTheme="minorHAnsi" w:hAnsiTheme="minorHAnsi" w:cstheme="minorHAnsi"/>
          <w:b/>
          <w:sz w:val="24"/>
          <w:szCs w:val="24"/>
        </w:rPr>
        <w:t>EV HP WORKPAPERS CHAPTER 2.XLSX”</w:t>
      </w:r>
    </w:p>
    <w:p w14:paraId="55FE024C" w14:textId="77777777" w:rsidR="0037542E" w:rsidRDefault="0037542E" w:rsidP="00574681">
      <w:pPr>
        <w:autoSpaceDE w:val="0"/>
        <w:autoSpaceDN w:val="0"/>
        <w:adjustRightInd w:val="0"/>
        <w:rPr>
          <w:rFonts w:asciiTheme="minorHAnsi" w:hAnsiTheme="minorHAnsi" w:cstheme="minorHAnsi"/>
          <w:sz w:val="24"/>
          <w:szCs w:val="24"/>
        </w:rPr>
      </w:pPr>
    </w:p>
    <w:p w14:paraId="0CAB0EFB" w14:textId="77777777" w:rsidR="00574681" w:rsidRPr="0088202E" w:rsidRDefault="00574681" w:rsidP="00574681">
      <w:pPr>
        <w:autoSpaceDE w:val="0"/>
        <w:autoSpaceDN w:val="0"/>
        <w:adjustRightInd w:val="0"/>
        <w:rPr>
          <w:rFonts w:asciiTheme="minorHAnsi" w:hAnsiTheme="minorHAnsi" w:cstheme="minorHAnsi"/>
          <w:b/>
          <w:sz w:val="24"/>
          <w:szCs w:val="24"/>
        </w:rPr>
      </w:pPr>
      <w:r w:rsidRPr="0088202E">
        <w:rPr>
          <w:rFonts w:asciiTheme="minorHAnsi" w:hAnsiTheme="minorHAnsi" w:cstheme="minorHAnsi"/>
          <w:b/>
          <w:sz w:val="24"/>
          <w:szCs w:val="24"/>
        </w:rPr>
        <w:t xml:space="preserve">1. Where did San Diego Gas and Electric Company (SDG&amp;E) get the billing determinants found in cells B8:B9, B22:B26, D29, D33, and B77:B98 of the tab “EV-HP Rate Design Modifications”? Do </w:t>
      </w:r>
      <w:proofErr w:type="gramStart"/>
      <w:r w:rsidRPr="0088202E">
        <w:rPr>
          <w:rFonts w:asciiTheme="minorHAnsi" w:hAnsiTheme="minorHAnsi" w:cstheme="minorHAnsi"/>
          <w:b/>
          <w:sz w:val="24"/>
          <w:szCs w:val="24"/>
        </w:rPr>
        <w:t>all of</w:t>
      </w:r>
      <w:proofErr w:type="gramEnd"/>
      <w:r w:rsidRPr="0088202E">
        <w:rPr>
          <w:rFonts w:asciiTheme="minorHAnsi" w:hAnsiTheme="minorHAnsi" w:cstheme="minorHAnsi"/>
          <w:b/>
          <w:sz w:val="24"/>
          <w:szCs w:val="24"/>
        </w:rPr>
        <w:t xml:space="preserve"> these billing determinants correspond to the AL-TOU rate schedule? </w:t>
      </w:r>
    </w:p>
    <w:p w14:paraId="196A5FD8" w14:textId="77777777" w:rsidR="00C55B0E" w:rsidRDefault="00C55B0E" w:rsidP="00574681">
      <w:pPr>
        <w:autoSpaceDE w:val="0"/>
        <w:autoSpaceDN w:val="0"/>
        <w:adjustRightInd w:val="0"/>
        <w:rPr>
          <w:rFonts w:asciiTheme="minorHAnsi" w:hAnsiTheme="minorHAnsi" w:cstheme="minorHAnsi"/>
          <w:sz w:val="24"/>
          <w:szCs w:val="24"/>
        </w:rPr>
      </w:pPr>
    </w:p>
    <w:p w14:paraId="20EB9ED6" w14:textId="77777777" w:rsidR="003F72BF" w:rsidRPr="003F72BF" w:rsidRDefault="003F72BF" w:rsidP="00574681">
      <w:pPr>
        <w:autoSpaceDE w:val="0"/>
        <w:autoSpaceDN w:val="0"/>
        <w:adjustRightInd w:val="0"/>
        <w:rPr>
          <w:rFonts w:asciiTheme="minorHAnsi" w:hAnsiTheme="minorHAnsi" w:cstheme="minorHAnsi"/>
          <w:b/>
          <w:sz w:val="24"/>
          <w:szCs w:val="24"/>
        </w:rPr>
      </w:pPr>
      <w:r w:rsidRPr="003F72BF">
        <w:rPr>
          <w:rFonts w:asciiTheme="minorHAnsi" w:hAnsiTheme="minorHAnsi" w:cstheme="minorHAnsi"/>
          <w:b/>
          <w:sz w:val="24"/>
          <w:szCs w:val="24"/>
        </w:rPr>
        <w:t xml:space="preserve">SDG&amp;E Response: </w:t>
      </w:r>
    </w:p>
    <w:p w14:paraId="0A394885" w14:textId="24340904" w:rsidR="003F72BF" w:rsidRDefault="003F72BF" w:rsidP="00574681">
      <w:pPr>
        <w:autoSpaceDE w:val="0"/>
        <w:autoSpaceDN w:val="0"/>
        <w:adjustRightInd w:val="0"/>
        <w:rPr>
          <w:rFonts w:asciiTheme="minorHAnsi" w:hAnsiTheme="minorHAnsi" w:cstheme="minorHAnsi"/>
          <w:sz w:val="24"/>
          <w:szCs w:val="24"/>
        </w:rPr>
      </w:pPr>
    </w:p>
    <w:p w14:paraId="5961544D" w14:textId="0F32A2BC" w:rsidR="00B20EEB" w:rsidRPr="009146FB" w:rsidRDefault="00B20EEB" w:rsidP="00B20EEB">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 xml:space="preserve">The billing determinants in the workpaper cells identified above reflect Schedule AL-TOU 2019 determinants used to develop </w:t>
      </w:r>
      <w:r w:rsidR="008854EF">
        <w:rPr>
          <w:rFonts w:asciiTheme="minorHAnsi" w:hAnsiTheme="minorHAnsi" w:cstheme="minorHAnsi"/>
          <w:sz w:val="24"/>
          <w:szCs w:val="24"/>
        </w:rPr>
        <w:t xml:space="preserve">current SDG&amp;E electric </w:t>
      </w:r>
      <w:r>
        <w:rPr>
          <w:rFonts w:asciiTheme="minorHAnsi" w:hAnsiTheme="minorHAnsi" w:cstheme="minorHAnsi"/>
          <w:sz w:val="24"/>
          <w:szCs w:val="24"/>
        </w:rPr>
        <w:t>rates effective June 1, 2019 per SDG&amp;E Advice Letter 3377</w:t>
      </w:r>
      <w:r w:rsidR="001C507D">
        <w:rPr>
          <w:rFonts w:asciiTheme="minorHAnsi" w:hAnsiTheme="minorHAnsi" w:cstheme="minorHAnsi"/>
          <w:sz w:val="24"/>
          <w:szCs w:val="24"/>
        </w:rPr>
        <w:noBreakHyphen/>
      </w:r>
      <w:r>
        <w:rPr>
          <w:rFonts w:asciiTheme="minorHAnsi" w:hAnsiTheme="minorHAnsi" w:cstheme="minorHAnsi"/>
          <w:sz w:val="24"/>
          <w:szCs w:val="24"/>
        </w:rPr>
        <w:t>E</w:t>
      </w:r>
      <w:r w:rsidR="008854EF">
        <w:rPr>
          <w:rFonts w:asciiTheme="minorHAnsi" w:hAnsiTheme="minorHAnsi" w:cstheme="minorHAnsi"/>
          <w:sz w:val="24"/>
          <w:szCs w:val="24"/>
        </w:rPr>
        <w:t>,</w:t>
      </w:r>
      <w:r>
        <w:rPr>
          <w:rFonts w:asciiTheme="minorHAnsi" w:hAnsiTheme="minorHAnsi" w:cstheme="minorHAnsi"/>
          <w:sz w:val="24"/>
          <w:szCs w:val="24"/>
        </w:rPr>
        <w:t xml:space="preserve"> approved by Energy Division </w:t>
      </w:r>
      <w:r w:rsidR="006911E1">
        <w:rPr>
          <w:rFonts w:asciiTheme="minorHAnsi" w:hAnsiTheme="minorHAnsi" w:cstheme="minorHAnsi"/>
          <w:sz w:val="24"/>
          <w:szCs w:val="24"/>
        </w:rPr>
        <w:t xml:space="preserve">letter </w:t>
      </w:r>
      <w:r>
        <w:rPr>
          <w:rFonts w:asciiTheme="minorHAnsi" w:hAnsiTheme="minorHAnsi" w:cstheme="minorHAnsi"/>
          <w:sz w:val="24"/>
          <w:szCs w:val="24"/>
        </w:rPr>
        <w:t xml:space="preserve">on June 21, 2019. </w:t>
      </w:r>
    </w:p>
    <w:p w14:paraId="6CBD7BF6" w14:textId="3C4971E5" w:rsidR="00B20EEB" w:rsidRDefault="00B20EEB" w:rsidP="00574681">
      <w:pPr>
        <w:autoSpaceDE w:val="0"/>
        <w:autoSpaceDN w:val="0"/>
        <w:adjustRightInd w:val="0"/>
        <w:rPr>
          <w:rFonts w:asciiTheme="minorHAnsi" w:hAnsiTheme="minorHAnsi" w:cstheme="minorHAnsi"/>
          <w:sz w:val="24"/>
          <w:szCs w:val="24"/>
        </w:rPr>
      </w:pPr>
    </w:p>
    <w:p w14:paraId="68A33CD3" w14:textId="77777777" w:rsidR="00B20EEB" w:rsidRDefault="00B20EEB" w:rsidP="00574681">
      <w:pPr>
        <w:autoSpaceDE w:val="0"/>
        <w:autoSpaceDN w:val="0"/>
        <w:adjustRightInd w:val="0"/>
        <w:rPr>
          <w:rFonts w:asciiTheme="minorHAnsi" w:hAnsiTheme="minorHAnsi" w:cstheme="minorHAnsi"/>
          <w:sz w:val="24"/>
          <w:szCs w:val="24"/>
        </w:rPr>
      </w:pPr>
    </w:p>
    <w:p w14:paraId="529FC273" w14:textId="77777777" w:rsidR="00574681" w:rsidRPr="0088202E" w:rsidRDefault="00574681" w:rsidP="00574681">
      <w:pPr>
        <w:autoSpaceDE w:val="0"/>
        <w:autoSpaceDN w:val="0"/>
        <w:adjustRightInd w:val="0"/>
        <w:rPr>
          <w:rFonts w:asciiTheme="minorHAnsi" w:hAnsiTheme="minorHAnsi" w:cstheme="minorHAnsi"/>
          <w:b/>
          <w:sz w:val="24"/>
          <w:szCs w:val="24"/>
        </w:rPr>
      </w:pPr>
      <w:r w:rsidRPr="0088202E">
        <w:rPr>
          <w:rFonts w:asciiTheme="minorHAnsi" w:hAnsiTheme="minorHAnsi" w:cstheme="minorHAnsi"/>
          <w:b/>
          <w:sz w:val="24"/>
          <w:szCs w:val="24"/>
        </w:rPr>
        <w:t xml:space="preserve">2. Please provide the annual billing determinants for AL-TOU (or whatever schedule the billing determinants referenced in question 1 come from).  Break out the kWh billing determinants by season and by hour (24 values for each season). </w:t>
      </w:r>
    </w:p>
    <w:p w14:paraId="55F38F17" w14:textId="77777777" w:rsidR="00C55B0E" w:rsidRDefault="00C55B0E" w:rsidP="00574681">
      <w:pPr>
        <w:autoSpaceDE w:val="0"/>
        <w:autoSpaceDN w:val="0"/>
        <w:adjustRightInd w:val="0"/>
        <w:rPr>
          <w:rFonts w:asciiTheme="minorHAnsi" w:hAnsiTheme="minorHAnsi" w:cstheme="minorHAnsi"/>
          <w:sz w:val="24"/>
          <w:szCs w:val="24"/>
        </w:rPr>
      </w:pPr>
    </w:p>
    <w:p w14:paraId="0F7AE93E" w14:textId="2499B069" w:rsidR="00481CD8" w:rsidRPr="00774F41" w:rsidRDefault="003F72BF" w:rsidP="00481CD8">
      <w:pPr>
        <w:autoSpaceDE w:val="0"/>
        <w:autoSpaceDN w:val="0"/>
        <w:adjustRightInd w:val="0"/>
        <w:rPr>
          <w:rFonts w:asciiTheme="minorHAnsi" w:hAnsiTheme="minorHAnsi" w:cstheme="minorHAnsi"/>
          <w:b/>
          <w:sz w:val="24"/>
          <w:szCs w:val="24"/>
        </w:rPr>
      </w:pPr>
      <w:r w:rsidRPr="003F72BF">
        <w:rPr>
          <w:rFonts w:asciiTheme="minorHAnsi" w:hAnsiTheme="minorHAnsi" w:cstheme="minorHAnsi"/>
          <w:b/>
          <w:sz w:val="24"/>
          <w:szCs w:val="24"/>
        </w:rPr>
        <w:t xml:space="preserve">SDG&amp;E Response: </w:t>
      </w:r>
      <w:r w:rsidR="00481CD8">
        <w:rPr>
          <w:rFonts w:asciiTheme="minorHAnsi" w:hAnsiTheme="minorHAnsi" w:cstheme="minorHAnsi"/>
          <w:sz w:val="24"/>
          <w:szCs w:val="24"/>
        </w:rPr>
        <w:t xml:space="preserve">The billing determinant presented in Column B of the “EV-HP Rate Design Modifications” tab of the WS Direct Testimony Workpapers file reflect the annual 2019 billing determinants for Schedule AL-TOU.  The only Schedule AL-TOU Secondary and Primary 2019 determinants for customers less than 500 kWh not </w:t>
      </w:r>
      <w:r w:rsidR="003A0FDC">
        <w:rPr>
          <w:rFonts w:asciiTheme="minorHAnsi" w:hAnsiTheme="minorHAnsi" w:cstheme="minorHAnsi"/>
          <w:sz w:val="24"/>
          <w:szCs w:val="24"/>
        </w:rPr>
        <w:t xml:space="preserve">used and thus not </w:t>
      </w:r>
      <w:r w:rsidR="00481CD8">
        <w:rPr>
          <w:rFonts w:asciiTheme="minorHAnsi" w:hAnsiTheme="minorHAnsi" w:cstheme="minorHAnsi"/>
          <w:sz w:val="24"/>
          <w:szCs w:val="24"/>
        </w:rPr>
        <w:t xml:space="preserve">presented in that workpaper are the </w:t>
      </w:r>
      <w:r w:rsidR="00687EB1">
        <w:rPr>
          <w:rFonts w:asciiTheme="minorHAnsi" w:hAnsiTheme="minorHAnsi" w:cstheme="minorHAnsi"/>
          <w:sz w:val="24"/>
          <w:szCs w:val="24"/>
        </w:rPr>
        <w:t xml:space="preserve">billing </w:t>
      </w:r>
      <w:r w:rsidR="00481CD8">
        <w:rPr>
          <w:rFonts w:asciiTheme="minorHAnsi" w:hAnsiTheme="minorHAnsi" w:cstheme="minorHAnsi"/>
          <w:sz w:val="24"/>
          <w:szCs w:val="24"/>
        </w:rPr>
        <w:t xml:space="preserve">determinants for the Basic Service Fee and kWh on a System </w:t>
      </w:r>
      <w:r w:rsidR="0045300B">
        <w:rPr>
          <w:rFonts w:asciiTheme="minorHAnsi" w:hAnsiTheme="minorHAnsi" w:cstheme="minorHAnsi"/>
          <w:sz w:val="24"/>
          <w:szCs w:val="24"/>
        </w:rPr>
        <w:t>Net</w:t>
      </w:r>
      <w:r w:rsidR="00481CD8">
        <w:rPr>
          <w:rFonts w:asciiTheme="minorHAnsi" w:hAnsiTheme="minorHAnsi" w:cstheme="minorHAnsi"/>
          <w:sz w:val="24"/>
          <w:szCs w:val="24"/>
        </w:rPr>
        <w:t xml:space="preserve"> basis, which are presented in the table below:</w:t>
      </w:r>
    </w:p>
    <w:p w14:paraId="71DEE819" w14:textId="77777777" w:rsidR="00481CD8" w:rsidRDefault="00481CD8" w:rsidP="00574681">
      <w:pPr>
        <w:autoSpaceDE w:val="0"/>
        <w:autoSpaceDN w:val="0"/>
        <w:adjustRightInd w:val="0"/>
        <w:rPr>
          <w:rFonts w:asciiTheme="minorHAnsi" w:hAnsiTheme="minorHAnsi" w:cstheme="minorHAnsi"/>
          <w:b/>
          <w:sz w:val="24"/>
          <w:szCs w:val="24"/>
        </w:rPr>
      </w:pPr>
    </w:p>
    <w:p w14:paraId="04EE5A00" w14:textId="52D65DAE" w:rsidR="001C507D" w:rsidRPr="003F72BF" w:rsidRDefault="004D5C54" w:rsidP="00574681">
      <w:pPr>
        <w:autoSpaceDE w:val="0"/>
        <w:autoSpaceDN w:val="0"/>
        <w:adjustRightInd w:val="0"/>
        <w:rPr>
          <w:rFonts w:asciiTheme="minorHAnsi" w:hAnsiTheme="minorHAnsi" w:cstheme="minorHAnsi"/>
          <w:b/>
          <w:sz w:val="24"/>
          <w:szCs w:val="24"/>
        </w:rPr>
      </w:pPr>
      <w:r w:rsidRPr="004D5C54">
        <w:rPr>
          <w:noProof/>
        </w:rPr>
        <w:lastRenderedPageBreak/>
        <w:drawing>
          <wp:inline distT="0" distB="0" distL="0" distR="0" wp14:anchorId="67054F5F" wp14:editId="612B3D2A">
            <wp:extent cx="5556250" cy="49339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56250" cy="4933950"/>
                    </a:xfrm>
                    <a:prstGeom prst="rect">
                      <a:avLst/>
                    </a:prstGeom>
                    <a:noFill/>
                    <a:ln>
                      <a:noFill/>
                    </a:ln>
                  </pic:spPr>
                </pic:pic>
              </a:graphicData>
            </a:graphic>
          </wp:inline>
        </w:drawing>
      </w:r>
    </w:p>
    <w:p w14:paraId="5C0D10B1" w14:textId="77777777" w:rsidR="003F72BF" w:rsidRDefault="003F72BF" w:rsidP="00574681">
      <w:pPr>
        <w:autoSpaceDE w:val="0"/>
        <w:autoSpaceDN w:val="0"/>
        <w:adjustRightInd w:val="0"/>
        <w:rPr>
          <w:rFonts w:asciiTheme="minorHAnsi" w:hAnsiTheme="minorHAnsi" w:cstheme="minorHAnsi"/>
          <w:sz w:val="24"/>
          <w:szCs w:val="24"/>
        </w:rPr>
      </w:pPr>
    </w:p>
    <w:p w14:paraId="023A5476" w14:textId="77777777" w:rsidR="00187681" w:rsidRDefault="00187681" w:rsidP="00574681">
      <w:pPr>
        <w:autoSpaceDE w:val="0"/>
        <w:autoSpaceDN w:val="0"/>
        <w:adjustRightInd w:val="0"/>
        <w:rPr>
          <w:rFonts w:asciiTheme="minorHAnsi" w:hAnsiTheme="minorHAnsi" w:cstheme="minorHAnsi"/>
          <w:sz w:val="24"/>
          <w:szCs w:val="24"/>
        </w:rPr>
      </w:pPr>
    </w:p>
    <w:p w14:paraId="72BC186F" w14:textId="77777777" w:rsidR="00187681" w:rsidRDefault="00187681" w:rsidP="00574681">
      <w:pPr>
        <w:autoSpaceDE w:val="0"/>
        <w:autoSpaceDN w:val="0"/>
        <w:adjustRightInd w:val="0"/>
        <w:rPr>
          <w:rFonts w:asciiTheme="minorHAnsi" w:hAnsiTheme="minorHAnsi" w:cstheme="minorHAnsi"/>
          <w:sz w:val="24"/>
          <w:szCs w:val="24"/>
        </w:rPr>
      </w:pPr>
    </w:p>
    <w:p w14:paraId="7C46486A" w14:textId="12C6E140" w:rsidR="00574681" w:rsidRPr="0088202E" w:rsidRDefault="00574681" w:rsidP="00574681">
      <w:pPr>
        <w:autoSpaceDE w:val="0"/>
        <w:autoSpaceDN w:val="0"/>
        <w:adjustRightInd w:val="0"/>
        <w:rPr>
          <w:rFonts w:asciiTheme="minorHAnsi" w:hAnsiTheme="minorHAnsi" w:cstheme="minorHAnsi"/>
          <w:b/>
          <w:sz w:val="24"/>
          <w:szCs w:val="24"/>
        </w:rPr>
      </w:pPr>
      <w:r w:rsidRPr="0088202E">
        <w:rPr>
          <w:rFonts w:asciiTheme="minorHAnsi" w:hAnsiTheme="minorHAnsi" w:cstheme="minorHAnsi"/>
          <w:b/>
          <w:sz w:val="24"/>
          <w:szCs w:val="24"/>
        </w:rPr>
        <w:t xml:space="preserve">3. Does SDG&amp;E view the 50% subscription charge “discount” on the first 25 kW of demand (see cell F15 of tab “EV-HP Rate Design Modifications,” which is set at $114/25 kW or half the amount of AL-TOU non-coincident demand charges) as a revenue shortfall? If so, how would this revenue be recovered from ratepayers? Please explain SDG&amp;E’s reasoning for offering the first 25 kW subscription charge at a lower rate. </w:t>
      </w:r>
    </w:p>
    <w:p w14:paraId="2F54FCDA" w14:textId="77777777" w:rsidR="003F72BF" w:rsidRDefault="003F72BF" w:rsidP="00574681">
      <w:pPr>
        <w:autoSpaceDE w:val="0"/>
        <w:autoSpaceDN w:val="0"/>
        <w:adjustRightInd w:val="0"/>
        <w:rPr>
          <w:rFonts w:asciiTheme="minorHAnsi" w:hAnsiTheme="minorHAnsi" w:cstheme="minorHAnsi"/>
          <w:sz w:val="24"/>
          <w:szCs w:val="24"/>
        </w:rPr>
      </w:pPr>
    </w:p>
    <w:p w14:paraId="6A74F1DD" w14:textId="2386E5D0" w:rsidR="003F72BF" w:rsidRDefault="003F72BF" w:rsidP="00574681">
      <w:pPr>
        <w:autoSpaceDE w:val="0"/>
        <w:autoSpaceDN w:val="0"/>
        <w:adjustRightInd w:val="0"/>
        <w:rPr>
          <w:rFonts w:asciiTheme="minorHAnsi" w:hAnsiTheme="minorHAnsi" w:cstheme="minorHAnsi"/>
          <w:b/>
          <w:sz w:val="24"/>
          <w:szCs w:val="24"/>
        </w:rPr>
      </w:pPr>
      <w:r w:rsidRPr="003F72BF">
        <w:rPr>
          <w:rFonts w:asciiTheme="minorHAnsi" w:hAnsiTheme="minorHAnsi" w:cstheme="minorHAnsi"/>
          <w:b/>
          <w:sz w:val="24"/>
          <w:szCs w:val="24"/>
        </w:rPr>
        <w:t xml:space="preserve">SDG&amp;E Response: </w:t>
      </w:r>
      <w:r w:rsidR="00D42EAC" w:rsidRPr="00D42EAC">
        <w:rPr>
          <w:rFonts w:asciiTheme="minorHAnsi" w:hAnsiTheme="minorHAnsi" w:cstheme="minorHAnsi"/>
          <w:sz w:val="24"/>
          <w:szCs w:val="24"/>
        </w:rPr>
        <w:t xml:space="preserve">The first subscription charge increment (i.e., the first tranche from 0 kW to 25 kW) is half the cost of subsequent increments. </w:t>
      </w:r>
      <w:r w:rsidR="00C81825">
        <w:rPr>
          <w:rFonts w:asciiTheme="minorHAnsi" w:hAnsiTheme="minorHAnsi" w:cstheme="minorHAnsi"/>
          <w:sz w:val="24"/>
          <w:szCs w:val="24"/>
        </w:rPr>
        <w:t xml:space="preserve"> This is not a discount.</w:t>
      </w:r>
      <w:r w:rsidR="00D42EAC" w:rsidRPr="00D42EAC">
        <w:rPr>
          <w:rFonts w:asciiTheme="minorHAnsi" w:hAnsiTheme="minorHAnsi" w:cstheme="minorHAnsi"/>
          <w:sz w:val="24"/>
          <w:szCs w:val="24"/>
        </w:rPr>
        <w:t xml:space="preserve"> The first subscription charge increment is based on 12.5 kW of demand.  Subsequent tranches of 25 kW will stack on top of the first tranche and therefore the total subscription charge paid by the customer </w:t>
      </w:r>
      <w:r w:rsidR="00D42EAC" w:rsidRPr="00D42EAC">
        <w:rPr>
          <w:rFonts w:asciiTheme="minorHAnsi" w:hAnsiTheme="minorHAnsi" w:cstheme="minorHAnsi"/>
          <w:sz w:val="24"/>
          <w:szCs w:val="24"/>
        </w:rPr>
        <w:lastRenderedPageBreak/>
        <w:t>incorporates this initial tranche of 12.5 kW of demand</w:t>
      </w:r>
      <w:r w:rsidR="00C17011">
        <w:rPr>
          <w:rFonts w:asciiTheme="minorHAnsi" w:hAnsiTheme="minorHAnsi" w:cstheme="minorHAnsi"/>
          <w:sz w:val="24"/>
          <w:szCs w:val="24"/>
        </w:rPr>
        <w:t xml:space="preserve">. This reflects that the customer’s actual </w:t>
      </w:r>
      <w:r w:rsidR="00847963">
        <w:rPr>
          <w:rFonts w:asciiTheme="minorHAnsi" w:hAnsiTheme="minorHAnsi" w:cstheme="minorHAnsi"/>
          <w:sz w:val="24"/>
          <w:szCs w:val="24"/>
        </w:rPr>
        <w:t>noncoincident</w:t>
      </w:r>
      <w:r w:rsidR="00C17011">
        <w:rPr>
          <w:rFonts w:asciiTheme="minorHAnsi" w:hAnsiTheme="minorHAnsi" w:cstheme="minorHAnsi"/>
          <w:sz w:val="24"/>
          <w:szCs w:val="24"/>
        </w:rPr>
        <w:t xml:space="preserve"> demand is unlikely to be a perfect multiple of 25 kW, and will fall somewhere in the middle of this</w:t>
      </w:r>
      <w:r w:rsidR="00847963">
        <w:rPr>
          <w:rFonts w:asciiTheme="minorHAnsi" w:hAnsiTheme="minorHAnsi" w:cstheme="minorHAnsi"/>
          <w:sz w:val="24"/>
          <w:szCs w:val="24"/>
        </w:rPr>
        <w:t xml:space="preserve"> first or marginal subscription charge increment.</w:t>
      </w:r>
    </w:p>
    <w:p w14:paraId="55C24FFF" w14:textId="1A83BA30" w:rsidR="003D6D11" w:rsidRDefault="003D6D11" w:rsidP="00574681">
      <w:pPr>
        <w:autoSpaceDE w:val="0"/>
        <w:autoSpaceDN w:val="0"/>
        <w:adjustRightInd w:val="0"/>
        <w:rPr>
          <w:rFonts w:asciiTheme="minorHAnsi" w:hAnsiTheme="minorHAnsi" w:cstheme="minorHAnsi"/>
          <w:b/>
          <w:sz w:val="24"/>
          <w:szCs w:val="24"/>
        </w:rPr>
      </w:pPr>
    </w:p>
    <w:p w14:paraId="4A8A8107" w14:textId="63443EE7" w:rsidR="003D6D11" w:rsidRPr="003D6D11" w:rsidRDefault="003D6D11" w:rsidP="00574681">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 xml:space="preserve">SDG&amp;E does not consider this a revenue shortfall because if the first subscription charge </w:t>
      </w:r>
      <w:r w:rsidR="007E636F">
        <w:rPr>
          <w:rFonts w:asciiTheme="minorHAnsi" w:hAnsiTheme="minorHAnsi" w:cstheme="minorHAnsi"/>
          <w:sz w:val="24"/>
          <w:szCs w:val="24"/>
        </w:rPr>
        <w:t>increment</w:t>
      </w:r>
      <w:r>
        <w:rPr>
          <w:rFonts w:asciiTheme="minorHAnsi" w:hAnsiTheme="minorHAnsi" w:cstheme="minorHAnsi"/>
          <w:sz w:val="24"/>
          <w:szCs w:val="24"/>
        </w:rPr>
        <w:t xml:space="preserve"> was the full cost of </w:t>
      </w:r>
      <w:r w:rsidR="007E636F">
        <w:rPr>
          <w:rFonts w:asciiTheme="minorHAnsi" w:hAnsiTheme="minorHAnsi" w:cstheme="minorHAnsi"/>
          <w:sz w:val="24"/>
          <w:szCs w:val="24"/>
        </w:rPr>
        <w:t>subsequent</w:t>
      </w:r>
      <w:r>
        <w:rPr>
          <w:rFonts w:asciiTheme="minorHAnsi" w:hAnsiTheme="minorHAnsi" w:cstheme="minorHAnsi"/>
          <w:sz w:val="24"/>
          <w:szCs w:val="24"/>
        </w:rPr>
        <w:t xml:space="preserve"> increments ($228/25 kW </w:t>
      </w:r>
      <w:r w:rsidR="007E636F">
        <w:rPr>
          <w:rFonts w:asciiTheme="minorHAnsi" w:hAnsiTheme="minorHAnsi" w:cstheme="minorHAnsi"/>
          <w:sz w:val="24"/>
          <w:szCs w:val="24"/>
        </w:rPr>
        <w:t xml:space="preserve">for customers taking service at the secondary voltage level) </w:t>
      </w:r>
      <w:r w:rsidR="00847963">
        <w:rPr>
          <w:rFonts w:asciiTheme="minorHAnsi" w:hAnsiTheme="minorHAnsi" w:cstheme="minorHAnsi"/>
          <w:sz w:val="24"/>
          <w:szCs w:val="24"/>
        </w:rPr>
        <w:t>most</w:t>
      </w:r>
      <w:r w:rsidR="007E636F">
        <w:rPr>
          <w:rFonts w:asciiTheme="minorHAnsi" w:hAnsiTheme="minorHAnsi" w:cstheme="minorHAnsi"/>
          <w:sz w:val="24"/>
          <w:szCs w:val="24"/>
        </w:rPr>
        <w:t xml:space="preserve"> customer</w:t>
      </w:r>
      <w:r w:rsidR="005B41C6">
        <w:rPr>
          <w:rFonts w:asciiTheme="minorHAnsi" w:hAnsiTheme="minorHAnsi" w:cstheme="minorHAnsi"/>
          <w:sz w:val="24"/>
          <w:szCs w:val="24"/>
        </w:rPr>
        <w:t>s</w:t>
      </w:r>
      <w:r w:rsidR="007E636F">
        <w:rPr>
          <w:rFonts w:asciiTheme="minorHAnsi" w:hAnsiTheme="minorHAnsi" w:cstheme="minorHAnsi"/>
          <w:sz w:val="24"/>
          <w:szCs w:val="24"/>
        </w:rPr>
        <w:t xml:space="preserve"> would </w:t>
      </w:r>
      <w:r w:rsidR="00964E69">
        <w:rPr>
          <w:rFonts w:asciiTheme="minorHAnsi" w:hAnsiTheme="minorHAnsi" w:cstheme="minorHAnsi"/>
          <w:sz w:val="24"/>
          <w:szCs w:val="24"/>
        </w:rPr>
        <w:t>be overbilled relative to their actual noncoincident demand.</w:t>
      </w:r>
      <w:r w:rsidR="00847963">
        <w:rPr>
          <w:rFonts w:asciiTheme="minorHAnsi" w:hAnsiTheme="minorHAnsi" w:cstheme="minorHAnsi"/>
          <w:sz w:val="24"/>
          <w:szCs w:val="24"/>
        </w:rPr>
        <w:t xml:space="preserve"> The only customers that would not be overbilled are those with noncoincident demand in perfect multiples of 25 kW.</w:t>
      </w:r>
    </w:p>
    <w:p w14:paraId="236F8DBE" w14:textId="7CBC100E" w:rsidR="00C55B0E" w:rsidRDefault="00C55B0E" w:rsidP="00574681">
      <w:pPr>
        <w:autoSpaceDE w:val="0"/>
        <w:autoSpaceDN w:val="0"/>
        <w:adjustRightInd w:val="0"/>
        <w:rPr>
          <w:rFonts w:asciiTheme="minorHAnsi" w:hAnsiTheme="minorHAnsi" w:cstheme="minorHAnsi"/>
          <w:sz w:val="24"/>
          <w:szCs w:val="24"/>
        </w:rPr>
      </w:pPr>
    </w:p>
    <w:p w14:paraId="55C0DF52" w14:textId="77777777" w:rsidR="005B41C6" w:rsidRDefault="005B41C6" w:rsidP="00574681">
      <w:pPr>
        <w:autoSpaceDE w:val="0"/>
        <w:autoSpaceDN w:val="0"/>
        <w:adjustRightInd w:val="0"/>
        <w:rPr>
          <w:rFonts w:asciiTheme="minorHAnsi" w:hAnsiTheme="minorHAnsi" w:cstheme="minorHAnsi"/>
          <w:sz w:val="24"/>
          <w:szCs w:val="24"/>
        </w:rPr>
      </w:pPr>
    </w:p>
    <w:p w14:paraId="099D7F6E" w14:textId="77777777" w:rsidR="00574681" w:rsidRPr="0088202E" w:rsidRDefault="00574681" w:rsidP="00574681">
      <w:pPr>
        <w:autoSpaceDE w:val="0"/>
        <w:autoSpaceDN w:val="0"/>
        <w:adjustRightInd w:val="0"/>
        <w:rPr>
          <w:rFonts w:asciiTheme="minorHAnsi" w:hAnsiTheme="minorHAnsi" w:cstheme="minorHAnsi"/>
          <w:b/>
          <w:sz w:val="24"/>
          <w:szCs w:val="24"/>
        </w:rPr>
      </w:pPr>
      <w:r w:rsidRPr="0088202E">
        <w:rPr>
          <w:rFonts w:asciiTheme="minorHAnsi" w:hAnsiTheme="minorHAnsi" w:cstheme="minorHAnsi"/>
          <w:b/>
          <w:sz w:val="24"/>
          <w:szCs w:val="24"/>
        </w:rPr>
        <w:t xml:space="preserve">4. If the electric vehicle-high power (EV-HP) load imposes more costs on the distribution system than EV-HP customers pay in rates (say, for instance, that EV-HP customers have much higher load factors than AL-TOU customers and thus their cost of service is significantly higher than AL-TOU’s), how would SDG&amp;E recover the revenue shortfall?  How would recovery be apportioned between the medium and large commercial &amp; industrial (M/L C&amp;I) class and other classes?  What portions would the residential and small commercial classes be responsible for? </w:t>
      </w:r>
    </w:p>
    <w:p w14:paraId="7A2E446C" w14:textId="77777777" w:rsidR="003F72BF" w:rsidRDefault="003F72BF" w:rsidP="00574681">
      <w:pPr>
        <w:autoSpaceDE w:val="0"/>
        <w:autoSpaceDN w:val="0"/>
        <w:adjustRightInd w:val="0"/>
        <w:rPr>
          <w:rFonts w:asciiTheme="minorHAnsi" w:hAnsiTheme="minorHAnsi" w:cstheme="minorHAnsi"/>
          <w:sz w:val="24"/>
          <w:szCs w:val="24"/>
        </w:rPr>
      </w:pPr>
    </w:p>
    <w:p w14:paraId="40289857" w14:textId="0F517F19" w:rsidR="00E04B01" w:rsidRPr="005264F1" w:rsidRDefault="003F72BF" w:rsidP="00E04B01">
      <w:pPr>
        <w:autoSpaceDE w:val="0"/>
        <w:autoSpaceDN w:val="0"/>
        <w:adjustRightInd w:val="0"/>
        <w:rPr>
          <w:rFonts w:asciiTheme="minorHAnsi" w:hAnsiTheme="minorHAnsi" w:cstheme="minorBidi"/>
          <w:sz w:val="24"/>
          <w:szCs w:val="24"/>
        </w:rPr>
      </w:pPr>
      <w:r w:rsidRPr="00780841">
        <w:rPr>
          <w:rFonts w:asciiTheme="minorHAnsi" w:hAnsiTheme="minorHAnsi" w:cstheme="minorBidi"/>
          <w:b/>
          <w:sz w:val="24"/>
          <w:szCs w:val="24"/>
        </w:rPr>
        <w:t xml:space="preserve">SDG&amp;E Response: </w:t>
      </w:r>
      <w:r w:rsidR="00E04B01" w:rsidRPr="0088202E">
        <w:rPr>
          <w:rFonts w:asciiTheme="minorHAnsi" w:hAnsiTheme="minorHAnsi" w:cstheme="minorBidi"/>
          <w:sz w:val="24"/>
          <w:szCs w:val="24"/>
        </w:rPr>
        <w:t xml:space="preserve">As stated in </w:t>
      </w:r>
      <w:r w:rsidR="00833050">
        <w:rPr>
          <w:rFonts w:asciiTheme="minorHAnsi" w:hAnsiTheme="minorHAnsi" w:cstheme="minorBidi"/>
          <w:sz w:val="24"/>
          <w:szCs w:val="24"/>
        </w:rPr>
        <w:t>the</w:t>
      </w:r>
      <w:r w:rsidR="00E04B01" w:rsidRPr="0088202E">
        <w:rPr>
          <w:rFonts w:asciiTheme="minorHAnsi" w:hAnsiTheme="minorHAnsi" w:cstheme="minorBidi"/>
          <w:sz w:val="24"/>
          <w:szCs w:val="24"/>
        </w:rPr>
        <w:t xml:space="preserve"> EV-HP policy testimony (</w:t>
      </w:r>
      <w:r w:rsidR="00864444">
        <w:rPr>
          <w:rFonts w:asciiTheme="minorHAnsi" w:hAnsiTheme="minorHAnsi" w:cstheme="minorBidi"/>
          <w:sz w:val="24"/>
          <w:szCs w:val="24"/>
        </w:rPr>
        <w:t xml:space="preserve">Prepared </w:t>
      </w:r>
      <w:r w:rsidR="00834E00">
        <w:rPr>
          <w:rFonts w:asciiTheme="minorHAnsi" w:hAnsiTheme="minorHAnsi" w:cstheme="minorBidi"/>
          <w:sz w:val="24"/>
          <w:szCs w:val="24"/>
        </w:rPr>
        <w:t xml:space="preserve">Direct Testimony of </w:t>
      </w:r>
      <w:r w:rsidR="004C4A04">
        <w:rPr>
          <w:rFonts w:asciiTheme="minorHAnsi" w:hAnsiTheme="minorHAnsi" w:cstheme="minorBidi"/>
          <w:sz w:val="24"/>
          <w:szCs w:val="24"/>
        </w:rPr>
        <w:t xml:space="preserve">Brittany </w:t>
      </w:r>
      <w:proofErr w:type="spellStart"/>
      <w:r w:rsidR="004C4A04">
        <w:rPr>
          <w:rFonts w:asciiTheme="minorHAnsi" w:hAnsiTheme="minorHAnsi" w:cstheme="minorBidi"/>
          <w:sz w:val="24"/>
          <w:szCs w:val="24"/>
        </w:rPr>
        <w:t>Applestein</w:t>
      </w:r>
      <w:proofErr w:type="spellEnd"/>
      <w:r w:rsidR="004C4A04">
        <w:rPr>
          <w:rFonts w:asciiTheme="minorHAnsi" w:hAnsiTheme="minorHAnsi" w:cstheme="minorBidi"/>
          <w:sz w:val="24"/>
          <w:szCs w:val="24"/>
        </w:rPr>
        <w:t xml:space="preserve"> Syz, </w:t>
      </w:r>
      <w:r w:rsidR="00E04B01" w:rsidRPr="0088202E">
        <w:rPr>
          <w:rFonts w:asciiTheme="minorHAnsi" w:hAnsiTheme="minorHAnsi" w:cstheme="minorBidi"/>
          <w:sz w:val="24"/>
          <w:szCs w:val="24"/>
        </w:rPr>
        <w:t>page</w:t>
      </w:r>
      <w:r w:rsidR="00202895">
        <w:rPr>
          <w:rFonts w:asciiTheme="minorHAnsi" w:hAnsiTheme="minorHAnsi" w:cstheme="minorBidi"/>
          <w:sz w:val="24"/>
          <w:szCs w:val="24"/>
        </w:rPr>
        <w:t>s</w:t>
      </w:r>
      <w:r w:rsidR="00E04B01" w:rsidRPr="0088202E">
        <w:rPr>
          <w:rFonts w:asciiTheme="minorHAnsi" w:hAnsiTheme="minorHAnsi" w:cstheme="minorBidi"/>
          <w:sz w:val="24"/>
          <w:szCs w:val="24"/>
        </w:rPr>
        <w:t xml:space="preserve"> BS-2</w:t>
      </w:r>
      <w:r w:rsidR="00202895">
        <w:rPr>
          <w:rFonts w:asciiTheme="minorHAnsi" w:hAnsiTheme="minorHAnsi" w:cstheme="minorBidi"/>
          <w:sz w:val="24"/>
          <w:szCs w:val="24"/>
        </w:rPr>
        <w:t xml:space="preserve"> and BS-15</w:t>
      </w:r>
      <w:r w:rsidR="00E04B01" w:rsidRPr="0088202E">
        <w:rPr>
          <w:rFonts w:asciiTheme="minorHAnsi" w:hAnsiTheme="minorHAnsi" w:cstheme="minorBidi"/>
          <w:sz w:val="24"/>
          <w:szCs w:val="24"/>
        </w:rPr>
        <w:t xml:space="preserve">), the cost of the </w:t>
      </w:r>
      <w:r w:rsidR="00E04B01" w:rsidRPr="0088202E">
        <w:rPr>
          <w:rFonts w:asciiTheme="minorHAnsi" w:hAnsiTheme="minorHAnsi" w:cstheme="minorBidi"/>
          <w:sz w:val="24"/>
          <w:szCs w:val="24"/>
          <w:u w:val="single"/>
        </w:rPr>
        <w:t>EV-HP subscription charge discount</w:t>
      </w:r>
      <w:r w:rsidR="00E04B01" w:rsidRPr="0088202E">
        <w:rPr>
          <w:rFonts w:asciiTheme="minorHAnsi" w:hAnsiTheme="minorHAnsi" w:cstheme="minorBidi"/>
          <w:sz w:val="24"/>
          <w:szCs w:val="24"/>
        </w:rPr>
        <w:t xml:space="preserve">, that recovers distribution non-coincident demand costs, will be recorded in a two-way balancing account and recovered from all customers through Public Purpose Program (PPP) charges.  </w:t>
      </w:r>
      <w:r w:rsidR="63C06C58" w:rsidRPr="63C06C58">
        <w:rPr>
          <w:rFonts w:asciiTheme="minorHAnsi" w:hAnsiTheme="minorHAnsi" w:cstheme="minorBidi"/>
          <w:sz w:val="24"/>
          <w:szCs w:val="24"/>
        </w:rPr>
        <w:t>This is designed so that</w:t>
      </w:r>
      <w:r w:rsidR="5EB0BCAC" w:rsidRPr="63C06C58">
        <w:rPr>
          <w:rFonts w:asciiTheme="minorHAnsi" w:hAnsiTheme="minorHAnsi" w:cstheme="minorBidi"/>
          <w:sz w:val="24"/>
          <w:szCs w:val="24"/>
        </w:rPr>
        <w:t xml:space="preserve"> </w:t>
      </w:r>
      <w:r w:rsidR="00E04B01" w:rsidRPr="0088202E">
        <w:rPr>
          <w:rFonts w:asciiTheme="minorHAnsi" w:hAnsiTheme="minorHAnsi" w:cstheme="minorBidi"/>
          <w:sz w:val="24"/>
          <w:szCs w:val="24"/>
        </w:rPr>
        <w:t>any revenue under-collection or over-collection resulting from the subscription charge</w:t>
      </w:r>
      <w:r w:rsidR="007A6F4B">
        <w:rPr>
          <w:rFonts w:asciiTheme="minorHAnsi" w:hAnsiTheme="minorHAnsi" w:cstheme="minorBidi"/>
          <w:sz w:val="24"/>
          <w:szCs w:val="24"/>
        </w:rPr>
        <w:t xml:space="preserve"> discount</w:t>
      </w:r>
      <w:r w:rsidR="00E04B01" w:rsidRPr="0088202E">
        <w:rPr>
          <w:rFonts w:asciiTheme="minorHAnsi" w:hAnsiTheme="minorHAnsi" w:cstheme="minorBidi"/>
          <w:sz w:val="24"/>
          <w:szCs w:val="24"/>
        </w:rPr>
        <w:t xml:space="preserve"> will be recovered from all customers based on the </w:t>
      </w:r>
      <w:r w:rsidR="00085953">
        <w:rPr>
          <w:rFonts w:asciiTheme="minorHAnsi" w:hAnsiTheme="minorHAnsi" w:cstheme="minorBidi"/>
          <w:sz w:val="24"/>
          <w:szCs w:val="24"/>
        </w:rPr>
        <w:t xml:space="preserve">customer class </w:t>
      </w:r>
      <w:r w:rsidR="00B43A6F">
        <w:rPr>
          <w:rFonts w:asciiTheme="minorHAnsi" w:hAnsiTheme="minorHAnsi" w:cstheme="minorBidi"/>
          <w:sz w:val="24"/>
          <w:szCs w:val="24"/>
        </w:rPr>
        <w:t xml:space="preserve">allocations factors adopted for </w:t>
      </w:r>
      <w:r w:rsidR="00E04B01" w:rsidRPr="0088202E">
        <w:rPr>
          <w:rFonts w:asciiTheme="minorHAnsi" w:hAnsiTheme="minorHAnsi" w:cstheme="minorBidi"/>
          <w:sz w:val="24"/>
          <w:szCs w:val="24"/>
        </w:rPr>
        <w:t xml:space="preserve">Electric Program Electric Charge (EPIC), which is </w:t>
      </w:r>
      <w:r w:rsidR="00B87C24">
        <w:rPr>
          <w:rFonts w:asciiTheme="minorHAnsi" w:hAnsiTheme="minorHAnsi" w:cstheme="minorBidi"/>
          <w:sz w:val="24"/>
          <w:szCs w:val="24"/>
        </w:rPr>
        <w:t>a</w:t>
      </w:r>
      <w:r w:rsidR="00E04B01" w:rsidRPr="0088202E">
        <w:rPr>
          <w:rFonts w:asciiTheme="minorHAnsi" w:hAnsiTheme="minorHAnsi" w:cstheme="minorBidi"/>
          <w:sz w:val="24"/>
          <w:szCs w:val="24"/>
        </w:rPr>
        <w:t xml:space="preserve"> non-</w:t>
      </w:r>
      <w:r w:rsidR="00823E6E">
        <w:rPr>
          <w:rFonts w:asciiTheme="minorHAnsi" w:hAnsiTheme="minorHAnsi" w:cstheme="minorBidi"/>
          <w:sz w:val="24"/>
          <w:szCs w:val="24"/>
        </w:rPr>
        <w:t>low</w:t>
      </w:r>
      <w:r w:rsidR="0000574C">
        <w:rPr>
          <w:rFonts w:asciiTheme="minorHAnsi" w:hAnsiTheme="minorHAnsi" w:cstheme="minorBidi"/>
          <w:sz w:val="24"/>
          <w:szCs w:val="24"/>
        </w:rPr>
        <w:t>-</w:t>
      </w:r>
      <w:r w:rsidR="00823E6E">
        <w:rPr>
          <w:rFonts w:asciiTheme="minorHAnsi" w:hAnsiTheme="minorHAnsi" w:cstheme="minorBidi"/>
          <w:sz w:val="24"/>
          <w:szCs w:val="24"/>
        </w:rPr>
        <w:t xml:space="preserve">income </w:t>
      </w:r>
      <w:r w:rsidR="00A059EB">
        <w:rPr>
          <w:rFonts w:asciiTheme="minorHAnsi" w:hAnsiTheme="minorHAnsi" w:cstheme="minorBidi"/>
          <w:sz w:val="24"/>
          <w:szCs w:val="24"/>
        </w:rPr>
        <w:t>component</w:t>
      </w:r>
      <w:r w:rsidR="00E04B01" w:rsidRPr="0088202E">
        <w:rPr>
          <w:rFonts w:asciiTheme="minorHAnsi" w:hAnsiTheme="minorHAnsi" w:cstheme="minorBidi"/>
          <w:sz w:val="24"/>
          <w:szCs w:val="24"/>
        </w:rPr>
        <w:t xml:space="preserve"> of the PPP </w:t>
      </w:r>
      <w:r w:rsidR="00B87C24">
        <w:rPr>
          <w:rFonts w:asciiTheme="minorHAnsi" w:hAnsiTheme="minorHAnsi" w:cstheme="minorBidi"/>
          <w:sz w:val="24"/>
          <w:szCs w:val="24"/>
        </w:rPr>
        <w:t>rate</w:t>
      </w:r>
      <w:r w:rsidR="00E04B01" w:rsidRPr="0088202E">
        <w:rPr>
          <w:rFonts w:asciiTheme="minorHAnsi" w:hAnsiTheme="minorHAnsi" w:cstheme="minorBidi"/>
          <w:sz w:val="24"/>
          <w:szCs w:val="24"/>
        </w:rPr>
        <w:t xml:space="preserve">.  The current </w:t>
      </w:r>
      <w:r w:rsidR="000E406B">
        <w:rPr>
          <w:rFonts w:asciiTheme="minorHAnsi" w:hAnsiTheme="minorHAnsi" w:cstheme="minorBidi"/>
          <w:sz w:val="24"/>
          <w:szCs w:val="24"/>
        </w:rPr>
        <w:t xml:space="preserve">customer class </w:t>
      </w:r>
      <w:r w:rsidR="00E04B01" w:rsidRPr="0088202E">
        <w:rPr>
          <w:rFonts w:asciiTheme="minorHAnsi" w:hAnsiTheme="minorHAnsi" w:cstheme="minorBidi"/>
          <w:sz w:val="24"/>
          <w:szCs w:val="24"/>
        </w:rPr>
        <w:t xml:space="preserve">allocation </w:t>
      </w:r>
      <w:r w:rsidR="000E406B">
        <w:rPr>
          <w:rFonts w:asciiTheme="minorHAnsi" w:hAnsiTheme="minorHAnsi" w:cstheme="minorBidi"/>
          <w:sz w:val="24"/>
          <w:szCs w:val="24"/>
        </w:rPr>
        <w:t xml:space="preserve">factors </w:t>
      </w:r>
      <w:r w:rsidR="00D07734">
        <w:rPr>
          <w:rFonts w:asciiTheme="minorHAnsi" w:hAnsiTheme="minorHAnsi" w:cstheme="minorBidi"/>
          <w:sz w:val="24"/>
          <w:szCs w:val="24"/>
        </w:rPr>
        <w:t xml:space="preserve">adopted </w:t>
      </w:r>
      <w:r w:rsidR="00E04B01" w:rsidRPr="0088202E">
        <w:rPr>
          <w:rFonts w:asciiTheme="minorHAnsi" w:hAnsiTheme="minorHAnsi" w:cstheme="minorBidi"/>
          <w:sz w:val="24"/>
          <w:szCs w:val="24"/>
        </w:rPr>
        <w:t xml:space="preserve">for </w:t>
      </w:r>
      <w:r w:rsidR="00D07734">
        <w:rPr>
          <w:rFonts w:asciiTheme="minorHAnsi" w:hAnsiTheme="minorHAnsi" w:cstheme="minorBidi"/>
          <w:sz w:val="24"/>
          <w:szCs w:val="24"/>
        </w:rPr>
        <w:t xml:space="preserve">recovery of </w:t>
      </w:r>
      <w:r w:rsidR="00E04B01" w:rsidRPr="0088202E">
        <w:rPr>
          <w:rFonts w:asciiTheme="minorHAnsi" w:hAnsiTheme="minorHAnsi" w:cstheme="minorBidi"/>
          <w:sz w:val="24"/>
          <w:szCs w:val="24"/>
        </w:rPr>
        <w:t xml:space="preserve">EPIC </w:t>
      </w:r>
      <w:r w:rsidR="00CA212F">
        <w:rPr>
          <w:rFonts w:asciiTheme="minorHAnsi" w:hAnsiTheme="minorHAnsi" w:cstheme="minorBidi"/>
          <w:sz w:val="24"/>
          <w:szCs w:val="24"/>
        </w:rPr>
        <w:t xml:space="preserve">authorized revenues </w:t>
      </w:r>
      <w:r w:rsidR="000E406B">
        <w:rPr>
          <w:rFonts w:asciiTheme="minorHAnsi" w:hAnsiTheme="minorHAnsi" w:cstheme="minorBidi"/>
          <w:sz w:val="24"/>
          <w:szCs w:val="24"/>
        </w:rPr>
        <w:t xml:space="preserve">are </w:t>
      </w:r>
      <w:r w:rsidR="00E04B01" w:rsidRPr="0088202E">
        <w:rPr>
          <w:rFonts w:asciiTheme="minorHAnsi" w:hAnsiTheme="minorHAnsi" w:cstheme="minorBidi"/>
          <w:sz w:val="24"/>
          <w:szCs w:val="24"/>
        </w:rPr>
        <w:t>shown in the table below:</w:t>
      </w:r>
    </w:p>
    <w:p w14:paraId="68FABBE1" w14:textId="77777777" w:rsidR="00B71353" w:rsidRPr="0088202E" w:rsidRDefault="00B71353" w:rsidP="00E04B01">
      <w:pPr>
        <w:autoSpaceDE w:val="0"/>
        <w:autoSpaceDN w:val="0"/>
        <w:adjustRightInd w:val="0"/>
        <w:rPr>
          <w:rFonts w:asciiTheme="minorHAnsi" w:hAnsiTheme="minorHAnsi" w:cstheme="minorBidi"/>
          <w:sz w:val="24"/>
          <w:szCs w:val="24"/>
        </w:rPr>
      </w:pPr>
    </w:p>
    <w:p w14:paraId="70690663" w14:textId="389646B1" w:rsidR="00E04B01" w:rsidRPr="0088202E" w:rsidRDefault="00E04B01" w:rsidP="00E04B01">
      <w:pPr>
        <w:autoSpaceDE w:val="0"/>
        <w:autoSpaceDN w:val="0"/>
        <w:adjustRightInd w:val="0"/>
        <w:rPr>
          <w:rFonts w:asciiTheme="minorHAnsi" w:hAnsiTheme="minorHAnsi" w:cstheme="minorHAnsi"/>
          <w:sz w:val="24"/>
          <w:szCs w:val="24"/>
        </w:rPr>
      </w:pPr>
      <w:r w:rsidRPr="005264F1">
        <w:rPr>
          <w:rFonts w:asciiTheme="minorHAnsi" w:hAnsiTheme="minorHAnsi" w:cstheme="minorBidi"/>
          <w:sz w:val="24"/>
          <w:szCs w:val="24"/>
        </w:rPr>
        <w:t xml:space="preserve"> </w:t>
      </w:r>
      <w:r w:rsidR="00B71353" w:rsidRPr="00B71353">
        <w:rPr>
          <w:noProof/>
        </w:rPr>
        <w:drawing>
          <wp:inline distT="0" distB="0" distL="0" distR="0" wp14:anchorId="4AE14FAA" wp14:editId="27C7D72B">
            <wp:extent cx="3061335" cy="143129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1335" cy="1431290"/>
                    </a:xfrm>
                    <a:prstGeom prst="rect">
                      <a:avLst/>
                    </a:prstGeom>
                    <a:noFill/>
                    <a:ln>
                      <a:noFill/>
                    </a:ln>
                  </pic:spPr>
                </pic:pic>
              </a:graphicData>
            </a:graphic>
          </wp:inline>
        </w:drawing>
      </w:r>
    </w:p>
    <w:p w14:paraId="5A62082E" w14:textId="77777777" w:rsidR="00E04B01" w:rsidRPr="005A155B" w:rsidRDefault="00E04B01" w:rsidP="00E04B01">
      <w:pPr>
        <w:autoSpaceDE w:val="0"/>
        <w:autoSpaceDN w:val="0"/>
        <w:adjustRightInd w:val="0"/>
        <w:rPr>
          <w:rFonts w:asciiTheme="minorHAnsi" w:hAnsiTheme="minorHAnsi" w:cstheme="minorBidi"/>
          <w:sz w:val="24"/>
          <w:szCs w:val="24"/>
        </w:rPr>
      </w:pPr>
    </w:p>
    <w:p w14:paraId="082A86B3" w14:textId="5223B380" w:rsidR="00591DD2" w:rsidRPr="005A155B" w:rsidRDefault="00E04B01" w:rsidP="00E04B01">
      <w:pPr>
        <w:autoSpaceDE w:val="0"/>
        <w:autoSpaceDN w:val="0"/>
        <w:adjustRightInd w:val="0"/>
        <w:rPr>
          <w:rFonts w:asciiTheme="minorHAnsi" w:hAnsiTheme="minorHAnsi" w:cstheme="minorBidi"/>
          <w:sz w:val="24"/>
          <w:szCs w:val="24"/>
        </w:rPr>
      </w:pPr>
      <w:r w:rsidRPr="0088202E">
        <w:rPr>
          <w:rFonts w:asciiTheme="minorHAnsi" w:hAnsiTheme="minorHAnsi" w:cstheme="minorBidi"/>
          <w:sz w:val="24"/>
          <w:szCs w:val="24"/>
        </w:rPr>
        <w:t xml:space="preserve">As stated on pages WS-3 and WS-4 of the </w:t>
      </w:r>
      <w:r w:rsidR="00840558">
        <w:rPr>
          <w:rFonts w:asciiTheme="minorHAnsi" w:hAnsiTheme="minorHAnsi" w:cstheme="minorBidi"/>
          <w:sz w:val="24"/>
          <w:szCs w:val="24"/>
        </w:rPr>
        <w:t>P</w:t>
      </w:r>
      <w:r w:rsidRPr="0088202E">
        <w:rPr>
          <w:rFonts w:asciiTheme="minorHAnsi" w:hAnsiTheme="minorHAnsi" w:cstheme="minorBidi"/>
          <w:sz w:val="24"/>
          <w:szCs w:val="24"/>
        </w:rPr>
        <w:t xml:space="preserve">repared </w:t>
      </w:r>
      <w:r w:rsidR="00840558">
        <w:rPr>
          <w:rFonts w:asciiTheme="minorHAnsi" w:hAnsiTheme="minorHAnsi" w:cstheme="minorBidi"/>
          <w:sz w:val="24"/>
          <w:szCs w:val="24"/>
        </w:rPr>
        <w:t>D</w:t>
      </w:r>
      <w:r w:rsidRPr="0088202E">
        <w:rPr>
          <w:rFonts w:asciiTheme="minorHAnsi" w:hAnsiTheme="minorHAnsi" w:cstheme="minorBidi"/>
          <w:sz w:val="24"/>
          <w:szCs w:val="24"/>
        </w:rPr>
        <w:t xml:space="preserve">irect </w:t>
      </w:r>
      <w:r w:rsidR="00840558">
        <w:rPr>
          <w:rFonts w:asciiTheme="minorHAnsi" w:hAnsiTheme="minorHAnsi" w:cstheme="minorBidi"/>
          <w:sz w:val="24"/>
          <w:szCs w:val="24"/>
        </w:rPr>
        <w:t>T</w:t>
      </w:r>
      <w:r w:rsidRPr="0088202E">
        <w:rPr>
          <w:rFonts w:asciiTheme="minorHAnsi" w:hAnsiTheme="minorHAnsi" w:cstheme="minorBidi"/>
          <w:sz w:val="24"/>
          <w:szCs w:val="24"/>
        </w:rPr>
        <w:t xml:space="preserve">estimony of William G. Saxe, SDG&amp;E is proposing to recover allocated distribution on-peak demand costs through on-peak energy </w:t>
      </w:r>
      <w:r w:rsidRPr="0088202E">
        <w:rPr>
          <w:rFonts w:asciiTheme="minorHAnsi" w:hAnsiTheme="minorHAnsi" w:cstheme="minorBidi"/>
          <w:sz w:val="24"/>
          <w:szCs w:val="24"/>
        </w:rPr>
        <w:lastRenderedPageBreak/>
        <w:t xml:space="preserve">charges.  </w:t>
      </w:r>
      <w:r w:rsidR="00161A57">
        <w:rPr>
          <w:rFonts w:asciiTheme="minorHAnsi" w:hAnsiTheme="minorHAnsi" w:cstheme="minorBidi"/>
          <w:sz w:val="24"/>
          <w:szCs w:val="24"/>
        </w:rPr>
        <w:t>A</w:t>
      </w:r>
      <w:r w:rsidRPr="0088202E">
        <w:rPr>
          <w:rFonts w:asciiTheme="minorHAnsi" w:hAnsiTheme="minorHAnsi" w:cstheme="minorBidi"/>
          <w:sz w:val="24"/>
          <w:szCs w:val="24"/>
        </w:rPr>
        <w:t>ny revenue under-collection or over-collection that result</w:t>
      </w:r>
      <w:r w:rsidR="000A3650">
        <w:rPr>
          <w:rFonts w:asciiTheme="minorHAnsi" w:hAnsiTheme="minorHAnsi" w:cstheme="minorBidi"/>
          <w:sz w:val="24"/>
          <w:szCs w:val="24"/>
        </w:rPr>
        <w:t>s</w:t>
      </w:r>
      <w:r w:rsidRPr="0088202E">
        <w:rPr>
          <w:rFonts w:asciiTheme="minorHAnsi" w:hAnsiTheme="minorHAnsi" w:cstheme="minorBidi"/>
          <w:sz w:val="24"/>
          <w:szCs w:val="24"/>
        </w:rPr>
        <w:t xml:space="preserve"> from EV-HP customers paying rates that do not properly reflect </w:t>
      </w:r>
      <w:r w:rsidR="00161A57">
        <w:rPr>
          <w:rFonts w:asciiTheme="minorHAnsi" w:hAnsiTheme="minorHAnsi" w:cstheme="minorBidi"/>
          <w:sz w:val="24"/>
          <w:szCs w:val="24"/>
        </w:rPr>
        <w:t xml:space="preserve">the </w:t>
      </w:r>
      <w:r w:rsidRPr="0088202E">
        <w:rPr>
          <w:rFonts w:asciiTheme="minorHAnsi" w:hAnsiTheme="minorHAnsi" w:cstheme="minorBidi"/>
          <w:sz w:val="24"/>
          <w:szCs w:val="24"/>
        </w:rPr>
        <w:t xml:space="preserve">recovery of the distribution on-peak costs to serve them will be handled in </w:t>
      </w:r>
      <w:r w:rsidR="0095598B">
        <w:rPr>
          <w:rFonts w:asciiTheme="minorHAnsi" w:hAnsiTheme="minorHAnsi" w:cstheme="minorBidi"/>
          <w:sz w:val="24"/>
          <w:szCs w:val="24"/>
        </w:rPr>
        <w:t xml:space="preserve">SDG&amp;E’s </w:t>
      </w:r>
      <w:r w:rsidRPr="0088202E">
        <w:rPr>
          <w:rFonts w:asciiTheme="minorHAnsi" w:hAnsiTheme="minorHAnsi" w:cstheme="minorBidi"/>
          <w:sz w:val="24"/>
          <w:szCs w:val="24"/>
        </w:rPr>
        <w:t xml:space="preserve">GRC Phase 2 proceedings and </w:t>
      </w:r>
      <w:r w:rsidR="0095598B">
        <w:rPr>
          <w:rFonts w:asciiTheme="minorHAnsi" w:hAnsiTheme="minorHAnsi" w:cstheme="minorBidi"/>
          <w:sz w:val="24"/>
          <w:szCs w:val="24"/>
        </w:rPr>
        <w:t xml:space="preserve">its </w:t>
      </w:r>
      <w:r w:rsidRPr="0088202E">
        <w:rPr>
          <w:rFonts w:asciiTheme="minorHAnsi" w:hAnsiTheme="minorHAnsi" w:cstheme="minorBidi"/>
          <w:sz w:val="24"/>
          <w:szCs w:val="24"/>
        </w:rPr>
        <w:t xml:space="preserve">distribution balancing account.  Once SDG&amp;E has the information on customers being served on EV-HP, SDG&amp;E will incorporate this information into its next GRC Phase 2 proceeding to reflect the </w:t>
      </w:r>
      <w:r w:rsidR="00EA35E2">
        <w:rPr>
          <w:rFonts w:asciiTheme="minorHAnsi" w:hAnsiTheme="minorHAnsi" w:cstheme="minorBidi"/>
          <w:sz w:val="24"/>
          <w:szCs w:val="24"/>
        </w:rPr>
        <w:t xml:space="preserve">load and resulting </w:t>
      </w:r>
      <w:r w:rsidRPr="0088202E">
        <w:rPr>
          <w:rFonts w:asciiTheme="minorHAnsi" w:hAnsiTheme="minorHAnsi" w:cstheme="minorBidi"/>
          <w:sz w:val="24"/>
          <w:szCs w:val="24"/>
        </w:rPr>
        <w:t xml:space="preserve">cost information to serve EV-HP customers.  Until such EV-HP information is </w:t>
      </w:r>
      <w:r w:rsidRPr="0088202E">
        <w:rPr>
          <w:rFonts w:asciiTheme="minorHAnsi" w:hAnsiTheme="minorHAnsi" w:cstheme="minorHAnsi"/>
          <w:sz w:val="24"/>
          <w:szCs w:val="24"/>
        </w:rPr>
        <w:t xml:space="preserve">included in </w:t>
      </w:r>
      <w:r w:rsidR="008B40DD">
        <w:rPr>
          <w:rFonts w:asciiTheme="minorHAnsi" w:hAnsiTheme="minorHAnsi" w:cstheme="minorHAnsi"/>
          <w:sz w:val="24"/>
          <w:szCs w:val="24"/>
        </w:rPr>
        <w:t xml:space="preserve">SDG&amp;E’s </w:t>
      </w:r>
      <w:r w:rsidRPr="0088202E">
        <w:rPr>
          <w:rFonts w:asciiTheme="minorHAnsi" w:hAnsiTheme="minorHAnsi" w:cstheme="minorHAnsi"/>
          <w:sz w:val="24"/>
          <w:szCs w:val="24"/>
        </w:rPr>
        <w:t>GRC</w:t>
      </w:r>
      <w:r w:rsidR="008B40DD" w:rsidRPr="0088202E">
        <w:rPr>
          <w:rFonts w:asciiTheme="minorHAnsi" w:hAnsiTheme="minorHAnsi" w:cstheme="minorHAnsi"/>
          <w:sz w:val="24"/>
          <w:szCs w:val="24"/>
        </w:rPr>
        <w:t xml:space="preserve"> Phase 2 proceedings, distribution on-peak revenue under-collections or over-collections that result under the EV-HP distribution rates will be handled in SDG&amp;E’s two-way distribution balancing account based on the authorized allocation for distribution revenues.  The current </w:t>
      </w:r>
      <w:r w:rsidR="00790708">
        <w:rPr>
          <w:rFonts w:asciiTheme="minorHAnsi" w:hAnsiTheme="minorHAnsi" w:cstheme="minorHAnsi"/>
          <w:sz w:val="24"/>
          <w:szCs w:val="24"/>
        </w:rPr>
        <w:t xml:space="preserve">class </w:t>
      </w:r>
      <w:r w:rsidR="008B40DD" w:rsidRPr="0088202E">
        <w:rPr>
          <w:rFonts w:asciiTheme="minorHAnsi" w:hAnsiTheme="minorHAnsi" w:cstheme="minorHAnsi"/>
          <w:sz w:val="24"/>
          <w:szCs w:val="24"/>
        </w:rPr>
        <w:t xml:space="preserve">allocation </w:t>
      </w:r>
      <w:r w:rsidR="00790708">
        <w:rPr>
          <w:rFonts w:asciiTheme="minorHAnsi" w:hAnsiTheme="minorHAnsi" w:cstheme="minorHAnsi"/>
          <w:sz w:val="24"/>
          <w:szCs w:val="24"/>
        </w:rPr>
        <w:t xml:space="preserve">factors </w:t>
      </w:r>
      <w:r w:rsidR="008B40DD" w:rsidRPr="0088202E">
        <w:rPr>
          <w:rFonts w:asciiTheme="minorHAnsi" w:hAnsiTheme="minorHAnsi" w:cstheme="minorHAnsi"/>
          <w:sz w:val="24"/>
          <w:szCs w:val="24"/>
        </w:rPr>
        <w:t xml:space="preserve">for </w:t>
      </w:r>
      <w:r w:rsidR="00D07734">
        <w:rPr>
          <w:rFonts w:asciiTheme="minorHAnsi" w:hAnsiTheme="minorHAnsi" w:cstheme="minorHAnsi"/>
          <w:sz w:val="24"/>
          <w:szCs w:val="24"/>
        </w:rPr>
        <w:t xml:space="preserve">adopted for recovery of </w:t>
      </w:r>
      <w:r w:rsidR="00CA212F">
        <w:rPr>
          <w:rFonts w:asciiTheme="minorHAnsi" w:hAnsiTheme="minorHAnsi" w:cstheme="minorHAnsi"/>
          <w:sz w:val="24"/>
          <w:szCs w:val="24"/>
        </w:rPr>
        <w:t xml:space="preserve">authorized </w:t>
      </w:r>
      <w:r w:rsidR="008B40DD" w:rsidRPr="0088202E">
        <w:rPr>
          <w:rFonts w:asciiTheme="minorHAnsi" w:hAnsiTheme="minorHAnsi" w:cstheme="minorHAnsi"/>
          <w:sz w:val="24"/>
          <w:szCs w:val="24"/>
        </w:rPr>
        <w:t xml:space="preserve">distribution revenues </w:t>
      </w:r>
      <w:r w:rsidR="00D07734">
        <w:rPr>
          <w:rFonts w:asciiTheme="minorHAnsi" w:hAnsiTheme="minorHAnsi" w:cstheme="minorHAnsi"/>
          <w:sz w:val="24"/>
          <w:szCs w:val="24"/>
        </w:rPr>
        <w:t>are</w:t>
      </w:r>
      <w:r w:rsidR="008B40DD" w:rsidRPr="0088202E">
        <w:rPr>
          <w:rFonts w:asciiTheme="minorHAnsi" w:hAnsiTheme="minorHAnsi" w:cstheme="minorHAnsi"/>
          <w:sz w:val="24"/>
          <w:szCs w:val="24"/>
        </w:rPr>
        <w:t xml:space="preserve"> shown in the table below:</w:t>
      </w:r>
      <w:r w:rsidR="008B40DD" w:rsidRPr="008B40DD">
        <w:rPr>
          <w:rFonts w:asciiTheme="minorHAnsi" w:hAnsiTheme="minorHAnsi" w:cstheme="minorHAnsi"/>
          <w:sz w:val="24"/>
          <w:szCs w:val="24"/>
        </w:rPr>
        <w:t xml:space="preserve"> </w:t>
      </w:r>
      <w:r w:rsidRPr="0088202E">
        <w:rPr>
          <w:rFonts w:asciiTheme="minorHAnsi" w:hAnsiTheme="minorHAnsi" w:cstheme="minorBidi"/>
          <w:sz w:val="24"/>
          <w:szCs w:val="24"/>
        </w:rPr>
        <w:t xml:space="preserve"> </w:t>
      </w:r>
    </w:p>
    <w:p w14:paraId="325C9BD2" w14:textId="77777777" w:rsidR="00591DD2" w:rsidRPr="00B15A2A" w:rsidRDefault="00591DD2" w:rsidP="00E04B01">
      <w:pPr>
        <w:autoSpaceDE w:val="0"/>
        <w:autoSpaceDN w:val="0"/>
        <w:adjustRightInd w:val="0"/>
        <w:rPr>
          <w:rFonts w:asciiTheme="minorHAnsi" w:hAnsiTheme="minorHAnsi" w:cstheme="minorBidi"/>
          <w:sz w:val="24"/>
          <w:szCs w:val="24"/>
        </w:rPr>
      </w:pPr>
    </w:p>
    <w:p w14:paraId="1C9782B9" w14:textId="1D0D485B" w:rsidR="00591DD2" w:rsidRPr="005A155B" w:rsidRDefault="00591DD2" w:rsidP="00E04B01">
      <w:pPr>
        <w:autoSpaceDE w:val="0"/>
        <w:autoSpaceDN w:val="0"/>
        <w:adjustRightInd w:val="0"/>
        <w:rPr>
          <w:rFonts w:asciiTheme="minorHAnsi" w:hAnsiTheme="minorHAnsi" w:cstheme="minorBidi"/>
          <w:sz w:val="24"/>
          <w:szCs w:val="24"/>
        </w:rPr>
      </w:pPr>
      <w:r w:rsidRPr="00591DD2">
        <w:rPr>
          <w:noProof/>
        </w:rPr>
        <w:drawing>
          <wp:inline distT="0" distB="0" distL="0" distR="0" wp14:anchorId="58C194E0" wp14:editId="6F11E864">
            <wp:extent cx="3061335" cy="143129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1335" cy="1431290"/>
                    </a:xfrm>
                    <a:prstGeom prst="rect">
                      <a:avLst/>
                    </a:prstGeom>
                    <a:noFill/>
                    <a:ln>
                      <a:noFill/>
                    </a:ln>
                  </pic:spPr>
                </pic:pic>
              </a:graphicData>
            </a:graphic>
          </wp:inline>
        </w:drawing>
      </w:r>
    </w:p>
    <w:p w14:paraId="619FC116" w14:textId="77777777" w:rsidR="00591DD2" w:rsidRPr="00864444" w:rsidRDefault="00591DD2" w:rsidP="00E04B01">
      <w:pPr>
        <w:autoSpaceDE w:val="0"/>
        <w:autoSpaceDN w:val="0"/>
        <w:adjustRightInd w:val="0"/>
        <w:rPr>
          <w:rFonts w:asciiTheme="minorHAnsi" w:hAnsiTheme="minorHAnsi" w:cstheme="minorBidi"/>
          <w:sz w:val="24"/>
          <w:szCs w:val="24"/>
        </w:rPr>
      </w:pPr>
    </w:p>
    <w:p w14:paraId="6D22C9F4" w14:textId="3D4F010D" w:rsidR="008D0B45" w:rsidRPr="008D0B45" w:rsidRDefault="008D0B45" w:rsidP="00E04B01">
      <w:pPr>
        <w:autoSpaceDE w:val="0"/>
        <w:autoSpaceDN w:val="0"/>
        <w:adjustRightInd w:val="0"/>
        <w:rPr>
          <w:rFonts w:asciiTheme="minorHAnsi" w:hAnsiTheme="minorHAnsi" w:cstheme="minorHAnsi"/>
          <w:sz w:val="24"/>
          <w:szCs w:val="24"/>
        </w:rPr>
      </w:pPr>
    </w:p>
    <w:p w14:paraId="30D9E52F" w14:textId="6A351D91" w:rsidR="000233D9" w:rsidRPr="008D0B45" w:rsidRDefault="005A155B" w:rsidP="000233D9">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 xml:space="preserve">Please note that </w:t>
      </w:r>
      <w:r w:rsidR="008D0B45" w:rsidRPr="008D0B45">
        <w:rPr>
          <w:rFonts w:asciiTheme="minorHAnsi" w:hAnsiTheme="minorHAnsi" w:cstheme="minorHAnsi"/>
          <w:sz w:val="24"/>
          <w:szCs w:val="24"/>
        </w:rPr>
        <w:t>EV-HP customers with significantly higher load factors than AL-TOU customers</w:t>
      </w:r>
      <w:r w:rsidR="006745FB">
        <w:rPr>
          <w:rFonts w:asciiTheme="minorHAnsi" w:hAnsiTheme="minorHAnsi" w:cstheme="minorHAnsi"/>
          <w:sz w:val="24"/>
          <w:szCs w:val="24"/>
        </w:rPr>
        <w:t xml:space="preserve"> on-average</w:t>
      </w:r>
      <w:r w:rsidR="008D0B45" w:rsidRPr="008D0B45">
        <w:rPr>
          <w:rFonts w:asciiTheme="minorHAnsi" w:hAnsiTheme="minorHAnsi" w:cstheme="minorHAnsi"/>
          <w:sz w:val="24"/>
          <w:szCs w:val="24"/>
        </w:rPr>
        <w:t xml:space="preserve"> will </w:t>
      </w:r>
      <w:r w:rsidR="006745FB">
        <w:rPr>
          <w:rFonts w:asciiTheme="minorHAnsi" w:hAnsiTheme="minorHAnsi" w:cstheme="minorHAnsi"/>
          <w:sz w:val="24"/>
          <w:szCs w:val="24"/>
        </w:rPr>
        <w:t xml:space="preserve">most likely </w:t>
      </w:r>
      <w:r w:rsidR="008D0B45" w:rsidRPr="008D0B45">
        <w:rPr>
          <w:rFonts w:asciiTheme="minorHAnsi" w:hAnsiTheme="minorHAnsi" w:cstheme="minorHAnsi"/>
          <w:sz w:val="24"/>
          <w:szCs w:val="24"/>
        </w:rPr>
        <w:t xml:space="preserve">be better off on </w:t>
      </w:r>
      <w:r w:rsidR="006745FB">
        <w:rPr>
          <w:rFonts w:asciiTheme="minorHAnsi" w:hAnsiTheme="minorHAnsi" w:cstheme="minorHAnsi"/>
          <w:sz w:val="24"/>
          <w:szCs w:val="24"/>
        </w:rPr>
        <w:t xml:space="preserve">Schedules </w:t>
      </w:r>
      <w:r w:rsidR="008D0B45" w:rsidRPr="008D0B45">
        <w:rPr>
          <w:rFonts w:asciiTheme="minorHAnsi" w:hAnsiTheme="minorHAnsi" w:cstheme="minorHAnsi"/>
          <w:sz w:val="24"/>
          <w:szCs w:val="24"/>
        </w:rPr>
        <w:t xml:space="preserve">AL-TOU and AL-TOU2 rates and </w:t>
      </w:r>
      <w:r w:rsidR="00840EA7">
        <w:rPr>
          <w:rFonts w:asciiTheme="minorHAnsi" w:hAnsiTheme="minorHAnsi" w:cstheme="minorHAnsi"/>
          <w:sz w:val="24"/>
          <w:szCs w:val="24"/>
        </w:rPr>
        <w:t xml:space="preserve">thus, </w:t>
      </w:r>
      <w:r w:rsidR="008D0B45" w:rsidRPr="008D0B45">
        <w:rPr>
          <w:rFonts w:asciiTheme="minorHAnsi" w:hAnsiTheme="minorHAnsi" w:cstheme="minorHAnsi"/>
          <w:sz w:val="24"/>
          <w:szCs w:val="24"/>
        </w:rPr>
        <w:t xml:space="preserve">presumable </w:t>
      </w:r>
      <w:r w:rsidR="00840EA7">
        <w:rPr>
          <w:rFonts w:asciiTheme="minorHAnsi" w:hAnsiTheme="minorHAnsi" w:cstheme="minorHAnsi"/>
          <w:sz w:val="24"/>
          <w:szCs w:val="24"/>
        </w:rPr>
        <w:t xml:space="preserve">would </w:t>
      </w:r>
      <w:r w:rsidR="008D0B45" w:rsidRPr="008D0B45">
        <w:rPr>
          <w:rFonts w:asciiTheme="minorHAnsi" w:hAnsiTheme="minorHAnsi" w:cstheme="minorHAnsi"/>
          <w:sz w:val="24"/>
          <w:szCs w:val="24"/>
        </w:rPr>
        <w:t xml:space="preserve">not opt into the EV-HP rate. </w:t>
      </w:r>
      <w:r w:rsidR="00840EA7">
        <w:rPr>
          <w:rFonts w:asciiTheme="minorHAnsi" w:hAnsiTheme="minorHAnsi" w:cstheme="minorHAnsi"/>
          <w:sz w:val="24"/>
          <w:szCs w:val="24"/>
        </w:rPr>
        <w:t xml:space="preserve"> </w:t>
      </w:r>
      <w:r w:rsidR="000233D9">
        <w:rPr>
          <w:rFonts w:asciiTheme="minorHAnsi" w:hAnsiTheme="minorHAnsi" w:cstheme="minorHAnsi"/>
          <w:sz w:val="24"/>
          <w:szCs w:val="24"/>
        </w:rPr>
        <w:t>It would be the customers with significantly lower load factors than AL-TOU customers that would opt into the EV-HP rate.</w:t>
      </w:r>
    </w:p>
    <w:p w14:paraId="5C03DC8B" w14:textId="53970C70" w:rsidR="003F72BF" w:rsidRPr="008D0B45" w:rsidRDefault="003F72BF" w:rsidP="008D0B45">
      <w:pPr>
        <w:autoSpaceDE w:val="0"/>
        <w:autoSpaceDN w:val="0"/>
        <w:adjustRightInd w:val="0"/>
        <w:rPr>
          <w:rFonts w:asciiTheme="minorHAnsi" w:hAnsiTheme="minorHAnsi" w:cstheme="minorHAnsi"/>
          <w:sz w:val="24"/>
          <w:szCs w:val="24"/>
        </w:rPr>
      </w:pPr>
    </w:p>
    <w:p w14:paraId="1B309D56" w14:textId="77777777" w:rsidR="00C55B0E" w:rsidRPr="00C55B0E" w:rsidRDefault="00C55B0E" w:rsidP="00574681">
      <w:pPr>
        <w:autoSpaceDE w:val="0"/>
        <w:autoSpaceDN w:val="0"/>
        <w:adjustRightInd w:val="0"/>
        <w:rPr>
          <w:rFonts w:asciiTheme="minorHAnsi" w:hAnsiTheme="minorHAnsi" w:cstheme="minorHAnsi"/>
          <w:sz w:val="24"/>
          <w:szCs w:val="24"/>
        </w:rPr>
      </w:pPr>
    </w:p>
    <w:p w14:paraId="3310A1BE" w14:textId="77777777" w:rsidR="00822D6D" w:rsidRPr="0088202E" w:rsidRDefault="00574681" w:rsidP="00574681">
      <w:pPr>
        <w:autoSpaceDE w:val="0"/>
        <w:autoSpaceDN w:val="0"/>
        <w:adjustRightInd w:val="0"/>
        <w:rPr>
          <w:rFonts w:asciiTheme="minorHAnsi" w:hAnsiTheme="minorHAnsi" w:cstheme="minorHAnsi"/>
          <w:b/>
          <w:sz w:val="24"/>
          <w:szCs w:val="24"/>
        </w:rPr>
      </w:pPr>
      <w:r w:rsidRPr="0088202E">
        <w:rPr>
          <w:rFonts w:asciiTheme="minorHAnsi" w:hAnsiTheme="minorHAnsi" w:cstheme="minorHAnsi"/>
          <w:b/>
          <w:sz w:val="24"/>
          <w:szCs w:val="24"/>
        </w:rPr>
        <w:t>5. Does SDG&amp;E plan to perform a cost-of-service study on the EVP HP load that takes service under the EV-HP rate in its next GRC Phase 2 (2022)?</w:t>
      </w:r>
    </w:p>
    <w:p w14:paraId="2019C407" w14:textId="77777777" w:rsidR="003F72BF" w:rsidRDefault="003F72BF" w:rsidP="00574681">
      <w:pPr>
        <w:autoSpaceDE w:val="0"/>
        <w:autoSpaceDN w:val="0"/>
        <w:adjustRightInd w:val="0"/>
        <w:rPr>
          <w:rFonts w:asciiTheme="minorHAnsi" w:hAnsiTheme="minorHAnsi" w:cstheme="minorHAnsi"/>
          <w:sz w:val="24"/>
          <w:szCs w:val="24"/>
        </w:rPr>
      </w:pPr>
    </w:p>
    <w:p w14:paraId="4A091776" w14:textId="33D73EFE" w:rsidR="007A360B" w:rsidRPr="00774F41" w:rsidRDefault="003F72BF" w:rsidP="00574681">
      <w:pPr>
        <w:autoSpaceDE w:val="0"/>
        <w:autoSpaceDN w:val="0"/>
        <w:adjustRightInd w:val="0"/>
        <w:rPr>
          <w:rFonts w:asciiTheme="minorHAnsi" w:hAnsiTheme="minorHAnsi" w:cstheme="minorHAnsi"/>
          <w:b/>
          <w:sz w:val="24"/>
          <w:szCs w:val="24"/>
        </w:rPr>
      </w:pPr>
      <w:r w:rsidRPr="003F72BF">
        <w:rPr>
          <w:rFonts w:asciiTheme="minorHAnsi" w:hAnsiTheme="minorHAnsi" w:cstheme="minorHAnsi"/>
          <w:b/>
          <w:sz w:val="24"/>
          <w:szCs w:val="24"/>
        </w:rPr>
        <w:t xml:space="preserve">SDG&amp;E Response: </w:t>
      </w:r>
      <w:r w:rsidR="007A360B">
        <w:rPr>
          <w:rFonts w:asciiTheme="minorHAnsi" w:hAnsiTheme="minorHAnsi" w:cstheme="minorHAnsi"/>
          <w:sz w:val="24"/>
          <w:szCs w:val="24"/>
        </w:rPr>
        <w:t>The marginal cost-of-service study that will be performed in SDG&amp;E’s next GRC Phase 2 will incorporate the loads of all customers served by SDG&amp;E, including EV-HP customers.</w:t>
      </w:r>
    </w:p>
    <w:p w14:paraId="7CF50F47" w14:textId="2CA27B64" w:rsidR="007A360B" w:rsidRDefault="007A360B" w:rsidP="00574681">
      <w:pPr>
        <w:autoSpaceDE w:val="0"/>
        <w:autoSpaceDN w:val="0"/>
        <w:adjustRightInd w:val="0"/>
        <w:rPr>
          <w:rFonts w:asciiTheme="minorHAnsi" w:hAnsiTheme="minorHAnsi" w:cstheme="minorHAnsi"/>
          <w:sz w:val="24"/>
          <w:szCs w:val="24"/>
        </w:rPr>
      </w:pPr>
    </w:p>
    <w:p w14:paraId="706471E8" w14:textId="77777777" w:rsidR="007A360B" w:rsidRDefault="007A360B" w:rsidP="00574681">
      <w:pPr>
        <w:autoSpaceDE w:val="0"/>
        <w:autoSpaceDN w:val="0"/>
        <w:adjustRightInd w:val="0"/>
        <w:rPr>
          <w:rFonts w:asciiTheme="minorHAnsi" w:hAnsiTheme="minorHAnsi" w:cstheme="minorHAnsi"/>
          <w:sz w:val="24"/>
          <w:szCs w:val="24"/>
        </w:rPr>
      </w:pPr>
    </w:p>
    <w:p w14:paraId="472072E1" w14:textId="77777777" w:rsidR="003F72BF" w:rsidRPr="0088202E" w:rsidRDefault="003F72BF" w:rsidP="003F72BF">
      <w:pPr>
        <w:autoSpaceDE w:val="0"/>
        <w:autoSpaceDN w:val="0"/>
        <w:adjustRightInd w:val="0"/>
        <w:rPr>
          <w:rFonts w:asciiTheme="minorHAnsi" w:hAnsiTheme="minorHAnsi" w:cstheme="minorHAnsi"/>
          <w:b/>
          <w:sz w:val="24"/>
          <w:szCs w:val="24"/>
        </w:rPr>
      </w:pPr>
      <w:r w:rsidRPr="0088202E">
        <w:rPr>
          <w:rFonts w:asciiTheme="minorHAnsi" w:hAnsiTheme="minorHAnsi" w:cstheme="minorHAnsi"/>
          <w:b/>
          <w:sz w:val="24"/>
          <w:szCs w:val="24"/>
        </w:rPr>
        <w:t xml:space="preserve">6. Does SDG&amp;E have any plans to track the costs that are imposed by new EV-HP customers on the grid, e.g. facility-related costs such as upgrades to final line transformers and service drops, and upgrades to distribution assets further upstream such as secondary voltage </w:t>
      </w:r>
      <w:r w:rsidRPr="0088202E">
        <w:rPr>
          <w:rFonts w:asciiTheme="minorHAnsi" w:hAnsiTheme="minorHAnsi" w:cstheme="minorHAnsi"/>
          <w:b/>
          <w:sz w:val="24"/>
          <w:szCs w:val="24"/>
        </w:rPr>
        <w:lastRenderedPageBreak/>
        <w:t xml:space="preserve">distribution lines or circuit feeders?  If so, please explain how SDG&amp;E plans to track these costs. </w:t>
      </w:r>
    </w:p>
    <w:p w14:paraId="42E400F9" w14:textId="77777777" w:rsidR="003F72BF" w:rsidRDefault="003F72BF" w:rsidP="003F72BF">
      <w:pPr>
        <w:autoSpaceDE w:val="0"/>
        <w:autoSpaceDN w:val="0"/>
        <w:adjustRightInd w:val="0"/>
        <w:rPr>
          <w:rFonts w:asciiTheme="minorHAnsi" w:hAnsiTheme="minorHAnsi" w:cstheme="minorHAnsi"/>
          <w:sz w:val="24"/>
          <w:szCs w:val="24"/>
        </w:rPr>
      </w:pPr>
    </w:p>
    <w:p w14:paraId="46CB2034" w14:textId="7FF45709" w:rsidR="003F72BF" w:rsidRDefault="003F72BF" w:rsidP="003F72BF">
      <w:pPr>
        <w:autoSpaceDE w:val="0"/>
        <w:autoSpaceDN w:val="0"/>
        <w:adjustRightInd w:val="0"/>
        <w:rPr>
          <w:rFonts w:asciiTheme="minorHAnsi" w:hAnsiTheme="minorHAnsi" w:cstheme="minorHAnsi"/>
          <w:sz w:val="24"/>
          <w:szCs w:val="24"/>
        </w:rPr>
      </w:pPr>
      <w:r w:rsidRPr="003F72BF">
        <w:rPr>
          <w:rFonts w:asciiTheme="minorHAnsi" w:hAnsiTheme="minorHAnsi" w:cstheme="minorHAnsi"/>
          <w:b/>
          <w:sz w:val="24"/>
          <w:szCs w:val="24"/>
        </w:rPr>
        <w:t xml:space="preserve">SDG&amp;E Response: </w:t>
      </w:r>
      <w:r w:rsidR="004210B2">
        <w:rPr>
          <w:rFonts w:asciiTheme="minorHAnsi" w:hAnsiTheme="minorHAnsi" w:cstheme="minorHAnsi"/>
          <w:sz w:val="24"/>
          <w:szCs w:val="24"/>
        </w:rPr>
        <w:t xml:space="preserve">SDG&amp;E tracks costs regarding upgrades </w:t>
      </w:r>
      <w:r w:rsidR="00F747C9">
        <w:rPr>
          <w:rFonts w:asciiTheme="minorHAnsi" w:hAnsiTheme="minorHAnsi" w:cstheme="minorHAnsi"/>
          <w:sz w:val="24"/>
          <w:szCs w:val="24"/>
        </w:rPr>
        <w:t>relating to EV infrastructure installations for the</w:t>
      </w:r>
      <w:r w:rsidR="00C51801">
        <w:rPr>
          <w:rFonts w:asciiTheme="minorHAnsi" w:hAnsiTheme="minorHAnsi" w:cstheme="minorHAnsi"/>
          <w:sz w:val="24"/>
          <w:szCs w:val="24"/>
        </w:rPr>
        <w:t xml:space="preserve"> reoccurring</w:t>
      </w:r>
      <w:r w:rsidR="00F747C9">
        <w:rPr>
          <w:rFonts w:asciiTheme="minorHAnsi" w:hAnsiTheme="minorHAnsi" w:cstheme="minorHAnsi"/>
          <w:sz w:val="24"/>
          <w:szCs w:val="24"/>
        </w:rPr>
        <w:t xml:space="preserve"> </w:t>
      </w:r>
      <w:r w:rsidR="00C51801">
        <w:rPr>
          <w:rFonts w:asciiTheme="minorHAnsi" w:hAnsiTheme="minorHAnsi" w:cstheme="minorHAnsi"/>
          <w:sz w:val="24"/>
          <w:szCs w:val="24"/>
        </w:rPr>
        <w:t xml:space="preserve">Joint Investor-Owned Utility (IOU) </w:t>
      </w:r>
      <w:r w:rsidR="00F747C9">
        <w:rPr>
          <w:rFonts w:asciiTheme="minorHAnsi" w:hAnsiTheme="minorHAnsi" w:cstheme="minorHAnsi"/>
          <w:sz w:val="24"/>
          <w:szCs w:val="24"/>
        </w:rPr>
        <w:t>Load Research Reports.</w:t>
      </w:r>
      <w:r w:rsidR="003B0015">
        <w:rPr>
          <w:rStyle w:val="FootnoteReference"/>
          <w:rFonts w:asciiTheme="minorHAnsi" w:hAnsiTheme="minorHAnsi" w:cstheme="minorHAnsi"/>
          <w:sz w:val="24"/>
          <w:szCs w:val="24"/>
        </w:rPr>
        <w:footnoteReference w:id="2"/>
      </w:r>
      <w:r w:rsidR="00F747C9">
        <w:rPr>
          <w:rFonts w:asciiTheme="minorHAnsi" w:hAnsiTheme="minorHAnsi" w:cstheme="minorHAnsi"/>
          <w:sz w:val="24"/>
          <w:szCs w:val="24"/>
        </w:rPr>
        <w:t xml:space="preserve"> SDG&amp;E does not propose to track costs related to EV-HP </w:t>
      </w:r>
      <w:proofErr w:type="gramStart"/>
      <w:r w:rsidR="00F747C9">
        <w:rPr>
          <w:rFonts w:asciiTheme="minorHAnsi" w:hAnsiTheme="minorHAnsi" w:cstheme="minorHAnsi"/>
          <w:sz w:val="24"/>
          <w:szCs w:val="24"/>
        </w:rPr>
        <w:t>customers in particular</w:t>
      </w:r>
      <w:proofErr w:type="gramEnd"/>
      <w:r w:rsidR="00F747C9">
        <w:rPr>
          <w:rFonts w:asciiTheme="minorHAnsi" w:hAnsiTheme="minorHAnsi" w:cstheme="minorHAnsi"/>
          <w:sz w:val="24"/>
          <w:szCs w:val="24"/>
        </w:rPr>
        <w:t>.</w:t>
      </w:r>
    </w:p>
    <w:p w14:paraId="799F5416" w14:textId="77777777" w:rsidR="003F72BF" w:rsidRPr="003F72BF" w:rsidRDefault="003F72BF" w:rsidP="003F72BF">
      <w:pPr>
        <w:autoSpaceDE w:val="0"/>
        <w:autoSpaceDN w:val="0"/>
        <w:adjustRightInd w:val="0"/>
        <w:rPr>
          <w:rFonts w:asciiTheme="minorHAnsi" w:hAnsiTheme="minorHAnsi" w:cstheme="minorHAnsi"/>
          <w:sz w:val="24"/>
          <w:szCs w:val="24"/>
        </w:rPr>
      </w:pPr>
    </w:p>
    <w:p w14:paraId="48768CCF" w14:textId="77777777" w:rsidR="007A360B" w:rsidRDefault="007A360B" w:rsidP="003F72BF">
      <w:pPr>
        <w:autoSpaceDE w:val="0"/>
        <w:autoSpaceDN w:val="0"/>
        <w:adjustRightInd w:val="0"/>
        <w:rPr>
          <w:rFonts w:asciiTheme="minorHAnsi" w:hAnsiTheme="minorHAnsi" w:cstheme="minorHAnsi"/>
          <w:sz w:val="24"/>
          <w:szCs w:val="24"/>
        </w:rPr>
      </w:pPr>
    </w:p>
    <w:p w14:paraId="7069D117" w14:textId="5872D587" w:rsidR="003F72BF" w:rsidRPr="0088202E" w:rsidRDefault="003F72BF" w:rsidP="003F72BF">
      <w:pPr>
        <w:autoSpaceDE w:val="0"/>
        <w:autoSpaceDN w:val="0"/>
        <w:adjustRightInd w:val="0"/>
        <w:rPr>
          <w:rFonts w:asciiTheme="minorHAnsi" w:hAnsiTheme="minorHAnsi" w:cstheme="minorHAnsi"/>
          <w:b/>
          <w:sz w:val="24"/>
          <w:szCs w:val="24"/>
        </w:rPr>
      </w:pPr>
      <w:r w:rsidRPr="0088202E">
        <w:rPr>
          <w:rFonts w:asciiTheme="minorHAnsi" w:hAnsiTheme="minorHAnsi" w:cstheme="minorHAnsi"/>
          <w:b/>
          <w:sz w:val="24"/>
          <w:szCs w:val="24"/>
        </w:rPr>
        <w:t>7. The “EV-HP Rate Design Modifications” tab shows transmission demand charge replacement rates per kWh (cells D37:D38) and RS demand charge replacement rates per kWh (cells D42:D43), which are based on SDG&amp;E’s vehicle-to-grid-integration (VGI) rate. Please provide the workpapers, with all formulae and references intact, showing the derivation of these replacement rates.</w:t>
      </w:r>
    </w:p>
    <w:p w14:paraId="26875E5C" w14:textId="77777777" w:rsidR="003F72BF" w:rsidRDefault="003F72BF" w:rsidP="003F72BF">
      <w:pPr>
        <w:autoSpaceDE w:val="0"/>
        <w:autoSpaceDN w:val="0"/>
        <w:adjustRightInd w:val="0"/>
        <w:rPr>
          <w:rFonts w:asciiTheme="minorHAnsi" w:hAnsiTheme="minorHAnsi" w:cstheme="minorHAnsi"/>
          <w:sz w:val="24"/>
          <w:szCs w:val="24"/>
        </w:rPr>
      </w:pPr>
    </w:p>
    <w:p w14:paraId="39F868C6" w14:textId="12BC460E" w:rsidR="003F72BF" w:rsidRPr="00A50173" w:rsidRDefault="003F72BF" w:rsidP="003F72BF">
      <w:pPr>
        <w:autoSpaceDE w:val="0"/>
        <w:autoSpaceDN w:val="0"/>
        <w:adjustRightInd w:val="0"/>
        <w:rPr>
          <w:rFonts w:asciiTheme="minorHAnsi" w:hAnsiTheme="minorHAnsi" w:cstheme="minorHAnsi"/>
          <w:b/>
          <w:sz w:val="24"/>
          <w:szCs w:val="24"/>
        </w:rPr>
      </w:pPr>
      <w:r w:rsidRPr="003F72BF">
        <w:rPr>
          <w:rFonts w:asciiTheme="minorHAnsi" w:hAnsiTheme="minorHAnsi" w:cstheme="minorHAnsi"/>
          <w:b/>
          <w:sz w:val="24"/>
          <w:szCs w:val="24"/>
        </w:rPr>
        <w:t xml:space="preserve">SDG&amp;E Response: </w:t>
      </w:r>
      <w:r w:rsidR="001B3E30">
        <w:rPr>
          <w:rFonts w:asciiTheme="minorHAnsi" w:hAnsiTheme="minorHAnsi" w:cstheme="minorHAnsi"/>
          <w:sz w:val="24"/>
          <w:szCs w:val="24"/>
        </w:rPr>
        <w:t xml:space="preserve">The </w:t>
      </w:r>
      <w:r w:rsidR="00E32F5A">
        <w:rPr>
          <w:rFonts w:asciiTheme="minorHAnsi" w:hAnsiTheme="minorHAnsi" w:cstheme="minorHAnsi"/>
          <w:sz w:val="24"/>
          <w:szCs w:val="24"/>
        </w:rPr>
        <w:t xml:space="preserve">EV-HP </w:t>
      </w:r>
      <w:r w:rsidR="001B3E30">
        <w:rPr>
          <w:rFonts w:asciiTheme="minorHAnsi" w:hAnsiTheme="minorHAnsi" w:cstheme="minorHAnsi"/>
          <w:sz w:val="24"/>
          <w:szCs w:val="24"/>
        </w:rPr>
        <w:t xml:space="preserve">replacement rates shown in the “EV-HP Rate Design Modifications” tab of the WS Direct Testimony Workpapers” file </w:t>
      </w:r>
      <w:proofErr w:type="gramStart"/>
      <w:r w:rsidR="00AB3770">
        <w:rPr>
          <w:rFonts w:asciiTheme="minorHAnsi" w:hAnsiTheme="minorHAnsi" w:cstheme="minorHAnsi"/>
          <w:sz w:val="24"/>
          <w:szCs w:val="24"/>
        </w:rPr>
        <w:t>are</w:t>
      </w:r>
      <w:proofErr w:type="gramEnd"/>
      <w:r w:rsidR="00140D50">
        <w:rPr>
          <w:rFonts w:asciiTheme="minorHAnsi" w:hAnsiTheme="minorHAnsi" w:cstheme="minorHAnsi"/>
          <w:sz w:val="24"/>
          <w:szCs w:val="24"/>
        </w:rPr>
        <w:t xml:space="preserve"> </w:t>
      </w:r>
      <w:r w:rsidR="001B32C7">
        <w:rPr>
          <w:rFonts w:asciiTheme="minorHAnsi" w:hAnsiTheme="minorHAnsi" w:cstheme="minorHAnsi"/>
          <w:sz w:val="24"/>
          <w:szCs w:val="24"/>
        </w:rPr>
        <w:t xml:space="preserve">the </w:t>
      </w:r>
      <w:r w:rsidR="001B3E30">
        <w:rPr>
          <w:rFonts w:asciiTheme="minorHAnsi" w:hAnsiTheme="minorHAnsi" w:cstheme="minorHAnsi"/>
          <w:sz w:val="24"/>
          <w:szCs w:val="24"/>
        </w:rPr>
        <w:t>VGI transmission and RS rates implemented on June 1, 2019 per SDG&amp;E Advice Letter 3377-E</w:t>
      </w:r>
      <w:r w:rsidR="001B32C7">
        <w:rPr>
          <w:rFonts w:asciiTheme="minorHAnsi" w:hAnsiTheme="minorHAnsi" w:cstheme="minorHAnsi"/>
          <w:sz w:val="24"/>
          <w:szCs w:val="24"/>
        </w:rPr>
        <w:t>,</w:t>
      </w:r>
      <w:r w:rsidR="001B3E30">
        <w:rPr>
          <w:rFonts w:asciiTheme="minorHAnsi" w:hAnsiTheme="minorHAnsi" w:cstheme="minorHAnsi"/>
          <w:sz w:val="24"/>
          <w:szCs w:val="24"/>
        </w:rPr>
        <w:t xml:space="preserve"> approved by Energy Division letter on June 21, 2019.</w:t>
      </w:r>
    </w:p>
    <w:sectPr w:rsidR="003F72BF" w:rsidRPr="00A50173" w:rsidSect="00297039">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53053" w14:textId="77777777" w:rsidR="000412FC" w:rsidRDefault="000412FC" w:rsidP="00D53FF2">
      <w:r>
        <w:separator/>
      </w:r>
    </w:p>
  </w:endnote>
  <w:endnote w:type="continuationSeparator" w:id="0">
    <w:p w14:paraId="4DD0D089" w14:textId="77777777" w:rsidR="000412FC" w:rsidRDefault="000412FC" w:rsidP="00D53FF2">
      <w:r>
        <w:continuationSeparator/>
      </w:r>
    </w:p>
  </w:endnote>
  <w:endnote w:type="continuationNotice" w:id="1">
    <w:p w14:paraId="5DA959C8" w14:textId="77777777" w:rsidR="000412FC" w:rsidRDefault="000412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YCZGQ+TimesNewRomanPS-BoldMT">
    <w:altName w:val="Cambria"/>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9AF01" w14:textId="77777777" w:rsidR="000412FC" w:rsidRDefault="000412FC" w:rsidP="00D53FF2">
      <w:r>
        <w:separator/>
      </w:r>
    </w:p>
  </w:footnote>
  <w:footnote w:type="continuationSeparator" w:id="0">
    <w:p w14:paraId="6AD2EF0E" w14:textId="77777777" w:rsidR="000412FC" w:rsidRDefault="000412FC" w:rsidP="00D53FF2">
      <w:r>
        <w:continuationSeparator/>
      </w:r>
    </w:p>
  </w:footnote>
  <w:footnote w:type="continuationNotice" w:id="1">
    <w:p w14:paraId="17DF0A1E" w14:textId="77777777" w:rsidR="000412FC" w:rsidRDefault="000412FC"/>
  </w:footnote>
  <w:footnote w:id="2">
    <w:p w14:paraId="7AA1B1F5" w14:textId="3C671DE7" w:rsidR="003B0015" w:rsidRPr="003B0015" w:rsidRDefault="003B0015">
      <w:pPr>
        <w:pStyle w:val="FootnoteText"/>
      </w:pPr>
      <w:r>
        <w:rPr>
          <w:rStyle w:val="FootnoteReference"/>
        </w:rPr>
        <w:footnoteRef/>
      </w:r>
      <w:r>
        <w:t xml:space="preserve"> </w:t>
      </w:r>
      <w:r>
        <w:rPr>
          <w:i/>
        </w:rPr>
        <w:t xml:space="preserve">See </w:t>
      </w:r>
      <w:r>
        <w:t>D.</w:t>
      </w:r>
      <w:r w:rsidR="00757C11">
        <w:t>13-06-014</w:t>
      </w:r>
      <w:r>
        <w:t xml:space="preserve"> OP </w:t>
      </w:r>
      <w:r w:rsidR="00757C11">
        <w:t>4.</w:t>
      </w:r>
      <w:r w:rsidR="00C51801">
        <w:t xml:space="preserve"> Historical </w:t>
      </w:r>
      <w:r w:rsidR="00C85CF8">
        <w:t xml:space="preserve">Joint IOU Load Research Reports are available at </w:t>
      </w:r>
      <w:hyperlink r:id="rId1" w:history="1">
        <w:r w:rsidR="00C85CF8">
          <w:rPr>
            <w:rStyle w:val="Hyperlink"/>
          </w:rPr>
          <w:t>https://www.cpuc.ca.gov/zev/</w:t>
        </w:r>
      </w:hyperlink>
      <w:r w:rsidR="00C85CF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ED128" w14:textId="77777777" w:rsidR="00D53FF2" w:rsidRPr="00D53FF2" w:rsidRDefault="00426ECC" w:rsidP="00D53FF2">
    <w:pPr>
      <w:pStyle w:val="Default"/>
      <w:jc w:val="center"/>
      <w:rPr>
        <w:rFonts w:asciiTheme="minorHAnsi" w:hAnsiTheme="minorHAnsi" w:cstheme="minorHAnsi"/>
        <w:b/>
        <w:bCs/>
        <w:sz w:val="23"/>
        <w:szCs w:val="23"/>
      </w:rPr>
    </w:pPr>
    <w:r>
      <w:rPr>
        <w:rFonts w:asciiTheme="minorHAnsi" w:hAnsiTheme="minorHAnsi" w:cstheme="minorHAnsi"/>
        <w:b/>
        <w:bCs/>
        <w:sz w:val="23"/>
        <w:szCs w:val="23"/>
      </w:rPr>
      <w:t>Cal PA</w:t>
    </w:r>
    <w:r w:rsidR="00D53FF2" w:rsidRPr="00D53FF2">
      <w:rPr>
        <w:rFonts w:asciiTheme="minorHAnsi" w:hAnsiTheme="minorHAnsi" w:cstheme="minorHAnsi"/>
        <w:b/>
        <w:bCs/>
        <w:sz w:val="23"/>
        <w:szCs w:val="23"/>
      </w:rPr>
      <w:t xml:space="preserve"> DATA REQUEST </w:t>
    </w:r>
  </w:p>
  <w:p w14:paraId="470AEC8F" w14:textId="77777777" w:rsidR="00D53FF2" w:rsidRPr="00D53FF2" w:rsidRDefault="00426ECC" w:rsidP="00D53FF2">
    <w:pPr>
      <w:pStyle w:val="Default"/>
      <w:jc w:val="center"/>
      <w:rPr>
        <w:rFonts w:asciiTheme="minorHAnsi" w:hAnsiTheme="minorHAnsi" w:cstheme="minorHAnsi"/>
        <w:b/>
        <w:bCs/>
        <w:sz w:val="23"/>
        <w:szCs w:val="23"/>
      </w:rPr>
    </w:pPr>
    <w:r>
      <w:rPr>
        <w:rFonts w:asciiTheme="minorHAnsi" w:hAnsiTheme="minorHAnsi" w:cstheme="minorHAnsi"/>
        <w:b/>
        <w:bCs/>
        <w:sz w:val="23"/>
        <w:szCs w:val="23"/>
      </w:rPr>
      <w:t>Cal PA</w:t>
    </w:r>
    <w:r w:rsidR="00D53FF2" w:rsidRPr="00D53FF2">
      <w:rPr>
        <w:rFonts w:asciiTheme="minorHAnsi" w:hAnsiTheme="minorHAnsi" w:cstheme="minorHAnsi"/>
        <w:b/>
        <w:bCs/>
        <w:sz w:val="23"/>
        <w:szCs w:val="23"/>
      </w:rPr>
      <w:t>-SDG&amp;E-DR-0</w:t>
    </w:r>
    <w:r w:rsidR="00C1330A">
      <w:rPr>
        <w:rFonts w:asciiTheme="minorHAnsi" w:hAnsiTheme="minorHAnsi" w:cstheme="minorHAnsi"/>
        <w:b/>
        <w:bCs/>
        <w:sz w:val="23"/>
        <w:szCs w:val="23"/>
      </w:rPr>
      <w:t>3</w:t>
    </w:r>
  </w:p>
  <w:p w14:paraId="0921FB8D" w14:textId="77777777" w:rsidR="00D53FF2" w:rsidRPr="00D53FF2" w:rsidRDefault="00D53FF2" w:rsidP="00D53FF2">
    <w:pPr>
      <w:pStyle w:val="Default"/>
      <w:jc w:val="center"/>
      <w:rPr>
        <w:rFonts w:asciiTheme="minorHAnsi" w:hAnsiTheme="minorHAnsi" w:cstheme="minorHAnsi"/>
        <w:b/>
        <w:bCs/>
        <w:sz w:val="23"/>
        <w:szCs w:val="23"/>
      </w:rPr>
    </w:pPr>
    <w:r w:rsidRPr="00D53FF2">
      <w:rPr>
        <w:rFonts w:asciiTheme="minorHAnsi" w:hAnsiTheme="minorHAnsi" w:cstheme="minorHAnsi"/>
        <w:b/>
        <w:bCs/>
        <w:sz w:val="23"/>
        <w:szCs w:val="23"/>
      </w:rPr>
      <w:t>Application for Approval of Electric Vehicle High Power Charging Rate</w:t>
    </w:r>
  </w:p>
  <w:p w14:paraId="77BBFC47" w14:textId="77777777" w:rsidR="00D53FF2" w:rsidRPr="00D53FF2" w:rsidRDefault="00D53FF2" w:rsidP="00D53FF2">
    <w:pPr>
      <w:pStyle w:val="Default"/>
      <w:jc w:val="center"/>
      <w:rPr>
        <w:rFonts w:asciiTheme="minorHAnsi" w:hAnsiTheme="minorHAnsi" w:cstheme="minorHAnsi"/>
        <w:b/>
        <w:bCs/>
        <w:sz w:val="23"/>
        <w:szCs w:val="23"/>
      </w:rPr>
    </w:pPr>
    <w:r w:rsidRPr="00D53FF2">
      <w:rPr>
        <w:rFonts w:asciiTheme="minorHAnsi" w:hAnsiTheme="minorHAnsi" w:cstheme="minorHAnsi"/>
        <w:b/>
        <w:bCs/>
        <w:sz w:val="23"/>
        <w:szCs w:val="23"/>
      </w:rPr>
      <w:t xml:space="preserve">SDG&amp;E RESPONSE </w:t>
    </w:r>
  </w:p>
  <w:p w14:paraId="01CA2882" w14:textId="77777777" w:rsidR="00D53FF2" w:rsidRPr="00D53FF2" w:rsidRDefault="00D53FF2" w:rsidP="00D53FF2">
    <w:pPr>
      <w:pStyle w:val="Default"/>
      <w:jc w:val="center"/>
      <w:rPr>
        <w:rFonts w:asciiTheme="minorHAnsi" w:hAnsiTheme="minorHAnsi" w:cstheme="minorHAnsi"/>
        <w:b/>
        <w:bCs/>
        <w:sz w:val="23"/>
        <w:szCs w:val="23"/>
      </w:rPr>
    </w:pPr>
    <w:r w:rsidRPr="00D53FF2">
      <w:rPr>
        <w:rFonts w:asciiTheme="minorHAnsi" w:hAnsiTheme="minorHAnsi" w:cstheme="minorHAnsi"/>
        <w:b/>
        <w:bCs/>
        <w:sz w:val="23"/>
        <w:szCs w:val="23"/>
      </w:rPr>
      <w:t xml:space="preserve">DATE RECEIVED: </w:t>
    </w:r>
    <w:r w:rsidR="007A6EC1">
      <w:rPr>
        <w:rFonts w:asciiTheme="minorHAnsi" w:hAnsiTheme="minorHAnsi" w:cstheme="minorHAnsi"/>
        <w:b/>
        <w:bCs/>
        <w:sz w:val="23"/>
        <w:szCs w:val="23"/>
      </w:rPr>
      <w:t>September</w:t>
    </w:r>
    <w:r w:rsidR="00F761A7">
      <w:rPr>
        <w:rFonts w:asciiTheme="minorHAnsi" w:hAnsiTheme="minorHAnsi" w:cstheme="minorHAnsi"/>
        <w:b/>
        <w:bCs/>
        <w:sz w:val="23"/>
        <w:szCs w:val="23"/>
      </w:rPr>
      <w:t xml:space="preserve"> </w:t>
    </w:r>
    <w:r w:rsidR="007A6EC1">
      <w:rPr>
        <w:rFonts w:asciiTheme="minorHAnsi" w:hAnsiTheme="minorHAnsi" w:cstheme="minorHAnsi"/>
        <w:b/>
        <w:bCs/>
        <w:sz w:val="23"/>
        <w:szCs w:val="23"/>
      </w:rPr>
      <w:t>4</w:t>
    </w:r>
    <w:r w:rsidRPr="00D53FF2">
      <w:rPr>
        <w:rFonts w:asciiTheme="minorHAnsi" w:hAnsiTheme="minorHAnsi" w:cstheme="minorHAnsi"/>
        <w:b/>
        <w:bCs/>
        <w:sz w:val="23"/>
        <w:szCs w:val="23"/>
      </w:rPr>
      <w:t xml:space="preserve">, 2019 </w:t>
    </w:r>
  </w:p>
  <w:p w14:paraId="4380A851" w14:textId="04F33EE5" w:rsidR="00D53FF2" w:rsidRPr="005A5543" w:rsidRDefault="00D53FF2" w:rsidP="00D53FF2">
    <w:pPr>
      <w:pStyle w:val="Default"/>
      <w:jc w:val="center"/>
      <w:rPr>
        <w:rFonts w:asciiTheme="minorHAnsi" w:hAnsiTheme="minorHAnsi" w:cstheme="minorHAnsi"/>
        <w:b/>
        <w:bCs/>
        <w:color w:val="auto"/>
        <w:sz w:val="23"/>
        <w:szCs w:val="23"/>
      </w:rPr>
    </w:pPr>
    <w:r w:rsidRPr="00D53FF2">
      <w:rPr>
        <w:rFonts w:asciiTheme="minorHAnsi" w:hAnsiTheme="minorHAnsi" w:cstheme="minorHAnsi"/>
        <w:b/>
        <w:bCs/>
        <w:sz w:val="23"/>
        <w:szCs w:val="23"/>
      </w:rPr>
      <w:t xml:space="preserve">DATE RESPONDED: </w:t>
    </w:r>
    <w:r w:rsidR="007A6EC1" w:rsidRPr="005A5543">
      <w:rPr>
        <w:rFonts w:asciiTheme="minorHAnsi" w:hAnsiTheme="minorHAnsi" w:cstheme="minorHAnsi"/>
        <w:b/>
        <w:bCs/>
        <w:color w:val="auto"/>
        <w:sz w:val="23"/>
        <w:szCs w:val="23"/>
      </w:rPr>
      <w:t>September 18</w:t>
    </w:r>
    <w:r w:rsidRPr="005A5543">
      <w:rPr>
        <w:rFonts w:asciiTheme="minorHAnsi" w:hAnsiTheme="minorHAnsi" w:cstheme="minorHAnsi"/>
        <w:b/>
        <w:bCs/>
        <w:color w:val="auto"/>
        <w:sz w:val="23"/>
        <w:szCs w:val="23"/>
      </w:rPr>
      <w:t>, 2019</w:t>
    </w:r>
  </w:p>
  <w:p w14:paraId="39C601E5" w14:textId="77777777" w:rsidR="00D53FF2" w:rsidRDefault="00D53F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A3078"/>
    <w:multiLevelType w:val="hybridMultilevel"/>
    <w:tmpl w:val="325EA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950EF"/>
    <w:multiLevelType w:val="hybridMultilevel"/>
    <w:tmpl w:val="6B0E7DE4"/>
    <w:lvl w:ilvl="0" w:tplc="368AA08A">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A24796A"/>
    <w:multiLevelType w:val="hybridMultilevel"/>
    <w:tmpl w:val="F49EE6A2"/>
    <w:lvl w:ilvl="0" w:tplc="2EE8C6BC">
      <w:start w:val="1"/>
      <w:numFmt w:val="decimal"/>
      <w:lvlText w:val="%1."/>
      <w:lvlJc w:val="left"/>
      <w:pPr>
        <w:tabs>
          <w:tab w:val="num" w:pos="720"/>
        </w:tabs>
        <w:ind w:left="720" w:hanging="360"/>
      </w:pPr>
      <w:rPr>
        <w:rFonts w:ascii="Times New Roman" w:hAnsi="Times New Roman" w:cs="Times New Roman" w:hint="default"/>
        <w:b w:val="0"/>
        <w:i w:val="0"/>
        <w:sz w:val="24"/>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FF2"/>
    <w:rsid w:val="00001351"/>
    <w:rsid w:val="0000574C"/>
    <w:rsid w:val="00022F53"/>
    <w:rsid w:val="000233D9"/>
    <w:rsid w:val="00024C2C"/>
    <w:rsid w:val="00030F37"/>
    <w:rsid w:val="000412FC"/>
    <w:rsid w:val="00043A47"/>
    <w:rsid w:val="00045992"/>
    <w:rsid w:val="00065395"/>
    <w:rsid w:val="00075088"/>
    <w:rsid w:val="00080D12"/>
    <w:rsid w:val="00085953"/>
    <w:rsid w:val="00085E2F"/>
    <w:rsid w:val="000906CC"/>
    <w:rsid w:val="000945D9"/>
    <w:rsid w:val="000A3650"/>
    <w:rsid w:val="000A4989"/>
    <w:rsid w:val="000A57BE"/>
    <w:rsid w:val="000B1AF6"/>
    <w:rsid w:val="000C2C0D"/>
    <w:rsid w:val="000C40FC"/>
    <w:rsid w:val="000C4CBE"/>
    <w:rsid w:val="000C7F38"/>
    <w:rsid w:val="000E406B"/>
    <w:rsid w:val="000F0F1A"/>
    <w:rsid w:val="00120DE0"/>
    <w:rsid w:val="00140BB6"/>
    <w:rsid w:val="00140D50"/>
    <w:rsid w:val="001418F5"/>
    <w:rsid w:val="00141EEA"/>
    <w:rsid w:val="0015225E"/>
    <w:rsid w:val="00154F72"/>
    <w:rsid w:val="00161A57"/>
    <w:rsid w:val="001621AE"/>
    <w:rsid w:val="0016533F"/>
    <w:rsid w:val="00187681"/>
    <w:rsid w:val="001A3065"/>
    <w:rsid w:val="001B0911"/>
    <w:rsid w:val="001B32C7"/>
    <w:rsid w:val="001B3E30"/>
    <w:rsid w:val="001B7583"/>
    <w:rsid w:val="001C3927"/>
    <w:rsid w:val="001C4C9E"/>
    <w:rsid w:val="001C507D"/>
    <w:rsid w:val="00202895"/>
    <w:rsid w:val="002039CD"/>
    <w:rsid w:val="002100DF"/>
    <w:rsid w:val="00237D25"/>
    <w:rsid w:val="00237DE8"/>
    <w:rsid w:val="0024268E"/>
    <w:rsid w:val="00247138"/>
    <w:rsid w:val="00252809"/>
    <w:rsid w:val="002545FB"/>
    <w:rsid w:val="00297039"/>
    <w:rsid w:val="002A010F"/>
    <w:rsid w:val="002A0548"/>
    <w:rsid w:val="002A433B"/>
    <w:rsid w:val="002B670A"/>
    <w:rsid w:val="002C1E3E"/>
    <w:rsid w:val="002C2B03"/>
    <w:rsid w:val="002D6F18"/>
    <w:rsid w:val="002E2C65"/>
    <w:rsid w:val="002F61AC"/>
    <w:rsid w:val="00300025"/>
    <w:rsid w:val="00307AC6"/>
    <w:rsid w:val="003169ED"/>
    <w:rsid w:val="003346F1"/>
    <w:rsid w:val="00335E7F"/>
    <w:rsid w:val="00345237"/>
    <w:rsid w:val="00347B5E"/>
    <w:rsid w:val="00351ABC"/>
    <w:rsid w:val="00355CBD"/>
    <w:rsid w:val="00371E1A"/>
    <w:rsid w:val="0037542E"/>
    <w:rsid w:val="00387CA2"/>
    <w:rsid w:val="003A0FDC"/>
    <w:rsid w:val="003B0015"/>
    <w:rsid w:val="003B1ECC"/>
    <w:rsid w:val="003C4135"/>
    <w:rsid w:val="003D4479"/>
    <w:rsid w:val="003D6D11"/>
    <w:rsid w:val="003F32C4"/>
    <w:rsid w:val="003F72BF"/>
    <w:rsid w:val="003F7C58"/>
    <w:rsid w:val="004033A7"/>
    <w:rsid w:val="00412CF2"/>
    <w:rsid w:val="00416D88"/>
    <w:rsid w:val="004210B2"/>
    <w:rsid w:val="004216C2"/>
    <w:rsid w:val="0042205C"/>
    <w:rsid w:val="00424A41"/>
    <w:rsid w:val="00426ECC"/>
    <w:rsid w:val="00437A40"/>
    <w:rsid w:val="00445219"/>
    <w:rsid w:val="00452C5B"/>
    <w:rsid w:val="0045300B"/>
    <w:rsid w:val="00460209"/>
    <w:rsid w:val="00461ACA"/>
    <w:rsid w:val="00467889"/>
    <w:rsid w:val="00472F30"/>
    <w:rsid w:val="00472FBF"/>
    <w:rsid w:val="00481CD8"/>
    <w:rsid w:val="00482106"/>
    <w:rsid w:val="004878FC"/>
    <w:rsid w:val="004C2533"/>
    <w:rsid w:val="004C4A04"/>
    <w:rsid w:val="004C7F7F"/>
    <w:rsid w:val="004D38A6"/>
    <w:rsid w:val="004D5C54"/>
    <w:rsid w:val="004D5F03"/>
    <w:rsid w:val="004D601F"/>
    <w:rsid w:val="004E2339"/>
    <w:rsid w:val="0050132A"/>
    <w:rsid w:val="00502B5A"/>
    <w:rsid w:val="005264F1"/>
    <w:rsid w:val="005278ED"/>
    <w:rsid w:val="005360E3"/>
    <w:rsid w:val="00540FED"/>
    <w:rsid w:val="00556BB8"/>
    <w:rsid w:val="00564FA5"/>
    <w:rsid w:val="005732D3"/>
    <w:rsid w:val="00574681"/>
    <w:rsid w:val="00577A7A"/>
    <w:rsid w:val="00584CB6"/>
    <w:rsid w:val="00591DD2"/>
    <w:rsid w:val="005A082C"/>
    <w:rsid w:val="005A155B"/>
    <w:rsid w:val="005A5543"/>
    <w:rsid w:val="005B083E"/>
    <w:rsid w:val="005B1DED"/>
    <w:rsid w:val="005B41C6"/>
    <w:rsid w:val="005B5BB1"/>
    <w:rsid w:val="005C380E"/>
    <w:rsid w:val="005E30B2"/>
    <w:rsid w:val="005E63B8"/>
    <w:rsid w:val="005F154E"/>
    <w:rsid w:val="00605B60"/>
    <w:rsid w:val="00614954"/>
    <w:rsid w:val="00623C3D"/>
    <w:rsid w:val="00644E81"/>
    <w:rsid w:val="0065566B"/>
    <w:rsid w:val="00656E44"/>
    <w:rsid w:val="00656F53"/>
    <w:rsid w:val="006602EA"/>
    <w:rsid w:val="006745FB"/>
    <w:rsid w:val="00674B7B"/>
    <w:rsid w:val="006778CB"/>
    <w:rsid w:val="0068410E"/>
    <w:rsid w:val="00687EB1"/>
    <w:rsid w:val="006911E1"/>
    <w:rsid w:val="006938FD"/>
    <w:rsid w:val="006A5057"/>
    <w:rsid w:val="006A75D4"/>
    <w:rsid w:val="006C58F5"/>
    <w:rsid w:val="006D0FCA"/>
    <w:rsid w:val="006E147E"/>
    <w:rsid w:val="006E6F56"/>
    <w:rsid w:val="006F2392"/>
    <w:rsid w:val="006F575C"/>
    <w:rsid w:val="00706788"/>
    <w:rsid w:val="00711748"/>
    <w:rsid w:val="007120BE"/>
    <w:rsid w:val="007154B6"/>
    <w:rsid w:val="00716978"/>
    <w:rsid w:val="007257A6"/>
    <w:rsid w:val="00727B62"/>
    <w:rsid w:val="00741BC7"/>
    <w:rsid w:val="0075211E"/>
    <w:rsid w:val="00757988"/>
    <w:rsid w:val="00757C11"/>
    <w:rsid w:val="00763822"/>
    <w:rsid w:val="00774F41"/>
    <w:rsid w:val="00780841"/>
    <w:rsid w:val="007857A2"/>
    <w:rsid w:val="00790708"/>
    <w:rsid w:val="00795AB6"/>
    <w:rsid w:val="007961A8"/>
    <w:rsid w:val="007A360B"/>
    <w:rsid w:val="007A6EC1"/>
    <w:rsid w:val="007A6F4B"/>
    <w:rsid w:val="007E2CDC"/>
    <w:rsid w:val="007E3BCF"/>
    <w:rsid w:val="007E636F"/>
    <w:rsid w:val="007E7653"/>
    <w:rsid w:val="00802EEF"/>
    <w:rsid w:val="0080308D"/>
    <w:rsid w:val="00805DBF"/>
    <w:rsid w:val="008124D4"/>
    <w:rsid w:val="00822D6D"/>
    <w:rsid w:val="00823E6E"/>
    <w:rsid w:val="00824EE9"/>
    <w:rsid w:val="00825FD5"/>
    <w:rsid w:val="00830095"/>
    <w:rsid w:val="00833050"/>
    <w:rsid w:val="00834E00"/>
    <w:rsid w:val="00835D56"/>
    <w:rsid w:val="00840558"/>
    <w:rsid w:val="00840EA7"/>
    <w:rsid w:val="00847963"/>
    <w:rsid w:val="008518CC"/>
    <w:rsid w:val="0086272F"/>
    <w:rsid w:val="00864444"/>
    <w:rsid w:val="00872974"/>
    <w:rsid w:val="00877364"/>
    <w:rsid w:val="0088202E"/>
    <w:rsid w:val="008854EF"/>
    <w:rsid w:val="00895E24"/>
    <w:rsid w:val="008A07DD"/>
    <w:rsid w:val="008A132F"/>
    <w:rsid w:val="008A603C"/>
    <w:rsid w:val="008B40DD"/>
    <w:rsid w:val="008B5E4E"/>
    <w:rsid w:val="008B7D18"/>
    <w:rsid w:val="008C4B8F"/>
    <w:rsid w:val="008C6D7F"/>
    <w:rsid w:val="008D06C8"/>
    <w:rsid w:val="008D0B45"/>
    <w:rsid w:val="008D3F4E"/>
    <w:rsid w:val="008E0ED1"/>
    <w:rsid w:val="008F4159"/>
    <w:rsid w:val="00912BE3"/>
    <w:rsid w:val="009142B4"/>
    <w:rsid w:val="00937DC3"/>
    <w:rsid w:val="0095598B"/>
    <w:rsid w:val="00960552"/>
    <w:rsid w:val="00964E69"/>
    <w:rsid w:val="0096510A"/>
    <w:rsid w:val="00990206"/>
    <w:rsid w:val="00993A4D"/>
    <w:rsid w:val="00995457"/>
    <w:rsid w:val="009A4911"/>
    <w:rsid w:val="009A591E"/>
    <w:rsid w:val="009C759A"/>
    <w:rsid w:val="009C76D7"/>
    <w:rsid w:val="009D0A19"/>
    <w:rsid w:val="009D1D43"/>
    <w:rsid w:val="009E2E2C"/>
    <w:rsid w:val="009E3358"/>
    <w:rsid w:val="009F1AD4"/>
    <w:rsid w:val="009F3708"/>
    <w:rsid w:val="009F43E1"/>
    <w:rsid w:val="009F44B1"/>
    <w:rsid w:val="009F5C63"/>
    <w:rsid w:val="00A059EB"/>
    <w:rsid w:val="00A1155B"/>
    <w:rsid w:val="00A13133"/>
    <w:rsid w:val="00A2217E"/>
    <w:rsid w:val="00A22807"/>
    <w:rsid w:val="00A249D3"/>
    <w:rsid w:val="00A31E2C"/>
    <w:rsid w:val="00A32D35"/>
    <w:rsid w:val="00A50173"/>
    <w:rsid w:val="00A53D2A"/>
    <w:rsid w:val="00A53DBD"/>
    <w:rsid w:val="00A562CD"/>
    <w:rsid w:val="00A7096F"/>
    <w:rsid w:val="00A75689"/>
    <w:rsid w:val="00A75740"/>
    <w:rsid w:val="00A85FEA"/>
    <w:rsid w:val="00A91668"/>
    <w:rsid w:val="00A91861"/>
    <w:rsid w:val="00A9274E"/>
    <w:rsid w:val="00A957F6"/>
    <w:rsid w:val="00AA4957"/>
    <w:rsid w:val="00AA54EE"/>
    <w:rsid w:val="00AB3770"/>
    <w:rsid w:val="00AB4A12"/>
    <w:rsid w:val="00AB7B32"/>
    <w:rsid w:val="00AD12EE"/>
    <w:rsid w:val="00AF194F"/>
    <w:rsid w:val="00B0111C"/>
    <w:rsid w:val="00B04D2A"/>
    <w:rsid w:val="00B14651"/>
    <w:rsid w:val="00B15A2A"/>
    <w:rsid w:val="00B20EEB"/>
    <w:rsid w:val="00B22C7D"/>
    <w:rsid w:val="00B2417C"/>
    <w:rsid w:val="00B32120"/>
    <w:rsid w:val="00B43A6F"/>
    <w:rsid w:val="00B71353"/>
    <w:rsid w:val="00B87C24"/>
    <w:rsid w:val="00B93316"/>
    <w:rsid w:val="00B976DB"/>
    <w:rsid w:val="00BA5302"/>
    <w:rsid w:val="00BB1D4A"/>
    <w:rsid w:val="00BC2ADB"/>
    <w:rsid w:val="00BC586A"/>
    <w:rsid w:val="00BD64B7"/>
    <w:rsid w:val="00BE0643"/>
    <w:rsid w:val="00BE5DD4"/>
    <w:rsid w:val="00C04A92"/>
    <w:rsid w:val="00C05F71"/>
    <w:rsid w:val="00C07660"/>
    <w:rsid w:val="00C07EC0"/>
    <w:rsid w:val="00C1330A"/>
    <w:rsid w:val="00C15D1A"/>
    <w:rsid w:val="00C16A5F"/>
    <w:rsid w:val="00C17011"/>
    <w:rsid w:val="00C23185"/>
    <w:rsid w:val="00C30DEA"/>
    <w:rsid w:val="00C4438B"/>
    <w:rsid w:val="00C51801"/>
    <w:rsid w:val="00C55B0E"/>
    <w:rsid w:val="00C62ED3"/>
    <w:rsid w:val="00C64C81"/>
    <w:rsid w:val="00C76DAF"/>
    <w:rsid w:val="00C778FF"/>
    <w:rsid w:val="00C81825"/>
    <w:rsid w:val="00C84BA5"/>
    <w:rsid w:val="00C85176"/>
    <w:rsid w:val="00C85CF8"/>
    <w:rsid w:val="00C87031"/>
    <w:rsid w:val="00C976BD"/>
    <w:rsid w:val="00CA212F"/>
    <w:rsid w:val="00CB72CA"/>
    <w:rsid w:val="00CE11B1"/>
    <w:rsid w:val="00CE290D"/>
    <w:rsid w:val="00D07734"/>
    <w:rsid w:val="00D14F0B"/>
    <w:rsid w:val="00D14F76"/>
    <w:rsid w:val="00D17B54"/>
    <w:rsid w:val="00D26ADA"/>
    <w:rsid w:val="00D26F73"/>
    <w:rsid w:val="00D27F6D"/>
    <w:rsid w:val="00D35628"/>
    <w:rsid w:val="00D418E3"/>
    <w:rsid w:val="00D42EAC"/>
    <w:rsid w:val="00D43650"/>
    <w:rsid w:val="00D53FF2"/>
    <w:rsid w:val="00D548FD"/>
    <w:rsid w:val="00D5527D"/>
    <w:rsid w:val="00D56192"/>
    <w:rsid w:val="00D57954"/>
    <w:rsid w:val="00D62184"/>
    <w:rsid w:val="00D64180"/>
    <w:rsid w:val="00D646B4"/>
    <w:rsid w:val="00D657CB"/>
    <w:rsid w:val="00D9005B"/>
    <w:rsid w:val="00D92F85"/>
    <w:rsid w:val="00DA254D"/>
    <w:rsid w:val="00DA688C"/>
    <w:rsid w:val="00DB5CA5"/>
    <w:rsid w:val="00DB6134"/>
    <w:rsid w:val="00DD1433"/>
    <w:rsid w:val="00DD62EA"/>
    <w:rsid w:val="00E040FD"/>
    <w:rsid w:val="00E04B01"/>
    <w:rsid w:val="00E14199"/>
    <w:rsid w:val="00E2670F"/>
    <w:rsid w:val="00E302BA"/>
    <w:rsid w:val="00E30545"/>
    <w:rsid w:val="00E32F5A"/>
    <w:rsid w:val="00E45AFF"/>
    <w:rsid w:val="00E53767"/>
    <w:rsid w:val="00E539CA"/>
    <w:rsid w:val="00E61889"/>
    <w:rsid w:val="00E644EE"/>
    <w:rsid w:val="00E65F6A"/>
    <w:rsid w:val="00E666F0"/>
    <w:rsid w:val="00E71A4F"/>
    <w:rsid w:val="00E73991"/>
    <w:rsid w:val="00E75118"/>
    <w:rsid w:val="00EA35E2"/>
    <w:rsid w:val="00EB7CF0"/>
    <w:rsid w:val="00EB7E06"/>
    <w:rsid w:val="00EC6A0B"/>
    <w:rsid w:val="00EC7A5A"/>
    <w:rsid w:val="00ED5E84"/>
    <w:rsid w:val="00EE6877"/>
    <w:rsid w:val="00EF158B"/>
    <w:rsid w:val="00F15149"/>
    <w:rsid w:val="00F24444"/>
    <w:rsid w:val="00F24D59"/>
    <w:rsid w:val="00F27E0E"/>
    <w:rsid w:val="00F30E37"/>
    <w:rsid w:val="00F330F9"/>
    <w:rsid w:val="00F4483C"/>
    <w:rsid w:val="00F57396"/>
    <w:rsid w:val="00F658AD"/>
    <w:rsid w:val="00F71ECE"/>
    <w:rsid w:val="00F72140"/>
    <w:rsid w:val="00F72367"/>
    <w:rsid w:val="00F747C9"/>
    <w:rsid w:val="00F75C03"/>
    <w:rsid w:val="00F761A7"/>
    <w:rsid w:val="00F82025"/>
    <w:rsid w:val="00F862B2"/>
    <w:rsid w:val="00F87663"/>
    <w:rsid w:val="00F93F41"/>
    <w:rsid w:val="00FB0C94"/>
    <w:rsid w:val="00FC626E"/>
    <w:rsid w:val="00FC6FE5"/>
    <w:rsid w:val="00FE4920"/>
    <w:rsid w:val="00FE5A87"/>
    <w:rsid w:val="00FF0092"/>
    <w:rsid w:val="5A61928A"/>
    <w:rsid w:val="5EB0BCAC"/>
    <w:rsid w:val="63C06C58"/>
    <w:rsid w:val="6C9F28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ED33A"/>
  <w15:chartTrackingRefBased/>
  <w15:docId w15:val="{6CBE775D-9A17-4882-9F65-D1901342B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3FF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FF2"/>
    <w:pPr>
      <w:tabs>
        <w:tab w:val="center" w:pos="4680"/>
        <w:tab w:val="right" w:pos="9360"/>
      </w:tabs>
    </w:pPr>
  </w:style>
  <w:style w:type="character" w:customStyle="1" w:styleId="HeaderChar">
    <w:name w:val="Header Char"/>
    <w:basedOn w:val="DefaultParagraphFont"/>
    <w:link w:val="Header"/>
    <w:uiPriority w:val="99"/>
    <w:rsid w:val="00D53FF2"/>
  </w:style>
  <w:style w:type="paragraph" w:styleId="Footer">
    <w:name w:val="footer"/>
    <w:basedOn w:val="Normal"/>
    <w:link w:val="FooterChar"/>
    <w:uiPriority w:val="99"/>
    <w:unhideWhenUsed/>
    <w:rsid w:val="00D53FF2"/>
    <w:pPr>
      <w:tabs>
        <w:tab w:val="center" w:pos="4680"/>
        <w:tab w:val="right" w:pos="9360"/>
      </w:tabs>
    </w:pPr>
  </w:style>
  <w:style w:type="character" w:customStyle="1" w:styleId="FooterChar">
    <w:name w:val="Footer Char"/>
    <w:basedOn w:val="DefaultParagraphFont"/>
    <w:link w:val="Footer"/>
    <w:uiPriority w:val="99"/>
    <w:rsid w:val="00D53FF2"/>
  </w:style>
  <w:style w:type="paragraph" w:customStyle="1" w:styleId="Default">
    <w:name w:val="Default"/>
    <w:rsid w:val="00D53FF2"/>
    <w:pPr>
      <w:widowControl w:val="0"/>
      <w:autoSpaceDE w:val="0"/>
      <w:autoSpaceDN w:val="0"/>
      <w:adjustRightInd w:val="0"/>
      <w:spacing w:after="0" w:line="240" w:lineRule="auto"/>
    </w:pPr>
    <w:rPr>
      <w:rFonts w:ascii="TYCZGQ+TimesNewRomanPS-BoldMT" w:eastAsiaTheme="minorEastAsia" w:hAnsi="TYCZGQ+TimesNewRomanPS-BoldMT" w:cs="TYCZGQ+TimesNewRomanPS-BoldMT"/>
      <w:color w:val="000000"/>
      <w:sz w:val="24"/>
      <w:szCs w:val="24"/>
    </w:rPr>
  </w:style>
  <w:style w:type="paragraph" w:styleId="ListParagraph">
    <w:name w:val="List Paragraph"/>
    <w:basedOn w:val="Normal"/>
    <w:uiPriority w:val="34"/>
    <w:qFormat/>
    <w:rsid w:val="00D53FF2"/>
    <w:pPr>
      <w:ind w:left="720"/>
      <w:contextualSpacing/>
    </w:pPr>
  </w:style>
  <w:style w:type="character" w:styleId="Hyperlink">
    <w:name w:val="Hyperlink"/>
    <w:basedOn w:val="DefaultParagraphFont"/>
    <w:uiPriority w:val="99"/>
    <w:unhideWhenUsed/>
    <w:rsid w:val="00D53FF2"/>
    <w:rPr>
      <w:color w:val="0000FF"/>
      <w:u w:val="single"/>
    </w:rPr>
  </w:style>
  <w:style w:type="character" w:styleId="UnresolvedMention">
    <w:name w:val="Unresolved Mention"/>
    <w:basedOn w:val="DefaultParagraphFont"/>
    <w:uiPriority w:val="99"/>
    <w:semiHidden/>
    <w:unhideWhenUsed/>
    <w:rsid w:val="00335E7F"/>
    <w:rPr>
      <w:color w:val="605E5C"/>
      <w:shd w:val="clear" w:color="auto" w:fill="E1DFDD"/>
    </w:rPr>
  </w:style>
  <w:style w:type="paragraph" w:styleId="FootnoteText">
    <w:name w:val="footnote text"/>
    <w:basedOn w:val="Normal"/>
    <w:link w:val="FootnoteTextChar"/>
    <w:semiHidden/>
    <w:unhideWhenUsed/>
    <w:rsid w:val="00426ECC"/>
  </w:style>
  <w:style w:type="character" w:customStyle="1" w:styleId="FootnoteTextChar">
    <w:name w:val="Footnote Text Char"/>
    <w:basedOn w:val="DefaultParagraphFont"/>
    <w:link w:val="FootnoteText"/>
    <w:semiHidden/>
    <w:rsid w:val="00426ECC"/>
    <w:rPr>
      <w:rFonts w:ascii="Times New Roman" w:eastAsia="Times New Roman" w:hAnsi="Times New Roman" w:cs="Times New Roman"/>
      <w:sz w:val="20"/>
      <w:szCs w:val="20"/>
    </w:rPr>
  </w:style>
  <w:style w:type="character" w:styleId="FootnoteReference">
    <w:name w:val="footnote reference"/>
    <w:semiHidden/>
    <w:unhideWhenUsed/>
    <w:rsid w:val="00426ECC"/>
    <w:rPr>
      <w:vertAlign w:val="superscript"/>
    </w:rPr>
  </w:style>
  <w:style w:type="paragraph" w:styleId="BalloonText">
    <w:name w:val="Balloon Text"/>
    <w:basedOn w:val="Normal"/>
    <w:link w:val="BalloonTextChar"/>
    <w:uiPriority w:val="99"/>
    <w:semiHidden/>
    <w:unhideWhenUsed/>
    <w:rsid w:val="00BD64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B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15D1A"/>
    <w:rPr>
      <w:sz w:val="16"/>
      <w:szCs w:val="16"/>
    </w:rPr>
  </w:style>
  <w:style w:type="paragraph" w:styleId="CommentText">
    <w:name w:val="annotation text"/>
    <w:basedOn w:val="Normal"/>
    <w:link w:val="CommentTextChar"/>
    <w:uiPriority w:val="99"/>
    <w:semiHidden/>
    <w:unhideWhenUsed/>
    <w:rsid w:val="00C15D1A"/>
  </w:style>
  <w:style w:type="character" w:customStyle="1" w:styleId="CommentTextChar">
    <w:name w:val="Comment Text Char"/>
    <w:basedOn w:val="DefaultParagraphFont"/>
    <w:link w:val="CommentText"/>
    <w:uiPriority w:val="99"/>
    <w:semiHidden/>
    <w:rsid w:val="00C15D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5D1A"/>
    <w:rPr>
      <w:b/>
      <w:bCs/>
    </w:rPr>
  </w:style>
  <w:style w:type="character" w:customStyle="1" w:styleId="CommentSubjectChar">
    <w:name w:val="Comment Subject Char"/>
    <w:basedOn w:val="CommentTextChar"/>
    <w:link w:val="CommentSubject"/>
    <w:uiPriority w:val="99"/>
    <w:semiHidden/>
    <w:rsid w:val="00C15D1A"/>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E45AFF"/>
    <w:rPr>
      <w:color w:val="954F72" w:themeColor="followedHyperlink"/>
      <w:u w:val="single"/>
    </w:rPr>
  </w:style>
  <w:style w:type="paragraph" w:styleId="Revision">
    <w:name w:val="Revision"/>
    <w:hidden/>
    <w:uiPriority w:val="99"/>
    <w:semiHidden/>
    <w:rsid w:val="00141EEA"/>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96350">
      <w:bodyDiv w:val="1"/>
      <w:marLeft w:val="0"/>
      <w:marRight w:val="0"/>
      <w:marTop w:val="0"/>
      <w:marBottom w:val="0"/>
      <w:divBdr>
        <w:top w:val="none" w:sz="0" w:space="0" w:color="auto"/>
        <w:left w:val="none" w:sz="0" w:space="0" w:color="auto"/>
        <w:bottom w:val="none" w:sz="0" w:space="0" w:color="auto"/>
        <w:right w:val="none" w:sz="0" w:space="0" w:color="auto"/>
      </w:divBdr>
    </w:div>
    <w:div w:id="341246890">
      <w:bodyDiv w:val="1"/>
      <w:marLeft w:val="0"/>
      <w:marRight w:val="0"/>
      <w:marTop w:val="0"/>
      <w:marBottom w:val="0"/>
      <w:divBdr>
        <w:top w:val="none" w:sz="0" w:space="0" w:color="auto"/>
        <w:left w:val="none" w:sz="0" w:space="0" w:color="auto"/>
        <w:bottom w:val="none" w:sz="0" w:space="0" w:color="auto"/>
        <w:right w:val="none" w:sz="0" w:space="0" w:color="auto"/>
      </w:divBdr>
    </w:div>
    <w:div w:id="670179827">
      <w:bodyDiv w:val="1"/>
      <w:marLeft w:val="0"/>
      <w:marRight w:val="0"/>
      <w:marTop w:val="0"/>
      <w:marBottom w:val="0"/>
      <w:divBdr>
        <w:top w:val="none" w:sz="0" w:space="0" w:color="auto"/>
        <w:left w:val="none" w:sz="0" w:space="0" w:color="auto"/>
        <w:bottom w:val="none" w:sz="0" w:space="0" w:color="auto"/>
        <w:right w:val="none" w:sz="0" w:space="0" w:color="auto"/>
      </w:divBdr>
    </w:div>
    <w:div w:id="1319530222">
      <w:bodyDiv w:val="1"/>
      <w:marLeft w:val="0"/>
      <w:marRight w:val="0"/>
      <w:marTop w:val="0"/>
      <w:marBottom w:val="0"/>
      <w:divBdr>
        <w:top w:val="none" w:sz="0" w:space="0" w:color="auto"/>
        <w:left w:val="none" w:sz="0" w:space="0" w:color="auto"/>
        <w:bottom w:val="none" w:sz="0" w:space="0" w:color="auto"/>
        <w:right w:val="none" w:sz="0" w:space="0" w:color="auto"/>
      </w:divBdr>
    </w:div>
    <w:div w:id="167819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puc.ca.gov/ze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A6BB30C0D30D41804A108B0C7714B4" ma:contentTypeVersion="10" ma:contentTypeDescription="Create a new document." ma:contentTypeScope="" ma:versionID="8beef71b578bd6ea5b10a76259470713">
  <xsd:schema xmlns:xsd="http://www.w3.org/2001/XMLSchema" xmlns:xs="http://www.w3.org/2001/XMLSchema" xmlns:p="http://schemas.microsoft.com/office/2006/metadata/properties" xmlns:ns3="c73499d5-9063-48be-be09-22088d5a88c3" targetNamespace="http://schemas.microsoft.com/office/2006/metadata/properties" ma:root="true" ma:fieldsID="6ba8eac9f7caac9edb1b47146b1b45a8" ns3:_="">
    <xsd:import namespace="c73499d5-9063-48be-be09-22088d5a88c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499d5-9063-48be-be09-22088d5a88c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8D8CF-31AD-4774-8C7B-7178C85F0B03}">
  <ds:schemaRefs>
    <ds:schemaRef ds:uri="http://schemas.microsoft.com/sharepoint/v3/contenttype/forms"/>
  </ds:schemaRefs>
</ds:datastoreItem>
</file>

<file path=customXml/itemProps2.xml><?xml version="1.0" encoding="utf-8"?>
<ds:datastoreItem xmlns:ds="http://schemas.openxmlformats.org/officeDocument/2006/customXml" ds:itemID="{D319B8B8-5B69-4D12-AAD8-6FDBDA027684}">
  <ds:schemaRefs>
    <ds:schemaRef ds:uri="http://purl.org/dc/terms/"/>
    <ds:schemaRef ds:uri="c73499d5-9063-48be-be09-22088d5a88c3"/>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1DFEB110-CC13-4066-AEA3-3EC96B03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499d5-9063-48be-be09-22088d5a8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D4D6DB-A069-4639-A835-AFCEB6AF1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Kinports, Dean A.</dc:creator>
  <cp:keywords/>
  <dc:description/>
  <cp:lastModifiedBy>Kinports, Dean A.</cp:lastModifiedBy>
  <cp:revision>2</cp:revision>
  <dcterms:created xsi:type="dcterms:W3CDTF">2019-09-18T17:38:00Z</dcterms:created>
  <dcterms:modified xsi:type="dcterms:W3CDTF">2019-09-18T17:38:00Z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0x0101008BA6BB30C0D30D41804A108B0C7714B4</vt:lpwstr>
  </property>
  <property fmtid="{D5CDD505-2E9C-101B-9397-08002B2CF9AE}" pid="3" name="StartDate">
    <vt:lpwstr>2019-09-05T10:32:36Z</vt:lpwstr>
  </property>
  <property fmtid="{D5CDD505-2E9C-101B-9397-08002B2CF9AE}" pid="4" name="_EndDate">
    <vt:lpwstr>2019-09-05T10:32:36Z</vt:lpwstr>
  </property>
</Properties>
</file>