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AE6ED" w14:textId="0153ACDA" w:rsidR="00B312FC" w:rsidRDefault="0011030B" w:rsidP="000021A2">
      <w:pPr>
        <w:spacing w:line="360" w:lineRule="auto"/>
        <w:jc w:val="center"/>
        <w:rPr>
          <w:rFonts w:eastAsia="Times New Roman"/>
          <w:b/>
          <w:bCs/>
          <w:u w:val="single"/>
        </w:rPr>
      </w:pPr>
      <w:r>
        <w:rPr>
          <w:rFonts w:eastAsia="Times New Roman"/>
          <w:b/>
          <w:bCs/>
          <w:u w:val="single"/>
        </w:rPr>
        <w:t>Appendix</w:t>
      </w:r>
      <w:r w:rsidR="000021A2">
        <w:rPr>
          <w:rFonts w:eastAsia="Times New Roman"/>
          <w:b/>
          <w:bCs/>
          <w:u w:val="single"/>
        </w:rPr>
        <w:t xml:space="preserve"> A</w:t>
      </w:r>
    </w:p>
    <w:p w14:paraId="05E02316" w14:textId="3F23035D" w:rsidR="000021A2" w:rsidRPr="00102089" w:rsidRDefault="000021A2" w:rsidP="000021A2">
      <w:pPr>
        <w:spacing w:line="360" w:lineRule="auto"/>
        <w:jc w:val="center"/>
        <w:rPr>
          <w:rFonts w:eastAsia="Times New Roman"/>
          <w:b/>
          <w:bCs/>
          <w:u w:val="single"/>
        </w:rPr>
      </w:pPr>
      <w:r>
        <w:rPr>
          <w:rFonts w:eastAsia="Times New Roman"/>
          <w:b/>
          <w:bCs/>
          <w:u w:val="single"/>
        </w:rPr>
        <w:t>Details of Data and Modeling Issues</w:t>
      </w:r>
      <w:r w:rsidR="00C36CB9">
        <w:rPr>
          <w:rFonts w:eastAsia="Times New Roman"/>
          <w:b/>
          <w:bCs/>
          <w:u w:val="single"/>
        </w:rPr>
        <w:t xml:space="preserve"> and Ancillary Services Price Models</w:t>
      </w:r>
    </w:p>
    <w:p w14:paraId="2AF61AB2" w14:textId="37B20D38" w:rsidR="000021A2" w:rsidRDefault="000021A2" w:rsidP="000021A2">
      <w:pPr>
        <w:spacing w:line="360" w:lineRule="auto"/>
        <w:ind w:left="360"/>
        <w:rPr>
          <w:rFonts w:eastAsia="Times New Roman"/>
        </w:rPr>
      </w:pPr>
      <w:r>
        <w:rPr>
          <w:rFonts w:eastAsia="Times New Roman"/>
        </w:rPr>
        <w:t>This document contains details of the data and modeling issues</w:t>
      </w:r>
      <w:r w:rsidR="00C36CB9">
        <w:rPr>
          <w:rFonts w:eastAsia="Times New Roman"/>
        </w:rPr>
        <w:t>, and Ancillary Service price models,</w:t>
      </w:r>
      <w:r>
        <w:rPr>
          <w:rFonts w:eastAsia="Times New Roman"/>
        </w:rPr>
        <w:t xml:space="preserve"> described in the Joint IOU Comments</w:t>
      </w:r>
      <w:r w:rsidR="00C36CB9">
        <w:rPr>
          <w:rFonts w:eastAsia="Times New Roman"/>
        </w:rPr>
        <w:t>;</w:t>
      </w:r>
      <w:r>
        <w:rPr>
          <w:rFonts w:eastAsia="Times New Roman"/>
        </w:rPr>
        <w:t xml:space="preserve"> and describes the attached Workpapers. Issues and Workpapers are referenced in the same order as they appear in Comments.</w:t>
      </w:r>
    </w:p>
    <w:p w14:paraId="0D422367" w14:textId="3D54DA0B" w:rsidR="00CF09D5" w:rsidRDefault="00CF09D5" w:rsidP="000021A2">
      <w:pPr>
        <w:spacing w:line="360" w:lineRule="auto"/>
        <w:ind w:left="360"/>
        <w:rPr>
          <w:rFonts w:eastAsia="Times New Roman"/>
        </w:rPr>
      </w:pPr>
    </w:p>
    <w:tbl>
      <w:tblPr>
        <w:tblStyle w:val="TableGrid"/>
        <w:tblW w:w="0" w:type="auto"/>
        <w:tblInd w:w="360" w:type="dxa"/>
        <w:tblLook w:val="04A0" w:firstRow="1" w:lastRow="0" w:firstColumn="1" w:lastColumn="0" w:noHBand="0" w:noVBand="1"/>
      </w:tblPr>
      <w:tblGrid>
        <w:gridCol w:w="1376"/>
        <w:gridCol w:w="5089"/>
        <w:gridCol w:w="3245"/>
      </w:tblGrid>
      <w:tr w:rsidR="0090786F" w14:paraId="0534C391" w14:textId="77777777" w:rsidTr="004E60A0">
        <w:tc>
          <w:tcPr>
            <w:tcW w:w="1376" w:type="dxa"/>
          </w:tcPr>
          <w:p w14:paraId="6077CC2B" w14:textId="5B86D5FB" w:rsidR="00CF09D5" w:rsidRDefault="00CF09D5" w:rsidP="000021A2">
            <w:pPr>
              <w:spacing w:line="360" w:lineRule="auto"/>
              <w:rPr>
                <w:rFonts w:eastAsia="Times New Roman"/>
              </w:rPr>
            </w:pPr>
            <w:bookmarkStart w:id="0" w:name="_Hlk41485819"/>
            <w:r>
              <w:rPr>
                <w:rFonts w:eastAsia="Times New Roman"/>
              </w:rPr>
              <w:t>Issue</w:t>
            </w:r>
          </w:p>
        </w:tc>
        <w:tc>
          <w:tcPr>
            <w:tcW w:w="4559" w:type="dxa"/>
          </w:tcPr>
          <w:p w14:paraId="6EE07731" w14:textId="24BC50DD" w:rsidR="00CF09D5" w:rsidRDefault="00CF09D5" w:rsidP="000021A2">
            <w:pPr>
              <w:spacing w:line="360" w:lineRule="auto"/>
              <w:rPr>
                <w:rFonts w:eastAsia="Times New Roman"/>
              </w:rPr>
            </w:pPr>
            <w:r>
              <w:rPr>
                <w:rFonts w:eastAsia="Times New Roman"/>
              </w:rPr>
              <w:t>Workpaper References</w:t>
            </w:r>
          </w:p>
        </w:tc>
        <w:tc>
          <w:tcPr>
            <w:tcW w:w="3775" w:type="dxa"/>
          </w:tcPr>
          <w:p w14:paraId="34499062" w14:textId="75BEB65D" w:rsidR="00CF09D5" w:rsidRDefault="00CF09D5" w:rsidP="000021A2">
            <w:pPr>
              <w:spacing w:line="360" w:lineRule="auto"/>
              <w:rPr>
                <w:rFonts w:eastAsia="Times New Roman"/>
              </w:rPr>
            </w:pPr>
            <w:r>
              <w:rPr>
                <w:rFonts w:eastAsia="Times New Roman"/>
              </w:rPr>
              <w:t>Details</w:t>
            </w:r>
          </w:p>
        </w:tc>
      </w:tr>
      <w:tr w:rsidR="0090786F" w14:paraId="1320A335" w14:textId="77777777" w:rsidTr="004E60A0">
        <w:tc>
          <w:tcPr>
            <w:tcW w:w="1376" w:type="dxa"/>
          </w:tcPr>
          <w:p w14:paraId="543F3B7C" w14:textId="0D71DF25" w:rsidR="00CF09D5" w:rsidRDefault="00CF09D5" w:rsidP="000021A2">
            <w:pPr>
              <w:spacing w:line="360" w:lineRule="auto"/>
              <w:rPr>
                <w:rFonts w:eastAsia="Times New Roman"/>
              </w:rPr>
            </w:pPr>
            <w:r>
              <w:rPr>
                <w:rFonts w:eastAsia="Times New Roman"/>
              </w:rPr>
              <w:t>2019 energy prices out of order</w:t>
            </w:r>
          </w:p>
        </w:tc>
        <w:tc>
          <w:tcPr>
            <w:tcW w:w="4559" w:type="dxa"/>
          </w:tcPr>
          <w:p w14:paraId="2C0FD54F" w14:textId="74BF9096" w:rsidR="00CF09D5" w:rsidRDefault="00F55872" w:rsidP="000021A2">
            <w:pPr>
              <w:spacing w:line="360" w:lineRule="auto"/>
              <w:rPr>
                <w:rFonts w:eastAsia="Times New Roman"/>
              </w:rPr>
            </w:pPr>
            <w:r>
              <w:rPr>
                <w:rFonts w:eastAsia="Times New Roman"/>
                <w:b/>
                <w:bCs/>
              </w:rPr>
              <w:t>Attch_</w:t>
            </w:r>
            <w:r>
              <w:rPr>
                <w:rFonts w:eastAsia="Times New Roman"/>
                <w:b/>
                <w:bCs/>
              </w:rPr>
              <w:t>A</w:t>
            </w:r>
            <w:r>
              <w:rPr>
                <w:rFonts w:eastAsia="Times New Roman"/>
                <w:b/>
                <w:bCs/>
              </w:rPr>
              <w:t>_</w:t>
            </w:r>
            <w:r w:rsidR="00CF09D5" w:rsidRPr="004E60A0">
              <w:rPr>
                <w:rFonts w:eastAsia="Times New Roman"/>
                <w:b/>
                <w:bCs/>
              </w:rPr>
              <w:t>Energy_Prices_2019_NP15_SP15.xlsb</w:t>
            </w:r>
            <w:r w:rsidR="00AE51A4">
              <w:rPr>
                <w:rFonts w:eastAsia="Times New Roman"/>
              </w:rPr>
              <w:t xml:space="preserve"> tab “2019 Energy Prices”</w:t>
            </w:r>
          </w:p>
          <w:p w14:paraId="3B39FD38" w14:textId="01C09CCF" w:rsidR="00CF09D5" w:rsidRDefault="00CF09D5" w:rsidP="000021A2">
            <w:pPr>
              <w:spacing w:line="360" w:lineRule="auto"/>
              <w:rPr>
                <w:rFonts w:eastAsia="Times New Roman"/>
              </w:rPr>
            </w:pPr>
            <w:r>
              <w:rPr>
                <w:rFonts w:eastAsia="Times New Roman"/>
              </w:rPr>
              <w:t>2019 Day-Ahead Energy prices in ACC model and downloaded from CAISO are in, columns E-H.</w:t>
            </w:r>
          </w:p>
          <w:p w14:paraId="18D9EB87" w14:textId="327BD196" w:rsidR="00CF09D5" w:rsidRDefault="00CF09D5" w:rsidP="000021A2">
            <w:pPr>
              <w:spacing w:line="360" w:lineRule="auto"/>
              <w:rPr>
                <w:rFonts w:eastAsia="Times New Roman"/>
              </w:rPr>
            </w:pPr>
            <w:r>
              <w:rPr>
                <w:rFonts w:eastAsia="Times New Roman"/>
              </w:rPr>
              <w:t>Ranked prices are in columns I-L.</w:t>
            </w:r>
          </w:p>
        </w:tc>
        <w:tc>
          <w:tcPr>
            <w:tcW w:w="3775" w:type="dxa"/>
          </w:tcPr>
          <w:p w14:paraId="64FB2125" w14:textId="77777777" w:rsidR="00CF09D5" w:rsidRDefault="00CF09D5" w:rsidP="000021A2">
            <w:pPr>
              <w:spacing w:line="360" w:lineRule="auto"/>
              <w:rPr>
                <w:rFonts w:eastAsia="Times New Roman"/>
              </w:rPr>
            </w:pPr>
            <w:r>
              <w:rPr>
                <w:rFonts w:eastAsia="Times New Roman"/>
              </w:rPr>
              <w:t>Ranked prices (price duration curves) match, but hourly prices do not (except for January 1).</w:t>
            </w:r>
          </w:p>
          <w:p w14:paraId="7B2D4799" w14:textId="6CE0429B" w:rsidR="00AE51A4" w:rsidRDefault="00AE51A4" w:rsidP="000021A2">
            <w:pPr>
              <w:spacing w:line="360" w:lineRule="auto"/>
              <w:rPr>
                <w:rFonts w:eastAsia="Times New Roman"/>
              </w:rPr>
            </w:pPr>
            <w:r>
              <w:rPr>
                <w:rFonts w:eastAsia="Times New Roman"/>
              </w:rPr>
              <w:t>Averages by hour and by month appear in columns O:AL; these do not match</w:t>
            </w:r>
            <w:r w:rsidR="0090786F">
              <w:rPr>
                <w:rFonts w:eastAsia="Times New Roman"/>
              </w:rPr>
              <w:t>.</w:t>
            </w:r>
          </w:p>
        </w:tc>
      </w:tr>
      <w:bookmarkEnd w:id="0"/>
      <w:tr w:rsidR="0090786F" w14:paraId="4C5E0FBA" w14:textId="77777777" w:rsidTr="004E60A0">
        <w:tc>
          <w:tcPr>
            <w:tcW w:w="1376" w:type="dxa"/>
          </w:tcPr>
          <w:p w14:paraId="6621EE03" w14:textId="387093A4" w:rsidR="00CF09D5" w:rsidRDefault="00AE51A4" w:rsidP="000021A2">
            <w:pPr>
              <w:spacing w:line="360" w:lineRule="auto"/>
              <w:rPr>
                <w:rFonts w:eastAsia="Times New Roman"/>
              </w:rPr>
            </w:pPr>
            <w:r>
              <w:rPr>
                <w:rFonts w:eastAsia="Times New Roman"/>
              </w:rPr>
              <w:t>2019 gas prices inaccurate</w:t>
            </w:r>
          </w:p>
        </w:tc>
        <w:tc>
          <w:tcPr>
            <w:tcW w:w="4559" w:type="dxa"/>
          </w:tcPr>
          <w:p w14:paraId="12CFF349" w14:textId="741AC05B" w:rsidR="00AE51A4" w:rsidRDefault="00F55872" w:rsidP="00AE51A4">
            <w:pPr>
              <w:spacing w:line="360" w:lineRule="auto"/>
              <w:rPr>
                <w:rFonts w:eastAsia="Times New Roman"/>
              </w:rPr>
            </w:pPr>
            <w:r>
              <w:rPr>
                <w:rFonts w:eastAsia="Times New Roman"/>
                <w:b/>
                <w:bCs/>
              </w:rPr>
              <w:t>Attch_</w:t>
            </w:r>
            <w:r>
              <w:rPr>
                <w:rFonts w:eastAsia="Times New Roman"/>
                <w:b/>
                <w:bCs/>
              </w:rPr>
              <w:t>A</w:t>
            </w:r>
            <w:r>
              <w:rPr>
                <w:rFonts w:eastAsia="Times New Roman"/>
                <w:b/>
                <w:bCs/>
              </w:rPr>
              <w:t>_</w:t>
            </w:r>
            <w:r w:rsidR="00AE51A4" w:rsidRPr="004E60A0">
              <w:rPr>
                <w:rFonts w:eastAsia="Times New Roman"/>
                <w:b/>
                <w:bCs/>
              </w:rPr>
              <w:t>Energy_Prices_2019_NP15_SP15.xlsb</w:t>
            </w:r>
            <w:r w:rsidR="00AE51A4">
              <w:rPr>
                <w:rFonts w:eastAsia="Times New Roman"/>
              </w:rPr>
              <w:t xml:space="preserve"> tab “Heat Rates”</w:t>
            </w:r>
          </w:p>
          <w:p w14:paraId="47CFF344" w14:textId="77777777" w:rsidR="00CF09D5" w:rsidRDefault="00AE51A4" w:rsidP="00AE51A4">
            <w:pPr>
              <w:spacing w:line="360" w:lineRule="auto"/>
              <w:rPr>
                <w:rFonts w:eastAsia="Times New Roman"/>
              </w:rPr>
            </w:pPr>
            <w:r>
              <w:rPr>
                <w:rFonts w:eastAsia="Times New Roman"/>
              </w:rPr>
              <w:t xml:space="preserve">2019 </w:t>
            </w:r>
            <w:r w:rsidR="00F84AB1">
              <w:rPr>
                <w:rFonts w:eastAsia="Times New Roman"/>
              </w:rPr>
              <w:t xml:space="preserve">gas prices at PG&amp;E Citygate and SoCal Citygate, and gas transportation costs are in columns </w:t>
            </w:r>
            <w:proofErr w:type="gramStart"/>
            <w:r w:rsidR="00F84AB1">
              <w:rPr>
                <w:rFonts w:eastAsia="Times New Roman"/>
              </w:rPr>
              <w:t>E:F</w:t>
            </w:r>
            <w:proofErr w:type="gramEnd"/>
            <w:r w:rsidR="00F84AB1">
              <w:rPr>
                <w:rFonts w:eastAsia="Times New Roman"/>
              </w:rPr>
              <w:t xml:space="preserve"> and AG:AK.</w:t>
            </w:r>
          </w:p>
          <w:p w14:paraId="2765D7D8" w14:textId="77777777" w:rsidR="00F84AB1" w:rsidRDefault="00F84AB1" w:rsidP="00AE51A4">
            <w:pPr>
              <w:spacing w:line="360" w:lineRule="auto"/>
              <w:rPr>
                <w:rFonts w:eastAsia="Times New Roman"/>
              </w:rPr>
            </w:pPr>
            <w:r>
              <w:rPr>
                <w:rFonts w:eastAsia="Times New Roman"/>
              </w:rPr>
              <w:t>Heat rates in ACC model and calculated from actual CAISO prices are in columns H:M</w:t>
            </w:r>
          </w:p>
          <w:p w14:paraId="17354600" w14:textId="77777777" w:rsidR="00F84AB1" w:rsidRDefault="00F84AB1" w:rsidP="00AE51A4">
            <w:pPr>
              <w:spacing w:line="360" w:lineRule="auto"/>
              <w:rPr>
                <w:rFonts w:eastAsia="Times New Roman"/>
              </w:rPr>
            </w:pPr>
            <w:r>
              <w:rPr>
                <w:rFonts w:eastAsia="Times New Roman"/>
              </w:rPr>
              <w:t xml:space="preserve">Reverse engineering of gas prices used in ACC model is in columns </w:t>
            </w:r>
            <w:proofErr w:type="gramStart"/>
            <w:r>
              <w:rPr>
                <w:rFonts w:eastAsia="Times New Roman"/>
              </w:rPr>
              <w:t>N:U</w:t>
            </w:r>
            <w:proofErr w:type="gramEnd"/>
          </w:p>
          <w:p w14:paraId="2D9BADAF" w14:textId="77777777" w:rsidR="00F84AB1" w:rsidRDefault="00F84AB1" w:rsidP="00AE51A4">
            <w:pPr>
              <w:spacing w:line="360" w:lineRule="auto"/>
              <w:rPr>
                <w:rFonts w:eastAsia="Times New Roman"/>
              </w:rPr>
            </w:pPr>
            <w:r>
              <w:rPr>
                <w:rFonts w:eastAsia="Times New Roman"/>
              </w:rPr>
              <w:t xml:space="preserve">Heat rate duration curves are in columns </w:t>
            </w:r>
            <w:proofErr w:type="gramStart"/>
            <w:r>
              <w:rPr>
                <w:rFonts w:eastAsia="Times New Roman"/>
              </w:rPr>
              <w:t>V:AA</w:t>
            </w:r>
            <w:proofErr w:type="gramEnd"/>
          </w:p>
          <w:p w14:paraId="3EB4C70D" w14:textId="52A762BE" w:rsidR="00F84AB1" w:rsidRDefault="00F84AB1" w:rsidP="00AE51A4">
            <w:pPr>
              <w:spacing w:line="360" w:lineRule="auto"/>
              <w:rPr>
                <w:rFonts w:eastAsia="Times New Roman"/>
              </w:rPr>
            </w:pPr>
            <w:r>
              <w:rPr>
                <w:rFonts w:eastAsia="Times New Roman"/>
              </w:rPr>
              <w:t>Original and corrected ratios for scarcity calculations are in columns AB:AF</w:t>
            </w:r>
          </w:p>
        </w:tc>
        <w:tc>
          <w:tcPr>
            <w:tcW w:w="3775" w:type="dxa"/>
          </w:tcPr>
          <w:p w14:paraId="20912FE9" w14:textId="77777777" w:rsidR="0090786F" w:rsidRDefault="004F73BB" w:rsidP="000021A2">
            <w:pPr>
              <w:spacing w:line="360" w:lineRule="auto"/>
              <w:rPr>
                <w:rFonts w:eastAsia="Times New Roman"/>
              </w:rPr>
            </w:pPr>
            <w:r>
              <w:rPr>
                <w:rFonts w:eastAsia="Times New Roman"/>
              </w:rPr>
              <w:t xml:space="preserve">Historical 2019 gas prices apparently used in ACC model (based on reverse engineering) are constant within each month and have a constant and inaccurate differential between NP and SP. </w:t>
            </w:r>
          </w:p>
          <w:p w14:paraId="38450F05" w14:textId="72682646" w:rsidR="00CF09D5" w:rsidRDefault="004F73BB" w:rsidP="000021A2">
            <w:pPr>
              <w:spacing w:line="360" w:lineRule="auto"/>
              <w:rPr>
                <w:rFonts w:eastAsia="Times New Roman"/>
              </w:rPr>
            </w:pPr>
            <w:r>
              <w:rPr>
                <w:rFonts w:eastAsia="Times New Roman"/>
              </w:rPr>
              <w:t>Ratios in ACC model documentation do not match thos</w:t>
            </w:r>
            <w:r w:rsidR="0090786F">
              <w:rPr>
                <w:rFonts w:eastAsia="Times New Roman"/>
              </w:rPr>
              <w:t>e calculated from (incorrect) heat rates in ACC files, nor do they match those calculated from heat rates derived from actual CAISO prices.</w:t>
            </w:r>
          </w:p>
        </w:tc>
      </w:tr>
      <w:tr w:rsidR="0090786F" w14:paraId="08F6B9FD" w14:textId="77777777" w:rsidTr="004E60A0">
        <w:tc>
          <w:tcPr>
            <w:tcW w:w="1376" w:type="dxa"/>
          </w:tcPr>
          <w:p w14:paraId="4F8E3566" w14:textId="682E089E" w:rsidR="00CF09D5" w:rsidRDefault="00417EF9" w:rsidP="000021A2">
            <w:pPr>
              <w:spacing w:line="360" w:lineRule="auto"/>
              <w:rPr>
                <w:rFonts w:eastAsia="Times New Roman"/>
              </w:rPr>
            </w:pPr>
            <w:r>
              <w:rPr>
                <w:rFonts w:eastAsia="Times New Roman"/>
              </w:rPr>
              <w:t xml:space="preserve">SERVM detailed </w:t>
            </w:r>
            <w:r>
              <w:rPr>
                <w:rFonts w:eastAsia="Times New Roman"/>
              </w:rPr>
              <w:lastRenderedPageBreak/>
              <w:t xml:space="preserve">outputs: Generators operate below </w:t>
            </w:r>
            <w:proofErr w:type="spellStart"/>
            <w:r>
              <w:rPr>
                <w:rFonts w:eastAsia="Times New Roman"/>
              </w:rPr>
              <w:t>Pmin</w:t>
            </w:r>
            <w:proofErr w:type="spellEnd"/>
          </w:p>
        </w:tc>
        <w:tc>
          <w:tcPr>
            <w:tcW w:w="4559" w:type="dxa"/>
          </w:tcPr>
          <w:p w14:paraId="258C312E" w14:textId="0E47888E" w:rsidR="00F55872" w:rsidRPr="00F55872" w:rsidRDefault="00F55872" w:rsidP="000021A2">
            <w:pPr>
              <w:spacing w:line="360" w:lineRule="auto"/>
              <w:rPr>
                <w:rFonts w:eastAsia="Times New Roman"/>
              </w:rPr>
            </w:pPr>
            <w:proofErr w:type="spellStart"/>
            <w:r>
              <w:rPr>
                <w:rFonts w:eastAsia="Times New Roman"/>
                <w:b/>
                <w:bCs/>
              </w:rPr>
              <w:lastRenderedPageBreak/>
              <w:t>Attch_B</w:t>
            </w:r>
            <w:proofErr w:type="spellEnd"/>
            <w:r>
              <w:rPr>
                <w:rFonts w:eastAsia="Times New Roman"/>
                <w:b/>
                <w:bCs/>
              </w:rPr>
              <w:t>_</w:t>
            </w:r>
          </w:p>
          <w:p w14:paraId="61CB2ECF" w14:textId="6D09A1AC" w:rsidR="004E60A0" w:rsidRDefault="00417EF9" w:rsidP="00146117">
            <w:pPr>
              <w:widowControl w:val="0"/>
              <w:spacing w:line="360" w:lineRule="auto"/>
              <w:rPr>
                <w:rFonts w:eastAsia="Times New Roman"/>
                <w:b/>
                <w:bCs/>
              </w:rPr>
            </w:pPr>
            <w:proofErr w:type="spellStart"/>
            <w:r w:rsidRPr="004E60A0">
              <w:rPr>
                <w:rFonts w:eastAsia="Times New Roman"/>
                <w:b/>
                <w:bCs/>
              </w:rPr>
              <w:t>NoDER_XKWAU_Final_Unit_Dispatch</w:t>
            </w:r>
            <w:proofErr w:type="spellEnd"/>
            <w:r w:rsidRPr="004E60A0">
              <w:rPr>
                <w:rFonts w:eastAsia="Times New Roman"/>
                <w:b/>
                <w:bCs/>
              </w:rPr>
              <w:t xml:space="preserve">_ </w:t>
            </w:r>
            <w:r w:rsidR="004E60A0">
              <w:rPr>
                <w:rFonts w:eastAsia="Times New Roman"/>
                <w:b/>
                <w:bCs/>
              </w:rPr>
              <w:lastRenderedPageBreak/>
              <w:t>debug_</w:t>
            </w:r>
            <w:r w:rsidRPr="004E60A0">
              <w:rPr>
                <w:rFonts w:eastAsia="Times New Roman"/>
                <w:b/>
                <w:bCs/>
              </w:rPr>
              <w:t>00046_week_15_Unit_Output_</w:t>
            </w:r>
          </w:p>
          <w:p w14:paraId="3CD7D14C" w14:textId="68AE39DF" w:rsidR="00CF09D5" w:rsidRPr="004E60A0" w:rsidRDefault="004E60A0" w:rsidP="000021A2">
            <w:pPr>
              <w:spacing w:line="360" w:lineRule="auto"/>
              <w:rPr>
                <w:rFonts w:eastAsia="Times New Roman"/>
                <w:b/>
                <w:bCs/>
              </w:rPr>
            </w:pPr>
            <w:r>
              <w:rPr>
                <w:rFonts w:eastAsia="Times New Roman"/>
                <w:b/>
                <w:bCs/>
              </w:rPr>
              <w:t>sy_</w:t>
            </w:r>
            <w:r w:rsidR="00417EF9" w:rsidRPr="004E60A0">
              <w:rPr>
                <w:rFonts w:eastAsia="Times New Roman"/>
                <w:b/>
                <w:bCs/>
              </w:rPr>
              <w:t>2030_</w:t>
            </w:r>
            <w:r>
              <w:rPr>
                <w:rFonts w:eastAsia="Times New Roman"/>
                <w:b/>
                <w:bCs/>
              </w:rPr>
              <w:t>sy_2030_</w:t>
            </w:r>
            <w:r w:rsidR="00417EF9" w:rsidRPr="004E60A0">
              <w:rPr>
                <w:rFonts w:eastAsia="Times New Roman"/>
                <w:b/>
                <w:bCs/>
              </w:rPr>
              <w:t>Average.xlsb</w:t>
            </w:r>
          </w:p>
          <w:p w14:paraId="738FAADD" w14:textId="77777777" w:rsidR="00C73888" w:rsidRDefault="00C73888" w:rsidP="000021A2">
            <w:pPr>
              <w:spacing w:line="360" w:lineRule="auto"/>
              <w:rPr>
                <w:rFonts w:eastAsia="Times New Roman"/>
              </w:rPr>
            </w:pPr>
            <w:r>
              <w:rPr>
                <w:rFonts w:eastAsia="Times New Roman"/>
              </w:rPr>
              <w:t>Minimum generation level (</w:t>
            </w:r>
            <w:proofErr w:type="spellStart"/>
            <w:r>
              <w:rPr>
                <w:rFonts w:eastAsia="Times New Roman"/>
              </w:rPr>
              <w:t>Pmin</w:t>
            </w:r>
            <w:proofErr w:type="spellEnd"/>
            <w:r>
              <w:rPr>
                <w:rFonts w:eastAsia="Times New Roman"/>
              </w:rPr>
              <w:t>) is col. F</w:t>
            </w:r>
          </w:p>
          <w:p w14:paraId="0E479379" w14:textId="5F13E1BD" w:rsidR="00C73888" w:rsidRDefault="00C73888" w:rsidP="000021A2">
            <w:pPr>
              <w:spacing w:line="360" w:lineRule="auto"/>
              <w:rPr>
                <w:rFonts w:eastAsia="Times New Roman"/>
              </w:rPr>
            </w:pPr>
            <w:r>
              <w:rPr>
                <w:rFonts w:eastAsia="Times New Roman"/>
              </w:rPr>
              <w:t xml:space="preserve"># hrs in week with generation between 0 and </w:t>
            </w:r>
            <w:proofErr w:type="spellStart"/>
            <w:r>
              <w:rPr>
                <w:rFonts w:eastAsia="Times New Roman"/>
              </w:rPr>
              <w:t>Pmin</w:t>
            </w:r>
            <w:proofErr w:type="spellEnd"/>
            <w:r>
              <w:rPr>
                <w:rFonts w:eastAsia="Times New Roman"/>
              </w:rPr>
              <w:t xml:space="preserve"> is in column P</w:t>
            </w:r>
            <w:r w:rsidR="00B524C0">
              <w:rPr>
                <w:rFonts w:eastAsia="Times New Roman"/>
              </w:rPr>
              <w:t xml:space="preserve"> (added column)</w:t>
            </w:r>
          </w:p>
          <w:p w14:paraId="1DA37A4D" w14:textId="360EFB7E" w:rsidR="00C73888" w:rsidRDefault="00C73888" w:rsidP="000021A2">
            <w:pPr>
              <w:spacing w:line="360" w:lineRule="auto"/>
              <w:rPr>
                <w:rFonts w:eastAsia="Times New Roman"/>
              </w:rPr>
            </w:pPr>
            <w:r>
              <w:rPr>
                <w:rFonts w:eastAsia="Times New Roman"/>
              </w:rPr>
              <w:t>Average generation over week is column Q</w:t>
            </w:r>
            <w:r w:rsidR="00B524C0">
              <w:rPr>
                <w:rFonts w:eastAsia="Times New Roman"/>
              </w:rPr>
              <w:t xml:space="preserve"> (added column)</w:t>
            </w:r>
          </w:p>
        </w:tc>
        <w:tc>
          <w:tcPr>
            <w:tcW w:w="3775" w:type="dxa"/>
          </w:tcPr>
          <w:p w14:paraId="2431BC8D" w14:textId="77777777" w:rsidR="00CF09D5" w:rsidRDefault="00C73888" w:rsidP="000021A2">
            <w:pPr>
              <w:spacing w:line="360" w:lineRule="auto"/>
              <w:rPr>
                <w:rFonts w:eastAsia="Times New Roman"/>
              </w:rPr>
            </w:pPr>
            <w:r>
              <w:rPr>
                <w:rFonts w:eastAsia="Times New Roman"/>
              </w:rPr>
              <w:lastRenderedPageBreak/>
              <w:t xml:space="preserve">Minimum generation levels appear to be not enforced at </w:t>
            </w:r>
            <w:r>
              <w:rPr>
                <w:rFonts w:eastAsia="Times New Roman"/>
              </w:rPr>
              <w:lastRenderedPageBreak/>
              <w:t xml:space="preserve">all. Many generators never operate above </w:t>
            </w:r>
            <w:proofErr w:type="spellStart"/>
            <w:r>
              <w:rPr>
                <w:rFonts w:eastAsia="Times New Roman"/>
              </w:rPr>
              <w:t>Pmin</w:t>
            </w:r>
            <w:proofErr w:type="spellEnd"/>
            <w:r>
              <w:rPr>
                <w:rFonts w:eastAsia="Times New Roman"/>
              </w:rPr>
              <w:t>, e.g. Gateway Generating Station (row 82).</w:t>
            </w:r>
          </w:p>
          <w:p w14:paraId="23979332" w14:textId="17D46BA3" w:rsidR="00C73888" w:rsidRDefault="00C73888" w:rsidP="000021A2">
            <w:pPr>
              <w:spacing w:line="360" w:lineRule="auto"/>
              <w:rPr>
                <w:rFonts w:eastAsia="Times New Roman"/>
              </w:rPr>
            </w:pPr>
            <w:r>
              <w:rPr>
                <w:rFonts w:eastAsia="Times New Roman"/>
              </w:rPr>
              <w:t xml:space="preserve">For Gateway, unclear why generation should be constant for consecutive hours when prices are changing. </w:t>
            </w:r>
            <w:r w:rsidRPr="00C73888">
              <w:rPr>
                <w:rFonts w:eastAsia="Times New Roman"/>
                <w:b/>
                <w:bCs/>
              </w:rPr>
              <w:t>Need to see Ancillary Service awards to verify.</w:t>
            </w:r>
          </w:p>
        </w:tc>
      </w:tr>
      <w:tr w:rsidR="0011030B" w14:paraId="5832CC67" w14:textId="77777777" w:rsidTr="004E60A0">
        <w:tc>
          <w:tcPr>
            <w:tcW w:w="1376" w:type="dxa"/>
          </w:tcPr>
          <w:p w14:paraId="7FAFAF2C" w14:textId="03FEF254" w:rsidR="0011030B" w:rsidRDefault="0011030B" w:rsidP="000021A2">
            <w:pPr>
              <w:spacing w:line="360" w:lineRule="auto"/>
              <w:rPr>
                <w:rFonts w:eastAsia="Times New Roman"/>
              </w:rPr>
            </w:pPr>
            <w:r>
              <w:rPr>
                <w:rFonts w:eastAsia="Times New Roman"/>
              </w:rPr>
              <w:lastRenderedPageBreak/>
              <w:t>Minimum up and down times not enforced</w:t>
            </w:r>
          </w:p>
        </w:tc>
        <w:tc>
          <w:tcPr>
            <w:tcW w:w="4559" w:type="dxa"/>
          </w:tcPr>
          <w:p w14:paraId="701B5E3B" w14:textId="3FE91CFB" w:rsidR="0011030B" w:rsidRPr="004E60A0" w:rsidRDefault="00F55872" w:rsidP="000021A2">
            <w:pPr>
              <w:spacing w:line="360" w:lineRule="auto"/>
              <w:rPr>
                <w:rFonts w:eastAsia="Times New Roman"/>
                <w:b/>
                <w:bCs/>
              </w:rPr>
            </w:pPr>
            <w:r>
              <w:rPr>
                <w:rFonts w:eastAsia="Times New Roman"/>
                <w:b/>
                <w:bCs/>
              </w:rPr>
              <w:t>Attch_B_</w:t>
            </w:r>
            <w:r w:rsidR="0011030B" w:rsidRPr="004E60A0">
              <w:rPr>
                <w:rFonts w:eastAsia="Times New Roman"/>
                <w:b/>
                <w:bCs/>
              </w:rPr>
              <w:t>NoDER_XKWAU….xlsb</w:t>
            </w:r>
          </w:p>
          <w:p w14:paraId="3AD0B154" w14:textId="77777777" w:rsidR="0011030B" w:rsidRDefault="00B524C0" w:rsidP="000021A2">
            <w:pPr>
              <w:spacing w:line="360" w:lineRule="auto"/>
              <w:rPr>
                <w:rFonts w:eastAsia="Times New Roman"/>
              </w:rPr>
            </w:pPr>
            <w:r>
              <w:rPr>
                <w:rFonts w:eastAsia="Times New Roman"/>
              </w:rPr>
              <w:t>Minimum up time is column J</w:t>
            </w:r>
          </w:p>
          <w:p w14:paraId="11E02EA3" w14:textId="54F6926A" w:rsidR="00B524C0" w:rsidRPr="00417EF9" w:rsidRDefault="00B524C0" w:rsidP="000021A2">
            <w:pPr>
              <w:spacing w:line="360" w:lineRule="auto"/>
              <w:rPr>
                <w:rFonts w:eastAsia="Times New Roman"/>
              </w:rPr>
            </w:pPr>
            <w:r>
              <w:rPr>
                <w:rFonts w:eastAsia="Times New Roman"/>
              </w:rPr>
              <w:t>Minimum down time is column K</w:t>
            </w:r>
          </w:p>
        </w:tc>
        <w:tc>
          <w:tcPr>
            <w:tcW w:w="3775" w:type="dxa"/>
          </w:tcPr>
          <w:p w14:paraId="6069DC3C" w14:textId="19495F1A" w:rsidR="0011030B" w:rsidRDefault="00B524C0" w:rsidP="000021A2">
            <w:pPr>
              <w:spacing w:line="360" w:lineRule="auto"/>
              <w:rPr>
                <w:rFonts w:eastAsia="Times New Roman"/>
              </w:rPr>
            </w:pPr>
            <w:r>
              <w:rPr>
                <w:rFonts w:eastAsia="Times New Roman"/>
              </w:rPr>
              <w:t>See row 88, columns AY:BA and BN</w:t>
            </w:r>
          </w:p>
        </w:tc>
      </w:tr>
      <w:tr w:rsidR="00B524C0" w14:paraId="7B238EC7" w14:textId="77777777" w:rsidTr="004E60A0">
        <w:tc>
          <w:tcPr>
            <w:tcW w:w="1376" w:type="dxa"/>
          </w:tcPr>
          <w:p w14:paraId="23DF09F2" w14:textId="6F00A693" w:rsidR="00B524C0" w:rsidRDefault="00B524C0" w:rsidP="00B524C0">
            <w:pPr>
              <w:spacing w:line="360" w:lineRule="auto"/>
              <w:rPr>
                <w:rFonts w:eastAsia="Times New Roman"/>
              </w:rPr>
            </w:pPr>
            <w:r>
              <w:rPr>
                <w:rFonts w:eastAsia="Times New Roman"/>
              </w:rPr>
              <w:t>Batteries and PSH not charging at negative prices</w:t>
            </w:r>
          </w:p>
        </w:tc>
        <w:tc>
          <w:tcPr>
            <w:tcW w:w="4559" w:type="dxa"/>
          </w:tcPr>
          <w:p w14:paraId="21FB454A" w14:textId="78250977" w:rsidR="00B524C0" w:rsidRPr="004E60A0" w:rsidRDefault="00F55872" w:rsidP="00B524C0">
            <w:pPr>
              <w:spacing w:line="360" w:lineRule="auto"/>
              <w:rPr>
                <w:rFonts w:eastAsia="Times New Roman"/>
                <w:b/>
                <w:bCs/>
              </w:rPr>
            </w:pPr>
            <w:r>
              <w:rPr>
                <w:rFonts w:eastAsia="Times New Roman"/>
                <w:b/>
                <w:bCs/>
              </w:rPr>
              <w:t>Attch_B_</w:t>
            </w:r>
            <w:r w:rsidR="00B524C0" w:rsidRPr="004E60A0">
              <w:rPr>
                <w:rFonts w:eastAsia="Times New Roman"/>
                <w:b/>
                <w:bCs/>
              </w:rPr>
              <w:t>NoDER_XKWAU….xlsb</w:t>
            </w:r>
          </w:p>
          <w:p w14:paraId="3F9DEAF2" w14:textId="303D5737" w:rsidR="00B524C0" w:rsidRDefault="00B524C0" w:rsidP="00B524C0">
            <w:pPr>
              <w:spacing w:line="360" w:lineRule="auto"/>
              <w:rPr>
                <w:rFonts w:eastAsia="Times New Roman"/>
              </w:rPr>
            </w:pPr>
            <w:r>
              <w:rPr>
                <w:rFonts w:eastAsia="Times New Roman"/>
              </w:rPr>
              <w:t xml:space="preserve">Energy price in zone </w:t>
            </w:r>
            <w:proofErr w:type="spellStart"/>
            <w:r>
              <w:rPr>
                <w:rFonts w:eastAsia="Times New Roman"/>
              </w:rPr>
              <w:t>PGE_Bay</w:t>
            </w:r>
            <w:proofErr w:type="spellEnd"/>
            <w:r>
              <w:rPr>
                <w:rFonts w:eastAsia="Times New Roman"/>
              </w:rPr>
              <w:t xml:space="preserve"> is row 3 (added row)</w:t>
            </w:r>
          </w:p>
          <w:p w14:paraId="50704F38" w14:textId="77777777" w:rsidR="00B524C0" w:rsidRDefault="00B524C0" w:rsidP="00B524C0">
            <w:pPr>
              <w:spacing w:line="360" w:lineRule="auto"/>
              <w:rPr>
                <w:rFonts w:eastAsia="Times New Roman"/>
              </w:rPr>
            </w:pPr>
            <w:r>
              <w:rPr>
                <w:rFonts w:eastAsia="Times New Roman"/>
              </w:rPr>
              <w:t>First hour</w:t>
            </w:r>
            <w:r w:rsidR="00F9188F">
              <w:rPr>
                <w:rFonts w:eastAsia="Times New Roman"/>
              </w:rPr>
              <w:t>s</w:t>
            </w:r>
            <w:r>
              <w:rPr>
                <w:rFonts w:eastAsia="Times New Roman"/>
              </w:rPr>
              <w:t xml:space="preserve"> with energy price</w:t>
            </w:r>
            <w:r w:rsidR="00F9188F">
              <w:rPr>
                <w:rFonts w:eastAsia="Times New Roman"/>
              </w:rPr>
              <w:t>s</w:t>
            </w:r>
            <w:r>
              <w:rPr>
                <w:rFonts w:eastAsia="Times New Roman"/>
              </w:rPr>
              <w:t xml:space="preserve"> below -$100/MWh </w:t>
            </w:r>
            <w:r w:rsidR="00F9188F">
              <w:rPr>
                <w:rFonts w:eastAsia="Times New Roman"/>
              </w:rPr>
              <w:t>are</w:t>
            </w:r>
            <w:r>
              <w:rPr>
                <w:rFonts w:eastAsia="Times New Roman"/>
              </w:rPr>
              <w:t xml:space="preserve"> column</w:t>
            </w:r>
            <w:r w:rsidR="00F9188F">
              <w:rPr>
                <w:rFonts w:eastAsia="Times New Roman"/>
              </w:rPr>
              <w:t>s CB:CD</w:t>
            </w:r>
          </w:p>
          <w:p w14:paraId="10351255" w14:textId="77777777" w:rsidR="00F9188F" w:rsidRDefault="00F9188F" w:rsidP="00B524C0">
            <w:pPr>
              <w:spacing w:line="360" w:lineRule="auto"/>
              <w:rPr>
                <w:rFonts w:eastAsia="Times New Roman"/>
              </w:rPr>
            </w:pPr>
            <w:r>
              <w:rPr>
                <w:rFonts w:eastAsia="Times New Roman"/>
              </w:rPr>
              <w:t>PSH operation is row 16</w:t>
            </w:r>
          </w:p>
          <w:p w14:paraId="78DFA1E3" w14:textId="77777777" w:rsidR="00F9188F" w:rsidRDefault="00F9188F" w:rsidP="00B524C0">
            <w:pPr>
              <w:spacing w:line="360" w:lineRule="auto"/>
              <w:rPr>
                <w:rFonts w:eastAsia="Times New Roman"/>
              </w:rPr>
            </w:pPr>
            <w:r>
              <w:rPr>
                <w:rFonts w:eastAsia="Times New Roman"/>
              </w:rPr>
              <w:t>Batteries operation are rows 114:143</w:t>
            </w:r>
          </w:p>
          <w:p w14:paraId="3E8D5AF6" w14:textId="601A8D50" w:rsidR="00F9188F" w:rsidRPr="00417EF9" w:rsidRDefault="00F9188F" w:rsidP="00B524C0">
            <w:pPr>
              <w:spacing w:line="360" w:lineRule="auto"/>
              <w:rPr>
                <w:rFonts w:eastAsia="Times New Roman"/>
              </w:rPr>
            </w:pPr>
            <w:r>
              <w:rPr>
                <w:rFonts w:eastAsia="Times New Roman"/>
              </w:rPr>
              <w:t>Note: Large batteries through row 123 appear to be grid-scale 4-hr batteries. Smaller batteries rows 124:143 may be distribution-connected or BTM; some are 2-hr and some are 4-hr duration</w:t>
            </w:r>
          </w:p>
        </w:tc>
        <w:tc>
          <w:tcPr>
            <w:tcW w:w="3775" w:type="dxa"/>
          </w:tcPr>
          <w:p w14:paraId="33764425" w14:textId="77777777" w:rsidR="00B524C0" w:rsidRDefault="00F9188F" w:rsidP="00B524C0">
            <w:pPr>
              <w:spacing w:line="360" w:lineRule="auto"/>
              <w:rPr>
                <w:rFonts w:eastAsia="Times New Roman"/>
              </w:rPr>
            </w:pPr>
            <w:r>
              <w:rPr>
                <w:rFonts w:eastAsia="Times New Roman"/>
              </w:rPr>
              <w:t>PSH pumps at low level in first two negative price hours, not at all in third hour.  But it pumps more in hours before the negative price hours, which is uneconomic</w:t>
            </w:r>
          </w:p>
          <w:p w14:paraId="2D6F5AB2" w14:textId="77777777" w:rsidR="00F9188F" w:rsidRDefault="00F9188F" w:rsidP="00B524C0">
            <w:pPr>
              <w:spacing w:line="360" w:lineRule="auto"/>
              <w:rPr>
                <w:rFonts w:eastAsia="Times New Roman"/>
              </w:rPr>
            </w:pPr>
            <w:r>
              <w:rPr>
                <w:rFonts w:eastAsia="Times New Roman"/>
              </w:rPr>
              <w:t xml:space="preserve">Some batteries do not charge at all during entire </w:t>
            </w:r>
            <w:proofErr w:type="gramStart"/>
            <w:r>
              <w:rPr>
                <w:rFonts w:eastAsia="Times New Roman"/>
              </w:rPr>
              <w:t>low price</w:t>
            </w:r>
            <w:proofErr w:type="gramEnd"/>
            <w:r>
              <w:rPr>
                <w:rFonts w:eastAsia="Times New Roman"/>
              </w:rPr>
              <w:t xml:space="preserve"> period; others charge slightly during first two hours (but again, more in earlier hours that have higher prices).</w:t>
            </w:r>
          </w:p>
          <w:p w14:paraId="4FE7653C" w14:textId="6EA3ED6B" w:rsidR="00F9188F" w:rsidRDefault="00154B63" w:rsidP="00B524C0">
            <w:pPr>
              <w:spacing w:line="360" w:lineRule="auto"/>
              <w:rPr>
                <w:rFonts w:eastAsia="Times New Roman"/>
              </w:rPr>
            </w:pPr>
            <w:r>
              <w:rPr>
                <w:rFonts w:eastAsia="Times New Roman"/>
              </w:rPr>
              <w:t>Most batteries hardly ever operate in HE17, no matter what the price.</w:t>
            </w:r>
          </w:p>
        </w:tc>
      </w:tr>
      <w:tr w:rsidR="00B524C0" w14:paraId="628A1378" w14:textId="77777777" w:rsidTr="004E60A0">
        <w:tc>
          <w:tcPr>
            <w:tcW w:w="1376" w:type="dxa"/>
          </w:tcPr>
          <w:p w14:paraId="41B56D08" w14:textId="5D443785" w:rsidR="00B524C0" w:rsidRDefault="00944458" w:rsidP="00B524C0">
            <w:pPr>
              <w:spacing w:line="360" w:lineRule="auto"/>
              <w:rPr>
                <w:rFonts w:eastAsia="Times New Roman"/>
              </w:rPr>
            </w:pPr>
            <w:r>
              <w:rPr>
                <w:rFonts w:eastAsia="Times New Roman"/>
              </w:rPr>
              <w:lastRenderedPageBreak/>
              <w:t>Inconsistent Reg Down accounting</w:t>
            </w:r>
          </w:p>
        </w:tc>
        <w:tc>
          <w:tcPr>
            <w:tcW w:w="4559" w:type="dxa"/>
          </w:tcPr>
          <w:p w14:paraId="1D0562A1" w14:textId="2D322793" w:rsidR="00944458" w:rsidRPr="004E60A0" w:rsidRDefault="00F55872" w:rsidP="00944458">
            <w:pPr>
              <w:spacing w:line="360" w:lineRule="auto"/>
              <w:rPr>
                <w:rFonts w:eastAsia="Times New Roman"/>
                <w:b/>
                <w:bCs/>
              </w:rPr>
            </w:pPr>
            <w:r>
              <w:rPr>
                <w:rFonts w:eastAsia="Times New Roman"/>
                <w:b/>
                <w:bCs/>
              </w:rPr>
              <w:t>Attch_B_</w:t>
            </w:r>
            <w:r w:rsidR="00944458" w:rsidRPr="004E60A0">
              <w:rPr>
                <w:rFonts w:eastAsia="Times New Roman"/>
                <w:b/>
                <w:bCs/>
              </w:rPr>
              <w:t>NoDER_XKWAU….xlsb</w:t>
            </w:r>
          </w:p>
          <w:p w14:paraId="72A57A66" w14:textId="3F71C752" w:rsidR="00944458" w:rsidRDefault="00944458" w:rsidP="00944458">
            <w:pPr>
              <w:spacing w:line="360" w:lineRule="auto"/>
              <w:rPr>
                <w:rFonts w:eastAsia="Times New Roman"/>
              </w:rPr>
            </w:pPr>
            <w:r>
              <w:rPr>
                <w:rFonts w:eastAsia="Times New Roman"/>
              </w:rPr>
              <w:t xml:space="preserve">Regulation down requirement (for </w:t>
            </w:r>
            <w:proofErr w:type="spellStart"/>
            <w:r>
              <w:rPr>
                <w:rFonts w:eastAsia="Times New Roman"/>
              </w:rPr>
              <w:t>PGE_Bay</w:t>
            </w:r>
            <w:proofErr w:type="spellEnd"/>
            <w:r>
              <w:rPr>
                <w:rFonts w:eastAsia="Times New Roman"/>
              </w:rPr>
              <w:t xml:space="preserve"> zone) is row 39</w:t>
            </w:r>
          </w:p>
          <w:p w14:paraId="0AF86FFB" w14:textId="05F04827" w:rsidR="00944458" w:rsidRDefault="00944458" w:rsidP="00944458">
            <w:pPr>
              <w:spacing w:line="360" w:lineRule="auto"/>
              <w:rPr>
                <w:rFonts w:eastAsia="Times New Roman"/>
              </w:rPr>
            </w:pPr>
            <w:r>
              <w:rPr>
                <w:rFonts w:eastAsia="Times New Roman"/>
              </w:rPr>
              <w:t>Reg Down Supplied is Row 35</w:t>
            </w:r>
          </w:p>
          <w:p w14:paraId="6E0CC1F4" w14:textId="1C4598E0" w:rsidR="00944458" w:rsidRDefault="00944458" w:rsidP="00944458">
            <w:pPr>
              <w:spacing w:line="360" w:lineRule="auto"/>
              <w:rPr>
                <w:rFonts w:eastAsia="Times New Roman"/>
              </w:rPr>
            </w:pPr>
            <w:r>
              <w:rPr>
                <w:rFonts w:eastAsia="Times New Roman"/>
              </w:rPr>
              <w:t>Reg Down Shortage is Row 31</w:t>
            </w:r>
          </w:p>
          <w:p w14:paraId="6824963C" w14:textId="77777777" w:rsidR="00B524C0" w:rsidRPr="00417EF9" w:rsidRDefault="00B524C0" w:rsidP="00B524C0">
            <w:pPr>
              <w:spacing w:line="360" w:lineRule="auto"/>
              <w:rPr>
                <w:rFonts w:eastAsia="Times New Roman"/>
              </w:rPr>
            </w:pPr>
          </w:p>
        </w:tc>
        <w:tc>
          <w:tcPr>
            <w:tcW w:w="3775" w:type="dxa"/>
          </w:tcPr>
          <w:p w14:paraId="5EA45CD4" w14:textId="6DC8A1D7" w:rsidR="00944458" w:rsidRDefault="00944458" w:rsidP="00B524C0">
            <w:pPr>
              <w:spacing w:line="360" w:lineRule="auto"/>
              <w:rPr>
                <w:rFonts w:eastAsia="Times New Roman"/>
              </w:rPr>
            </w:pPr>
            <w:r>
              <w:rPr>
                <w:rFonts w:eastAsia="Times New Roman"/>
              </w:rPr>
              <w:t xml:space="preserve">In first hour (column R) and many others, there is supposedly a Reg Down shortage but Reg Down Supplied is much greater than Reg Down Requirement. </w:t>
            </w:r>
          </w:p>
        </w:tc>
      </w:tr>
      <w:tr w:rsidR="00B524C0" w14:paraId="688607EC" w14:textId="77777777" w:rsidTr="004E60A0">
        <w:tc>
          <w:tcPr>
            <w:tcW w:w="1376" w:type="dxa"/>
          </w:tcPr>
          <w:p w14:paraId="6619D65B" w14:textId="1BE24B8C" w:rsidR="00B524C0" w:rsidRDefault="00944458" w:rsidP="00B524C0">
            <w:pPr>
              <w:spacing w:line="360" w:lineRule="auto"/>
              <w:rPr>
                <w:rFonts w:eastAsia="Times New Roman"/>
              </w:rPr>
            </w:pPr>
            <w:r>
              <w:rPr>
                <w:rFonts w:eastAsia="Times New Roman"/>
              </w:rPr>
              <w:t xml:space="preserve">Biogas generators rarely operate at </w:t>
            </w:r>
            <w:proofErr w:type="spellStart"/>
            <w:r>
              <w:rPr>
                <w:rFonts w:eastAsia="Times New Roman"/>
              </w:rPr>
              <w:t>Pmax</w:t>
            </w:r>
            <w:proofErr w:type="spellEnd"/>
          </w:p>
        </w:tc>
        <w:tc>
          <w:tcPr>
            <w:tcW w:w="4559" w:type="dxa"/>
          </w:tcPr>
          <w:p w14:paraId="4664CAC1" w14:textId="4D005858" w:rsidR="00A12CAC" w:rsidRPr="004E60A0" w:rsidRDefault="00F55872" w:rsidP="00A12CAC">
            <w:pPr>
              <w:spacing w:line="360" w:lineRule="auto"/>
              <w:rPr>
                <w:rFonts w:eastAsia="Times New Roman"/>
                <w:b/>
                <w:bCs/>
              </w:rPr>
            </w:pPr>
            <w:r>
              <w:rPr>
                <w:rFonts w:eastAsia="Times New Roman"/>
                <w:b/>
                <w:bCs/>
              </w:rPr>
              <w:t>Attch_B_</w:t>
            </w:r>
            <w:r w:rsidR="00A12CAC" w:rsidRPr="004E60A0">
              <w:rPr>
                <w:rFonts w:eastAsia="Times New Roman"/>
                <w:b/>
                <w:bCs/>
              </w:rPr>
              <w:t>NoDER_XKWAU….xlsb</w:t>
            </w:r>
          </w:p>
          <w:p w14:paraId="23C319CB" w14:textId="0451CD01" w:rsidR="00A12CAC" w:rsidRDefault="00A12CAC" w:rsidP="00A12CAC">
            <w:pPr>
              <w:spacing w:line="360" w:lineRule="auto"/>
              <w:rPr>
                <w:rFonts w:eastAsia="Times New Roman"/>
              </w:rPr>
            </w:pPr>
            <w:proofErr w:type="spellStart"/>
            <w:r>
              <w:rPr>
                <w:rFonts w:eastAsia="Times New Roman"/>
              </w:rPr>
              <w:t>Pmax</w:t>
            </w:r>
            <w:proofErr w:type="spellEnd"/>
            <w:r>
              <w:rPr>
                <w:rFonts w:eastAsia="Times New Roman"/>
              </w:rPr>
              <w:t xml:space="preserve"> is column E</w:t>
            </w:r>
          </w:p>
          <w:p w14:paraId="513258FC" w14:textId="3B9881E0" w:rsidR="00A12CAC" w:rsidRDefault="00A12CAC" w:rsidP="00A12CAC">
            <w:pPr>
              <w:spacing w:line="360" w:lineRule="auto"/>
              <w:rPr>
                <w:rFonts w:eastAsia="Times New Roman"/>
              </w:rPr>
            </w:pPr>
            <w:r>
              <w:rPr>
                <w:rFonts w:eastAsia="Times New Roman"/>
              </w:rPr>
              <w:t>Dispatch price at Max is column G</w:t>
            </w:r>
          </w:p>
          <w:p w14:paraId="64BB4DFB" w14:textId="2607D833" w:rsidR="00A12CAC" w:rsidRDefault="00A12CAC" w:rsidP="00A12CAC">
            <w:pPr>
              <w:spacing w:line="360" w:lineRule="auto"/>
              <w:rPr>
                <w:rFonts w:eastAsia="Times New Roman"/>
              </w:rPr>
            </w:pPr>
            <w:r>
              <w:rPr>
                <w:rFonts w:eastAsia="Times New Roman"/>
              </w:rPr>
              <w:t>Max Incremental Dispatch Cost is column M</w:t>
            </w:r>
          </w:p>
          <w:p w14:paraId="08415341" w14:textId="77777777" w:rsidR="00B524C0" w:rsidRPr="00417EF9" w:rsidRDefault="00B524C0" w:rsidP="00B524C0">
            <w:pPr>
              <w:spacing w:line="360" w:lineRule="auto"/>
              <w:rPr>
                <w:rFonts w:eastAsia="Times New Roman"/>
              </w:rPr>
            </w:pPr>
          </w:p>
        </w:tc>
        <w:tc>
          <w:tcPr>
            <w:tcW w:w="3775" w:type="dxa"/>
          </w:tcPr>
          <w:p w14:paraId="6ABCFB53" w14:textId="253C0A12" w:rsidR="00B524C0" w:rsidRDefault="00A12CAC" w:rsidP="00B524C0">
            <w:pPr>
              <w:spacing w:line="360" w:lineRule="auto"/>
              <w:rPr>
                <w:rFonts w:eastAsia="Times New Roman"/>
              </w:rPr>
            </w:pPr>
            <w:r>
              <w:rPr>
                <w:rFonts w:eastAsia="Times New Roman"/>
              </w:rPr>
              <w:t xml:space="preserve">Biogas, biomass and some other generators rarely operate at </w:t>
            </w:r>
            <w:proofErr w:type="spellStart"/>
            <w:r>
              <w:rPr>
                <w:rFonts w:eastAsia="Times New Roman"/>
              </w:rPr>
              <w:t>Pmax</w:t>
            </w:r>
            <w:proofErr w:type="spellEnd"/>
            <w:r>
              <w:rPr>
                <w:rFonts w:eastAsia="Times New Roman"/>
              </w:rPr>
              <w:t xml:space="preserve"> even when prices are much higher than maximum dispatch costs. </w:t>
            </w:r>
          </w:p>
          <w:p w14:paraId="4D239132" w14:textId="437997A3" w:rsidR="00A12CAC" w:rsidRDefault="00A12CAC" w:rsidP="00B524C0">
            <w:pPr>
              <w:spacing w:line="360" w:lineRule="auto"/>
              <w:rPr>
                <w:rFonts w:eastAsia="Times New Roman"/>
              </w:rPr>
            </w:pPr>
            <w:r>
              <w:rPr>
                <w:rFonts w:eastAsia="Times New Roman"/>
              </w:rPr>
              <w:t>Also, dispatch does not follow pattern of energy prices. Example row 63.</w:t>
            </w:r>
          </w:p>
        </w:tc>
      </w:tr>
      <w:tr w:rsidR="00944458" w14:paraId="512EB8CB" w14:textId="77777777" w:rsidTr="004E60A0">
        <w:tc>
          <w:tcPr>
            <w:tcW w:w="1376" w:type="dxa"/>
          </w:tcPr>
          <w:p w14:paraId="6AE922D6" w14:textId="39C28CD7" w:rsidR="00944458" w:rsidRDefault="00B65CE3" w:rsidP="00B524C0">
            <w:pPr>
              <w:spacing w:line="360" w:lineRule="auto"/>
              <w:rPr>
                <w:rFonts w:eastAsia="Times New Roman"/>
              </w:rPr>
            </w:pPr>
            <w:r>
              <w:rPr>
                <w:rFonts w:eastAsia="Times New Roman"/>
              </w:rPr>
              <w:t>Battery duration less than 4 hours</w:t>
            </w:r>
          </w:p>
        </w:tc>
        <w:tc>
          <w:tcPr>
            <w:tcW w:w="4559" w:type="dxa"/>
          </w:tcPr>
          <w:p w14:paraId="39596D65" w14:textId="1639425E" w:rsidR="00944458" w:rsidRPr="004E60A0" w:rsidRDefault="00F55872" w:rsidP="00B524C0">
            <w:pPr>
              <w:spacing w:line="360" w:lineRule="auto"/>
              <w:rPr>
                <w:rFonts w:eastAsia="Times New Roman"/>
                <w:b/>
                <w:bCs/>
              </w:rPr>
            </w:pPr>
            <w:r>
              <w:rPr>
                <w:rFonts w:eastAsia="Times New Roman"/>
                <w:b/>
                <w:bCs/>
              </w:rPr>
              <w:t>Attch_C_</w:t>
            </w:r>
            <w:r w:rsidR="00B65CE3" w:rsidRPr="004E60A0">
              <w:rPr>
                <w:rFonts w:eastAsia="Times New Roman"/>
                <w:b/>
                <w:bCs/>
              </w:rPr>
              <w:t>StorageDispatch2020.xlsb</w:t>
            </w:r>
          </w:p>
          <w:p w14:paraId="04F17EED" w14:textId="70095D1D" w:rsidR="00B65CE3" w:rsidRDefault="00B65CE3" w:rsidP="00B524C0">
            <w:pPr>
              <w:spacing w:line="360" w:lineRule="auto"/>
              <w:rPr>
                <w:rFonts w:eastAsia="Times New Roman"/>
              </w:rPr>
            </w:pPr>
            <w:r>
              <w:rPr>
                <w:rFonts w:eastAsia="Times New Roman"/>
              </w:rPr>
              <w:t>Total, A/S-related, and energy-related charging kW are in columns Q-S</w:t>
            </w:r>
          </w:p>
          <w:p w14:paraId="2A8B2E0B" w14:textId="77777777" w:rsidR="00B65CE3" w:rsidRDefault="00B65CE3" w:rsidP="00B524C0">
            <w:pPr>
              <w:spacing w:line="360" w:lineRule="auto"/>
              <w:rPr>
                <w:rFonts w:eastAsia="Times New Roman"/>
              </w:rPr>
            </w:pPr>
            <w:r>
              <w:rPr>
                <w:rFonts w:eastAsia="Times New Roman"/>
              </w:rPr>
              <w:t>Discharging kW are in columns U-W</w:t>
            </w:r>
          </w:p>
          <w:p w14:paraId="0CEA69C6" w14:textId="7A995079" w:rsidR="00B65CE3" w:rsidRPr="00417EF9" w:rsidRDefault="00B65CE3" w:rsidP="00B524C0">
            <w:pPr>
              <w:spacing w:line="360" w:lineRule="auto"/>
              <w:rPr>
                <w:rFonts w:eastAsia="Times New Roman"/>
              </w:rPr>
            </w:pPr>
            <w:r>
              <w:rPr>
                <w:rFonts w:eastAsia="Times New Roman"/>
              </w:rPr>
              <w:t>Beginning of hour state of charge is column AS</w:t>
            </w:r>
          </w:p>
        </w:tc>
        <w:tc>
          <w:tcPr>
            <w:tcW w:w="3775" w:type="dxa"/>
          </w:tcPr>
          <w:p w14:paraId="2675A2E9" w14:textId="77777777" w:rsidR="00944458" w:rsidRDefault="00B65CE3" w:rsidP="00B524C0">
            <w:pPr>
              <w:spacing w:line="360" w:lineRule="auto"/>
              <w:rPr>
                <w:rFonts w:eastAsia="Times New Roman"/>
              </w:rPr>
            </w:pPr>
            <w:r>
              <w:rPr>
                <w:rFonts w:eastAsia="Times New Roman"/>
              </w:rPr>
              <w:t xml:space="preserve">Rows 5011:5014: Battery starts full (4000 kWh), discharges total </w:t>
            </w:r>
            <w:proofErr w:type="gramStart"/>
            <w:r>
              <w:rPr>
                <w:rFonts w:eastAsia="Times New Roman"/>
              </w:rPr>
              <w:t>of  3679</w:t>
            </w:r>
            <w:proofErr w:type="gramEnd"/>
            <w:r>
              <w:rPr>
                <w:rFonts w:eastAsia="Times New Roman"/>
              </w:rPr>
              <w:t xml:space="preserve"> kWh and ends empty (3.679 hrs duration). Ratio of change in SOC to discharge is the same in all hours, not an outlier.</w:t>
            </w:r>
          </w:p>
          <w:p w14:paraId="7B460C81" w14:textId="77777777" w:rsidR="00B65CE3" w:rsidRDefault="00B65CE3" w:rsidP="00B524C0">
            <w:pPr>
              <w:spacing w:line="360" w:lineRule="auto"/>
              <w:rPr>
                <w:rFonts w:eastAsia="Times New Roman"/>
              </w:rPr>
            </w:pPr>
            <w:r>
              <w:rPr>
                <w:rFonts w:eastAsia="Times New Roman"/>
              </w:rPr>
              <w:t xml:space="preserve">Rows 927:929: </w:t>
            </w:r>
            <w:r w:rsidR="009E752E">
              <w:rPr>
                <w:rFonts w:eastAsia="Times New Roman"/>
              </w:rPr>
              <w:t xml:space="preserve">Battery starts at SOC of 1000 kWh, charges 3000 kWh and ends at SOC of 3760 kWh. Ratio change in SOC/total charge = 0.92, so takes 4/0.92 = 4.35 hours to charge from zero to full. </w:t>
            </w:r>
          </w:p>
          <w:p w14:paraId="17E8987D" w14:textId="2BA81950" w:rsidR="009E752E" w:rsidRDefault="009E752E" w:rsidP="00B524C0">
            <w:pPr>
              <w:spacing w:line="360" w:lineRule="auto"/>
              <w:rPr>
                <w:rFonts w:eastAsia="Times New Roman"/>
              </w:rPr>
            </w:pPr>
            <w:r>
              <w:rPr>
                <w:rFonts w:eastAsia="Times New Roman"/>
              </w:rPr>
              <w:t>Check: 3.679/4.35 = 84.5% (documented efficiency 85%)</w:t>
            </w:r>
          </w:p>
        </w:tc>
      </w:tr>
      <w:tr w:rsidR="00944458" w14:paraId="4BB86BAB" w14:textId="77777777" w:rsidTr="004E60A0">
        <w:tc>
          <w:tcPr>
            <w:tcW w:w="1376" w:type="dxa"/>
          </w:tcPr>
          <w:p w14:paraId="7298F449" w14:textId="175DC1BE" w:rsidR="00944458" w:rsidRDefault="007F4721" w:rsidP="00B524C0">
            <w:pPr>
              <w:spacing w:line="360" w:lineRule="auto"/>
              <w:rPr>
                <w:rFonts w:eastAsia="Times New Roman"/>
              </w:rPr>
            </w:pPr>
            <w:r>
              <w:rPr>
                <w:rFonts w:eastAsia="Times New Roman"/>
              </w:rPr>
              <w:lastRenderedPageBreak/>
              <w:t xml:space="preserve">Figure 1: </w:t>
            </w:r>
            <w:r w:rsidR="00674408">
              <w:rPr>
                <w:rFonts w:eastAsia="Times New Roman"/>
              </w:rPr>
              <w:t>Forecasted heat rates do not follow historical or other forecast trajectories</w:t>
            </w:r>
          </w:p>
        </w:tc>
        <w:tc>
          <w:tcPr>
            <w:tcW w:w="4559" w:type="dxa"/>
          </w:tcPr>
          <w:p w14:paraId="361596C4" w14:textId="2DDD7879" w:rsidR="004E60A0" w:rsidRDefault="00F55872" w:rsidP="00B524C0">
            <w:pPr>
              <w:spacing w:line="360" w:lineRule="auto"/>
              <w:rPr>
                <w:rFonts w:eastAsia="Times New Roman"/>
                <w:b/>
                <w:bCs/>
              </w:rPr>
            </w:pPr>
            <w:proofErr w:type="spellStart"/>
            <w:r>
              <w:rPr>
                <w:rFonts w:eastAsia="Times New Roman"/>
                <w:b/>
                <w:bCs/>
              </w:rPr>
              <w:t>Attch_D_</w:t>
            </w:r>
            <w:r w:rsidR="00F53760" w:rsidRPr="004E60A0">
              <w:rPr>
                <w:rFonts w:eastAsia="Times New Roman"/>
                <w:b/>
                <w:bCs/>
              </w:rPr>
              <w:t>Historical_forecasted_EMHR</w:t>
            </w:r>
            <w:proofErr w:type="spellEnd"/>
            <w:r w:rsidR="00F53760" w:rsidRPr="004E60A0">
              <w:rPr>
                <w:rFonts w:eastAsia="Times New Roman"/>
                <w:b/>
                <w:bCs/>
              </w:rPr>
              <w:t>_</w:t>
            </w:r>
          </w:p>
          <w:p w14:paraId="07C7E297" w14:textId="7EEF1C17" w:rsidR="00944458" w:rsidRPr="004E60A0" w:rsidRDefault="00F53760" w:rsidP="00B524C0">
            <w:pPr>
              <w:spacing w:line="360" w:lineRule="auto"/>
              <w:rPr>
                <w:rFonts w:eastAsia="Times New Roman"/>
                <w:b/>
                <w:bCs/>
              </w:rPr>
            </w:pPr>
            <w:r w:rsidRPr="004E60A0">
              <w:rPr>
                <w:rFonts w:eastAsia="Times New Roman"/>
                <w:b/>
                <w:bCs/>
              </w:rPr>
              <w:t>SERVM_etc.xlsb</w:t>
            </w:r>
          </w:p>
          <w:p w14:paraId="22EC6C09" w14:textId="60717CBD" w:rsidR="00F53760" w:rsidRDefault="00F53760" w:rsidP="004E60A0">
            <w:pPr>
              <w:widowControl w:val="0"/>
              <w:spacing w:line="360" w:lineRule="auto"/>
              <w:rPr>
                <w:rFonts w:eastAsia="Times New Roman"/>
              </w:rPr>
            </w:pPr>
            <w:r>
              <w:rPr>
                <w:rFonts w:eastAsia="Times New Roman"/>
              </w:rPr>
              <w:t>Historical NP-15 Energy, gas and GHG prices and heat rates (2012-2019, from PG&amp;E’s 2020 GRC Phase II Workpapers) are on Historical tab.</w:t>
            </w:r>
          </w:p>
          <w:p w14:paraId="7CCB50EC" w14:textId="5C26CBD1" w:rsidR="00F53760" w:rsidRDefault="00F53760" w:rsidP="00B524C0">
            <w:pPr>
              <w:spacing w:line="360" w:lineRule="auto"/>
              <w:rPr>
                <w:rFonts w:eastAsia="Times New Roman"/>
              </w:rPr>
            </w:pPr>
            <w:r>
              <w:rPr>
                <w:rFonts w:eastAsia="Times New Roman"/>
              </w:rPr>
              <w:t xml:space="preserve">Month-hour averages of historical heat rates and forecasted heat rates from PG&amp;E’s 2020 GRC Phase II Workpapers are in columns </w:t>
            </w:r>
            <w:proofErr w:type="gramStart"/>
            <w:r>
              <w:rPr>
                <w:rFonts w:eastAsia="Times New Roman"/>
              </w:rPr>
              <w:t>C:Z</w:t>
            </w:r>
            <w:proofErr w:type="gramEnd"/>
            <w:r>
              <w:rPr>
                <w:rFonts w:eastAsia="Times New Roman"/>
              </w:rPr>
              <w:t xml:space="preserve"> of tab “Hist. and Forecast”.</w:t>
            </w:r>
          </w:p>
          <w:p w14:paraId="5765FA80" w14:textId="567743B2" w:rsidR="00F53760" w:rsidRDefault="00F53760" w:rsidP="00B524C0">
            <w:pPr>
              <w:spacing w:line="360" w:lineRule="auto"/>
              <w:rPr>
                <w:rFonts w:eastAsia="Times New Roman"/>
              </w:rPr>
            </w:pPr>
            <w:r>
              <w:rPr>
                <w:rFonts w:eastAsia="Times New Roman"/>
              </w:rPr>
              <w:t xml:space="preserve">Annual averages, and average heat rate forecasts of raw and scarcity-adjusted SERVM prices are in columns </w:t>
            </w:r>
            <w:proofErr w:type="gramStart"/>
            <w:r>
              <w:rPr>
                <w:rFonts w:eastAsia="Times New Roman"/>
              </w:rPr>
              <w:t>AD:AV</w:t>
            </w:r>
            <w:proofErr w:type="gramEnd"/>
            <w:r>
              <w:rPr>
                <w:rFonts w:eastAsia="Times New Roman"/>
              </w:rPr>
              <w:t>, rows 3:</w:t>
            </w:r>
            <w:r w:rsidR="008C2BD6">
              <w:rPr>
                <w:rFonts w:eastAsia="Times New Roman"/>
              </w:rPr>
              <w:t>6</w:t>
            </w:r>
            <w:r>
              <w:rPr>
                <w:rFonts w:eastAsia="Times New Roman"/>
              </w:rPr>
              <w:t>.</w:t>
            </w:r>
          </w:p>
          <w:p w14:paraId="1BBCBB22" w14:textId="77777777" w:rsidR="00F53760" w:rsidRDefault="008C2BD6" w:rsidP="00B524C0">
            <w:pPr>
              <w:spacing w:line="360" w:lineRule="auto"/>
              <w:rPr>
                <w:rFonts w:eastAsia="Times New Roman"/>
              </w:rPr>
            </w:pPr>
            <w:r>
              <w:rPr>
                <w:rFonts w:eastAsia="Times New Roman"/>
              </w:rPr>
              <w:t xml:space="preserve">Calculated annual averages of </w:t>
            </w:r>
            <w:r>
              <w:rPr>
                <w:rFonts w:eastAsia="Times New Roman"/>
                <w:i/>
                <w:iCs/>
              </w:rPr>
              <w:t>average</w:t>
            </w:r>
            <w:r>
              <w:rPr>
                <w:rFonts w:eastAsia="Times New Roman"/>
              </w:rPr>
              <w:t xml:space="preserve"> (not marginal) heat rates from RSP and No New DER IRP RESOLVE runs are rows 10:11; multiplied by 2.5 to get comparable shapes in rows 7:8.</w:t>
            </w:r>
          </w:p>
          <w:p w14:paraId="76BF26FC" w14:textId="77777777" w:rsidR="008C2BD6" w:rsidRDefault="008C2BD6" w:rsidP="00B524C0">
            <w:pPr>
              <w:spacing w:line="360" w:lineRule="auto"/>
              <w:rPr>
                <w:rFonts w:eastAsia="Times New Roman"/>
              </w:rPr>
            </w:pPr>
            <w:r>
              <w:rPr>
                <w:rFonts w:eastAsia="Times New Roman"/>
              </w:rPr>
              <w:t>Annual imports from RSP and No New DER are rows 13:19.</w:t>
            </w:r>
          </w:p>
          <w:p w14:paraId="5340C35D" w14:textId="77777777" w:rsidR="009C7D21" w:rsidRDefault="009C7D21" w:rsidP="00B524C0">
            <w:pPr>
              <w:spacing w:line="360" w:lineRule="auto"/>
              <w:rPr>
                <w:rFonts w:eastAsia="Times New Roman"/>
              </w:rPr>
            </w:pPr>
            <w:r>
              <w:rPr>
                <w:rFonts w:eastAsia="Times New Roman"/>
              </w:rPr>
              <w:t>Figure 1 is on Hist. and Forecast tab.</w:t>
            </w:r>
          </w:p>
          <w:p w14:paraId="6358308E" w14:textId="57928F36" w:rsidR="00F55872" w:rsidRDefault="009C7D21" w:rsidP="00B524C0">
            <w:pPr>
              <w:spacing w:line="360" w:lineRule="auto"/>
              <w:rPr>
                <w:rFonts w:eastAsia="Times New Roman"/>
              </w:rPr>
            </w:pPr>
            <w:r>
              <w:rPr>
                <w:rFonts w:eastAsia="Times New Roman"/>
              </w:rPr>
              <w:t xml:space="preserve">Heat rate calculations for IRP are on row 1110 of tab “Portfolio Analytics” in files </w:t>
            </w:r>
            <w:proofErr w:type="spellStart"/>
            <w:r w:rsidR="00F55872" w:rsidRPr="00F55872">
              <w:rPr>
                <w:rFonts w:eastAsia="Times New Roman"/>
                <w:b/>
                <w:bCs/>
              </w:rPr>
              <w:t>Attch_E</w:t>
            </w:r>
            <w:proofErr w:type="spellEnd"/>
            <w:r w:rsidR="00F55872" w:rsidRPr="00F55872">
              <w:rPr>
                <w:rFonts w:eastAsia="Times New Roman"/>
                <w:b/>
                <w:bCs/>
              </w:rPr>
              <w:t>_</w:t>
            </w:r>
            <w:r w:rsidR="00F55872">
              <w:rPr>
                <w:rFonts w:eastAsia="Times New Roman"/>
              </w:rPr>
              <w:t xml:space="preserve"> and </w:t>
            </w:r>
            <w:proofErr w:type="spellStart"/>
            <w:r w:rsidR="00F55872" w:rsidRPr="00F55872">
              <w:rPr>
                <w:rFonts w:eastAsia="Times New Roman"/>
                <w:b/>
                <w:bCs/>
              </w:rPr>
              <w:t>Attch_F</w:t>
            </w:r>
            <w:proofErr w:type="spellEnd"/>
            <w:r w:rsidR="00F55872" w:rsidRPr="00F55872">
              <w:rPr>
                <w:rFonts w:eastAsia="Times New Roman"/>
                <w:b/>
                <w:bCs/>
              </w:rPr>
              <w:t>_</w:t>
            </w:r>
          </w:p>
          <w:p w14:paraId="70E07FAA" w14:textId="65CC2299" w:rsidR="009C7D21" w:rsidRPr="00417EF9" w:rsidRDefault="009C7D21" w:rsidP="00B524C0">
            <w:pPr>
              <w:spacing w:line="360" w:lineRule="auto"/>
              <w:rPr>
                <w:rFonts w:eastAsia="Times New Roman"/>
              </w:rPr>
            </w:pPr>
            <w:proofErr w:type="spellStart"/>
            <w:r w:rsidRPr="00FB2685">
              <w:rPr>
                <w:rFonts w:eastAsia="Times New Roman"/>
                <w:b/>
                <w:bCs/>
              </w:rPr>
              <w:t>RESOLVE_Results_Viewer</w:t>
            </w:r>
            <w:proofErr w:type="spellEnd"/>
            <w:r w:rsidRPr="00FB2685">
              <w:rPr>
                <w:rFonts w:eastAsia="Times New Roman"/>
                <w:b/>
                <w:bCs/>
              </w:rPr>
              <w:t>…</w:t>
            </w:r>
            <w:proofErr w:type="spellStart"/>
            <w:r w:rsidRPr="00FB2685">
              <w:rPr>
                <w:rFonts w:eastAsia="Times New Roman"/>
                <w:b/>
                <w:bCs/>
              </w:rPr>
              <w:t>xlsb</w:t>
            </w:r>
            <w:proofErr w:type="spellEnd"/>
          </w:p>
        </w:tc>
        <w:tc>
          <w:tcPr>
            <w:tcW w:w="3775" w:type="dxa"/>
          </w:tcPr>
          <w:p w14:paraId="1A82B20B" w14:textId="77777777" w:rsidR="00944458" w:rsidRDefault="002E7CD9" w:rsidP="00B524C0">
            <w:pPr>
              <w:spacing w:line="360" w:lineRule="auto"/>
              <w:rPr>
                <w:rFonts w:eastAsia="Times New Roman"/>
              </w:rPr>
            </w:pPr>
            <w:r>
              <w:rPr>
                <w:rFonts w:eastAsia="Times New Roman"/>
              </w:rPr>
              <w:t>Raw SERVM heat rates start off higher than 2019 historical and rise slowly; Scarcity-adjusted heat rates start lower and rise quickly.</w:t>
            </w:r>
          </w:p>
          <w:p w14:paraId="6F8E935E" w14:textId="1470ECFA" w:rsidR="002E7CD9" w:rsidRDefault="002E7CD9" w:rsidP="00B524C0">
            <w:pPr>
              <w:spacing w:line="360" w:lineRule="auto"/>
              <w:rPr>
                <w:rFonts w:eastAsia="Times New Roman"/>
              </w:rPr>
            </w:pPr>
            <w:r>
              <w:rPr>
                <w:rFonts w:eastAsia="Times New Roman"/>
              </w:rPr>
              <w:t>Trend in historical data and all non-SERVM forecasts is generally downward (except for dry years such as 2015 and 2018; and years when Diablo Canyon Nuclear G</w:t>
            </w:r>
            <w:r w:rsidR="00C23457">
              <w:rPr>
                <w:rFonts w:eastAsia="Times New Roman"/>
              </w:rPr>
              <w:t>eneration is retiring (2024-2026; RESOLVE did not run for 2025 so first year with Diablo fully retired is 2026). Imports are lower in No New DER case, refuting E3’s suggestion in Workshop comments.</w:t>
            </w:r>
          </w:p>
        </w:tc>
      </w:tr>
      <w:tr w:rsidR="00944458" w14:paraId="5BAD6009" w14:textId="77777777" w:rsidTr="004E60A0">
        <w:tc>
          <w:tcPr>
            <w:tcW w:w="1376" w:type="dxa"/>
          </w:tcPr>
          <w:p w14:paraId="7D0755F6" w14:textId="2780B22E" w:rsidR="00944458" w:rsidRDefault="007F4721" w:rsidP="00B524C0">
            <w:pPr>
              <w:spacing w:line="360" w:lineRule="auto"/>
              <w:rPr>
                <w:rFonts w:eastAsia="Times New Roman"/>
              </w:rPr>
            </w:pPr>
            <w:r>
              <w:rPr>
                <w:rFonts w:eastAsia="Times New Roman"/>
              </w:rPr>
              <w:t>Figure 2: Historical and forecasted hourly heat rate shapes</w:t>
            </w:r>
          </w:p>
        </w:tc>
        <w:tc>
          <w:tcPr>
            <w:tcW w:w="4559" w:type="dxa"/>
          </w:tcPr>
          <w:p w14:paraId="558F1703" w14:textId="55138D25" w:rsidR="00F55872" w:rsidRDefault="00F55872" w:rsidP="00B524C0">
            <w:pPr>
              <w:spacing w:line="360" w:lineRule="auto"/>
              <w:rPr>
                <w:rFonts w:eastAsia="Times New Roman"/>
                <w:b/>
                <w:bCs/>
              </w:rPr>
            </w:pPr>
            <w:proofErr w:type="spellStart"/>
            <w:r>
              <w:rPr>
                <w:rFonts w:eastAsia="Times New Roman"/>
                <w:b/>
                <w:bCs/>
              </w:rPr>
              <w:t>Attch_G</w:t>
            </w:r>
            <w:proofErr w:type="spellEnd"/>
            <w:r>
              <w:rPr>
                <w:rFonts w:eastAsia="Times New Roman"/>
                <w:b/>
                <w:bCs/>
              </w:rPr>
              <w:t>_</w:t>
            </w:r>
          </w:p>
          <w:p w14:paraId="1B2CDAAE" w14:textId="05C0EEA0" w:rsidR="00944458" w:rsidRPr="00FB2685" w:rsidRDefault="007F4721" w:rsidP="00B524C0">
            <w:pPr>
              <w:spacing w:line="360" w:lineRule="auto"/>
              <w:rPr>
                <w:rFonts w:eastAsia="Times New Roman"/>
                <w:b/>
                <w:bCs/>
              </w:rPr>
            </w:pPr>
            <w:r w:rsidRPr="00FB2685">
              <w:rPr>
                <w:rFonts w:eastAsia="Times New Roman"/>
                <w:b/>
                <w:bCs/>
              </w:rPr>
              <w:t>SERVM_vs_2018_2019_Heat_Rates.xlsb</w:t>
            </w:r>
          </w:p>
          <w:p w14:paraId="1482E9C3" w14:textId="77777777" w:rsidR="007F4721" w:rsidRDefault="003540AE" w:rsidP="00B524C0">
            <w:pPr>
              <w:spacing w:line="360" w:lineRule="auto"/>
              <w:rPr>
                <w:rFonts w:eastAsia="Times New Roman"/>
              </w:rPr>
            </w:pPr>
            <w:r>
              <w:rPr>
                <w:rFonts w:eastAsia="Times New Roman"/>
              </w:rPr>
              <w:t>Raw data and hourly scarcity adjustment calculations are on tab “2018-2030 Data and Calcs”, with gas and GHG prices for 2018-2019 in tab “</w:t>
            </w:r>
            <w:proofErr w:type="spellStart"/>
            <w:r>
              <w:rPr>
                <w:rFonts w:eastAsia="Times New Roman"/>
              </w:rPr>
              <w:t>Gas+GHG</w:t>
            </w:r>
            <w:proofErr w:type="spellEnd"/>
            <w:r>
              <w:rPr>
                <w:rFonts w:eastAsia="Times New Roman"/>
              </w:rPr>
              <w:t>”.</w:t>
            </w:r>
          </w:p>
          <w:p w14:paraId="6DAE3ED6" w14:textId="77777777" w:rsidR="003540AE" w:rsidRDefault="003540AE" w:rsidP="00B524C0">
            <w:pPr>
              <w:spacing w:line="360" w:lineRule="auto"/>
              <w:rPr>
                <w:rFonts w:eastAsia="Times New Roman"/>
              </w:rPr>
            </w:pPr>
            <w:r>
              <w:rPr>
                <w:rFonts w:eastAsia="Times New Roman"/>
              </w:rPr>
              <w:t xml:space="preserve">Historical NP-15 DA prices are columns </w:t>
            </w:r>
            <w:proofErr w:type="gramStart"/>
            <w:r>
              <w:rPr>
                <w:rFonts w:eastAsia="Times New Roman"/>
              </w:rPr>
              <w:t>H:I</w:t>
            </w:r>
            <w:proofErr w:type="gramEnd"/>
            <w:r>
              <w:rPr>
                <w:rFonts w:eastAsia="Times New Roman"/>
              </w:rPr>
              <w:t xml:space="preserve">, with the erroneous 2019 prices used in ACC in column </w:t>
            </w:r>
            <w:r>
              <w:rPr>
                <w:rFonts w:eastAsia="Times New Roman"/>
              </w:rPr>
              <w:lastRenderedPageBreak/>
              <w:t>G (not used).</w:t>
            </w:r>
            <w:r w:rsidR="00135148">
              <w:rPr>
                <w:rFonts w:eastAsia="Times New Roman"/>
              </w:rPr>
              <w:t xml:space="preserve"> Historical heat rates are in columns </w:t>
            </w:r>
            <w:proofErr w:type="gramStart"/>
            <w:r w:rsidR="00135148">
              <w:rPr>
                <w:rFonts w:eastAsia="Times New Roman"/>
              </w:rPr>
              <w:t>E:F</w:t>
            </w:r>
            <w:proofErr w:type="gramEnd"/>
            <w:r w:rsidR="00135148">
              <w:rPr>
                <w:rFonts w:eastAsia="Times New Roman"/>
              </w:rPr>
              <w:t>, raw SERVM heat rates cols J:T.</w:t>
            </w:r>
          </w:p>
          <w:p w14:paraId="2081FD38" w14:textId="0BBE828D" w:rsidR="00135148" w:rsidRDefault="00135148" w:rsidP="00B524C0">
            <w:pPr>
              <w:spacing w:line="360" w:lineRule="auto"/>
              <w:rPr>
                <w:rFonts w:eastAsia="Times New Roman"/>
              </w:rPr>
            </w:pPr>
            <w:r>
              <w:rPr>
                <w:rFonts w:eastAsia="Times New Roman"/>
              </w:rPr>
              <w:t>Calculations for hourly scarcity (“</w:t>
            </w:r>
            <w:proofErr w:type="spellStart"/>
            <w:r>
              <w:rPr>
                <w:rFonts w:eastAsia="Times New Roman"/>
              </w:rPr>
              <w:t>Schourly</w:t>
            </w:r>
            <w:proofErr w:type="spellEnd"/>
            <w:r>
              <w:rPr>
                <w:rFonts w:eastAsia="Times New Roman"/>
              </w:rPr>
              <w:t xml:space="preserve">”) adjustments are in columns </w:t>
            </w:r>
            <w:r w:rsidR="00F33AE9">
              <w:rPr>
                <w:rFonts w:eastAsia="Times New Roman"/>
              </w:rPr>
              <w:t xml:space="preserve">V:BR, with month by hour heat maps of (historical; raw SERVM; scarcity SERVM; and </w:t>
            </w:r>
            <w:proofErr w:type="spellStart"/>
            <w:r w:rsidR="00F33AE9">
              <w:rPr>
                <w:rFonts w:eastAsia="Times New Roman"/>
              </w:rPr>
              <w:t>schourly</w:t>
            </w:r>
            <w:proofErr w:type="spellEnd"/>
            <w:r w:rsidR="00F33AE9">
              <w:rPr>
                <w:rFonts w:eastAsia="Times New Roman"/>
              </w:rPr>
              <w:t xml:space="preserve"> SERVM) prices for 2018, 2019, 2020, 2025 and 2030 above.</w:t>
            </w:r>
            <w:r w:rsidR="004E78C9">
              <w:rPr>
                <w:rFonts w:eastAsia="Times New Roman"/>
              </w:rPr>
              <w:t xml:space="preserve"> Change cells W1 and W17 to change which year is displayed.</w:t>
            </w:r>
          </w:p>
          <w:p w14:paraId="5640043D" w14:textId="77777777" w:rsidR="00E27126" w:rsidRDefault="00E27126" w:rsidP="00B524C0">
            <w:pPr>
              <w:spacing w:line="360" w:lineRule="auto"/>
              <w:rPr>
                <w:rFonts w:eastAsia="Times New Roman"/>
              </w:rPr>
            </w:pPr>
            <w:r>
              <w:rPr>
                <w:rFonts w:eastAsia="Times New Roman"/>
              </w:rPr>
              <w:t>Calculations of approximate energy arbitrage “profit” (assuming 80% efficient battery, discharging in top 4 hours and charging in bottom five hours of each day if that yields net positive) are in columns BZ:CM, with a potential partial replacement for ACC Documentation’s Table 5 above the top/bottom hours calculations.</w:t>
            </w:r>
          </w:p>
          <w:p w14:paraId="6A921EC8" w14:textId="77777777" w:rsidR="00146117" w:rsidRDefault="004E78C9" w:rsidP="00B524C0">
            <w:pPr>
              <w:spacing w:line="360" w:lineRule="auto"/>
              <w:rPr>
                <w:rFonts w:eastAsia="Times New Roman"/>
              </w:rPr>
            </w:pPr>
            <w:r>
              <w:rPr>
                <w:rFonts w:eastAsia="Times New Roman"/>
              </w:rPr>
              <w:t xml:space="preserve">Calculated </w:t>
            </w:r>
            <w:proofErr w:type="spellStart"/>
            <w:r>
              <w:rPr>
                <w:rFonts w:eastAsia="Times New Roman"/>
              </w:rPr>
              <w:t>Schourly</w:t>
            </w:r>
            <w:proofErr w:type="spellEnd"/>
            <w:r>
              <w:rPr>
                <w:rFonts w:eastAsia="Times New Roman"/>
              </w:rPr>
              <w:t xml:space="preserve"> SERVM Heat Rates are in columns CO:CY, while SERVM Scarcity Heat Rates (which are calculated in file </w:t>
            </w:r>
          </w:p>
          <w:p w14:paraId="4DD261C2" w14:textId="40F74EAD" w:rsidR="004E78C9" w:rsidRDefault="00F55872" w:rsidP="00B524C0">
            <w:pPr>
              <w:spacing w:line="360" w:lineRule="auto"/>
              <w:rPr>
                <w:rFonts w:eastAsia="Times New Roman"/>
              </w:rPr>
            </w:pPr>
            <w:r w:rsidRPr="00F55872">
              <w:rPr>
                <w:rFonts w:eastAsia="Times New Roman"/>
                <w:b/>
                <w:bCs/>
              </w:rPr>
              <w:t>Attch_H_</w:t>
            </w:r>
            <w:r w:rsidR="004E78C9" w:rsidRPr="00FB2685">
              <w:rPr>
                <w:rFonts w:eastAsia="Times New Roman"/>
                <w:b/>
                <w:bCs/>
              </w:rPr>
              <w:t>2020 ACC SERVM Prices v1</w:t>
            </w:r>
            <w:r w:rsidR="002C1F3D">
              <w:rPr>
                <w:rFonts w:eastAsia="Times New Roman"/>
                <w:b/>
                <w:bCs/>
              </w:rPr>
              <w:t>a</w:t>
            </w:r>
            <w:r w:rsidR="004E78C9" w:rsidRPr="00FB2685">
              <w:rPr>
                <w:rFonts w:eastAsia="Times New Roman"/>
                <w:b/>
                <w:bCs/>
              </w:rPr>
              <w:t>_PGE.xlsx</w:t>
            </w:r>
            <w:r w:rsidR="004E78C9">
              <w:rPr>
                <w:rFonts w:eastAsia="Times New Roman"/>
              </w:rPr>
              <w:t xml:space="preserve">) are in columns </w:t>
            </w:r>
            <w:proofErr w:type="gramStart"/>
            <w:r w:rsidR="004E78C9">
              <w:rPr>
                <w:rFonts w:eastAsia="Times New Roman"/>
              </w:rPr>
              <w:t>DA:DK.</w:t>
            </w:r>
            <w:proofErr w:type="gramEnd"/>
          </w:p>
          <w:p w14:paraId="1B551EEF" w14:textId="77777777" w:rsidR="004E78C9" w:rsidRDefault="004E78C9" w:rsidP="00B524C0">
            <w:pPr>
              <w:spacing w:line="360" w:lineRule="auto"/>
              <w:rPr>
                <w:rFonts w:eastAsia="Times New Roman"/>
              </w:rPr>
            </w:pPr>
            <w:r>
              <w:rPr>
                <w:rFonts w:eastAsia="Times New Roman"/>
              </w:rPr>
              <w:t xml:space="preserve">On tab “Shapes and Duration Curves”, duration curves of historical and all three flavors of SERVM heat rates are in columns </w:t>
            </w:r>
            <w:proofErr w:type="gramStart"/>
            <w:r>
              <w:rPr>
                <w:rFonts w:eastAsia="Times New Roman"/>
              </w:rPr>
              <w:t>A:L</w:t>
            </w:r>
            <w:proofErr w:type="gramEnd"/>
            <w:r>
              <w:rPr>
                <w:rFonts w:eastAsia="Times New Roman"/>
              </w:rPr>
              <w:t>, with graphs to the right.</w:t>
            </w:r>
          </w:p>
          <w:p w14:paraId="1D79AC37" w14:textId="03FE69CE" w:rsidR="00D7458E" w:rsidRPr="00417EF9" w:rsidRDefault="00D7458E" w:rsidP="00B524C0">
            <w:pPr>
              <w:spacing w:line="360" w:lineRule="auto"/>
              <w:rPr>
                <w:rFonts w:eastAsia="Times New Roman"/>
              </w:rPr>
            </w:pPr>
            <w:r>
              <w:rPr>
                <w:rFonts w:eastAsia="Times New Roman"/>
              </w:rPr>
              <w:t>Hourly average shapes of these data are in columns AK:BM, with graphs above and to the right. Figure 2 is bottom right.</w:t>
            </w:r>
          </w:p>
        </w:tc>
        <w:tc>
          <w:tcPr>
            <w:tcW w:w="3775" w:type="dxa"/>
          </w:tcPr>
          <w:p w14:paraId="32BE4610" w14:textId="3EFDD0CB" w:rsidR="00D7458E" w:rsidRDefault="00D7458E" w:rsidP="00B524C0">
            <w:pPr>
              <w:spacing w:line="360" w:lineRule="auto"/>
              <w:rPr>
                <w:rFonts w:eastAsia="Times New Roman"/>
              </w:rPr>
            </w:pPr>
            <w:r>
              <w:rPr>
                <w:rFonts w:eastAsia="Times New Roman"/>
              </w:rPr>
              <w:lastRenderedPageBreak/>
              <w:t xml:space="preserve">Duration curves show increasing heat rates from 2020 through 2030 for all SERVM variants (raw, original scarcity adjusted, and </w:t>
            </w:r>
            <w:proofErr w:type="spellStart"/>
            <w:r>
              <w:rPr>
                <w:rFonts w:eastAsia="Times New Roman"/>
              </w:rPr>
              <w:t>schourly</w:t>
            </w:r>
            <w:proofErr w:type="spellEnd"/>
            <w:r>
              <w:rPr>
                <w:rFonts w:eastAsia="Times New Roman"/>
              </w:rPr>
              <w:t xml:space="preserve"> adjusted). Scarcity adjustments have a “kink” at a heat rate of approximately 8.5 in 2025 and </w:t>
            </w:r>
            <w:r>
              <w:rPr>
                <w:rFonts w:eastAsia="Times New Roman"/>
              </w:rPr>
              <w:lastRenderedPageBreak/>
              <w:t xml:space="preserve">especially 2030 results; corrections to raw data described above would probably generate a more reasonable </w:t>
            </w:r>
            <w:proofErr w:type="gramStart"/>
            <w:r>
              <w:rPr>
                <w:rFonts w:eastAsia="Times New Roman"/>
              </w:rPr>
              <w:t>curve, but</w:t>
            </w:r>
            <w:proofErr w:type="gramEnd"/>
            <w:r>
              <w:rPr>
                <w:rFonts w:eastAsia="Times New Roman"/>
              </w:rPr>
              <w:t xml:space="preserve"> would not fix the underlying problem.</w:t>
            </w:r>
          </w:p>
          <w:p w14:paraId="588FE207" w14:textId="77777777" w:rsidR="00D7458E" w:rsidRDefault="00D7458E" w:rsidP="00B524C0">
            <w:pPr>
              <w:spacing w:line="360" w:lineRule="auto"/>
              <w:rPr>
                <w:rFonts w:eastAsia="Times New Roman"/>
              </w:rPr>
            </w:pPr>
          </w:p>
          <w:p w14:paraId="79731A3D" w14:textId="77777777" w:rsidR="00944458" w:rsidRDefault="00D7458E" w:rsidP="00B524C0">
            <w:pPr>
              <w:spacing w:line="360" w:lineRule="auto"/>
              <w:rPr>
                <w:rFonts w:eastAsia="Times New Roman"/>
              </w:rPr>
            </w:pPr>
            <w:r>
              <w:rPr>
                <w:rFonts w:eastAsia="Times New Roman"/>
              </w:rPr>
              <w:t>A</w:t>
            </w:r>
            <w:r w:rsidR="004E78C9">
              <w:rPr>
                <w:rFonts w:eastAsia="Times New Roman"/>
              </w:rPr>
              <w:t xml:space="preserve">ll versions of SERVM prices (raw, original scarcity adjustments, and </w:t>
            </w:r>
            <w:proofErr w:type="spellStart"/>
            <w:r w:rsidR="004E78C9">
              <w:rPr>
                <w:rFonts w:eastAsia="Times New Roman"/>
              </w:rPr>
              <w:t>schourly</w:t>
            </w:r>
            <w:proofErr w:type="spellEnd"/>
            <w:r w:rsidR="004E78C9">
              <w:rPr>
                <w:rFonts w:eastAsia="Times New Roman"/>
              </w:rPr>
              <w:t xml:space="preserve"> adjustments) show increasing </w:t>
            </w:r>
            <w:r>
              <w:rPr>
                <w:rFonts w:eastAsia="Times New Roman"/>
              </w:rPr>
              <w:t xml:space="preserve">heat rates from 2020 through 2030. Joint IOUs therefore conclude that while </w:t>
            </w:r>
            <w:proofErr w:type="spellStart"/>
            <w:r>
              <w:rPr>
                <w:rFonts w:eastAsia="Times New Roman"/>
              </w:rPr>
              <w:t>schourly</w:t>
            </w:r>
            <w:proofErr w:type="spellEnd"/>
            <w:r>
              <w:rPr>
                <w:rFonts w:eastAsia="Times New Roman"/>
              </w:rPr>
              <w:t xml:space="preserve"> adjustments may be more realistic than the original scarcity adjustments, they will not fix the underlying problem of increasing SERVM heat rates over time.</w:t>
            </w:r>
          </w:p>
          <w:p w14:paraId="3F2EC61D" w14:textId="77777777" w:rsidR="00D7458E" w:rsidRDefault="00D7458E" w:rsidP="00B524C0">
            <w:pPr>
              <w:spacing w:line="360" w:lineRule="auto"/>
              <w:rPr>
                <w:rFonts w:eastAsia="Times New Roman"/>
              </w:rPr>
            </w:pPr>
          </w:p>
          <w:p w14:paraId="5FD0788B" w14:textId="32FAD947" w:rsidR="00D7458E" w:rsidRDefault="00D7458E" w:rsidP="00B524C0">
            <w:pPr>
              <w:spacing w:line="360" w:lineRule="auto"/>
              <w:rPr>
                <w:rFonts w:eastAsia="Times New Roman"/>
              </w:rPr>
            </w:pPr>
            <w:r>
              <w:rPr>
                <w:rFonts w:eastAsia="Times New Roman"/>
              </w:rPr>
              <w:t xml:space="preserve">Hourly shapes of all SERVM variants </w:t>
            </w:r>
            <w:r w:rsidR="00F56C99">
              <w:rPr>
                <w:rFonts w:eastAsia="Times New Roman"/>
              </w:rPr>
              <w:t xml:space="preserve">in all months displayed </w:t>
            </w:r>
            <w:r>
              <w:rPr>
                <w:rFonts w:eastAsia="Times New Roman"/>
              </w:rPr>
              <w:t xml:space="preserve">show flatter prices than in historical data, with </w:t>
            </w:r>
            <w:r w:rsidR="00F56C99">
              <w:rPr>
                <w:rFonts w:eastAsia="Times New Roman"/>
              </w:rPr>
              <w:t xml:space="preserve">higher heat rates than historical data especially mid-day and after the evening peak. </w:t>
            </w:r>
            <w:proofErr w:type="spellStart"/>
            <w:r w:rsidR="00F56C99">
              <w:rPr>
                <w:rFonts w:eastAsia="Times New Roman"/>
              </w:rPr>
              <w:t>Schourly</w:t>
            </w:r>
            <w:proofErr w:type="spellEnd"/>
            <w:r w:rsidR="00F56C99">
              <w:rPr>
                <w:rFonts w:eastAsia="Times New Roman"/>
              </w:rPr>
              <w:t xml:space="preserve"> adjustments are less flat and do not show unrealistic extension of the </w:t>
            </w:r>
            <w:proofErr w:type="gramStart"/>
            <w:r w:rsidR="00F56C99">
              <w:rPr>
                <w:rFonts w:eastAsia="Times New Roman"/>
              </w:rPr>
              <w:t>peak, but</w:t>
            </w:r>
            <w:proofErr w:type="gramEnd"/>
            <w:r w:rsidR="00F56C99">
              <w:rPr>
                <w:rFonts w:eastAsia="Times New Roman"/>
              </w:rPr>
              <w:t xml:space="preserve"> have </w:t>
            </w:r>
            <w:r w:rsidR="00F56C99">
              <w:rPr>
                <w:rFonts w:eastAsia="Times New Roman"/>
              </w:rPr>
              <w:lastRenderedPageBreak/>
              <w:t>unrealistically-high heat rates around the 8am mini-peak in some months.</w:t>
            </w:r>
          </w:p>
        </w:tc>
      </w:tr>
      <w:tr w:rsidR="00944458" w14:paraId="376900DE" w14:textId="77777777" w:rsidTr="004E60A0">
        <w:tc>
          <w:tcPr>
            <w:tcW w:w="1376" w:type="dxa"/>
          </w:tcPr>
          <w:p w14:paraId="1757E47A" w14:textId="5E1E11DB" w:rsidR="00944458" w:rsidRDefault="00E340E4" w:rsidP="00B524C0">
            <w:pPr>
              <w:spacing w:line="360" w:lineRule="auto"/>
              <w:rPr>
                <w:rFonts w:eastAsia="Times New Roman"/>
              </w:rPr>
            </w:pPr>
            <w:r>
              <w:rPr>
                <w:rFonts w:eastAsia="Times New Roman"/>
              </w:rPr>
              <w:lastRenderedPageBreak/>
              <w:t xml:space="preserve">NP-15 </w:t>
            </w:r>
            <w:r w:rsidR="00BE3681">
              <w:rPr>
                <w:rFonts w:eastAsia="Times New Roman"/>
              </w:rPr>
              <w:t xml:space="preserve">Ancillary services prices, </w:t>
            </w:r>
            <w:proofErr w:type="gramStart"/>
            <w:r w:rsidR="00BE3681">
              <w:rPr>
                <w:rFonts w:eastAsia="Times New Roman"/>
              </w:rPr>
              <w:t>in particular Regulation</w:t>
            </w:r>
            <w:proofErr w:type="gramEnd"/>
          </w:p>
        </w:tc>
        <w:tc>
          <w:tcPr>
            <w:tcW w:w="4559" w:type="dxa"/>
          </w:tcPr>
          <w:p w14:paraId="6101EFF0" w14:textId="2338C1F6" w:rsidR="00146117" w:rsidRPr="00146117" w:rsidRDefault="00146117" w:rsidP="00B524C0">
            <w:pPr>
              <w:spacing w:line="360" w:lineRule="auto"/>
              <w:rPr>
                <w:rFonts w:eastAsia="Times New Roman"/>
                <w:b/>
                <w:bCs/>
              </w:rPr>
            </w:pPr>
            <w:proofErr w:type="spellStart"/>
            <w:r w:rsidRPr="00146117">
              <w:rPr>
                <w:rFonts w:eastAsia="Times New Roman"/>
                <w:b/>
                <w:bCs/>
              </w:rPr>
              <w:t>Attch_I</w:t>
            </w:r>
            <w:proofErr w:type="spellEnd"/>
            <w:r w:rsidRPr="00146117">
              <w:rPr>
                <w:rFonts w:eastAsia="Times New Roman"/>
                <w:b/>
                <w:bCs/>
              </w:rPr>
              <w:t>_</w:t>
            </w:r>
          </w:p>
          <w:p w14:paraId="672C5EF3" w14:textId="278CD631" w:rsidR="00944458" w:rsidRPr="00146117" w:rsidRDefault="00BE3681" w:rsidP="00B524C0">
            <w:pPr>
              <w:spacing w:line="360" w:lineRule="auto"/>
              <w:rPr>
                <w:rFonts w:eastAsia="Times New Roman"/>
                <w:b/>
                <w:bCs/>
              </w:rPr>
            </w:pPr>
            <w:r w:rsidRPr="00146117">
              <w:rPr>
                <w:rFonts w:eastAsia="Times New Roman"/>
                <w:b/>
                <w:bCs/>
              </w:rPr>
              <w:t>Historical_vs_SERVM_AncillaryServices.xlsb</w:t>
            </w:r>
          </w:p>
          <w:p w14:paraId="12E55161" w14:textId="2F0F1F63" w:rsidR="00BE3681" w:rsidRDefault="00BE3681" w:rsidP="00B524C0">
            <w:pPr>
              <w:spacing w:line="360" w:lineRule="auto"/>
            </w:pPr>
            <w:r>
              <w:t xml:space="preserve">Historical energy heat rates and A/S heat rates (A/S prices divided by </w:t>
            </w:r>
            <w:proofErr w:type="spellStart"/>
            <w:r>
              <w:t>gas+GHG</w:t>
            </w:r>
            <w:proofErr w:type="spellEnd"/>
            <w:r>
              <w:t xml:space="preserve">) are in columns E:F and J:K, P:S; modeled historical regulation prices based on the piecewise linear model are in columns T:Y; and modeled ratios and regulation forecasts are in columns AD:AO. </w:t>
            </w:r>
          </w:p>
          <w:p w14:paraId="7233D56E" w14:textId="77777777" w:rsidR="00E340E4" w:rsidRDefault="00E340E4" w:rsidP="00B524C0">
            <w:pPr>
              <w:spacing w:line="360" w:lineRule="auto"/>
            </w:pPr>
            <w:bookmarkStart w:id="1" w:name="_GoBack"/>
            <w:bookmarkEnd w:id="1"/>
          </w:p>
          <w:p w14:paraId="0FE8AD80" w14:textId="53F1009F" w:rsidR="00BE3681" w:rsidRDefault="00550F3F" w:rsidP="00B524C0">
            <w:pPr>
              <w:spacing w:line="360" w:lineRule="auto"/>
            </w:pPr>
            <w:r>
              <w:t>Correlations between A/S and energy heat rates are in cells H1:P3.</w:t>
            </w:r>
          </w:p>
          <w:p w14:paraId="5FB1C5CD" w14:textId="398239D1" w:rsidR="00550F3F" w:rsidRDefault="00550F3F" w:rsidP="00B524C0">
            <w:pPr>
              <w:spacing w:line="360" w:lineRule="auto"/>
            </w:pPr>
            <w:r>
              <w:t>Parameters of the piecewise linear model are in cells Q3:W3, objective function calculation is in cells X3:AB4.</w:t>
            </w:r>
          </w:p>
          <w:p w14:paraId="2E411F0E" w14:textId="77777777" w:rsidR="00550F3F" w:rsidRDefault="00550F3F" w:rsidP="00B524C0">
            <w:pPr>
              <w:spacing w:line="360" w:lineRule="auto"/>
            </w:pPr>
          </w:p>
          <w:p w14:paraId="2CF9C4C0" w14:textId="77777777" w:rsidR="00BE3681" w:rsidRDefault="00BE3681" w:rsidP="00B524C0">
            <w:pPr>
              <w:spacing w:line="360" w:lineRule="auto"/>
            </w:pPr>
            <w:r w:rsidRPr="00BE3681">
              <w:t>12x24</w:t>
            </w:r>
            <w:r>
              <w:t xml:space="preserve"> heat maps appear to the right of these calculations and show that the proposed disaggregation algorithm yields patterns of A/S prices that fit historical patterns much better than those in the current ACC.</w:t>
            </w:r>
          </w:p>
          <w:p w14:paraId="13BD324E" w14:textId="77777777" w:rsidR="00E340E4" w:rsidRDefault="00E340E4" w:rsidP="00B524C0">
            <w:pPr>
              <w:spacing w:line="360" w:lineRule="auto"/>
              <w:rPr>
                <w:rFonts w:eastAsia="Times New Roman"/>
              </w:rPr>
            </w:pPr>
          </w:p>
          <w:p w14:paraId="21E4DFAF" w14:textId="6E154942" w:rsidR="00E340E4" w:rsidRPr="00417EF9" w:rsidRDefault="00E340E4" w:rsidP="00B524C0">
            <w:pPr>
              <w:spacing w:line="360" w:lineRule="auto"/>
              <w:rPr>
                <w:rFonts w:eastAsia="Times New Roman"/>
              </w:rPr>
            </w:pPr>
            <w:r>
              <w:rPr>
                <w:rFonts w:eastAsia="Times New Roman"/>
              </w:rPr>
              <w:t xml:space="preserve">Objective function calculations (cut and pasted values) for original 50:50 split </w:t>
            </w:r>
            <w:proofErr w:type="gramStart"/>
            <w:r>
              <w:rPr>
                <w:rFonts w:eastAsia="Times New Roman"/>
              </w:rPr>
              <w:t>are</w:t>
            </w:r>
            <w:proofErr w:type="gramEnd"/>
            <w:r>
              <w:rPr>
                <w:rFonts w:eastAsia="Times New Roman"/>
              </w:rPr>
              <w:t xml:space="preserve"> in cells AG3:AK4</w:t>
            </w:r>
            <w:r w:rsidR="00C36CB9">
              <w:rPr>
                <w:rFonts w:eastAsia="Times New Roman"/>
              </w:rPr>
              <w:t>. These show much lower correlations with historical prices (cells AJ3:AK4) than the piecewise linear model (cells AA3:AB4).</w:t>
            </w:r>
          </w:p>
        </w:tc>
        <w:tc>
          <w:tcPr>
            <w:tcW w:w="3775" w:type="dxa"/>
          </w:tcPr>
          <w:p w14:paraId="5904E902" w14:textId="77777777" w:rsidR="00944458" w:rsidRDefault="00BE3681" w:rsidP="00B524C0">
            <w:pPr>
              <w:spacing w:line="360" w:lineRule="auto"/>
              <w:rPr>
                <w:rFonts w:cstheme="minorHAnsi"/>
              </w:rPr>
            </w:pPr>
            <w:r>
              <w:rPr>
                <w:rFonts w:cstheme="minorHAnsi"/>
              </w:rPr>
              <w:t>A/S forecast prices in 2020 and beyond are about 80% lower for spin and 70% lower for regulation than those experienced in 2018-2019for all forecast years, including 2020 (</w:t>
            </w:r>
            <w:r>
              <w:rPr>
                <w:rFonts w:cstheme="minorHAnsi"/>
                <w:i/>
                <w:iCs/>
              </w:rPr>
              <w:t>i.e.,</w:t>
            </w:r>
            <w:r>
              <w:rPr>
                <w:rFonts w:cstheme="minorHAnsi"/>
              </w:rPr>
              <w:t xml:space="preserve"> before significant energy storage penetration).</w:t>
            </w:r>
          </w:p>
          <w:p w14:paraId="40981263" w14:textId="77777777" w:rsidR="00BE3681" w:rsidRDefault="00BE3681" w:rsidP="00B524C0">
            <w:pPr>
              <w:spacing w:line="360" w:lineRule="auto"/>
              <w:rPr>
                <w:rFonts w:cstheme="minorHAnsi"/>
              </w:rPr>
            </w:pPr>
          </w:p>
          <w:p w14:paraId="6465FB5D" w14:textId="3E68F9B5" w:rsidR="00BE3681" w:rsidRDefault="00E340E4" w:rsidP="00B524C0">
            <w:pPr>
              <w:spacing w:line="360" w:lineRule="auto"/>
              <w:rPr>
                <w:rFonts w:eastAsia="Times New Roman"/>
              </w:rPr>
            </w:pPr>
            <w:r>
              <w:t>C</w:t>
            </w:r>
            <w:r w:rsidR="00BE3681">
              <w:t xml:space="preserve">orrelation between energy heat rate and Reg up heat rate in NP-15 was positive in 2018 and 2019, but negative for SERVM forecasts in 2020 and 2025; while the correlation between energy heat rate and reg down heat rate was negative in 2018 and 2019 but is positive for SERVM forecasts in 2020 through 2030. Thus, the pattern of regulation prices modeled via SERVM in the ACC model is generally </w:t>
            </w:r>
            <w:r w:rsidR="00BE3681">
              <w:rPr>
                <w:i/>
                <w:iCs/>
              </w:rPr>
              <w:t>opposite</w:t>
            </w:r>
            <w:r w:rsidR="00BE3681">
              <w:t xml:space="preserve"> to the pattern observed in recent years.</w:t>
            </w:r>
          </w:p>
        </w:tc>
      </w:tr>
    </w:tbl>
    <w:p w14:paraId="79A6EF08" w14:textId="3717DC94" w:rsidR="00806E56" w:rsidRDefault="00146117"/>
    <w:sectPr w:rsidR="00806E56" w:rsidSect="0090786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B6CE1"/>
    <w:multiLevelType w:val="hybridMultilevel"/>
    <w:tmpl w:val="703C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51CF7"/>
    <w:multiLevelType w:val="hybridMultilevel"/>
    <w:tmpl w:val="8984FC4C"/>
    <w:lvl w:ilvl="0" w:tplc="3A6A7CAA">
      <w:start w:val="1"/>
      <w:numFmt w:val="upperRoman"/>
      <w:lvlText w:val="%1."/>
      <w:lvlJc w:val="left"/>
      <w:pPr>
        <w:ind w:left="1080" w:hanging="720"/>
      </w:pPr>
      <w:rPr>
        <w:rFonts w:hint="default"/>
        <w:b/>
        <w:bCs/>
      </w:rPr>
    </w:lvl>
    <w:lvl w:ilvl="1" w:tplc="B83C4490">
      <w:start w:val="1"/>
      <w:numFmt w:val="upperLetter"/>
      <w:lvlText w:val="%2."/>
      <w:lvlJc w:val="left"/>
      <w:pPr>
        <w:ind w:left="1440" w:hanging="360"/>
      </w:pPr>
      <w:rPr>
        <w:b/>
        <w:bCs/>
      </w:rPr>
    </w:lvl>
    <w:lvl w:ilvl="2" w:tplc="BD42465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F62CD"/>
    <w:multiLevelType w:val="hybridMultilevel"/>
    <w:tmpl w:val="43D23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FC"/>
    <w:rsid w:val="000021A2"/>
    <w:rsid w:val="000410DE"/>
    <w:rsid w:val="000453E7"/>
    <w:rsid w:val="00052D07"/>
    <w:rsid w:val="00053CB5"/>
    <w:rsid w:val="0006017C"/>
    <w:rsid w:val="00076A73"/>
    <w:rsid w:val="00095FB9"/>
    <w:rsid w:val="000A105A"/>
    <w:rsid w:val="000A5773"/>
    <w:rsid w:val="000A7AD2"/>
    <w:rsid w:val="000E3BC9"/>
    <w:rsid w:val="0011030B"/>
    <w:rsid w:val="00110ABC"/>
    <w:rsid w:val="00120572"/>
    <w:rsid w:val="00125D28"/>
    <w:rsid w:val="00135148"/>
    <w:rsid w:val="00146117"/>
    <w:rsid w:val="00147FDE"/>
    <w:rsid w:val="00154B63"/>
    <w:rsid w:val="0016258A"/>
    <w:rsid w:val="00177C42"/>
    <w:rsid w:val="00190333"/>
    <w:rsid w:val="001907F0"/>
    <w:rsid w:val="001A2691"/>
    <w:rsid w:val="001B5E38"/>
    <w:rsid w:val="001C0BCA"/>
    <w:rsid w:val="001C3B6E"/>
    <w:rsid w:val="001D0E48"/>
    <w:rsid w:val="001D6EE6"/>
    <w:rsid w:val="001E30BE"/>
    <w:rsid w:val="002036C6"/>
    <w:rsid w:val="00213FE3"/>
    <w:rsid w:val="00221C60"/>
    <w:rsid w:val="00241565"/>
    <w:rsid w:val="00251F22"/>
    <w:rsid w:val="00256AEC"/>
    <w:rsid w:val="00287B36"/>
    <w:rsid w:val="00293C25"/>
    <w:rsid w:val="002A05E0"/>
    <w:rsid w:val="002A1923"/>
    <w:rsid w:val="002A42CA"/>
    <w:rsid w:val="002A56CE"/>
    <w:rsid w:val="002C1F3D"/>
    <w:rsid w:val="002C2700"/>
    <w:rsid w:val="002E7CD9"/>
    <w:rsid w:val="002F56F1"/>
    <w:rsid w:val="00304B5B"/>
    <w:rsid w:val="00330E5B"/>
    <w:rsid w:val="003311DD"/>
    <w:rsid w:val="003501A8"/>
    <w:rsid w:val="003540AE"/>
    <w:rsid w:val="00370C77"/>
    <w:rsid w:val="003851B3"/>
    <w:rsid w:val="0038655A"/>
    <w:rsid w:val="003A5E0B"/>
    <w:rsid w:val="003A66AF"/>
    <w:rsid w:val="003B240A"/>
    <w:rsid w:val="003D6872"/>
    <w:rsid w:val="00417EF9"/>
    <w:rsid w:val="0042102C"/>
    <w:rsid w:val="00421FA5"/>
    <w:rsid w:val="004708DA"/>
    <w:rsid w:val="00475D60"/>
    <w:rsid w:val="00480CD4"/>
    <w:rsid w:val="00485B1D"/>
    <w:rsid w:val="004A1AA9"/>
    <w:rsid w:val="004A7916"/>
    <w:rsid w:val="004C6025"/>
    <w:rsid w:val="004D5643"/>
    <w:rsid w:val="004D7CAB"/>
    <w:rsid w:val="004D7E9D"/>
    <w:rsid w:val="004E60A0"/>
    <w:rsid w:val="004E78C9"/>
    <w:rsid w:val="004F698F"/>
    <w:rsid w:val="004F73BB"/>
    <w:rsid w:val="00501465"/>
    <w:rsid w:val="0050348E"/>
    <w:rsid w:val="005075E6"/>
    <w:rsid w:val="00511B83"/>
    <w:rsid w:val="00515809"/>
    <w:rsid w:val="00524AF2"/>
    <w:rsid w:val="00533F40"/>
    <w:rsid w:val="005461DC"/>
    <w:rsid w:val="00550F3F"/>
    <w:rsid w:val="005605E5"/>
    <w:rsid w:val="00580E75"/>
    <w:rsid w:val="00583324"/>
    <w:rsid w:val="005851C7"/>
    <w:rsid w:val="00587FD7"/>
    <w:rsid w:val="00592949"/>
    <w:rsid w:val="00597EAD"/>
    <w:rsid w:val="005A1170"/>
    <w:rsid w:val="005A5289"/>
    <w:rsid w:val="005C2A46"/>
    <w:rsid w:val="005C35BA"/>
    <w:rsid w:val="006047E0"/>
    <w:rsid w:val="0061052E"/>
    <w:rsid w:val="00610617"/>
    <w:rsid w:val="006146F0"/>
    <w:rsid w:val="006179F7"/>
    <w:rsid w:val="00623BC8"/>
    <w:rsid w:val="006327A8"/>
    <w:rsid w:val="00633FA6"/>
    <w:rsid w:val="00643DC0"/>
    <w:rsid w:val="00656776"/>
    <w:rsid w:val="006577AA"/>
    <w:rsid w:val="00661679"/>
    <w:rsid w:val="00674408"/>
    <w:rsid w:val="0069255B"/>
    <w:rsid w:val="006A54A9"/>
    <w:rsid w:val="006D08E6"/>
    <w:rsid w:val="006E2526"/>
    <w:rsid w:val="007001FA"/>
    <w:rsid w:val="00715425"/>
    <w:rsid w:val="00715A28"/>
    <w:rsid w:val="007254A9"/>
    <w:rsid w:val="00762ABA"/>
    <w:rsid w:val="00782BA2"/>
    <w:rsid w:val="007B757A"/>
    <w:rsid w:val="007C2896"/>
    <w:rsid w:val="007E26B2"/>
    <w:rsid w:val="007E3165"/>
    <w:rsid w:val="007F1900"/>
    <w:rsid w:val="007F3F41"/>
    <w:rsid w:val="007F4721"/>
    <w:rsid w:val="00832EA3"/>
    <w:rsid w:val="00837BF0"/>
    <w:rsid w:val="00847092"/>
    <w:rsid w:val="008479FE"/>
    <w:rsid w:val="00855D34"/>
    <w:rsid w:val="00861C53"/>
    <w:rsid w:val="0086203D"/>
    <w:rsid w:val="008624F6"/>
    <w:rsid w:val="008760E2"/>
    <w:rsid w:val="008919EC"/>
    <w:rsid w:val="00892607"/>
    <w:rsid w:val="00893D65"/>
    <w:rsid w:val="008A6CA9"/>
    <w:rsid w:val="008B0572"/>
    <w:rsid w:val="008C0099"/>
    <w:rsid w:val="008C2BD6"/>
    <w:rsid w:val="008C32FF"/>
    <w:rsid w:val="008D0B9D"/>
    <w:rsid w:val="008D6DCA"/>
    <w:rsid w:val="008E4379"/>
    <w:rsid w:val="0090786F"/>
    <w:rsid w:val="0091572E"/>
    <w:rsid w:val="00915C15"/>
    <w:rsid w:val="00915D1B"/>
    <w:rsid w:val="009176DC"/>
    <w:rsid w:val="00935D4C"/>
    <w:rsid w:val="00944458"/>
    <w:rsid w:val="0098420A"/>
    <w:rsid w:val="009A131C"/>
    <w:rsid w:val="009C10F3"/>
    <w:rsid w:val="009C56F7"/>
    <w:rsid w:val="009C7D21"/>
    <w:rsid w:val="009D4093"/>
    <w:rsid w:val="009E752E"/>
    <w:rsid w:val="00A129D8"/>
    <w:rsid w:val="00A12CAC"/>
    <w:rsid w:val="00A137DF"/>
    <w:rsid w:val="00A1435D"/>
    <w:rsid w:val="00A16450"/>
    <w:rsid w:val="00A22DAB"/>
    <w:rsid w:val="00A41FA9"/>
    <w:rsid w:val="00A46D33"/>
    <w:rsid w:val="00A64C47"/>
    <w:rsid w:val="00A67B08"/>
    <w:rsid w:val="00A7200F"/>
    <w:rsid w:val="00A7752F"/>
    <w:rsid w:val="00A8549F"/>
    <w:rsid w:val="00A92678"/>
    <w:rsid w:val="00AA1D43"/>
    <w:rsid w:val="00AB1606"/>
    <w:rsid w:val="00AB7A01"/>
    <w:rsid w:val="00AC46C5"/>
    <w:rsid w:val="00AC6374"/>
    <w:rsid w:val="00AD3FA1"/>
    <w:rsid w:val="00AE51A4"/>
    <w:rsid w:val="00AE69CF"/>
    <w:rsid w:val="00AF01D0"/>
    <w:rsid w:val="00B224AD"/>
    <w:rsid w:val="00B22AF1"/>
    <w:rsid w:val="00B312FC"/>
    <w:rsid w:val="00B524C0"/>
    <w:rsid w:val="00B65CE3"/>
    <w:rsid w:val="00B71F96"/>
    <w:rsid w:val="00B73290"/>
    <w:rsid w:val="00B736C4"/>
    <w:rsid w:val="00BB456D"/>
    <w:rsid w:val="00BB6C55"/>
    <w:rsid w:val="00BC1C5F"/>
    <w:rsid w:val="00BC5A96"/>
    <w:rsid w:val="00BE3681"/>
    <w:rsid w:val="00C00555"/>
    <w:rsid w:val="00C03E0E"/>
    <w:rsid w:val="00C13B2C"/>
    <w:rsid w:val="00C15E1E"/>
    <w:rsid w:val="00C23457"/>
    <w:rsid w:val="00C237D3"/>
    <w:rsid w:val="00C36CB9"/>
    <w:rsid w:val="00C517D4"/>
    <w:rsid w:val="00C51FB0"/>
    <w:rsid w:val="00C72835"/>
    <w:rsid w:val="00C73888"/>
    <w:rsid w:val="00C75423"/>
    <w:rsid w:val="00C82E4B"/>
    <w:rsid w:val="00C86602"/>
    <w:rsid w:val="00CA1312"/>
    <w:rsid w:val="00CC416A"/>
    <w:rsid w:val="00CD0C3C"/>
    <w:rsid w:val="00CE2DBA"/>
    <w:rsid w:val="00CE615F"/>
    <w:rsid w:val="00CF045A"/>
    <w:rsid w:val="00CF09D5"/>
    <w:rsid w:val="00D1081E"/>
    <w:rsid w:val="00D41506"/>
    <w:rsid w:val="00D42EF9"/>
    <w:rsid w:val="00D471D0"/>
    <w:rsid w:val="00D7458E"/>
    <w:rsid w:val="00D85D31"/>
    <w:rsid w:val="00D865BF"/>
    <w:rsid w:val="00D93855"/>
    <w:rsid w:val="00DA08B3"/>
    <w:rsid w:val="00DA3584"/>
    <w:rsid w:val="00DA5B61"/>
    <w:rsid w:val="00DE59DC"/>
    <w:rsid w:val="00DF38D3"/>
    <w:rsid w:val="00E05EE3"/>
    <w:rsid w:val="00E111EB"/>
    <w:rsid w:val="00E17FD0"/>
    <w:rsid w:val="00E27126"/>
    <w:rsid w:val="00E340E4"/>
    <w:rsid w:val="00E40FB7"/>
    <w:rsid w:val="00E42F06"/>
    <w:rsid w:val="00E90D7F"/>
    <w:rsid w:val="00E92AF0"/>
    <w:rsid w:val="00E9680C"/>
    <w:rsid w:val="00EA7F41"/>
    <w:rsid w:val="00EC45AB"/>
    <w:rsid w:val="00ED1E34"/>
    <w:rsid w:val="00ED76DA"/>
    <w:rsid w:val="00F01C2A"/>
    <w:rsid w:val="00F043A0"/>
    <w:rsid w:val="00F1133A"/>
    <w:rsid w:val="00F16C00"/>
    <w:rsid w:val="00F21D58"/>
    <w:rsid w:val="00F23563"/>
    <w:rsid w:val="00F33AE9"/>
    <w:rsid w:val="00F43FAE"/>
    <w:rsid w:val="00F53760"/>
    <w:rsid w:val="00F55872"/>
    <w:rsid w:val="00F56C99"/>
    <w:rsid w:val="00F57283"/>
    <w:rsid w:val="00F76696"/>
    <w:rsid w:val="00F84AB1"/>
    <w:rsid w:val="00F9188F"/>
    <w:rsid w:val="00FA4C90"/>
    <w:rsid w:val="00FB2685"/>
    <w:rsid w:val="00FC6288"/>
    <w:rsid w:val="00FE5689"/>
    <w:rsid w:val="00FE7135"/>
    <w:rsid w:val="00FF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CE81"/>
  <w15:chartTrackingRefBased/>
  <w15:docId w15:val="{A166656B-FCF2-4BAA-BA75-820D7032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12FC"/>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2FC"/>
    <w:pPr>
      <w:ind w:left="720"/>
      <w:contextualSpacing/>
    </w:pPr>
  </w:style>
  <w:style w:type="paragraph" w:styleId="BalloonText">
    <w:name w:val="Balloon Text"/>
    <w:basedOn w:val="Normal"/>
    <w:link w:val="BalloonTextChar"/>
    <w:uiPriority w:val="99"/>
    <w:semiHidden/>
    <w:unhideWhenUsed/>
    <w:rsid w:val="00B312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2FC"/>
    <w:rPr>
      <w:rFonts w:ascii="Segoe UI" w:hAnsi="Segoe UI" w:cs="Segoe UI"/>
      <w:sz w:val="18"/>
      <w:szCs w:val="18"/>
    </w:rPr>
  </w:style>
  <w:style w:type="table" w:styleId="TableGrid">
    <w:name w:val="Table Grid"/>
    <w:basedOn w:val="TableNormal"/>
    <w:uiPriority w:val="59"/>
    <w:rsid w:val="00CF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5.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Date xmlns="ec52a836-0bb4-4d79-aa0d-20b4805e15e2" xsi:nil="true"/>
    <Legal_x0020_Group1 xmlns="a4e268e6-c6c5-44dc-b698-3dedf41f22e3">Resource Policy and Planning</Legal_x0020_Group1>
    <Clip xmlns="d2dc5d60-c3be-4fb3-a9f3-d6d684f95604" xsi:nil="true"/>
    <_dlc_DocId xmlns="ec52a836-0bb4-4d79-aa0d-20b4805e15e2">LIMSO365-1728027242-5050</_dlc_DocId>
    <_dlc_DocIdUrl xmlns="ec52a836-0bb4-4d79-aa0d-20b4805e15e2">
      <Url>https://edisonintl.sharepoint.com/teams/LIMS O365/RPP/_layouts/15/DocIdRedir.aspx?ID=LIMSO365-1728027242-5050</Url>
      <Description>LIMSO365-1728027242-5050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Legal Document" ma:contentTypeID="0x01010059CF184591B1604A8B5108A47612E812001417249F98166246B871C94DA6044D2E" ma:contentTypeVersion="67" ma:contentTypeDescription="" ma:contentTypeScope="" ma:versionID="7072407bda17a5bce0a0f4e74947f3ff">
  <xsd:schema xmlns:xsd="http://www.w3.org/2001/XMLSchema" xmlns:xs="http://www.w3.org/2001/XMLSchema" xmlns:p="http://schemas.microsoft.com/office/2006/metadata/properties" xmlns:ns3="ec52a836-0bb4-4d79-aa0d-20b4805e15e2" xmlns:ns4="a4e268e6-c6c5-44dc-b698-3dedf41f22e3" xmlns:ns5="d2dc5d60-c3be-4fb3-a9f3-d6d684f95604" targetNamespace="http://schemas.microsoft.com/office/2006/metadata/properties" ma:root="true" ma:fieldsID="1ba320fd8fa7bb7582c4f5cd83b9ab32" ns3:_="" ns4:_="" ns5:_="">
    <xsd:import namespace="ec52a836-0bb4-4d79-aa0d-20b4805e15e2"/>
    <xsd:import namespace="a4e268e6-c6c5-44dc-b698-3dedf41f22e3"/>
    <xsd:import namespace="d2dc5d60-c3be-4fb3-a9f3-d6d684f95604"/>
    <xsd:element name="properties">
      <xsd:complexType>
        <xsd:sequence>
          <xsd:element name="documentManagement">
            <xsd:complexType>
              <xsd:all>
                <xsd:element ref="ns3:Document_x0020_Date" minOccurs="0"/>
                <xsd:element ref="ns4:LastSharedByTime" minOccurs="0"/>
                <xsd:element ref="ns4:LastSharedByUser" minOccurs="0"/>
                <xsd:element ref="ns3:_dlc_DocId" minOccurs="0"/>
                <xsd:element ref="ns3:_dlc_DocIdUrl" minOccurs="0"/>
                <xsd:element ref="ns3:_dlc_DocIdPersistId" minOccurs="0"/>
                <xsd:element ref="ns5:MediaServiceMetadata" minOccurs="0"/>
                <xsd:element ref="ns5:MediaServiceFastMetadata" minOccurs="0"/>
                <xsd:element ref="ns5:Clip" minOccurs="0"/>
                <xsd:element ref="ns4:Legal_x0020_Group1" minOccurs="0"/>
                <xsd:element ref="ns5:MediaServiceEventHashCode" minOccurs="0"/>
                <xsd:element ref="ns5:MediaServiceGenerationTim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a836-0bb4-4d79-aa0d-20b4805e15e2" elementFormDefault="qualified">
    <xsd:import namespace="http://schemas.microsoft.com/office/2006/documentManagement/types"/>
    <xsd:import namespace="http://schemas.microsoft.com/office/infopath/2007/PartnerControls"/>
    <xsd:element name="Document_x0020_Date" ma:index="3" nillable="true" ma:displayName="Document Date" ma:format="DateOnly" ma:indexed="true" ma:internalName="Document_x0020_Date0">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e268e6-c6c5-44dc-b698-3dedf41f22e3" elementFormDefault="qualified">
    <xsd:import namespace="http://schemas.microsoft.com/office/2006/documentManagement/types"/>
    <xsd:import namespace="http://schemas.microsoft.com/office/infopath/2007/PartnerControls"/>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egal_x0020_Group1" ma:index="19" nillable="true" ma:displayName="Legal Group" ma:default="Resource Policy and Planning" ma:format="Dropdown" ma:internalName="Legal_x0020_Group1">
      <xsd:simpleType>
        <xsd:restriction base="dms:Choice">
          <xsd:enumeration value="Claims and General Litigation"/>
          <xsd:enumeration value="Commercial Litigation"/>
          <xsd:enumeration value="Contracts And Intellectual Property"/>
          <xsd:enumeration value="Base Rates and Grid Support"/>
          <xsd:enumeration value="Corporate Governance - Area"/>
          <xsd:enumeration value="Customer and Tariff"/>
          <xsd:enumeration value="Labor and Employment"/>
          <xsd:enumeration value="Licensing and Environmental"/>
          <xsd:enumeration value="Power Procurement"/>
          <xsd:enumeration value="Real Prop and Local Government"/>
          <xsd:enumeration value="Resource Policy and Planning"/>
          <xsd:enumeration value="Transmission and Wholesale Markets"/>
        </xsd:restriction>
      </xsd:simpleType>
    </xsd:element>
  </xsd:schema>
  <xsd:schema xmlns:xsd="http://www.w3.org/2001/XMLSchema" xmlns:xs="http://www.w3.org/2001/XMLSchema" xmlns:dms="http://schemas.microsoft.com/office/2006/documentManagement/types" xmlns:pc="http://schemas.microsoft.com/office/infopath/2007/PartnerControls" targetNamespace="d2dc5d60-c3be-4fb3-a9f3-d6d684f9560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Clip" ma:index="18" nillable="true" ma:displayName="Clip" ma:list="{909c1646-3c59-4e76-9d6f-cc31a7767851}" ma:internalName="Clip" ma:showField="Title">
      <xsd:simpleType>
        <xsd:restriction base="dms:Lookup"/>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4737AFB8-D6CC-4652-B629-21F710ACEDCA}">
  <ds:schemaRefs>
    <ds:schemaRef ds:uri="http://schemas.microsoft.com/office/infopath/2007/PartnerControls"/>
    <ds:schemaRef ds:uri="http://purl.org/dc/term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BB039EE-674C-4974-A61E-E17B2BAA4FCE}"/>
</file>

<file path=customXml/itemProps3.xml><?xml version="1.0" encoding="utf-8"?>
<ds:datastoreItem xmlns:ds="http://schemas.openxmlformats.org/officeDocument/2006/customXml" ds:itemID="{B6AE8243-963A-4F4C-9B74-6DEBA2860B99}">
  <ds:schemaRefs>
    <ds:schemaRef ds:uri="http://schemas.microsoft.com/sharepoint/v3/contenttype/forms"/>
  </ds:schemaRefs>
</ds:datastoreItem>
</file>

<file path=customXml/itemProps4.xml><?xml version="1.0" encoding="utf-8"?>
<ds:datastoreItem xmlns:ds="http://schemas.openxmlformats.org/officeDocument/2006/customXml" ds:itemID="{8C67A9E3-FC38-4DE4-917E-2156A1CE5B84}"/>
</file>

<file path=customXml/itemProps5.xml><?xml version="1.0" encoding="utf-8"?>
<ds:datastoreItem xmlns:ds="http://schemas.openxmlformats.org/officeDocument/2006/customXml" ds:itemID="{9BAD60CC-DE56-413E-AA36-12772B5AACC6}"/>
</file>

<file path=docProps/app.xml><?xml version="1.0" encoding="utf-8"?>
<Properties xmlns="http://schemas.openxmlformats.org/officeDocument/2006/extended-properties" xmlns:vt="http://schemas.openxmlformats.org/officeDocument/2006/docPropsVTypes">
  <Template>Normal.dotm</Template>
  <TotalTime>1170</TotalTime>
  <Pages>6</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Grygier, Jan</dc:creator>
  <cp:keywords/>
  <dc:description/>
  <cp:lastModifiedBy>Grygier, Jan</cp:lastModifiedBy>
  <cp:revision>24</cp:revision>
  <dcterms:created xsi:type="dcterms:W3CDTF">2020-05-27T21:49:00Z</dcterms:created>
  <dcterms:modified xsi:type="dcterms:W3CDTF">2020-05-28T18:07:00Z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0x01010059CF184591B1604A8B5108A47612E812001417249F98166246B871C94DA6044D2E</vt:lpwstr>
  </property>
  <property fmtid="{D5CDD505-2E9C-101B-9397-08002B2CF9AE}" pid="3" name="_dlc_DocIdItemGuid">
    <vt:lpwstr>5db72fce-7854-43fb-9e75-a71b5921b5c4</vt:lpwstr>
  </property>
</Properties>
</file>