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charts/chart1.xml" ContentType="application/vnd.openxmlformats-officedocument.drawingml.chart+xml"/>
  <Override PartName="/word/footer12.xml" ContentType="application/vnd.openxmlformats-officedocument.wordprocessingml.footer+xml"/>
  <Override PartName="/word/footer13.xml" ContentType="application/vnd.openxmlformats-officedocument.wordprocessingml.footer+xml"/>
  <Override PartName="/word/charts/chart2.xml" ContentType="application/vnd.openxmlformats-officedocument.drawingml.chart+xml"/>
  <Override PartName="/word/charts/chart3.xml" ContentType="application/vnd.openxmlformats-officedocument.drawingml.chart+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charts/chart6.xml" ContentType="application/vnd.openxmlformats-officedocument.drawingml.chart+xml"/>
  <Override PartName="/word/theme/themeOverride1.xml" ContentType="application/vnd.openxmlformats-officedocument.themeOverride+xml"/>
  <Override PartName="/word/footer29.xml" ContentType="application/vnd.openxmlformats-officedocument.wordprocessingml.footer+xml"/>
  <Override PartName="/word/header9.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369" w:rsidRDefault="00AC6369" w:rsidP="00AC6369">
      <w:pPr>
        <w:jc w:val="right"/>
      </w:pPr>
    </w:p>
    <w:p w:rsidR="00A53758" w:rsidRPr="00497A95" w:rsidRDefault="001C38B7" w:rsidP="001B23B3">
      <w:pPr>
        <w:pStyle w:val="ProposalTitle-Blue"/>
      </w:pPr>
      <w:r w:rsidRPr="00B828B0">
        <w:rPr>
          <w:noProof/>
          <w:sz w:val="52"/>
          <w:szCs w:val="52"/>
          <w:highlight w:val="yellow"/>
        </w:rPr>
        <mc:AlternateContent>
          <mc:Choice Requires="wpg">
            <w:drawing>
              <wp:anchor distT="0" distB="0" distL="114300" distR="114300" simplePos="0" relativeHeight="251685888" behindDoc="0" locked="0" layoutInCell="1" allowOverlap="1" wp14:anchorId="554E7CA4" wp14:editId="3F107A9E">
                <wp:simplePos x="0" y="0"/>
                <wp:positionH relativeFrom="column">
                  <wp:posOffset>653415</wp:posOffset>
                </wp:positionH>
                <wp:positionV relativeFrom="paragraph">
                  <wp:posOffset>307975</wp:posOffset>
                </wp:positionV>
                <wp:extent cx="1885950" cy="7463155"/>
                <wp:effectExtent l="0" t="0" r="0" b="4445"/>
                <wp:wrapNone/>
                <wp:docPr id="47" name="Group 47"/>
                <wp:cNvGraphicFramePr/>
                <a:graphic xmlns:a="http://schemas.openxmlformats.org/drawingml/2006/main">
                  <a:graphicData uri="http://schemas.microsoft.com/office/word/2010/wordprocessingGroup">
                    <wpg:wgp>
                      <wpg:cNvGrpSpPr/>
                      <wpg:grpSpPr>
                        <a:xfrm>
                          <a:off x="0" y="0"/>
                          <a:ext cx="1885950" cy="7463155"/>
                          <a:chOff x="228600" y="-1119943"/>
                          <a:chExt cx="1885950" cy="7463593"/>
                        </a:xfrm>
                      </wpg:grpSpPr>
                      <pic:pic xmlns:pic="http://schemas.openxmlformats.org/drawingml/2006/picture">
                        <pic:nvPicPr>
                          <pic:cNvPr id="41" name="Picture 41"/>
                          <pic:cNvPicPr>
                            <a:picLocks noChangeAspect="1"/>
                          </pic:cNvPicPr>
                        </pic:nvPicPr>
                        <pic:blipFill rotWithShape="1">
                          <a:blip r:embed="rId9">
                            <a:extLst>
                              <a:ext uri="{28A0092B-C50C-407E-A947-70E740481C1C}">
                                <a14:useLocalDpi xmlns:a14="http://schemas.microsoft.com/office/drawing/2010/main" val="0"/>
                              </a:ext>
                            </a:extLst>
                          </a:blip>
                          <a:srcRect l="69558"/>
                          <a:stretch/>
                        </pic:blipFill>
                        <pic:spPr bwMode="auto">
                          <a:xfrm>
                            <a:off x="1638300" y="-1119943"/>
                            <a:ext cx="476250" cy="731119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6" name="Picture 46"/>
                          <pic:cNvPicPr>
                            <a:picLocks noChangeAspect="1"/>
                          </pic:cNvPicPr>
                        </pic:nvPicPr>
                        <pic:blipFill rotWithShape="1">
                          <a:blip r:embed="rId9">
                            <a:extLst>
                              <a:ext uri="{28A0092B-C50C-407E-A947-70E740481C1C}">
                                <a14:useLocalDpi xmlns:a14="http://schemas.microsoft.com/office/drawing/2010/main" val="0"/>
                              </a:ext>
                            </a:extLst>
                          </a:blip>
                          <a:srcRect t="92164"/>
                          <a:stretch/>
                        </pic:blipFill>
                        <pic:spPr bwMode="auto">
                          <a:xfrm>
                            <a:off x="228600" y="5810250"/>
                            <a:ext cx="1885950" cy="53340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id="Group 47" o:spid="_x0000_s1026" style="position:absolute;margin-left:51.45pt;margin-top:24.25pt;width:148.5pt;height:587.65pt;z-index:251685888;mso-width-relative:margin;mso-height-relative:margin" coordorigin="2286,-11199" coordsize="18859,746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 o:spid="_x0000_s1027" type="#_x0000_t75" style="position:absolute;left:16383;top:-11199;width:4762;height:7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t8i3CAAAA2wAAAA8AAABkcnMvZG93bnJldi54bWxEj0GLwjAUhO+C/yE8YW+a1hWRahQRVqSy&#10;B6veH82zLTYvpclq7a83Cwt7HGbmG2a16UwtHtS6yrKCeBKBIM6trrhQcDl/jRcgnEfWWFsmBS9y&#10;sFkPBytMtH3yiR6ZL0SAsEtQQel9k0jp8pIMuoltiIN3s61BH2RbSN3iM8BNLadRNJcGKw4LJTa0&#10;Kym/Zz9GQd8bfek+4+LbHfc9neP0Ok1TpT5G3XYJwlPn/8N/7YNWMIvh90v4AXL9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7fItwgAAANsAAAAPAAAAAAAAAAAAAAAAAJ8C&#10;AABkcnMvZG93bnJldi54bWxQSwUGAAAAAAQABAD3AAAAjgMAAAAA&#10;">
                  <v:imagedata r:id="rId10" o:title="" cropleft="45586f"/>
                  <v:path arrowok="t"/>
                </v:shape>
                <v:shape id="Picture 46" o:spid="_x0000_s1028" type="#_x0000_t75" style="position:absolute;left:2286;top:58102;width:18859;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yQH7DAAAA2wAAAA8AAABkcnMvZG93bnJldi54bWxEj0FrwkAUhO+C/2F5gjezUYqUNJtglVJL&#10;T1Uh10f2NQnNvl2y2xj99d1CocdhZr5h8nIyvRhp8J1lBeskBUFcW91xo+Byflk9gvABWWNvmRTc&#10;yENZzGc5Ztpe+YPGU2hEhLDPUEEbgsuk9HVLBn1iHXH0Pu1gMEQ5NFIPeI1w08tNmm6lwY7jQouO&#10;9i3VX6dvo8A9n81hp6uqeb2PbgpvlX5nVmq5mHZPIAJN4T/81z5qBQ9b+P0Sf4As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XJAfsMAAADbAAAADwAAAAAAAAAAAAAAAACf&#10;AgAAZHJzL2Rvd25yZXYueG1sUEsFBgAAAAAEAAQA9wAAAI8DAAAAAA==&#10;">
                  <v:imagedata r:id="rId10" o:title="" croptop="60401f"/>
                  <v:path arrowok="t"/>
                </v:shape>
              </v:group>
            </w:pict>
          </mc:Fallback>
        </mc:AlternateContent>
      </w:r>
      <w:r w:rsidRPr="00B828B0">
        <w:rPr>
          <w:noProof/>
          <w:highlight w:val="yellow"/>
        </w:rPr>
        <mc:AlternateContent>
          <mc:Choice Requires="wpg">
            <w:drawing>
              <wp:anchor distT="0" distB="0" distL="114300" distR="114300" simplePos="0" relativeHeight="251692032" behindDoc="0" locked="0" layoutInCell="1" allowOverlap="1" wp14:anchorId="763CCD79" wp14:editId="15A37F24">
                <wp:simplePos x="0" y="0"/>
                <wp:positionH relativeFrom="column">
                  <wp:posOffset>347353</wp:posOffset>
                </wp:positionH>
                <wp:positionV relativeFrom="paragraph">
                  <wp:posOffset>43139</wp:posOffset>
                </wp:positionV>
                <wp:extent cx="1918549" cy="7390263"/>
                <wp:effectExtent l="342900" t="342900" r="24765" b="20320"/>
                <wp:wrapNone/>
                <wp:docPr id="17" name="Group 17"/>
                <wp:cNvGraphicFramePr/>
                <a:graphic xmlns:a="http://schemas.openxmlformats.org/drawingml/2006/main">
                  <a:graphicData uri="http://schemas.microsoft.com/office/word/2010/wordprocessingGroup">
                    <wpg:wgp>
                      <wpg:cNvGrpSpPr/>
                      <wpg:grpSpPr>
                        <a:xfrm>
                          <a:off x="0" y="0"/>
                          <a:ext cx="1918549" cy="7390263"/>
                          <a:chOff x="-2" y="-1"/>
                          <a:chExt cx="1918549" cy="7390263"/>
                        </a:xfrm>
                        <a:effectLst>
                          <a:outerShdw blurRad="50800" dist="381000" dir="13500000" algn="br" rotWithShape="0">
                            <a:srgbClr val="0070CD">
                              <a:alpha val="40000"/>
                            </a:srgbClr>
                          </a:outerShdw>
                        </a:effectLst>
                      </wpg:grpSpPr>
                      <pic:pic xmlns:pic="http://schemas.openxmlformats.org/drawingml/2006/picture">
                        <pic:nvPicPr>
                          <pic:cNvPr id="1" name="Picture 1" descr="C:\Users\mrohde\Documents\Nexant Templates\cover ideas\electric power lines.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918118" cy="1278809"/>
                          </a:xfrm>
                          <a:prstGeom prst="rect">
                            <a:avLst/>
                          </a:prstGeom>
                          <a:noFill/>
                          <a:ln>
                            <a:solidFill>
                              <a:schemeClr val="tx1"/>
                            </a:solidFill>
                          </a:ln>
                        </pic:spPr>
                      </pic:pic>
                      <pic:pic xmlns:pic="http://schemas.openxmlformats.org/drawingml/2006/picture">
                        <pic:nvPicPr>
                          <pic:cNvPr id="2" name="Picture 2" descr="C:\Users\mrohde\Documents\Nexant Templates\cover ideas\electric wind.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262340"/>
                            <a:ext cx="1918333" cy="1278952"/>
                          </a:xfrm>
                          <a:prstGeom prst="rect">
                            <a:avLst/>
                          </a:prstGeom>
                          <a:noFill/>
                          <a:ln>
                            <a:solidFill>
                              <a:schemeClr val="tx1"/>
                            </a:solidFill>
                          </a:ln>
                        </pic:spPr>
                      </pic:pic>
                      <pic:pic xmlns:pic="http://schemas.openxmlformats.org/drawingml/2006/picture">
                        <pic:nvPicPr>
                          <pic:cNvPr id="5" name="Picture 5" descr="C:\Users\mrohde\Documents\Nexant Templates\cover ideas\electric solar roof.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 y="2538169"/>
                            <a:ext cx="1918333" cy="1193852"/>
                          </a:xfrm>
                          <a:prstGeom prst="rect">
                            <a:avLst/>
                          </a:prstGeom>
                          <a:noFill/>
                          <a:ln>
                            <a:solidFill>
                              <a:schemeClr val="tx1"/>
                            </a:solidFill>
                          </a:ln>
                        </pic:spPr>
                      </pic:pic>
                      <pic:pic xmlns:pic="http://schemas.openxmlformats.org/drawingml/2006/picture">
                        <pic:nvPicPr>
                          <pic:cNvPr id="6" name="Picture 6" descr="C:\Users\mrohde\Documents\Nexant Templates\cover ideas\electric meter.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 y="3717869"/>
                            <a:ext cx="1918549" cy="1270079"/>
                          </a:xfrm>
                          <a:prstGeom prst="rect">
                            <a:avLst/>
                          </a:prstGeom>
                          <a:noFill/>
                          <a:ln>
                            <a:solidFill>
                              <a:schemeClr val="tx1"/>
                            </a:solidFill>
                          </a:ln>
                        </pic:spPr>
                      </pic:pic>
                      <pic:pic xmlns:pic="http://schemas.openxmlformats.org/drawingml/2006/picture">
                        <pic:nvPicPr>
                          <pic:cNvPr id="8" name="Picture 8" descr="C:\Users\mrohde\Documents\Nexant Templates\cover ideas\electric tesla.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4987949"/>
                            <a:ext cx="1917904" cy="1278666"/>
                          </a:xfrm>
                          <a:prstGeom prst="rect">
                            <a:avLst/>
                          </a:prstGeom>
                          <a:noFill/>
                          <a:ln>
                            <a:solidFill>
                              <a:schemeClr val="tx1"/>
                            </a:solidFill>
                          </a:ln>
                        </pic:spPr>
                      </pic:pic>
                      <pic:pic xmlns:pic="http://schemas.openxmlformats.org/drawingml/2006/picture">
                        <pic:nvPicPr>
                          <pic:cNvPr id="13" name="Picture 13" descr="C:\Users\mrohde\Documents\Nexant Templates\cover ideas\electric cfl.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6106996"/>
                            <a:ext cx="1917904" cy="1283266"/>
                          </a:xfrm>
                          <a:prstGeom prst="rect">
                            <a:avLst/>
                          </a:prstGeom>
                          <a:noFill/>
                          <a:ln>
                            <a:solidFill>
                              <a:schemeClr val="tx1"/>
                            </a:solidFill>
                          </a:ln>
                        </pic:spPr>
                      </pic:pic>
                    </wpg:wgp>
                  </a:graphicData>
                </a:graphic>
                <wp14:sizeRelH relativeFrom="margin">
                  <wp14:pctWidth>0</wp14:pctWidth>
                </wp14:sizeRelH>
                <wp14:sizeRelV relativeFrom="margin">
                  <wp14:pctHeight>0</wp14:pctHeight>
                </wp14:sizeRelV>
              </wp:anchor>
            </w:drawing>
          </mc:Choice>
          <mc:Fallback>
            <w:pict>
              <v:group id="Group 17" o:spid="_x0000_s1026" style="position:absolute;margin-left:27.35pt;margin-top:3.4pt;width:151.05pt;height:581.9pt;z-index:251692032;mso-width-relative:margin;mso-height-relative:margin" coordorigin="" coordsize="19185,739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">
                <v:shape id="Picture 1" o:spid="_x0000_s1027" type="#_x0000_t75" style="position:absolute;width:19181;height:12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KRyvCAAAA2gAAAA8AAABkcnMvZG93bnJldi54bWxET01rwkAQvQv+h2UKXopuWkFKdJVgkaoo&#10;1GihxyE7TYLZ2ZhdTfrvu0LB0/B4nzNbdKYSN2pcaVnByygCQZxZXXKu4HRcDd9AOI+ssbJMCn7J&#10;wWLe780w1rblA91Sn4sQwi5GBYX3dSylywoy6Ea2Jg7cj20M+gCbXOoG2xBuKvkaRRNpsOTQUGBN&#10;y4Kyc3o1Ct5Rfu02H9/PbfKZXA7bdLzc7MdKDZ66ZArCU+cf4n/3Wof5cH/lfuX8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SkcrwgAAANoAAAAPAAAAAAAAAAAAAAAAAJ8C&#10;AABkcnMvZG93bnJldi54bWxQSwUGAAAAAAQABAD3AAAAjgMAAAAA&#10;" stroked="t" strokecolor="#464749 [3213]">
                  <v:imagedata r:id="rId17" o:title="electric power lines"/>
                  <v:path arrowok="t"/>
                </v:shape>
                <v:shape id="Picture 2" o:spid="_x0000_s1028" type="#_x0000_t75" style="position:absolute;top:12623;width:19183;height:12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82+6zDAAAA2gAAAA8AAABkcnMvZG93bnJldi54bWxEj8FqwzAQRO+F/IPYQC8mkeNC6zhRQii0&#10;1Ice7OYDFmtjmVgrYymO+/dVodDjMDNvmP1xtr2YaPSdYwWbdQqCuHG641bB+ettlYPwAVlj75gU&#10;fJOH42HxsMdCuztXNNWhFRHCvkAFJoShkNI3hiz6tRuIo3dxo8UQ5dhKPeI9wm0vszR9lhY7jgsG&#10;B3o11Fzrm1WQlp/eVVzn3ebJlNv3RJbJy6TU43I+7UAEmsN/+K/9oRVk8Hsl3gB5+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zb7rMMAAADaAAAADwAAAAAAAAAAAAAAAACf&#10;AgAAZHJzL2Rvd25yZXYueG1sUEsFBgAAAAAEAAQA9wAAAI8DAAAAAA==&#10;" stroked="t" strokecolor="#464749 [3213]">
                  <v:imagedata r:id="rId18" o:title="electric wind"/>
                  <v:path arrowok="t"/>
                </v:shape>
                <v:shape id="Picture 5" o:spid="_x0000_s1029" type="#_x0000_t75" style="position:absolute;top:25381;width:19183;height:11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9ENxPCAAAA2gAAAA8AAABkcnMvZG93bnJldi54bWxEj0+LwjAUxO/CfofwFrxpui6KdI1SFgo9&#10;ePHPocdH82zKNi8liVq//UYQPA4z8xtmsxttL27kQ+dYwdc8A0HcON1xq+B8KmdrECEia+wdk4IH&#10;BdhtPyYbzLW784Fux9iKBOGQowIT45BLGRpDFsPcDcTJuzhvMSbpW6k93hPc9nKRZStpseO0YHCg&#10;X0PN3/FqFZxWPpa13xffj+W6uJh9VVZNrdT0cyx+QEQa4zv8aldawRKeV9INkNt/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RDcTwgAAANoAAAAPAAAAAAAAAAAAAAAAAJ8C&#10;AABkcnMvZG93bnJldi54bWxQSwUGAAAAAAQABAD3AAAAjgMAAAAA&#10;" stroked="t" strokecolor="#464749 [3213]">
                  <v:imagedata r:id="rId19" o:title="electric solar roof"/>
                  <v:path arrowok="t"/>
                </v:shape>
                <v:shape id="Picture 6" o:spid="_x0000_s1030" type="#_x0000_t75" style="position:absolute;top:37178;width:19185;height:12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XqrLCAAAA2gAAAA8AAABkcnMvZG93bnJldi54bWxEj91qAjEUhO8LvkM4hd7VpEJFVqOIKFRQ&#10;qH94e9ic7i7dnKxJ6q5v3wiCl8PMfMNMZp2txZV8qBxr+OgrEMS5MxUXGo6H1fsIRIjIBmvHpOFG&#10;AWbT3ssEM+Na3tF1HwuRIBwy1FDG2GRShrwki6HvGuLk/ThvMSbpC2k8tgluazlQaigtVpwWSmxo&#10;UVL+u/+zGpafCtenlVfry4bDuW6LzdZ/a/322s3HICJ18Rl+tL+MhiHcr6QbIK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16qywgAAANoAAAAPAAAAAAAAAAAAAAAAAJ8C&#10;AABkcnMvZG93bnJldi54bWxQSwUGAAAAAAQABAD3AAAAjgMAAAAA&#10;" stroked="t" strokecolor="#464749 [3213]">
                  <v:imagedata r:id="rId20" o:title="electric meter"/>
                  <v:path arrowok="t"/>
                </v:shape>
                <v:shape id="Picture 8" o:spid="_x0000_s1031" type="#_x0000_t75" style="position:absolute;top:49879;width:19179;height:12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0Mge7AAAA2gAAAA8AAABkcnMvZG93bnJldi54bWxET0sKwjAQ3QveIYzgThNFRKpRRBREV60e&#10;YGjGtthMShO1enqzEFw+3n+16WwtntT6yrGGyViBIM6dqbjQcL0cRgsQPiAbrB2Thjd52Kz7vRUm&#10;xr04pWcWChFD2CeooQyhSaT0eUkW/dg1xJG7udZiiLAtpGnxFcNtLadKzaXFimNDiQ3tSsrv2cNq&#10;6EyWTjHdH7P9TF3U53Suq/ys9XDQbZcgAnXhL/65j0ZD3BqvxBsg118A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LW0Mge7AAAA2gAAAA8AAAAAAAAAAAAAAAAAnwIAAGRycy9k&#10;b3ducmV2LnhtbFBLBQYAAAAABAAEAPcAAACHAwAAAAA=&#10;" stroked="t" strokecolor="#464749 [3213]">
                  <v:imagedata r:id="rId21" o:title="electric tesla"/>
                  <v:path arrowok="t"/>
                </v:shape>
                <v:shape id="Picture 13" o:spid="_x0000_s1032" type="#_x0000_t75" style="position:absolute;top:61069;width:19179;height:128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8ahTjBAAAA2wAAAA8AAABkcnMvZG93bnJldi54bWxET01rwkAQvRf8D8sIvTUbW7EhdRURCqWe&#10;TKTnMTtN0mZnw+6apP++Kwje5vE+Z72dTCcGcr61rGCRpCCIK6tbrhWcyvenDIQPyBo7y6Tgjzxs&#10;N7OHNebajnykoQi1iCHsc1TQhNDnUvqqIYM+sT1x5L6tMxgidLXUDscYbjr5nKYrabDl2NBgT/uG&#10;qt/iYhSUX5dl9bM8p/vDWXPhpPOf2atSj/Np9wYi0BTu4pv7Q8f5L3D9JR4gN/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8ahTjBAAAA2wAAAA8AAAAAAAAAAAAAAAAAnwIA&#10;AGRycy9kb3ducmV2LnhtbFBLBQYAAAAABAAEAPcAAACNAwAAAAA=&#10;" stroked="t" strokecolor="#464749 [3213]">
                  <v:imagedata r:id="rId22" o:title="electric cfl"/>
                  <v:path arrowok="t"/>
                </v:shape>
              </v:group>
            </w:pict>
          </mc:Fallback>
        </mc:AlternateContent>
      </w:r>
    </w:p>
    <w:p w:rsidR="00F3019B" w:rsidRPr="00482A29" w:rsidRDefault="00761057" w:rsidP="005E2CBB">
      <w:pPr>
        <w:pStyle w:val="ProposalTitle-Blue"/>
        <w:ind w:left="4320"/>
        <w:rPr>
          <w:color w:val="FF0000"/>
          <w:sz w:val="36"/>
          <w:szCs w:val="36"/>
        </w:rPr>
      </w:pPr>
      <w:r w:rsidRPr="00497A95">
        <w:rPr>
          <w:sz w:val="36"/>
          <w:szCs w:val="36"/>
        </w:rPr>
        <w:t>201</w:t>
      </w:r>
      <w:r w:rsidR="009E35B0">
        <w:rPr>
          <w:sz w:val="36"/>
          <w:szCs w:val="36"/>
        </w:rPr>
        <w:t>7</w:t>
      </w:r>
      <w:r w:rsidRPr="00497A95">
        <w:rPr>
          <w:sz w:val="36"/>
          <w:szCs w:val="36"/>
        </w:rPr>
        <w:t xml:space="preserve"> Load Impact Evaluation of the California Statewide Permanent Load Shifting Program</w:t>
      </w:r>
      <w:r w:rsidR="00482A29" w:rsidRPr="00482A29">
        <w:rPr>
          <w:color w:val="FF0000"/>
          <w:sz w:val="36"/>
          <w:szCs w:val="36"/>
        </w:rPr>
        <w:t xml:space="preserve"> </w:t>
      </w:r>
    </w:p>
    <w:p w:rsidR="00F3019B" w:rsidRPr="00497A95" w:rsidRDefault="003A34B9" w:rsidP="005E2CBB">
      <w:pPr>
        <w:pStyle w:val="RFPNo"/>
        <w:ind w:left="4320"/>
        <w:rPr>
          <w:sz w:val="32"/>
          <w:szCs w:val="32"/>
        </w:rPr>
      </w:pPr>
      <w:r>
        <w:rPr>
          <w:sz w:val="32"/>
          <w:szCs w:val="32"/>
        </w:rPr>
        <w:t>April 1</w:t>
      </w:r>
      <w:bookmarkStart w:id="0" w:name="_GoBack"/>
      <w:bookmarkEnd w:id="0"/>
      <w:r w:rsidR="0003461A">
        <w:rPr>
          <w:sz w:val="32"/>
          <w:szCs w:val="32"/>
        </w:rPr>
        <w:t>, 2018</w:t>
      </w:r>
    </w:p>
    <w:p w:rsidR="00F3019B" w:rsidRPr="00497A95" w:rsidRDefault="00F3019B" w:rsidP="005E2CBB">
      <w:pPr>
        <w:pStyle w:val="RFPNo"/>
        <w:ind w:left="4320"/>
        <w:rPr>
          <w:sz w:val="32"/>
          <w:szCs w:val="32"/>
        </w:rPr>
      </w:pPr>
    </w:p>
    <w:p w:rsidR="00A2730B" w:rsidRPr="002E1C1C" w:rsidRDefault="00A2730B" w:rsidP="002E1C1C">
      <w:pPr>
        <w:pStyle w:val="RFPNo"/>
        <w:tabs>
          <w:tab w:val="left" w:pos="2070"/>
        </w:tabs>
        <w:ind w:left="4320"/>
        <w:rPr>
          <w:sz w:val="32"/>
          <w:szCs w:val="32"/>
        </w:rPr>
      </w:pPr>
      <w:r w:rsidRPr="00497A95">
        <w:rPr>
          <w:b/>
          <w:sz w:val="32"/>
          <w:szCs w:val="32"/>
        </w:rPr>
        <w:t>Prepared for</w:t>
      </w:r>
      <w:r w:rsidRPr="00497A95">
        <w:rPr>
          <w:sz w:val="32"/>
          <w:szCs w:val="32"/>
        </w:rPr>
        <w:t xml:space="preserve"> </w:t>
      </w:r>
      <w:r w:rsidR="00A53758" w:rsidRPr="00497A95">
        <w:rPr>
          <w:sz w:val="32"/>
          <w:szCs w:val="32"/>
        </w:rPr>
        <w:br/>
      </w:r>
      <w:r w:rsidR="00482A29" w:rsidRPr="00497A95">
        <w:rPr>
          <w:sz w:val="32"/>
          <w:szCs w:val="32"/>
        </w:rPr>
        <w:t xml:space="preserve">Pacific Gas &amp; Electric </w:t>
      </w:r>
      <w:r w:rsidR="00482A29">
        <w:rPr>
          <w:sz w:val="32"/>
          <w:szCs w:val="32"/>
        </w:rPr>
        <w:br/>
      </w:r>
      <w:r w:rsidR="00761057" w:rsidRPr="00497A95">
        <w:rPr>
          <w:sz w:val="32"/>
          <w:szCs w:val="32"/>
        </w:rPr>
        <w:t>San Diego Gas &amp; Electric</w:t>
      </w:r>
      <w:r w:rsidR="00761057" w:rsidRPr="00497A95">
        <w:rPr>
          <w:sz w:val="32"/>
          <w:szCs w:val="32"/>
        </w:rPr>
        <w:br/>
        <w:t>Southern California Edison</w:t>
      </w:r>
      <w:r w:rsidR="00761057" w:rsidRPr="00497A95">
        <w:rPr>
          <w:sz w:val="32"/>
          <w:szCs w:val="32"/>
        </w:rPr>
        <w:br/>
      </w:r>
    </w:p>
    <w:p w:rsidR="00F3019B" w:rsidRPr="00F4357B" w:rsidRDefault="00A2730B" w:rsidP="008B3E1E">
      <w:pPr>
        <w:pStyle w:val="RFPNo"/>
        <w:spacing w:after="120"/>
        <w:ind w:left="4320" w:right="-187"/>
        <w:rPr>
          <w:i/>
          <w:sz w:val="32"/>
          <w:szCs w:val="32"/>
        </w:rPr>
      </w:pPr>
      <w:r w:rsidRPr="00F4357B">
        <w:rPr>
          <w:b/>
          <w:sz w:val="32"/>
          <w:szCs w:val="32"/>
        </w:rPr>
        <w:t>Prepar</w:t>
      </w:r>
      <w:r w:rsidR="00F3019B" w:rsidRPr="00F4357B">
        <w:rPr>
          <w:b/>
          <w:sz w:val="32"/>
          <w:szCs w:val="32"/>
        </w:rPr>
        <w:t>ed by</w:t>
      </w:r>
      <w:r w:rsidR="00F3019B" w:rsidRPr="00F4357B">
        <w:rPr>
          <w:sz w:val="32"/>
          <w:szCs w:val="32"/>
        </w:rPr>
        <w:t xml:space="preserve"> </w:t>
      </w:r>
      <w:r w:rsidR="00A53758" w:rsidRPr="00F4357B">
        <w:rPr>
          <w:sz w:val="32"/>
          <w:szCs w:val="32"/>
        </w:rPr>
        <w:br/>
      </w:r>
      <w:r w:rsidR="00761057" w:rsidRPr="00F4357B">
        <w:rPr>
          <w:sz w:val="32"/>
          <w:szCs w:val="32"/>
        </w:rPr>
        <w:t>Eric Bell, Ph.D</w:t>
      </w:r>
      <w:proofErr w:type="gramStart"/>
      <w:r w:rsidR="00761057" w:rsidRPr="00F4357B">
        <w:rPr>
          <w:sz w:val="32"/>
          <w:szCs w:val="32"/>
        </w:rPr>
        <w:t>.</w:t>
      </w:r>
      <w:proofErr w:type="gramEnd"/>
      <w:r w:rsidR="00761057" w:rsidRPr="00F4357B">
        <w:rPr>
          <w:sz w:val="32"/>
          <w:szCs w:val="32"/>
        </w:rPr>
        <w:br/>
      </w:r>
      <w:r w:rsidR="00A3759A">
        <w:rPr>
          <w:i/>
          <w:sz w:val="32"/>
          <w:szCs w:val="32"/>
        </w:rPr>
        <w:t>Managing</w:t>
      </w:r>
      <w:r w:rsidR="00761057" w:rsidRPr="00F4357B">
        <w:rPr>
          <w:i/>
          <w:sz w:val="32"/>
          <w:szCs w:val="32"/>
        </w:rPr>
        <w:t xml:space="preserve"> Consultant</w:t>
      </w:r>
    </w:p>
    <w:p w:rsidR="00E53748" w:rsidRDefault="00E53748" w:rsidP="008B3E1E">
      <w:pPr>
        <w:pStyle w:val="RFPNo"/>
        <w:spacing w:after="120"/>
        <w:ind w:left="4320" w:right="-187"/>
        <w:rPr>
          <w:i/>
          <w:sz w:val="32"/>
          <w:szCs w:val="32"/>
        </w:rPr>
      </w:pPr>
      <w:r>
        <w:rPr>
          <w:sz w:val="32"/>
          <w:szCs w:val="32"/>
        </w:rPr>
        <w:t xml:space="preserve">Stephanie </w:t>
      </w:r>
      <w:proofErr w:type="spellStart"/>
      <w:r>
        <w:rPr>
          <w:sz w:val="32"/>
          <w:szCs w:val="32"/>
        </w:rPr>
        <w:t>Bieler</w:t>
      </w:r>
      <w:proofErr w:type="spellEnd"/>
      <w:r w:rsidR="00482A29">
        <w:rPr>
          <w:sz w:val="32"/>
          <w:szCs w:val="32"/>
        </w:rPr>
        <w:br/>
      </w:r>
      <w:r w:rsidRPr="00482A29">
        <w:rPr>
          <w:i/>
          <w:sz w:val="32"/>
          <w:szCs w:val="32"/>
        </w:rPr>
        <w:t>Senior Analyst</w:t>
      </w:r>
    </w:p>
    <w:p w:rsidR="00E53748" w:rsidRPr="00482A29" w:rsidRDefault="00E53748" w:rsidP="008B3E1E">
      <w:pPr>
        <w:pStyle w:val="RFPNo"/>
        <w:spacing w:after="120"/>
        <w:ind w:left="4320" w:right="-187"/>
        <w:rPr>
          <w:i/>
          <w:sz w:val="32"/>
          <w:szCs w:val="32"/>
        </w:rPr>
      </w:pPr>
      <w:r>
        <w:rPr>
          <w:sz w:val="32"/>
          <w:szCs w:val="32"/>
        </w:rPr>
        <w:t xml:space="preserve">Alexandra </w:t>
      </w:r>
      <w:proofErr w:type="spellStart"/>
      <w:r>
        <w:rPr>
          <w:sz w:val="32"/>
          <w:szCs w:val="32"/>
        </w:rPr>
        <w:t>Wein</w:t>
      </w:r>
      <w:proofErr w:type="spellEnd"/>
      <w:r w:rsidR="00482A29">
        <w:rPr>
          <w:sz w:val="32"/>
          <w:szCs w:val="32"/>
        </w:rPr>
        <w:br/>
      </w:r>
      <w:r>
        <w:rPr>
          <w:i/>
          <w:sz w:val="32"/>
          <w:szCs w:val="32"/>
        </w:rPr>
        <w:t>Analyst</w:t>
      </w:r>
    </w:p>
    <w:p w:rsidR="00E53748" w:rsidRPr="00F4357B" w:rsidRDefault="00E53748" w:rsidP="00482A29">
      <w:pPr>
        <w:pStyle w:val="RFPNo"/>
        <w:spacing w:after="120"/>
        <w:ind w:left="0" w:right="-187"/>
        <w:rPr>
          <w:i/>
          <w:sz w:val="32"/>
          <w:szCs w:val="32"/>
        </w:rPr>
      </w:pPr>
    </w:p>
    <w:p w:rsidR="00FA7D76" w:rsidRPr="00F4357B" w:rsidRDefault="00A53758" w:rsidP="001B23B3">
      <w:pPr>
        <w:pStyle w:val="RFPNo"/>
        <w:spacing w:after="120"/>
        <w:ind w:left="4320" w:right="-187"/>
        <w:rPr>
          <w:sz w:val="32"/>
          <w:szCs w:val="32"/>
        </w:rPr>
      </w:pPr>
      <w:r w:rsidRPr="00F4357B">
        <w:rPr>
          <w:i/>
          <w:sz w:val="32"/>
          <w:szCs w:val="32"/>
        </w:rPr>
        <w:t>Nexant, Inc.</w:t>
      </w:r>
      <w:r w:rsidR="00FA7D76" w:rsidRPr="00F4357B">
        <w:rPr>
          <w:i/>
          <w:sz w:val="32"/>
          <w:szCs w:val="32"/>
        </w:rPr>
        <w:t xml:space="preserve"> </w:t>
      </w:r>
    </w:p>
    <w:p w:rsidR="000423F0" w:rsidRPr="00B828B0" w:rsidRDefault="000A5B82" w:rsidP="003D7128">
      <w:pPr>
        <w:pStyle w:val="RFPNo"/>
        <w:ind w:left="4320"/>
        <w:rPr>
          <w:highlight w:val="yellow"/>
        </w:rPr>
      </w:pPr>
      <w:r w:rsidRPr="000A5B82">
        <w:rPr>
          <w:i/>
          <w:sz w:val="32"/>
          <w:szCs w:val="32"/>
        </w:rPr>
        <w:t>CALMAC ID: PGE</w:t>
      </w:r>
      <w:r w:rsidR="00DC08F2">
        <w:rPr>
          <w:i/>
          <w:sz w:val="32"/>
          <w:szCs w:val="32"/>
        </w:rPr>
        <w:t>0411</w:t>
      </w:r>
      <w:r w:rsidR="0079582F" w:rsidRPr="00B828B0">
        <w:rPr>
          <w:noProof/>
          <w:highlight w:val="yellow"/>
        </w:rPr>
        <mc:AlternateContent>
          <mc:Choice Requires="wps">
            <w:drawing>
              <wp:anchor distT="0" distB="0" distL="114300" distR="114300" simplePos="0" relativeHeight="251683840" behindDoc="0" locked="0" layoutInCell="1" allowOverlap="1" wp14:anchorId="1FF97230" wp14:editId="3F9E6818">
                <wp:simplePos x="0" y="0"/>
                <wp:positionH relativeFrom="column">
                  <wp:posOffset>-4663440</wp:posOffset>
                </wp:positionH>
                <wp:positionV relativeFrom="paragraph">
                  <wp:posOffset>189230</wp:posOffset>
                </wp:positionV>
                <wp:extent cx="699770" cy="33864550"/>
                <wp:effectExtent l="13335" t="6985" r="10795" b="8890"/>
                <wp:wrapNone/>
                <wp:docPr id="1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9770" cy="33864550"/>
                        </a:xfrm>
                        <a:prstGeom prst="straightConnector1">
                          <a:avLst/>
                        </a:prstGeom>
                        <a:noFill/>
                        <a:ln w="1270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367.2pt;margin-top:14.9pt;width:55.1pt;height:2666.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" strokecolor="#464749 [3213]" strokeweight="1pt">
                <v:shadow color="#2c2d2e [1607]" opacity=".5" offset="1pt"/>
              </v:shape>
            </w:pict>
          </mc:Fallback>
        </mc:AlternateContent>
      </w:r>
    </w:p>
    <w:p w:rsidR="00F21B63" w:rsidRPr="002E1C1C" w:rsidRDefault="002E1C1C" w:rsidP="00F21B63">
      <w:pPr>
        <w:spacing w:before="240"/>
        <w:ind w:left="4320"/>
        <w:rPr>
          <w:rFonts w:ascii="Arial" w:hAnsi="Arial" w:cs="Arial"/>
          <w:color w:val="000000"/>
          <w:sz w:val="18"/>
          <w:szCs w:val="18"/>
          <w:shd w:val="clear" w:color="auto" w:fill="FFFFFF"/>
        </w:rPr>
      </w:pPr>
      <w:proofErr w:type="gramStart"/>
      <w:r w:rsidRPr="002E1C1C">
        <w:rPr>
          <w:rFonts w:ascii="Arial" w:hAnsi="Arial" w:cs="Arial"/>
          <w:color w:val="000000"/>
          <w:sz w:val="18"/>
          <w:szCs w:val="18"/>
          <w:shd w:val="clear" w:color="auto" w:fill="FFFFFF"/>
        </w:rPr>
        <w:t>Public Version.</w:t>
      </w:r>
      <w:proofErr w:type="gramEnd"/>
      <w:r w:rsidRPr="002E1C1C">
        <w:rPr>
          <w:rFonts w:ascii="Arial" w:hAnsi="Arial" w:cs="Arial"/>
          <w:color w:val="000000"/>
          <w:sz w:val="18"/>
          <w:szCs w:val="18"/>
          <w:shd w:val="clear" w:color="auto" w:fill="FFFFFF"/>
        </w:rPr>
        <w:t xml:space="preserve"> Redactions in</w:t>
      </w:r>
      <w:r w:rsidR="001F1BFD">
        <w:rPr>
          <w:rFonts w:ascii="Arial" w:hAnsi="Arial" w:cs="Arial"/>
          <w:color w:val="000000"/>
          <w:sz w:val="18"/>
          <w:szCs w:val="18"/>
          <w:shd w:val="clear" w:color="auto" w:fill="FFFFFF"/>
        </w:rPr>
        <w:t xml:space="preserve"> </w:t>
      </w:r>
      <w:r w:rsidRPr="002E1C1C">
        <w:rPr>
          <w:rFonts w:ascii="Arial" w:hAnsi="Arial" w:cs="Arial"/>
          <w:color w:val="000000"/>
          <w:sz w:val="18"/>
          <w:szCs w:val="18"/>
          <w:shd w:val="clear" w:color="auto" w:fill="FFFFFF"/>
        </w:rPr>
        <w:t>Statewide 2017 PLS Evalua</w:t>
      </w:r>
      <w:r w:rsidR="00F13AE8">
        <w:rPr>
          <w:rFonts w:ascii="Arial" w:hAnsi="Arial" w:cs="Arial"/>
          <w:color w:val="000000"/>
          <w:sz w:val="18"/>
          <w:szCs w:val="18"/>
          <w:shd w:val="clear" w:color="auto" w:fill="FFFFFF"/>
        </w:rPr>
        <w:t>tion Report</w:t>
      </w:r>
      <w:r w:rsidRPr="002E1C1C">
        <w:rPr>
          <w:rFonts w:ascii="Arial" w:hAnsi="Arial" w:cs="Arial"/>
          <w:color w:val="000000"/>
          <w:sz w:val="18"/>
          <w:szCs w:val="18"/>
          <w:shd w:val="clear" w:color="auto" w:fill="FFFFFF"/>
        </w:rPr>
        <w:t xml:space="preserve"> and appendices</w:t>
      </w:r>
    </w:p>
    <w:p w:rsidR="002E1C1C" w:rsidRPr="002E1C1C" w:rsidRDefault="002E1C1C" w:rsidP="00F21B63">
      <w:pPr>
        <w:spacing w:before="240"/>
        <w:ind w:left="4320"/>
        <w:rPr>
          <w:rFonts w:ascii="Arial" w:hAnsi="Arial" w:cs="Arial"/>
          <w:i/>
          <w:color w:val="000000"/>
          <w:sz w:val="18"/>
          <w:szCs w:val="18"/>
          <w:shd w:val="clear" w:color="auto" w:fill="FFFFFF"/>
        </w:rPr>
      </w:pPr>
      <w:r w:rsidRPr="002E1C1C">
        <w:rPr>
          <w:rFonts w:ascii="Arial" w:hAnsi="Arial" w:cs="Arial"/>
          <w:i/>
          <w:color w:val="000000"/>
          <w:sz w:val="18"/>
          <w:szCs w:val="18"/>
          <w:shd w:val="clear" w:color="auto" w:fill="FFFFFF"/>
        </w:rPr>
        <w:t xml:space="preserve">Confidential information is redacted and denoted with </w:t>
      </w:r>
      <w:proofErr w:type="gramStart"/>
      <w:r w:rsidRPr="002E1C1C">
        <w:rPr>
          <w:rFonts w:ascii="Arial" w:hAnsi="Arial" w:cs="Arial"/>
          <w:i/>
          <w:color w:val="000000"/>
          <w:sz w:val="18"/>
          <w:szCs w:val="18"/>
          <w:shd w:val="clear" w:color="auto" w:fill="FFFFFF"/>
        </w:rPr>
        <w:t>black</w:t>
      </w:r>
      <w:proofErr w:type="gramEnd"/>
      <w:r w:rsidRPr="002E1C1C">
        <w:rPr>
          <w:rFonts w:ascii="Arial" w:hAnsi="Arial" w:cs="Arial"/>
          <w:i/>
          <w:color w:val="000000"/>
          <w:sz w:val="18"/>
          <w:szCs w:val="18"/>
          <w:shd w:val="clear" w:color="auto" w:fill="FFFFFF"/>
        </w:rPr>
        <w:t xml:space="preserve"> highlighting: </w:t>
      </w:r>
      <w:r w:rsidRPr="002E1C1C">
        <w:rPr>
          <w:rFonts w:ascii="Arial" w:hAnsi="Arial" w:cs="Arial"/>
          <w:i/>
          <w:color w:val="000000"/>
          <w:sz w:val="18"/>
          <w:szCs w:val="18"/>
          <w:highlight w:val="black"/>
          <w:shd w:val="clear" w:color="auto" w:fill="FFFFFF"/>
        </w:rPr>
        <w:t>XXXXX</w:t>
      </w:r>
    </w:p>
    <w:p w:rsidR="00F330F3" w:rsidRPr="00F21B63" w:rsidRDefault="00F330F3" w:rsidP="00F21B63">
      <w:pPr>
        <w:spacing w:before="240"/>
        <w:ind w:left="4320"/>
        <w:rPr>
          <w:b/>
          <w:color w:val="433B67"/>
          <w:sz w:val="32"/>
          <w:szCs w:val="28"/>
          <w:highlight w:val="yellow"/>
        </w:rPr>
        <w:sectPr w:rsidR="00F330F3" w:rsidRPr="00F21B63" w:rsidSect="00AC6369">
          <w:headerReference w:type="even" r:id="rId23"/>
          <w:headerReference w:type="default" r:id="rId24"/>
          <w:footerReference w:type="even" r:id="rId25"/>
          <w:footerReference w:type="default" r:id="rId26"/>
          <w:headerReference w:type="first" r:id="rId27"/>
          <w:footerReference w:type="first" r:id="rId28"/>
          <w:pgSz w:w="12240" w:h="15840"/>
          <w:pgMar w:top="1440" w:right="1800" w:bottom="1440" w:left="1800" w:header="720" w:footer="720" w:gutter="0"/>
          <w:pgNumType w:fmt="lowerRoman" w:start="1"/>
          <w:cols w:space="720"/>
          <w:docGrid w:linePitch="360"/>
        </w:sectPr>
      </w:pPr>
    </w:p>
    <w:bookmarkStart w:id="1" w:name="_Toc268073344" w:displacedByCustomXml="next"/>
    <w:sdt>
      <w:sdtPr>
        <w:rPr>
          <w:rFonts w:ascii="Arial" w:eastAsiaTheme="minorHAnsi" w:hAnsi="Arial" w:cstheme="minorBidi"/>
          <w:b w:val="0"/>
          <w:noProof/>
          <w:color w:val="auto"/>
          <w:sz w:val="22"/>
          <w:szCs w:val="22"/>
          <w:highlight w:val="yellow"/>
        </w:rPr>
        <w:id w:val="1780305"/>
        <w:docPartObj>
          <w:docPartGallery w:val="Table of Contents"/>
          <w:docPartUnique/>
        </w:docPartObj>
      </w:sdtPr>
      <w:sdtEndPr>
        <w:rPr>
          <w:rFonts w:eastAsiaTheme="minorEastAsia"/>
        </w:rPr>
      </w:sdtEndPr>
      <w:sdtContent>
        <w:p w:rsidR="002F58AD" w:rsidRPr="0094383F" w:rsidRDefault="002F58AD" w:rsidP="002F58AD">
          <w:pPr>
            <w:pStyle w:val="TableofContents"/>
            <w:ind w:left="0"/>
            <w:rPr>
              <w:rFonts w:ascii="Arial" w:hAnsi="Arial" w:cs="Arial"/>
              <w:color w:val="0070CD"/>
            </w:rPr>
          </w:pPr>
          <w:r w:rsidRPr="0094383F">
            <w:rPr>
              <w:rFonts w:ascii="Arial" w:hAnsi="Arial" w:cs="Arial"/>
              <w:color w:val="0070CD"/>
            </w:rPr>
            <w:t>Table of Contents</w:t>
          </w:r>
        </w:p>
        <w:p w:rsidR="00AA4AC2" w:rsidRDefault="009E3548">
          <w:pPr>
            <w:pStyle w:val="TOC1"/>
            <w:rPr>
              <w:rFonts w:asciiTheme="minorHAnsi" w:hAnsiTheme="minorHAnsi"/>
            </w:rPr>
          </w:pPr>
          <w:r w:rsidRPr="00B828B0">
            <w:rPr>
              <w:rFonts w:ascii="Verdana" w:hAnsi="Verdana"/>
              <w:sz w:val="18"/>
              <w:highlight w:val="yellow"/>
            </w:rPr>
            <w:fldChar w:fldCharType="begin"/>
          </w:r>
          <w:r w:rsidR="002F58AD" w:rsidRPr="00B828B0">
            <w:rPr>
              <w:highlight w:val="yellow"/>
            </w:rPr>
            <w:instrText xml:space="preserve"> TOC \o "1-3" \h \z \t "Appendix Heading 1,2,Appendix Heading 2,3,Appendix Heading 3,4" </w:instrText>
          </w:r>
          <w:r w:rsidRPr="00B828B0">
            <w:rPr>
              <w:rFonts w:ascii="Verdana" w:hAnsi="Verdana"/>
              <w:sz w:val="18"/>
              <w:highlight w:val="yellow"/>
            </w:rPr>
            <w:fldChar w:fldCharType="separate"/>
          </w:r>
          <w:hyperlink w:anchor="_Toc507085035" w:history="1">
            <w:r w:rsidR="00AA4AC2" w:rsidRPr="00A563C2">
              <w:rPr>
                <w:rStyle w:val="Hyperlink"/>
              </w:rPr>
              <w:t>Abstract</w:t>
            </w:r>
            <w:r w:rsidR="00AA4AC2">
              <w:rPr>
                <w:webHidden/>
              </w:rPr>
              <w:tab/>
            </w:r>
            <w:r w:rsidR="00AA4AC2">
              <w:rPr>
                <w:webHidden/>
              </w:rPr>
              <w:fldChar w:fldCharType="begin"/>
            </w:r>
            <w:r w:rsidR="00AA4AC2">
              <w:rPr>
                <w:webHidden/>
              </w:rPr>
              <w:instrText xml:space="preserve"> PAGEREF _Toc507085035 \h </w:instrText>
            </w:r>
            <w:r w:rsidR="00AA4AC2">
              <w:rPr>
                <w:webHidden/>
              </w:rPr>
            </w:r>
            <w:r w:rsidR="00AA4AC2">
              <w:rPr>
                <w:webHidden/>
              </w:rPr>
              <w:fldChar w:fldCharType="separate"/>
            </w:r>
            <w:r w:rsidR="00DD3577">
              <w:rPr>
                <w:webHidden/>
              </w:rPr>
              <w:t>1</w:t>
            </w:r>
            <w:r w:rsidR="00AA4AC2">
              <w:rPr>
                <w:webHidden/>
              </w:rPr>
              <w:fldChar w:fldCharType="end"/>
            </w:r>
          </w:hyperlink>
        </w:p>
        <w:p w:rsidR="00AA4AC2" w:rsidRDefault="003A34B9">
          <w:pPr>
            <w:pStyle w:val="TOC1"/>
            <w:rPr>
              <w:rFonts w:asciiTheme="minorHAnsi" w:hAnsiTheme="minorHAnsi"/>
            </w:rPr>
          </w:pPr>
          <w:hyperlink w:anchor="_Toc507085036" w:history="1">
            <w:r w:rsidR="00AA4AC2" w:rsidRPr="00A563C2">
              <w:rPr>
                <w:rStyle w:val="Hyperlink"/>
              </w:rPr>
              <w:t>1</w:t>
            </w:r>
            <w:r w:rsidR="00AA4AC2">
              <w:rPr>
                <w:rFonts w:asciiTheme="minorHAnsi" w:hAnsiTheme="minorHAnsi"/>
              </w:rPr>
              <w:tab/>
            </w:r>
            <w:r w:rsidR="00AA4AC2" w:rsidRPr="00A563C2">
              <w:rPr>
                <w:rStyle w:val="Hyperlink"/>
              </w:rPr>
              <w:t>Introduction</w:t>
            </w:r>
            <w:r w:rsidR="00AA4AC2">
              <w:rPr>
                <w:webHidden/>
              </w:rPr>
              <w:tab/>
            </w:r>
            <w:r w:rsidR="00AA4AC2">
              <w:rPr>
                <w:webHidden/>
              </w:rPr>
              <w:fldChar w:fldCharType="begin"/>
            </w:r>
            <w:r w:rsidR="00AA4AC2">
              <w:rPr>
                <w:webHidden/>
              </w:rPr>
              <w:instrText xml:space="preserve"> PAGEREF _Toc507085036 \h </w:instrText>
            </w:r>
            <w:r w:rsidR="00AA4AC2">
              <w:rPr>
                <w:webHidden/>
              </w:rPr>
            </w:r>
            <w:r w:rsidR="00AA4AC2">
              <w:rPr>
                <w:webHidden/>
              </w:rPr>
              <w:fldChar w:fldCharType="separate"/>
            </w:r>
            <w:r w:rsidR="00DD3577">
              <w:rPr>
                <w:webHidden/>
              </w:rPr>
              <w:t>2</w:t>
            </w:r>
            <w:r w:rsidR="00AA4AC2">
              <w:rPr>
                <w:webHidden/>
              </w:rPr>
              <w:fldChar w:fldCharType="end"/>
            </w:r>
          </w:hyperlink>
        </w:p>
        <w:p w:rsidR="00AA4AC2" w:rsidRDefault="003A34B9">
          <w:pPr>
            <w:pStyle w:val="TOC2"/>
            <w:rPr>
              <w:rFonts w:asciiTheme="minorHAnsi" w:hAnsiTheme="minorHAnsi"/>
            </w:rPr>
          </w:pPr>
          <w:hyperlink w:anchor="_Toc507085037" w:history="1">
            <w:r w:rsidR="00AA4AC2" w:rsidRPr="00A563C2">
              <w:rPr>
                <w:rStyle w:val="Hyperlink"/>
              </w:rPr>
              <w:t>1.1</w:t>
            </w:r>
            <w:r w:rsidR="00AA4AC2">
              <w:rPr>
                <w:rFonts w:asciiTheme="minorHAnsi" w:hAnsiTheme="minorHAnsi"/>
              </w:rPr>
              <w:tab/>
            </w:r>
            <w:r w:rsidR="00AA4AC2" w:rsidRPr="00A563C2">
              <w:rPr>
                <w:rStyle w:val="Hyperlink"/>
              </w:rPr>
              <w:t>Background</w:t>
            </w:r>
            <w:r w:rsidR="00AA4AC2">
              <w:rPr>
                <w:webHidden/>
              </w:rPr>
              <w:tab/>
            </w:r>
            <w:r w:rsidR="00AA4AC2">
              <w:rPr>
                <w:webHidden/>
              </w:rPr>
              <w:fldChar w:fldCharType="begin"/>
            </w:r>
            <w:r w:rsidR="00AA4AC2">
              <w:rPr>
                <w:webHidden/>
              </w:rPr>
              <w:instrText xml:space="preserve"> PAGEREF _Toc507085037 \h </w:instrText>
            </w:r>
            <w:r w:rsidR="00AA4AC2">
              <w:rPr>
                <w:webHidden/>
              </w:rPr>
            </w:r>
            <w:r w:rsidR="00AA4AC2">
              <w:rPr>
                <w:webHidden/>
              </w:rPr>
              <w:fldChar w:fldCharType="separate"/>
            </w:r>
            <w:r w:rsidR="00DD3577">
              <w:rPr>
                <w:webHidden/>
              </w:rPr>
              <w:t>2</w:t>
            </w:r>
            <w:r w:rsidR="00AA4AC2">
              <w:rPr>
                <w:webHidden/>
              </w:rPr>
              <w:fldChar w:fldCharType="end"/>
            </w:r>
          </w:hyperlink>
        </w:p>
        <w:p w:rsidR="00AA4AC2" w:rsidRDefault="003A34B9">
          <w:pPr>
            <w:pStyle w:val="TOC2"/>
            <w:rPr>
              <w:rFonts w:asciiTheme="minorHAnsi" w:hAnsiTheme="minorHAnsi"/>
            </w:rPr>
          </w:pPr>
          <w:hyperlink w:anchor="_Toc507085038" w:history="1">
            <w:r w:rsidR="00AA4AC2" w:rsidRPr="00A563C2">
              <w:rPr>
                <w:rStyle w:val="Hyperlink"/>
              </w:rPr>
              <w:t>1.2</w:t>
            </w:r>
            <w:r w:rsidR="00AA4AC2">
              <w:rPr>
                <w:rFonts w:asciiTheme="minorHAnsi" w:hAnsiTheme="minorHAnsi"/>
              </w:rPr>
              <w:tab/>
            </w:r>
            <w:r w:rsidR="00AA4AC2" w:rsidRPr="00A563C2">
              <w:rPr>
                <w:rStyle w:val="Hyperlink"/>
              </w:rPr>
              <w:t>Key Considerations for Program Year 2017 Load Impact Forecast</w:t>
            </w:r>
            <w:r w:rsidR="00AA4AC2">
              <w:rPr>
                <w:webHidden/>
              </w:rPr>
              <w:tab/>
            </w:r>
            <w:r w:rsidR="00AA4AC2">
              <w:rPr>
                <w:webHidden/>
              </w:rPr>
              <w:fldChar w:fldCharType="begin"/>
            </w:r>
            <w:r w:rsidR="00AA4AC2">
              <w:rPr>
                <w:webHidden/>
              </w:rPr>
              <w:instrText xml:space="preserve"> PAGEREF _Toc507085038 \h </w:instrText>
            </w:r>
            <w:r w:rsidR="00AA4AC2">
              <w:rPr>
                <w:webHidden/>
              </w:rPr>
            </w:r>
            <w:r w:rsidR="00AA4AC2">
              <w:rPr>
                <w:webHidden/>
              </w:rPr>
              <w:fldChar w:fldCharType="separate"/>
            </w:r>
            <w:r w:rsidR="00DD3577">
              <w:rPr>
                <w:webHidden/>
              </w:rPr>
              <w:t>3</w:t>
            </w:r>
            <w:r w:rsidR="00AA4AC2">
              <w:rPr>
                <w:webHidden/>
              </w:rPr>
              <w:fldChar w:fldCharType="end"/>
            </w:r>
          </w:hyperlink>
        </w:p>
        <w:p w:rsidR="00AA4AC2" w:rsidRDefault="003A34B9">
          <w:pPr>
            <w:pStyle w:val="TOC2"/>
            <w:rPr>
              <w:rFonts w:asciiTheme="minorHAnsi" w:hAnsiTheme="minorHAnsi"/>
            </w:rPr>
          </w:pPr>
          <w:hyperlink w:anchor="_Toc507085039" w:history="1">
            <w:r w:rsidR="00AA4AC2" w:rsidRPr="00A563C2">
              <w:rPr>
                <w:rStyle w:val="Hyperlink"/>
              </w:rPr>
              <w:t>1.3</w:t>
            </w:r>
            <w:r w:rsidR="00AA4AC2">
              <w:rPr>
                <w:rFonts w:asciiTheme="minorHAnsi" w:hAnsiTheme="minorHAnsi"/>
              </w:rPr>
              <w:tab/>
            </w:r>
            <w:r w:rsidR="00AA4AC2" w:rsidRPr="00A563C2">
              <w:rPr>
                <w:rStyle w:val="Hyperlink"/>
              </w:rPr>
              <w:t>Program Overview</w:t>
            </w:r>
            <w:r w:rsidR="00AA4AC2">
              <w:rPr>
                <w:webHidden/>
              </w:rPr>
              <w:tab/>
            </w:r>
            <w:r w:rsidR="00AA4AC2">
              <w:rPr>
                <w:webHidden/>
              </w:rPr>
              <w:fldChar w:fldCharType="begin"/>
            </w:r>
            <w:r w:rsidR="00AA4AC2">
              <w:rPr>
                <w:webHidden/>
              </w:rPr>
              <w:instrText xml:space="preserve"> PAGEREF _Toc507085039 \h </w:instrText>
            </w:r>
            <w:r w:rsidR="00AA4AC2">
              <w:rPr>
                <w:webHidden/>
              </w:rPr>
            </w:r>
            <w:r w:rsidR="00AA4AC2">
              <w:rPr>
                <w:webHidden/>
              </w:rPr>
              <w:fldChar w:fldCharType="separate"/>
            </w:r>
            <w:r w:rsidR="00DD3577">
              <w:rPr>
                <w:webHidden/>
              </w:rPr>
              <w:t>4</w:t>
            </w:r>
            <w:r w:rsidR="00AA4AC2">
              <w:rPr>
                <w:webHidden/>
              </w:rPr>
              <w:fldChar w:fldCharType="end"/>
            </w:r>
          </w:hyperlink>
        </w:p>
        <w:p w:rsidR="00AA4AC2" w:rsidRDefault="003A34B9">
          <w:pPr>
            <w:pStyle w:val="TOC2"/>
            <w:rPr>
              <w:rFonts w:asciiTheme="minorHAnsi" w:hAnsiTheme="minorHAnsi"/>
            </w:rPr>
          </w:pPr>
          <w:hyperlink w:anchor="_Toc507085040" w:history="1">
            <w:r w:rsidR="00AA4AC2" w:rsidRPr="00A563C2">
              <w:rPr>
                <w:rStyle w:val="Hyperlink"/>
              </w:rPr>
              <w:t>1.4</w:t>
            </w:r>
            <w:r w:rsidR="00AA4AC2">
              <w:rPr>
                <w:rFonts w:asciiTheme="minorHAnsi" w:hAnsiTheme="minorHAnsi"/>
              </w:rPr>
              <w:tab/>
            </w:r>
            <w:r w:rsidR="00AA4AC2" w:rsidRPr="00A563C2">
              <w:rPr>
                <w:rStyle w:val="Hyperlink"/>
              </w:rPr>
              <w:t>Current PLS Program Status</w:t>
            </w:r>
            <w:r w:rsidR="00AA4AC2">
              <w:rPr>
                <w:webHidden/>
              </w:rPr>
              <w:tab/>
            </w:r>
            <w:r w:rsidR="00AA4AC2">
              <w:rPr>
                <w:webHidden/>
              </w:rPr>
              <w:fldChar w:fldCharType="begin"/>
            </w:r>
            <w:r w:rsidR="00AA4AC2">
              <w:rPr>
                <w:webHidden/>
              </w:rPr>
              <w:instrText xml:space="preserve"> PAGEREF _Toc507085040 \h </w:instrText>
            </w:r>
            <w:r w:rsidR="00AA4AC2">
              <w:rPr>
                <w:webHidden/>
              </w:rPr>
            </w:r>
            <w:r w:rsidR="00AA4AC2">
              <w:rPr>
                <w:webHidden/>
              </w:rPr>
              <w:fldChar w:fldCharType="separate"/>
            </w:r>
            <w:r w:rsidR="00DD3577">
              <w:rPr>
                <w:webHidden/>
              </w:rPr>
              <w:t>5</w:t>
            </w:r>
            <w:r w:rsidR="00AA4AC2">
              <w:rPr>
                <w:webHidden/>
              </w:rPr>
              <w:fldChar w:fldCharType="end"/>
            </w:r>
          </w:hyperlink>
        </w:p>
        <w:p w:rsidR="00AA4AC2" w:rsidRDefault="003A34B9">
          <w:pPr>
            <w:pStyle w:val="TOC2"/>
            <w:rPr>
              <w:rFonts w:asciiTheme="minorHAnsi" w:hAnsiTheme="minorHAnsi"/>
            </w:rPr>
          </w:pPr>
          <w:hyperlink w:anchor="_Toc507085041" w:history="1">
            <w:r w:rsidR="00AA4AC2" w:rsidRPr="00A563C2">
              <w:rPr>
                <w:rStyle w:val="Hyperlink"/>
              </w:rPr>
              <w:t>1.5</w:t>
            </w:r>
            <w:r w:rsidR="00AA4AC2">
              <w:rPr>
                <w:rFonts w:asciiTheme="minorHAnsi" w:hAnsiTheme="minorHAnsi"/>
              </w:rPr>
              <w:tab/>
            </w:r>
            <w:r w:rsidR="00AA4AC2" w:rsidRPr="00A563C2">
              <w:rPr>
                <w:rStyle w:val="Hyperlink"/>
              </w:rPr>
              <w:t>Report Organization</w:t>
            </w:r>
            <w:r w:rsidR="00AA4AC2">
              <w:rPr>
                <w:webHidden/>
              </w:rPr>
              <w:tab/>
            </w:r>
            <w:r w:rsidR="00AA4AC2">
              <w:rPr>
                <w:webHidden/>
              </w:rPr>
              <w:fldChar w:fldCharType="begin"/>
            </w:r>
            <w:r w:rsidR="00AA4AC2">
              <w:rPr>
                <w:webHidden/>
              </w:rPr>
              <w:instrText xml:space="preserve"> PAGEREF _Toc507085041 \h </w:instrText>
            </w:r>
            <w:r w:rsidR="00AA4AC2">
              <w:rPr>
                <w:webHidden/>
              </w:rPr>
            </w:r>
            <w:r w:rsidR="00AA4AC2">
              <w:rPr>
                <w:webHidden/>
              </w:rPr>
              <w:fldChar w:fldCharType="separate"/>
            </w:r>
            <w:r w:rsidR="00DD3577">
              <w:rPr>
                <w:webHidden/>
              </w:rPr>
              <w:t>8</w:t>
            </w:r>
            <w:r w:rsidR="00AA4AC2">
              <w:rPr>
                <w:webHidden/>
              </w:rPr>
              <w:fldChar w:fldCharType="end"/>
            </w:r>
          </w:hyperlink>
        </w:p>
        <w:p w:rsidR="00AA4AC2" w:rsidRDefault="003A34B9">
          <w:pPr>
            <w:pStyle w:val="TOC1"/>
            <w:rPr>
              <w:rFonts w:asciiTheme="minorHAnsi" w:hAnsiTheme="minorHAnsi"/>
            </w:rPr>
          </w:pPr>
          <w:hyperlink w:anchor="_Toc507085042" w:history="1">
            <w:r w:rsidR="00AA4AC2" w:rsidRPr="00A563C2">
              <w:rPr>
                <w:rStyle w:val="Hyperlink"/>
              </w:rPr>
              <w:t>2</w:t>
            </w:r>
            <w:r w:rsidR="00AA4AC2">
              <w:rPr>
                <w:rFonts w:asciiTheme="minorHAnsi" w:hAnsiTheme="minorHAnsi"/>
              </w:rPr>
              <w:tab/>
            </w:r>
            <w:r w:rsidR="00AA4AC2" w:rsidRPr="00A563C2">
              <w:rPr>
                <w:rStyle w:val="Hyperlink"/>
              </w:rPr>
              <w:t>Ex Post Methods and Validation</w:t>
            </w:r>
            <w:r w:rsidR="00AA4AC2">
              <w:rPr>
                <w:webHidden/>
              </w:rPr>
              <w:tab/>
            </w:r>
            <w:r w:rsidR="00AA4AC2">
              <w:rPr>
                <w:webHidden/>
              </w:rPr>
              <w:fldChar w:fldCharType="begin"/>
            </w:r>
            <w:r w:rsidR="00AA4AC2">
              <w:rPr>
                <w:webHidden/>
              </w:rPr>
              <w:instrText xml:space="preserve"> PAGEREF _Toc507085042 \h </w:instrText>
            </w:r>
            <w:r w:rsidR="00AA4AC2">
              <w:rPr>
                <w:webHidden/>
              </w:rPr>
            </w:r>
            <w:r w:rsidR="00AA4AC2">
              <w:rPr>
                <w:webHidden/>
              </w:rPr>
              <w:fldChar w:fldCharType="separate"/>
            </w:r>
            <w:r w:rsidR="00DD3577">
              <w:rPr>
                <w:webHidden/>
              </w:rPr>
              <w:t>9</w:t>
            </w:r>
            <w:r w:rsidR="00AA4AC2">
              <w:rPr>
                <w:webHidden/>
              </w:rPr>
              <w:fldChar w:fldCharType="end"/>
            </w:r>
          </w:hyperlink>
        </w:p>
        <w:p w:rsidR="00AA4AC2" w:rsidRDefault="003A34B9">
          <w:pPr>
            <w:pStyle w:val="TOC2"/>
            <w:rPr>
              <w:rFonts w:asciiTheme="minorHAnsi" w:hAnsiTheme="minorHAnsi"/>
            </w:rPr>
          </w:pPr>
          <w:hyperlink w:anchor="_Toc507085043" w:history="1">
            <w:r w:rsidR="00AA4AC2" w:rsidRPr="00A563C2">
              <w:rPr>
                <w:rStyle w:val="Hyperlink"/>
              </w:rPr>
              <w:t>2.1</w:t>
            </w:r>
            <w:r w:rsidR="00AA4AC2">
              <w:rPr>
                <w:rFonts w:asciiTheme="minorHAnsi" w:hAnsiTheme="minorHAnsi"/>
              </w:rPr>
              <w:tab/>
            </w:r>
            <w:r w:rsidR="00AA4AC2" w:rsidRPr="00A563C2">
              <w:rPr>
                <w:rStyle w:val="Hyperlink"/>
              </w:rPr>
              <w:t>PG&amp;E Ex Post Model Selection</w:t>
            </w:r>
            <w:r w:rsidR="00AA4AC2">
              <w:rPr>
                <w:webHidden/>
              </w:rPr>
              <w:tab/>
            </w:r>
            <w:r w:rsidR="00AA4AC2">
              <w:rPr>
                <w:webHidden/>
              </w:rPr>
              <w:fldChar w:fldCharType="begin"/>
            </w:r>
            <w:r w:rsidR="00AA4AC2">
              <w:rPr>
                <w:webHidden/>
              </w:rPr>
              <w:instrText xml:space="preserve"> PAGEREF _Toc507085043 \h </w:instrText>
            </w:r>
            <w:r w:rsidR="00AA4AC2">
              <w:rPr>
                <w:webHidden/>
              </w:rPr>
            </w:r>
            <w:r w:rsidR="00AA4AC2">
              <w:rPr>
                <w:webHidden/>
              </w:rPr>
              <w:fldChar w:fldCharType="separate"/>
            </w:r>
            <w:r w:rsidR="00DD3577">
              <w:rPr>
                <w:webHidden/>
              </w:rPr>
              <w:t>11</w:t>
            </w:r>
            <w:r w:rsidR="00AA4AC2">
              <w:rPr>
                <w:webHidden/>
              </w:rPr>
              <w:fldChar w:fldCharType="end"/>
            </w:r>
          </w:hyperlink>
        </w:p>
        <w:p w:rsidR="00AA4AC2" w:rsidRDefault="003A34B9">
          <w:pPr>
            <w:pStyle w:val="TOC2"/>
            <w:rPr>
              <w:rFonts w:asciiTheme="minorHAnsi" w:hAnsiTheme="minorHAnsi"/>
            </w:rPr>
          </w:pPr>
          <w:hyperlink w:anchor="_Toc507085044" w:history="1">
            <w:r w:rsidR="00AA4AC2" w:rsidRPr="00A563C2">
              <w:rPr>
                <w:rStyle w:val="Hyperlink"/>
              </w:rPr>
              <w:t>2.2</w:t>
            </w:r>
            <w:r w:rsidR="00AA4AC2">
              <w:rPr>
                <w:rFonts w:asciiTheme="minorHAnsi" w:hAnsiTheme="minorHAnsi"/>
              </w:rPr>
              <w:tab/>
            </w:r>
            <w:r w:rsidR="00AA4AC2" w:rsidRPr="00A563C2">
              <w:rPr>
                <w:rStyle w:val="Hyperlink"/>
              </w:rPr>
              <w:t>SCE Ex Post Model Selection</w:t>
            </w:r>
            <w:r w:rsidR="00AA4AC2">
              <w:rPr>
                <w:webHidden/>
              </w:rPr>
              <w:tab/>
            </w:r>
            <w:r w:rsidR="00AA4AC2">
              <w:rPr>
                <w:webHidden/>
              </w:rPr>
              <w:fldChar w:fldCharType="begin"/>
            </w:r>
            <w:r w:rsidR="00AA4AC2">
              <w:rPr>
                <w:webHidden/>
              </w:rPr>
              <w:instrText xml:space="preserve"> PAGEREF _Toc507085044 \h </w:instrText>
            </w:r>
            <w:r w:rsidR="00AA4AC2">
              <w:rPr>
                <w:webHidden/>
              </w:rPr>
            </w:r>
            <w:r w:rsidR="00AA4AC2">
              <w:rPr>
                <w:webHidden/>
              </w:rPr>
              <w:fldChar w:fldCharType="separate"/>
            </w:r>
            <w:r w:rsidR="00DD3577">
              <w:rPr>
                <w:webHidden/>
              </w:rPr>
              <w:t>14</w:t>
            </w:r>
            <w:r w:rsidR="00AA4AC2">
              <w:rPr>
                <w:webHidden/>
              </w:rPr>
              <w:fldChar w:fldCharType="end"/>
            </w:r>
          </w:hyperlink>
        </w:p>
        <w:p w:rsidR="00AA4AC2" w:rsidRDefault="003A34B9">
          <w:pPr>
            <w:pStyle w:val="TOC2"/>
            <w:rPr>
              <w:rFonts w:asciiTheme="minorHAnsi" w:hAnsiTheme="minorHAnsi"/>
            </w:rPr>
          </w:pPr>
          <w:hyperlink w:anchor="_Toc507085045" w:history="1">
            <w:r w:rsidR="00AA4AC2" w:rsidRPr="00A563C2">
              <w:rPr>
                <w:rStyle w:val="Hyperlink"/>
              </w:rPr>
              <w:t>2.3</w:t>
            </w:r>
            <w:r w:rsidR="00AA4AC2">
              <w:rPr>
                <w:rFonts w:asciiTheme="minorHAnsi" w:hAnsiTheme="minorHAnsi"/>
              </w:rPr>
              <w:tab/>
            </w:r>
            <w:r w:rsidR="00AA4AC2" w:rsidRPr="00A563C2">
              <w:rPr>
                <w:rStyle w:val="Hyperlink"/>
              </w:rPr>
              <w:t>SDG&amp;E Ex Post Model Selection</w:t>
            </w:r>
            <w:r w:rsidR="00AA4AC2">
              <w:rPr>
                <w:webHidden/>
              </w:rPr>
              <w:tab/>
            </w:r>
            <w:r w:rsidR="00AA4AC2">
              <w:rPr>
                <w:webHidden/>
              </w:rPr>
              <w:fldChar w:fldCharType="begin"/>
            </w:r>
            <w:r w:rsidR="00AA4AC2">
              <w:rPr>
                <w:webHidden/>
              </w:rPr>
              <w:instrText xml:space="preserve"> PAGEREF _Toc507085045 \h </w:instrText>
            </w:r>
            <w:r w:rsidR="00AA4AC2">
              <w:rPr>
                <w:webHidden/>
              </w:rPr>
            </w:r>
            <w:r w:rsidR="00AA4AC2">
              <w:rPr>
                <w:webHidden/>
              </w:rPr>
              <w:fldChar w:fldCharType="separate"/>
            </w:r>
            <w:r w:rsidR="00DD3577">
              <w:rPr>
                <w:webHidden/>
              </w:rPr>
              <w:t>18</w:t>
            </w:r>
            <w:r w:rsidR="00AA4AC2">
              <w:rPr>
                <w:webHidden/>
              </w:rPr>
              <w:fldChar w:fldCharType="end"/>
            </w:r>
          </w:hyperlink>
        </w:p>
        <w:p w:rsidR="00AA4AC2" w:rsidRDefault="003A34B9">
          <w:pPr>
            <w:pStyle w:val="TOC1"/>
            <w:rPr>
              <w:rFonts w:asciiTheme="minorHAnsi" w:hAnsiTheme="minorHAnsi"/>
            </w:rPr>
          </w:pPr>
          <w:hyperlink w:anchor="_Toc507085046" w:history="1">
            <w:r w:rsidR="00AA4AC2" w:rsidRPr="00A563C2">
              <w:rPr>
                <w:rStyle w:val="Hyperlink"/>
              </w:rPr>
              <w:t>3</w:t>
            </w:r>
            <w:r w:rsidR="00AA4AC2">
              <w:rPr>
                <w:rFonts w:asciiTheme="minorHAnsi" w:hAnsiTheme="minorHAnsi"/>
              </w:rPr>
              <w:tab/>
            </w:r>
            <w:r w:rsidR="00AA4AC2" w:rsidRPr="00A563C2">
              <w:rPr>
                <w:rStyle w:val="Hyperlink"/>
              </w:rPr>
              <w:t>Ex Post Impact Estimates</w:t>
            </w:r>
            <w:r w:rsidR="00AA4AC2">
              <w:rPr>
                <w:webHidden/>
              </w:rPr>
              <w:tab/>
            </w:r>
            <w:r w:rsidR="00AA4AC2">
              <w:rPr>
                <w:webHidden/>
              </w:rPr>
              <w:fldChar w:fldCharType="begin"/>
            </w:r>
            <w:r w:rsidR="00AA4AC2">
              <w:rPr>
                <w:webHidden/>
              </w:rPr>
              <w:instrText xml:space="preserve"> PAGEREF _Toc507085046 \h </w:instrText>
            </w:r>
            <w:r w:rsidR="00AA4AC2">
              <w:rPr>
                <w:webHidden/>
              </w:rPr>
            </w:r>
            <w:r w:rsidR="00AA4AC2">
              <w:rPr>
                <w:webHidden/>
              </w:rPr>
              <w:fldChar w:fldCharType="separate"/>
            </w:r>
            <w:r w:rsidR="00DD3577">
              <w:rPr>
                <w:webHidden/>
              </w:rPr>
              <w:t>24</w:t>
            </w:r>
            <w:r w:rsidR="00AA4AC2">
              <w:rPr>
                <w:webHidden/>
              </w:rPr>
              <w:fldChar w:fldCharType="end"/>
            </w:r>
          </w:hyperlink>
        </w:p>
        <w:p w:rsidR="00AA4AC2" w:rsidRDefault="003A34B9">
          <w:pPr>
            <w:pStyle w:val="TOC2"/>
            <w:rPr>
              <w:rFonts w:asciiTheme="minorHAnsi" w:hAnsiTheme="minorHAnsi"/>
            </w:rPr>
          </w:pPr>
          <w:hyperlink w:anchor="_Toc507085047" w:history="1">
            <w:r w:rsidR="00AA4AC2" w:rsidRPr="00A563C2">
              <w:rPr>
                <w:rStyle w:val="Hyperlink"/>
              </w:rPr>
              <w:t>3.1</w:t>
            </w:r>
            <w:r w:rsidR="00AA4AC2">
              <w:rPr>
                <w:rFonts w:asciiTheme="minorHAnsi" w:hAnsiTheme="minorHAnsi"/>
              </w:rPr>
              <w:tab/>
            </w:r>
            <w:r w:rsidR="00AA4AC2" w:rsidRPr="00A563C2">
              <w:rPr>
                <w:rStyle w:val="Hyperlink"/>
              </w:rPr>
              <w:t>PG&amp;E Ex Post Impacts</w:t>
            </w:r>
            <w:r w:rsidR="00AA4AC2">
              <w:rPr>
                <w:webHidden/>
              </w:rPr>
              <w:tab/>
            </w:r>
            <w:r w:rsidR="00AA4AC2">
              <w:rPr>
                <w:webHidden/>
              </w:rPr>
              <w:fldChar w:fldCharType="begin"/>
            </w:r>
            <w:r w:rsidR="00AA4AC2">
              <w:rPr>
                <w:webHidden/>
              </w:rPr>
              <w:instrText xml:space="preserve"> PAGEREF _Toc507085047 \h </w:instrText>
            </w:r>
            <w:r w:rsidR="00AA4AC2">
              <w:rPr>
                <w:webHidden/>
              </w:rPr>
            </w:r>
            <w:r w:rsidR="00AA4AC2">
              <w:rPr>
                <w:webHidden/>
              </w:rPr>
              <w:fldChar w:fldCharType="separate"/>
            </w:r>
            <w:r w:rsidR="00DD3577">
              <w:rPr>
                <w:webHidden/>
              </w:rPr>
              <w:t>24</w:t>
            </w:r>
            <w:r w:rsidR="00AA4AC2">
              <w:rPr>
                <w:webHidden/>
              </w:rPr>
              <w:fldChar w:fldCharType="end"/>
            </w:r>
          </w:hyperlink>
        </w:p>
        <w:p w:rsidR="00AA4AC2" w:rsidRDefault="003A34B9">
          <w:pPr>
            <w:pStyle w:val="TOC3"/>
            <w:rPr>
              <w:rFonts w:asciiTheme="minorHAnsi" w:hAnsiTheme="minorHAnsi" w:cstheme="minorBidi"/>
              <w:szCs w:val="22"/>
            </w:rPr>
          </w:pPr>
          <w:hyperlink w:anchor="_Toc507085048" w:history="1">
            <w:r w:rsidR="00AA4AC2" w:rsidRPr="00A563C2">
              <w:rPr>
                <w:rStyle w:val="Hyperlink"/>
              </w:rPr>
              <w:t>3.1.1</w:t>
            </w:r>
            <w:r w:rsidR="00AA4AC2">
              <w:rPr>
                <w:rFonts w:asciiTheme="minorHAnsi" w:hAnsiTheme="minorHAnsi" w:cstheme="minorBidi"/>
                <w:szCs w:val="22"/>
              </w:rPr>
              <w:tab/>
            </w:r>
            <w:r w:rsidR="00AA4AC2" w:rsidRPr="00A563C2">
              <w:rPr>
                <w:rStyle w:val="Hyperlink"/>
              </w:rPr>
              <w:t>Comparison between 2016 and 2017 Ex Post Results</w:t>
            </w:r>
            <w:r w:rsidR="00AA4AC2">
              <w:rPr>
                <w:webHidden/>
              </w:rPr>
              <w:tab/>
            </w:r>
            <w:r w:rsidR="00AA4AC2">
              <w:rPr>
                <w:webHidden/>
              </w:rPr>
              <w:fldChar w:fldCharType="begin"/>
            </w:r>
            <w:r w:rsidR="00AA4AC2">
              <w:rPr>
                <w:webHidden/>
              </w:rPr>
              <w:instrText xml:space="preserve"> PAGEREF _Toc507085048 \h </w:instrText>
            </w:r>
            <w:r w:rsidR="00AA4AC2">
              <w:rPr>
                <w:webHidden/>
              </w:rPr>
            </w:r>
            <w:r w:rsidR="00AA4AC2">
              <w:rPr>
                <w:webHidden/>
              </w:rPr>
              <w:fldChar w:fldCharType="separate"/>
            </w:r>
            <w:r w:rsidR="00DD3577">
              <w:rPr>
                <w:webHidden/>
              </w:rPr>
              <w:t>30</w:t>
            </w:r>
            <w:r w:rsidR="00AA4AC2">
              <w:rPr>
                <w:webHidden/>
              </w:rPr>
              <w:fldChar w:fldCharType="end"/>
            </w:r>
          </w:hyperlink>
        </w:p>
        <w:p w:rsidR="00AA4AC2" w:rsidRDefault="003A34B9">
          <w:pPr>
            <w:pStyle w:val="TOC2"/>
            <w:rPr>
              <w:rFonts w:asciiTheme="minorHAnsi" w:hAnsiTheme="minorHAnsi"/>
            </w:rPr>
          </w:pPr>
          <w:hyperlink w:anchor="_Toc507085049" w:history="1">
            <w:r w:rsidR="00AA4AC2" w:rsidRPr="00A563C2">
              <w:rPr>
                <w:rStyle w:val="Hyperlink"/>
              </w:rPr>
              <w:t>3.2</w:t>
            </w:r>
            <w:r w:rsidR="00AA4AC2">
              <w:rPr>
                <w:rFonts w:asciiTheme="minorHAnsi" w:hAnsiTheme="minorHAnsi"/>
              </w:rPr>
              <w:tab/>
            </w:r>
            <w:r w:rsidR="00AA4AC2" w:rsidRPr="00A563C2">
              <w:rPr>
                <w:rStyle w:val="Hyperlink"/>
              </w:rPr>
              <w:t>SCE Ex Post Impacts</w:t>
            </w:r>
            <w:r w:rsidR="00AA4AC2">
              <w:rPr>
                <w:webHidden/>
              </w:rPr>
              <w:tab/>
            </w:r>
            <w:r w:rsidR="00AA4AC2">
              <w:rPr>
                <w:webHidden/>
              </w:rPr>
              <w:fldChar w:fldCharType="begin"/>
            </w:r>
            <w:r w:rsidR="00AA4AC2">
              <w:rPr>
                <w:webHidden/>
              </w:rPr>
              <w:instrText xml:space="preserve"> PAGEREF _Toc507085049 \h </w:instrText>
            </w:r>
            <w:r w:rsidR="00AA4AC2">
              <w:rPr>
                <w:webHidden/>
              </w:rPr>
            </w:r>
            <w:r w:rsidR="00AA4AC2">
              <w:rPr>
                <w:webHidden/>
              </w:rPr>
              <w:fldChar w:fldCharType="separate"/>
            </w:r>
            <w:r w:rsidR="00DD3577">
              <w:rPr>
                <w:webHidden/>
              </w:rPr>
              <w:t>30</w:t>
            </w:r>
            <w:r w:rsidR="00AA4AC2">
              <w:rPr>
                <w:webHidden/>
              </w:rPr>
              <w:fldChar w:fldCharType="end"/>
            </w:r>
          </w:hyperlink>
        </w:p>
        <w:p w:rsidR="00AA4AC2" w:rsidRDefault="003A34B9">
          <w:pPr>
            <w:pStyle w:val="TOC3"/>
            <w:rPr>
              <w:rFonts w:asciiTheme="minorHAnsi" w:hAnsiTheme="minorHAnsi" w:cstheme="minorBidi"/>
              <w:szCs w:val="22"/>
            </w:rPr>
          </w:pPr>
          <w:hyperlink w:anchor="_Toc507085050" w:history="1">
            <w:r w:rsidR="00AA4AC2" w:rsidRPr="00A563C2">
              <w:rPr>
                <w:rStyle w:val="Hyperlink"/>
              </w:rPr>
              <w:t>3.2.1</w:t>
            </w:r>
            <w:r w:rsidR="00AA4AC2">
              <w:rPr>
                <w:rFonts w:asciiTheme="minorHAnsi" w:hAnsiTheme="minorHAnsi" w:cstheme="minorBidi"/>
                <w:szCs w:val="22"/>
              </w:rPr>
              <w:tab/>
            </w:r>
            <w:r w:rsidR="00AA4AC2" w:rsidRPr="00A563C2">
              <w:rPr>
                <w:rStyle w:val="Hyperlink"/>
              </w:rPr>
              <w:t>Comparison between 2016 and 2017 Ex Post Results</w:t>
            </w:r>
            <w:r w:rsidR="00AA4AC2">
              <w:rPr>
                <w:webHidden/>
              </w:rPr>
              <w:tab/>
            </w:r>
            <w:r w:rsidR="00AA4AC2">
              <w:rPr>
                <w:webHidden/>
              </w:rPr>
              <w:fldChar w:fldCharType="begin"/>
            </w:r>
            <w:r w:rsidR="00AA4AC2">
              <w:rPr>
                <w:webHidden/>
              </w:rPr>
              <w:instrText xml:space="preserve"> PAGEREF _Toc507085050 \h </w:instrText>
            </w:r>
            <w:r w:rsidR="00AA4AC2">
              <w:rPr>
                <w:webHidden/>
              </w:rPr>
            </w:r>
            <w:r w:rsidR="00AA4AC2">
              <w:rPr>
                <w:webHidden/>
              </w:rPr>
              <w:fldChar w:fldCharType="separate"/>
            </w:r>
            <w:r w:rsidR="00DD3577">
              <w:rPr>
                <w:webHidden/>
              </w:rPr>
              <w:t>34</w:t>
            </w:r>
            <w:r w:rsidR="00AA4AC2">
              <w:rPr>
                <w:webHidden/>
              </w:rPr>
              <w:fldChar w:fldCharType="end"/>
            </w:r>
          </w:hyperlink>
        </w:p>
        <w:p w:rsidR="00AA4AC2" w:rsidRDefault="003A34B9">
          <w:pPr>
            <w:pStyle w:val="TOC2"/>
            <w:rPr>
              <w:rFonts w:asciiTheme="minorHAnsi" w:hAnsiTheme="minorHAnsi"/>
            </w:rPr>
          </w:pPr>
          <w:hyperlink w:anchor="_Toc507085051" w:history="1">
            <w:r w:rsidR="00AA4AC2" w:rsidRPr="00A563C2">
              <w:rPr>
                <w:rStyle w:val="Hyperlink"/>
              </w:rPr>
              <w:t>3.3</w:t>
            </w:r>
            <w:r w:rsidR="00AA4AC2">
              <w:rPr>
                <w:rFonts w:asciiTheme="minorHAnsi" w:hAnsiTheme="minorHAnsi"/>
              </w:rPr>
              <w:tab/>
            </w:r>
            <w:r w:rsidR="00AA4AC2" w:rsidRPr="00A563C2">
              <w:rPr>
                <w:rStyle w:val="Hyperlink"/>
              </w:rPr>
              <w:t>SDG&amp;E Ex Post Impacts</w:t>
            </w:r>
            <w:r w:rsidR="00AA4AC2">
              <w:rPr>
                <w:webHidden/>
              </w:rPr>
              <w:tab/>
            </w:r>
            <w:r w:rsidR="00AA4AC2">
              <w:rPr>
                <w:webHidden/>
              </w:rPr>
              <w:fldChar w:fldCharType="begin"/>
            </w:r>
            <w:r w:rsidR="00AA4AC2">
              <w:rPr>
                <w:webHidden/>
              </w:rPr>
              <w:instrText xml:space="preserve"> PAGEREF _Toc507085051 \h </w:instrText>
            </w:r>
            <w:r w:rsidR="00AA4AC2">
              <w:rPr>
                <w:webHidden/>
              </w:rPr>
            </w:r>
            <w:r w:rsidR="00AA4AC2">
              <w:rPr>
                <w:webHidden/>
              </w:rPr>
              <w:fldChar w:fldCharType="separate"/>
            </w:r>
            <w:r w:rsidR="00DD3577">
              <w:rPr>
                <w:webHidden/>
              </w:rPr>
              <w:t>34</w:t>
            </w:r>
            <w:r w:rsidR="00AA4AC2">
              <w:rPr>
                <w:webHidden/>
              </w:rPr>
              <w:fldChar w:fldCharType="end"/>
            </w:r>
          </w:hyperlink>
        </w:p>
        <w:p w:rsidR="00AA4AC2" w:rsidRDefault="003A34B9">
          <w:pPr>
            <w:pStyle w:val="TOC3"/>
            <w:rPr>
              <w:rFonts w:asciiTheme="minorHAnsi" w:hAnsiTheme="minorHAnsi" w:cstheme="minorBidi"/>
              <w:szCs w:val="22"/>
            </w:rPr>
          </w:pPr>
          <w:hyperlink w:anchor="_Toc507085052" w:history="1">
            <w:r w:rsidR="00AA4AC2" w:rsidRPr="00A563C2">
              <w:rPr>
                <w:rStyle w:val="Hyperlink"/>
              </w:rPr>
              <w:t>3.3.1</w:t>
            </w:r>
            <w:r w:rsidR="00AA4AC2">
              <w:rPr>
                <w:rFonts w:asciiTheme="minorHAnsi" w:hAnsiTheme="minorHAnsi" w:cstheme="minorBidi"/>
                <w:szCs w:val="22"/>
              </w:rPr>
              <w:tab/>
            </w:r>
            <w:r w:rsidR="00AA4AC2" w:rsidRPr="00A563C2">
              <w:rPr>
                <w:rStyle w:val="Hyperlink"/>
              </w:rPr>
              <w:t>Comparison between 2016 and 2017 Ex Post Results</w:t>
            </w:r>
            <w:r w:rsidR="00AA4AC2">
              <w:rPr>
                <w:webHidden/>
              </w:rPr>
              <w:tab/>
            </w:r>
            <w:r w:rsidR="00AA4AC2">
              <w:rPr>
                <w:webHidden/>
              </w:rPr>
              <w:fldChar w:fldCharType="begin"/>
            </w:r>
            <w:r w:rsidR="00AA4AC2">
              <w:rPr>
                <w:webHidden/>
              </w:rPr>
              <w:instrText xml:space="preserve"> PAGEREF _Toc507085052 \h </w:instrText>
            </w:r>
            <w:r w:rsidR="00AA4AC2">
              <w:rPr>
                <w:webHidden/>
              </w:rPr>
            </w:r>
            <w:r w:rsidR="00AA4AC2">
              <w:rPr>
                <w:webHidden/>
              </w:rPr>
              <w:fldChar w:fldCharType="separate"/>
            </w:r>
            <w:r w:rsidR="00DD3577">
              <w:rPr>
                <w:webHidden/>
              </w:rPr>
              <w:t>38</w:t>
            </w:r>
            <w:r w:rsidR="00AA4AC2">
              <w:rPr>
                <w:webHidden/>
              </w:rPr>
              <w:fldChar w:fldCharType="end"/>
            </w:r>
          </w:hyperlink>
        </w:p>
        <w:p w:rsidR="00AA4AC2" w:rsidRDefault="003A34B9">
          <w:pPr>
            <w:pStyle w:val="TOC1"/>
            <w:rPr>
              <w:rFonts w:asciiTheme="minorHAnsi" w:hAnsiTheme="minorHAnsi"/>
            </w:rPr>
          </w:pPr>
          <w:hyperlink w:anchor="_Toc507085053" w:history="1">
            <w:r w:rsidR="00AA4AC2" w:rsidRPr="00A563C2">
              <w:rPr>
                <w:rStyle w:val="Hyperlink"/>
              </w:rPr>
              <w:t>4</w:t>
            </w:r>
            <w:r w:rsidR="00AA4AC2">
              <w:rPr>
                <w:rFonts w:asciiTheme="minorHAnsi" w:hAnsiTheme="minorHAnsi"/>
              </w:rPr>
              <w:tab/>
            </w:r>
            <w:r w:rsidR="00AA4AC2" w:rsidRPr="00A563C2">
              <w:rPr>
                <w:rStyle w:val="Hyperlink"/>
              </w:rPr>
              <w:t>Ex Ante Methodology</w:t>
            </w:r>
            <w:r w:rsidR="00AA4AC2">
              <w:rPr>
                <w:webHidden/>
              </w:rPr>
              <w:tab/>
            </w:r>
            <w:r w:rsidR="00AA4AC2">
              <w:rPr>
                <w:webHidden/>
              </w:rPr>
              <w:fldChar w:fldCharType="begin"/>
            </w:r>
            <w:r w:rsidR="00AA4AC2">
              <w:rPr>
                <w:webHidden/>
              </w:rPr>
              <w:instrText xml:space="preserve"> PAGEREF _Toc507085053 \h </w:instrText>
            </w:r>
            <w:r w:rsidR="00AA4AC2">
              <w:rPr>
                <w:webHidden/>
              </w:rPr>
            </w:r>
            <w:r w:rsidR="00AA4AC2">
              <w:rPr>
                <w:webHidden/>
              </w:rPr>
              <w:fldChar w:fldCharType="separate"/>
            </w:r>
            <w:r w:rsidR="00DD3577">
              <w:rPr>
                <w:webHidden/>
              </w:rPr>
              <w:t>38</w:t>
            </w:r>
            <w:r w:rsidR="00AA4AC2">
              <w:rPr>
                <w:webHidden/>
              </w:rPr>
              <w:fldChar w:fldCharType="end"/>
            </w:r>
          </w:hyperlink>
        </w:p>
        <w:p w:rsidR="00AA4AC2" w:rsidRDefault="003A34B9">
          <w:pPr>
            <w:pStyle w:val="TOC2"/>
            <w:rPr>
              <w:rFonts w:asciiTheme="minorHAnsi" w:hAnsiTheme="minorHAnsi"/>
            </w:rPr>
          </w:pPr>
          <w:hyperlink w:anchor="_Toc507085054" w:history="1">
            <w:r w:rsidR="00AA4AC2" w:rsidRPr="00A563C2">
              <w:rPr>
                <w:rStyle w:val="Hyperlink"/>
              </w:rPr>
              <w:t>4.1</w:t>
            </w:r>
            <w:r w:rsidR="00AA4AC2">
              <w:rPr>
                <w:rFonts w:asciiTheme="minorHAnsi" w:hAnsiTheme="minorHAnsi"/>
              </w:rPr>
              <w:tab/>
            </w:r>
            <w:r w:rsidR="00AA4AC2" w:rsidRPr="00A563C2">
              <w:rPr>
                <w:rStyle w:val="Hyperlink"/>
              </w:rPr>
              <w:t>Operational Projects</w:t>
            </w:r>
            <w:r w:rsidR="00AA4AC2">
              <w:rPr>
                <w:webHidden/>
              </w:rPr>
              <w:tab/>
            </w:r>
            <w:r w:rsidR="00AA4AC2">
              <w:rPr>
                <w:webHidden/>
              </w:rPr>
              <w:fldChar w:fldCharType="begin"/>
            </w:r>
            <w:r w:rsidR="00AA4AC2">
              <w:rPr>
                <w:webHidden/>
              </w:rPr>
              <w:instrText xml:space="preserve"> PAGEREF _Toc507085054 \h </w:instrText>
            </w:r>
            <w:r w:rsidR="00AA4AC2">
              <w:rPr>
                <w:webHidden/>
              </w:rPr>
            </w:r>
            <w:r w:rsidR="00AA4AC2">
              <w:rPr>
                <w:webHidden/>
              </w:rPr>
              <w:fldChar w:fldCharType="separate"/>
            </w:r>
            <w:r w:rsidR="00DD3577">
              <w:rPr>
                <w:webHidden/>
              </w:rPr>
              <w:t>40</w:t>
            </w:r>
            <w:r w:rsidR="00AA4AC2">
              <w:rPr>
                <w:webHidden/>
              </w:rPr>
              <w:fldChar w:fldCharType="end"/>
            </w:r>
          </w:hyperlink>
        </w:p>
        <w:p w:rsidR="00AA4AC2" w:rsidRDefault="003A34B9">
          <w:pPr>
            <w:pStyle w:val="TOC3"/>
            <w:rPr>
              <w:rFonts w:asciiTheme="minorHAnsi" w:hAnsiTheme="minorHAnsi" w:cstheme="minorBidi"/>
              <w:szCs w:val="22"/>
            </w:rPr>
          </w:pPr>
          <w:hyperlink w:anchor="_Toc507085055" w:history="1">
            <w:r w:rsidR="00AA4AC2" w:rsidRPr="00A563C2">
              <w:rPr>
                <w:rStyle w:val="Hyperlink"/>
              </w:rPr>
              <w:t>4.1.1</w:t>
            </w:r>
            <w:r w:rsidR="00AA4AC2">
              <w:rPr>
                <w:rFonts w:asciiTheme="minorHAnsi" w:hAnsiTheme="minorHAnsi" w:cstheme="minorBidi"/>
                <w:szCs w:val="22"/>
              </w:rPr>
              <w:tab/>
            </w:r>
            <w:r w:rsidR="00AA4AC2" w:rsidRPr="00A563C2">
              <w:rPr>
                <w:rStyle w:val="Hyperlink"/>
              </w:rPr>
              <w:t>Ex Post Based on Premise Level Data</w:t>
            </w:r>
            <w:r w:rsidR="00AA4AC2">
              <w:rPr>
                <w:webHidden/>
              </w:rPr>
              <w:tab/>
            </w:r>
            <w:r w:rsidR="00AA4AC2">
              <w:rPr>
                <w:webHidden/>
              </w:rPr>
              <w:fldChar w:fldCharType="begin"/>
            </w:r>
            <w:r w:rsidR="00AA4AC2">
              <w:rPr>
                <w:webHidden/>
              </w:rPr>
              <w:instrText xml:space="preserve"> PAGEREF _Toc507085055 \h </w:instrText>
            </w:r>
            <w:r w:rsidR="00AA4AC2">
              <w:rPr>
                <w:webHidden/>
              </w:rPr>
            </w:r>
            <w:r w:rsidR="00AA4AC2">
              <w:rPr>
                <w:webHidden/>
              </w:rPr>
              <w:fldChar w:fldCharType="separate"/>
            </w:r>
            <w:r w:rsidR="00DD3577">
              <w:rPr>
                <w:webHidden/>
              </w:rPr>
              <w:t>40</w:t>
            </w:r>
            <w:r w:rsidR="00AA4AC2">
              <w:rPr>
                <w:webHidden/>
              </w:rPr>
              <w:fldChar w:fldCharType="end"/>
            </w:r>
          </w:hyperlink>
        </w:p>
        <w:p w:rsidR="00AA4AC2" w:rsidRDefault="003A34B9">
          <w:pPr>
            <w:pStyle w:val="TOC3"/>
            <w:rPr>
              <w:rFonts w:asciiTheme="minorHAnsi" w:hAnsiTheme="minorHAnsi" w:cstheme="minorBidi"/>
              <w:szCs w:val="22"/>
            </w:rPr>
          </w:pPr>
          <w:hyperlink w:anchor="_Toc507085056" w:history="1">
            <w:r w:rsidR="00AA4AC2" w:rsidRPr="00A563C2">
              <w:rPr>
                <w:rStyle w:val="Hyperlink"/>
              </w:rPr>
              <w:t>4.1.2</w:t>
            </w:r>
            <w:r w:rsidR="00AA4AC2">
              <w:rPr>
                <w:rFonts w:asciiTheme="minorHAnsi" w:hAnsiTheme="minorHAnsi" w:cstheme="minorBidi"/>
                <w:szCs w:val="22"/>
              </w:rPr>
              <w:tab/>
            </w:r>
            <w:r w:rsidR="00AA4AC2" w:rsidRPr="00A563C2">
              <w:rPr>
                <w:rStyle w:val="Hyperlink"/>
              </w:rPr>
              <w:t>Ex Post Based on Operational Data</w:t>
            </w:r>
            <w:r w:rsidR="00AA4AC2">
              <w:rPr>
                <w:webHidden/>
              </w:rPr>
              <w:tab/>
            </w:r>
            <w:r w:rsidR="00AA4AC2">
              <w:rPr>
                <w:webHidden/>
              </w:rPr>
              <w:fldChar w:fldCharType="begin"/>
            </w:r>
            <w:r w:rsidR="00AA4AC2">
              <w:rPr>
                <w:webHidden/>
              </w:rPr>
              <w:instrText xml:space="preserve"> PAGEREF _Toc507085056 \h </w:instrText>
            </w:r>
            <w:r w:rsidR="00AA4AC2">
              <w:rPr>
                <w:webHidden/>
              </w:rPr>
            </w:r>
            <w:r w:rsidR="00AA4AC2">
              <w:rPr>
                <w:webHidden/>
              </w:rPr>
              <w:fldChar w:fldCharType="separate"/>
            </w:r>
            <w:r w:rsidR="00DD3577">
              <w:rPr>
                <w:webHidden/>
              </w:rPr>
              <w:t>41</w:t>
            </w:r>
            <w:r w:rsidR="00AA4AC2">
              <w:rPr>
                <w:webHidden/>
              </w:rPr>
              <w:fldChar w:fldCharType="end"/>
            </w:r>
          </w:hyperlink>
        </w:p>
        <w:p w:rsidR="00AA4AC2" w:rsidRDefault="003A34B9">
          <w:pPr>
            <w:pStyle w:val="TOC2"/>
            <w:rPr>
              <w:rFonts w:asciiTheme="minorHAnsi" w:hAnsiTheme="minorHAnsi"/>
            </w:rPr>
          </w:pPr>
          <w:hyperlink w:anchor="_Toc507085057" w:history="1">
            <w:r w:rsidR="00AA4AC2" w:rsidRPr="00A563C2">
              <w:rPr>
                <w:rStyle w:val="Hyperlink"/>
              </w:rPr>
              <w:t>4.2</w:t>
            </w:r>
            <w:r w:rsidR="00AA4AC2">
              <w:rPr>
                <w:rFonts w:asciiTheme="minorHAnsi" w:hAnsiTheme="minorHAnsi"/>
              </w:rPr>
              <w:tab/>
            </w:r>
            <w:r w:rsidR="00AA4AC2" w:rsidRPr="00A563C2">
              <w:rPr>
                <w:rStyle w:val="Hyperlink"/>
              </w:rPr>
              <w:t>Identified Projects</w:t>
            </w:r>
            <w:r w:rsidR="00AA4AC2">
              <w:rPr>
                <w:webHidden/>
              </w:rPr>
              <w:tab/>
            </w:r>
            <w:r w:rsidR="00AA4AC2">
              <w:rPr>
                <w:webHidden/>
              </w:rPr>
              <w:fldChar w:fldCharType="begin"/>
            </w:r>
            <w:r w:rsidR="00AA4AC2">
              <w:rPr>
                <w:webHidden/>
              </w:rPr>
              <w:instrText xml:space="preserve"> PAGEREF _Toc507085057 \h </w:instrText>
            </w:r>
            <w:r w:rsidR="00AA4AC2">
              <w:rPr>
                <w:webHidden/>
              </w:rPr>
            </w:r>
            <w:r w:rsidR="00AA4AC2">
              <w:rPr>
                <w:webHidden/>
              </w:rPr>
              <w:fldChar w:fldCharType="separate"/>
            </w:r>
            <w:r w:rsidR="00DD3577">
              <w:rPr>
                <w:webHidden/>
              </w:rPr>
              <w:t>41</w:t>
            </w:r>
            <w:r w:rsidR="00AA4AC2">
              <w:rPr>
                <w:webHidden/>
              </w:rPr>
              <w:fldChar w:fldCharType="end"/>
            </w:r>
          </w:hyperlink>
        </w:p>
        <w:p w:rsidR="00AA4AC2" w:rsidRDefault="003A34B9">
          <w:pPr>
            <w:pStyle w:val="TOC2"/>
            <w:rPr>
              <w:rFonts w:asciiTheme="minorHAnsi" w:hAnsiTheme="minorHAnsi"/>
            </w:rPr>
          </w:pPr>
          <w:hyperlink w:anchor="_Toc507085058" w:history="1">
            <w:r w:rsidR="00AA4AC2" w:rsidRPr="00A563C2">
              <w:rPr>
                <w:rStyle w:val="Hyperlink"/>
                <w:rFonts w:eastAsia="Times New Roman"/>
              </w:rPr>
              <w:t>4.3</w:t>
            </w:r>
            <w:r w:rsidR="00AA4AC2">
              <w:rPr>
                <w:rFonts w:asciiTheme="minorHAnsi" w:hAnsiTheme="minorHAnsi"/>
              </w:rPr>
              <w:tab/>
            </w:r>
            <w:r w:rsidR="00AA4AC2" w:rsidRPr="00A563C2">
              <w:rPr>
                <w:rStyle w:val="Hyperlink"/>
                <w:rFonts w:eastAsia="Times New Roman"/>
              </w:rPr>
              <w:t>Estimating Ex Ante Weather Conditions</w:t>
            </w:r>
            <w:r w:rsidR="00AA4AC2">
              <w:rPr>
                <w:webHidden/>
              </w:rPr>
              <w:tab/>
            </w:r>
            <w:r w:rsidR="00AA4AC2">
              <w:rPr>
                <w:webHidden/>
              </w:rPr>
              <w:fldChar w:fldCharType="begin"/>
            </w:r>
            <w:r w:rsidR="00AA4AC2">
              <w:rPr>
                <w:webHidden/>
              </w:rPr>
              <w:instrText xml:space="preserve"> PAGEREF _Toc507085058 \h </w:instrText>
            </w:r>
            <w:r w:rsidR="00AA4AC2">
              <w:rPr>
                <w:webHidden/>
              </w:rPr>
            </w:r>
            <w:r w:rsidR="00AA4AC2">
              <w:rPr>
                <w:webHidden/>
              </w:rPr>
              <w:fldChar w:fldCharType="separate"/>
            </w:r>
            <w:r w:rsidR="00DD3577">
              <w:rPr>
                <w:webHidden/>
              </w:rPr>
              <w:t>43</w:t>
            </w:r>
            <w:r w:rsidR="00AA4AC2">
              <w:rPr>
                <w:webHidden/>
              </w:rPr>
              <w:fldChar w:fldCharType="end"/>
            </w:r>
          </w:hyperlink>
        </w:p>
        <w:p w:rsidR="00AA4AC2" w:rsidRDefault="003A34B9">
          <w:pPr>
            <w:pStyle w:val="TOC1"/>
            <w:rPr>
              <w:rFonts w:asciiTheme="minorHAnsi" w:hAnsiTheme="minorHAnsi"/>
            </w:rPr>
          </w:pPr>
          <w:hyperlink w:anchor="_Toc507085059" w:history="1">
            <w:r w:rsidR="00AA4AC2" w:rsidRPr="00A563C2">
              <w:rPr>
                <w:rStyle w:val="Hyperlink"/>
              </w:rPr>
              <w:t>5</w:t>
            </w:r>
            <w:r w:rsidR="00AA4AC2">
              <w:rPr>
                <w:rFonts w:asciiTheme="minorHAnsi" w:hAnsiTheme="minorHAnsi"/>
              </w:rPr>
              <w:tab/>
            </w:r>
            <w:r w:rsidR="00AA4AC2" w:rsidRPr="00A563C2">
              <w:rPr>
                <w:rStyle w:val="Hyperlink"/>
              </w:rPr>
              <w:t>Summary of Assumptions and Enrollment Forecast</w:t>
            </w:r>
            <w:r w:rsidR="00AA4AC2">
              <w:rPr>
                <w:webHidden/>
              </w:rPr>
              <w:tab/>
            </w:r>
            <w:r w:rsidR="00AA4AC2">
              <w:rPr>
                <w:webHidden/>
              </w:rPr>
              <w:fldChar w:fldCharType="begin"/>
            </w:r>
            <w:r w:rsidR="00AA4AC2">
              <w:rPr>
                <w:webHidden/>
              </w:rPr>
              <w:instrText xml:space="preserve"> PAGEREF _Toc507085059 \h </w:instrText>
            </w:r>
            <w:r w:rsidR="00AA4AC2">
              <w:rPr>
                <w:webHidden/>
              </w:rPr>
            </w:r>
            <w:r w:rsidR="00AA4AC2">
              <w:rPr>
                <w:webHidden/>
              </w:rPr>
              <w:fldChar w:fldCharType="separate"/>
            </w:r>
            <w:r w:rsidR="00DD3577">
              <w:rPr>
                <w:webHidden/>
              </w:rPr>
              <w:t>47</w:t>
            </w:r>
            <w:r w:rsidR="00AA4AC2">
              <w:rPr>
                <w:webHidden/>
              </w:rPr>
              <w:fldChar w:fldCharType="end"/>
            </w:r>
          </w:hyperlink>
        </w:p>
        <w:p w:rsidR="00AA4AC2" w:rsidRDefault="003A34B9">
          <w:pPr>
            <w:pStyle w:val="TOC1"/>
            <w:rPr>
              <w:rFonts w:asciiTheme="minorHAnsi" w:hAnsiTheme="minorHAnsi"/>
            </w:rPr>
          </w:pPr>
          <w:hyperlink w:anchor="_Toc507085060" w:history="1">
            <w:r w:rsidR="00AA4AC2" w:rsidRPr="00A563C2">
              <w:rPr>
                <w:rStyle w:val="Hyperlink"/>
              </w:rPr>
              <w:t>6</w:t>
            </w:r>
            <w:r w:rsidR="00AA4AC2">
              <w:rPr>
                <w:rFonts w:asciiTheme="minorHAnsi" w:hAnsiTheme="minorHAnsi"/>
              </w:rPr>
              <w:tab/>
            </w:r>
            <w:r w:rsidR="00AA4AC2" w:rsidRPr="00A563C2">
              <w:rPr>
                <w:rStyle w:val="Hyperlink"/>
              </w:rPr>
              <w:t>Ex Ante Impact Estimates</w:t>
            </w:r>
            <w:r w:rsidR="00AA4AC2">
              <w:rPr>
                <w:webHidden/>
              </w:rPr>
              <w:tab/>
            </w:r>
            <w:r w:rsidR="00AA4AC2">
              <w:rPr>
                <w:webHidden/>
              </w:rPr>
              <w:fldChar w:fldCharType="begin"/>
            </w:r>
            <w:r w:rsidR="00AA4AC2">
              <w:rPr>
                <w:webHidden/>
              </w:rPr>
              <w:instrText xml:space="preserve"> PAGEREF _Toc507085060 \h </w:instrText>
            </w:r>
            <w:r w:rsidR="00AA4AC2">
              <w:rPr>
                <w:webHidden/>
              </w:rPr>
            </w:r>
            <w:r w:rsidR="00AA4AC2">
              <w:rPr>
                <w:webHidden/>
              </w:rPr>
              <w:fldChar w:fldCharType="separate"/>
            </w:r>
            <w:r w:rsidR="00DD3577">
              <w:rPr>
                <w:webHidden/>
              </w:rPr>
              <w:t>50</w:t>
            </w:r>
            <w:r w:rsidR="00AA4AC2">
              <w:rPr>
                <w:webHidden/>
              </w:rPr>
              <w:fldChar w:fldCharType="end"/>
            </w:r>
          </w:hyperlink>
        </w:p>
        <w:p w:rsidR="00AA4AC2" w:rsidRDefault="003A34B9">
          <w:pPr>
            <w:pStyle w:val="TOC2"/>
            <w:rPr>
              <w:rFonts w:asciiTheme="minorHAnsi" w:hAnsiTheme="minorHAnsi"/>
            </w:rPr>
          </w:pPr>
          <w:hyperlink w:anchor="_Toc507085061" w:history="1">
            <w:r w:rsidR="00AA4AC2" w:rsidRPr="00A563C2">
              <w:rPr>
                <w:rStyle w:val="Hyperlink"/>
              </w:rPr>
              <w:t>6.1</w:t>
            </w:r>
            <w:r w:rsidR="00AA4AC2">
              <w:rPr>
                <w:rFonts w:asciiTheme="minorHAnsi" w:hAnsiTheme="minorHAnsi"/>
              </w:rPr>
              <w:tab/>
            </w:r>
            <w:r w:rsidR="00AA4AC2" w:rsidRPr="00A563C2">
              <w:rPr>
                <w:rStyle w:val="Hyperlink"/>
              </w:rPr>
              <w:t>PG&amp;E Results</w:t>
            </w:r>
            <w:r w:rsidR="00AA4AC2">
              <w:rPr>
                <w:webHidden/>
              </w:rPr>
              <w:tab/>
            </w:r>
            <w:r w:rsidR="00AA4AC2">
              <w:rPr>
                <w:webHidden/>
              </w:rPr>
              <w:fldChar w:fldCharType="begin"/>
            </w:r>
            <w:r w:rsidR="00AA4AC2">
              <w:rPr>
                <w:webHidden/>
              </w:rPr>
              <w:instrText xml:space="preserve"> PAGEREF _Toc507085061 \h </w:instrText>
            </w:r>
            <w:r w:rsidR="00AA4AC2">
              <w:rPr>
                <w:webHidden/>
              </w:rPr>
            </w:r>
            <w:r w:rsidR="00AA4AC2">
              <w:rPr>
                <w:webHidden/>
              </w:rPr>
              <w:fldChar w:fldCharType="separate"/>
            </w:r>
            <w:r w:rsidR="00DD3577">
              <w:rPr>
                <w:webHidden/>
              </w:rPr>
              <w:t>51</w:t>
            </w:r>
            <w:r w:rsidR="00AA4AC2">
              <w:rPr>
                <w:webHidden/>
              </w:rPr>
              <w:fldChar w:fldCharType="end"/>
            </w:r>
          </w:hyperlink>
        </w:p>
        <w:p w:rsidR="00AA4AC2" w:rsidRDefault="003A34B9">
          <w:pPr>
            <w:pStyle w:val="TOC3"/>
            <w:rPr>
              <w:rFonts w:asciiTheme="minorHAnsi" w:hAnsiTheme="minorHAnsi" w:cstheme="minorBidi"/>
              <w:szCs w:val="22"/>
            </w:rPr>
          </w:pPr>
          <w:hyperlink w:anchor="_Toc507085062" w:history="1">
            <w:r w:rsidR="00AA4AC2" w:rsidRPr="00A563C2">
              <w:rPr>
                <w:rStyle w:val="Hyperlink"/>
              </w:rPr>
              <w:t>6.1.1</w:t>
            </w:r>
            <w:r w:rsidR="00AA4AC2">
              <w:rPr>
                <w:rFonts w:asciiTheme="minorHAnsi" w:hAnsiTheme="minorHAnsi" w:cstheme="minorBidi"/>
                <w:szCs w:val="22"/>
              </w:rPr>
              <w:tab/>
            </w:r>
            <w:r w:rsidR="00AA4AC2" w:rsidRPr="00A563C2">
              <w:rPr>
                <w:rStyle w:val="Hyperlink"/>
              </w:rPr>
              <w:t>Relationship between Ex Post and Ex Ante Estimates</w:t>
            </w:r>
            <w:r w:rsidR="00AA4AC2">
              <w:rPr>
                <w:webHidden/>
              </w:rPr>
              <w:tab/>
            </w:r>
            <w:r w:rsidR="00AA4AC2">
              <w:rPr>
                <w:webHidden/>
              </w:rPr>
              <w:fldChar w:fldCharType="begin"/>
            </w:r>
            <w:r w:rsidR="00AA4AC2">
              <w:rPr>
                <w:webHidden/>
              </w:rPr>
              <w:instrText xml:space="preserve"> PAGEREF _Toc507085062 \h </w:instrText>
            </w:r>
            <w:r w:rsidR="00AA4AC2">
              <w:rPr>
                <w:webHidden/>
              </w:rPr>
            </w:r>
            <w:r w:rsidR="00AA4AC2">
              <w:rPr>
                <w:webHidden/>
              </w:rPr>
              <w:fldChar w:fldCharType="separate"/>
            </w:r>
            <w:r w:rsidR="00DD3577">
              <w:rPr>
                <w:webHidden/>
              </w:rPr>
              <w:t>58</w:t>
            </w:r>
            <w:r w:rsidR="00AA4AC2">
              <w:rPr>
                <w:webHidden/>
              </w:rPr>
              <w:fldChar w:fldCharType="end"/>
            </w:r>
          </w:hyperlink>
        </w:p>
        <w:p w:rsidR="00AA4AC2" w:rsidRDefault="003A34B9">
          <w:pPr>
            <w:pStyle w:val="TOC3"/>
            <w:rPr>
              <w:rFonts w:asciiTheme="minorHAnsi" w:hAnsiTheme="minorHAnsi" w:cstheme="minorBidi"/>
              <w:szCs w:val="22"/>
            </w:rPr>
          </w:pPr>
          <w:hyperlink w:anchor="_Toc507085063" w:history="1">
            <w:r w:rsidR="00AA4AC2" w:rsidRPr="00A563C2">
              <w:rPr>
                <w:rStyle w:val="Hyperlink"/>
              </w:rPr>
              <w:t>6.1.2</w:t>
            </w:r>
            <w:r w:rsidR="00AA4AC2">
              <w:rPr>
                <w:rFonts w:asciiTheme="minorHAnsi" w:hAnsiTheme="minorHAnsi" w:cstheme="minorBidi"/>
                <w:szCs w:val="22"/>
              </w:rPr>
              <w:tab/>
            </w:r>
            <w:r w:rsidR="00AA4AC2" w:rsidRPr="00A563C2">
              <w:rPr>
                <w:rStyle w:val="Hyperlink"/>
              </w:rPr>
              <w:t>Comparison of 2016 and 2017 Ex Ante Estimates</w:t>
            </w:r>
            <w:r w:rsidR="00AA4AC2">
              <w:rPr>
                <w:webHidden/>
              </w:rPr>
              <w:tab/>
            </w:r>
            <w:r w:rsidR="00AA4AC2">
              <w:rPr>
                <w:webHidden/>
              </w:rPr>
              <w:fldChar w:fldCharType="begin"/>
            </w:r>
            <w:r w:rsidR="00AA4AC2">
              <w:rPr>
                <w:webHidden/>
              </w:rPr>
              <w:instrText xml:space="preserve"> PAGEREF _Toc507085063 \h </w:instrText>
            </w:r>
            <w:r w:rsidR="00AA4AC2">
              <w:rPr>
                <w:webHidden/>
              </w:rPr>
            </w:r>
            <w:r w:rsidR="00AA4AC2">
              <w:rPr>
                <w:webHidden/>
              </w:rPr>
              <w:fldChar w:fldCharType="separate"/>
            </w:r>
            <w:r w:rsidR="00DD3577">
              <w:rPr>
                <w:webHidden/>
              </w:rPr>
              <w:t>60</w:t>
            </w:r>
            <w:r w:rsidR="00AA4AC2">
              <w:rPr>
                <w:webHidden/>
              </w:rPr>
              <w:fldChar w:fldCharType="end"/>
            </w:r>
          </w:hyperlink>
        </w:p>
        <w:p w:rsidR="00AA4AC2" w:rsidRDefault="003A34B9">
          <w:pPr>
            <w:pStyle w:val="TOC2"/>
            <w:rPr>
              <w:rFonts w:asciiTheme="minorHAnsi" w:hAnsiTheme="minorHAnsi"/>
            </w:rPr>
          </w:pPr>
          <w:hyperlink w:anchor="_Toc507085064" w:history="1">
            <w:r w:rsidR="00AA4AC2" w:rsidRPr="00A563C2">
              <w:rPr>
                <w:rStyle w:val="Hyperlink"/>
              </w:rPr>
              <w:t>6.2</w:t>
            </w:r>
            <w:r w:rsidR="00AA4AC2">
              <w:rPr>
                <w:rFonts w:asciiTheme="minorHAnsi" w:hAnsiTheme="minorHAnsi"/>
              </w:rPr>
              <w:tab/>
            </w:r>
            <w:r w:rsidR="00AA4AC2" w:rsidRPr="00A563C2">
              <w:rPr>
                <w:rStyle w:val="Hyperlink"/>
              </w:rPr>
              <w:t>SCE Results</w:t>
            </w:r>
            <w:r w:rsidR="00AA4AC2">
              <w:rPr>
                <w:webHidden/>
              </w:rPr>
              <w:tab/>
            </w:r>
            <w:r w:rsidR="00AA4AC2">
              <w:rPr>
                <w:webHidden/>
              </w:rPr>
              <w:fldChar w:fldCharType="begin"/>
            </w:r>
            <w:r w:rsidR="00AA4AC2">
              <w:rPr>
                <w:webHidden/>
              </w:rPr>
              <w:instrText xml:space="preserve"> PAGEREF _Toc507085064 \h </w:instrText>
            </w:r>
            <w:r w:rsidR="00AA4AC2">
              <w:rPr>
                <w:webHidden/>
              </w:rPr>
            </w:r>
            <w:r w:rsidR="00AA4AC2">
              <w:rPr>
                <w:webHidden/>
              </w:rPr>
              <w:fldChar w:fldCharType="separate"/>
            </w:r>
            <w:r w:rsidR="00DD3577">
              <w:rPr>
                <w:webHidden/>
              </w:rPr>
              <w:t>61</w:t>
            </w:r>
            <w:r w:rsidR="00AA4AC2">
              <w:rPr>
                <w:webHidden/>
              </w:rPr>
              <w:fldChar w:fldCharType="end"/>
            </w:r>
          </w:hyperlink>
        </w:p>
        <w:p w:rsidR="00AA4AC2" w:rsidRDefault="003A34B9">
          <w:pPr>
            <w:pStyle w:val="TOC3"/>
            <w:rPr>
              <w:rFonts w:asciiTheme="minorHAnsi" w:hAnsiTheme="minorHAnsi" w:cstheme="minorBidi"/>
              <w:szCs w:val="22"/>
            </w:rPr>
          </w:pPr>
          <w:hyperlink w:anchor="_Toc507085065" w:history="1">
            <w:r w:rsidR="00AA4AC2" w:rsidRPr="00A563C2">
              <w:rPr>
                <w:rStyle w:val="Hyperlink"/>
              </w:rPr>
              <w:t>6.2.1</w:t>
            </w:r>
            <w:r w:rsidR="00AA4AC2">
              <w:rPr>
                <w:rFonts w:asciiTheme="minorHAnsi" w:hAnsiTheme="minorHAnsi" w:cstheme="minorBidi"/>
                <w:szCs w:val="22"/>
              </w:rPr>
              <w:tab/>
            </w:r>
            <w:r w:rsidR="00AA4AC2" w:rsidRPr="00A563C2">
              <w:rPr>
                <w:rStyle w:val="Hyperlink"/>
              </w:rPr>
              <w:t>Relationship between Ex Post and Ex Ante Estimates</w:t>
            </w:r>
            <w:r w:rsidR="00AA4AC2">
              <w:rPr>
                <w:webHidden/>
              </w:rPr>
              <w:tab/>
            </w:r>
            <w:r w:rsidR="00AA4AC2">
              <w:rPr>
                <w:webHidden/>
              </w:rPr>
              <w:fldChar w:fldCharType="begin"/>
            </w:r>
            <w:r w:rsidR="00AA4AC2">
              <w:rPr>
                <w:webHidden/>
              </w:rPr>
              <w:instrText xml:space="preserve"> PAGEREF _Toc507085065 \h </w:instrText>
            </w:r>
            <w:r w:rsidR="00AA4AC2">
              <w:rPr>
                <w:webHidden/>
              </w:rPr>
            </w:r>
            <w:r w:rsidR="00AA4AC2">
              <w:rPr>
                <w:webHidden/>
              </w:rPr>
              <w:fldChar w:fldCharType="separate"/>
            </w:r>
            <w:r w:rsidR="00DD3577">
              <w:rPr>
                <w:webHidden/>
              </w:rPr>
              <w:t>68</w:t>
            </w:r>
            <w:r w:rsidR="00AA4AC2">
              <w:rPr>
                <w:webHidden/>
              </w:rPr>
              <w:fldChar w:fldCharType="end"/>
            </w:r>
          </w:hyperlink>
        </w:p>
        <w:p w:rsidR="00AA4AC2" w:rsidRDefault="003A34B9">
          <w:pPr>
            <w:pStyle w:val="TOC3"/>
            <w:rPr>
              <w:rFonts w:asciiTheme="minorHAnsi" w:hAnsiTheme="minorHAnsi" w:cstheme="minorBidi"/>
              <w:szCs w:val="22"/>
            </w:rPr>
          </w:pPr>
          <w:hyperlink w:anchor="_Toc507085066" w:history="1">
            <w:r w:rsidR="00AA4AC2" w:rsidRPr="00A563C2">
              <w:rPr>
                <w:rStyle w:val="Hyperlink"/>
              </w:rPr>
              <w:t>6.2.2</w:t>
            </w:r>
            <w:r w:rsidR="00AA4AC2">
              <w:rPr>
                <w:rFonts w:asciiTheme="minorHAnsi" w:hAnsiTheme="minorHAnsi" w:cstheme="minorBidi"/>
                <w:szCs w:val="22"/>
              </w:rPr>
              <w:tab/>
            </w:r>
            <w:r w:rsidR="00AA4AC2" w:rsidRPr="00A563C2">
              <w:rPr>
                <w:rStyle w:val="Hyperlink"/>
              </w:rPr>
              <w:t>Comparison of 2016 and 2017 Ex Ante Estimates</w:t>
            </w:r>
            <w:r w:rsidR="00AA4AC2">
              <w:rPr>
                <w:webHidden/>
              </w:rPr>
              <w:tab/>
            </w:r>
            <w:r w:rsidR="00AA4AC2">
              <w:rPr>
                <w:webHidden/>
              </w:rPr>
              <w:fldChar w:fldCharType="begin"/>
            </w:r>
            <w:r w:rsidR="00AA4AC2">
              <w:rPr>
                <w:webHidden/>
              </w:rPr>
              <w:instrText xml:space="preserve"> PAGEREF _Toc507085066 \h </w:instrText>
            </w:r>
            <w:r w:rsidR="00AA4AC2">
              <w:rPr>
                <w:webHidden/>
              </w:rPr>
            </w:r>
            <w:r w:rsidR="00AA4AC2">
              <w:rPr>
                <w:webHidden/>
              </w:rPr>
              <w:fldChar w:fldCharType="separate"/>
            </w:r>
            <w:r w:rsidR="00DD3577">
              <w:rPr>
                <w:webHidden/>
              </w:rPr>
              <w:t>70</w:t>
            </w:r>
            <w:r w:rsidR="00AA4AC2">
              <w:rPr>
                <w:webHidden/>
              </w:rPr>
              <w:fldChar w:fldCharType="end"/>
            </w:r>
          </w:hyperlink>
        </w:p>
        <w:p w:rsidR="00AA4AC2" w:rsidRDefault="003A34B9">
          <w:pPr>
            <w:pStyle w:val="TOC2"/>
            <w:rPr>
              <w:rFonts w:asciiTheme="minorHAnsi" w:hAnsiTheme="minorHAnsi"/>
            </w:rPr>
          </w:pPr>
          <w:hyperlink w:anchor="_Toc507085067" w:history="1">
            <w:r w:rsidR="00AA4AC2" w:rsidRPr="00A563C2">
              <w:rPr>
                <w:rStyle w:val="Hyperlink"/>
              </w:rPr>
              <w:t>6.3</w:t>
            </w:r>
            <w:r w:rsidR="00AA4AC2">
              <w:rPr>
                <w:rFonts w:asciiTheme="minorHAnsi" w:hAnsiTheme="minorHAnsi"/>
              </w:rPr>
              <w:tab/>
            </w:r>
            <w:r w:rsidR="00AA4AC2" w:rsidRPr="00A563C2">
              <w:rPr>
                <w:rStyle w:val="Hyperlink"/>
              </w:rPr>
              <w:t>SDG&amp;E Results</w:t>
            </w:r>
            <w:r w:rsidR="00AA4AC2">
              <w:rPr>
                <w:webHidden/>
              </w:rPr>
              <w:tab/>
            </w:r>
            <w:r w:rsidR="00AA4AC2">
              <w:rPr>
                <w:webHidden/>
              </w:rPr>
              <w:fldChar w:fldCharType="begin"/>
            </w:r>
            <w:r w:rsidR="00AA4AC2">
              <w:rPr>
                <w:webHidden/>
              </w:rPr>
              <w:instrText xml:space="preserve"> PAGEREF _Toc507085067 \h </w:instrText>
            </w:r>
            <w:r w:rsidR="00AA4AC2">
              <w:rPr>
                <w:webHidden/>
              </w:rPr>
            </w:r>
            <w:r w:rsidR="00AA4AC2">
              <w:rPr>
                <w:webHidden/>
              </w:rPr>
              <w:fldChar w:fldCharType="separate"/>
            </w:r>
            <w:r w:rsidR="00DD3577">
              <w:rPr>
                <w:webHidden/>
              </w:rPr>
              <w:t>71</w:t>
            </w:r>
            <w:r w:rsidR="00AA4AC2">
              <w:rPr>
                <w:webHidden/>
              </w:rPr>
              <w:fldChar w:fldCharType="end"/>
            </w:r>
          </w:hyperlink>
        </w:p>
        <w:p w:rsidR="00AA4AC2" w:rsidRDefault="003A34B9">
          <w:pPr>
            <w:pStyle w:val="TOC3"/>
            <w:rPr>
              <w:rFonts w:asciiTheme="minorHAnsi" w:hAnsiTheme="minorHAnsi" w:cstheme="minorBidi"/>
              <w:szCs w:val="22"/>
            </w:rPr>
          </w:pPr>
          <w:hyperlink w:anchor="_Toc507085068" w:history="1">
            <w:r w:rsidR="00AA4AC2" w:rsidRPr="00A563C2">
              <w:rPr>
                <w:rStyle w:val="Hyperlink"/>
              </w:rPr>
              <w:t>6.3.1</w:t>
            </w:r>
            <w:r w:rsidR="00AA4AC2">
              <w:rPr>
                <w:rFonts w:asciiTheme="minorHAnsi" w:hAnsiTheme="minorHAnsi" w:cstheme="minorBidi"/>
                <w:szCs w:val="22"/>
              </w:rPr>
              <w:tab/>
            </w:r>
            <w:r w:rsidR="00AA4AC2" w:rsidRPr="00A563C2">
              <w:rPr>
                <w:rStyle w:val="Hyperlink"/>
              </w:rPr>
              <w:t>Relationship between Ex Post and Ex Ante Estimates</w:t>
            </w:r>
            <w:r w:rsidR="00AA4AC2">
              <w:rPr>
                <w:webHidden/>
              </w:rPr>
              <w:tab/>
            </w:r>
            <w:r w:rsidR="00AA4AC2">
              <w:rPr>
                <w:webHidden/>
              </w:rPr>
              <w:fldChar w:fldCharType="begin"/>
            </w:r>
            <w:r w:rsidR="00AA4AC2">
              <w:rPr>
                <w:webHidden/>
              </w:rPr>
              <w:instrText xml:space="preserve"> PAGEREF _Toc507085068 \h </w:instrText>
            </w:r>
            <w:r w:rsidR="00AA4AC2">
              <w:rPr>
                <w:webHidden/>
              </w:rPr>
            </w:r>
            <w:r w:rsidR="00AA4AC2">
              <w:rPr>
                <w:webHidden/>
              </w:rPr>
              <w:fldChar w:fldCharType="separate"/>
            </w:r>
            <w:r w:rsidR="00DD3577">
              <w:rPr>
                <w:webHidden/>
              </w:rPr>
              <w:t>76</w:t>
            </w:r>
            <w:r w:rsidR="00AA4AC2">
              <w:rPr>
                <w:webHidden/>
              </w:rPr>
              <w:fldChar w:fldCharType="end"/>
            </w:r>
          </w:hyperlink>
        </w:p>
        <w:p w:rsidR="00AA4AC2" w:rsidRDefault="003A34B9">
          <w:pPr>
            <w:pStyle w:val="TOC3"/>
            <w:rPr>
              <w:rFonts w:asciiTheme="minorHAnsi" w:hAnsiTheme="minorHAnsi" w:cstheme="minorBidi"/>
              <w:szCs w:val="22"/>
            </w:rPr>
          </w:pPr>
          <w:hyperlink w:anchor="_Toc507085069" w:history="1">
            <w:r w:rsidR="00AA4AC2" w:rsidRPr="00A563C2">
              <w:rPr>
                <w:rStyle w:val="Hyperlink"/>
              </w:rPr>
              <w:t>6.3.2</w:t>
            </w:r>
            <w:r w:rsidR="00AA4AC2">
              <w:rPr>
                <w:rFonts w:asciiTheme="minorHAnsi" w:hAnsiTheme="minorHAnsi" w:cstheme="minorBidi"/>
                <w:szCs w:val="22"/>
              </w:rPr>
              <w:tab/>
            </w:r>
            <w:r w:rsidR="00AA4AC2" w:rsidRPr="00A563C2">
              <w:rPr>
                <w:rStyle w:val="Hyperlink"/>
              </w:rPr>
              <w:t>Comparison of 2016 and 2017 Ex Ante Estimates</w:t>
            </w:r>
            <w:r w:rsidR="00AA4AC2">
              <w:rPr>
                <w:webHidden/>
              </w:rPr>
              <w:tab/>
            </w:r>
            <w:r w:rsidR="00AA4AC2">
              <w:rPr>
                <w:webHidden/>
              </w:rPr>
              <w:fldChar w:fldCharType="begin"/>
            </w:r>
            <w:r w:rsidR="00AA4AC2">
              <w:rPr>
                <w:webHidden/>
              </w:rPr>
              <w:instrText xml:space="preserve"> PAGEREF _Toc507085069 \h </w:instrText>
            </w:r>
            <w:r w:rsidR="00AA4AC2">
              <w:rPr>
                <w:webHidden/>
              </w:rPr>
            </w:r>
            <w:r w:rsidR="00AA4AC2">
              <w:rPr>
                <w:webHidden/>
              </w:rPr>
              <w:fldChar w:fldCharType="separate"/>
            </w:r>
            <w:r w:rsidR="00DD3577">
              <w:rPr>
                <w:webHidden/>
              </w:rPr>
              <w:t>78</w:t>
            </w:r>
            <w:r w:rsidR="00AA4AC2">
              <w:rPr>
                <w:webHidden/>
              </w:rPr>
              <w:fldChar w:fldCharType="end"/>
            </w:r>
          </w:hyperlink>
        </w:p>
        <w:p w:rsidR="00AA4AC2" w:rsidRDefault="003A34B9">
          <w:pPr>
            <w:pStyle w:val="TOC1"/>
            <w:rPr>
              <w:rFonts w:asciiTheme="minorHAnsi" w:hAnsiTheme="minorHAnsi"/>
            </w:rPr>
          </w:pPr>
          <w:hyperlink w:anchor="_Toc507085070" w:history="1">
            <w:r w:rsidR="00AA4AC2" w:rsidRPr="00A563C2">
              <w:rPr>
                <w:rStyle w:val="Hyperlink"/>
              </w:rPr>
              <w:t>7</w:t>
            </w:r>
            <w:r w:rsidR="00AA4AC2">
              <w:rPr>
                <w:rFonts w:asciiTheme="minorHAnsi" w:hAnsiTheme="minorHAnsi"/>
              </w:rPr>
              <w:tab/>
            </w:r>
            <w:r w:rsidR="00AA4AC2" w:rsidRPr="00A563C2">
              <w:rPr>
                <w:rStyle w:val="Hyperlink"/>
              </w:rPr>
              <w:t>Recommendations</w:t>
            </w:r>
            <w:r w:rsidR="00AA4AC2">
              <w:rPr>
                <w:webHidden/>
              </w:rPr>
              <w:tab/>
            </w:r>
            <w:r w:rsidR="00AA4AC2">
              <w:rPr>
                <w:webHidden/>
              </w:rPr>
              <w:fldChar w:fldCharType="begin"/>
            </w:r>
            <w:r w:rsidR="00AA4AC2">
              <w:rPr>
                <w:webHidden/>
              </w:rPr>
              <w:instrText xml:space="preserve"> PAGEREF _Toc507085070 \h </w:instrText>
            </w:r>
            <w:r w:rsidR="00AA4AC2">
              <w:rPr>
                <w:webHidden/>
              </w:rPr>
            </w:r>
            <w:r w:rsidR="00AA4AC2">
              <w:rPr>
                <w:webHidden/>
              </w:rPr>
              <w:fldChar w:fldCharType="separate"/>
            </w:r>
            <w:r w:rsidR="00DD3577">
              <w:rPr>
                <w:webHidden/>
              </w:rPr>
              <w:t>78</w:t>
            </w:r>
            <w:r w:rsidR="00AA4AC2">
              <w:rPr>
                <w:webHidden/>
              </w:rPr>
              <w:fldChar w:fldCharType="end"/>
            </w:r>
          </w:hyperlink>
        </w:p>
        <w:p w:rsidR="00AA4AC2" w:rsidRDefault="003A34B9">
          <w:pPr>
            <w:pStyle w:val="TOC1"/>
            <w:rPr>
              <w:rFonts w:asciiTheme="minorHAnsi" w:hAnsiTheme="minorHAnsi"/>
            </w:rPr>
          </w:pPr>
          <w:hyperlink w:anchor="_Toc507085071" w:history="1">
            <w:r w:rsidR="00AA4AC2" w:rsidRPr="00A563C2">
              <w:rPr>
                <w:rStyle w:val="Hyperlink"/>
                <w:snapToGrid w:val="0"/>
                <w:w w:val="0"/>
              </w:rPr>
              <w:t>Appendix A</w:t>
            </w:r>
            <w:r w:rsidR="00AA4AC2">
              <w:rPr>
                <w:rFonts w:asciiTheme="minorHAnsi" w:hAnsiTheme="minorHAnsi"/>
              </w:rPr>
              <w:tab/>
            </w:r>
            <w:r w:rsidR="00AA4AC2" w:rsidRPr="00A563C2">
              <w:rPr>
                <w:rStyle w:val="Hyperlink"/>
              </w:rPr>
              <w:t>Customer Regression Models for Ex Post Analysis</w:t>
            </w:r>
            <w:r w:rsidR="00AA4AC2">
              <w:rPr>
                <w:webHidden/>
              </w:rPr>
              <w:tab/>
            </w:r>
            <w:r w:rsidR="00AA4AC2">
              <w:rPr>
                <w:webHidden/>
              </w:rPr>
              <w:fldChar w:fldCharType="begin"/>
            </w:r>
            <w:r w:rsidR="00AA4AC2">
              <w:rPr>
                <w:webHidden/>
              </w:rPr>
              <w:instrText xml:space="preserve"> PAGEREF _Toc507085071 \h </w:instrText>
            </w:r>
            <w:r w:rsidR="00AA4AC2">
              <w:rPr>
                <w:webHidden/>
              </w:rPr>
            </w:r>
            <w:r w:rsidR="00AA4AC2">
              <w:rPr>
                <w:webHidden/>
              </w:rPr>
              <w:fldChar w:fldCharType="separate"/>
            </w:r>
            <w:r w:rsidR="00DD3577">
              <w:rPr>
                <w:webHidden/>
              </w:rPr>
              <w:t>79</w:t>
            </w:r>
            <w:r w:rsidR="00AA4AC2">
              <w:rPr>
                <w:webHidden/>
              </w:rPr>
              <w:fldChar w:fldCharType="end"/>
            </w:r>
          </w:hyperlink>
        </w:p>
        <w:p w:rsidR="00AA4AC2" w:rsidRDefault="003A34B9">
          <w:pPr>
            <w:pStyle w:val="TOC3"/>
            <w:rPr>
              <w:rFonts w:asciiTheme="minorHAnsi" w:hAnsiTheme="minorHAnsi" w:cstheme="minorBidi"/>
              <w:szCs w:val="22"/>
            </w:rPr>
          </w:pPr>
          <w:hyperlink w:anchor="_Toc507085072" w:history="1">
            <w:r w:rsidR="00AA4AC2" w:rsidRPr="00A563C2">
              <w:rPr>
                <w:rStyle w:val="Hyperlink"/>
                <w:snapToGrid w:val="0"/>
                <w:w w:val="0"/>
              </w:rPr>
              <w:t>A.1</w:t>
            </w:r>
            <w:r w:rsidR="00AA4AC2">
              <w:rPr>
                <w:rFonts w:asciiTheme="minorHAnsi" w:hAnsiTheme="minorHAnsi" w:cstheme="minorBidi"/>
                <w:szCs w:val="22"/>
              </w:rPr>
              <w:tab/>
            </w:r>
            <w:r w:rsidR="00AA4AC2" w:rsidRPr="00A563C2">
              <w:rPr>
                <w:rStyle w:val="Hyperlink"/>
              </w:rPr>
              <w:t>PG&amp;E</w:t>
            </w:r>
            <w:r w:rsidR="00AA4AC2">
              <w:rPr>
                <w:webHidden/>
              </w:rPr>
              <w:tab/>
            </w:r>
            <w:r w:rsidR="00AA4AC2">
              <w:rPr>
                <w:webHidden/>
              </w:rPr>
              <w:fldChar w:fldCharType="begin"/>
            </w:r>
            <w:r w:rsidR="00AA4AC2">
              <w:rPr>
                <w:webHidden/>
              </w:rPr>
              <w:instrText xml:space="preserve"> PAGEREF _Toc507085072 \h </w:instrText>
            </w:r>
            <w:r w:rsidR="00AA4AC2">
              <w:rPr>
                <w:webHidden/>
              </w:rPr>
            </w:r>
            <w:r w:rsidR="00AA4AC2">
              <w:rPr>
                <w:webHidden/>
              </w:rPr>
              <w:fldChar w:fldCharType="separate"/>
            </w:r>
            <w:r w:rsidR="00DD3577">
              <w:rPr>
                <w:webHidden/>
              </w:rPr>
              <w:t>79</w:t>
            </w:r>
            <w:r w:rsidR="00AA4AC2">
              <w:rPr>
                <w:webHidden/>
              </w:rPr>
              <w:fldChar w:fldCharType="end"/>
            </w:r>
          </w:hyperlink>
        </w:p>
        <w:p w:rsidR="00AA4AC2" w:rsidRDefault="003A34B9">
          <w:pPr>
            <w:pStyle w:val="TOC3"/>
            <w:rPr>
              <w:rFonts w:asciiTheme="minorHAnsi" w:hAnsiTheme="minorHAnsi" w:cstheme="minorBidi"/>
              <w:szCs w:val="22"/>
            </w:rPr>
          </w:pPr>
          <w:hyperlink w:anchor="_Toc507085073" w:history="1">
            <w:r w:rsidR="00AA4AC2" w:rsidRPr="00A563C2">
              <w:rPr>
                <w:rStyle w:val="Hyperlink"/>
                <w:snapToGrid w:val="0"/>
                <w:w w:val="0"/>
              </w:rPr>
              <w:t>A.2</w:t>
            </w:r>
            <w:r w:rsidR="00AA4AC2">
              <w:rPr>
                <w:rFonts w:asciiTheme="minorHAnsi" w:hAnsiTheme="minorHAnsi" w:cstheme="minorBidi"/>
                <w:szCs w:val="22"/>
              </w:rPr>
              <w:tab/>
            </w:r>
            <w:r w:rsidR="00AA4AC2" w:rsidRPr="00A563C2">
              <w:rPr>
                <w:rStyle w:val="Hyperlink"/>
              </w:rPr>
              <w:t>SCE</w:t>
            </w:r>
            <w:r w:rsidR="00AA4AC2">
              <w:rPr>
                <w:webHidden/>
              </w:rPr>
              <w:tab/>
            </w:r>
            <w:r w:rsidR="00AA4AC2">
              <w:rPr>
                <w:webHidden/>
              </w:rPr>
              <w:fldChar w:fldCharType="begin"/>
            </w:r>
            <w:r w:rsidR="00AA4AC2">
              <w:rPr>
                <w:webHidden/>
              </w:rPr>
              <w:instrText xml:space="preserve"> PAGEREF _Toc507085073 \h </w:instrText>
            </w:r>
            <w:r w:rsidR="00AA4AC2">
              <w:rPr>
                <w:webHidden/>
              </w:rPr>
            </w:r>
            <w:r w:rsidR="00AA4AC2">
              <w:rPr>
                <w:webHidden/>
              </w:rPr>
              <w:fldChar w:fldCharType="separate"/>
            </w:r>
            <w:r w:rsidR="00DD3577">
              <w:rPr>
                <w:webHidden/>
              </w:rPr>
              <w:t>79</w:t>
            </w:r>
            <w:r w:rsidR="00AA4AC2">
              <w:rPr>
                <w:webHidden/>
              </w:rPr>
              <w:fldChar w:fldCharType="end"/>
            </w:r>
          </w:hyperlink>
        </w:p>
        <w:p w:rsidR="00AA4AC2" w:rsidRDefault="003A34B9">
          <w:pPr>
            <w:pStyle w:val="TOC3"/>
            <w:rPr>
              <w:rFonts w:asciiTheme="minorHAnsi" w:hAnsiTheme="minorHAnsi" w:cstheme="minorBidi"/>
              <w:szCs w:val="22"/>
            </w:rPr>
          </w:pPr>
          <w:hyperlink w:anchor="_Toc507085074" w:history="1">
            <w:r w:rsidR="00AA4AC2" w:rsidRPr="00A563C2">
              <w:rPr>
                <w:rStyle w:val="Hyperlink"/>
                <w:snapToGrid w:val="0"/>
                <w:w w:val="0"/>
              </w:rPr>
              <w:t>A.3</w:t>
            </w:r>
            <w:r w:rsidR="00AA4AC2">
              <w:rPr>
                <w:rFonts w:asciiTheme="minorHAnsi" w:hAnsiTheme="minorHAnsi" w:cstheme="minorBidi"/>
                <w:szCs w:val="22"/>
              </w:rPr>
              <w:tab/>
            </w:r>
            <w:r w:rsidR="00AA4AC2" w:rsidRPr="00A563C2">
              <w:rPr>
                <w:rStyle w:val="Hyperlink"/>
              </w:rPr>
              <w:t>SDG&amp;E</w:t>
            </w:r>
            <w:r w:rsidR="00AA4AC2">
              <w:rPr>
                <w:webHidden/>
              </w:rPr>
              <w:tab/>
            </w:r>
            <w:r w:rsidR="00AA4AC2">
              <w:rPr>
                <w:webHidden/>
              </w:rPr>
              <w:fldChar w:fldCharType="begin"/>
            </w:r>
            <w:r w:rsidR="00AA4AC2">
              <w:rPr>
                <w:webHidden/>
              </w:rPr>
              <w:instrText xml:space="preserve"> PAGEREF _Toc507085074 \h </w:instrText>
            </w:r>
            <w:r w:rsidR="00AA4AC2">
              <w:rPr>
                <w:webHidden/>
              </w:rPr>
            </w:r>
            <w:r w:rsidR="00AA4AC2">
              <w:rPr>
                <w:webHidden/>
              </w:rPr>
              <w:fldChar w:fldCharType="separate"/>
            </w:r>
            <w:r w:rsidR="00DD3577">
              <w:rPr>
                <w:webHidden/>
              </w:rPr>
              <w:t>81</w:t>
            </w:r>
            <w:r w:rsidR="00AA4AC2">
              <w:rPr>
                <w:webHidden/>
              </w:rPr>
              <w:fldChar w:fldCharType="end"/>
            </w:r>
          </w:hyperlink>
        </w:p>
        <w:p w:rsidR="00AA4AC2" w:rsidRDefault="003A34B9">
          <w:pPr>
            <w:pStyle w:val="TOC1"/>
            <w:rPr>
              <w:rFonts w:asciiTheme="minorHAnsi" w:hAnsiTheme="minorHAnsi"/>
            </w:rPr>
          </w:pPr>
          <w:hyperlink w:anchor="_Toc507085075" w:history="1">
            <w:r w:rsidR="00AA4AC2" w:rsidRPr="00A563C2">
              <w:rPr>
                <w:rStyle w:val="Hyperlink"/>
                <w:snapToGrid w:val="0"/>
                <w:w w:val="0"/>
              </w:rPr>
              <w:t>Appendix B</w:t>
            </w:r>
            <w:r w:rsidR="00AA4AC2">
              <w:rPr>
                <w:rFonts w:asciiTheme="minorHAnsi" w:hAnsiTheme="minorHAnsi"/>
              </w:rPr>
              <w:tab/>
            </w:r>
            <w:r w:rsidR="00AA4AC2" w:rsidRPr="00A563C2">
              <w:rPr>
                <w:rStyle w:val="Hyperlink"/>
              </w:rPr>
              <w:t>Methodology for Developing Ex Ante Conversion Factors</w:t>
            </w:r>
            <w:r w:rsidR="00AA4AC2">
              <w:rPr>
                <w:webHidden/>
              </w:rPr>
              <w:tab/>
            </w:r>
            <w:r w:rsidR="00AA4AC2">
              <w:rPr>
                <w:webHidden/>
              </w:rPr>
              <w:fldChar w:fldCharType="begin"/>
            </w:r>
            <w:r w:rsidR="00AA4AC2">
              <w:rPr>
                <w:webHidden/>
              </w:rPr>
              <w:instrText xml:space="preserve"> PAGEREF _Toc507085075 \h </w:instrText>
            </w:r>
            <w:r w:rsidR="00AA4AC2">
              <w:rPr>
                <w:webHidden/>
              </w:rPr>
            </w:r>
            <w:r w:rsidR="00AA4AC2">
              <w:rPr>
                <w:webHidden/>
              </w:rPr>
              <w:fldChar w:fldCharType="separate"/>
            </w:r>
            <w:r w:rsidR="00DD3577">
              <w:rPr>
                <w:webHidden/>
              </w:rPr>
              <w:t>82</w:t>
            </w:r>
            <w:r w:rsidR="00AA4AC2">
              <w:rPr>
                <w:webHidden/>
              </w:rPr>
              <w:fldChar w:fldCharType="end"/>
            </w:r>
          </w:hyperlink>
        </w:p>
        <w:p w:rsidR="00AA4AC2" w:rsidRDefault="003A34B9">
          <w:pPr>
            <w:pStyle w:val="TOC3"/>
            <w:rPr>
              <w:rFonts w:asciiTheme="minorHAnsi" w:hAnsiTheme="minorHAnsi" w:cstheme="minorBidi"/>
              <w:szCs w:val="22"/>
            </w:rPr>
          </w:pPr>
          <w:hyperlink w:anchor="_Toc507085076" w:history="1">
            <w:r w:rsidR="00AA4AC2" w:rsidRPr="00A563C2">
              <w:rPr>
                <w:rStyle w:val="Hyperlink"/>
                <w:snapToGrid w:val="0"/>
                <w:w w:val="0"/>
              </w:rPr>
              <w:t>B.1</w:t>
            </w:r>
            <w:r w:rsidR="00AA4AC2">
              <w:rPr>
                <w:rFonts w:asciiTheme="minorHAnsi" w:hAnsiTheme="minorHAnsi" w:cstheme="minorBidi"/>
                <w:szCs w:val="22"/>
              </w:rPr>
              <w:tab/>
            </w:r>
            <w:r w:rsidR="00AA4AC2" w:rsidRPr="00A563C2">
              <w:rPr>
                <w:rStyle w:val="Hyperlink"/>
              </w:rPr>
              <w:t>Development of New Building Simulation Models</w:t>
            </w:r>
            <w:r w:rsidR="00AA4AC2">
              <w:rPr>
                <w:webHidden/>
              </w:rPr>
              <w:tab/>
            </w:r>
            <w:r w:rsidR="00AA4AC2">
              <w:rPr>
                <w:webHidden/>
              </w:rPr>
              <w:fldChar w:fldCharType="begin"/>
            </w:r>
            <w:r w:rsidR="00AA4AC2">
              <w:rPr>
                <w:webHidden/>
              </w:rPr>
              <w:instrText xml:space="preserve"> PAGEREF _Toc507085076 \h </w:instrText>
            </w:r>
            <w:r w:rsidR="00AA4AC2">
              <w:rPr>
                <w:webHidden/>
              </w:rPr>
            </w:r>
            <w:r w:rsidR="00AA4AC2">
              <w:rPr>
                <w:webHidden/>
              </w:rPr>
              <w:fldChar w:fldCharType="separate"/>
            </w:r>
            <w:r w:rsidR="00DD3577">
              <w:rPr>
                <w:webHidden/>
              </w:rPr>
              <w:t>83</w:t>
            </w:r>
            <w:r w:rsidR="00AA4AC2">
              <w:rPr>
                <w:webHidden/>
              </w:rPr>
              <w:fldChar w:fldCharType="end"/>
            </w:r>
          </w:hyperlink>
        </w:p>
        <w:p w:rsidR="00AA4AC2" w:rsidRDefault="003A34B9">
          <w:pPr>
            <w:pStyle w:val="TOC4"/>
            <w:rPr>
              <w:rFonts w:asciiTheme="minorHAnsi" w:hAnsiTheme="minorHAnsi" w:cstheme="minorBidi"/>
              <w:szCs w:val="22"/>
            </w:rPr>
          </w:pPr>
          <w:hyperlink w:anchor="_Toc507085077" w:history="1">
            <w:r w:rsidR="00AA4AC2" w:rsidRPr="00A563C2">
              <w:rPr>
                <w:rStyle w:val="Hyperlink"/>
                <w:snapToGrid w:val="0"/>
                <w:w w:val="0"/>
              </w:rPr>
              <w:t>B.1.1</w:t>
            </w:r>
            <w:r w:rsidR="00AA4AC2">
              <w:rPr>
                <w:rFonts w:asciiTheme="minorHAnsi" w:hAnsiTheme="minorHAnsi" w:cstheme="minorBidi"/>
                <w:szCs w:val="22"/>
              </w:rPr>
              <w:tab/>
            </w:r>
            <w:r w:rsidR="00AA4AC2" w:rsidRPr="00A563C2">
              <w:rPr>
                <w:rStyle w:val="Hyperlink"/>
              </w:rPr>
              <w:t>Building Specifications</w:t>
            </w:r>
            <w:r w:rsidR="00AA4AC2">
              <w:rPr>
                <w:webHidden/>
              </w:rPr>
              <w:tab/>
            </w:r>
            <w:r w:rsidR="00AA4AC2">
              <w:rPr>
                <w:webHidden/>
              </w:rPr>
              <w:fldChar w:fldCharType="begin"/>
            </w:r>
            <w:r w:rsidR="00AA4AC2">
              <w:rPr>
                <w:webHidden/>
              </w:rPr>
              <w:instrText xml:space="preserve"> PAGEREF _Toc507085077 \h </w:instrText>
            </w:r>
            <w:r w:rsidR="00AA4AC2">
              <w:rPr>
                <w:webHidden/>
              </w:rPr>
            </w:r>
            <w:r w:rsidR="00AA4AC2">
              <w:rPr>
                <w:webHidden/>
              </w:rPr>
              <w:fldChar w:fldCharType="separate"/>
            </w:r>
            <w:r w:rsidR="00DD3577">
              <w:rPr>
                <w:webHidden/>
              </w:rPr>
              <w:t>83</w:t>
            </w:r>
            <w:r w:rsidR="00AA4AC2">
              <w:rPr>
                <w:webHidden/>
              </w:rPr>
              <w:fldChar w:fldCharType="end"/>
            </w:r>
          </w:hyperlink>
        </w:p>
        <w:p w:rsidR="00AA4AC2" w:rsidRDefault="003A34B9">
          <w:pPr>
            <w:pStyle w:val="TOC4"/>
            <w:rPr>
              <w:rFonts w:asciiTheme="minorHAnsi" w:hAnsiTheme="minorHAnsi" w:cstheme="minorBidi"/>
              <w:szCs w:val="22"/>
            </w:rPr>
          </w:pPr>
          <w:hyperlink w:anchor="_Toc507085078" w:history="1">
            <w:r w:rsidR="00AA4AC2" w:rsidRPr="00A563C2">
              <w:rPr>
                <w:rStyle w:val="Hyperlink"/>
                <w:snapToGrid w:val="0"/>
                <w:w w:val="0"/>
              </w:rPr>
              <w:t>B.1.2</w:t>
            </w:r>
            <w:r w:rsidR="00AA4AC2">
              <w:rPr>
                <w:rFonts w:asciiTheme="minorHAnsi" w:hAnsiTheme="minorHAnsi" w:cstheme="minorBidi"/>
                <w:szCs w:val="22"/>
              </w:rPr>
              <w:tab/>
            </w:r>
            <w:r w:rsidR="00AA4AC2" w:rsidRPr="00A563C2">
              <w:rPr>
                <w:rStyle w:val="Hyperlink"/>
              </w:rPr>
              <w:t>Treatment of Space and Process Cooling Installations</w:t>
            </w:r>
            <w:r w:rsidR="00AA4AC2">
              <w:rPr>
                <w:webHidden/>
              </w:rPr>
              <w:tab/>
            </w:r>
            <w:r w:rsidR="00AA4AC2">
              <w:rPr>
                <w:webHidden/>
              </w:rPr>
              <w:fldChar w:fldCharType="begin"/>
            </w:r>
            <w:r w:rsidR="00AA4AC2">
              <w:rPr>
                <w:webHidden/>
              </w:rPr>
              <w:instrText xml:space="preserve"> PAGEREF _Toc507085078 \h </w:instrText>
            </w:r>
            <w:r w:rsidR="00AA4AC2">
              <w:rPr>
                <w:webHidden/>
              </w:rPr>
            </w:r>
            <w:r w:rsidR="00AA4AC2">
              <w:rPr>
                <w:webHidden/>
              </w:rPr>
              <w:fldChar w:fldCharType="separate"/>
            </w:r>
            <w:r w:rsidR="00DD3577">
              <w:rPr>
                <w:webHidden/>
              </w:rPr>
              <w:t>85</w:t>
            </w:r>
            <w:r w:rsidR="00AA4AC2">
              <w:rPr>
                <w:webHidden/>
              </w:rPr>
              <w:fldChar w:fldCharType="end"/>
            </w:r>
          </w:hyperlink>
        </w:p>
        <w:p w:rsidR="00AA4AC2" w:rsidRDefault="003A34B9">
          <w:pPr>
            <w:pStyle w:val="TOC4"/>
            <w:rPr>
              <w:rFonts w:asciiTheme="minorHAnsi" w:hAnsiTheme="minorHAnsi" w:cstheme="minorBidi"/>
              <w:szCs w:val="22"/>
            </w:rPr>
          </w:pPr>
          <w:hyperlink w:anchor="_Toc507085079" w:history="1">
            <w:r w:rsidR="00AA4AC2" w:rsidRPr="00A563C2">
              <w:rPr>
                <w:rStyle w:val="Hyperlink"/>
                <w:snapToGrid w:val="0"/>
                <w:w w:val="0"/>
              </w:rPr>
              <w:t>B.1.3</w:t>
            </w:r>
            <w:r w:rsidR="00AA4AC2">
              <w:rPr>
                <w:rFonts w:asciiTheme="minorHAnsi" w:hAnsiTheme="minorHAnsi" w:cstheme="minorBidi"/>
                <w:szCs w:val="22"/>
              </w:rPr>
              <w:tab/>
            </w:r>
            <w:r w:rsidR="00AA4AC2" w:rsidRPr="00A563C2">
              <w:rPr>
                <w:rStyle w:val="Hyperlink"/>
              </w:rPr>
              <w:t>Percentage of TES Offset to Total Cooling Load</w:t>
            </w:r>
            <w:r w:rsidR="00AA4AC2">
              <w:rPr>
                <w:webHidden/>
              </w:rPr>
              <w:tab/>
            </w:r>
            <w:r w:rsidR="00AA4AC2">
              <w:rPr>
                <w:webHidden/>
              </w:rPr>
              <w:fldChar w:fldCharType="begin"/>
            </w:r>
            <w:r w:rsidR="00AA4AC2">
              <w:rPr>
                <w:webHidden/>
              </w:rPr>
              <w:instrText xml:space="preserve"> PAGEREF _Toc507085079 \h </w:instrText>
            </w:r>
            <w:r w:rsidR="00AA4AC2">
              <w:rPr>
                <w:webHidden/>
              </w:rPr>
            </w:r>
            <w:r w:rsidR="00AA4AC2">
              <w:rPr>
                <w:webHidden/>
              </w:rPr>
              <w:fldChar w:fldCharType="separate"/>
            </w:r>
            <w:r w:rsidR="00DD3577">
              <w:rPr>
                <w:webHidden/>
              </w:rPr>
              <w:t>87</w:t>
            </w:r>
            <w:r w:rsidR="00AA4AC2">
              <w:rPr>
                <w:webHidden/>
              </w:rPr>
              <w:fldChar w:fldCharType="end"/>
            </w:r>
          </w:hyperlink>
        </w:p>
        <w:p w:rsidR="00AA4AC2" w:rsidRDefault="003A34B9">
          <w:pPr>
            <w:pStyle w:val="TOC3"/>
            <w:rPr>
              <w:rFonts w:asciiTheme="minorHAnsi" w:hAnsiTheme="minorHAnsi" w:cstheme="minorBidi"/>
              <w:szCs w:val="22"/>
            </w:rPr>
          </w:pPr>
          <w:hyperlink w:anchor="_Toc507085080" w:history="1">
            <w:r w:rsidR="00AA4AC2" w:rsidRPr="00A563C2">
              <w:rPr>
                <w:rStyle w:val="Hyperlink"/>
                <w:snapToGrid w:val="0"/>
                <w:w w:val="0"/>
              </w:rPr>
              <w:t>B.2</w:t>
            </w:r>
            <w:r w:rsidR="00AA4AC2">
              <w:rPr>
                <w:rFonts w:asciiTheme="minorHAnsi" w:hAnsiTheme="minorHAnsi" w:cstheme="minorBidi"/>
                <w:szCs w:val="22"/>
              </w:rPr>
              <w:tab/>
            </w:r>
            <w:r w:rsidR="00AA4AC2" w:rsidRPr="00A563C2">
              <w:rPr>
                <w:rStyle w:val="Hyperlink"/>
              </w:rPr>
              <w:t>Updated Ex Ante Weather Conditions</w:t>
            </w:r>
            <w:r w:rsidR="00AA4AC2">
              <w:rPr>
                <w:webHidden/>
              </w:rPr>
              <w:tab/>
            </w:r>
            <w:r w:rsidR="00AA4AC2">
              <w:rPr>
                <w:webHidden/>
              </w:rPr>
              <w:fldChar w:fldCharType="begin"/>
            </w:r>
            <w:r w:rsidR="00AA4AC2">
              <w:rPr>
                <w:webHidden/>
              </w:rPr>
              <w:instrText xml:space="preserve"> PAGEREF _Toc507085080 \h </w:instrText>
            </w:r>
            <w:r w:rsidR="00AA4AC2">
              <w:rPr>
                <w:webHidden/>
              </w:rPr>
            </w:r>
            <w:r w:rsidR="00AA4AC2">
              <w:rPr>
                <w:webHidden/>
              </w:rPr>
              <w:fldChar w:fldCharType="separate"/>
            </w:r>
            <w:r w:rsidR="00DD3577">
              <w:rPr>
                <w:webHidden/>
              </w:rPr>
              <w:t>87</w:t>
            </w:r>
            <w:r w:rsidR="00AA4AC2">
              <w:rPr>
                <w:webHidden/>
              </w:rPr>
              <w:fldChar w:fldCharType="end"/>
            </w:r>
          </w:hyperlink>
        </w:p>
        <w:p w:rsidR="00AA4AC2" w:rsidRDefault="003A34B9">
          <w:pPr>
            <w:pStyle w:val="TOC3"/>
            <w:rPr>
              <w:rFonts w:asciiTheme="minorHAnsi" w:hAnsiTheme="minorHAnsi" w:cstheme="minorBidi"/>
              <w:szCs w:val="22"/>
            </w:rPr>
          </w:pPr>
          <w:hyperlink w:anchor="_Toc507085081" w:history="1">
            <w:r w:rsidR="00AA4AC2" w:rsidRPr="00A563C2">
              <w:rPr>
                <w:rStyle w:val="Hyperlink"/>
                <w:snapToGrid w:val="0"/>
                <w:w w:val="0"/>
              </w:rPr>
              <w:t>B.3</w:t>
            </w:r>
            <w:r w:rsidR="00AA4AC2">
              <w:rPr>
                <w:rFonts w:asciiTheme="minorHAnsi" w:hAnsiTheme="minorHAnsi" w:cstheme="minorBidi"/>
                <w:szCs w:val="22"/>
              </w:rPr>
              <w:tab/>
            </w:r>
            <w:r w:rsidR="00AA4AC2" w:rsidRPr="00A563C2">
              <w:rPr>
                <w:rStyle w:val="Hyperlink"/>
              </w:rPr>
              <w:t>Building Simulation Runs</w:t>
            </w:r>
            <w:r w:rsidR="00AA4AC2">
              <w:rPr>
                <w:webHidden/>
              </w:rPr>
              <w:tab/>
            </w:r>
            <w:r w:rsidR="00AA4AC2">
              <w:rPr>
                <w:webHidden/>
              </w:rPr>
              <w:fldChar w:fldCharType="begin"/>
            </w:r>
            <w:r w:rsidR="00AA4AC2">
              <w:rPr>
                <w:webHidden/>
              </w:rPr>
              <w:instrText xml:space="preserve"> PAGEREF _Toc507085081 \h </w:instrText>
            </w:r>
            <w:r w:rsidR="00AA4AC2">
              <w:rPr>
                <w:webHidden/>
              </w:rPr>
            </w:r>
            <w:r w:rsidR="00AA4AC2">
              <w:rPr>
                <w:webHidden/>
              </w:rPr>
              <w:fldChar w:fldCharType="separate"/>
            </w:r>
            <w:r w:rsidR="00DD3577">
              <w:rPr>
                <w:webHidden/>
              </w:rPr>
              <w:t>88</w:t>
            </w:r>
            <w:r w:rsidR="00AA4AC2">
              <w:rPr>
                <w:webHidden/>
              </w:rPr>
              <w:fldChar w:fldCharType="end"/>
            </w:r>
          </w:hyperlink>
        </w:p>
        <w:p w:rsidR="00AA4AC2" w:rsidRDefault="003A34B9">
          <w:pPr>
            <w:pStyle w:val="TOC3"/>
            <w:rPr>
              <w:rFonts w:asciiTheme="minorHAnsi" w:hAnsiTheme="minorHAnsi" w:cstheme="minorBidi"/>
              <w:szCs w:val="22"/>
            </w:rPr>
          </w:pPr>
          <w:hyperlink w:anchor="_Toc507085082" w:history="1">
            <w:r w:rsidR="00AA4AC2" w:rsidRPr="00A563C2">
              <w:rPr>
                <w:rStyle w:val="Hyperlink"/>
                <w:snapToGrid w:val="0"/>
                <w:w w:val="0"/>
              </w:rPr>
              <w:t>B.4</w:t>
            </w:r>
            <w:r w:rsidR="00AA4AC2">
              <w:rPr>
                <w:rFonts w:asciiTheme="minorHAnsi" w:hAnsiTheme="minorHAnsi" w:cstheme="minorBidi"/>
                <w:szCs w:val="22"/>
              </w:rPr>
              <w:tab/>
            </w:r>
            <w:r w:rsidR="00AA4AC2" w:rsidRPr="00A563C2">
              <w:rPr>
                <w:rStyle w:val="Hyperlink"/>
              </w:rPr>
              <w:t>Conversion Factor Calculations</w:t>
            </w:r>
            <w:r w:rsidR="00AA4AC2">
              <w:rPr>
                <w:webHidden/>
              </w:rPr>
              <w:tab/>
            </w:r>
            <w:r w:rsidR="00AA4AC2">
              <w:rPr>
                <w:webHidden/>
              </w:rPr>
              <w:fldChar w:fldCharType="begin"/>
            </w:r>
            <w:r w:rsidR="00AA4AC2">
              <w:rPr>
                <w:webHidden/>
              </w:rPr>
              <w:instrText xml:space="preserve"> PAGEREF _Toc507085082 \h </w:instrText>
            </w:r>
            <w:r w:rsidR="00AA4AC2">
              <w:rPr>
                <w:webHidden/>
              </w:rPr>
            </w:r>
            <w:r w:rsidR="00AA4AC2">
              <w:rPr>
                <w:webHidden/>
              </w:rPr>
              <w:fldChar w:fldCharType="separate"/>
            </w:r>
            <w:r w:rsidR="00DD3577">
              <w:rPr>
                <w:webHidden/>
              </w:rPr>
              <w:t>88</w:t>
            </w:r>
            <w:r w:rsidR="00AA4AC2">
              <w:rPr>
                <w:webHidden/>
              </w:rPr>
              <w:fldChar w:fldCharType="end"/>
            </w:r>
          </w:hyperlink>
        </w:p>
        <w:p w:rsidR="00AA4AC2" w:rsidRDefault="003A34B9">
          <w:pPr>
            <w:pStyle w:val="TOC1"/>
            <w:rPr>
              <w:rFonts w:asciiTheme="minorHAnsi" w:hAnsiTheme="minorHAnsi"/>
            </w:rPr>
          </w:pPr>
          <w:hyperlink w:anchor="_Toc507085083" w:history="1">
            <w:r w:rsidR="00AA4AC2" w:rsidRPr="00A563C2">
              <w:rPr>
                <w:rStyle w:val="Hyperlink"/>
                <w:snapToGrid w:val="0"/>
                <w:w w:val="0"/>
              </w:rPr>
              <w:t>Appendix C</w:t>
            </w:r>
            <w:r w:rsidR="00AA4AC2">
              <w:rPr>
                <w:rFonts w:asciiTheme="minorHAnsi" w:hAnsiTheme="minorHAnsi"/>
              </w:rPr>
              <w:tab/>
            </w:r>
            <w:r w:rsidR="00AA4AC2" w:rsidRPr="00A563C2">
              <w:rPr>
                <w:rStyle w:val="Hyperlink"/>
              </w:rPr>
              <w:t>Methodology to Estimate Chiller kW Based on  Chiller Amperage</w:t>
            </w:r>
            <w:r w:rsidR="00AA4AC2">
              <w:rPr>
                <w:webHidden/>
              </w:rPr>
              <w:tab/>
            </w:r>
            <w:r w:rsidR="00AA4AC2">
              <w:rPr>
                <w:webHidden/>
              </w:rPr>
              <w:fldChar w:fldCharType="begin"/>
            </w:r>
            <w:r w:rsidR="00AA4AC2">
              <w:rPr>
                <w:webHidden/>
              </w:rPr>
              <w:instrText xml:space="preserve"> PAGEREF _Toc507085083 \h </w:instrText>
            </w:r>
            <w:r w:rsidR="00AA4AC2">
              <w:rPr>
                <w:webHidden/>
              </w:rPr>
            </w:r>
            <w:r w:rsidR="00AA4AC2">
              <w:rPr>
                <w:webHidden/>
              </w:rPr>
              <w:fldChar w:fldCharType="separate"/>
            </w:r>
            <w:r w:rsidR="00DD3577">
              <w:rPr>
                <w:webHidden/>
              </w:rPr>
              <w:t>90</w:t>
            </w:r>
            <w:r w:rsidR="00AA4AC2">
              <w:rPr>
                <w:webHidden/>
              </w:rPr>
              <w:fldChar w:fldCharType="end"/>
            </w:r>
          </w:hyperlink>
        </w:p>
        <w:p w:rsidR="000E73DD" w:rsidRPr="00B828B0" w:rsidRDefault="009E3548" w:rsidP="00A003C6">
          <w:pPr>
            <w:pStyle w:val="TOC1"/>
            <w:rPr>
              <w:highlight w:val="yellow"/>
            </w:rPr>
          </w:pPr>
          <w:r w:rsidRPr="00B828B0">
            <w:rPr>
              <w:rFonts w:cs="Arial"/>
              <w:sz w:val="24"/>
              <w:szCs w:val="24"/>
              <w:highlight w:val="yellow"/>
            </w:rPr>
            <w:fldChar w:fldCharType="end"/>
          </w:r>
        </w:p>
      </w:sdtContent>
    </w:sdt>
    <w:p w:rsidR="000E73DD" w:rsidRPr="00B828B0" w:rsidRDefault="000E73DD" w:rsidP="000E73DD">
      <w:pPr>
        <w:tabs>
          <w:tab w:val="right" w:leader="dot" w:pos="8460"/>
        </w:tabs>
        <w:rPr>
          <w:highlight w:val="yellow"/>
        </w:rPr>
        <w:sectPr w:rsidR="000E73DD" w:rsidRPr="00B828B0" w:rsidSect="00B50663">
          <w:headerReference w:type="default" r:id="rId29"/>
          <w:footerReference w:type="default" r:id="rId30"/>
          <w:headerReference w:type="first" r:id="rId31"/>
          <w:footerReference w:type="first" r:id="rId32"/>
          <w:pgSz w:w="12240" w:h="15840"/>
          <w:pgMar w:top="1440" w:right="1800" w:bottom="1440" w:left="1800" w:header="720" w:footer="720" w:gutter="0"/>
          <w:pgNumType w:fmt="lowerRoman" w:start="1"/>
          <w:cols w:space="720"/>
          <w:docGrid w:linePitch="360"/>
        </w:sectPr>
      </w:pPr>
    </w:p>
    <w:bookmarkEnd w:id="1"/>
    <w:p w:rsidR="000E73DD" w:rsidRPr="00B828B0" w:rsidRDefault="000E73DD" w:rsidP="00143E9F">
      <w:pPr>
        <w:pStyle w:val="Heading1"/>
        <w:rPr>
          <w:highlight w:val="yellow"/>
        </w:rPr>
        <w:sectPr w:rsidR="000E73DD" w:rsidRPr="00B828B0" w:rsidSect="0032034D">
          <w:headerReference w:type="default" r:id="rId33"/>
          <w:type w:val="continuous"/>
          <w:pgSz w:w="12240" w:h="15840"/>
          <w:pgMar w:top="1440" w:right="1440" w:bottom="1440" w:left="1440" w:header="720" w:footer="720" w:gutter="0"/>
          <w:pgNumType w:start="1"/>
          <w:cols w:space="720"/>
          <w:docGrid w:linePitch="360"/>
        </w:sectPr>
      </w:pPr>
    </w:p>
    <w:p w:rsidR="00AF3386" w:rsidRPr="00B828B0" w:rsidRDefault="00AF3386" w:rsidP="00AF3386">
      <w:pPr>
        <w:pStyle w:val="Heading1"/>
        <w:numPr>
          <w:ilvl w:val="0"/>
          <w:numId w:val="0"/>
        </w:numPr>
      </w:pPr>
      <w:bookmarkStart w:id="2" w:name="_Toc412919707"/>
      <w:bookmarkStart w:id="3" w:name="_Toc507085035"/>
      <w:r w:rsidRPr="00B828B0">
        <w:lastRenderedPageBreak/>
        <w:t>Abstract</w:t>
      </w:r>
      <w:bookmarkEnd w:id="2"/>
      <w:bookmarkEnd w:id="3"/>
    </w:p>
    <w:p w:rsidR="00D54791" w:rsidRPr="00B828B0" w:rsidRDefault="0074140E" w:rsidP="00D54791">
      <w:pPr>
        <w:pStyle w:val="BodyParagraph"/>
        <w:rPr>
          <w:highlight w:val="yellow"/>
        </w:rPr>
      </w:pPr>
      <w:r w:rsidRPr="00B828B0">
        <w:t xml:space="preserve">This evaluation documents the </w:t>
      </w:r>
      <w:r w:rsidR="003D7128" w:rsidRPr="00B828B0">
        <w:t xml:space="preserve">ex post and </w:t>
      </w:r>
      <w:r w:rsidRPr="00B828B0">
        <w:t>ex ante load impact analysis and results for the California Statewide Permanent Load Shifting (PLS) program at Pacific Gas &amp; Electric (PG&amp;E), Southern California Edison (SCE)</w:t>
      </w:r>
      <w:r w:rsidR="00CF4A71" w:rsidRPr="00B828B0">
        <w:t>,</w:t>
      </w:r>
      <w:r w:rsidRPr="00B828B0">
        <w:t xml:space="preserve"> and San Diego Gas &amp; Electric (SDG&amp;E).</w:t>
      </w:r>
      <w:r w:rsidR="00DC539B" w:rsidRPr="00B828B0">
        <w:t xml:space="preserve"> </w:t>
      </w:r>
      <w:r w:rsidRPr="00B828B0">
        <w:t>The PLS program provides a one-time incentive payment ($875/kW shifted) to customers who install qualifying PLS-Thermal Energy Storage (TES) technology on typical central air conditioning units or process cooling equipment.</w:t>
      </w:r>
      <w:r w:rsidR="00DC539B" w:rsidRPr="00B828B0">
        <w:t xml:space="preserve"> </w:t>
      </w:r>
      <w:r w:rsidRPr="00B828B0">
        <w:t>The statewide PLS program design was finalized and adopted by the CPUC in May 2013.</w:t>
      </w:r>
      <w:r w:rsidRPr="00B828B0">
        <w:rPr>
          <w:rStyle w:val="FootnoteReference"/>
        </w:rPr>
        <w:footnoteReference w:id="2"/>
      </w:r>
      <w:r w:rsidR="00DC539B" w:rsidRPr="00B828B0">
        <w:t xml:space="preserve"> </w:t>
      </w:r>
      <w:r w:rsidR="00533ADF">
        <w:t>T</w:t>
      </w:r>
      <w:r w:rsidRPr="00B828B0">
        <w:t xml:space="preserve">here </w:t>
      </w:r>
      <w:r w:rsidR="00B828B0" w:rsidRPr="00B828B0">
        <w:t>are</w:t>
      </w:r>
      <w:r w:rsidR="00DC539B" w:rsidRPr="00B828B0">
        <w:t xml:space="preserve"> </w:t>
      </w:r>
      <w:r w:rsidR="00533ADF">
        <w:t>currently seven</w:t>
      </w:r>
      <w:r w:rsidR="00C83386" w:rsidRPr="00B828B0">
        <w:t xml:space="preserve"> </w:t>
      </w:r>
      <w:r w:rsidRPr="00B828B0">
        <w:t>installation</w:t>
      </w:r>
      <w:r w:rsidR="00B828B0" w:rsidRPr="00B828B0">
        <w:t>s</w:t>
      </w:r>
      <w:r w:rsidR="00533ADF">
        <w:t xml:space="preserve"> across the three IOU’s that are</w:t>
      </w:r>
      <w:r w:rsidRPr="00B828B0">
        <w:t xml:space="preserve"> </w:t>
      </w:r>
      <w:r w:rsidR="00C83386" w:rsidRPr="00B828B0">
        <w:t>currently in place</w:t>
      </w:r>
      <w:r w:rsidR="00723DBD">
        <w:t xml:space="preserve"> with sufficient data</w:t>
      </w:r>
      <w:r w:rsidR="00C83386" w:rsidRPr="00B828B0">
        <w:t xml:space="preserve"> </w:t>
      </w:r>
      <w:r w:rsidRPr="00B828B0">
        <w:t>on which to base ex post impact estimates for 201</w:t>
      </w:r>
      <w:r w:rsidR="00533ADF">
        <w:t>7</w:t>
      </w:r>
      <w:r w:rsidRPr="00B828B0">
        <w:t xml:space="preserve">. </w:t>
      </w:r>
      <w:r w:rsidRPr="00595925">
        <w:t xml:space="preserve">As of </w:t>
      </w:r>
      <w:r w:rsidRPr="00F862A3">
        <w:t>January 201</w:t>
      </w:r>
      <w:r w:rsidR="00533ADF">
        <w:t>8</w:t>
      </w:r>
      <w:r w:rsidRPr="00F862A3">
        <w:t xml:space="preserve">, the utilities had a total of </w:t>
      </w:r>
      <w:r w:rsidR="00922DAB">
        <w:t xml:space="preserve">13 </w:t>
      </w:r>
      <w:r w:rsidRPr="00F862A3">
        <w:t>active applications</w:t>
      </w:r>
      <w:r w:rsidR="00E76D25" w:rsidRPr="00F862A3">
        <w:t xml:space="preserve">, with </w:t>
      </w:r>
      <w:r w:rsidR="00533ADF">
        <w:t>7</w:t>
      </w:r>
      <w:r w:rsidR="00533ADF" w:rsidRPr="00F862A3">
        <w:t xml:space="preserve"> </w:t>
      </w:r>
      <w:r w:rsidR="00E76D25" w:rsidRPr="00F862A3">
        <w:t>operational installation</w:t>
      </w:r>
      <w:r w:rsidR="00595925" w:rsidRPr="00F862A3">
        <w:t>s</w:t>
      </w:r>
      <w:r w:rsidRPr="00F862A3">
        <w:t>.</w:t>
      </w:r>
      <w:r w:rsidR="00DC539B" w:rsidRPr="00F862A3">
        <w:t xml:space="preserve"> </w:t>
      </w:r>
      <w:r w:rsidR="00E76D25" w:rsidRPr="00F862A3">
        <w:t xml:space="preserve">The </w:t>
      </w:r>
      <w:r w:rsidR="00F862A3" w:rsidRPr="00F862A3">
        <w:t xml:space="preserve">largest </w:t>
      </w:r>
      <w:r w:rsidR="00AD4D3C" w:rsidRPr="00F862A3">
        <w:t xml:space="preserve">average monthly system peak impact for the </w:t>
      </w:r>
      <w:r w:rsidR="00533ADF">
        <w:t>thre</w:t>
      </w:r>
      <w:r w:rsidR="00533ADF" w:rsidRPr="00F862A3">
        <w:t xml:space="preserve">e </w:t>
      </w:r>
      <w:r w:rsidR="00AD4D3C" w:rsidRPr="00F862A3">
        <w:t>operational project</w:t>
      </w:r>
      <w:r w:rsidR="00533ADF">
        <w:t>s</w:t>
      </w:r>
      <w:r w:rsidR="00AD4D3C" w:rsidRPr="00F862A3">
        <w:t xml:space="preserve"> in SCE’s service territory was</w:t>
      </w:r>
      <w:r w:rsidR="00D3234D" w:rsidRPr="00F862A3">
        <w:t xml:space="preserve"> </w:t>
      </w:r>
      <w:r w:rsidR="002E1C1C" w:rsidRPr="002E1C1C">
        <w:rPr>
          <w:highlight w:val="black"/>
        </w:rPr>
        <w:t>XXXXXX</w:t>
      </w:r>
      <w:r w:rsidR="00D3234D" w:rsidRPr="00F862A3">
        <w:t xml:space="preserve">. </w:t>
      </w:r>
      <w:r w:rsidR="00F862A3" w:rsidRPr="00F862A3">
        <w:t xml:space="preserve">For the single installation in PG&amp;E’s territory, the largest average monthly system peak impact </w:t>
      </w:r>
      <w:r w:rsidR="00F862A3" w:rsidRPr="00CD6133">
        <w:t xml:space="preserve">was </w:t>
      </w:r>
      <w:r w:rsidR="002E1C1C" w:rsidRPr="002E1C1C">
        <w:rPr>
          <w:highlight w:val="black"/>
        </w:rPr>
        <w:t>XXXXX</w:t>
      </w:r>
      <w:r w:rsidR="00F862A3" w:rsidRPr="00F862A3">
        <w:t xml:space="preserve">. </w:t>
      </w:r>
      <w:r w:rsidR="009450AF" w:rsidRPr="00F862A3">
        <w:t xml:space="preserve">The largest average monthly system peak impact for the </w:t>
      </w:r>
      <w:r w:rsidR="009450AF">
        <w:t>thre</w:t>
      </w:r>
      <w:r w:rsidR="009450AF" w:rsidRPr="00F862A3">
        <w:t>e operational project</w:t>
      </w:r>
      <w:r w:rsidR="009450AF">
        <w:t>s</w:t>
      </w:r>
      <w:r w:rsidR="009450AF" w:rsidRPr="00F862A3">
        <w:t xml:space="preserve"> in S</w:t>
      </w:r>
      <w:r w:rsidR="009450AF">
        <w:t>DG&amp;E</w:t>
      </w:r>
      <w:r w:rsidR="009450AF" w:rsidRPr="00F862A3">
        <w:t xml:space="preserve">’s service territory was </w:t>
      </w:r>
      <w:r w:rsidR="009450AF">
        <w:t xml:space="preserve">888 </w:t>
      </w:r>
      <w:r w:rsidR="009450AF" w:rsidRPr="00D93E6E">
        <w:t>kW</w:t>
      </w:r>
      <w:r w:rsidR="009450AF" w:rsidRPr="00F862A3">
        <w:t>.</w:t>
      </w:r>
      <w:r w:rsidR="00F93A5B">
        <w:rPr>
          <w:rStyle w:val="FootnoteReference"/>
        </w:rPr>
        <w:footnoteReference w:id="3"/>
      </w:r>
      <w:r w:rsidR="009450AF" w:rsidRPr="00F862A3">
        <w:t xml:space="preserve"> </w:t>
      </w:r>
      <w:r w:rsidRPr="00F862A3">
        <w:t xml:space="preserve">The ex ante impact estimates rely on information </w:t>
      </w:r>
      <w:r w:rsidR="00F862A3" w:rsidRPr="00F862A3">
        <w:t xml:space="preserve">provided </w:t>
      </w:r>
      <w:r w:rsidRPr="00F862A3">
        <w:t>in the applications</w:t>
      </w:r>
      <w:r w:rsidR="00F862A3" w:rsidRPr="00F862A3">
        <w:t>,</w:t>
      </w:r>
      <w:r w:rsidR="004D0AE0" w:rsidRPr="00F862A3">
        <w:t xml:space="preserve"> </w:t>
      </w:r>
      <w:r w:rsidR="00AA13C0" w:rsidRPr="00F862A3">
        <w:t xml:space="preserve">along </w:t>
      </w:r>
      <w:r w:rsidR="004D0AE0" w:rsidRPr="00F862A3">
        <w:t>with the ex post analysis</w:t>
      </w:r>
      <w:r w:rsidRPr="00F862A3">
        <w:t xml:space="preserve"> </w:t>
      </w:r>
      <w:r w:rsidR="00AA13C0" w:rsidRPr="00F862A3">
        <w:t xml:space="preserve">for the </w:t>
      </w:r>
      <w:r w:rsidR="009450AF">
        <w:t>seven</w:t>
      </w:r>
      <w:r w:rsidR="009450AF" w:rsidRPr="00F862A3">
        <w:t xml:space="preserve"> </w:t>
      </w:r>
      <w:r w:rsidR="00AA13C0" w:rsidRPr="00F862A3">
        <w:t>operational installation</w:t>
      </w:r>
      <w:r w:rsidR="00F862A3" w:rsidRPr="00F862A3">
        <w:t>s with sufficient data</w:t>
      </w:r>
      <w:r w:rsidR="00AA13C0" w:rsidRPr="00F862A3">
        <w:t xml:space="preserve"> </w:t>
      </w:r>
      <w:r w:rsidRPr="00F862A3">
        <w:t>to improve upon the analysis that was done for the 201</w:t>
      </w:r>
      <w:r w:rsidR="009450AF">
        <w:t>6</w:t>
      </w:r>
      <w:r w:rsidRPr="00F862A3">
        <w:t xml:space="preserve"> program year </w:t>
      </w:r>
      <w:r w:rsidR="004D0AE0" w:rsidRPr="00F862A3">
        <w:t>evaluation</w:t>
      </w:r>
      <w:r w:rsidRPr="00F862A3">
        <w:t>.</w:t>
      </w:r>
      <w:r w:rsidR="009450AF">
        <w:t xml:space="preserve"> Additionally, after </w:t>
      </w:r>
      <w:r w:rsidR="00157D46">
        <w:t>D</w:t>
      </w:r>
      <w:r w:rsidR="009450AF">
        <w:t xml:space="preserve">ecision </w:t>
      </w:r>
      <w:r w:rsidR="00157D46">
        <w:t>17-12-003</w:t>
      </w:r>
      <w:r w:rsidR="009450AF">
        <w:t>, the CPUC decided to phase out the PLS program, which will dramatically reduce the level of uncertainty in the ex ante forecast. Because each of three IOU’s are no longer accepting new applications to participate in PLS, the forecasted number of participants will exclusively be dependent on the number of current installations and applications. For those customers that have already applied and are awaiting approval, their PLS installation will be completed and r</w:t>
      </w:r>
      <w:r w:rsidR="00CD6133">
        <w:t>u</w:t>
      </w:r>
      <w:r w:rsidR="009450AF">
        <w:t>n for the required 5 years</w:t>
      </w:r>
      <w:r w:rsidR="00CD6133">
        <w:t>.</w:t>
      </w:r>
      <w:r w:rsidR="00AE0D86" w:rsidRPr="00AE0D86">
        <w:rPr>
          <w:rFonts w:cs="Arial"/>
          <w:color w:val="222222"/>
          <w:shd w:val="clear" w:color="auto" w:fill="FFFFFF"/>
        </w:rPr>
        <w:t xml:space="preserve"> </w:t>
      </w:r>
      <w:r w:rsidR="00AE0D86">
        <w:rPr>
          <w:rFonts w:cs="Arial"/>
          <w:color w:val="222222"/>
          <w:shd w:val="clear" w:color="auto" w:fill="FFFFFF"/>
        </w:rPr>
        <w:t>In 2020 under utility-specific August monthly system peak day 1</w:t>
      </w:r>
      <w:r w:rsidR="00AE0D86">
        <w:rPr>
          <w:rFonts w:cs="Arial"/>
          <w:color w:val="222222"/>
          <w:shd w:val="clear" w:color="auto" w:fill="FFFFFF"/>
        </w:rPr>
        <w:noBreakHyphen/>
        <w:t xml:space="preserve">in-10 year weather conditions, the program is projected to deliver </w:t>
      </w:r>
      <w:r w:rsidR="002E1C1C" w:rsidRPr="002E1C1C">
        <w:rPr>
          <w:rFonts w:cs="Arial"/>
          <w:color w:val="222222"/>
          <w:highlight w:val="black"/>
          <w:shd w:val="clear" w:color="auto" w:fill="FFFFFF"/>
        </w:rPr>
        <w:t>XXX</w:t>
      </w:r>
      <w:r w:rsidR="00AE0D86">
        <w:rPr>
          <w:rFonts w:cs="Arial"/>
          <w:color w:val="222222"/>
          <w:shd w:val="clear" w:color="auto" w:fill="FFFFFF"/>
        </w:rPr>
        <w:t xml:space="preserve"> MW load impact for PG&amp;E; a </w:t>
      </w:r>
      <w:r w:rsidR="002E1C1C" w:rsidRPr="002E1C1C">
        <w:rPr>
          <w:rFonts w:cs="Arial"/>
          <w:color w:val="222222"/>
          <w:highlight w:val="black"/>
          <w:shd w:val="clear" w:color="auto" w:fill="FFFFFF"/>
        </w:rPr>
        <w:t>XXXXX</w:t>
      </w:r>
      <w:r w:rsidR="00AE0D86">
        <w:rPr>
          <w:rFonts w:cs="Arial"/>
          <w:color w:val="222222"/>
          <w:shd w:val="clear" w:color="auto" w:fill="FFFFFF"/>
        </w:rPr>
        <w:t xml:space="preserve"> load impact for SCE; and a 2.1 MW load impact for SDG&amp;E—totaling </w:t>
      </w:r>
      <w:r w:rsidR="002E1C1C" w:rsidRPr="002E1C1C">
        <w:rPr>
          <w:rFonts w:cs="Arial"/>
          <w:color w:val="222222"/>
          <w:highlight w:val="black"/>
          <w:shd w:val="clear" w:color="auto" w:fill="FFFFFF"/>
        </w:rPr>
        <w:t>XXXXXX</w:t>
      </w:r>
      <w:r w:rsidR="00AE0D86">
        <w:rPr>
          <w:rFonts w:cs="Arial"/>
          <w:color w:val="222222"/>
          <w:shd w:val="clear" w:color="auto" w:fill="FFFFFF"/>
        </w:rPr>
        <w:t xml:space="preserve"> statewide. 2020 is the last year that new installations are assumed to come online for SCE. The final installations for PG&amp;E are expected to complete in 2019 and in 2018 for those in SDG&amp;E’s territory.</w:t>
      </w:r>
      <w:r w:rsidR="00D54791" w:rsidRPr="00083D77">
        <w:t xml:space="preserve"> </w:t>
      </w:r>
    </w:p>
    <w:p w:rsidR="00AF3386" w:rsidRPr="00B828B0" w:rsidRDefault="00AF3386" w:rsidP="00AF3386">
      <w:pPr>
        <w:pStyle w:val="BodyParagraph"/>
        <w:rPr>
          <w:highlight w:val="yellow"/>
        </w:rPr>
      </w:pPr>
    </w:p>
    <w:p w:rsidR="00AF3386" w:rsidRPr="00B828B0" w:rsidRDefault="00AF3386" w:rsidP="00AF3386">
      <w:pPr>
        <w:pStyle w:val="BodyParagraph"/>
        <w:rPr>
          <w:highlight w:val="yellow"/>
        </w:rPr>
      </w:pPr>
    </w:p>
    <w:p w:rsidR="00AF3386" w:rsidRPr="00B828B0" w:rsidRDefault="00AF3386" w:rsidP="00AF3386">
      <w:pPr>
        <w:pStyle w:val="BodyParagraph"/>
        <w:rPr>
          <w:highlight w:val="yellow"/>
        </w:rPr>
      </w:pPr>
    </w:p>
    <w:p w:rsidR="00AF3386" w:rsidRPr="00B828B0" w:rsidRDefault="00AF3386">
      <w:pPr>
        <w:rPr>
          <w:rFonts w:ascii="Arial" w:hAnsi="Arial"/>
          <w:color w:val="1C1C1C"/>
          <w:highlight w:val="yellow"/>
        </w:rPr>
      </w:pPr>
      <w:r w:rsidRPr="00B828B0">
        <w:rPr>
          <w:highlight w:val="yellow"/>
        </w:rPr>
        <w:br w:type="page"/>
      </w:r>
    </w:p>
    <w:p w:rsidR="00752687" w:rsidRPr="00B828B0" w:rsidRDefault="00394640" w:rsidP="00AF3386">
      <w:pPr>
        <w:pStyle w:val="Heading1"/>
        <w:numPr>
          <w:ilvl w:val="0"/>
          <w:numId w:val="7"/>
        </w:numPr>
      </w:pPr>
      <w:bookmarkStart w:id="4" w:name="_Toc507085036"/>
      <w:r w:rsidRPr="00B828B0">
        <w:lastRenderedPageBreak/>
        <w:t>Introduction</w:t>
      </w:r>
      <w:bookmarkEnd w:id="4"/>
    </w:p>
    <w:p w:rsidR="004F6CC2" w:rsidRPr="00B828B0" w:rsidRDefault="0074140E" w:rsidP="000E73DD">
      <w:pPr>
        <w:pStyle w:val="BodyParagraph"/>
        <w:rPr>
          <w:highlight w:val="yellow"/>
        </w:rPr>
      </w:pPr>
      <w:r w:rsidRPr="00B828B0">
        <w:t xml:space="preserve">This evaluation documents the </w:t>
      </w:r>
      <w:r w:rsidR="00DC539B" w:rsidRPr="00B828B0">
        <w:t xml:space="preserve">ex post and </w:t>
      </w:r>
      <w:r w:rsidRPr="00B828B0">
        <w:t>ex ante load impact analysis and results for the California Statewide Permanent Load Shifting (PLS) program at Pacific Gas &amp; Electric (PG&amp;E), Southern California Edison (SCE)</w:t>
      </w:r>
      <w:r w:rsidR="00B5788A" w:rsidRPr="00B828B0">
        <w:t>,</w:t>
      </w:r>
      <w:r w:rsidRPr="00B828B0">
        <w:t xml:space="preserve"> and San Diego Gas &amp; Electric (SDG&amp;E).</w:t>
      </w:r>
      <w:r w:rsidR="00DC539B" w:rsidRPr="00B828B0">
        <w:t xml:space="preserve"> </w:t>
      </w:r>
      <w:r w:rsidRPr="00B828B0">
        <w:t>The statewide PLS program design and rules were finalized and adopted by the California Public Utility Commission (CPUC) in May 2013.</w:t>
      </w:r>
      <w:r w:rsidRPr="00B828B0">
        <w:rPr>
          <w:vertAlign w:val="superscript"/>
        </w:rPr>
        <w:footnoteReference w:id="4"/>
      </w:r>
      <w:r w:rsidR="00DC539B" w:rsidRPr="00B828B0">
        <w:t xml:space="preserve"> </w:t>
      </w:r>
      <w:r w:rsidR="006A21AB">
        <w:t>Currently</w:t>
      </w:r>
      <w:r w:rsidRPr="00B828B0">
        <w:t xml:space="preserve">, there </w:t>
      </w:r>
      <w:r w:rsidR="00B828B0" w:rsidRPr="00B828B0">
        <w:t>are</w:t>
      </w:r>
      <w:r w:rsidR="00DC539B" w:rsidRPr="00B828B0">
        <w:t xml:space="preserve"> </w:t>
      </w:r>
      <w:r w:rsidR="006A21AB">
        <w:t>seven</w:t>
      </w:r>
      <w:r w:rsidR="00B53409" w:rsidRPr="00B828B0">
        <w:t xml:space="preserve"> </w:t>
      </w:r>
      <w:r w:rsidRPr="00B828B0">
        <w:t>installation</w:t>
      </w:r>
      <w:r w:rsidR="00B828B0" w:rsidRPr="00B828B0">
        <w:t>s</w:t>
      </w:r>
      <w:r w:rsidR="00723DBD">
        <w:t xml:space="preserve"> with sufficient data</w:t>
      </w:r>
      <w:r w:rsidRPr="00B828B0">
        <w:t xml:space="preserve"> on which to base ex post impact estimates for the 201</w:t>
      </w:r>
      <w:r w:rsidR="00D54D10">
        <w:t>7</w:t>
      </w:r>
      <w:r w:rsidRPr="00B828B0">
        <w:t xml:space="preserve"> program year (PY201</w:t>
      </w:r>
      <w:r w:rsidR="00D54D10">
        <w:t>7</w:t>
      </w:r>
      <w:r w:rsidRPr="00B828B0">
        <w:t>)</w:t>
      </w:r>
      <w:r w:rsidR="006A21AB">
        <w:t xml:space="preserve">, a sharp </w:t>
      </w:r>
      <w:r w:rsidR="00CD6133">
        <w:t>increase</w:t>
      </w:r>
      <w:r w:rsidR="006A21AB">
        <w:t xml:space="preserve"> from the two installations in PY2016</w:t>
      </w:r>
      <w:r w:rsidRPr="00B828B0">
        <w:t>.</w:t>
      </w:r>
      <w:r w:rsidR="00DC539B" w:rsidRPr="00B828B0">
        <w:t xml:space="preserve"> </w:t>
      </w:r>
      <w:r w:rsidR="006A21AB">
        <w:t>However</w:t>
      </w:r>
      <w:r w:rsidR="00B53409" w:rsidRPr="00B828B0">
        <w:t xml:space="preserve">, while </w:t>
      </w:r>
      <w:r w:rsidR="00DC539B" w:rsidRPr="00B828B0">
        <w:t>the ex post evaluation is included in this report</w:t>
      </w:r>
      <w:r w:rsidR="00B53409" w:rsidRPr="00B828B0">
        <w:t xml:space="preserve">, </w:t>
      </w:r>
      <w:r w:rsidR="00CD6133">
        <w:t>a substantial portion</w:t>
      </w:r>
      <w:r w:rsidR="00B53409" w:rsidRPr="00B828B0">
        <w:t xml:space="preserve"> of this </w:t>
      </w:r>
      <w:r w:rsidR="00DC539B" w:rsidRPr="00B828B0">
        <w:t>evaluation focuses on the 201</w:t>
      </w:r>
      <w:r w:rsidR="00D54D10">
        <w:t>8</w:t>
      </w:r>
      <w:r w:rsidR="00DC539B" w:rsidRPr="00B828B0">
        <w:t>–202</w:t>
      </w:r>
      <w:r w:rsidR="00D54D10">
        <w:t>8</w:t>
      </w:r>
      <w:r w:rsidR="00DC539B" w:rsidRPr="00B828B0">
        <w:t xml:space="preserve"> ex ante load impact estimates because the ex post results from </w:t>
      </w:r>
      <w:r w:rsidR="006A21AB">
        <w:t>seven</w:t>
      </w:r>
      <w:r w:rsidR="00DC539B" w:rsidRPr="00B828B0">
        <w:t xml:space="preserve"> installation</w:t>
      </w:r>
      <w:r w:rsidR="00B828B0" w:rsidRPr="00B828B0">
        <w:t>s</w:t>
      </w:r>
      <w:r w:rsidR="00DC539B" w:rsidRPr="00B828B0">
        <w:t xml:space="preserve"> are not generalizable</w:t>
      </w:r>
      <w:r w:rsidR="00EA38E0">
        <w:t xml:space="preserve"> due to high variation in data sources and availability, as well external factors affecting performance at each of the different installation locations not captured in the data Nexant received from each of the three IOU’s. </w:t>
      </w:r>
      <w:r w:rsidR="00DC539B" w:rsidRPr="00B828B0">
        <w:t xml:space="preserve"> </w:t>
      </w:r>
      <w:r w:rsidRPr="00DB3AD9">
        <w:t xml:space="preserve">Under the Statewide PLS program, utility customers are incentivized to install Thermal Energy Storage (TES) systems, which either eliminate or reduce </w:t>
      </w:r>
      <w:r w:rsidR="00F32F9C" w:rsidRPr="00DB3AD9">
        <w:t>on-</w:t>
      </w:r>
      <w:r w:rsidRPr="00DB3AD9">
        <w:t xml:space="preserve">peak period electric load for cooling by shifting </w:t>
      </w:r>
      <w:r w:rsidR="00F32F9C" w:rsidRPr="00DB3AD9">
        <w:t>chiller operation</w:t>
      </w:r>
      <w:r w:rsidRPr="00DB3AD9">
        <w:t xml:space="preserve"> to off-peak periods.</w:t>
      </w:r>
      <w:r w:rsidR="00DC539B" w:rsidRPr="00DB3AD9">
        <w:t xml:space="preserve"> </w:t>
      </w:r>
      <w:r w:rsidRPr="00DB3AD9">
        <w:t xml:space="preserve">Shifting daily cooling loads to off-peak periods benefits the grid and distribution systems for regions with peaking characteristics that mirror those of the grid, and can reduce customer bills relative to applicable </w:t>
      </w:r>
      <w:r w:rsidR="00F32F9C" w:rsidRPr="00DB3AD9">
        <w:t>time-of-use</w:t>
      </w:r>
      <w:r w:rsidRPr="00DB3AD9">
        <w:t xml:space="preserve"> rates.</w:t>
      </w:r>
      <w:r w:rsidR="00DC539B" w:rsidRPr="00DB3AD9">
        <w:t xml:space="preserve"> </w:t>
      </w:r>
      <w:r w:rsidRPr="00DB3AD9">
        <w:t>For installed TES technology</w:t>
      </w:r>
      <w:r w:rsidR="00F32F9C" w:rsidRPr="00DB3AD9">
        <w:t xml:space="preserve"> projects</w:t>
      </w:r>
      <w:r w:rsidRPr="00DB3AD9">
        <w:t xml:space="preserve">, the total incentive is calculated as a multiple of the </w:t>
      </w:r>
      <w:r w:rsidR="00F32F9C" w:rsidRPr="00DB3AD9">
        <w:t>on-</w:t>
      </w:r>
      <w:r w:rsidRPr="00DB3AD9">
        <w:t>peak period load (kW) that is shifted to off-peak periods and equals $875/kW</w:t>
      </w:r>
      <w:r w:rsidR="00F32F9C" w:rsidRPr="00DB3AD9">
        <w:t xml:space="preserve"> shifted</w:t>
      </w:r>
      <w:r w:rsidRPr="00DB3AD9">
        <w:t>, with a cap of $1.5 million per </w:t>
      </w:r>
      <w:r w:rsidR="00F32F9C" w:rsidRPr="00DB3AD9">
        <w:t>customer</w:t>
      </w:r>
      <w:r w:rsidR="004F6CC2" w:rsidRPr="00DB3AD9">
        <w:t>.</w:t>
      </w:r>
    </w:p>
    <w:p w:rsidR="00DF1A08" w:rsidRPr="000341B4" w:rsidRDefault="0087572A" w:rsidP="00143E9F">
      <w:pPr>
        <w:pStyle w:val="Heading2"/>
      </w:pPr>
      <w:bookmarkStart w:id="5" w:name="_Toc507085037"/>
      <w:r w:rsidRPr="000341B4">
        <w:t>Background</w:t>
      </w:r>
      <w:bookmarkEnd w:id="5"/>
    </w:p>
    <w:p w:rsidR="006C7F19" w:rsidRPr="000341B4" w:rsidRDefault="0074140E" w:rsidP="006C7F19">
      <w:pPr>
        <w:pStyle w:val="BodyParagraph"/>
      </w:pPr>
      <w:r w:rsidRPr="000341B4">
        <w:t xml:space="preserve">Prior to </w:t>
      </w:r>
      <w:r w:rsidR="00B53409" w:rsidRPr="000341B4">
        <w:t xml:space="preserve">development of the </w:t>
      </w:r>
      <w:r w:rsidRPr="000341B4">
        <w:t xml:space="preserve">statewide program, each of the three IOUs </w:t>
      </w:r>
      <w:r w:rsidR="00B53409" w:rsidRPr="000341B4">
        <w:t xml:space="preserve">had </w:t>
      </w:r>
      <w:r w:rsidRPr="000341B4">
        <w:t xml:space="preserve">PLS </w:t>
      </w:r>
      <w:r w:rsidR="007466B5" w:rsidRPr="000341B4">
        <w:t xml:space="preserve">pilots </w:t>
      </w:r>
      <w:r w:rsidRPr="000341B4">
        <w:t>similar to</w:t>
      </w:r>
      <w:r w:rsidR="00B5788A" w:rsidRPr="000341B4">
        <w:t> </w:t>
      </w:r>
      <w:r w:rsidRPr="000341B4">
        <w:t>the current program, but with different incentive levels</w:t>
      </w:r>
      <w:r w:rsidR="007466B5" w:rsidRPr="000341B4">
        <w:t>, participation requirements,</w:t>
      </w:r>
      <w:r w:rsidRPr="000341B4">
        <w:t xml:space="preserve"> and technologies.</w:t>
      </w:r>
      <w:r w:rsidR="00DC539B" w:rsidRPr="000341B4">
        <w:t xml:space="preserve"> </w:t>
      </w:r>
      <w:r w:rsidRPr="000341B4">
        <w:t xml:space="preserve">These </w:t>
      </w:r>
      <w:r w:rsidR="007466B5" w:rsidRPr="000341B4">
        <w:t xml:space="preserve">pilots </w:t>
      </w:r>
      <w:r w:rsidRPr="000341B4">
        <w:t xml:space="preserve">arose out of CPUC Decision (D.) 06-11-049, Order Adopting Changes to 2007 Utility Demand Response Programs, which was </w:t>
      </w:r>
      <w:r w:rsidR="00B5788A" w:rsidRPr="000341B4">
        <w:t xml:space="preserve">a </w:t>
      </w:r>
      <w:r w:rsidR="007466B5" w:rsidRPr="000341B4">
        <w:t xml:space="preserve">resolution </w:t>
      </w:r>
      <w:r w:rsidRPr="000341B4">
        <w:t xml:space="preserve">of the </w:t>
      </w:r>
      <w:r w:rsidR="00B5788A" w:rsidRPr="000341B4">
        <w:br/>
      </w:r>
      <w:r w:rsidRPr="000341B4">
        <w:t xml:space="preserve">2006–2008 Demand Response Application (A.) 05-06-006, </w:t>
      </w:r>
      <w:proofErr w:type="gramStart"/>
      <w:r w:rsidRPr="000341B4">
        <w:t>et</w:t>
      </w:r>
      <w:proofErr w:type="gramEnd"/>
      <w:r w:rsidRPr="000341B4">
        <w:t xml:space="preserve">. </w:t>
      </w:r>
      <w:proofErr w:type="gramStart"/>
      <w:r w:rsidRPr="000341B4">
        <w:t>al</w:t>
      </w:r>
      <w:proofErr w:type="gramEnd"/>
      <w:r w:rsidRPr="000341B4">
        <w:t>.</w:t>
      </w:r>
      <w:r w:rsidR="00DC539B" w:rsidRPr="000341B4">
        <w:t xml:space="preserve"> </w:t>
      </w:r>
      <w:r w:rsidRPr="000341B4">
        <w:t>This Decision</w:t>
      </w:r>
      <w:r w:rsidR="00E40533">
        <w:t xml:space="preserve"> </w:t>
      </w:r>
      <w:r w:rsidRPr="000341B4">
        <w:t>ordered the IOUs to pursue requests for proposals and bilateral arrangements for</w:t>
      </w:r>
      <w:r w:rsidR="00B5788A" w:rsidRPr="000341B4">
        <w:t> </w:t>
      </w:r>
      <w:r w:rsidRPr="000341B4">
        <w:t>PLS installations to promote system reliability during summer peak-demand periods.</w:t>
      </w:r>
      <w:r w:rsidR="00DC539B" w:rsidRPr="000341B4">
        <w:t xml:space="preserve"> </w:t>
      </w:r>
      <w:r w:rsidRPr="000341B4">
        <w:t>A four</w:t>
      </w:r>
      <w:r w:rsidR="00EE0A07">
        <w:t xml:space="preserve"> </w:t>
      </w:r>
      <w:r w:rsidRPr="000341B4">
        <w:t xml:space="preserve">year PLS </w:t>
      </w:r>
      <w:r w:rsidR="00314F76" w:rsidRPr="000341B4">
        <w:t xml:space="preserve">pilot </w:t>
      </w:r>
      <w:r w:rsidRPr="000341B4">
        <w:t>program was approved for all IOUs from 2008–2011.</w:t>
      </w:r>
      <w:r w:rsidR="00DC539B" w:rsidRPr="000341B4">
        <w:t xml:space="preserve"> </w:t>
      </w:r>
      <w:r w:rsidRPr="000341B4">
        <w:t>The details of those pilot</w:t>
      </w:r>
      <w:r w:rsidR="007466B5" w:rsidRPr="000341B4">
        <w:t>s</w:t>
      </w:r>
      <w:r w:rsidRPr="000341B4">
        <w:t xml:space="preserve"> are not revisited here;</w:t>
      </w:r>
      <w:r w:rsidR="000341B4" w:rsidRPr="000341B4">
        <w:t xml:space="preserve"> however,</w:t>
      </w:r>
      <w:r w:rsidRPr="000341B4">
        <w:t xml:space="preserve"> it should be noted that</w:t>
      </w:r>
      <w:r w:rsidR="000341B4" w:rsidRPr="000341B4">
        <w:t xml:space="preserve"> while</w:t>
      </w:r>
      <w:r w:rsidR="007466B5" w:rsidRPr="000341B4">
        <w:t xml:space="preserve"> the pilots and programs have different characteristics, </w:t>
      </w:r>
      <w:r w:rsidRPr="000341B4">
        <w:t>each IOU ha</w:t>
      </w:r>
      <w:r w:rsidR="00B53409" w:rsidRPr="000341B4">
        <w:t>d</w:t>
      </w:r>
      <w:r w:rsidRPr="000341B4">
        <w:t xml:space="preserve"> experience with PLS </w:t>
      </w:r>
      <w:r w:rsidR="007466B5" w:rsidRPr="000341B4">
        <w:t xml:space="preserve">pilots </w:t>
      </w:r>
      <w:r w:rsidRPr="000341B4">
        <w:t>and technologies</w:t>
      </w:r>
      <w:r w:rsidR="00B53409" w:rsidRPr="000341B4">
        <w:t xml:space="preserve"> prior to rollout of the current program</w:t>
      </w:r>
      <w:r w:rsidR="006C7F19" w:rsidRPr="000341B4">
        <w:t>.</w:t>
      </w:r>
    </w:p>
    <w:p w:rsidR="001B352B" w:rsidRPr="000341B4" w:rsidRDefault="0074140E" w:rsidP="006C7F19">
      <w:pPr>
        <w:pStyle w:val="BodyParagraph"/>
      </w:pPr>
      <w:r w:rsidRPr="000341B4">
        <w:t xml:space="preserve">In November 2010, a Statewide PLS Study, authored by Energy + Environmental Economics (E3) and </w:t>
      </w:r>
      <w:proofErr w:type="spellStart"/>
      <w:r w:rsidRPr="000341B4">
        <w:t>StrateGen</w:t>
      </w:r>
      <w:proofErr w:type="spellEnd"/>
      <w:r w:rsidRPr="000341B4">
        <w:t xml:space="preserve">, provided information to the utilities for use in developing </w:t>
      </w:r>
      <w:r w:rsidR="007466B5" w:rsidRPr="000341B4">
        <w:t xml:space="preserve">a </w:t>
      </w:r>
      <w:r w:rsidRPr="000341B4">
        <w:t>new PLS program.</w:t>
      </w:r>
      <w:r w:rsidR="00DC539B" w:rsidRPr="000341B4">
        <w:t xml:space="preserve"> </w:t>
      </w:r>
      <w:r w:rsidRPr="000341B4">
        <w:t>On April 30, 2012, D.12-04-045 ordered the utilities to work collaboratively to develop and propose a standardized, statewide PLS program.</w:t>
      </w:r>
      <w:r w:rsidR="00DC539B" w:rsidRPr="000341B4">
        <w:t xml:space="preserve"> </w:t>
      </w:r>
      <w:r w:rsidRPr="000341B4">
        <w:t xml:space="preserve">As part of the PLS program design process, the utilities incorporated </w:t>
      </w:r>
      <w:r w:rsidR="007466B5" w:rsidRPr="000341B4">
        <w:t xml:space="preserve">many </w:t>
      </w:r>
      <w:r w:rsidRPr="000341B4">
        <w:t>findings from the Statewide PLS Study into the 2012–2014 PLS program design.</w:t>
      </w:r>
      <w:r w:rsidR="00DC539B" w:rsidRPr="000341B4">
        <w:t xml:space="preserve"> </w:t>
      </w:r>
      <w:r w:rsidRPr="000341B4">
        <w:t>On July 30, 2012, the utilities submitted a joint PLS program design proposal to the Commission Staff.</w:t>
      </w:r>
      <w:r w:rsidR="00DC539B" w:rsidRPr="000341B4">
        <w:t xml:space="preserve"> </w:t>
      </w:r>
      <w:r w:rsidRPr="000341B4">
        <w:t>The Commission Staff sought feedback from interested parties by facilitating a PLS Workshop that was held on September 18, 2012.</w:t>
      </w:r>
      <w:r w:rsidR="00DC539B" w:rsidRPr="000341B4">
        <w:t xml:space="preserve"> </w:t>
      </w:r>
      <w:r w:rsidRPr="000341B4">
        <w:t xml:space="preserve">As a result of </w:t>
      </w:r>
      <w:r w:rsidRPr="000341B4">
        <w:lastRenderedPageBreak/>
        <w:t>the</w:t>
      </w:r>
      <w:r w:rsidR="00B5788A" w:rsidRPr="000341B4">
        <w:t> </w:t>
      </w:r>
      <w:r w:rsidRPr="000341B4">
        <w:t>PLS Workshop and comments received from interested parties, Energy Division (ED) provided the utilities with program design feedback on November 13, 2012.</w:t>
      </w:r>
      <w:r w:rsidR="00DC539B" w:rsidRPr="000341B4">
        <w:t xml:space="preserve"> </w:t>
      </w:r>
      <w:r w:rsidRPr="000341B4">
        <w:t>The IOUs incorporated ED’s feedback in their final version of the program design proposal submitted on January 14, 2013.</w:t>
      </w:r>
      <w:r w:rsidR="00DC539B" w:rsidRPr="000341B4">
        <w:t xml:space="preserve"> </w:t>
      </w:r>
      <w:r w:rsidRPr="000341B4">
        <w:t xml:space="preserve">The most noteworthy ED input resulted in limiting eligibility to </w:t>
      </w:r>
      <w:r w:rsidR="007466B5" w:rsidRPr="000341B4">
        <w:t xml:space="preserve">mature </w:t>
      </w:r>
      <w:r w:rsidRPr="000341B4">
        <w:t>thermal energy storage technologies for cooling</w:t>
      </w:r>
      <w:r w:rsidR="007466B5" w:rsidRPr="000341B4">
        <w:t xml:space="preserve"> and setting the incentive rate at $875/kw-shifted</w:t>
      </w:r>
      <w:r w:rsidRPr="000341B4">
        <w:t>.</w:t>
      </w:r>
      <w:r w:rsidR="00DC539B" w:rsidRPr="000341B4">
        <w:t xml:space="preserve"> </w:t>
      </w:r>
      <w:r w:rsidRPr="000341B4">
        <w:t>On May 9, 2013, Resolution E-4586 adopted the PLS program rules, budget</w:t>
      </w:r>
      <w:r w:rsidR="00B5788A" w:rsidRPr="000341B4">
        <w:t>,</w:t>
      </w:r>
      <w:r w:rsidRPr="000341B4">
        <w:t xml:space="preserve"> and implementation details proposed by the IOUs, with modifications</w:t>
      </w:r>
      <w:r w:rsidR="006C7F19" w:rsidRPr="000341B4">
        <w:t>.</w:t>
      </w:r>
    </w:p>
    <w:p w:rsidR="00A71E26" w:rsidRPr="00B828B0" w:rsidRDefault="0074140E" w:rsidP="006C7F19">
      <w:pPr>
        <w:pStyle w:val="BodyParagraph"/>
        <w:rPr>
          <w:highlight w:val="yellow"/>
        </w:rPr>
      </w:pPr>
      <w:r w:rsidRPr="000341B4">
        <w:t>In May 2014, the CPUC issued a decision</w:t>
      </w:r>
      <w:r w:rsidRPr="000341B4">
        <w:rPr>
          <w:vertAlign w:val="superscript"/>
        </w:rPr>
        <w:footnoteReference w:id="5"/>
      </w:r>
      <w:r w:rsidRPr="000341B4">
        <w:t xml:space="preserve"> to fund 2015 and 2016 as bridge funding years. This</w:t>
      </w:r>
      <w:r w:rsidR="00B5788A" w:rsidRPr="000341B4">
        <w:t> </w:t>
      </w:r>
      <w:r w:rsidRPr="000341B4">
        <w:t>decision authorized a total program budget of $10M for PG&amp;E, $9.3M for SCE</w:t>
      </w:r>
      <w:r w:rsidR="00B5788A" w:rsidRPr="000341B4">
        <w:t>,</w:t>
      </w:r>
      <w:r w:rsidRPr="000341B4">
        <w:t xml:space="preserve"> and $2M for</w:t>
      </w:r>
      <w:r w:rsidR="00B5788A" w:rsidRPr="000341B4">
        <w:t> </w:t>
      </w:r>
      <w:r w:rsidRPr="000341B4">
        <w:t>SDG&amp;E.</w:t>
      </w:r>
      <w:r w:rsidR="00DC539B" w:rsidRPr="000341B4">
        <w:t xml:space="preserve"> </w:t>
      </w:r>
      <w:r w:rsidRPr="000341B4">
        <w:t xml:space="preserve">The incentive portion of the budget was $9M for PG&amp;E, $6.5M for </w:t>
      </w:r>
      <w:proofErr w:type="gramStart"/>
      <w:r w:rsidRPr="000341B4">
        <w:t>SCE</w:t>
      </w:r>
      <w:r w:rsidR="00035351" w:rsidRPr="000341B4">
        <w:t>,</w:t>
      </w:r>
      <w:r w:rsidRPr="000341B4">
        <w:t xml:space="preserve"> and $2M</w:t>
      </w:r>
      <w:proofErr w:type="gramEnd"/>
      <w:r w:rsidRPr="000341B4">
        <w:t xml:space="preserve"> for SDG&amp;E. </w:t>
      </w:r>
      <w:r w:rsidR="00035351" w:rsidRPr="000341B4">
        <w:t xml:space="preserve">SDG&amp;E later </w:t>
      </w:r>
      <w:r w:rsidR="00035351" w:rsidRPr="008B143C">
        <w:t>requested and received approval to shift $1.5M of unspent incentive funds from the 2013</w:t>
      </w:r>
      <w:r w:rsidR="00B5788A" w:rsidRPr="008B143C">
        <w:rPr>
          <w:rFonts w:cs="Arial"/>
        </w:rPr>
        <w:t>–</w:t>
      </w:r>
      <w:r w:rsidR="00035351" w:rsidRPr="008B143C">
        <w:t>14 funding cycle to the current 2015</w:t>
      </w:r>
      <w:r w:rsidR="00B5788A" w:rsidRPr="008B143C">
        <w:rPr>
          <w:rFonts w:cs="Arial"/>
        </w:rPr>
        <w:t>–</w:t>
      </w:r>
      <w:r w:rsidR="00035351" w:rsidRPr="008B143C">
        <w:t xml:space="preserve">16 bridge funding cycle to reach a total incentive budget of $3.5M. </w:t>
      </w:r>
      <w:r w:rsidRPr="008B143C">
        <w:t>On December 4, 2014, D.14-12-024 stated that 2017 will also be a bridge year</w:t>
      </w:r>
      <w:r w:rsidR="00104218" w:rsidRPr="008B143C">
        <w:t xml:space="preserve">. As of January 2017, the three IOUs have requested </w:t>
      </w:r>
      <w:r w:rsidR="00396B8C">
        <w:t xml:space="preserve">incentive </w:t>
      </w:r>
      <w:r w:rsidR="00104218" w:rsidRPr="008B143C">
        <w:t>funding for the 2017 bridge year, as well as funding for the 2018</w:t>
      </w:r>
      <w:r w:rsidR="00B55554">
        <w:t>–</w:t>
      </w:r>
      <w:r w:rsidR="00104218" w:rsidRPr="008B143C">
        <w:t xml:space="preserve">2022 program years. </w:t>
      </w:r>
      <w:r w:rsidR="0078474D">
        <w:t>For the 2017 bridge year, PG&amp;E requested $2.05</w:t>
      </w:r>
      <w:r w:rsidR="00723DBD">
        <w:t>M</w:t>
      </w:r>
      <w:r w:rsidR="0078474D">
        <w:t>, SCE requested $</w:t>
      </w:r>
      <w:r w:rsidR="005457DB">
        <w:t>4.7</w:t>
      </w:r>
      <w:r w:rsidR="0078474D">
        <w:t>M,</w:t>
      </w:r>
      <w:r w:rsidR="0078474D">
        <w:rPr>
          <w:rStyle w:val="FootnoteReference"/>
        </w:rPr>
        <w:footnoteReference w:id="6"/>
      </w:r>
      <w:r w:rsidR="0078474D">
        <w:t xml:space="preserve"> and SDG&amp;E requested $1.</w:t>
      </w:r>
      <w:r w:rsidR="005457DB">
        <w:t>3</w:t>
      </w:r>
      <w:r w:rsidR="0078474D">
        <w:t>M.</w:t>
      </w:r>
      <w:r w:rsidR="0024547B">
        <w:t xml:space="preserve"> For the 2018</w:t>
      </w:r>
      <w:r w:rsidR="00B55554">
        <w:t>–</w:t>
      </w:r>
      <w:r w:rsidR="0024547B">
        <w:t>2022 program years, PG&amp;E requested $7.5M, SCE requested $5.2M, and SDG&amp;E requested $</w:t>
      </w:r>
      <w:r w:rsidR="005457DB">
        <w:t>6</w:t>
      </w:r>
      <w:r w:rsidR="0024547B">
        <w:t>.</w:t>
      </w:r>
      <w:r w:rsidR="005457DB">
        <w:t>5</w:t>
      </w:r>
      <w:r w:rsidR="0024547B">
        <w:t>M.</w:t>
      </w:r>
      <w:r w:rsidR="0078474D">
        <w:t xml:space="preserve"> </w:t>
      </w:r>
      <w:r w:rsidR="00F93A5B">
        <w:t xml:space="preserve">Finally, in 2017 the CPUC voted to end the PLS program, as recorded in Decision </w:t>
      </w:r>
      <w:r w:rsidR="00157D46">
        <w:t>17-12-003</w:t>
      </w:r>
      <w:r w:rsidR="00F93A5B">
        <w:t>.</w:t>
      </w:r>
    </w:p>
    <w:p w:rsidR="00CC0C48" w:rsidRPr="00497A95" w:rsidRDefault="0087572A" w:rsidP="00143E9F">
      <w:pPr>
        <w:pStyle w:val="Heading2"/>
      </w:pPr>
      <w:bookmarkStart w:id="6" w:name="_Toc507085038"/>
      <w:r w:rsidRPr="00497A95">
        <w:t>Key Considerations for Program Year 201</w:t>
      </w:r>
      <w:r w:rsidR="0035060C">
        <w:t>7</w:t>
      </w:r>
      <w:r w:rsidRPr="00497A95">
        <w:t xml:space="preserve"> Load Impact Forecast</w:t>
      </w:r>
      <w:bookmarkEnd w:id="6"/>
    </w:p>
    <w:p w:rsidR="006C7F19" w:rsidRPr="00B828B0" w:rsidRDefault="0074140E" w:rsidP="006C7F19">
      <w:pPr>
        <w:pStyle w:val="BodyParagraph"/>
        <w:rPr>
          <w:highlight w:val="yellow"/>
        </w:rPr>
      </w:pPr>
      <w:r w:rsidRPr="00497A95">
        <w:t xml:space="preserve">As previously noted, there </w:t>
      </w:r>
      <w:r w:rsidR="00497A95" w:rsidRPr="00497A95">
        <w:t>are</w:t>
      </w:r>
      <w:r w:rsidRPr="00497A95">
        <w:t xml:space="preserve"> current</w:t>
      </w:r>
      <w:r w:rsidR="00035351" w:rsidRPr="00497A95">
        <w:t xml:space="preserve">ly </w:t>
      </w:r>
      <w:r w:rsidR="00681B01">
        <w:t>seven</w:t>
      </w:r>
      <w:r w:rsidR="00035351" w:rsidRPr="00497A95">
        <w:t xml:space="preserve"> operational</w:t>
      </w:r>
      <w:r w:rsidRPr="00497A95">
        <w:t xml:space="preserve"> PLS installation</w:t>
      </w:r>
      <w:r w:rsidR="00497A95" w:rsidRPr="00497A95">
        <w:t>s</w:t>
      </w:r>
      <w:r w:rsidR="00035351" w:rsidRPr="00497A95">
        <w:t xml:space="preserve"> </w:t>
      </w:r>
      <w:r w:rsidR="00B53409" w:rsidRPr="00497A95">
        <w:t>in place</w:t>
      </w:r>
      <w:r w:rsidR="00723DBD">
        <w:t xml:space="preserve"> with sufficient data</w:t>
      </w:r>
      <w:r w:rsidR="00B53409" w:rsidRPr="00497A95">
        <w:t xml:space="preserve"> for which </w:t>
      </w:r>
      <w:r w:rsidRPr="00497A95">
        <w:t>ex</w:t>
      </w:r>
      <w:r w:rsidR="00B5788A" w:rsidRPr="00497A95">
        <w:t> </w:t>
      </w:r>
      <w:r w:rsidRPr="00497A95">
        <w:t>post impact</w:t>
      </w:r>
      <w:r w:rsidR="00B53409" w:rsidRPr="00497A95">
        <w:t>s</w:t>
      </w:r>
      <w:r w:rsidRPr="00497A95">
        <w:t xml:space="preserve"> </w:t>
      </w:r>
      <w:r w:rsidR="00B53409" w:rsidRPr="00497A95">
        <w:t xml:space="preserve">can be </w:t>
      </w:r>
      <w:r w:rsidRPr="00497A95">
        <w:t>estimate</w:t>
      </w:r>
      <w:r w:rsidR="00B53409" w:rsidRPr="00497A95">
        <w:t>d</w:t>
      </w:r>
      <w:r w:rsidRPr="00497A95">
        <w:t xml:space="preserve"> for PY201</w:t>
      </w:r>
      <w:r w:rsidR="00681B01">
        <w:t>7</w:t>
      </w:r>
      <w:r w:rsidR="00EA680E" w:rsidRPr="00497A95">
        <w:t xml:space="preserve"> under the present approved program</w:t>
      </w:r>
      <w:r w:rsidRPr="00497A95">
        <w:t>.</w:t>
      </w:r>
      <w:r w:rsidR="00DC539B" w:rsidRPr="00497A95">
        <w:t xml:space="preserve"> </w:t>
      </w:r>
      <w:r w:rsidR="004D0AE0" w:rsidRPr="00497A95">
        <w:t xml:space="preserve">While there are important lessons to be learned from evaluating </w:t>
      </w:r>
      <w:r w:rsidR="00497A95" w:rsidRPr="00497A95">
        <w:t>these</w:t>
      </w:r>
      <w:r w:rsidR="004D0AE0" w:rsidRPr="00497A95">
        <w:t xml:space="preserve"> installation</w:t>
      </w:r>
      <w:r w:rsidR="00497A95" w:rsidRPr="00497A95">
        <w:t>s</w:t>
      </w:r>
      <w:r w:rsidR="004D0AE0" w:rsidRPr="00497A95">
        <w:t xml:space="preserve">, including comparing the ex post results to peak load reductions from the feasibility study, it is not appropriate to generalize the findings from </w:t>
      </w:r>
      <w:r w:rsidR="00497A95" w:rsidRPr="00497A95">
        <w:t xml:space="preserve">these </w:t>
      </w:r>
      <w:r w:rsidR="00681B01">
        <w:t>sites</w:t>
      </w:r>
      <w:r w:rsidR="004D0AE0" w:rsidRPr="00497A95">
        <w:t xml:space="preserve"> to the rest of the PLS progra</w:t>
      </w:r>
      <w:r w:rsidR="00681B01">
        <w:t xml:space="preserve">m as there are </w:t>
      </w:r>
      <w:r w:rsidR="00883C1A">
        <w:t>significant</w:t>
      </w:r>
      <w:r w:rsidR="00681B01">
        <w:t xml:space="preserve"> differences between sites’ data availability</w:t>
      </w:r>
      <w:r w:rsidR="00F50733">
        <w:t xml:space="preserve"> and quality</w:t>
      </w:r>
      <w:r w:rsidR="00681B01">
        <w:t>, PLS performances, and external vari</w:t>
      </w:r>
      <w:r w:rsidR="00EB05D7">
        <w:t>ables specific to each location</w:t>
      </w:r>
      <w:r w:rsidR="004D0AE0" w:rsidRPr="00497A95">
        <w:t xml:space="preserve">. </w:t>
      </w:r>
      <w:r w:rsidRPr="00497A95">
        <w:t>Despite that, the ex ante load</w:t>
      </w:r>
      <w:r w:rsidR="00B5788A" w:rsidRPr="00497A95">
        <w:t> </w:t>
      </w:r>
      <w:r w:rsidRPr="00497A95">
        <w:t>impact estimates in this document conform to the timing and requirements of the CPUC Demand Response Load Impact Protocols for nonevent based programs.</w:t>
      </w:r>
      <w:r w:rsidRPr="00497A95">
        <w:rPr>
          <w:vertAlign w:val="superscript"/>
        </w:rPr>
        <w:footnoteReference w:id="7"/>
      </w:r>
      <w:r w:rsidR="00DC539B" w:rsidRPr="00497A95">
        <w:t xml:space="preserve"> </w:t>
      </w:r>
      <w:r w:rsidRPr="00C32049">
        <w:t xml:space="preserve">Since the program rules have been finalized and customer feasibility studies and applications have been submitted, the ex ante impact estimates rely on </w:t>
      </w:r>
      <w:r w:rsidR="004D0AE0" w:rsidRPr="00C32049">
        <w:t xml:space="preserve">the ex post results for the </w:t>
      </w:r>
      <w:r w:rsidR="00E755F4">
        <w:t>seven</w:t>
      </w:r>
      <w:r w:rsidR="00E755F4" w:rsidRPr="00C32049">
        <w:t xml:space="preserve"> </w:t>
      </w:r>
      <w:r w:rsidR="004D0AE0" w:rsidRPr="00C32049">
        <w:t>operational customer</w:t>
      </w:r>
      <w:r w:rsidR="00497A95" w:rsidRPr="00C32049">
        <w:t>s</w:t>
      </w:r>
      <w:r w:rsidR="004D0AE0" w:rsidRPr="00C32049">
        <w:t xml:space="preserve"> in conjunction with </w:t>
      </w:r>
      <w:r w:rsidRPr="00C32049">
        <w:t>information in these pipeline applications to improve upon the analysis that was done for the PY201</w:t>
      </w:r>
      <w:r w:rsidR="00E755F4">
        <w:t>6</w:t>
      </w:r>
      <w:r w:rsidRPr="00C32049">
        <w:t xml:space="preserve"> evaluation.</w:t>
      </w:r>
      <w:r w:rsidR="00DC539B" w:rsidRPr="00C32049">
        <w:t xml:space="preserve"> </w:t>
      </w:r>
      <w:r w:rsidRPr="00C32049">
        <w:t>Nonetheless, this year’s forecast still relies on numerous assumptions about</w:t>
      </w:r>
      <w:r w:rsidR="00943D13" w:rsidRPr="00C32049">
        <w:t xml:space="preserve"> how expected PLS load shifting changes under </w:t>
      </w:r>
      <w:r w:rsidR="005E75FF" w:rsidRPr="00C32049">
        <w:t>various weather conditions</w:t>
      </w:r>
      <w:r w:rsidR="00243A6C">
        <w:t xml:space="preserve"> for sites which are not yet operational</w:t>
      </w:r>
      <w:r w:rsidR="005E75FF" w:rsidRPr="00C32049">
        <w:t>,</w:t>
      </w:r>
      <w:r w:rsidRPr="00C32049">
        <w:t xml:space="preserve"> which ha</w:t>
      </w:r>
      <w:r w:rsidR="00F50733">
        <w:t xml:space="preserve">s </w:t>
      </w:r>
      <w:r w:rsidRPr="00C32049">
        <w:t>a high degree of uncertainty.</w:t>
      </w:r>
      <w:r w:rsidR="00DC539B" w:rsidRPr="00C32049">
        <w:t xml:space="preserve"> </w:t>
      </w:r>
      <w:r w:rsidRPr="00C32049">
        <w:t xml:space="preserve">If future ex post evaluations </w:t>
      </w:r>
      <w:r w:rsidR="004D0AE0" w:rsidRPr="00C32049">
        <w:t xml:space="preserve">from a wider variety of customers </w:t>
      </w:r>
      <w:r w:rsidRPr="00C32049">
        <w:t>show that</w:t>
      </w:r>
      <w:r w:rsidR="00B55554">
        <w:t> </w:t>
      </w:r>
      <w:r w:rsidRPr="00C32049">
        <w:t>the PLS-TES technology works differently than expected, this forecast may not reflect the load impacts that the PLS program ultimately delivers.</w:t>
      </w:r>
      <w:r w:rsidR="00DC539B" w:rsidRPr="00C32049">
        <w:t xml:space="preserve"> </w:t>
      </w:r>
    </w:p>
    <w:p w:rsidR="005932DD" w:rsidRPr="004A536A" w:rsidRDefault="0074140E" w:rsidP="00A71E26">
      <w:pPr>
        <w:pStyle w:val="BodyParagraph"/>
      </w:pPr>
      <w:r w:rsidRPr="00BE7C5A">
        <w:lastRenderedPageBreak/>
        <w:t xml:space="preserve">The current PLS program design specifies </w:t>
      </w:r>
      <w:r w:rsidR="00B53409" w:rsidRPr="00BE7C5A">
        <w:t xml:space="preserve">the </w:t>
      </w:r>
      <w:r w:rsidRPr="00BE7C5A">
        <w:t>data to be collected from participants to optimize</w:t>
      </w:r>
      <w:r w:rsidR="00B5788A" w:rsidRPr="00BE7C5A">
        <w:t> </w:t>
      </w:r>
      <w:r w:rsidRPr="00BE7C5A">
        <w:t xml:space="preserve">TES system performance and </w:t>
      </w:r>
      <w:r w:rsidR="008D06B4" w:rsidRPr="00BE7C5A">
        <w:t xml:space="preserve">to </w:t>
      </w:r>
      <w:r w:rsidRPr="00BE7C5A">
        <w:t xml:space="preserve">enable load impact evaluation. </w:t>
      </w:r>
      <w:r w:rsidR="00224464">
        <w:t>T</w:t>
      </w:r>
      <w:r w:rsidRPr="00BE7C5A">
        <w:t>hese</w:t>
      </w:r>
      <w:r w:rsidR="00B5788A" w:rsidRPr="00BE7C5A">
        <w:t> </w:t>
      </w:r>
      <w:r w:rsidRPr="00BE7C5A">
        <w:t xml:space="preserve">measurements </w:t>
      </w:r>
      <w:r w:rsidR="00224464">
        <w:t>were the</w:t>
      </w:r>
      <w:r w:rsidRPr="00BE7C5A">
        <w:t xml:space="preserve"> basis for the ex post and ex ante impact evaluations</w:t>
      </w:r>
      <w:r w:rsidR="00224464">
        <w:t xml:space="preserve"> for operational site</w:t>
      </w:r>
      <w:r w:rsidR="00243A6C">
        <w:t>s</w:t>
      </w:r>
      <w:r w:rsidR="00224464">
        <w:t xml:space="preserve"> and will be used increasingly as more projects come online</w:t>
      </w:r>
      <w:r w:rsidRPr="00BE7C5A">
        <w:t>.</w:t>
      </w:r>
      <w:r w:rsidR="00DC539B" w:rsidRPr="00BE7C5A">
        <w:t xml:space="preserve"> </w:t>
      </w:r>
      <w:r w:rsidRPr="00BE7C5A">
        <w:t>For this</w:t>
      </w:r>
      <w:r w:rsidR="00B5788A" w:rsidRPr="00BE7C5A">
        <w:t> </w:t>
      </w:r>
      <w:r w:rsidRPr="00BE7C5A">
        <w:t>evaluation, ex ante estimates rely, in part, on information contained in the feasibility studies</w:t>
      </w:r>
      <w:r w:rsidR="00B5788A" w:rsidRPr="00BE7C5A">
        <w:t> </w:t>
      </w:r>
      <w:r w:rsidRPr="00BE7C5A">
        <w:t>and applications submitted by the</w:t>
      </w:r>
      <w:r w:rsidR="00B55554">
        <w:t> </w:t>
      </w:r>
      <w:r w:rsidR="004A536A">
        <w:t>beginning of 201</w:t>
      </w:r>
      <w:r w:rsidR="004845EF">
        <w:t>8</w:t>
      </w:r>
      <w:r w:rsidR="00794891" w:rsidRPr="00BE7C5A">
        <w:t xml:space="preserve"> in addition to the ex post analys</w:t>
      </w:r>
      <w:r w:rsidR="004A536A">
        <w:t>e</w:t>
      </w:r>
      <w:r w:rsidR="00794891" w:rsidRPr="00BE7C5A">
        <w:t>s</w:t>
      </w:r>
      <w:r w:rsidRPr="00BE7C5A">
        <w:t>.</w:t>
      </w:r>
      <w:r w:rsidR="00DC539B" w:rsidRPr="00BE7C5A">
        <w:t xml:space="preserve"> </w:t>
      </w:r>
    </w:p>
    <w:p w:rsidR="00A71E26" w:rsidRPr="00D27A98" w:rsidRDefault="00243A6C" w:rsidP="00A71E26">
      <w:pPr>
        <w:pStyle w:val="BodyParagraph"/>
      </w:pPr>
      <w:r>
        <w:t>T</w:t>
      </w:r>
      <w:r w:rsidR="0022203B">
        <w:t xml:space="preserve">he 2017 </w:t>
      </w:r>
      <w:r>
        <w:t xml:space="preserve">CPUC </w:t>
      </w:r>
      <w:r w:rsidR="0022203B">
        <w:t xml:space="preserve">decision </w:t>
      </w:r>
      <w:r w:rsidR="000C3FE5">
        <w:t xml:space="preserve">to phase </w:t>
      </w:r>
      <w:r>
        <w:t>out the</w:t>
      </w:r>
      <w:r w:rsidR="000C3FE5">
        <w:t xml:space="preserve"> PLS program</w:t>
      </w:r>
      <w:r>
        <w:t xml:space="preserve"> </w:t>
      </w:r>
      <w:r w:rsidR="000C3FE5">
        <w:t xml:space="preserve">will </w:t>
      </w:r>
      <w:r>
        <w:t>significantly</w:t>
      </w:r>
      <w:r w:rsidR="000C3FE5">
        <w:t xml:space="preserve"> reduce the level of uncertainty in the ex ante forecas</w:t>
      </w:r>
      <w:r w:rsidR="009E5863">
        <w:t>t</w:t>
      </w:r>
      <w:r>
        <w:t xml:space="preserve"> </w:t>
      </w:r>
      <w:r w:rsidR="00D27A98">
        <w:t>associated with future program enrollment a</w:t>
      </w:r>
      <w:r>
        <w:t>s no new applications are being accepted</w:t>
      </w:r>
      <w:r w:rsidR="009E5863">
        <w:t xml:space="preserve">. </w:t>
      </w:r>
      <w:r>
        <w:t>C</w:t>
      </w:r>
      <w:r w:rsidR="009E5863">
        <w:t>ustomers that have already app</w:t>
      </w:r>
      <w:r>
        <w:t xml:space="preserve">lied </w:t>
      </w:r>
      <w:r w:rsidR="00D27A98">
        <w:t>will</w:t>
      </w:r>
      <w:r>
        <w:t xml:space="preserve"> be allowed to complete their PLS installation</w:t>
      </w:r>
      <w:r w:rsidR="00D27A98">
        <w:t xml:space="preserve"> and</w:t>
      </w:r>
      <w:r>
        <w:t xml:space="preserve"> </w:t>
      </w:r>
      <w:r w:rsidR="00D27A98">
        <w:t>are</w:t>
      </w:r>
      <w:r>
        <w:t xml:space="preserve"> required to operate the equipment</w:t>
      </w:r>
      <w:r w:rsidR="009E5863">
        <w:t xml:space="preserve"> for 5 years</w:t>
      </w:r>
      <w:proofErr w:type="gramStart"/>
      <w:r w:rsidR="009E5863">
        <w:t>.</w:t>
      </w:r>
      <w:r w:rsidR="00354903" w:rsidRPr="00104218">
        <w:t>.</w:t>
      </w:r>
      <w:proofErr w:type="gramEnd"/>
      <w:r w:rsidR="005E75FF" w:rsidRPr="00104218">
        <w:t xml:space="preserve"> </w:t>
      </w:r>
    </w:p>
    <w:p w:rsidR="00D56C2A" w:rsidRPr="00104218" w:rsidRDefault="0087572A" w:rsidP="0087572A">
      <w:pPr>
        <w:pStyle w:val="Heading2"/>
      </w:pPr>
      <w:bookmarkStart w:id="7" w:name="_Toc507085039"/>
      <w:r w:rsidRPr="00104218">
        <w:t>Program Overview</w:t>
      </w:r>
      <w:bookmarkEnd w:id="7"/>
    </w:p>
    <w:p w:rsidR="006C7F19" w:rsidRPr="00104218" w:rsidRDefault="0074140E" w:rsidP="006C7F19">
      <w:pPr>
        <w:pStyle w:val="BodyParagraph"/>
      </w:pPr>
      <w:r w:rsidRPr="00104218">
        <w:t>The PLS program provides a one-time incentive payment ($875/kW shifted) to customers who install qualifying PLS-TES technology on typical central air conditioning units or process cooling equipment.</w:t>
      </w:r>
      <w:r w:rsidR="00DC539B" w:rsidRPr="00104218">
        <w:t xml:space="preserve"> </w:t>
      </w:r>
      <w:r w:rsidRPr="00104218">
        <w:t>Incentives are determined based on the designed load shift capability of the system and the project must undergo a feasibility study prepared by a licensed engineer.</w:t>
      </w:r>
      <w:r w:rsidR="00DC539B" w:rsidRPr="00104218">
        <w:t xml:space="preserve"> </w:t>
      </w:r>
      <w:r w:rsidRPr="00104218">
        <w:t>The load shift is typically accomplished through shifting of daytime chiller load to overnight hours.</w:t>
      </w:r>
      <w:r w:rsidR="00DC539B" w:rsidRPr="00104218">
        <w:t xml:space="preserve"> </w:t>
      </w:r>
      <w:r w:rsidRPr="00104218">
        <w:t>All electric customers on time-of-use electricity rates are eligible for the program, including residential, commercial, industrial, agricultural, direct access</w:t>
      </w:r>
      <w:r w:rsidR="00B5788A" w:rsidRPr="00104218">
        <w:t>,</w:t>
      </w:r>
      <w:r w:rsidRPr="00104218">
        <w:t xml:space="preserve"> and Community Choice Aggregation customers</w:t>
      </w:r>
      <w:r w:rsidR="006C7F19" w:rsidRPr="00104218">
        <w:t>.</w:t>
      </w:r>
    </w:p>
    <w:p w:rsidR="006C7F19" w:rsidRPr="00104218" w:rsidRDefault="006C7F19" w:rsidP="006C7F19">
      <w:pPr>
        <w:pStyle w:val="BodyBeforeBullet"/>
      </w:pPr>
      <w:r w:rsidRPr="00104218">
        <w:t>To qualify for the PLS program incentive payment, customers must go through the program application, approval and verification process, which includes all of the stages that are required for customers to apply for and receive a verified incentive amount.</w:t>
      </w:r>
      <w:r w:rsidR="00DC539B" w:rsidRPr="00104218">
        <w:t xml:space="preserve"> </w:t>
      </w:r>
      <w:r w:rsidRPr="00104218">
        <w:t>These stages are:</w:t>
      </w:r>
    </w:p>
    <w:p w:rsidR="006C7F19" w:rsidRPr="00104218" w:rsidRDefault="006C7F19" w:rsidP="001A6711">
      <w:pPr>
        <w:pStyle w:val="Bullets"/>
        <w:numPr>
          <w:ilvl w:val="0"/>
          <w:numId w:val="8"/>
        </w:numPr>
        <w:rPr>
          <w:rFonts w:eastAsiaTheme="minorEastAsia"/>
        </w:rPr>
      </w:pPr>
      <w:r w:rsidRPr="00104218">
        <w:rPr>
          <w:rFonts w:eastAsiaTheme="minorEastAsia"/>
        </w:rPr>
        <w:t>Customer submits complete application</w:t>
      </w:r>
      <w:r w:rsidR="00967047" w:rsidRPr="00104218">
        <w:rPr>
          <w:rFonts w:eastAsiaTheme="minorEastAsia"/>
        </w:rPr>
        <w:t>;</w:t>
      </w:r>
    </w:p>
    <w:p w:rsidR="006C7F19" w:rsidRPr="00104218" w:rsidRDefault="006C7F19" w:rsidP="001A6711">
      <w:pPr>
        <w:pStyle w:val="Bullets"/>
        <w:numPr>
          <w:ilvl w:val="0"/>
          <w:numId w:val="8"/>
        </w:numPr>
        <w:rPr>
          <w:rFonts w:eastAsiaTheme="minorEastAsia"/>
        </w:rPr>
      </w:pPr>
      <w:r w:rsidRPr="00104218">
        <w:rPr>
          <w:rFonts w:eastAsiaTheme="minorEastAsia"/>
        </w:rPr>
        <w:t>Customer submits feasibility study</w:t>
      </w:r>
      <w:r w:rsidR="00967047" w:rsidRPr="00104218">
        <w:rPr>
          <w:rFonts w:eastAsiaTheme="minorEastAsia"/>
        </w:rPr>
        <w:t>;</w:t>
      </w:r>
    </w:p>
    <w:p w:rsidR="006C7F19" w:rsidRPr="00104218" w:rsidRDefault="006C7F19" w:rsidP="001A6711">
      <w:pPr>
        <w:pStyle w:val="Bullets"/>
        <w:numPr>
          <w:ilvl w:val="0"/>
          <w:numId w:val="8"/>
        </w:numPr>
        <w:rPr>
          <w:rFonts w:eastAsiaTheme="minorEastAsia"/>
        </w:rPr>
      </w:pPr>
      <w:r w:rsidRPr="00104218">
        <w:rPr>
          <w:rFonts w:eastAsiaTheme="minorEastAsia"/>
        </w:rPr>
        <w:t xml:space="preserve">IOU reviews feasibility study </w:t>
      </w:r>
      <w:r w:rsidR="00CA0962" w:rsidRPr="00104218">
        <w:rPr>
          <w:rFonts w:eastAsiaTheme="minorEastAsia"/>
        </w:rPr>
        <w:t xml:space="preserve">prior </w:t>
      </w:r>
      <w:r w:rsidR="008C1218" w:rsidRPr="00104218">
        <w:rPr>
          <w:rFonts w:eastAsiaTheme="minorEastAsia"/>
        </w:rPr>
        <w:t>to approval</w:t>
      </w:r>
      <w:r w:rsidR="00967047" w:rsidRPr="00104218">
        <w:rPr>
          <w:rFonts w:eastAsiaTheme="minorEastAsia"/>
        </w:rPr>
        <w:t>;</w:t>
      </w:r>
    </w:p>
    <w:p w:rsidR="006C7F19" w:rsidRPr="00104218" w:rsidRDefault="006C7F19" w:rsidP="001A6711">
      <w:pPr>
        <w:pStyle w:val="Bullets"/>
        <w:numPr>
          <w:ilvl w:val="0"/>
          <w:numId w:val="8"/>
        </w:numPr>
        <w:rPr>
          <w:rFonts w:eastAsiaTheme="minorEastAsia"/>
        </w:rPr>
      </w:pPr>
      <w:r w:rsidRPr="00104218">
        <w:rPr>
          <w:rFonts w:eastAsiaTheme="minorEastAsia"/>
        </w:rPr>
        <w:t>IOU conducts pre-installation inspection</w:t>
      </w:r>
      <w:r w:rsidR="008C1218" w:rsidRPr="00104218">
        <w:rPr>
          <w:rFonts w:eastAsiaTheme="minorEastAsia"/>
        </w:rPr>
        <w:t>, including pre-installation M&amp;V,</w:t>
      </w:r>
      <w:r w:rsidRPr="00104218">
        <w:rPr>
          <w:rFonts w:eastAsiaTheme="minorEastAsia"/>
        </w:rPr>
        <w:t xml:space="preserve"> and</w:t>
      </w:r>
      <w:r w:rsidR="008C1218" w:rsidRPr="00104218">
        <w:rPr>
          <w:rFonts w:eastAsiaTheme="minorEastAsia"/>
        </w:rPr>
        <w:t>, if customer passes,</w:t>
      </w:r>
      <w:r w:rsidRPr="00104218">
        <w:rPr>
          <w:rFonts w:eastAsiaTheme="minorEastAsia"/>
        </w:rPr>
        <w:t xml:space="preserve"> </w:t>
      </w:r>
      <w:r w:rsidR="008C1218" w:rsidRPr="00104218">
        <w:rPr>
          <w:rFonts w:eastAsiaTheme="minorEastAsia"/>
        </w:rPr>
        <w:t xml:space="preserve">approves application and </w:t>
      </w:r>
      <w:r w:rsidRPr="00104218">
        <w:rPr>
          <w:rFonts w:eastAsiaTheme="minorEastAsia"/>
        </w:rPr>
        <w:t>sets aside incentive funds</w:t>
      </w:r>
      <w:r w:rsidR="00967047" w:rsidRPr="00104218">
        <w:rPr>
          <w:rFonts w:eastAsiaTheme="minorEastAsia"/>
        </w:rPr>
        <w:t>;</w:t>
      </w:r>
    </w:p>
    <w:p w:rsidR="006C7F19" w:rsidRPr="00104218" w:rsidRDefault="006C7F19" w:rsidP="001A6711">
      <w:pPr>
        <w:pStyle w:val="Bullets"/>
        <w:numPr>
          <w:ilvl w:val="0"/>
          <w:numId w:val="8"/>
        </w:numPr>
        <w:rPr>
          <w:rFonts w:eastAsiaTheme="minorEastAsia"/>
        </w:rPr>
      </w:pPr>
      <w:r w:rsidRPr="00104218">
        <w:rPr>
          <w:rFonts w:eastAsiaTheme="minorEastAsia"/>
        </w:rPr>
        <w:t>IOU and customer sign agreement (SCE only)</w:t>
      </w:r>
      <w:r w:rsidR="00967047" w:rsidRPr="00104218">
        <w:rPr>
          <w:rFonts w:eastAsiaTheme="minorEastAsia"/>
        </w:rPr>
        <w:t>;</w:t>
      </w:r>
    </w:p>
    <w:p w:rsidR="00B53409" w:rsidRPr="00104218" w:rsidRDefault="006C7F19" w:rsidP="001A6711">
      <w:pPr>
        <w:pStyle w:val="Bullets"/>
        <w:numPr>
          <w:ilvl w:val="0"/>
          <w:numId w:val="8"/>
        </w:numPr>
        <w:rPr>
          <w:rFonts w:eastAsiaTheme="minorEastAsia"/>
        </w:rPr>
      </w:pPr>
      <w:r w:rsidRPr="00104218">
        <w:rPr>
          <w:rFonts w:eastAsiaTheme="minorEastAsia"/>
        </w:rPr>
        <w:t>Customer submits project design</w:t>
      </w:r>
      <w:r w:rsidR="008C1218" w:rsidRPr="00104218">
        <w:rPr>
          <w:rFonts w:eastAsiaTheme="minorEastAsia"/>
        </w:rPr>
        <w:t xml:space="preserve">; </w:t>
      </w:r>
    </w:p>
    <w:p w:rsidR="006C7F19" w:rsidRPr="00104218" w:rsidRDefault="00B53409" w:rsidP="001A6711">
      <w:pPr>
        <w:pStyle w:val="Bullets"/>
        <w:numPr>
          <w:ilvl w:val="0"/>
          <w:numId w:val="8"/>
        </w:numPr>
        <w:rPr>
          <w:rFonts w:eastAsiaTheme="minorEastAsia"/>
        </w:rPr>
      </w:pPr>
      <w:r w:rsidRPr="00104218">
        <w:rPr>
          <w:rFonts w:eastAsiaTheme="minorEastAsia"/>
        </w:rPr>
        <w:t>C</w:t>
      </w:r>
      <w:r w:rsidR="008C1218" w:rsidRPr="00104218">
        <w:rPr>
          <w:rFonts w:eastAsiaTheme="minorEastAsia"/>
        </w:rPr>
        <w:t>ustomer</w:t>
      </w:r>
      <w:r w:rsidR="006C7F19" w:rsidRPr="00104218">
        <w:rPr>
          <w:rFonts w:eastAsiaTheme="minorEastAsia"/>
        </w:rPr>
        <w:t xml:space="preserve"> installs PLS-TES system</w:t>
      </w:r>
      <w:r w:rsidR="00967047" w:rsidRPr="00104218">
        <w:rPr>
          <w:rFonts w:eastAsiaTheme="minorEastAsia"/>
        </w:rPr>
        <w:t>;</w:t>
      </w:r>
    </w:p>
    <w:p w:rsidR="006C7F19" w:rsidRPr="00104218" w:rsidRDefault="006C7F19" w:rsidP="001A6711">
      <w:pPr>
        <w:pStyle w:val="Bullets"/>
        <w:numPr>
          <w:ilvl w:val="0"/>
          <w:numId w:val="8"/>
        </w:numPr>
        <w:rPr>
          <w:rFonts w:eastAsiaTheme="minorEastAsia"/>
        </w:rPr>
      </w:pPr>
      <w:r w:rsidRPr="00104218">
        <w:rPr>
          <w:rFonts w:eastAsiaTheme="minorEastAsia"/>
        </w:rPr>
        <w:t xml:space="preserve">Customer submits </w:t>
      </w:r>
      <w:r w:rsidR="00EA680E" w:rsidRPr="00104218">
        <w:rPr>
          <w:rFonts w:eastAsiaTheme="minorEastAsia"/>
        </w:rPr>
        <w:t>Commissioning Report</w:t>
      </w:r>
      <w:r w:rsidR="00967047" w:rsidRPr="00104218">
        <w:rPr>
          <w:rFonts w:eastAsiaTheme="minorEastAsia"/>
        </w:rPr>
        <w:t>;</w:t>
      </w:r>
    </w:p>
    <w:p w:rsidR="006C7F19" w:rsidRPr="00104218" w:rsidRDefault="006C7F19" w:rsidP="00E40533">
      <w:pPr>
        <w:pStyle w:val="ListParagraph"/>
        <w:numPr>
          <w:ilvl w:val="0"/>
          <w:numId w:val="8"/>
        </w:numPr>
        <w:spacing w:after="120"/>
        <w:rPr>
          <w:rFonts w:ascii="Arial" w:hAnsi="Arial"/>
          <w:color w:val="1C1C1C"/>
        </w:rPr>
      </w:pPr>
      <w:r w:rsidRPr="00104218">
        <w:rPr>
          <w:rFonts w:ascii="Arial" w:hAnsi="Arial"/>
          <w:color w:val="1C1C1C"/>
        </w:rPr>
        <w:t>IOU reviews commissioning report and conducts post-installation inspection, tests</w:t>
      </w:r>
      <w:r w:rsidR="008C1218" w:rsidRPr="00104218">
        <w:rPr>
          <w:rFonts w:ascii="Arial" w:hAnsi="Arial"/>
          <w:color w:val="1C1C1C"/>
        </w:rPr>
        <w:t>,</w:t>
      </w:r>
      <w:r w:rsidR="00DC539B" w:rsidRPr="00104218">
        <w:rPr>
          <w:rFonts w:ascii="Arial" w:hAnsi="Arial"/>
          <w:color w:val="1C1C1C"/>
        </w:rPr>
        <w:t xml:space="preserve"> </w:t>
      </w:r>
      <w:r w:rsidRPr="00104218">
        <w:rPr>
          <w:rFonts w:ascii="Arial" w:hAnsi="Arial"/>
          <w:color w:val="1C1C1C"/>
        </w:rPr>
        <w:t>cost</w:t>
      </w:r>
      <w:r w:rsidR="00B5788A" w:rsidRPr="00104218">
        <w:rPr>
          <w:rFonts w:ascii="Arial" w:hAnsi="Arial"/>
          <w:color w:val="1C1C1C"/>
        </w:rPr>
        <w:t>,</w:t>
      </w:r>
      <w:r w:rsidRPr="00104218">
        <w:rPr>
          <w:rFonts w:ascii="Arial" w:hAnsi="Arial"/>
          <w:color w:val="1C1C1C"/>
        </w:rPr>
        <w:t xml:space="preserve"> </w:t>
      </w:r>
      <w:r w:rsidR="008C1218" w:rsidRPr="00104218">
        <w:rPr>
          <w:rFonts w:ascii="Arial" w:hAnsi="Arial"/>
          <w:color w:val="1C1C1C"/>
        </w:rPr>
        <w:t xml:space="preserve">and any other </w:t>
      </w:r>
      <w:r w:rsidRPr="00104218">
        <w:rPr>
          <w:rFonts w:ascii="Arial" w:hAnsi="Arial"/>
          <w:color w:val="1C1C1C"/>
        </w:rPr>
        <w:t>verifications</w:t>
      </w:r>
      <w:r w:rsidR="00967047" w:rsidRPr="00104218">
        <w:rPr>
          <w:rFonts w:ascii="Arial" w:hAnsi="Arial"/>
          <w:color w:val="1C1C1C"/>
        </w:rPr>
        <w:t xml:space="preserve">; and </w:t>
      </w:r>
    </w:p>
    <w:p w:rsidR="006C7F19" w:rsidRPr="00104218" w:rsidRDefault="006C7F19" w:rsidP="006C7F19">
      <w:pPr>
        <w:pStyle w:val="ListParagraph"/>
        <w:numPr>
          <w:ilvl w:val="0"/>
          <w:numId w:val="8"/>
        </w:numPr>
        <w:rPr>
          <w:rFonts w:ascii="Arial" w:hAnsi="Arial"/>
          <w:color w:val="1C1C1C"/>
        </w:rPr>
      </w:pPr>
      <w:r w:rsidRPr="00104218">
        <w:rPr>
          <w:rFonts w:ascii="Arial" w:hAnsi="Arial"/>
          <w:color w:val="1C1C1C"/>
        </w:rPr>
        <w:t xml:space="preserve">Customer receives final PLS </w:t>
      </w:r>
      <w:r w:rsidR="008C1218" w:rsidRPr="00104218">
        <w:rPr>
          <w:rFonts w:ascii="Arial" w:hAnsi="Arial"/>
          <w:color w:val="1C1C1C"/>
        </w:rPr>
        <w:t xml:space="preserve">technology </w:t>
      </w:r>
      <w:r w:rsidRPr="00104218">
        <w:rPr>
          <w:rFonts w:ascii="Arial" w:hAnsi="Arial"/>
          <w:color w:val="1C1C1C"/>
        </w:rPr>
        <w:t>incentive</w:t>
      </w:r>
      <w:r w:rsidR="0074140E" w:rsidRPr="00104218">
        <w:rPr>
          <w:rFonts w:ascii="Arial" w:hAnsi="Arial"/>
          <w:color w:val="1C1C1C"/>
        </w:rPr>
        <w:t>.</w:t>
      </w:r>
    </w:p>
    <w:p w:rsidR="006C7F19" w:rsidRPr="00104218" w:rsidRDefault="006C7F19" w:rsidP="006C7F19">
      <w:pPr>
        <w:pStyle w:val="BodyParagraph"/>
      </w:pPr>
      <w:r w:rsidRPr="00104218">
        <w:t>After submit</w:t>
      </w:r>
      <w:r w:rsidR="00967047" w:rsidRPr="00104218">
        <w:t>ting</w:t>
      </w:r>
      <w:r w:rsidRPr="00104218">
        <w:t xml:space="preserve"> an application, participating </w:t>
      </w:r>
      <w:r w:rsidR="00967047" w:rsidRPr="00104218">
        <w:t xml:space="preserve">customers </w:t>
      </w:r>
      <w:r w:rsidRPr="00104218">
        <w:t>must provide, in advance of installation, a feasibility study prepared by a licensed engineer.</w:t>
      </w:r>
      <w:r w:rsidR="00DC539B" w:rsidRPr="00104218">
        <w:t xml:space="preserve"> </w:t>
      </w:r>
      <w:r w:rsidRPr="00104218">
        <w:t>This study must include an estimated cooling profile</w:t>
      </w:r>
      <w:r w:rsidR="00967047" w:rsidRPr="00104218">
        <w:t xml:space="preserve"> for each hour for a year based on building simulation models and input about </w:t>
      </w:r>
      <w:r w:rsidRPr="00104218">
        <w:t>building specifications, regional temperatures, occupancy</w:t>
      </w:r>
      <w:r w:rsidR="00B5788A" w:rsidRPr="00104218">
        <w:t>,</w:t>
      </w:r>
      <w:r w:rsidRPr="00104218">
        <w:t xml:space="preserve"> and other inputs.</w:t>
      </w:r>
      <w:r w:rsidR="00DC539B" w:rsidRPr="00104218">
        <w:t xml:space="preserve"> </w:t>
      </w:r>
      <w:r w:rsidRPr="00104218">
        <w:t xml:space="preserve">Both retrofit and </w:t>
      </w:r>
      <w:r w:rsidRPr="00104218">
        <w:lastRenderedPageBreak/>
        <w:t xml:space="preserve">new construction customers </w:t>
      </w:r>
      <w:r w:rsidR="00967047" w:rsidRPr="00104218">
        <w:t xml:space="preserve">are </w:t>
      </w:r>
      <w:r w:rsidRPr="00104218">
        <w:t>subject to the energy modeling process unless utility approved cooling usage data is available.</w:t>
      </w:r>
    </w:p>
    <w:p w:rsidR="006C7F19" w:rsidRPr="00104218" w:rsidRDefault="006C7F19" w:rsidP="006C7F19">
      <w:pPr>
        <w:pStyle w:val="BodyParagraph"/>
      </w:pPr>
      <w:r w:rsidRPr="00104218">
        <w:t xml:space="preserve">The total incentive amount </w:t>
      </w:r>
      <w:r w:rsidR="00967047" w:rsidRPr="00104218">
        <w:t>is</w:t>
      </w:r>
      <w:r w:rsidRPr="00104218">
        <w:t xml:space="preserve"> determined using a customer’s load shift on their maximum cooling demand day</w:t>
      </w:r>
      <w:r w:rsidR="00B5788A" w:rsidRPr="00104218">
        <w:rPr>
          <w:rFonts w:cs="Arial"/>
        </w:rPr>
        <w:t>—</w:t>
      </w:r>
      <w:r w:rsidRPr="00104218">
        <w:t>based on the on-peak hours.</w:t>
      </w:r>
      <w:r w:rsidR="00DC539B" w:rsidRPr="00104218">
        <w:t xml:space="preserve"> </w:t>
      </w:r>
      <w:r w:rsidRPr="00104218">
        <w:t>A conversion factor</w:t>
      </w:r>
      <w:r w:rsidR="00B533B8" w:rsidRPr="00104218">
        <w:rPr>
          <w:rStyle w:val="FootnoteReference"/>
        </w:rPr>
        <w:footnoteReference w:id="8"/>
      </w:r>
      <w:r w:rsidRPr="00104218">
        <w:t xml:space="preserve"> </w:t>
      </w:r>
      <w:r w:rsidR="00967047" w:rsidRPr="00104218">
        <w:t xml:space="preserve">is </w:t>
      </w:r>
      <w:r w:rsidRPr="00104218">
        <w:t>used to convert the</w:t>
      </w:r>
      <w:r w:rsidR="00B5788A" w:rsidRPr="00104218">
        <w:t> </w:t>
      </w:r>
      <w:r w:rsidRPr="00104218">
        <w:t>cooling load shift tons to electricity load shift (kW) for both full and partial storage systems.</w:t>
      </w:r>
      <w:r w:rsidR="00DC539B" w:rsidRPr="00104218">
        <w:t xml:space="preserve"> </w:t>
      </w:r>
      <w:r w:rsidRPr="00104218">
        <w:t>The incentive levels for the program are $875/kW</w:t>
      </w:r>
      <w:r w:rsidR="00EA680E" w:rsidRPr="00104218">
        <w:t>-shifted</w:t>
      </w:r>
      <w:r w:rsidRPr="00104218">
        <w:t xml:space="preserve"> for all IOUs.</w:t>
      </w:r>
      <w:r w:rsidR="00DC539B" w:rsidRPr="00104218">
        <w:t xml:space="preserve"> </w:t>
      </w:r>
    </w:p>
    <w:p w:rsidR="006C7F19" w:rsidRPr="00104218" w:rsidRDefault="006C7F19" w:rsidP="006C7F19">
      <w:pPr>
        <w:pStyle w:val="BodyParagraph"/>
      </w:pPr>
      <w:r w:rsidRPr="00104218">
        <w:t xml:space="preserve">The incentive payments are intended to offset </w:t>
      </w:r>
      <w:r w:rsidR="00967047" w:rsidRPr="00104218">
        <w:t xml:space="preserve">a portion of </w:t>
      </w:r>
      <w:r w:rsidRPr="00104218">
        <w:t>the cost of installation</w:t>
      </w:r>
      <w:r w:rsidR="00967047" w:rsidRPr="00104218">
        <w:t xml:space="preserve">, </w:t>
      </w:r>
      <w:r w:rsidRPr="00104218">
        <w:t>thereby mak</w:t>
      </w:r>
      <w:r w:rsidR="00967047" w:rsidRPr="00104218">
        <w:t>ing</w:t>
      </w:r>
      <w:r w:rsidRPr="00104218">
        <w:t xml:space="preserve"> the system more attractive financially.</w:t>
      </w:r>
      <w:r w:rsidR="00DC539B" w:rsidRPr="00104218">
        <w:t xml:space="preserve"> </w:t>
      </w:r>
      <w:r w:rsidRPr="00104218">
        <w:t>Under the program rules</w:t>
      </w:r>
      <w:r w:rsidR="009A7016" w:rsidRPr="00104218">
        <w:t xml:space="preserve">, the </w:t>
      </w:r>
      <w:r w:rsidRPr="00104218">
        <w:t>incentive</w:t>
      </w:r>
      <w:r w:rsidR="009A7016" w:rsidRPr="00104218">
        <w:t xml:space="preserve"> is </w:t>
      </w:r>
      <w:r w:rsidRPr="00104218">
        <w:t>the le</w:t>
      </w:r>
      <w:r w:rsidR="009A7016" w:rsidRPr="00104218">
        <w:t>ss</w:t>
      </w:r>
      <w:r w:rsidR="00061CE4" w:rsidRPr="00104218">
        <w:t>e</w:t>
      </w:r>
      <w:r w:rsidR="009A7016" w:rsidRPr="00104218">
        <w:t>r</w:t>
      </w:r>
      <w:r w:rsidRPr="00104218">
        <w:t xml:space="preserve"> of (1) the incentive reservation amount calculated from the approved feasibility study and</w:t>
      </w:r>
      <w:r w:rsidR="00B5788A" w:rsidRPr="00104218">
        <w:t> </w:t>
      </w:r>
      <w:r w:rsidRPr="00104218">
        <w:t>post-installation approval; (2) 50% of the actual final installed project cost; or (3) $1.5 million.</w:t>
      </w:r>
      <w:r w:rsidR="00DC539B" w:rsidRPr="00104218">
        <w:t xml:space="preserve"> </w:t>
      </w:r>
      <w:r w:rsidRPr="00104218">
        <w:t xml:space="preserve">In addition, customers </w:t>
      </w:r>
      <w:r w:rsidR="009A7016" w:rsidRPr="00104218">
        <w:t xml:space="preserve">are </w:t>
      </w:r>
      <w:r w:rsidRPr="00104218">
        <w:t xml:space="preserve">required to be on a time-of-use </w:t>
      </w:r>
      <w:r w:rsidR="00227CB9" w:rsidRPr="00104218">
        <w:t xml:space="preserve">electric </w:t>
      </w:r>
      <w:r w:rsidRPr="00104218">
        <w:t>rate and provide trend</w:t>
      </w:r>
      <w:r w:rsidR="00B5788A" w:rsidRPr="00104218">
        <w:t> </w:t>
      </w:r>
      <w:r w:rsidRPr="00104218">
        <w:t>data to the IOU’s about their TES system for the first five years after installation.</w:t>
      </w:r>
      <w:r w:rsidR="00DC539B" w:rsidRPr="00104218">
        <w:t xml:space="preserve"> </w:t>
      </w:r>
      <w:r w:rsidRPr="00104218">
        <w:t>In the participation component of the program, customers are required to run their TES system on summer weekdays for five years after installation</w:t>
      </w:r>
      <w:r w:rsidR="00227CB9" w:rsidRPr="00104218">
        <w:t>, thereby realizing electric bill savings,</w:t>
      </w:r>
      <w:r w:rsidRPr="00104218">
        <w:t xml:space="preserve"> and submit monitored system data to the IOU.</w:t>
      </w:r>
      <w:r w:rsidR="00DC539B" w:rsidRPr="00104218">
        <w:t xml:space="preserve"> </w:t>
      </w:r>
      <w:r w:rsidRPr="00104218">
        <w:t>The systems are expected to have a lifetime of about 20 years.</w:t>
      </w:r>
    </w:p>
    <w:p w:rsidR="006C7F19" w:rsidRPr="00E80779" w:rsidRDefault="006C7F19" w:rsidP="006C7F19">
      <w:pPr>
        <w:pStyle w:val="BodyParagraph"/>
      </w:pPr>
      <w:r w:rsidRPr="00E80779">
        <w:t>Customers are required to shift load by running the TES system on weekdays during summer months, which are defined slightly differently for each utility.</w:t>
      </w:r>
      <w:r w:rsidR="00DC539B" w:rsidRPr="00E80779">
        <w:t xml:space="preserve"> </w:t>
      </w:r>
      <w:r w:rsidR="005B3C91" w:rsidRPr="00E80779">
        <w:fldChar w:fldCharType="begin"/>
      </w:r>
      <w:r w:rsidR="005B3C91" w:rsidRPr="00E80779">
        <w:instrText xml:space="preserve"> REF _Ref443495165 \h </w:instrText>
      </w:r>
      <w:r w:rsidR="00B828B0" w:rsidRPr="00E80779">
        <w:instrText xml:space="preserve"> \* MERGEFORMAT </w:instrText>
      </w:r>
      <w:r w:rsidR="005B3C91" w:rsidRPr="00E80779">
        <w:fldChar w:fldCharType="separate"/>
      </w:r>
      <w:r w:rsidR="001F391A" w:rsidRPr="00BE7C5A">
        <w:t xml:space="preserve">Table </w:t>
      </w:r>
      <w:r w:rsidR="001F391A">
        <w:rPr>
          <w:noProof/>
        </w:rPr>
        <w:t>1</w:t>
      </w:r>
      <w:r w:rsidR="001F391A">
        <w:rPr>
          <w:noProof/>
        </w:rPr>
        <w:noBreakHyphen/>
        <w:t>1</w:t>
      </w:r>
      <w:r w:rsidR="005B3C91" w:rsidRPr="00E80779">
        <w:fldChar w:fldCharType="end"/>
      </w:r>
      <w:r w:rsidR="005B3C91" w:rsidRPr="00E80779">
        <w:t xml:space="preserve"> </w:t>
      </w:r>
      <w:r w:rsidRPr="00E80779">
        <w:t xml:space="preserve">shows the </w:t>
      </w:r>
      <w:r w:rsidR="00227CB9" w:rsidRPr="00E80779">
        <w:t>on-</w:t>
      </w:r>
      <w:r w:rsidRPr="00E80779">
        <w:t>peak periods and summer months for each utility, as approved in the Statewide PLS Program Proposal.</w:t>
      </w:r>
      <w:r w:rsidRPr="00E80779">
        <w:rPr>
          <w:vertAlign w:val="superscript"/>
        </w:rPr>
        <w:footnoteReference w:id="9"/>
      </w:r>
      <w:r w:rsidR="00BF5325">
        <w:rPr>
          <w:vertAlign w:val="superscript"/>
        </w:rPr>
        <w:t xml:space="preserve"> </w:t>
      </w:r>
      <w:r w:rsidRPr="00E80779">
        <w:t xml:space="preserve">PLS program participants are </w:t>
      </w:r>
      <w:r w:rsidR="00B53409" w:rsidRPr="00E80779">
        <w:t xml:space="preserve">also </w:t>
      </w:r>
      <w:r w:rsidRPr="00E80779">
        <w:t>encouraged to shift load during non</w:t>
      </w:r>
      <w:r w:rsidR="00396B8C">
        <w:t>-</w:t>
      </w:r>
      <w:r w:rsidRPr="00E80779">
        <w:t>summer months</w:t>
      </w:r>
      <w:r w:rsidR="00396B8C">
        <w:t xml:space="preserve"> if doing so</w:t>
      </w:r>
      <w:r w:rsidRPr="00E80779">
        <w:t xml:space="preserve"> maximize</w:t>
      </w:r>
      <w:r w:rsidR="00396B8C">
        <w:t>s</w:t>
      </w:r>
      <w:r w:rsidRPr="00E80779">
        <w:t xml:space="preserve"> their energy bill savings.</w:t>
      </w:r>
    </w:p>
    <w:p w:rsidR="006C7F19" w:rsidRPr="00BE7C5A" w:rsidRDefault="005B3C91" w:rsidP="005B3C91">
      <w:pPr>
        <w:pStyle w:val="Caption"/>
      </w:pPr>
      <w:bookmarkStart w:id="8" w:name="_Ref443495165"/>
      <w:r w:rsidRPr="00BE7C5A">
        <w:t xml:space="preserve">Table </w:t>
      </w:r>
      <w:fldSimple w:instr=" STYLEREF 1 \s ">
        <w:r w:rsidR="001F391A">
          <w:rPr>
            <w:noProof/>
          </w:rPr>
          <w:t>1</w:t>
        </w:r>
      </w:fldSimple>
      <w:r w:rsidR="008139B9">
        <w:noBreakHyphen/>
      </w:r>
      <w:fldSimple w:instr=" SEQ Table \* ARABIC \s 1 ">
        <w:r w:rsidR="001F391A">
          <w:rPr>
            <w:noProof/>
          </w:rPr>
          <w:t>1</w:t>
        </w:r>
      </w:fldSimple>
      <w:bookmarkEnd w:id="8"/>
      <w:r w:rsidRPr="00BE7C5A">
        <w:t>:</w:t>
      </w:r>
      <w:r w:rsidR="006C7F19" w:rsidRPr="00BE7C5A">
        <w:t xml:space="preserve"> On-peak Periods for Each Utility</w:t>
      </w:r>
    </w:p>
    <w:tbl>
      <w:tblPr>
        <w:tblW w:w="5174" w:type="dxa"/>
        <w:jc w:val="center"/>
        <w:tblInd w:w="-185" w:type="dxa"/>
        <w:tblLook w:val="04A0" w:firstRow="1" w:lastRow="0" w:firstColumn="1" w:lastColumn="0" w:noHBand="0" w:noVBand="1"/>
      </w:tblPr>
      <w:tblGrid>
        <w:gridCol w:w="1102"/>
        <w:gridCol w:w="2316"/>
        <w:gridCol w:w="1756"/>
      </w:tblGrid>
      <w:tr w:rsidR="006C7F19" w:rsidRPr="00BE7C5A" w:rsidTr="00A96D60">
        <w:trPr>
          <w:trHeight w:val="510"/>
          <w:jc w:val="center"/>
        </w:trPr>
        <w:tc>
          <w:tcPr>
            <w:tcW w:w="1102" w:type="dxa"/>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6C7F19" w:rsidRPr="00BE7C5A" w:rsidRDefault="006C7F19" w:rsidP="00564171">
            <w:pPr>
              <w:pStyle w:val="TableHeader"/>
            </w:pPr>
            <w:r w:rsidRPr="00BE7C5A">
              <w:t>Utility</w:t>
            </w:r>
          </w:p>
        </w:tc>
        <w:tc>
          <w:tcPr>
            <w:tcW w:w="2316" w:type="dxa"/>
            <w:tcBorders>
              <w:top w:val="single" w:sz="4" w:space="0" w:color="000000"/>
              <w:left w:val="nil"/>
              <w:bottom w:val="single" w:sz="4" w:space="0" w:color="000000"/>
              <w:right w:val="single" w:sz="4" w:space="0" w:color="FFFFFF"/>
            </w:tcBorders>
            <w:shd w:val="clear" w:color="auto" w:fill="0070CD"/>
            <w:vAlign w:val="center"/>
            <w:hideMark/>
          </w:tcPr>
          <w:p w:rsidR="006C7F19" w:rsidRPr="00BE7C5A" w:rsidRDefault="006C7F19" w:rsidP="00564171">
            <w:pPr>
              <w:pStyle w:val="TableHeader"/>
            </w:pPr>
            <w:r w:rsidRPr="00BE7C5A">
              <w:t>Summer Months</w:t>
            </w:r>
          </w:p>
        </w:tc>
        <w:tc>
          <w:tcPr>
            <w:tcW w:w="1756" w:type="dxa"/>
            <w:tcBorders>
              <w:top w:val="single" w:sz="4" w:space="0" w:color="000000"/>
              <w:left w:val="nil"/>
              <w:bottom w:val="single" w:sz="4" w:space="0" w:color="000000"/>
              <w:right w:val="single" w:sz="4" w:space="0" w:color="000000"/>
            </w:tcBorders>
            <w:shd w:val="clear" w:color="auto" w:fill="0070CD"/>
            <w:vAlign w:val="center"/>
            <w:hideMark/>
          </w:tcPr>
          <w:p w:rsidR="006C7F19" w:rsidRPr="00BE7C5A" w:rsidRDefault="006C7F19" w:rsidP="00564171">
            <w:pPr>
              <w:pStyle w:val="TableHeader"/>
            </w:pPr>
            <w:r w:rsidRPr="00BE7C5A">
              <w:t>On-peak Hours</w:t>
            </w:r>
          </w:p>
        </w:tc>
      </w:tr>
      <w:tr w:rsidR="006C7F19" w:rsidRPr="00BE7C5A" w:rsidTr="00A96D60">
        <w:trPr>
          <w:trHeight w:val="300"/>
          <w:jc w:val="center"/>
        </w:trPr>
        <w:tc>
          <w:tcPr>
            <w:tcW w:w="1102" w:type="dxa"/>
            <w:tcBorders>
              <w:top w:val="nil"/>
              <w:left w:val="single" w:sz="4" w:space="0" w:color="000000"/>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PG&amp;E</w:t>
            </w:r>
          </w:p>
        </w:tc>
        <w:tc>
          <w:tcPr>
            <w:tcW w:w="2316" w:type="dxa"/>
            <w:tcBorders>
              <w:top w:val="nil"/>
              <w:left w:val="nil"/>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May 1</w:t>
            </w:r>
            <w:r w:rsidRPr="00BE7C5A">
              <w:t>–</w:t>
            </w:r>
            <w:r w:rsidRPr="00BE7C5A">
              <w:rPr>
                <w:rFonts w:eastAsia="Times New Roman"/>
              </w:rPr>
              <w:t>October 31</w:t>
            </w:r>
          </w:p>
        </w:tc>
        <w:tc>
          <w:tcPr>
            <w:tcW w:w="1756" w:type="dxa"/>
            <w:tcBorders>
              <w:top w:val="nil"/>
              <w:left w:val="nil"/>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12</w:t>
            </w:r>
            <w:r w:rsidRPr="00BE7C5A">
              <w:t>–</w:t>
            </w:r>
            <w:r w:rsidRPr="00BE7C5A">
              <w:rPr>
                <w:rFonts w:eastAsia="Times New Roman"/>
              </w:rPr>
              <w:t>6 PM</w:t>
            </w:r>
          </w:p>
        </w:tc>
      </w:tr>
      <w:tr w:rsidR="006C7F19" w:rsidRPr="00BE7C5A" w:rsidTr="00A96D60">
        <w:trPr>
          <w:trHeight w:val="300"/>
          <w:jc w:val="center"/>
        </w:trPr>
        <w:tc>
          <w:tcPr>
            <w:tcW w:w="1102" w:type="dxa"/>
            <w:tcBorders>
              <w:top w:val="nil"/>
              <w:left w:val="single" w:sz="4" w:space="0" w:color="000000"/>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SCE</w:t>
            </w:r>
          </w:p>
        </w:tc>
        <w:tc>
          <w:tcPr>
            <w:tcW w:w="2316" w:type="dxa"/>
            <w:tcBorders>
              <w:top w:val="nil"/>
              <w:left w:val="nil"/>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June 1</w:t>
            </w:r>
            <w:r w:rsidRPr="00BE7C5A">
              <w:t>–</w:t>
            </w:r>
            <w:r w:rsidRPr="00BE7C5A">
              <w:rPr>
                <w:rFonts w:eastAsia="Times New Roman"/>
              </w:rPr>
              <w:t>September 30</w:t>
            </w:r>
          </w:p>
        </w:tc>
        <w:tc>
          <w:tcPr>
            <w:tcW w:w="1756" w:type="dxa"/>
            <w:tcBorders>
              <w:top w:val="nil"/>
              <w:left w:val="nil"/>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12</w:t>
            </w:r>
            <w:r w:rsidRPr="00BE7C5A">
              <w:t>–</w:t>
            </w:r>
            <w:r w:rsidRPr="00BE7C5A">
              <w:rPr>
                <w:rFonts w:eastAsia="Times New Roman"/>
              </w:rPr>
              <w:t>6 PM</w:t>
            </w:r>
          </w:p>
        </w:tc>
      </w:tr>
      <w:tr w:rsidR="006C7F19" w:rsidRPr="00B828B0" w:rsidTr="00A96D60">
        <w:trPr>
          <w:trHeight w:val="300"/>
          <w:jc w:val="center"/>
        </w:trPr>
        <w:tc>
          <w:tcPr>
            <w:tcW w:w="1102" w:type="dxa"/>
            <w:tcBorders>
              <w:top w:val="nil"/>
              <w:left w:val="single" w:sz="4" w:space="0" w:color="000000"/>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SDG&amp;E</w:t>
            </w:r>
          </w:p>
        </w:tc>
        <w:tc>
          <w:tcPr>
            <w:tcW w:w="2316" w:type="dxa"/>
            <w:tcBorders>
              <w:top w:val="nil"/>
              <w:left w:val="nil"/>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May 1</w:t>
            </w:r>
            <w:r w:rsidRPr="00BE7C5A">
              <w:t>–</w:t>
            </w:r>
            <w:r w:rsidRPr="00BE7C5A">
              <w:rPr>
                <w:rFonts w:eastAsia="Times New Roman"/>
              </w:rPr>
              <w:t>October 31</w:t>
            </w:r>
          </w:p>
        </w:tc>
        <w:tc>
          <w:tcPr>
            <w:tcW w:w="1756" w:type="dxa"/>
            <w:tcBorders>
              <w:top w:val="nil"/>
              <w:left w:val="nil"/>
              <w:bottom w:val="single" w:sz="4" w:space="0" w:color="000000"/>
              <w:right w:val="single" w:sz="4" w:space="0" w:color="000000"/>
            </w:tcBorders>
            <w:shd w:val="clear" w:color="auto" w:fill="auto"/>
            <w:noWrap/>
            <w:vAlign w:val="center"/>
            <w:hideMark/>
          </w:tcPr>
          <w:p w:rsidR="006C7F19" w:rsidRPr="00BE7C5A" w:rsidRDefault="006C7F19" w:rsidP="00564171">
            <w:pPr>
              <w:pStyle w:val="TableText"/>
              <w:rPr>
                <w:rFonts w:eastAsia="Times New Roman"/>
              </w:rPr>
            </w:pPr>
            <w:r w:rsidRPr="00BE7C5A">
              <w:rPr>
                <w:rFonts w:eastAsia="Times New Roman"/>
              </w:rPr>
              <w:t>11 AM</w:t>
            </w:r>
            <w:r w:rsidRPr="00BE7C5A">
              <w:t>–</w:t>
            </w:r>
            <w:r w:rsidRPr="00BE7C5A">
              <w:rPr>
                <w:rFonts w:eastAsia="Times New Roman"/>
              </w:rPr>
              <w:t>6 PM</w:t>
            </w:r>
          </w:p>
        </w:tc>
      </w:tr>
    </w:tbl>
    <w:p w:rsidR="00922DAB" w:rsidRDefault="00922DAB" w:rsidP="00922DAB">
      <w:pPr>
        <w:pStyle w:val="BodyParagraph"/>
      </w:pPr>
    </w:p>
    <w:p w:rsidR="001F391A" w:rsidRPr="00345A69" w:rsidRDefault="0087572A" w:rsidP="00345A69">
      <w:pPr>
        <w:pStyle w:val="Heading2"/>
        <w:spacing w:before="240"/>
      </w:pPr>
      <w:bookmarkStart w:id="9" w:name="_Toc507085040"/>
      <w:r w:rsidRPr="00E80779">
        <w:t>Current PLS Program Status</w:t>
      </w:r>
      <w:bookmarkEnd w:id="9"/>
      <w:r w:rsidR="005B3C91" w:rsidRPr="00E80779">
        <w:fldChar w:fldCharType="begin"/>
      </w:r>
      <w:r w:rsidR="005B3C91" w:rsidRPr="00E80779">
        <w:instrText xml:space="preserve"> REF _Ref443495176 \h </w:instrText>
      </w:r>
      <w:r w:rsidR="00B53409" w:rsidRPr="00E80779">
        <w:instrText xml:space="preserve"> \* MERGEFORMAT </w:instrText>
      </w:r>
      <w:r w:rsidR="005B3C91" w:rsidRPr="00E80779">
        <w:fldChar w:fldCharType="separate"/>
      </w:r>
    </w:p>
    <w:p w:rsidR="00D60CD4" w:rsidRPr="00922DAB" w:rsidRDefault="001F391A" w:rsidP="00EF329D">
      <w:pPr>
        <w:pStyle w:val="BodyParagraph"/>
        <w:rPr>
          <w:noProof/>
        </w:rPr>
      </w:pPr>
      <w:r w:rsidRPr="00BE7C5A">
        <w:rPr>
          <w:noProof/>
        </w:rPr>
        <w:t xml:space="preserve">Table </w:t>
      </w:r>
      <w:r>
        <w:rPr>
          <w:noProof/>
        </w:rPr>
        <w:t>1</w:t>
      </w:r>
      <w:r>
        <w:rPr>
          <w:noProof/>
        </w:rPr>
        <w:noBreakHyphen/>
        <w:t>2</w:t>
      </w:r>
      <w:r w:rsidR="005B3C91" w:rsidRPr="00E80779">
        <w:fldChar w:fldCharType="end"/>
      </w:r>
      <w:r w:rsidR="005B3C91" w:rsidRPr="00E80779">
        <w:t xml:space="preserve"> </w:t>
      </w:r>
      <w:r w:rsidR="0070299E" w:rsidRPr="00E80779">
        <w:t xml:space="preserve">provides the PLS program status </w:t>
      </w:r>
      <w:r w:rsidR="00BE34E3" w:rsidRPr="00E80779">
        <w:t xml:space="preserve">as of January </w:t>
      </w:r>
      <w:r w:rsidR="00520B7C" w:rsidRPr="00E80779">
        <w:t>201</w:t>
      </w:r>
      <w:r w:rsidR="00520B7C">
        <w:t>8</w:t>
      </w:r>
      <w:r w:rsidR="00520B7C" w:rsidRPr="00E80779">
        <w:t xml:space="preserve"> </w:t>
      </w:r>
      <w:r w:rsidR="0070299E" w:rsidRPr="00E80779">
        <w:t>by utility and by stage in</w:t>
      </w:r>
      <w:r w:rsidR="00B5788A" w:rsidRPr="00E80779">
        <w:t> </w:t>
      </w:r>
      <w:r w:rsidR="0070299E" w:rsidRPr="00E80779">
        <w:t>the</w:t>
      </w:r>
      <w:r w:rsidR="00B5788A" w:rsidRPr="00E80779">
        <w:t> </w:t>
      </w:r>
      <w:r w:rsidR="0070299E" w:rsidRPr="00E80779">
        <w:t>PLS application and verification process.</w:t>
      </w:r>
      <w:r w:rsidR="00DC539B" w:rsidRPr="00E80779">
        <w:t xml:space="preserve"> </w:t>
      </w:r>
      <w:r w:rsidR="00BE34E3" w:rsidRPr="00696368">
        <w:t>Combined</w:t>
      </w:r>
      <w:r w:rsidR="0070299E" w:rsidRPr="00696368">
        <w:t xml:space="preserve">, the </w:t>
      </w:r>
      <w:r w:rsidR="00B5788A" w:rsidRPr="00696368">
        <w:t xml:space="preserve">3 </w:t>
      </w:r>
      <w:r w:rsidR="00BE34E3" w:rsidRPr="00696368">
        <w:t xml:space="preserve">IOUs </w:t>
      </w:r>
      <w:r w:rsidR="0070299E" w:rsidRPr="00696368">
        <w:t>ha</w:t>
      </w:r>
      <w:r w:rsidR="00696368" w:rsidRPr="00696368">
        <w:t>ve</w:t>
      </w:r>
      <w:r w:rsidR="00EE5DC2" w:rsidRPr="00696368">
        <w:t xml:space="preserve"> </w:t>
      </w:r>
      <w:r w:rsidR="002A66BF">
        <w:t>7</w:t>
      </w:r>
      <w:r w:rsidR="002A66BF" w:rsidRPr="00696368">
        <w:t xml:space="preserve"> </w:t>
      </w:r>
      <w:r w:rsidR="00EE5DC2" w:rsidRPr="00696368">
        <w:t>operational installation</w:t>
      </w:r>
      <w:r w:rsidR="00E80779" w:rsidRPr="00696368">
        <w:t>s</w:t>
      </w:r>
      <w:r w:rsidR="00EE5DC2" w:rsidRPr="00696368">
        <w:t xml:space="preserve"> and</w:t>
      </w:r>
      <w:r w:rsidR="0070299E" w:rsidRPr="00696368">
        <w:t xml:space="preserve"> </w:t>
      </w:r>
      <w:r w:rsidR="00B14FAD">
        <w:t>13</w:t>
      </w:r>
      <w:r w:rsidR="00BC6DDA" w:rsidRPr="00696368">
        <w:t xml:space="preserve"> </w:t>
      </w:r>
      <w:r w:rsidR="0070299E" w:rsidRPr="00696368">
        <w:t>active applications that are likely to move forward in the verification process.</w:t>
      </w:r>
      <w:r w:rsidR="00DC539B" w:rsidRPr="00696368">
        <w:t xml:space="preserve"> </w:t>
      </w:r>
      <w:r w:rsidR="0070299E" w:rsidRPr="00696368">
        <w:t>Since these applications have already been received, they are referred to as identified projects in the ex ante forecast.</w:t>
      </w:r>
      <w:r w:rsidR="00DC539B" w:rsidRPr="00696368">
        <w:t xml:space="preserve"> </w:t>
      </w:r>
      <w:r w:rsidR="0070299E" w:rsidRPr="00696368">
        <w:t xml:space="preserve">If these </w:t>
      </w:r>
      <w:r w:rsidR="00B14FAD">
        <w:t>13</w:t>
      </w:r>
      <w:r w:rsidR="00922DAB">
        <w:t xml:space="preserve"> </w:t>
      </w:r>
      <w:r w:rsidR="0070299E" w:rsidRPr="00696368">
        <w:t>customers successfully install a PLS-TES system, these</w:t>
      </w:r>
      <w:r w:rsidR="00BC6DDA">
        <w:t xml:space="preserve"> </w:t>
      </w:r>
      <w:r w:rsidR="00BC6DDA">
        <w:lastRenderedPageBreak/>
        <w:t>future</w:t>
      </w:r>
      <w:r w:rsidR="0070299E" w:rsidRPr="00696368">
        <w:t xml:space="preserve"> installations </w:t>
      </w:r>
      <w:r w:rsidR="00441ACF">
        <w:t xml:space="preserve">combined with the 7 operational installations </w:t>
      </w:r>
      <w:r w:rsidR="0070299E" w:rsidRPr="00696368">
        <w:t xml:space="preserve">are </w:t>
      </w:r>
      <w:r w:rsidR="00B16C6B">
        <w:t>projected</w:t>
      </w:r>
      <w:r w:rsidR="0070299E" w:rsidRPr="00696368">
        <w:t xml:space="preserve"> to provide </w:t>
      </w:r>
      <w:r w:rsidR="002E1C1C" w:rsidRPr="002E1C1C">
        <w:rPr>
          <w:highlight w:val="black"/>
        </w:rPr>
        <w:t>XXXX XX</w:t>
      </w:r>
      <w:r w:rsidR="0070299E" w:rsidRPr="00696368">
        <w:t xml:space="preserve"> of total load shift, resulting in incentives of </w:t>
      </w:r>
      <w:r w:rsidR="00696368" w:rsidRPr="00696368">
        <w:t>almost</w:t>
      </w:r>
      <w:r w:rsidR="0070299E" w:rsidRPr="00696368">
        <w:t xml:space="preserve"> $</w:t>
      </w:r>
      <w:r w:rsidR="00441ACF">
        <w:t>13.0</w:t>
      </w:r>
      <w:r w:rsidR="00922DAB">
        <w:t xml:space="preserve"> </w:t>
      </w:r>
      <w:r w:rsidR="0070299E" w:rsidRPr="00696368">
        <w:t>million being spent across the three utilities.</w:t>
      </w:r>
      <w:r w:rsidR="00DC539B" w:rsidRPr="00696368">
        <w:t xml:space="preserve"> </w:t>
      </w:r>
      <w:r w:rsidR="0070299E" w:rsidRPr="00696368">
        <w:t xml:space="preserve">However, as these customers move through the verification process, the </w:t>
      </w:r>
      <w:r w:rsidR="00696368" w:rsidRPr="00696368">
        <w:t xml:space="preserve">actual </w:t>
      </w:r>
      <w:r w:rsidR="0070299E" w:rsidRPr="00696368">
        <w:t xml:space="preserve">load shift amount is likely to change, so the </w:t>
      </w:r>
      <w:r w:rsidR="002E1C1C" w:rsidRPr="002E1C1C">
        <w:rPr>
          <w:highlight w:val="black"/>
        </w:rPr>
        <w:t>XXXXXXX</w:t>
      </w:r>
      <w:r w:rsidR="0070299E" w:rsidRPr="00696368">
        <w:t xml:space="preserve"> total load</w:t>
      </w:r>
      <w:r w:rsidR="00B55554">
        <w:t> </w:t>
      </w:r>
      <w:r w:rsidR="0070299E" w:rsidRPr="00696368">
        <w:t>shift amount is simply an indicator based on the most recently available information.</w:t>
      </w:r>
      <w:r w:rsidR="00DC539B" w:rsidRPr="00696368">
        <w:t xml:space="preserve"> </w:t>
      </w:r>
      <w:r w:rsidR="00BE34E3" w:rsidRPr="00696368">
        <w:t xml:space="preserve">For example, </w:t>
      </w:r>
      <w:r w:rsidR="0070299E" w:rsidRPr="00696368">
        <w:t xml:space="preserve">SCE has received a </w:t>
      </w:r>
      <w:r w:rsidR="0070299E" w:rsidRPr="00922DAB">
        <w:t xml:space="preserve">total of </w:t>
      </w:r>
      <w:r w:rsidR="00631146" w:rsidRPr="00922DAB">
        <w:t>21</w:t>
      </w:r>
      <w:r w:rsidR="00B5788A" w:rsidRPr="00922DAB">
        <w:t xml:space="preserve"> </w:t>
      </w:r>
      <w:r w:rsidR="0070299E" w:rsidRPr="00922DAB">
        <w:t>applications</w:t>
      </w:r>
      <w:r w:rsidR="00696368" w:rsidRPr="00922DAB">
        <w:t xml:space="preserve"> to date</w:t>
      </w:r>
      <w:r w:rsidR="0070299E" w:rsidRPr="00922DAB">
        <w:t xml:space="preserve">, </w:t>
      </w:r>
      <w:r w:rsidR="00BE34E3" w:rsidRPr="00922DAB">
        <w:t>but</w:t>
      </w:r>
      <w:r w:rsidR="0070299E" w:rsidRPr="00922DAB">
        <w:t xml:space="preserve"> </w:t>
      </w:r>
      <w:r w:rsidR="00631146" w:rsidRPr="00922DAB">
        <w:t>12</w:t>
      </w:r>
      <w:r w:rsidR="00B55554" w:rsidRPr="00922DAB">
        <w:t xml:space="preserve"> </w:t>
      </w:r>
      <w:r w:rsidR="0070299E" w:rsidRPr="00922DAB">
        <w:t>applications</w:t>
      </w:r>
      <w:r w:rsidR="0070299E" w:rsidRPr="00696368">
        <w:t xml:space="preserve"> </w:t>
      </w:r>
      <w:r w:rsidR="00BE34E3" w:rsidRPr="00696368">
        <w:t xml:space="preserve">have been </w:t>
      </w:r>
      <w:r w:rsidR="0070299E" w:rsidRPr="00696368">
        <w:t>withdrawn</w:t>
      </w:r>
      <w:r w:rsidR="00631146">
        <w:t xml:space="preserve"> or deemed ineligible</w:t>
      </w:r>
      <w:r w:rsidR="0070299E" w:rsidRPr="00696368">
        <w:t xml:space="preserve">. </w:t>
      </w:r>
      <w:r w:rsidR="004C6EE9" w:rsidRPr="00696368">
        <w:t>One project has been</w:t>
      </w:r>
      <w:r w:rsidR="00EE5DC2" w:rsidRPr="00696368">
        <w:t xml:space="preserve"> operational</w:t>
      </w:r>
      <w:r w:rsidR="004C6EE9" w:rsidRPr="00696368">
        <w:t xml:space="preserve"> since 2015 and a secon</w:t>
      </w:r>
      <w:r w:rsidR="00F93A5B">
        <w:t>d project was installed in 2016; the third installation was completed in 2017</w:t>
      </w:r>
      <w:r w:rsidR="00631146">
        <w:t xml:space="preserve"> and 6 operations are in progress</w:t>
      </w:r>
      <w:r w:rsidR="00F93A5B">
        <w:t xml:space="preserve">. </w:t>
      </w:r>
      <w:r w:rsidR="00BC6DDA">
        <w:t xml:space="preserve">Excluding the current installation, </w:t>
      </w:r>
      <w:r w:rsidR="0070299E" w:rsidRPr="00696368">
        <w:t xml:space="preserve">PG&amp;E has </w:t>
      </w:r>
      <w:r w:rsidR="00441ACF">
        <w:t xml:space="preserve">received 6 applications, which consists of four that have been approved, one that is </w:t>
      </w:r>
      <w:r w:rsidR="00922DAB">
        <w:t>a</w:t>
      </w:r>
      <w:r w:rsidR="00441ACF">
        <w:t>waiting approval, and one applicatio</w:t>
      </w:r>
      <w:r w:rsidR="008139B9">
        <w:t xml:space="preserve">n that has since been withdrawn. </w:t>
      </w:r>
      <w:r w:rsidR="008139B9" w:rsidRPr="00696368">
        <w:t>Of the</w:t>
      </w:r>
      <w:r w:rsidR="00441ACF">
        <w:t xml:space="preserve"> four applications that have been approved by </w:t>
      </w:r>
      <w:r w:rsidR="00062F63">
        <w:t>PG&amp;E</w:t>
      </w:r>
      <w:r w:rsidR="0092445B" w:rsidRPr="00696368">
        <w:t>, one was installed as of May 2016</w:t>
      </w:r>
      <w:r w:rsidR="003B5E2C">
        <w:t xml:space="preserve"> but has yet to submit their commissioning report</w:t>
      </w:r>
      <w:r w:rsidR="0092445B" w:rsidRPr="00696368">
        <w:t xml:space="preserve">, </w:t>
      </w:r>
      <w:r w:rsidR="003B5E2C">
        <w:t>two</w:t>
      </w:r>
      <w:r w:rsidR="003B5E2C" w:rsidRPr="00696368">
        <w:t xml:space="preserve"> </w:t>
      </w:r>
      <w:r w:rsidR="00441ACF">
        <w:t>are waiting for the IOU to conduct the</w:t>
      </w:r>
      <w:r w:rsidR="00441ACF" w:rsidRPr="00441ACF">
        <w:t xml:space="preserve"> pre-</w:t>
      </w:r>
      <w:r w:rsidR="00441ACF">
        <w:t>installation inspection and set</w:t>
      </w:r>
      <w:r w:rsidR="00441ACF" w:rsidRPr="00441ACF">
        <w:t xml:space="preserve"> aside incentive funds</w:t>
      </w:r>
      <w:r w:rsidR="0092445B" w:rsidRPr="00696368">
        <w:t xml:space="preserve">, and the </w:t>
      </w:r>
      <w:r w:rsidR="00441ACF">
        <w:t>remaining</w:t>
      </w:r>
      <w:r w:rsidR="00441ACF" w:rsidRPr="00696368">
        <w:t xml:space="preserve"> </w:t>
      </w:r>
      <w:r w:rsidR="003B5E2C">
        <w:t xml:space="preserve">one </w:t>
      </w:r>
      <w:r w:rsidR="00441ACF">
        <w:t xml:space="preserve">is waiting for the </w:t>
      </w:r>
      <w:r w:rsidR="00062F63">
        <w:t>utility</w:t>
      </w:r>
      <w:r w:rsidR="00441ACF">
        <w:t xml:space="preserve"> to </w:t>
      </w:r>
      <w:r w:rsidR="00062F63">
        <w:t xml:space="preserve">complete the </w:t>
      </w:r>
      <w:r w:rsidR="00441ACF">
        <w:t>feasibility study</w:t>
      </w:r>
      <w:r w:rsidR="00062F63">
        <w:t xml:space="preserve"> review</w:t>
      </w:r>
      <w:r w:rsidR="00441ACF">
        <w:t>.</w:t>
      </w:r>
      <w:r w:rsidR="0092445B" w:rsidRPr="00696368">
        <w:t xml:space="preserve"> </w:t>
      </w:r>
      <w:r w:rsidR="0070299E" w:rsidRPr="00E24CED">
        <w:t xml:space="preserve">SDG&amp;E </w:t>
      </w:r>
      <w:r w:rsidR="004C6EE9" w:rsidRPr="00E24CED">
        <w:t xml:space="preserve">has </w:t>
      </w:r>
      <w:r w:rsidR="0070299E" w:rsidRPr="00E24CED">
        <w:t xml:space="preserve">received </w:t>
      </w:r>
      <w:r w:rsidR="003B5E2C">
        <w:t>8</w:t>
      </w:r>
      <w:r w:rsidR="003B5E2C" w:rsidRPr="00E24CED">
        <w:t xml:space="preserve"> </w:t>
      </w:r>
      <w:r w:rsidR="0070299E" w:rsidRPr="00E24CED">
        <w:t xml:space="preserve">applications, </w:t>
      </w:r>
      <w:r w:rsidR="004C6EE9" w:rsidRPr="00E24CED">
        <w:t xml:space="preserve">but </w:t>
      </w:r>
      <w:r w:rsidR="00631146">
        <w:t>3</w:t>
      </w:r>
      <w:r w:rsidR="00922DAB">
        <w:t xml:space="preserve"> </w:t>
      </w:r>
      <w:r w:rsidR="004C6EE9" w:rsidRPr="00E24CED">
        <w:t>have been withdrawn as of January 201</w:t>
      </w:r>
      <w:r w:rsidR="00A57E3F">
        <w:t>8</w:t>
      </w:r>
      <w:r w:rsidR="004C6EE9" w:rsidRPr="00E24CED">
        <w:t xml:space="preserve">. </w:t>
      </w:r>
      <w:r w:rsidR="00CE7ABA">
        <w:t>Three installations have been completed to date and received incentives</w:t>
      </w:r>
      <w:r w:rsidR="00DA6D0F">
        <w:t>, and two installations are expected to come online in 2018</w:t>
      </w:r>
      <w:r w:rsidR="00CE7ABA">
        <w:t xml:space="preserve">. </w:t>
      </w:r>
      <w:r w:rsidR="0070299E" w:rsidRPr="00E24CED">
        <w:t xml:space="preserve">While this year’s PLS evaluation benefits from this information on applications that have been received, it is important to recognize that there are six </w:t>
      </w:r>
      <w:r w:rsidR="00EF329D" w:rsidRPr="00E24CED">
        <w:t xml:space="preserve">to </w:t>
      </w:r>
      <w:r w:rsidR="0070299E" w:rsidRPr="00E24CED">
        <w:t xml:space="preserve">seven time-consuming stages </w:t>
      </w:r>
      <w:r w:rsidR="00AC17EF">
        <w:t>between</w:t>
      </w:r>
      <w:r w:rsidR="0070299E" w:rsidRPr="00E24CED">
        <w:t xml:space="preserve"> the </w:t>
      </w:r>
      <w:proofErr w:type="gramStart"/>
      <w:r w:rsidR="0070299E" w:rsidRPr="00E24CED">
        <w:t>time</w:t>
      </w:r>
      <w:proofErr w:type="gramEnd"/>
      <w:r w:rsidR="0070299E" w:rsidRPr="00E24CED">
        <w:t xml:space="preserve"> an application is submitted by </w:t>
      </w:r>
      <w:r w:rsidR="00BE34E3" w:rsidRPr="00E24CED">
        <w:t>a</w:t>
      </w:r>
      <w:r w:rsidR="0070299E" w:rsidRPr="00E24CED">
        <w:t xml:space="preserve"> customer to the time when the installation </w:t>
      </w:r>
      <w:r w:rsidR="00BE34E3" w:rsidRPr="00E24CED">
        <w:t>be</w:t>
      </w:r>
      <w:r w:rsidR="0070299E" w:rsidRPr="00E24CED">
        <w:t>comes o</w:t>
      </w:r>
      <w:r w:rsidR="00BE34E3" w:rsidRPr="00E24CED">
        <w:t>perational</w:t>
      </w:r>
      <w:r w:rsidR="0070299E" w:rsidRPr="00E24CED">
        <w:t>.</w:t>
      </w:r>
      <w:r w:rsidR="00DC539B" w:rsidRPr="00EF329D">
        <w:t xml:space="preserve"> </w:t>
      </w:r>
      <w:r w:rsidR="0070299E" w:rsidRPr="00EF329D">
        <w:t xml:space="preserve">All of these stages are illustrated in </w:t>
      </w:r>
      <w:r w:rsidR="005B3C91" w:rsidRPr="00EF329D">
        <w:fldChar w:fldCharType="begin"/>
      </w:r>
      <w:r w:rsidR="005B3C91" w:rsidRPr="00EF329D">
        <w:instrText xml:space="preserve"> REF _Ref443495176 \h </w:instrText>
      </w:r>
      <w:r w:rsidR="00B828B0" w:rsidRPr="00EF329D">
        <w:instrText xml:space="preserve"> \* MERGEFORMAT </w:instrText>
      </w:r>
      <w:r w:rsidR="005B3C91" w:rsidRPr="00EF329D">
        <w:fldChar w:fldCharType="separate"/>
      </w:r>
      <w:r w:rsidRPr="00BE7C5A">
        <w:t xml:space="preserve">Table </w:t>
      </w:r>
      <w:r>
        <w:rPr>
          <w:noProof/>
        </w:rPr>
        <w:t>1</w:t>
      </w:r>
      <w:r>
        <w:noBreakHyphen/>
      </w:r>
      <w:r>
        <w:rPr>
          <w:noProof/>
        </w:rPr>
        <w:t>2</w:t>
      </w:r>
      <w:r w:rsidR="005B3C91" w:rsidRPr="00EF329D">
        <w:fldChar w:fldCharType="end"/>
      </w:r>
      <w:r w:rsidR="0070299E" w:rsidRPr="00EF329D">
        <w:t>.</w:t>
      </w:r>
      <w:r w:rsidR="00DC539B" w:rsidRPr="00EF329D">
        <w:t xml:space="preserve"> </w:t>
      </w:r>
      <w:r w:rsidR="0070299E" w:rsidRPr="00EF329D">
        <w:t>It can take from one to two years for applications to go through all of</w:t>
      </w:r>
      <w:r w:rsidR="00B5788A" w:rsidRPr="00EF329D">
        <w:t> </w:t>
      </w:r>
      <w:r w:rsidR="0070299E" w:rsidRPr="00EF329D">
        <w:t>the</w:t>
      </w:r>
      <w:r w:rsidR="00B5788A" w:rsidRPr="00EF329D">
        <w:t> </w:t>
      </w:r>
      <w:r w:rsidR="00EF329D" w:rsidRPr="00EF329D">
        <w:t xml:space="preserve">stages and result in an </w:t>
      </w:r>
      <w:r w:rsidR="0070299E" w:rsidRPr="00EF329D">
        <w:t>installation depending on the size and complexity of the project.</w:t>
      </w:r>
      <w:r w:rsidR="00DC539B" w:rsidRPr="00EF329D">
        <w:t xml:space="preserve"> </w:t>
      </w:r>
      <w:r w:rsidR="0070299E" w:rsidRPr="00EF329D">
        <w:t xml:space="preserve">Based on the current applications, the time period for each project (application) is expected to vary with the size of the PLS-TES installation, from </w:t>
      </w:r>
      <w:r w:rsidR="00EF329D" w:rsidRPr="00EF329D">
        <w:t>eight</w:t>
      </w:r>
      <w:r w:rsidR="0070299E" w:rsidRPr="00EF329D">
        <w:t xml:space="preserve"> months for small projects to 24 months for large projects.</w:t>
      </w:r>
      <w:r w:rsidR="00DC539B" w:rsidRPr="00EF329D">
        <w:t xml:space="preserve"> </w:t>
      </w:r>
      <w:r w:rsidR="0070299E" w:rsidRPr="00EF329D">
        <w:t>Therefore, the forecast for these identified projects is still uncertain, as the kW load shift can change during the verification process and customers may</w:t>
      </w:r>
      <w:r w:rsidR="00660D8B">
        <w:t> </w:t>
      </w:r>
      <w:r w:rsidR="0070299E" w:rsidRPr="00EF329D">
        <w:t>choose not to continue through the process</w:t>
      </w:r>
      <w:r w:rsidR="006072EC" w:rsidRPr="00EF329D">
        <w:t>.</w:t>
      </w:r>
      <w:bookmarkStart w:id="10" w:name="_Ref443495176"/>
    </w:p>
    <w:p w:rsidR="00E51006" w:rsidRDefault="00E51006">
      <w:pPr>
        <w:rPr>
          <w:rFonts w:ascii="Arial" w:hAnsi="Arial"/>
          <w:b/>
        </w:rPr>
      </w:pPr>
      <w:r>
        <w:br w:type="page"/>
      </w:r>
    </w:p>
    <w:p w:rsidR="00E51006" w:rsidRDefault="00E51006" w:rsidP="005B3C91">
      <w:pPr>
        <w:pStyle w:val="Caption"/>
        <w:sectPr w:rsidR="00E51006" w:rsidSect="00060B2F">
          <w:headerReference w:type="default" r:id="rId34"/>
          <w:pgSz w:w="12240" w:h="15840"/>
          <w:pgMar w:top="1440" w:right="1440" w:bottom="1440" w:left="1440" w:header="720" w:footer="720" w:gutter="0"/>
          <w:pgNumType w:start="1"/>
          <w:cols w:space="720"/>
          <w:docGrid w:linePitch="360"/>
        </w:sectPr>
      </w:pPr>
    </w:p>
    <w:p w:rsidR="006072EC" w:rsidRPr="00BE7C5A" w:rsidRDefault="005B3C91" w:rsidP="005B3C91">
      <w:pPr>
        <w:pStyle w:val="Caption"/>
      </w:pPr>
      <w:r w:rsidRPr="00BE7C5A">
        <w:lastRenderedPageBreak/>
        <w:t xml:space="preserve">Table </w:t>
      </w:r>
      <w:fldSimple w:instr=" STYLEREF 1 \s ">
        <w:r w:rsidR="001F391A">
          <w:rPr>
            <w:noProof/>
          </w:rPr>
          <w:t>1</w:t>
        </w:r>
      </w:fldSimple>
      <w:r w:rsidR="008139B9">
        <w:noBreakHyphen/>
      </w:r>
      <w:fldSimple w:instr=" SEQ Table \* ARABIC \s 1 ">
        <w:r w:rsidR="001F391A">
          <w:rPr>
            <w:noProof/>
          </w:rPr>
          <w:t>2</w:t>
        </w:r>
      </w:fldSimple>
      <w:bookmarkEnd w:id="10"/>
      <w:r w:rsidRPr="00BE7C5A">
        <w:t>:</w:t>
      </w:r>
      <w:r w:rsidR="006072EC" w:rsidRPr="00BE7C5A">
        <w:t xml:space="preserve"> PLS Program Status by Utility and Stage in Verification Process</w:t>
      </w:r>
      <w:r w:rsidR="009A7016" w:rsidRPr="00BE7C5A">
        <w:br/>
      </w:r>
      <w:r w:rsidR="006072EC" w:rsidRPr="00BE7C5A">
        <w:t xml:space="preserve"> (as of January 201</w:t>
      </w:r>
      <w:r w:rsidR="00925FB3">
        <w:t>8</w:t>
      </w:r>
      <w:r w:rsidR="006072EC" w:rsidRPr="00BE7C5A">
        <w:t>)</w:t>
      </w:r>
    </w:p>
    <w:tbl>
      <w:tblPr>
        <w:tblW w:w="5000" w:type="pct"/>
        <w:jc w:val="center"/>
        <w:tblLook w:val="04A0" w:firstRow="1" w:lastRow="0" w:firstColumn="1" w:lastColumn="0" w:noHBand="0" w:noVBand="1"/>
      </w:tblPr>
      <w:tblGrid>
        <w:gridCol w:w="1412"/>
        <w:gridCol w:w="2298"/>
        <w:gridCol w:w="716"/>
        <w:gridCol w:w="1489"/>
        <w:gridCol w:w="878"/>
        <w:gridCol w:w="716"/>
        <w:gridCol w:w="1655"/>
        <w:gridCol w:w="750"/>
        <w:gridCol w:w="716"/>
        <w:gridCol w:w="1551"/>
        <w:gridCol w:w="995"/>
      </w:tblGrid>
      <w:tr w:rsidR="006072EC" w:rsidRPr="00B828B0" w:rsidTr="00AE0D86">
        <w:trPr>
          <w:trHeight w:val="300"/>
          <w:jc w:val="center"/>
        </w:trPr>
        <w:tc>
          <w:tcPr>
            <w:tcW w:w="538" w:type="pct"/>
            <w:vMerge w:val="restart"/>
            <w:tcBorders>
              <w:top w:val="single" w:sz="4" w:space="0" w:color="000000"/>
              <w:left w:val="single" w:sz="4" w:space="0" w:color="000000"/>
              <w:bottom w:val="single" w:sz="4" w:space="0" w:color="FFFFFF"/>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Stage #</w:t>
            </w:r>
          </w:p>
        </w:tc>
        <w:tc>
          <w:tcPr>
            <w:tcW w:w="874" w:type="pct"/>
            <w:vMerge w:val="restart"/>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Stage Description</w:t>
            </w:r>
          </w:p>
        </w:tc>
        <w:tc>
          <w:tcPr>
            <w:tcW w:w="1175" w:type="pct"/>
            <w:gridSpan w:val="3"/>
            <w:tcBorders>
              <w:top w:val="single" w:sz="4" w:space="0" w:color="000000"/>
              <w:left w:val="nil"/>
              <w:bottom w:val="single" w:sz="4" w:space="0" w:color="FFFFFF"/>
              <w:right w:val="single" w:sz="4" w:space="0" w:color="FFFFFF"/>
            </w:tcBorders>
            <w:shd w:val="clear" w:color="auto" w:fill="0070CD"/>
            <w:vAlign w:val="center"/>
            <w:hideMark/>
          </w:tcPr>
          <w:p w:rsidR="006072EC" w:rsidRPr="00EF329D" w:rsidRDefault="006153C6" w:rsidP="00B14FAD">
            <w:pPr>
              <w:pStyle w:val="TableHeader"/>
              <w:rPr>
                <w:rFonts w:eastAsia="Times New Roman"/>
              </w:rPr>
            </w:pPr>
            <w:r w:rsidRPr="00EF329D">
              <w:rPr>
                <w:rFonts w:eastAsia="Times New Roman"/>
              </w:rPr>
              <w:t xml:space="preserve">PG&amp;E </w:t>
            </w:r>
            <w:r w:rsidR="006072EC" w:rsidRPr="00EF329D">
              <w:rPr>
                <w:rFonts w:eastAsia="Times New Roman"/>
              </w:rPr>
              <w:t>Totals</w:t>
            </w:r>
          </w:p>
        </w:tc>
        <w:tc>
          <w:tcPr>
            <w:tcW w:w="1175" w:type="pct"/>
            <w:gridSpan w:val="3"/>
            <w:tcBorders>
              <w:top w:val="single" w:sz="4" w:space="0" w:color="000000"/>
              <w:left w:val="nil"/>
              <w:bottom w:val="single" w:sz="4" w:space="0" w:color="FFFFFF"/>
              <w:right w:val="single" w:sz="4" w:space="0" w:color="FFFFFF"/>
            </w:tcBorders>
            <w:shd w:val="clear" w:color="auto" w:fill="0070CD"/>
            <w:vAlign w:val="center"/>
            <w:hideMark/>
          </w:tcPr>
          <w:p w:rsidR="006072EC" w:rsidRPr="00EF329D" w:rsidRDefault="006153C6" w:rsidP="00B14FAD">
            <w:pPr>
              <w:pStyle w:val="TableHeader"/>
              <w:rPr>
                <w:rFonts w:eastAsia="Times New Roman"/>
              </w:rPr>
            </w:pPr>
            <w:r w:rsidRPr="00EF329D">
              <w:rPr>
                <w:rFonts w:eastAsia="Times New Roman"/>
              </w:rPr>
              <w:t xml:space="preserve">SCE </w:t>
            </w:r>
            <w:r w:rsidR="006072EC" w:rsidRPr="00EF329D">
              <w:rPr>
                <w:rFonts w:eastAsia="Times New Roman"/>
              </w:rPr>
              <w:t>Totals</w:t>
            </w:r>
          </w:p>
        </w:tc>
        <w:tc>
          <w:tcPr>
            <w:tcW w:w="1239" w:type="pct"/>
            <w:gridSpan w:val="3"/>
            <w:tcBorders>
              <w:top w:val="single" w:sz="4" w:space="0" w:color="000000"/>
              <w:left w:val="nil"/>
              <w:bottom w:val="single" w:sz="4" w:space="0" w:color="FFFFFF"/>
              <w:right w:val="single" w:sz="4" w:space="0" w:color="000000"/>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SDG&amp;E Totals</w:t>
            </w:r>
          </w:p>
        </w:tc>
      </w:tr>
      <w:tr w:rsidR="002E1C1C" w:rsidRPr="00B828B0" w:rsidTr="00AE0D86">
        <w:trPr>
          <w:trHeight w:val="300"/>
          <w:jc w:val="center"/>
        </w:trPr>
        <w:tc>
          <w:tcPr>
            <w:tcW w:w="538" w:type="pct"/>
            <w:vMerge/>
            <w:tcBorders>
              <w:top w:val="single" w:sz="4" w:space="0" w:color="000000"/>
              <w:left w:val="single" w:sz="4" w:space="0" w:color="000000"/>
              <w:bottom w:val="single" w:sz="4" w:space="0" w:color="FFFFFF"/>
              <w:right w:val="single" w:sz="4" w:space="0" w:color="FFFFFF"/>
            </w:tcBorders>
            <w:shd w:val="clear" w:color="auto" w:fill="0070CD"/>
            <w:vAlign w:val="center"/>
            <w:hideMark/>
          </w:tcPr>
          <w:p w:rsidR="006072EC" w:rsidRPr="00EF329D" w:rsidRDefault="006072EC" w:rsidP="00B14FAD">
            <w:pPr>
              <w:pStyle w:val="TableHeader"/>
              <w:rPr>
                <w:rFonts w:eastAsia="Times New Roman"/>
              </w:rPr>
            </w:pPr>
          </w:p>
        </w:tc>
        <w:tc>
          <w:tcPr>
            <w:tcW w:w="874" w:type="pct"/>
            <w:vMerge/>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6072EC" w:rsidRPr="00EF329D" w:rsidRDefault="006072EC" w:rsidP="00B14FAD">
            <w:pPr>
              <w:pStyle w:val="TableHeader"/>
              <w:rPr>
                <w:rFonts w:eastAsia="Times New Roman"/>
              </w:rPr>
            </w:pPr>
          </w:p>
        </w:tc>
        <w:tc>
          <w:tcPr>
            <w:tcW w:w="272"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Apps</w:t>
            </w:r>
          </w:p>
        </w:tc>
        <w:tc>
          <w:tcPr>
            <w:tcW w:w="568"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Incentive</w:t>
            </w:r>
          </w:p>
        </w:tc>
        <w:tc>
          <w:tcPr>
            <w:tcW w:w="335"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kW</w:t>
            </w:r>
          </w:p>
        </w:tc>
        <w:tc>
          <w:tcPr>
            <w:tcW w:w="272"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Apps</w:t>
            </w:r>
          </w:p>
        </w:tc>
        <w:tc>
          <w:tcPr>
            <w:tcW w:w="631"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Incentive</w:t>
            </w:r>
          </w:p>
        </w:tc>
        <w:tc>
          <w:tcPr>
            <w:tcW w:w="272"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kW</w:t>
            </w:r>
          </w:p>
        </w:tc>
        <w:tc>
          <w:tcPr>
            <w:tcW w:w="272"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Apps</w:t>
            </w:r>
          </w:p>
        </w:tc>
        <w:tc>
          <w:tcPr>
            <w:tcW w:w="589" w:type="pct"/>
            <w:tcBorders>
              <w:top w:val="nil"/>
              <w:left w:val="nil"/>
              <w:bottom w:val="nil"/>
              <w:right w:val="single" w:sz="4" w:space="0" w:color="FFFFFF"/>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Incentive</w:t>
            </w:r>
          </w:p>
        </w:tc>
        <w:tc>
          <w:tcPr>
            <w:tcW w:w="378" w:type="pct"/>
            <w:tcBorders>
              <w:top w:val="nil"/>
              <w:left w:val="nil"/>
              <w:bottom w:val="nil"/>
              <w:right w:val="single" w:sz="4" w:space="0" w:color="000000"/>
            </w:tcBorders>
            <w:shd w:val="clear" w:color="auto" w:fill="0070CD"/>
            <w:vAlign w:val="center"/>
            <w:hideMark/>
          </w:tcPr>
          <w:p w:rsidR="006072EC" w:rsidRPr="00EF329D" w:rsidRDefault="006072EC" w:rsidP="00B14FAD">
            <w:pPr>
              <w:pStyle w:val="TableHeader"/>
              <w:rPr>
                <w:rFonts w:eastAsia="Times New Roman"/>
              </w:rPr>
            </w:pPr>
            <w:r w:rsidRPr="00EF329D">
              <w:rPr>
                <w:rFonts w:eastAsia="Times New Roman"/>
              </w:rPr>
              <w:t>kW</w:t>
            </w:r>
          </w:p>
        </w:tc>
      </w:tr>
      <w:tr w:rsidR="00E51006" w:rsidRPr="00B828B0" w:rsidTr="00AE0D86">
        <w:trPr>
          <w:trHeight w:val="525"/>
          <w:jc w:val="center"/>
        </w:trPr>
        <w:tc>
          <w:tcPr>
            <w:tcW w:w="538" w:type="pct"/>
            <w:tcBorders>
              <w:top w:val="single" w:sz="4" w:space="0" w:color="auto"/>
              <w:left w:val="single" w:sz="4" w:space="0" w:color="auto"/>
              <w:bottom w:val="dotted" w:sz="4" w:space="0" w:color="000000"/>
              <w:right w:val="single" w:sz="4" w:space="0" w:color="auto"/>
            </w:tcBorders>
            <w:shd w:val="clear" w:color="auto" w:fill="auto"/>
            <w:noWrap/>
            <w:vAlign w:val="center"/>
            <w:hideMark/>
          </w:tcPr>
          <w:p w:rsidR="00B9656D" w:rsidRPr="00EF329D" w:rsidRDefault="00B9656D" w:rsidP="00B14FAD">
            <w:pPr>
              <w:pStyle w:val="TableText"/>
              <w:rPr>
                <w:rFonts w:eastAsia="Times New Roman"/>
              </w:rPr>
            </w:pPr>
            <w:r w:rsidRPr="00EF329D">
              <w:rPr>
                <w:rFonts w:eastAsia="Times New Roman"/>
              </w:rPr>
              <w:t>1</w:t>
            </w:r>
          </w:p>
        </w:tc>
        <w:tc>
          <w:tcPr>
            <w:tcW w:w="874" w:type="pct"/>
            <w:tcBorders>
              <w:top w:val="single" w:sz="4" w:space="0" w:color="auto"/>
              <w:left w:val="nil"/>
              <w:bottom w:val="dotted" w:sz="4" w:space="0" w:color="000000"/>
              <w:right w:val="single" w:sz="4" w:space="0" w:color="auto"/>
            </w:tcBorders>
            <w:shd w:val="clear" w:color="auto" w:fill="auto"/>
            <w:vAlign w:val="center"/>
            <w:hideMark/>
          </w:tcPr>
          <w:p w:rsidR="00B9656D" w:rsidRPr="0053723E" w:rsidRDefault="00B9656D" w:rsidP="008360DA">
            <w:pPr>
              <w:pStyle w:val="Bullets"/>
              <w:numPr>
                <w:ilvl w:val="0"/>
                <w:numId w:val="0"/>
              </w:numPr>
              <w:spacing w:after="0"/>
              <w:jc w:val="center"/>
              <w:rPr>
                <w:sz w:val="20"/>
              </w:rPr>
            </w:pPr>
            <w:r w:rsidRPr="0053723E">
              <w:rPr>
                <w:sz w:val="20"/>
              </w:rPr>
              <w:t>Customer submits complete application</w:t>
            </w:r>
          </w:p>
        </w:tc>
        <w:tc>
          <w:tcPr>
            <w:tcW w:w="272" w:type="pct"/>
            <w:tcBorders>
              <w:top w:val="single" w:sz="4" w:space="0" w:color="auto"/>
              <w:left w:val="nil"/>
              <w:bottom w:val="dotted" w:sz="4" w:space="0" w:color="000000"/>
              <w:right w:val="dotted" w:sz="4" w:space="0" w:color="000000"/>
            </w:tcBorders>
            <w:shd w:val="clear" w:color="auto" w:fill="auto"/>
            <w:noWrap/>
            <w:vAlign w:val="center"/>
          </w:tcPr>
          <w:p w:rsidR="00B9656D" w:rsidRPr="00B9656D" w:rsidRDefault="00A0014C" w:rsidP="008360DA">
            <w:pPr>
              <w:pStyle w:val="TableText"/>
              <w:spacing w:before="0" w:after="0"/>
              <w:rPr>
                <w:rFonts w:eastAsia="Times New Roman"/>
              </w:rPr>
            </w:pPr>
            <w:r>
              <w:rPr>
                <w:rFonts w:eastAsia="Times New Roman"/>
              </w:rPr>
              <w:t>1</w:t>
            </w:r>
          </w:p>
        </w:tc>
        <w:tc>
          <w:tcPr>
            <w:tcW w:w="568" w:type="pct"/>
            <w:tcBorders>
              <w:top w:val="single" w:sz="4" w:space="0" w:color="auto"/>
              <w:left w:val="nil"/>
              <w:bottom w:val="dotted" w:sz="4" w:space="0" w:color="000000"/>
              <w:right w:val="dotted" w:sz="4" w:space="0" w:color="000000"/>
            </w:tcBorders>
            <w:shd w:val="clear" w:color="auto" w:fill="auto"/>
            <w:noWrap/>
            <w:vAlign w:val="center"/>
          </w:tcPr>
          <w:p w:rsidR="00B9656D" w:rsidRPr="002E1C1C" w:rsidRDefault="002E1C1C" w:rsidP="008360DA">
            <w:pPr>
              <w:keepNext/>
              <w:spacing w:after="0" w:line="240" w:lineRule="auto"/>
              <w:jc w:val="center"/>
              <w:rPr>
                <w:rFonts w:ascii="Arial" w:hAnsi="Arial" w:cs="Arial"/>
                <w:sz w:val="20"/>
                <w:szCs w:val="20"/>
                <w:highlight w:val="black"/>
              </w:rPr>
            </w:pPr>
            <w:r w:rsidRPr="002E1C1C">
              <w:rPr>
                <w:rFonts w:ascii="Arial" w:hAnsi="Arial" w:cs="Arial"/>
                <w:sz w:val="20"/>
                <w:szCs w:val="20"/>
                <w:highlight w:val="black"/>
              </w:rPr>
              <w:t>XXXXXXXX</w:t>
            </w:r>
          </w:p>
        </w:tc>
        <w:tc>
          <w:tcPr>
            <w:tcW w:w="335" w:type="pct"/>
            <w:tcBorders>
              <w:top w:val="single" w:sz="4" w:space="0" w:color="auto"/>
              <w:left w:val="nil"/>
              <w:bottom w:val="dotted" w:sz="4" w:space="0" w:color="000000"/>
              <w:right w:val="single" w:sz="4" w:space="0" w:color="auto"/>
            </w:tcBorders>
            <w:shd w:val="clear" w:color="auto" w:fill="auto"/>
            <w:noWrap/>
            <w:vAlign w:val="center"/>
          </w:tcPr>
          <w:p w:rsidR="00B9656D" w:rsidRPr="002E1C1C" w:rsidRDefault="002E1C1C" w:rsidP="008360DA">
            <w:pPr>
              <w:keepNext/>
              <w:spacing w:after="0" w:line="240" w:lineRule="auto"/>
              <w:jc w:val="center"/>
              <w:rPr>
                <w:rFonts w:ascii="Arial" w:hAnsi="Arial" w:cs="Arial"/>
                <w:sz w:val="20"/>
                <w:szCs w:val="20"/>
                <w:highlight w:val="black"/>
              </w:rPr>
            </w:pPr>
            <w:r w:rsidRPr="002E1C1C">
              <w:rPr>
                <w:rFonts w:ascii="Arial" w:hAnsi="Arial" w:cs="Arial"/>
                <w:sz w:val="20"/>
                <w:szCs w:val="20"/>
                <w:highlight w:val="black"/>
              </w:rPr>
              <w:t>XXXX</w:t>
            </w:r>
          </w:p>
        </w:tc>
        <w:tc>
          <w:tcPr>
            <w:tcW w:w="272" w:type="pct"/>
            <w:tcBorders>
              <w:top w:val="single" w:sz="4" w:space="0" w:color="auto"/>
              <w:left w:val="nil"/>
              <w:bottom w:val="dotted" w:sz="4" w:space="0" w:color="000000"/>
              <w:right w:val="dotted" w:sz="4" w:space="0" w:color="000000"/>
            </w:tcBorders>
            <w:shd w:val="clear" w:color="auto" w:fill="auto"/>
            <w:noWrap/>
            <w:vAlign w:val="center"/>
          </w:tcPr>
          <w:p w:rsidR="00B9656D" w:rsidRPr="00A0014C" w:rsidRDefault="00715D70" w:rsidP="008360DA">
            <w:pPr>
              <w:pStyle w:val="TableText"/>
              <w:spacing w:before="0" w:after="0"/>
              <w:rPr>
                <w:rFonts w:eastAsia="Times New Roman"/>
              </w:rPr>
            </w:pPr>
            <w:r>
              <w:rPr>
                <w:rFonts w:eastAsia="Times New Roman"/>
              </w:rPr>
              <w:t>0</w:t>
            </w:r>
          </w:p>
        </w:tc>
        <w:tc>
          <w:tcPr>
            <w:tcW w:w="631" w:type="pct"/>
            <w:tcBorders>
              <w:top w:val="single" w:sz="4" w:space="0" w:color="auto"/>
              <w:left w:val="nil"/>
              <w:bottom w:val="dotted" w:sz="4" w:space="0" w:color="000000"/>
              <w:right w:val="dotted" w:sz="4" w:space="0" w:color="000000"/>
            </w:tcBorders>
            <w:shd w:val="clear" w:color="auto" w:fill="auto"/>
            <w:noWrap/>
            <w:vAlign w:val="center"/>
          </w:tcPr>
          <w:p w:rsidR="002C45CE" w:rsidRPr="00922DAB" w:rsidRDefault="00715D70" w:rsidP="008360DA">
            <w:pPr>
              <w:pStyle w:val="TableText"/>
              <w:keepNext/>
              <w:spacing w:before="0" w:after="0"/>
              <w:rPr>
                <w:rFonts w:eastAsia="Times New Roman"/>
              </w:rPr>
            </w:pPr>
            <w:r>
              <w:rPr>
                <w:rFonts w:eastAsia="Times New Roman"/>
              </w:rPr>
              <w:t>-</w:t>
            </w:r>
          </w:p>
        </w:tc>
        <w:tc>
          <w:tcPr>
            <w:tcW w:w="272" w:type="pct"/>
            <w:tcBorders>
              <w:top w:val="single" w:sz="4" w:space="0" w:color="auto"/>
              <w:left w:val="nil"/>
              <w:bottom w:val="dotted" w:sz="4" w:space="0" w:color="000000"/>
              <w:right w:val="single" w:sz="4" w:space="0" w:color="auto"/>
            </w:tcBorders>
            <w:shd w:val="clear" w:color="auto" w:fill="auto"/>
            <w:noWrap/>
            <w:vAlign w:val="center"/>
          </w:tcPr>
          <w:p w:rsidR="00B9656D" w:rsidRPr="00922DAB" w:rsidRDefault="00715D70" w:rsidP="008360DA">
            <w:pPr>
              <w:pStyle w:val="TableText"/>
              <w:keepNext/>
              <w:spacing w:before="0" w:after="0"/>
              <w:rPr>
                <w:rFonts w:eastAsia="Times New Roman"/>
              </w:rPr>
            </w:pPr>
            <w:r>
              <w:rPr>
                <w:rFonts w:eastAsia="Times New Roman"/>
              </w:rPr>
              <w:t>-</w:t>
            </w:r>
          </w:p>
        </w:tc>
        <w:tc>
          <w:tcPr>
            <w:tcW w:w="272" w:type="pct"/>
            <w:tcBorders>
              <w:top w:val="single" w:sz="4" w:space="0" w:color="000000"/>
              <w:left w:val="nil"/>
              <w:bottom w:val="dotted" w:sz="4" w:space="0" w:color="000000"/>
              <w:right w:val="dotted" w:sz="4" w:space="0" w:color="000000"/>
            </w:tcBorders>
            <w:shd w:val="clear" w:color="auto" w:fill="auto"/>
            <w:noWrap/>
            <w:vAlign w:val="center"/>
          </w:tcPr>
          <w:p w:rsidR="00B9656D" w:rsidRPr="00A0014C" w:rsidRDefault="00922DAB" w:rsidP="008360DA">
            <w:pPr>
              <w:pStyle w:val="TableText"/>
              <w:spacing w:before="0" w:after="0"/>
              <w:rPr>
                <w:rFonts w:eastAsia="Times New Roman"/>
              </w:rPr>
            </w:pPr>
            <w:r>
              <w:rPr>
                <w:rFonts w:eastAsia="Times New Roman"/>
              </w:rPr>
              <w:t>0</w:t>
            </w:r>
          </w:p>
        </w:tc>
        <w:tc>
          <w:tcPr>
            <w:tcW w:w="589" w:type="pct"/>
            <w:tcBorders>
              <w:top w:val="single" w:sz="4" w:space="0" w:color="000000"/>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378" w:type="pct"/>
            <w:tcBorders>
              <w:top w:val="single" w:sz="4" w:space="0" w:color="000000"/>
              <w:left w:val="nil"/>
              <w:bottom w:val="dotted" w:sz="4" w:space="0" w:color="000000"/>
              <w:right w:val="single"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r>
      <w:tr w:rsidR="00E51006" w:rsidRPr="00B828B0" w:rsidTr="00AE0D86">
        <w:trPr>
          <w:trHeight w:val="525"/>
          <w:jc w:val="center"/>
        </w:trPr>
        <w:tc>
          <w:tcPr>
            <w:tcW w:w="538" w:type="pct"/>
            <w:tcBorders>
              <w:top w:val="nil"/>
              <w:left w:val="single" w:sz="4" w:space="0" w:color="auto"/>
              <w:bottom w:val="dotted" w:sz="4" w:space="0" w:color="000000"/>
              <w:right w:val="single" w:sz="4" w:space="0" w:color="auto"/>
            </w:tcBorders>
            <w:shd w:val="clear" w:color="auto" w:fill="auto"/>
            <w:noWrap/>
            <w:vAlign w:val="center"/>
            <w:hideMark/>
          </w:tcPr>
          <w:p w:rsidR="00B9656D" w:rsidRPr="00EF329D" w:rsidRDefault="00B9656D" w:rsidP="00B14FAD">
            <w:pPr>
              <w:pStyle w:val="TableText"/>
              <w:rPr>
                <w:rFonts w:eastAsia="Times New Roman"/>
              </w:rPr>
            </w:pPr>
            <w:r w:rsidRPr="00EF329D">
              <w:rPr>
                <w:rFonts w:eastAsia="Times New Roman"/>
              </w:rPr>
              <w:t>2</w:t>
            </w:r>
          </w:p>
        </w:tc>
        <w:tc>
          <w:tcPr>
            <w:tcW w:w="874" w:type="pct"/>
            <w:tcBorders>
              <w:top w:val="nil"/>
              <w:left w:val="nil"/>
              <w:bottom w:val="dotted" w:sz="4" w:space="0" w:color="000000"/>
              <w:right w:val="single" w:sz="4" w:space="0" w:color="auto"/>
            </w:tcBorders>
            <w:shd w:val="clear" w:color="auto" w:fill="auto"/>
            <w:vAlign w:val="center"/>
            <w:hideMark/>
          </w:tcPr>
          <w:p w:rsidR="00B9656D" w:rsidRPr="0053723E" w:rsidRDefault="00B9656D" w:rsidP="008360DA">
            <w:pPr>
              <w:pStyle w:val="Bullets"/>
              <w:numPr>
                <w:ilvl w:val="0"/>
                <w:numId w:val="0"/>
              </w:numPr>
              <w:spacing w:after="0"/>
              <w:jc w:val="center"/>
              <w:rPr>
                <w:sz w:val="20"/>
              </w:rPr>
            </w:pPr>
            <w:r w:rsidRPr="0053723E">
              <w:rPr>
                <w:sz w:val="20"/>
              </w:rPr>
              <w:t>Customer submits feasibility study</w:t>
            </w:r>
          </w:p>
        </w:tc>
        <w:tc>
          <w:tcPr>
            <w:tcW w:w="272" w:type="pct"/>
            <w:tcBorders>
              <w:top w:val="nil"/>
              <w:left w:val="nil"/>
              <w:bottom w:val="dotted" w:sz="4" w:space="0" w:color="000000"/>
              <w:right w:val="dotted" w:sz="4" w:space="0" w:color="000000"/>
            </w:tcBorders>
            <w:shd w:val="clear" w:color="auto" w:fill="auto"/>
            <w:noWrap/>
            <w:vAlign w:val="center"/>
          </w:tcPr>
          <w:p w:rsidR="00B9656D" w:rsidRPr="00B9656D" w:rsidRDefault="00A0014C" w:rsidP="008360DA">
            <w:pPr>
              <w:pStyle w:val="TableText"/>
              <w:spacing w:before="0" w:after="0"/>
              <w:rPr>
                <w:rFonts w:eastAsia="Times New Roman"/>
              </w:rPr>
            </w:pPr>
            <w:r>
              <w:rPr>
                <w:rFonts w:eastAsia="Times New Roman"/>
              </w:rPr>
              <w:t>0</w:t>
            </w:r>
          </w:p>
        </w:tc>
        <w:tc>
          <w:tcPr>
            <w:tcW w:w="568" w:type="pct"/>
            <w:tcBorders>
              <w:top w:val="nil"/>
              <w:left w:val="nil"/>
              <w:bottom w:val="dotted" w:sz="4" w:space="0" w:color="000000"/>
              <w:right w:val="dotted" w:sz="4" w:space="0" w:color="000000"/>
            </w:tcBorders>
            <w:shd w:val="clear" w:color="auto" w:fill="auto"/>
            <w:noWrap/>
            <w:vAlign w:val="center"/>
          </w:tcPr>
          <w:p w:rsidR="00B9656D" w:rsidRPr="00A0014C" w:rsidRDefault="00A0014C" w:rsidP="008360DA">
            <w:pPr>
              <w:pStyle w:val="TableText"/>
              <w:spacing w:before="0" w:after="0"/>
              <w:rPr>
                <w:rFonts w:eastAsia="Times New Roman"/>
              </w:rPr>
            </w:pPr>
            <w:r w:rsidRPr="00A0014C">
              <w:rPr>
                <w:rFonts w:eastAsia="Times New Roman"/>
              </w:rPr>
              <w:t>-</w:t>
            </w:r>
          </w:p>
        </w:tc>
        <w:tc>
          <w:tcPr>
            <w:tcW w:w="335" w:type="pct"/>
            <w:tcBorders>
              <w:top w:val="nil"/>
              <w:left w:val="nil"/>
              <w:bottom w:val="dotted" w:sz="4" w:space="0" w:color="000000"/>
              <w:right w:val="single" w:sz="4" w:space="0" w:color="auto"/>
            </w:tcBorders>
            <w:shd w:val="clear" w:color="auto" w:fill="auto"/>
            <w:noWrap/>
            <w:vAlign w:val="center"/>
          </w:tcPr>
          <w:p w:rsidR="00B9656D" w:rsidRPr="00715D70" w:rsidRDefault="00A0014C" w:rsidP="008360DA">
            <w:pPr>
              <w:pStyle w:val="TableText"/>
              <w:spacing w:before="0" w:after="0"/>
              <w:rPr>
                <w:rFonts w:eastAsia="Times New Roman"/>
              </w:rPr>
            </w:pPr>
            <w:r w:rsidRPr="00715D70">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0</w:t>
            </w:r>
          </w:p>
        </w:tc>
        <w:tc>
          <w:tcPr>
            <w:tcW w:w="631"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single" w:sz="4" w:space="0" w:color="auto"/>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0</w:t>
            </w:r>
          </w:p>
        </w:tc>
        <w:tc>
          <w:tcPr>
            <w:tcW w:w="589"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378" w:type="pct"/>
            <w:tcBorders>
              <w:top w:val="nil"/>
              <w:left w:val="nil"/>
              <w:bottom w:val="dotted" w:sz="4" w:space="0" w:color="000000"/>
              <w:right w:val="single"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r>
      <w:tr w:rsidR="00E51006" w:rsidRPr="00B828B0" w:rsidTr="00AE0D86">
        <w:trPr>
          <w:trHeight w:val="525"/>
          <w:jc w:val="center"/>
        </w:trPr>
        <w:tc>
          <w:tcPr>
            <w:tcW w:w="538" w:type="pct"/>
            <w:tcBorders>
              <w:top w:val="nil"/>
              <w:left w:val="single" w:sz="4" w:space="0" w:color="auto"/>
              <w:bottom w:val="dotted" w:sz="4" w:space="0" w:color="000000"/>
              <w:right w:val="single" w:sz="4" w:space="0" w:color="auto"/>
            </w:tcBorders>
            <w:shd w:val="clear" w:color="auto" w:fill="auto"/>
            <w:noWrap/>
            <w:vAlign w:val="center"/>
            <w:hideMark/>
          </w:tcPr>
          <w:p w:rsidR="00B9656D" w:rsidRPr="00EF329D" w:rsidRDefault="00B9656D" w:rsidP="00B14FAD">
            <w:pPr>
              <w:pStyle w:val="TableText"/>
              <w:rPr>
                <w:rFonts w:eastAsia="Times New Roman"/>
              </w:rPr>
            </w:pPr>
            <w:r w:rsidRPr="00EF329D">
              <w:rPr>
                <w:rFonts w:eastAsia="Times New Roman"/>
              </w:rPr>
              <w:t>3</w:t>
            </w:r>
          </w:p>
        </w:tc>
        <w:tc>
          <w:tcPr>
            <w:tcW w:w="874" w:type="pct"/>
            <w:tcBorders>
              <w:top w:val="nil"/>
              <w:left w:val="nil"/>
              <w:bottom w:val="dotted" w:sz="4" w:space="0" w:color="000000"/>
              <w:right w:val="single" w:sz="4" w:space="0" w:color="auto"/>
            </w:tcBorders>
            <w:shd w:val="clear" w:color="auto" w:fill="auto"/>
            <w:vAlign w:val="center"/>
            <w:hideMark/>
          </w:tcPr>
          <w:p w:rsidR="00B9656D" w:rsidRPr="0053723E" w:rsidRDefault="00B9656D" w:rsidP="008360DA">
            <w:pPr>
              <w:pStyle w:val="Bullets"/>
              <w:numPr>
                <w:ilvl w:val="0"/>
                <w:numId w:val="0"/>
              </w:numPr>
              <w:spacing w:after="0"/>
              <w:jc w:val="center"/>
              <w:rPr>
                <w:sz w:val="20"/>
              </w:rPr>
            </w:pPr>
            <w:r w:rsidRPr="0053723E">
              <w:rPr>
                <w:sz w:val="20"/>
              </w:rPr>
              <w:t>IOU reviews feasibility study and approves application</w:t>
            </w:r>
          </w:p>
        </w:tc>
        <w:tc>
          <w:tcPr>
            <w:tcW w:w="272" w:type="pct"/>
            <w:tcBorders>
              <w:top w:val="nil"/>
              <w:left w:val="nil"/>
              <w:bottom w:val="dotted" w:sz="4" w:space="0" w:color="000000"/>
              <w:right w:val="dotted" w:sz="4" w:space="0" w:color="000000"/>
            </w:tcBorders>
            <w:shd w:val="clear" w:color="auto" w:fill="auto"/>
            <w:noWrap/>
            <w:vAlign w:val="center"/>
          </w:tcPr>
          <w:p w:rsidR="00B9656D" w:rsidRPr="00B9656D" w:rsidRDefault="00A0014C" w:rsidP="008360DA">
            <w:pPr>
              <w:pStyle w:val="TableText"/>
              <w:spacing w:before="0" w:after="0"/>
              <w:rPr>
                <w:rFonts w:eastAsia="Times New Roman"/>
              </w:rPr>
            </w:pPr>
            <w:r>
              <w:rPr>
                <w:rFonts w:eastAsia="Times New Roman"/>
              </w:rPr>
              <w:t>1</w:t>
            </w:r>
          </w:p>
        </w:tc>
        <w:tc>
          <w:tcPr>
            <w:tcW w:w="568" w:type="pct"/>
            <w:tcBorders>
              <w:top w:val="nil"/>
              <w:left w:val="nil"/>
              <w:bottom w:val="dotted" w:sz="4" w:space="0" w:color="000000"/>
              <w:right w:val="dotted" w:sz="4" w:space="0" w:color="000000"/>
            </w:tcBorders>
            <w:shd w:val="clear" w:color="auto" w:fill="auto"/>
            <w:noWrap/>
            <w:vAlign w:val="center"/>
          </w:tcPr>
          <w:p w:rsidR="00B9656D" w:rsidRPr="002E1C1C" w:rsidRDefault="002E1C1C" w:rsidP="008360DA">
            <w:pPr>
              <w:pStyle w:val="TableText"/>
              <w:spacing w:before="0" w:after="0"/>
              <w:rPr>
                <w:rFonts w:eastAsia="Times New Roman"/>
                <w:highlight w:val="black"/>
              </w:rPr>
            </w:pPr>
            <w:r w:rsidRPr="002E1C1C">
              <w:rPr>
                <w:rFonts w:cs="Arial"/>
                <w:szCs w:val="20"/>
                <w:highlight w:val="black"/>
              </w:rPr>
              <w:t>XXXXXXXX</w:t>
            </w:r>
          </w:p>
        </w:tc>
        <w:tc>
          <w:tcPr>
            <w:tcW w:w="335" w:type="pct"/>
            <w:tcBorders>
              <w:top w:val="nil"/>
              <w:left w:val="nil"/>
              <w:bottom w:val="dotted" w:sz="4" w:space="0" w:color="000000"/>
              <w:right w:val="single" w:sz="4" w:space="0" w:color="auto"/>
            </w:tcBorders>
            <w:shd w:val="clear" w:color="auto" w:fill="auto"/>
            <w:noWrap/>
            <w:vAlign w:val="center"/>
          </w:tcPr>
          <w:p w:rsidR="00B9656D" w:rsidRPr="002E1C1C" w:rsidRDefault="002E1C1C" w:rsidP="008360DA">
            <w:pPr>
              <w:pStyle w:val="TableText"/>
              <w:spacing w:before="0" w:after="0"/>
              <w:rPr>
                <w:rFonts w:eastAsia="Times New Roman"/>
                <w:highlight w:val="black"/>
              </w:rPr>
            </w:pPr>
            <w:r w:rsidRPr="002E1C1C">
              <w:rPr>
                <w:rFonts w:cs="Arial"/>
                <w:szCs w:val="20"/>
                <w:highlight w:val="black"/>
              </w:rPr>
              <w:t>XXXX</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2</w:t>
            </w:r>
          </w:p>
        </w:tc>
        <w:tc>
          <w:tcPr>
            <w:tcW w:w="631" w:type="pct"/>
            <w:tcBorders>
              <w:top w:val="nil"/>
              <w:left w:val="nil"/>
              <w:bottom w:val="dotted" w:sz="4" w:space="0" w:color="000000"/>
              <w:right w:val="dotted" w:sz="4" w:space="0" w:color="000000"/>
            </w:tcBorders>
            <w:shd w:val="clear" w:color="auto" w:fill="auto"/>
            <w:noWrap/>
            <w:vAlign w:val="center"/>
          </w:tcPr>
          <w:p w:rsidR="00B9656D" w:rsidRPr="002E1C1C" w:rsidRDefault="002E1C1C" w:rsidP="008360DA">
            <w:pPr>
              <w:pStyle w:val="TableText"/>
              <w:spacing w:before="0" w:after="0"/>
              <w:rPr>
                <w:rFonts w:eastAsia="Times New Roman"/>
                <w:highlight w:val="black"/>
              </w:rPr>
            </w:pPr>
            <w:r w:rsidRPr="002E1C1C">
              <w:rPr>
                <w:rFonts w:cs="Arial"/>
                <w:szCs w:val="20"/>
                <w:highlight w:val="black"/>
              </w:rPr>
              <w:t>XXXXXXXX</w:t>
            </w:r>
          </w:p>
        </w:tc>
        <w:tc>
          <w:tcPr>
            <w:tcW w:w="272" w:type="pct"/>
            <w:tcBorders>
              <w:top w:val="nil"/>
              <w:left w:val="nil"/>
              <w:bottom w:val="dotted" w:sz="4" w:space="0" w:color="000000"/>
              <w:right w:val="single" w:sz="4" w:space="0" w:color="auto"/>
            </w:tcBorders>
            <w:shd w:val="clear" w:color="auto" w:fill="auto"/>
            <w:noWrap/>
            <w:vAlign w:val="center"/>
          </w:tcPr>
          <w:p w:rsidR="00B9656D" w:rsidRPr="002E1C1C" w:rsidRDefault="002E1C1C" w:rsidP="008360DA">
            <w:pPr>
              <w:pStyle w:val="TableText"/>
              <w:spacing w:before="0" w:after="0"/>
              <w:rPr>
                <w:rFonts w:eastAsia="Times New Roman"/>
                <w:highlight w:val="black"/>
              </w:rPr>
            </w:pPr>
            <w:r w:rsidRPr="002E1C1C">
              <w:rPr>
                <w:rFonts w:cs="Arial"/>
                <w:szCs w:val="20"/>
                <w:highlight w:val="black"/>
              </w:rPr>
              <w:t>XXXX</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0</w:t>
            </w:r>
          </w:p>
        </w:tc>
        <w:tc>
          <w:tcPr>
            <w:tcW w:w="589"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378" w:type="pct"/>
            <w:tcBorders>
              <w:top w:val="nil"/>
              <w:left w:val="nil"/>
              <w:bottom w:val="dotted" w:sz="4" w:space="0" w:color="000000"/>
              <w:right w:val="single"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r>
      <w:tr w:rsidR="00E51006" w:rsidRPr="00B828B0" w:rsidTr="00AE0D86">
        <w:trPr>
          <w:trHeight w:val="525"/>
          <w:jc w:val="center"/>
        </w:trPr>
        <w:tc>
          <w:tcPr>
            <w:tcW w:w="538" w:type="pct"/>
            <w:tcBorders>
              <w:top w:val="nil"/>
              <w:left w:val="single" w:sz="4" w:space="0" w:color="auto"/>
              <w:bottom w:val="dotted" w:sz="4" w:space="0" w:color="000000"/>
              <w:right w:val="single" w:sz="4" w:space="0" w:color="auto"/>
            </w:tcBorders>
            <w:shd w:val="clear" w:color="auto" w:fill="auto"/>
            <w:noWrap/>
            <w:vAlign w:val="center"/>
            <w:hideMark/>
          </w:tcPr>
          <w:p w:rsidR="00B9656D" w:rsidRPr="00EF329D" w:rsidRDefault="00B9656D" w:rsidP="00B14FAD">
            <w:pPr>
              <w:pStyle w:val="TableText"/>
              <w:rPr>
                <w:rFonts w:eastAsia="Times New Roman"/>
              </w:rPr>
            </w:pPr>
            <w:r w:rsidRPr="00EF329D">
              <w:rPr>
                <w:rFonts w:eastAsia="Times New Roman"/>
              </w:rPr>
              <w:t>4</w:t>
            </w:r>
          </w:p>
        </w:tc>
        <w:tc>
          <w:tcPr>
            <w:tcW w:w="874" w:type="pct"/>
            <w:tcBorders>
              <w:top w:val="nil"/>
              <w:left w:val="nil"/>
              <w:bottom w:val="dotted" w:sz="4" w:space="0" w:color="000000"/>
              <w:right w:val="single" w:sz="4" w:space="0" w:color="auto"/>
            </w:tcBorders>
            <w:shd w:val="clear" w:color="auto" w:fill="auto"/>
            <w:vAlign w:val="center"/>
            <w:hideMark/>
          </w:tcPr>
          <w:p w:rsidR="00B9656D" w:rsidRPr="0053723E" w:rsidRDefault="00B9656D" w:rsidP="008360DA">
            <w:pPr>
              <w:pStyle w:val="Bullets"/>
              <w:numPr>
                <w:ilvl w:val="0"/>
                <w:numId w:val="0"/>
              </w:numPr>
              <w:spacing w:after="0"/>
              <w:jc w:val="center"/>
              <w:rPr>
                <w:sz w:val="20"/>
              </w:rPr>
            </w:pPr>
            <w:r w:rsidRPr="0053723E">
              <w:rPr>
                <w:sz w:val="20"/>
              </w:rPr>
              <w:t>IOU conducts pre-installation inspection and sets aside incentive funds</w:t>
            </w:r>
          </w:p>
        </w:tc>
        <w:tc>
          <w:tcPr>
            <w:tcW w:w="272" w:type="pct"/>
            <w:tcBorders>
              <w:top w:val="nil"/>
              <w:left w:val="nil"/>
              <w:bottom w:val="dotted" w:sz="4" w:space="0" w:color="000000"/>
              <w:right w:val="dotted" w:sz="4" w:space="0" w:color="000000"/>
            </w:tcBorders>
            <w:shd w:val="clear" w:color="auto" w:fill="auto"/>
            <w:noWrap/>
            <w:vAlign w:val="center"/>
          </w:tcPr>
          <w:p w:rsidR="00B9656D" w:rsidRPr="00B9656D" w:rsidRDefault="00A0014C" w:rsidP="008360DA">
            <w:pPr>
              <w:pStyle w:val="TableText"/>
              <w:spacing w:before="0" w:after="0"/>
              <w:rPr>
                <w:rFonts w:eastAsia="Times New Roman"/>
              </w:rPr>
            </w:pPr>
            <w:r>
              <w:rPr>
                <w:rFonts w:eastAsia="Times New Roman"/>
              </w:rPr>
              <w:t>2</w:t>
            </w:r>
          </w:p>
        </w:tc>
        <w:tc>
          <w:tcPr>
            <w:tcW w:w="568" w:type="pct"/>
            <w:tcBorders>
              <w:top w:val="nil"/>
              <w:left w:val="nil"/>
              <w:bottom w:val="dotted" w:sz="4" w:space="0" w:color="000000"/>
              <w:right w:val="dotted" w:sz="4" w:space="0" w:color="000000"/>
            </w:tcBorders>
            <w:shd w:val="clear" w:color="auto" w:fill="auto"/>
            <w:noWrap/>
            <w:vAlign w:val="center"/>
          </w:tcPr>
          <w:p w:rsidR="00B9656D" w:rsidRPr="002E1C1C" w:rsidRDefault="002E1C1C" w:rsidP="008360DA">
            <w:pPr>
              <w:pStyle w:val="TableText"/>
              <w:spacing w:before="0" w:after="0"/>
              <w:rPr>
                <w:rFonts w:eastAsia="Times New Roman"/>
                <w:highlight w:val="black"/>
              </w:rPr>
            </w:pPr>
            <w:r w:rsidRPr="002E1C1C">
              <w:rPr>
                <w:rFonts w:cs="Arial"/>
                <w:szCs w:val="20"/>
                <w:highlight w:val="black"/>
              </w:rPr>
              <w:t>XXXXXXXX</w:t>
            </w:r>
          </w:p>
        </w:tc>
        <w:tc>
          <w:tcPr>
            <w:tcW w:w="335" w:type="pct"/>
            <w:tcBorders>
              <w:top w:val="nil"/>
              <w:left w:val="nil"/>
              <w:bottom w:val="dotted" w:sz="4" w:space="0" w:color="000000"/>
              <w:right w:val="single" w:sz="4" w:space="0" w:color="auto"/>
            </w:tcBorders>
            <w:shd w:val="clear" w:color="auto" w:fill="auto"/>
            <w:noWrap/>
            <w:vAlign w:val="center"/>
          </w:tcPr>
          <w:p w:rsidR="00B9656D" w:rsidRPr="002E1C1C" w:rsidRDefault="002E1C1C" w:rsidP="008360DA">
            <w:pPr>
              <w:pStyle w:val="TableText"/>
              <w:spacing w:before="0" w:after="0"/>
              <w:rPr>
                <w:rFonts w:eastAsia="Times New Roman"/>
                <w:highlight w:val="black"/>
              </w:rPr>
            </w:pPr>
            <w:r w:rsidRPr="002E1C1C">
              <w:rPr>
                <w:rFonts w:cs="Arial"/>
                <w:szCs w:val="20"/>
                <w:highlight w:val="black"/>
              </w:rPr>
              <w:t>XXXX</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0</w:t>
            </w:r>
          </w:p>
        </w:tc>
        <w:tc>
          <w:tcPr>
            <w:tcW w:w="631"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single" w:sz="4" w:space="0" w:color="auto"/>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0</w:t>
            </w:r>
          </w:p>
        </w:tc>
        <w:tc>
          <w:tcPr>
            <w:tcW w:w="589"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378" w:type="pct"/>
            <w:tcBorders>
              <w:top w:val="nil"/>
              <w:left w:val="nil"/>
              <w:bottom w:val="dotted" w:sz="4" w:space="0" w:color="000000"/>
              <w:right w:val="single"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r>
      <w:tr w:rsidR="00E51006" w:rsidRPr="00B828B0" w:rsidTr="00AE0D86">
        <w:trPr>
          <w:trHeight w:val="525"/>
          <w:jc w:val="center"/>
        </w:trPr>
        <w:tc>
          <w:tcPr>
            <w:tcW w:w="538" w:type="pct"/>
            <w:tcBorders>
              <w:top w:val="nil"/>
              <w:left w:val="single" w:sz="4" w:space="0" w:color="auto"/>
              <w:bottom w:val="dotted" w:sz="4" w:space="0" w:color="000000"/>
              <w:right w:val="single" w:sz="4" w:space="0" w:color="auto"/>
            </w:tcBorders>
            <w:shd w:val="clear" w:color="auto" w:fill="auto"/>
            <w:noWrap/>
            <w:vAlign w:val="center"/>
            <w:hideMark/>
          </w:tcPr>
          <w:p w:rsidR="00B9656D" w:rsidRPr="00EF329D" w:rsidRDefault="00B9656D" w:rsidP="00B14FAD">
            <w:pPr>
              <w:pStyle w:val="TableText"/>
              <w:rPr>
                <w:rFonts w:eastAsia="Times New Roman"/>
              </w:rPr>
            </w:pPr>
            <w:r w:rsidRPr="00EF329D">
              <w:rPr>
                <w:rFonts w:eastAsia="Times New Roman"/>
              </w:rPr>
              <w:t>5</w:t>
            </w:r>
          </w:p>
        </w:tc>
        <w:tc>
          <w:tcPr>
            <w:tcW w:w="874" w:type="pct"/>
            <w:tcBorders>
              <w:top w:val="nil"/>
              <w:left w:val="nil"/>
              <w:bottom w:val="dotted" w:sz="4" w:space="0" w:color="000000"/>
              <w:right w:val="single" w:sz="4" w:space="0" w:color="auto"/>
            </w:tcBorders>
            <w:shd w:val="clear" w:color="auto" w:fill="auto"/>
            <w:vAlign w:val="center"/>
            <w:hideMark/>
          </w:tcPr>
          <w:p w:rsidR="00B9656D" w:rsidRPr="0053723E" w:rsidRDefault="00B9656D" w:rsidP="008360DA">
            <w:pPr>
              <w:pStyle w:val="Bullets"/>
              <w:numPr>
                <w:ilvl w:val="0"/>
                <w:numId w:val="0"/>
              </w:numPr>
              <w:spacing w:after="0"/>
              <w:jc w:val="center"/>
              <w:rPr>
                <w:sz w:val="20"/>
              </w:rPr>
            </w:pPr>
            <w:r w:rsidRPr="0053723E">
              <w:rPr>
                <w:sz w:val="20"/>
              </w:rPr>
              <w:t>IOU and customer sign agreement (SCE only)</w:t>
            </w:r>
          </w:p>
        </w:tc>
        <w:tc>
          <w:tcPr>
            <w:tcW w:w="272" w:type="pct"/>
            <w:tcBorders>
              <w:top w:val="nil"/>
              <w:left w:val="nil"/>
              <w:bottom w:val="dotted" w:sz="4" w:space="0" w:color="000000"/>
              <w:right w:val="dotted" w:sz="4" w:space="0" w:color="000000"/>
            </w:tcBorders>
            <w:shd w:val="clear" w:color="auto" w:fill="auto"/>
            <w:noWrap/>
            <w:vAlign w:val="center"/>
          </w:tcPr>
          <w:p w:rsidR="00B9656D" w:rsidRPr="00B9656D" w:rsidRDefault="00A0014C" w:rsidP="008360DA">
            <w:pPr>
              <w:pStyle w:val="TableText"/>
              <w:spacing w:before="0" w:after="0"/>
              <w:rPr>
                <w:rFonts w:eastAsia="Times New Roman"/>
              </w:rPr>
            </w:pPr>
            <w:r>
              <w:rPr>
                <w:rFonts w:eastAsia="Times New Roman"/>
              </w:rPr>
              <w:t>0</w:t>
            </w:r>
          </w:p>
        </w:tc>
        <w:tc>
          <w:tcPr>
            <w:tcW w:w="568" w:type="pct"/>
            <w:tcBorders>
              <w:top w:val="nil"/>
              <w:left w:val="nil"/>
              <w:bottom w:val="dotted" w:sz="4" w:space="0" w:color="000000"/>
              <w:right w:val="dotted" w:sz="4" w:space="0" w:color="000000"/>
            </w:tcBorders>
            <w:shd w:val="clear" w:color="auto" w:fill="auto"/>
            <w:noWrap/>
            <w:vAlign w:val="center"/>
          </w:tcPr>
          <w:p w:rsidR="00B9656D" w:rsidRPr="00A0014C" w:rsidRDefault="00A0014C" w:rsidP="008360DA">
            <w:pPr>
              <w:pStyle w:val="TableText"/>
              <w:spacing w:before="0" w:after="0"/>
              <w:rPr>
                <w:rFonts w:eastAsia="Times New Roman"/>
              </w:rPr>
            </w:pPr>
            <w:r w:rsidRPr="00A0014C">
              <w:rPr>
                <w:rFonts w:eastAsia="Times New Roman"/>
              </w:rPr>
              <w:t>-</w:t>
            </w:r>
          </w:p>
        </w:tc>
        <w:tc>
          <w:tcPr>
            <w:tcW w:w="335" w:type="pct"/>
            <w:tcBorders>
              <w:top w:val="nil"/>
              <w:left w:val="nil"/>
              <w:bottom w:val="dotted" w:sz="4" w:space="0" w:color="000000"/>
              <w:right w:val="single" w:sz="4" w:space="0" w:color="auto"/>
            </w:tcBorders>
            <w:shd w:val="clear" w:color="auto" w:fill="auto"/>
            <w:noWrap/>
            <w:vAlign w:val="center"/>
          </w:tcPr>
          <w:p w:rsidR="00B9656D" w:rsidRPr="00A0014C" w:rsidRDefault="00A0014C"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0</w:t>
            </w:r>
          </w:p>
        </w:tc>
        <w:tc>
          <w:tcPr>
            <w:tcW w:w="631" w:type="pct"/>
            <w:tcBorders>
              <w:top w:val="nil"/>
              <w:left w:val="nil"/>
              <w:bottom w:val="dotted" w:sz="4" w:space="0" w:color="000000"/>
              <w:right w:val="dotted" w:sz="4" w:space="0" w:color="000000"/>
            </w:tcBorders>
            <w:shd w:val="clear" w:color="auto" w:fill="auto"/>
            <w:noWrap/>
            <w:vAlign w:val="center"/>
          </w:tcPr>
          <w:p w:rsidR="00B9656D" w:rsidRPr="00922DAB" w:rsidRDefault="00715D70" w:rsidP="008360DA">
            <w:pPr>
              <w:pStyle w:val="TableText"/>
              <w:keepNext/>
              <w:spacing w:before="0" w:after="0"/>
              <w:rPr>
                <w:rFonts w:eastAsia="Times New Roman"/>
              </w:rPr>
            </w:pPr>
            <w:r>
              <w:rPr>
                <w:rFonts w:eastAsia="Times New Roman"/>
              </w:rPr>
              <w:t>-</w:t>
            </w:r>
          </w:p>
        </w:tc>
        <w:tc>
          <w:tcPr>
            <w:tcW w:w="272" w:type="pct"/>
            <w:tcBorders>
              <w:top w:val="nil"/>
              <w:left w:val="nil"/>
              <w:bottom w:val="dotted" w:sz="4" w:space="0" w:color="000000"/>
              <w:right w:val="single" w:sz="4" w:space="0" w:color="auto"/>
            </w:tcBorders>
            <w:shd w:val="clear" w:color="auto" w:fill="auto"/>
            <w:noWrap/>
            <w:vAlign w:val="center"/>
          </w:tcPr>
          <w:p w:rsidR="00B9656D" w:rsidRPr="00922DAB" w:rsidRDefault="00715D70" w:rsidP="008360DA">
            <w:pPr>
              <w:pStyle w:val="TableText"/>
              <w:keepNext/>
              <w:spacing w:before="0" w:after="0"/>
              <w:rPr>
                <w:rFonts w:eastAsia="Times New Roman"/>
              </w:rPr>
            </w:pPr>
            <w:r>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B9656D" w:rsidRPr="00A0014C" w:rsidRDefault="00715D70" w:rsidP="008360DA">
            <w:pPr>
              <w:pStyle w:val="TableText"/>
              <w:spacing w:before="0" w:after="0"/>
              <w:rPr>
                <w:rFonts w:eastAsia="Times New Roman"/>
              </w:rPr>
            </w:pPr>
            <w:r>
              <w:rPr>
                <w:rFonts w:eastAsia="Times New Roman"/>
              </w:rPr>
              <w:t>0</w:t>
            </w:r>
          </w:p>
        </w:tc>
        <w:tc>
          <w:tcPr>
            <w:tcW w:w="589"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c>
          <w:tcPr>
            <w:tcW w:w="378" w:type="pct"/>
            <w:tcBorders>
              <w:top w:val="nil"/>
              <w:left w:val="nil"/>
              <w:bottom w:val="dotted" w:sz="4" w:space="0" w:color="000000"/>
              <w:right w:val="single"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w:t>
            </w:r>
          </w:p>
        </w:tc>
      </w:tr>
      <w:tr w:rsidR="00AE0D86" w:rsidRPr="00B828B0" w:rsidTr="00AE0D86">
        <w:trPr>
          <w:trHeight w:val="525"/>
          <w:jc w:val="center"/>
        </w:trPr>
        <w:tc>
          <w:tcPr>
            <w:tcW w:w="538" w:type="pct"/>
            <w:tcBorders>
              <w:top w:val="nil"/>
              <w:left w:val="single" w:sz="4" w:space="0" w:color="auto"/>
              <w:bottom w:val="dotted" w:sz="4" w:space="0" w:color="000000"/>
              <w:right w:val="single" w:sz="4" w:space="0" w:color="auto"/>
            </w:tcBorders>
            <w:shd w:val="clear" w:color="auto" w:fill="auto"/>
            <w:noWrap/>
            <w:vAlign w:val="center"/>
            <w:hideMark/>
          </w:tcPr>
          <w:p w:rsidR="00AE0D86" w:rsidRPr="00EF329D" w:rsidRDefault="00AE0D86" w:rsidP="00B14FAD">
            <w:pPr>
              <w:pStyle w:val="TableText"/>
              <w:rPr>
                <w:rFonts w:eastAsia="Times New Roman"/>
              </w:rPr>
            </w:pPr>
            <w:r w:rsidRPr="00EF329D">
              <w:rPr>
                <w:rFonts w:eastAsia="Times New Roman"/>
              </w:rPr>
              <w:t>6</w:t>
            </w:r>
          </w:p>
        </w:tc>
        <w:tc>
          <w:tcPr>
            <w:tcW w:w="874" w:type="pct"/>
            <w:tcBorders>
              <w:top w:val="nil"/>
              <w:left w:val="nil"/>
              <w:bottom w:val="dotted" w:sz="4" w:space="0" w:color="000000"/>
              <w:right w:val="single" w:sz="4" w:space="0" w:color="auto"/>
            </w:tcBorders>
            <w:shd w:val="clear" w:color="auto" w:fill="auto"/>
            <w:vAlign w:val="center"/>
            <w:hideMark/>
          </w:tcPr>
          <w:p w:rsidR="00AE0D86" w:rsidRPr="0053723E" w:rsidRDefault="00AE0D86" w:rsidP="008360DA">
            <w:pPr>
              <w:pStyle w:val="Bullets"/>
              <w:numPr>
                <w:ilvl w:val="0"/>
                <w:numId w:val="0"/>
              </w:numPr>
              <w:spacing w:after="0"/>
              <w:jc w:val="center"/>
              <w:rPr>
                <w:sz w:val="20"/>
              </w:rPr>
            </w:pPr>
            <w:r w:rsidRPr="0053723E">
              <w:rPr>
                <w:sz w:val="20"/>
              </w:rPr>
              <w:t>Customer submits project design and installs PLS-TES system</w:t>
            </w:r>
          </w:p>
        </w:tc>
        <w:tc>
          <w:tcPr>
            <w:tcW w:w="272" w:type="pct"/>
            <w:tcBorders>
              <w:top w:val="nil"/>
              <w:left w:val="nil"/>
              <w:bottom w:val="dotted" w:sz="4" w:space="0" w:color="000000"/>
              <w:right w:val="dotted" w:sz="4" w:space="0" w:color="000000"/>
            </w:tcBorders>
            <w:shd w:val="clear" w:color="auto" w:fill="auto"/>
            <w:noWrap/>
            <w:vAlign w:val="center"/>
          </w:tcPr>
          <w:p w:rsidR="00AE0D86" w:rsidRPr="00B9656D" w:rsidRDefault="00AE0D86" w:rsidP="008360DA">
            <w:pPr>
              <w:pStyle w:val="TableText"/>
              <w:spacing w:before="0" w:after="0"/>
              <w:rPr>
                <w:rFonts w:eastAsia="Times New Roman"/>
              </w:rPr>
            </w:pPr>
            <w:r>
              <w:rPr>
                <w:rFonts w:eastAsia="Times New Roman"/>
              </w:rPr>
              <w:t>1</w:t>
            </w:r>
          </w:p>
        </w:tc>
        <w:tc>
          <w:tcPr>
            <w:tcW w:w="568" w:type="pct"/>
            <w:tcBorders>
              <w:top w:val="nil"/>
              <w:left w:val="nil"/>
              <w:bottom w:val="dotted" w:sz="4" w:space="0" w:color="000000"/>
              <w:right w:val="dotted" w:sz="4" w:space="0" w:color="000000"/>
            </w:tcBorders>
            <w:shd w:val="clear" w:color="auto" w:fill="auto"/>
            <w:noWrap/>
            <w:vAlign w:val="center"/>
          </w:tcPr>
          <w:p w:rsidR="00AE0D86" w:rsidRPr="002E1C1C" w:rsidRDefault="002E1C1C" w:rsidP="008360DA">
            <w:pPr>
              <w:pStyle w:val="TableText"/>
              <w:keepNext/>
              <w:spacing w:before="0" w:after="0"/>
              <w:rPr>
                <w:rFonts w:eastAsia="Times New Roman"/>
                <w:highlight w:val="black"/>
              </w:rPr>
            </w:pPr>
            <w:r w:rsidRPr="002E1C1C">
              <w:rPr>
                <w:rFonts w:cs="Arial"/>
                <w:szCs w:val="20"/>
                <w:highlight w:val="black"/>
              </w:rPr>
              <w:t>XXXXXXXX</w:t>
            </w:r>
          </w:p>
        </w:tc>
        <w:tc>
          <w:tcPr>
            <w:tcW w:w="335" w:type="pct"/>
            <w:tcBorders>
              <w:top w:val="nil"/>
              <w:left w:val="nil"/>
              <w:bottom w:val="dotted" w:sz="4" w:space="0" w:color="000000"/>
              <w:right w:val="single" w:sz="4" w:space="0" w:color="auto"/>
            </w:tcBorders>
            <w:shd w:val="clear" w:color="auto" w:fill="auto"/>
            <w:noWrap/>
            <w:vAlign w:val="center"/>
          </w:tcPr>
          <w:p w:rsidR="00AE0D86" w:rsidRPr="002E1C1C" w:rsidRDefault="002E1C1C" w:rsidP="008360DA">
            <w:pPr>
              <w:pStyle w:val="TableText"/>
              <w:keepNext/>
              <w:spacing w:before="0" w:after="0"/>
              <w:rPr>
                <w:rFonts w:eastAsia="Times New Roman"/>
                <w:highlight w:val="black"/>
              </w:rPr>
            </w:pPr>
            <w:r w:rsidRPr="002E1C1C">
              <w:rPr>
                <w:rFonts w:cs="Arial"/>
                <w:szCs w:val="20"/>
                <w:highlight w:val="black"/>
              </w:rPr>
              <w:t>XXXX</w:t>
            </w:r>
          </w:p>
        </w:tc>
        <w:tc>
          <w:tcPr>
            <w:tcW w:w="272" w:type="pct"/>
            <w:tcBorders>
              <w:top w:val="nil"/>
              <w:left w:val="nil"/>
              <w:bottom w:val="dotted" w:sz="4" w:space="0" w:color="000000"/>
              <w:right w:val="dotted" w:sz="4" w:space="0" w:color="000000"/>
            </w:tcBorders>
            <w:shd w:val="clear" w:color="auto" w:fill="auto"/>
            <w:noWrap/>
            <w:vAlign w:val="center"/>
          </w:tcPr>
          <w:p w:rsidR="00AE0D86" w:rsidRPr="00A0014C" w:rsidRDefault="00AE0D86" w:rsidP="008360DA">
            <w:pPr>
              <w:pStyle w:val="TableText"/>
              <w:spacing w:before="0" w:after="0"/>
              <w:rPr>
                <w:rFonts w:eastAsia="Times New Roman"/>
              </w:rPr>
            </w:pPr>
            <w:r>
              <w:rPr>
                <w:rFonts w:eastAsia="Times New Roman"/>
              </w:rPr>
              <w:t>4</w:t>
            </w:r>
          </w:p>
        </w:tc>
        <w:tc>
          <w:tcPr>
            <w:tcW w:w="631" w:type="pct"/>
            <w:tcBorders>
              <w:top w:val="nil"/>
              <w:left w:val="nil"/>
              <w:bottom w:val="dotted" w:sz="4" w:space="0" w:color="000000"/>
              <w:right w:val="dotted" w:sz="4" w:space="0" w:color="000000"/>
            </w:tcBorders>
            <w:shd w:val="clear" w:color="auto" w:fill="auto"/>
            <w:noWrap/>
            <w:vAlign w:val="center"/>
          </w:tcPr>
          <w:p w:rsidR="00AE0D86" w:rsidRPr="002E1C1C" w:rsidRDefault="002E1C1C" w:rsidP="008360DA">
            <w:pPr>
              <w:pStyle w:val="TableText"/>
              <w:spacing w:before="0" w:after="0"/>
              <w:rPr>
                <w:rFonts w:eastAsia="Times New Roman"/>
                <w:highlight w:val="black"/>
              </w:rPr>
            </w:pPr>
            <w:r w:rsidRPr="002E1C1C">
              <w:rPr>
                <w:rFonts w:cs="Arial"/>
                <w:szCs w:val="20"/>
                <w:highlight w:val="black"/>
              </w:rPr>
              <w:t>XXXXXXXX</w:t>
            </w:r>
          </w:p>
        </w:tc>
        <w:tc>
          <w:tcPr>
            <w:tcW w:w="272" w:type="pct"/>
            <w:tcBorders>
              <w:top w:val="nil"/>
              <w:left w:val="nil"/>
              <w:bottom w:val="dotted" w:sz="4" w:space="0" w:color="000000"/>
              <w:right w:val="single" w:sz="4" w:space="0" w:color="auto"/>
            </w:tcBorders>
            <w:shd w:val="clear" w:color="auto" w:fill="auto"/>
            <w:noWrap/>
            <w:vAlign w:val="center"/>
          </w:tcPr>
          <w:p w:rsidR="00AE0D86" w:rsidRPr="002E1C1C" w:rsidRDefault="002E1C1C" w:rsidP="008360DA">
            <w:pPr>
              <w:pStyle w:val="TableText"/>
              <w:spacing w:before="0" w:after="0"/>
              <w:rPr>
                <w:rFonts w:eastAsia="Times New Roman"/>
                <w:highlight w:val="black"/>
              </w:rPr>
            </w:pPr>
            <w:r w:rsidRPr="002E1C1C">
              <w:rPr>
                <w:rFonts w:cs="Arial"/>
                <w:szCs w:val="20"/>
                <w:highlight w:val="black"/>
              </w:rPr>
              <w:t>XXXX</w:t>
            </w:r>
          </w:p>
        </w:tc>
        <w:tc>
          <w:tcPr>
            <w:tcW w:w="272" w:type="pct"/>
            <w:tcBorders>
              <w:top w:val="nil"/>
              <w:left w:val="nil"/>
              <w:bottom w:val="dotted" w:sz="4" w:space="0" w:color="000000"/>
              <w:right w:val="dotted" w:sz="4" w:space="0" w:color="000000"/>
            </w:tcBorders>
            <w:shd w:val="clear" w:color="auto" w:fill="auto"/>
            <w:noWrap/>
            <w:vAlign w:val="center"/>
          </w:tcPr>
          <w:p w:rsidR="00AE0D86" w:rsidRPr="00AE50E0" w:rsidRDefault="00AE0D86" w:rsidP="003C6DFF">
            <w:pPr>
              <w:pStyle w:val="TableText"/>
              <w:keepNext/>
              <w:spacing w:before="0" w:after="0"/>
              <w:rPr>
                <w:rFonts w:asciiTheme="minorHAnsi" w:eastAsia="Times New Roman" w:hAnsiTheme="minorHAnsi" w:cstheme="minorHAnsi"/>
                <w:sz w:val="18"/>
                <w:szCs w:val="18"/>
              </w:rPr>
            </w:pPr>
            <w:r w:rsidRPr="00AE50E0">
              <w:rPr>
                <w:rFonts w:asciiTheme="minorHAnsi" w:eastAsia="Times New Roman" w:hAnsiTheme="minorHAnsi" w:cstheme="minorHAnsi"/>
                <w:sz w:val="18"/>
                <w:szCs w:val="18"/>
              </w:rPr>
              <w:t>2</w:t>
            </w:r>
          </w:p>
        </w:tc>
        <w:tc>
          <w:tcPr>
            <w:tcW w:w="589" w:type="pct"/>
            <w:tcBorders>
              <w:top w:val="nil"/>
              <w:left w:val="nil"/>
              <w:bottom w:val="dotted" w:sz="4" w:space="0" w:color="000000"/>
              <w:right w:val="dotted" w:sz="4" w:space="0" w:color="000000"/>
            </w:tcBorders>
            <w:shd w:val="clear" w:color="auto" w:fill="auto"/>
            <w:noWrap/>
            <w:vAlign w:val="center"/>
          </w:tcPr>
          <w:p w:rsidR="00AE0D86" w:rsidRPr="002E1C1C" w:rsidRDefault="00AE0D86" w:rsidP="003C6DFF">
            <w:pPr>
              <w:pStyle w:val="TableText"/>
              <w:keepNext/>
              <w:spacing w:before="0" w:after="0"/>
              <w:rPr>
                <w:rFonts w:asciiTheme="minorHAnsi" w:eastAsia="Times New Roman" w:hAnsiTheme="minorHAnsi" w:cstheme="minorHAnsi"/>
                <w:sz w:val="18"/>
                <w:szCs w:val="18"/>
              </w:rPr>
            </w:pPr>
            <w:r w:rsidRPr="002E1C1C">
              <w:rPr>
                <w:rFonts w:asciiTheme="minorHAnsi" w:eastAsia="Times New Roman" w:hAnsiTheme="minorHAnsi" w:cstheme="minorHAnsi"/>
                <w:sz w:val="18"/>
                <w:szCs w:val="18"/>
              </w:rPr>
              <w:t>$ 733,775</w:t>
            </w:r>
          </w:p>
        </w:tc>
        <w:tc>
          <w:tcPr>
            <w:tcW w:w="378" w:type="pct"/>
            <w:tcBorders>
              <w:top w:val="nil"/>
              <w:left w:val="nil"/>
              <w:bottom w:val="dotted" w:sz="4" w:space="0" w:color="000000"/>
              <w:right w:val="single" w:sz="4" w:space="0" w:color="000000"/>
            </w:tcBorders>
            <w:shd w:val="clear" w:color="auto" w:fill="auto"/>
            <w:noWrap/>
            <w:vAlign w:val="center"/>
          </w:tcPr>
          <w:p w:rsidR="00AE0D86" w:rsidRPr="002E1C1C" w:rsidRDefault="00AE0D86" w:rsidP="003C6DFF">
            <w:pPr>
              <w:pStyle w:val="TableText"/>
              <w:keepNext/>
              <w:spacing w:before="0" w:after="0"/>
              <w:rPr>
                <w:rFonts w:asciiTheme="minorHAnsi" w:eastAsia="Times New Roman" w:hAnsiTheme="minorHAnsi" w:cstheme="minorHAnsi"/>
                <w:sz w:val="18"/>
                <w:szCs w:val="18"/>
              </w:rPr>
            </w:pPr>
            <w:r w:rsidRPr="002E1C1C">
              <w:rPr>
                <w:rFonts w:asciiTheme="minorHAnsi" w:eastAsia="Times New Roman" w:hAnsiTheme="minorHAnsi" w:cstheme="minorHAnsi"/>
                <w:sz w:val="18"/>
                <w:szCs w:val="18"/>
              </w:rPr>
              <w:t>838.6</w:t>
            </w:r>
          </w:p>
        </w:tc>
      </w:tr>
      <w:tr w:rsidR="00E51006" w:rsidRPr="00B828B0" w:rsidTr="00AE0D86">
        <w:trPr>
          <w:trHeight w:val="525"/>
          <w:jc w:val="center"/>
        </w:trPr>
        <w:tc>
          <w:tcPr>
            <w:tcW w:w="538" w:type="pct"/>
            <w:tcBorders>
              <w:top w:val="nil"/>
              <w:left w:val="single" w:sz="4" w:space="0" w:color="auto"/>
              <w:bottom w:val="dotted" w:sz="4" w:space="0" w:color="000000"/>
              <w:right w:val="single" w:sz="4" w:space="0" w:color="auto"/>
            </w:tcBorders>
            <w:shd w:val="clear" w:color="auto" w:fill="auto"/>
            <w:noWrap/>
            <w:vAlign w:val="center"/>
            <w:hideMark/>
          </w:tcPr>
          <w:p w:rsidR="00B9656D" w:rsidRPr="00EF329D" w:rsidRDefault="00B9656D" w:rsidP="00B14FAD">
            <w:pPr>
              <w:pStyle w:val="TableText"/>
              <w:rPr>
                <w:rFonts w:eastAsia="Times New Roman"/>
              </w:rPr>
            </w:pPr>
            <w:r w:rsidRPr="00EF329D">
              <w:rPr>
                <w:rFonts w:eastAsia="Times New Roman"/>
              </w:rPr>
              <w:t>7</w:t>
            </w:r>
          </w:p>
        </w:tc>
        <w:tc>
          <w:tcPr>
            <w:tcW w:w="874" w:type="pct"/>
            <w:tcBorders>
              <w:top w:val="nil"/>
              <w:left w:val="nil"/>
              <w:bottom w:val="dotted" w:sz="4" w:space="0" w:color="000000"/>
              <w:right w:val="single" w:sz="4" w:space="0" w:color="auto"/>
            </w:tcBorders>
            <w:shd w:val="clear" w:color="auto" w:fill="auto"/>
            <w:vAlign w:val="center"/>
            <w:hideMark/>
          </w:tcPr>
          <w:p w:rsidR="00B9656D" w:rsidRPr="0053723E" w:rsidRDefault="00B9656D" w:rsidP="008360DA">
            <w:pPr>
              <w:pStyle w:val="Bullets"/>
              <w:numPr>
                <w:ilvl w:val="0"/>
                <w:numId w:val="0"/>
              </w:numPr>
              <w:spacing w:after="0"/>
              <w:jc w:val="center"/>
              <w:rPr>
                <w:sz w:val="20"/>
              </w:rPr>
            </w:pPr>
            <w:r w:rsidRPr="0053723E">
              <w:rPr>
                <w:sz w:val="20"/>
              </w:rPr>
              <w:t>Customer submits commissioning report</w:t>
            </w:r>
          </w:p>
        </w:tc>
        <w:tc>
          <w:tcPr>
            <w:tcW w:w="272" w:type="pct"/>
            <w:tcBorders>
              <w:top w:val="nil"/>
              <w:left w:val="nil"/>
              <w:bottom w:val="dotted" w:sz="4" w:space="0" w:color="000000"/>
              <w:right w:val="dotted" w:sz="4" w:space="0" w:color="000000"/>
            </w:tcBorders>
            <w:shd w:val="clear" w:color="auto" w:fill="auto"/>
            <w:noWrap/>
            <w:vAlign w:val="center"/>
          </w:tcPr>
          <w:p w:rsidR="00B9656D" w:rsidRPr="00B9656D" w:rsidRDefault="00A0014C" w:rsidP="008360DA">
            <w:pPr>
              <w:pStyle w:val="TableText"/>
              <w:spacing w:before="0" w:after="0"/>
              <w:rPr>
                <w:rFonts w:eastAsia="Times New Roman"/>
              </w:rPr>
            </w:pPr>
            <w:r>
              <w:rPr>
                <w:rFonts w:eastAsia="Times New Roman"/>
              </w:rPr>
              <w:t>0</w:t>
            </w:r>
          </w:p>
        </w:tc>
        <w:tc>
          <w:tcPr>
            <w:tcW w:w="568" w:type="pct"/>
            <w:tcBorders>
              <w:top w:val="nil"/>
              <w:left w:val="nil"/>
              <w:bottom w:val="dotted" w:sz="4" w:space="0" w:color="000000"/>
              <w:right w:val="dotted" w:sz="4" w:space="0" w:color="000000"/>
            </w:tcBorders>
            <w:shd w:val="clear" w:color="auto" w:fill="auto"/>
            <w:noWrap/>
            <w:vAlign w:val="center"/>
          </w:tcPr>
          <w:p w:rsidR="00B9656D" w:rsidRPr="00A0014C" w:rsidRDefault="00A0014C" w:rsidP="008360DA">
            <w:pPr>
              <w:pStyle w:val="TableText"/>
              <w:spacing w:before="0" w:after="0"/>
              <w:rPr>
                <w:rFonts w:eastAsia="Times New Roman"/>
              </w:rPr>
            </w:pPr>
            <w:r w:rsidRPr="00A0014C">
              <w:rPr>
                <w:rFonts w:eastAsia="Times New Roman"/>
              </w:rPr>
              <w:t>-</w:t>
            </w:r>
          </w:p>
        </w:tc>
        <w:tc>
          <w:tcPr>
            <w:tcW w:w="335" w:type="pct"/>
            <w:tcBorders>
              <w:top w:val="nil"/>
              <w:left w:val="nil"/>
              <w:bottom w:val="dotted" w:sz="4" w:space="0" w:color="000000"/>
              <w:right w:val="single" w:sz="4" w:space="0" w:color="auto"/>
            </w:tcBorders>
            <w:shd w:val="clear" w:color="auto" w:fill="auto"/>
            <w:noWrap/>
            <w:vAlign w:val="center"/>
          </w:tcPr>
          <w:p w:rsidR="00B9656D" w:rsidRPr="00A0014C" w:rsidRDefault="00A0014C"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922DAB" w:rsidP="008360DA">
            <w:pPr>
              <w:pStyle w:val="TableText"/>
              <w:spacing w:before="0" w:after="0"/>
              <w:rPr>
                <w:rFonts w:eastAsia="Times New Roman"/>
              </w:rPr>
            </w:pPr>
            <w:r>
              <w:rPr>
                <w:rFonts w:eastAsia="Times New Roman"/>
              </w:rPr>
              <w:t>0</w:t>
            </w:r>
          </w:p>
        </w:tc>
        <w:tc>
          <w:tcPr>
            <w:tcW w:w="631" w:type="pct"/>
            <w:tcBorders>
              <w:top w:val="nil"/>
              <w:left w:val="nil"/>
              <w:bottom w:val="dotted" w:sz="4" w:space="0" w:color="000000"/>
              <w:right w:val="dotted" w:sz="4" w:space="0" w:color="000000"/>
            </w:tcBorders>
            <w:shd w:val="clear" w:color="auto" w:fill="auto"/>
            <w:noWrap/>
            <w:vAlign w:val="center"/>
          </w:tcPr>
          <w:p w:rsidR="00B9656D" w:rsidRPr="00715D70" w:rsidRDefault="00943457"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single" w:sz="4" w:space="0" w:color="auto"/>
            </w:tcBorders>
            <w:shd w:val="clear" w:color="auto" w:fill="auto"/>
            <w:noWrap/>
            <w:vAlign w:val="center"/>
          </w:tcPr>
          <w:p w:rsidR="00B9656D" w:rsidRPr="00715D70" w:rsidRDefault="00943457"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B9656D" w:rsidRPr="00715D70" w:rsidRDefault="00715D70" w:rsidP="008360DA">
            <w:pPr>
              <w:pStyle w:val="TableText"/>
              <w:spacing w:before="0" w:after="0"/>
              <w:rPr>
                <w:rFonts w:eastAsia="Times New Roman"/>
              </w:rPr>
            </w:pPr>
            <w:r>
              <w:rPr>
                <w:rFonts w:eastAsia="Times New Roman"/>
              </w:rPr>
              <w:t>0</w:t>
            </w:r>
          </w:p>
        </w:tc>
        <w:tc>
          <w:tcPr>
            <w:tcW w:w="589" w:type="pct"/>
            <w:tcBorders>
              <w:top w:val="nil"/>
              <w:left w:val="nil"/>
              <w:bottom w:val="dotted" w:sz="4" w:space="0" w:color="000000"/>
              <w:right w:val="dotted" w:sz="4" w:space="0" w:color="000000"/>
            </w:tcBorders>
            <w:shd w:val="clear" w:color="auto" w:fill="auto"/>
            <w:noWrap/>
            <w:vAlign w:val="center"/>
          </w:tcPr>
          <w:p w:rsidR="00B9656D" w:rsidRPr="002E1C1C" w:rsidRDefault="00715D70" w:rsidP="008360DA">
            <w:pPr>
              <w:pStyle w:val="TableText"/>
              <w:spacing w:before="0" w:after="0"/>
              <w:rPr>
                <w:rFonts w:eastAsia="Times New Roman"/>
              </w:rPr>
            </w:pPr>
            <w:r w:rsidRPr="002E1C1C">
              <w:rPr>
                <w:rFonts w:eastAsia="Times New Roman"/>
              </w:rPr>
              <w:t>-</w:t>
            </w:r>
          </w:p>
        </w:tc>
        <w:tc>
          <w:tcPr>
            <w:tcW w:w="378" w:type="pct"/>
            <w:tcBorders>
              <w:top w:val="nil"/>
              <w:left w:val="nil"/>
              <w:bottom w:val="dotted" w:sz="4" w:space="0" w:color="000000"/>
              <w:right w:val="single" w:sz="4" w:space="0" w:color="000000"/>
            </w:tcBorders>
            <w:shd w:val="clear" w:color="auto" w:fill="auto"/>
            <w:noWrap/>
            <w:vAlign w:val="center"/>
          </w:tcPr>
          <w:p w:rsidR="00B9656D" w:rsidRPr="002E1C1C" w:rsidRDefault="00715D70" w:rsidP="008360DA">
            <w:pPr>
              <w:pStyle w:val="TableText"/>
              <w:spacing w:before="0" w:after="0"/>
              <w:rPr>
                <w:rFonts w:eastAsia="Times New Roman"/>
              </w:rPr>
            </w:pPr>
            <w:r w:rsidRPr="002E1C1C">
              <w:rPr>
                <w:rFonts w:eastAsia="Times New Roman"/>
              </w:rPr>
              <w:t>-</w:t>
            </w:r>
          </w:p>
        </w:tc>
      </w:tr>
      <w:tr w:rsidR="00AE0D86" w:rsidRPr="00B828B0" w:rsidTr="00AE0D86">
        <w:trPr>
          <w:trHeight w:val="525"/>
          <w:jc w:val="center"/>
        </w:trPr>
        <w:tc>
          <w:tcPr>
            <w:tcW w:w="538" w:type="pct"/>
            <w:tcBorders>
              <w:top w:val="nil"/>
              <w:left w:val="single" w:sz="4" w:space="0" w:color="auto"/>
              <w:bottom w:val="dotted" w:sz="4" w:space="0" w:color="000000"/>
              <w:right w:val="single" w:sz="4" w:space="0" w:color="auto"/>
            </w:tcBorders>
            <w:shd w:val="clear" w:color="auto" w:fill="auto"/>
            <w:noWrap/>
            <w:vAlign w:val="center"/>
            <w:hideMark/>
          </w:tcPr>
          <w:p w:rsidR="00AE0D86" w:rsidRPr="00EF329D" w:rsidRDefault="00AE0D86" w:rsidP="00B14FAD">
            <w:pPr>
              <w:pStyle w:val="TableText"/>
              <w:rPr>
                <w:rFonts w:eastAsia="Times New Roman"/>
              </w:rPr>
            </w:pPr>
            <w:r w:rsidRPr="00EF329D">
              <w:rPr>
                <w:rFonts w:eastAsia="Times New Roman"/>
              </w:rPr>
              <w:t>8</w:t>
            </w:r>
          </w:p>
        </w:tc>
        <w:tc>
          <w:tcPr>
            <w:tcW w:w="874" w:type="pct"/>
            <w:tcBorders>
              <w:top w:val="nil"/>
              <w:left w:val="nil"/>
              <w:bottom w:val="dotted" w:sz="4" w:space="0" w:color="000000"/>
              <w:right w:val="single" w:sz="4" w:space="0" w:color="auto"/>
            </w:tcBorders>
            <w:shd w:val="clear" w:color="auto" w:fill="auto"/>
            <w:vAlign w:val="center"/>
            <w:hideMark/>
          </w:tcPr>
          <w:p w:rsidR="00AE0D86" w:rsidRPr="00EF329D" w:rsidRDefault="00AE0D86" w:rsidP="008360DA">
            <w:pPr>
              <w:spacing w:after="0"/>
              <w:jc w:val="center"/>
              <w:rPr>
                <w:rFonts w:ascii="Arial" w:eastAsia="Times New Roman" w:hAnsi="Arial" w:cs="Arial"/>
                <w:color w:val="0070CD" w:themeColor="text2"/>
                <w:sz w:val="20"/>
                <w:szCs w:val="20"/>
              </w:rPr>
            </w:pPr>
            <w:r w:rsidRPr="00EF329D">
              <w:rPr>
                <w:rFonts w:ascii="Arial" w:eastAsia="Times New Roman" w:hAnsi="Arial" w:cs="Arial"/>
                <w:sz w:val="20"/>
                <w:szCs w:val="20"/>
              </w:rPr>
              <w:t>IOU reviews commissioning report and conducts post-installation inspection, tests and cost verifications</w:t>
            </w:r>
          </w:p>
        </w:tc>
        <w:tc>
          <w:tcPr>
            <w:tcW w:w="272" w:type="pct"/>
            <w:tcBorders>
              <w:top w:val="nil"/>
              <w:left w:val="nil"/>
              <w:bottom w:val="dotted" w:sz="4" w:space="0" w:color="000000"/>
              <w:right w:val="dotted" w:sz="4" w:space="0" w:color="000000"/>
            </w:tcBorders>
            <w:shd w:val="clear" w:color="auto" w:fill="auto"/>
            <w:noWrap/>
            <w:vAlign w:val="center"/>
          </w:tcPr>
          <w:p w:rsidR="00AE0D86" w:rsidRPr="00B9656D" w:rsidRDefault="00AE0D86" w:rsidP="008360DA">
            <w:pPr>
              <w:pStyle w:val="TableText"/>
              <w:spacing w:before="0" w:after="0"/>
              <w:rPr>
                <w:rFonts w:eastAsia="Times New Roman"/>
              </w:rPr>
            </w:pPr>
            <w:r>
              <w:rPr>
                <w:rFonts w:eastAsia="Times New Roman"/>
              </w:rPr>
              <w:t>0</w:t>
            </w:r>
          </w:p>
        </w:tc>
        <w:tc>
          <w:tcPr>
            <w:tcW w:w="568" w:type="pct"/>
            <w:tcBorders>
              <w:top w:val="nil"/>
              <w:left w:val="nil"/>
              <w:bottom w:val="dotted" w:sz="4" w:space="0" w:color="000000"/>
              <w:right w:val="dotted" w:sz="4" w:space="0" w:color="000000"/>
            </w:tcBorders>
            <w:shd w:val="clear" w:color="auto" w:fill="auto"/>
            <w:noWrap/>
            <w:vAlign w:val="center"/>
          </w:tcPr>
          <w:p w:rsidR="00AE0D86" w:rsidRPr="00A0014C" w:rsidRDefault="00AE0D86" w:rsidP="008360DA">
            <w:pPr>
              <w:pStyle w:val="TableText"/>
              <w:spacing w:before="0" w:after="0"/>
              <w:rPr>
                <w:rFonts w:eastAsia="Times New Roman"/>
              </w:rPr>
            </w:pPr>
            <w:r w:rsidRPr="00A0014C">
              <w:rPr>
                <w:rFonts w:eastAsia="Times New Roman"/>
              </w:rPr>
              <w:t>-</w:t>
            </w:r>
          </w:p>
        </w:tc>
        <w:tc>
          <w:tcPr>
            <w:tcW w:w="335" w:type="pct"/>
            <w:tcBorders>
              <w:top w:val="nil"/>
              <w:left w:val="nil"/>
              <w:bottom w:val="dotted" w:sz="4" w:space="0" w:color="000000"/>
              <w:right w:val="single" w:sz="4" w:space="0" w:color="auto"/>
            </w:tcBorders>
            <w:shd w:val="clear" w:color="auto" w:fill="auto"/>
            <w:noWrap/>
            <w:vAlign w:val="center"/>
          </w:tcPr>
          <w:p w:rsidR="00AE0D86" w:rsidRPr="00A0014C" w:rsidRDefault="00AE0D86" w:rsidP="008360DA">
            <w:pPr>
              <w:pStyle w:val="TableText"/>
              <w:spacing w:before="0" w:after="0"/>
              <w:rPr>
                <w:rFonts w:eastAsia="Times New Roman"/>
              </w:rPr>
            </w:pPr>
            <w:r>
              <w:rPr>
                <w:rFonts w:eastAsia="Times New Roman"/>
              </w:rPr>
              <w:t>-</w:t>
            </w:r>
          </w:p>
        </w:tc>
        <w:tc>
          <w:tcPr>
            <w:tcW w:w="272" w:type="pct"/>
            <w:tcBorders>
              <w:top w:val="nil"/>
              <w:left w:val="nil"/>
              <w:bottom w:val="dotted" w:sz="4" w:space="0" w:color="000000"/>
              <w:right w:val="dotted" w:sz="4" w:space="0" w:color="000000"/>
            </w:tcBorders>
            <w:shd w:val="clear" w:color="auto" w:fill="auto"/>
            <w:noWrap/>
            <w:vAlign w:val="center"/>
          </w:tcPr>
          <w:p w:rsidR="00AE0D86" w:rsidRPr="00715D70" w:rsidRDefault="00AE0D86" w:rsidP="008360DA">
            <w:pPr>
              <w:pStyle w:val="TableText"/>
              <w:spacing w:before="0" w:after="0"/>
              <w:rPr>
                <w:rFonts w:eastAsia="Times New Roman"/>
              </w:rPr>
            </w:pPr>
            <w:r>
              <w:rPr>
                <w:rFonts w:eastAsia="Times New Roman"/>
              </w:rPr>
              <w:t>0</w:t>
            </w:r>
          </w:p>
        </w:tc>
        <w:tc>
          <w:tcPr>
            <w:tcW w:w="631" w:type="pct"/>
            <w:tcBorders>
              <w:top w:val="nil"/>
              <w:left w:val="nil"/>
              <w:bottom w:val="dotted" w:sz="4" w:space="0" w:color="000000"/>
              <w:right w:val="dotted" w:sz="4" w:space="0" w:color="000000"/>
            </w:tcBorders>
            <w:shd w:val="clear" w:color="auto" w:fill="auto"/>
            <w:noWrap/>
            <w:vAlign w:val="center"/>
          </w:tcPr>
          <w:p w:rsidR="00AE0D86" w:rsidRPr="00922DAB" w:rsidRDefault="00AE0D86" w:rsidP="008360DA">
            <w:pPr>
              <w:pStyle w:val="TableText"/>
              <w:keepNext/>
              <w:spacing w:before="0" w:after="0"/>
              <w:rPr>
                <w:rFonts w:eastAsia="Times New Roman"/>
              </w:rPr>
            </w:pPr>
            <w:r>
              <w:rPr>
                <w:rFonts w:eastAsia="Times New Roman"/>
              </w:rPr>
              <w:t>-</w:t>
            </w:r>
          </w:p>
        </w:tc>
        <w:tc>
          <w:tcPr>
            <w:tcW w:w="272" w:type="pct"/>
            <w:tcBorders>
              <w:top w:val="nil"/>
              <w:left w:val="nil"/>
              <w:bottom w:val="dotted" w:sz="4" w:space="0" w:color="000000"/>
              <w:right w:val="single" w:sz="4" w:space="0" w:color="auto"/>
            </w:tcBorders>
            <w:shd w:val="clear" w:color="auto" w:fill="auto"/>
            <w:noWrap/>
            <w:vAlign w:val="center"/>
          </w:tcPr>
          <w:p w:rsidR="00AE0D86" w:rsidRPr="00922DAB" w:rsidRDefault="00AE0D86" w:rsidP="008360DA">
            <w:pPr>
              <w:keepNext/>
              <w:spacing w:after="0" w:line="240" w:lineRule="auto"/>
              <w:jc w:val="center"/>
              <w:rPr>
                <w:rFonts w:ascii="Arial" w:hAnsi="Arial" w:cs="Arial"/>
              </w:rPr>
            </w:pPr>
            <w:r>
              <w:rPr>
                <w:rFonts w:ascii="Arial" w:hAnsi="Arial" w:cs="Arial"/>
              </w:rPr>
              <w:t>-</w:t>
            </w:r>
          </w:p>
        </w:tc>
        <w:tc>
          <w:tcPr>
            <w:tcW w:w="272" w:type="pct"/>
            <w:tcBorders>
              <w:top w:val="nil"/>
              <w:left w:val="nil"/>
              <w:bottom w:val="dotted" w:sz="4" w:space="0" w:color="000000"/>
              <w:right w:val="dotted" w:sz="4" w:space="0" w:color="000000"/>
            </w:tcBorders>
            <w:shd w:val="clear" w:color="auto" w:fill="auto"/>
            <w:noWrap/>
            <w:vAlign w:val="center"/>
          </w:tcPr>
          <w:p w:rsidR="00AE0D86" w:rsidRPr="00715D70" w:rsidRDefault="00AE0D86" w:rsidP="003C6DFF">
            <w:pPr>
              <w:pStyle w:val="TableText"/>
              <w:spacing w:before="0" w:after="0"/>
              <w:rPr>
                <w:rFonts w:eastAsia="Times New Roman"/>
              </w:rPr>
            </w:pPr>
            <w:r>
              <w:rPr>
                <w:rFonts w:eastAsia="Times New Roman"/>
              </w:rPr>
              <w:t>0</w:t>
            </w:r>
          </w:p>
        </w:tc>
        <w:tc>
          <w:tcPr>
            <w:tcW w:w="589" w:type="pct"/>
            <w:tcBorders>
              <w:top w:val="nil"/>
              <w:left w:val="nil"/>
              <w:bottom w:val="dotted" w:sz="4" w:space="0" w:color="000000"/>
              <w:right w:val="dotted" w:sz="4" w:space="0" w:color="000000"/>
            </w:tcBorders>
            <w:shd w:val="clear" w:color="auto" w:fill="auto"/>
            <w:noWrap/>
            <w:vAlign w:val="center"/>
          </w:tcPr>
          <w:p w:rsidR="00AE0D86" w:rsidRPr="002E1C1C" w:rsidRDefault="00AE0D86" w:rsidP="003C6DFF">
            <w:pPr>
              <w:pStyle w:val="TableText"/>
              <w:spacing w:before="0" w:after="0"/>
              <w:rPr>
                <w:rFonts w:eastAsia="Times New Roman"/>
              </w:rPr>
            </w:pPr>
            <w:r w:rsidRPr="002E1C1C">
              <w:rPr>
                <w:rFonts w:eastAsia="Times New Roman"/>
              </w:rPr>
              <w:t>-</w:t>
            </w:r>
          </w:p>
        </w:tc>
        <w:tc>
          <w:tcPr>
            <w:tcW w:w="378" w:type="pct"/>
            <w:tcBorders>
              <w:top w:val="nil"/>
              <w:left w:val="nil"/>
              <w:bottom w:val="dotted" w:sz="4" w:space="0" w:color="000000"/>
              <w:right w:val="single" w:sz="4" w:space="0" w:color="000000"/>
            </w:tcBorders>
            <w:shd w:val="clear" w:color="auto" w:fill="auto"/>
            <w:noWrap/>
            <w:vAlign w:val="center"/>
          </w:tcPr>
          <w:p w:rsidR="00AE0D86" w:rsidRPr="002E1C1C" w:rsidRDefault="00AE0D86" w:rsidP="003C6DFF">
            <w:pPr>
              <w:pStyle w:val="TableText"/>
              <w:spacing w:before="0" w:after="0"/>
              <w:rPr>
                <w:rFonts w:eastAsia="Times New Roman"/>
              </w:rPr>
            </w:pPr>
            <w:r w:rsidRPr="002E1C1C">
              <w:rPr>
                <w:rFonts w:eastAsia="Times New Roman"/>
              </w:rPr>
              <w:t>-</w:t>
            </w:r>
          </w:p>
        </w:tc>
      </w:tr>
      <w:tr w:rsidR="00AE0D86" w:rsidRPr="00B828B0" w:rsidTr="00AE0D86">
        <w:trPr>
          <w:trHeight w:val="525"/>
          <w:jc w:val="center"/>
        </w:trPr>
        <w:tc>
          <w:tcPr>
            <w:tcW w:w="538" w:type="pct"/>
            <w:tcBorders>
              <w:top w:val="nil"/>
              <w:left w:val="single" w:sz="4" w:space="0" w:color="auto"/>
              <w:bottom w:val="single" w:sz="4" w:space="0" w:color="auto"/>
              <w:right w:val="single" w:sz="4" w:space="0" w:color="auto"/>
            </w:tcBorders>
            <w:shd w:val="clear" w:color="auto" w:fill="auto"/>
            <w:noWrap/>
            <w:vAlign w:val="center"/>
            <w:hideMark/>
          </w:tcPr>
          <w:p w:rsidR="00AE0D86" w:rsidRPr="00EF329D" w:rsidRDefault="00AE0D86" w:rsidP="00B14FAD">
            <w:pPr>
              <w:pStyle w:val="TableText"/>
              <w:rPr>
                <w:rFonts w:eastAsia="Times New Roman"/>
              </w:rPr>
            </w:pPr>
            <w:r w:rsidRPr="00EF329D">
              <w:rPr>
                <w:rFonts w:eastAsia="Times New Roman"/>
              </w:rPr>
              <w:t>9</w:t>
            </w:r>
          </w:p>
        </w:tc>
        <w:tc>
          <w:tcPr>
            <w:tcW w:w="874" w:type="pct"/>
            <w:tcBorders>
              <w:top w:val="nil"/>
              <w:left w:val="nil"/>
              <w:bottom w:val="nil"/>
              <w:right w:val="single" w:sz="4" w:space="0" w:color="auto"/>
            </w:tcBorders>
            <w:shd w:val="clear" w:color="auto" w:fill="auto"/>
            <w:vAlign w:val="center"/>
            <w:hideMark/>
          </w:tcPr>
          <w:p w:rsidR="00AE0D86" w:rsidRPr="00EF329D" w:rsidRDefault="00AE0D86" w:rsidP="008360DA">
            <w:pPr>
              <w:spacing w:after="0"/>
              <w:jc w:val="center"/>
              <w:rPr>
                <w:rFonts w:ascii="Arial" w:eastAsia="Times New Roman" w:hAnsi="Arial" w:cs="Arial"/>
                <w:color w:val="0070CD" w:themeColor="text2"/>
                <w:sz w:val="20"/>
                <w:szCs w:val="20"/>
              </w:rPr>
            </w:pPr>
            <w:r w:rsidRPr="00EF329D">
              <w:rPr>
                <w:rFonts w:ascii="Arial" w:hAnsi="Arial" w:cs="Arial"/>
                <w:sz w:val="20"/>
                <w:szCs w:val="20"/>
              </w:rPr>
              <w:t>Customer receives final PLS program incentive</w:t>
            </w:r>
          </w:p>
        </w:tc>
        <w:tc>
          <w:tcPr>
            <w:tcW w:w="272" w:type="pct"/>
            <w:tcBorders>
              <w:top w:val="nil"/>
              <w:left w:val="nil"/>
              <w:bottom w:val="nil"/>
              <w:right w:val="dotted" w:sz="4" w:space="0" w:color="000000"/>
            </w:tcBorders>
            <w:shd w:val="clear" w:color="auto" w:fill="auto"/>
            <w:noWrap/>
            <w:vAlign w:val="center"/>
          </w:tcPr>
          <w:p w:rsidR="00AE0D86" w:rsidRPr="00B9656D" w:rsidRDefault="00AE0D86" w:rsidP="008360DA">
            <w:pPr>
              <w:pStyle w:val="TableText"/>
              <w:spacing w:before="0" w:after="0"/>
              <w:rPr>
                <w:rFonts w:eastAsia="Times New Roman"/>
                <w:bCs/>
              </w:rPr>
            </w:pPr>
            <w:r>
              <w:rPr>
                <w:rFonts w:eastAsia="Times New Roman"/>
                <w:bCs/>
              </w:rPr>
              <w:t>1</w:t>
            </w:r>
          </w:p>
        </w:tc>
        <w:tc>
          <w:tcPr>
            <w:tcW w:w="568" w:type="pct"/>
            <w:tcBorders>
              <w:top w:val="nil"/>
              <w:left w:val="nil"/>
              <w:bottom w:val="nil"/>
              <w:right w:val="dotted" w:sz="4" w:space="0" w:color="000000"/>
            </w:tcBorders>
            <w:shd w:val="clear" w:color="auto" w:fill="auto"/>
            <w:noWrap/>
            <w:vAlign w:val="center"/>
          </w:tcPr>
          <w:p w:rsidR="00AE0D86" w:rsidRPr="002E1C1C" w:rsidRDefault="002E1C1C" w:rsidP="008360DA">
            <w:pPr>
              <w:pStyle w:val="TableText"/>
              <w:keepNext/>
              <w:spacing w:before="0" w:after="0"/>
              <w:rPr>
                <w:rFonts w:eastAsia="Times New Roman"/>
                <w:bCs/>
                <w:highlight w:val="black"/>
              </w:rPr>
            </w:pPr>
            <w:r w:rsidRPr="002E1C1C">
              <w:rPr>
                <w:rFonts w:cs="Arial"/>
                <w:szCs w:val="20"/>
                <w:highlight w:val="black"/>
              </w:rPr>
              <w:t>XXXXXXXX</w:t>
            </w:r>
          </w:p>
        </w:tc>
        <w:tc>
          <w:tcPr>
            <w:tcW w:w="335" w:type="pct"/>
            <w:tcBorders>
              <w:top w:val="nil"/>
              <w:left w:val="nil"/>
              <w:bottom w:val="nil"/>
              <w:right w:val="single" w:sz="4" w:space="0" w:color="auto"/>
            </w:tcBorders>
            <w:shd w:val="clear" w:color="auto" w:fill="auto"/>
            <w:noWrap/>
            <w:vAlign w:val="center"/>
          </w:tcPr>
          <w:p w:rsidR="00AE0D86" w:rsidRPr="002E1C1C" w:rsidRDefault="002E1C1C" w:rsidP="008360DA">
            <w:pPr>
              <w:pStyle w:val="TableText"/>
              <w:keepNext/>
              <w:spacing w:before="0" w:after="0"/>
              <w:rPr>
                <w:rFonts w:eastAsia="Times New Roman"/>
                <w:bCs/>
                <w:highlight w:val="black"/>
              </w:rPr>
            </w:pPr>
            <w:r w:rsidRPr="002E1C1C">
              <w:rPr>
                <w:rFonts w:cs="Arial"/>
                <w:szCs w:val="20"/>
                <w:highlight w:val="black"/>
              </w:rPr>
              <w:t>XXXX</w:t>
            </w:r>
          </w:p>
        </w:tc>
        <w:tc>
          <w:tcPr>
            <w:tcW w:w="272" w:type="pct"/>
            <w:tcBorders>
              <w:top w:val="nil"/>
              <w:left w:val="nil"/>
              <w:bottom w:val="nil"/>
              <w:right w:val="dotted" w:sz="4" w:space="0" w:color="000000"/>
            </w:tcBorders>
            <w:shd w:val="clear" w:color="auto" w:fill="auto"/>
            <w:noWrap/>
            <w:vAlign w:val="center"/>
          </w:tcPr>
          <w:p w:rsidR="00AE0D86" w:rsidRPr="00A0014C" w:rsidRDefault="00AE0D86" w:rsidP="008360DA">
            <w:pPr>
              <w:pStyle w:val="TableText"/>
              <w:spacing w:before="0" w:after="0"/>
              <w:rPr>
                <w:rFonts w:eastAsia="Times New Roman"/>
              </w:rPr>
            </w:pPr>
            <w:r>
              <w:rPr>
                <w:rFonts w:eastAsia="Times New Roman"/>
              </w:rPr>
              <w:t>3</w:t>
            </w:r>
          </w:p>
        </w:tc>
        <w:tc>
          <w:tcPr>
            <w:tcW w:w="631" w:type="pct"/>
            <w:tcBorders>
              <w:top w:val="nil"/>
              <w:left w:val="nil"/>
              <w:bottom w:val="nil"/>
              <w:right w:val="dotted" w:sz="4" w:space="0" w:color="000000"/>
            </w:tcBorders>
            <w:shd w:val="clear" w:color="auto" w:fill="auto"/>
            <w:noWrap/>
            <w:vAlign w:val="center"/>
          </w:tcPr>
          <w:p w:rsidR="00AE0D86" w:rsidRPr="002E1C1C" w:rsidRDefault="002E1C1C" w:rsidP="008360DA">
            <w:pPr>
              <w:spacing w:after="0"/>
              <w:jc w:val="center"/>
              <w:rPr>
                <w:rFonts w:cs="Arial"/>
                <w:color w:val="000000"/>
                <w:szCs w:val="20"/>
                <w:highlight w:val="black"/>
              </w:rPr>
            </w:pPr>
            <w:r w:rsidRPr="002E1C1C">
              <w:rPr>
                <w:rFonts w:ascii="Arial" w:hAnsi="Arial" w:cs="Arial"/>
                <w:sz w:val="20"/>
                <w:szCs w:val="20"/>
                <w:highlight w:val="black"/>
              </w:rPr>
              <w:t>XXXXXXXX</w:t>
            </w:r>
          </w:p>
        </w:tc>
        <w:tc>
          <w:tcPr>
            <w:tcW w:w="272" w:type="pct"/>
            <w:tcBorders>
              <w:top w:val="nil"/>
              <w:left w:val="nil"/>
              <w:bottom w:val="nil"/>
              <w:right w:val="single" w:sz="4" w:space="0" w:color="auto"/>
            </w:tcBorders>
            <w:shd w:val="clear" w:color="auto" w:fill="auto"/>
            <w:noWrap/>
            <w:vAlign w:val="center"/>
          </w:tcPr>
          <w:p w:rsidR="00AE0D86" w:rsidRPr="002E1C1C" w:rsidRDefault="002E1C1C" w:rsidP="008360DA">
            <w:pPr>
              <w:pStyle w:val="TableText"/>
              <w:keepNext/>
              <w:spacing w:before="0" w:after="0"/>
              <w:rPr>
                <w:rFonts w:eastAsia="Times New Roman"/>
                <w:highlight w:val="black"/>
              </w:rPr>
            </w:pPr>
            <w:r w:rsidRPr="002E1C1C">
              <w:rPr>
                <w:rFonts w:cs="Arial"/>
                <w:szCs w:val="20"/>
                <w:highlight w:val="black"/>
              </w:rPr>
              <w:t>XXXX</w:t>
            </w:r>
          </w:p>
        </w:tc>
        <w:tc>
          <w:tcPr>
            <w:tcW w:w="272" w:type="pct"/>
            <w:tcBorders>
              <w:top w:val="nil"/>
              <w:left w:val="nil"/>
              <w:bottom w:val="nil"/>
              <w:right w:val="dotted" w:sz="4" w:space="0" w:color="000000"/>
            </w:tcBorders>
            <w:shd w:val="clear" w:color="auto" w:fill="auto"/>
            <w:noWrap/>
            <w:vAlign w:val="center"/>
          </w:tcPr>
          <w:p w:rsidR="00AE0D86" w:rsidRPr="00AE50E0" w:rsidRDefault="00AE0D86" w:rsidP="003C6DFF">
            <w:pPr>
              <w:pStyle w:val="TableText"/>
              <w:keepNext/>
              <w:spacing w:before="0" w:after="0"/>
              <w:rPr>
                <w:rFonts w:asciiTheme="minorHAnsi" w:eastAsia="Times New Roman" w:hAnsiTheme="minorHAnsi" w:cstheme="minorHAnsi"/>
                <w:sz w:val="18"/>
                <w:szCs w:val="18"/>
              </w:rPr>
            </w:pPr>
            <w:r>
              <w:rPr>
                <w:rFonts w:asciiTheme="minorHAnsi" w:eastAsia="Times New Roman" w:hAnsiTheme="minorHAnsi" w:cstheme="minorHAnsi"/>
                <w:sz w:val="18"/>
                <w:szCs w:val="18"/>
              </w:rPr>
              <w:t>3</w:t>
            </w:r>
          </w:p>
        </w:tc>
        <w:tc>
          <w:tcPr>
            <w:tcW w:w="589" w:type="pct"/>
            <w:tcBorders>
              <w:top w:val="nil"/>
              <w:left w:val="nil"/>
              <w:bottom w:val="nil"/>
              <w:right w:val="dotted" w:sz="4" w:space="0" w:color="000000"/>
            </w:tcBorders>
            <w:shd w:val="clear" w:color="auto" w:fill="auto"/>
            <w:noWrap/>
            <w:vAlign w:val="center"/>
          </w:tcPr>
          <w:p w:rsidR="00AE0D86" w:rsidRPr="002E1C1C" w:rsidRDefault="00AE0D86" w:rsidP="003C6DFF">
            <w:pPr>
              <w:keepNext/>
              <w:spacing w:after="0" w:line="240" w:lineRule="auto"/>
              <w:jc w:val="center"/>
              <w:rPr>
                <w:rFonts w:cstheme="minorHAnsi"/>
                <w:color w:val="000000"/>
                <w:sz w:val="18"/>
                <w:szCs w:val="18"/>
              </w:rPr>
            </w:pPr>
            <w:r w:rsidRPr="002E1C1C">
              <w:rPr>
                <w:rFonts w:cstheme="minorHAnsi"/>
                <w:color w:val="000000"/>
                <w:sz w:val="18"/>
                <w:szCs w:val="18"/>
              </w:rPr>
              <w:t>$    1,854,667.5</w:t>
            </w:r>
          </w:p>
        </w:tc>
        <w:tc>
          <w:tcPr>
            <w:tcW w:w="378" w:type="pct"/>
            <w:tcBorders>
              <w:top w:val="nil"/>
              <w:left w:val="nil"/>
              <w:bottom w:val="nil"/>
              <w:right w:val="single" w:sz="4" w:space="0" w:color="000000"/>
            </w:tcBorders>
            <w:shd w:val="clear" w:color="auto" w:fill="auto"/>
            <w:noWrap/>
            <w:vAlign w:val="center"/>
          </w:tcPr>
          <w:p w:rsidR="00AE0D86" w:rsidRPr="002E1C1C" w:rsidRDefault="00AE0D86" w:rsidP="003C6DFF">
            <w:pPr>
              <w:pStyle w:val="TableText"/>
              <w:keepNext/>
              <w:spacing w:before="0" w:after="0"/>
              <w:rPr>
                <w:rFonts w:asciiTheme="minorHAnsi" w:eastAsia="Times New Roman" w:hAnsiTheme="minorHAnsi" w:cstheme="minorHAnsi"/>
                <w:sz w:val="18"/>
                <w:szCs w:val="18"/>
              </w:rPr>
            </w:pPr>
            <w:r w:rsidRPr="002E1C1C">
              <w:rPr>
                <w:rFonts w:asciiTheme="minorHAnsi" w:eastAsia="Times New Roman" w:hAnsiTheme="minorHAnsi" w:cstheme="minorHAnsi"/>
                <w:sz w:val="18"/>
                <w:szCs w:val="18"/>
              </w:rPr>
              <w:t>1,631.09</w:t>
            </w:r>
          </w:p>
        </w:tc>
      </w:tr>
      <w:tr w:rsidR="00E51006" w:rsidRPr="00B828B0" w:rsidTr="00AE0D86">
        <w:trPr>
          <w:trHeight w:val="525"/>
          <w:jc w:val="center"/>
        </w:trPr>
        <w:tc>
          <w:tcPr>
            <w:tcW w:w="1411"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E51006" w:rsidRPr="00EF329D" w:rsidRDefault="00E51006" w:rsidP="00B14FAD">
            <w:pPr>
              <w:pStyle w:val="TableText"/>
              <w:rPr>
                <w:rFonts w:eastAsia="Times New Roman"/>
                <w:b/>
                <w:bCs/>
              </w:rPr>
            </w:pPr>
            <w:r w:rsidRPr="00EF329D">
              <w:rPr>
                <w:rFonts w:eastAsia="Times New Roman"/>
                <w:b/>
                <w:bCs/>
              </w:rPr>
              <w:t>Total</w:t>
            </w:r>
          </w:p>
        </w:tc>
        <w:tc>
          <w:tcPr>
            <w:tcW w:w="272" w:type="pct"/>
            <w:tcBorders>
              <w:top w:val="single" w:sz="4" w:space="0" w:color="auto"/>
              <w:left w:val="nil"/>
              <w:bottom w:val="single" w:sz="4" w:space="0" w:color="auto"/>
              <w:right w:val="dotted" w:sz="4" w:space="0" w:color="000000"/>
            </w:tcBorders>
            <w:shd w:val="clear" w:color="auto" w:fill="auto"/>
            <w:noWrap/>
            <w:vAlign w:val="center"/>
          </w:tcPr>
          <w:p w:rsidR="00E51006" w:rsidRPr="00B9656D" w:rsidRDefault="00A0014C" w:rsidP="008360DA">
            <w:pPr>
              <w:pStyle w:val="TableText"/>
              <w:spacing w:before="0" w:after="0"/>
              <w:rPr>
                <w:rFonts w:eastAsia="Times New Roman"/>
                <w:b/>
                <w:bCs/>
              </w:rPr>
            </w:pPr>
            <w:r>
              <w:rPr>
                <w:rFonts w:eastAsia="Times New Roman"/>
                <w:b/>
                <w:bCs/>
              </w:rPr>
              <w:t>6</w:t>
            </w:r>
          </w:p>
        </w:tc>
        <w:tc>
          <w:tcPr>
            <w:tcW w:w="568" w:type="pct"/>
            <w:tcBorders>
              <w:top w:val="single" w:sz="4" w:space="0" w:color="auto"/>
              <w:left w:val="nil"/>
              <w:bottom w:val="single" w:sz="4" w:space="0" w:color="auto"/>
              <w:right w:val="dotted" w:sz="4" w:space="0" w:color="000000"/>
            </w:tcBorders>
            <w:shd w:val="clear" w:color="auto" w:fill="auto"/>
            <w:noWrap/>
            <w:vAlign w:val="center"/>
          </w:tcPr>
          <w:p w:rsidR="00E51006" w:rsidRPr="002E1C1C" w:rsidRDefault="002E1C1C" w:rsidP="008360DA">
            <w:pPr>
              <w:pStyle w:val="TableText"/>
              <w:keepNext/>
              <w:spacing w:before="0" w:after="0"/>
              <w:rPr>
                <w:rFonts w:eastAsia="Times New Roman"/>
                <w:b/>
                <w:bCs/>
                <w:highlight w:val="black"/>
              </w:rPr>
            </w:pPr>
            <w:r w:rsidRPr="002E1C1C">
              <w:rPr>
                <w:rFonts w:cs="Arial"/>
                <w:szCs w:val="20"/>
                <w:highlight w:val="black"/>
              </w:rPr>
              <w:t>XXXXXXXX</w:t>
            </w:r>
          </w:p>
        </w:tc>
        <w:tc>
          <w:tcPr>
            <w:tcW w:w="335" w:type="pct"/>
            <w:tcBorders>
              <w:top w:val="single" w:sz="4" w:space="0" w:color="auto"/>
              <w:left w:val="nil"/>
              <w:bottom w:val="single" w:sz="4" w:space="0" w:color="auto"/>
              <w:right w:val="single" w:sz="4" w:space="0" w:color="auto"/>
            </w:tcBorders>
            <w:shd w:val="clear" w:color="auto" w:fill="auto"/>
            <w:noWrap/>
            <w:vAlign w:val="center"/>
          </w:tcPr>
          <w:p w:rsidR="00E51006" w:rsidRPr="002E1C1C" w:rsidRDefault="002E1C1C" w:rsidP="008360DA">
            <w:pPr>
              <w:pStyle w:val="TableText"/>
              <w:keepNext/>
              <w:spacing w:before="0" w:after="0"/>
              <w:rPr>
                <w:rFonts w:eastAsia="Times New Roman"/>
                <w:b/>
                <w:bCs/>
                <w:highlight w:val="black"/>
              </w:rPr>
            </w:pPr>
            <w:r w:rsidRPr="002E1C1C">
              <w:rPr>
                <w:rFonts w:cs="Arial"/>
                <w:szCs w:val="20"/>
                <w:highlight w:val="black"/>
              </w:rPr>
              <w:t>XXXX</w:t>
            </w:r>
          </w:p>
        </w:tc>
        <w:tc>
          <w:tcPr>
            <w:tcW w:w="272" w:type="pct"/>
            <w:tcBorders>
              <w:top w:val="single" w:sz="4" w:space="0" w:color="auto"/>
              <w:left w:val="nil"/>
              <w:bottom w:val="single" w:sz="4" w:space="0" w:color="auto"/>
              <w:right w:val="dotted" w:sz="4" w:space="0" w:color="000000"/>
            </w:tcBorders>
            <w:shd w:val="clear" w:color="auto" w:fill="auto"/>
            <w:noWrap/>
            <w:vAlign w:val="center"/>
          </w:tcPr>
          <w:p w:rsidR="00E51006" w:rsidRPr="00A0014C" w:rsidRDefault="00943457" w:rsidP="008360DA">
            <w:pPr>
              <w:pStyle w:val="TableText"/>
              <w:spacing w:before="0" w:after="0"/>
              <w:rPr>
                <w:rFonts w:eastAsia="Times New Roman"/>
                <w:b/>
                <w:bCs/>
              </w:rPr>
            </w:pPr>
            <w:r>
              <w:rPr>
                <w:rFonts w:eastAsia="Times New Roman"/>
                <w:b/>
                <w:bCs/>
              </w:rPr>
              <w:t>9</w:t>
            </w:r>
          </w:p>
        </w:tc>
        <w:tc>
          <w:tcPr>
            <w:tcW w:w="631" w:type="pct"/>
            <w:tcBorders>
              <w:top w:val="single" w:sz="4" w:space="0" w:color="auto"/>
              <w:left w:val="nil"/>
              <w:bottom w:val="single" w:sz="4" w:space="0" w:color="auto"/>
              <w:right w:val="dotted" w:sz="4" w:space="0" w:color="000000"/>
            </w:tcBorders>
            <w:shd w:val="clear" w:color="auto" w:fill="auto"/>
            <w:noWrap/>
            <w:vAlign w:val="center"/>
          </w:tcPr>
          <w:p w:rsidR="00E51006" w:rsidRPr="002E1C1C" w:rsidRDefault="002E1C1C" w:rsidP="008360DA">
            <w:pPr>
              <w:pStyle w:val="TableText"/>
              <w:keepNext/>
              <w:spacing w:before="0" w:after="0"/>
              <w:rPr>
                <w:rFonts w:eastAsia="Times New Roman"/>
                <w:b/>
                <w:bCs/>
                <w:highlight w:val="black"/>
              </w:rPr>
            </w:pPr>
            <w:r w:rsidRPr="002E1C1C">
              <w:rPr>
                <w:rFonts w:cs="Arial"/>
                <w:szCs w:val="20"/>
                <w:highlight w:val="black"/>
              </w:rPr>
              <w:t>XXXXXXXX</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E51006" w:rsidRPr="002E1C1C" w:rsidRDefault="002E1C1C" w:rsidP="008360DA">
            <w:pPr>
              <w:pStyle w:val="TableText"/>
              <w:keepNext/>
              <w:spacing w:before="0" w:after="0"/>
              <w:rPr>
                <w:rFonts w:eastAsia="Times New Roman"/>
                <w:b/>
                <w:bCs/>
                <w:highlight w:val="black"/>
              </w:rPr>
            </w:pPr>
            <w:r w:rsidRPr="002E1C1C">
              <w:rPr>
                <w:rFonts w:cs="Arial"/>
                <w:szCs w:val="20"/>
                <w:highlight w:val="black"/>
              </w:rPr>
              <w:t>XXXX</w:t>
            </w:r>
          </w:p>
        </w:tc>
        <w:tc>
          <w:tcPr>
            <w:tcW w:w="272" w:type="pct"/>
            <w:tcBorders>
              <w:top w:val="single" w:sz="4" w:space="0" w:color="auto"/>
              <w:left w:val="nil"/>
              <w:bottom w:val="single" w:sz="4" w:space="0" w:color="auto"/>
              <w:right w:val="dotted" w:sz="4" w:space="0" w:color="000000"/>
            </w:tcBorders>
            <w:shd w:val="clear" w:color="auto" w:fill="auto"/>
            <w:noWrap/>
            <w:vAlign w:val="center"/>
          </w:tcPr>
          <w:p w:rsidR="00E51006" w:rsidRPr="00B14FAD" w:rsidRDefault="00943457" w:rsidP="008360DA">
            <w:pPr>
              <w:pStyle w:val="TableText"/>
              <w:spacing w:before="0" w:after="0"/>
              <w:rPr>
                <w:rFonts w:eastAsia="Times New Roman"/>
                <w:b/>
                <w:bCs/>
              </w:rPr>
            </w:pPr>
            <w:r>
              <w:rPr>
                <w:rFonts w:eastAsia="Times New Roman"/>
                <w:b/>
                <w:bCs/>
              </w:rPr>
              <w:t>5</w:t>
            </w:r>
          </w:p>
        </w:tc>
        <w:tc>
          <w:tcPr>
            <w:tcW w:w="589" w:type="pct"/>
            <w:tcBorders>
              <w:top w:val="single" w:sz="4" w:space="0" w:color="auto"/>
              <w:left w:val="nil"/>
              <w:bottom w:val="single" w:sz="4" w:space="0" w:color="auto"/>
              <w:right w:val="dotted" w:sz="4" w:space="0" w:color="000000"/>
            </w:tcBorders>
            <w:shd w:val="clear" w:color="auto" w:fill="auto"/>
            <w:noWrap/>
            <w:vAlign w:val="center"/>
          </w:tcPr>
          <w:p w:rsidR="00E51006" w:rsidRPr="002E1C1C" w:rsidRDefault="00922DAB" w:rsidP="008360DA">
            <w:pPr>
              <w:pStyle w:val="TableText"/>
              <w:keepNext/>
              <w:spacing w:before="0" w:after="0"/>
              <w:rPr>
                <w:rFonts w:eastAsia="Times New Roman"/>
                <w:b/>
                <w:bCs/>
              </w:rPr>
            </w:pPr>
            <w:r w:rsidRPr="002E1C1C">
              <w:rPr>
                <w:rFonts w:eastAsia="Times New Roman"/>
                <w:b/>
                <w:bCs/>
              </w:rPr>
              <w:t xml:space="preserve">$ </w:t>
            </w:r>
            <w:r w:rsidR="00B14FAD" w:rsidRPr="002E1C1C">
              <w:rPr>
                <w:rFonts w:eastAsia="Times New Roman"/>
                <w:b/>
                <w:bCs/>
              </w:rPr>
              <w:t>2,588,442.50</w:t>
            </w:r>
          </w:p>
        </w:tc>
        <w:tc>
          <w:tcPr>
            <w:tcW w:w="378" w:type="pct"/>
            <w:tcBorders>
              <w:top w:val="single" w:sz="4" w:space="0" w:color="auto"/>
              <w:left w:val="nil"/>
              <w:bottom w:val="single" w:sz="4" w:space="0" w:color="auto"/>
              <w:right w:val="single" w:sz="4" w:space="0" w:color="auto"/>
            </w:tcBorders>
            <w:shd w:val="clear" w:color="auto" w:fill="auto"/>
            <w:noWrap/>
            <w:vAlign w:val="center"/>
          </w:tcPr>
          <w:p w:rsidR="00E51006" w:rsidRPr="002E1C1C" w:rsidRDefault="00B14FAD" w:rsidP="008360DA">
            <w:pPr>
              <w:pStyle w:val="TableText"/>
              <w:keepNext/>
              <w:spacing w:before="0" w:after="0"/>
              <w:rPr>
                <w:rFonts w:ascii="Calibri" w:hAnsi="Calibri"/>
                <w:b/>
                <w:color w:val="000000"/>
              </w:rPr>
            </w:pPr>
            <w:r w:rsidRPr="002E1C1C">
              <w:rPr>
                <w:rFonts w:eastAsia="Times New Roman"/>
                <w:b/>
                <w:bCs/>
              </w:rPr>
              <w:t>2</w:t>
            </w:r>
            <w:r w:rsidR="00441ACF" w:rsidRPr="002E1C1C">
              <w:rPr>
                <w:rFonts w:eastAsia="Times New Roman"/>
                <w:b/>
                <w:bCs/>
              </w:rPr>
              <w:t>,</w:t>
            </w:r>
            <w:r w:rsidRPr="002E1C1C">
              <w:rPr>
                <w:rFonts w:eastAsia="Times New Roman"/>
                <w:b/>
                <w:bCs/>
              </w:rPr>
              <w:t>469.69</w:t>
            </w:r>
          </w:p>
        </w:tc>
      </w:tr>
    </w:tbl>
    <w:p w:rsidR="00E51006" w:rsidRDefault="00E51006" w:rsidP="00E40533">
      <w:pPr>
        <w:rPr>
          <w:b/>
          <w:bCs/>
        </w:rPr>
        <w:sectPr w:rsidR="00E51006" w:rsidSect="00E51006">
          <w:footerReference w:type="default" r:id="rId35"/>
          <w:pgSz w:w="15840" w:h="12240" w:orient="landscape"/>
          <w:pgMar w:top="1440" w:right="1440" w:bottom="1440" w:left="1440" w:header="720" w:footer="720" w:gutter="0"/>
          <w:cols w:space="720"/>
          <w:docGrid w:linePitch="360"/>
        </w:sectPr>
      </w:pPr>
    </w:p>
    <w:p w:rsidR="00105674" w:rsidRPr="00B9656D" w:rsidRDefault="00E51006" w:rsidP="00E51006">
      <w:pPr>
        <w:pStyle w:val="Heading2"/>
        <w:spacing w:before="240"/>
      </w:pPr>
      <w:bookmarkStart w:id="11" w:name="_Toc507085041"/>
      <w:r w:rsidRPr="00B9656D">
        <w:lastRenderedPageBreak/>
        <w:t>Report Organization</w:t>
      </w:r>
      <w:bookmarkEnd w:id="11"/>
    </w:p>
    <w:p w:rsidR="006072EC" w:rsidRPr="00B9656D" w:rsidRDefault="0070299E" w:rsidP="006072EC">
      <w:pPr>
        <w:pStyle w:val="BodyParagraph"/>
      </w:pPr>
      <w:r w:rsidRPr="00B9656D">
        <w:t>The remainder of this report proceeds as follows.</w:t>
      </w:r>
      <w:r w:rsidR="00DC539B" w:rsidRPr="00B9656D">
        <w:t xml:space="preserve"> </w:t>
      </w:r>
      <w:r w:rsidR="007D5855" w:rsidRPr="00B9656D">
        <w:t xml:space="preserve">Section </w:t>
      </w:r>
      <w:r w:rsidR="007A5927">
        <w:t>2</w:t>
      </w:r>
      <w:r w:rsidR="007D5855" w:rsidRPr="00B9656D">
        <w:t xml:space="preserve"> summarizes the methodology for</w:t>
      </w:r>
      <w:r w:rsidR="00AA31A2" w:rsidRPr="00B9656D">
        <w:t> </w:t>
      </w:r>
      <w:r w:rsidR="007D5855" w:rsidRPr="00B9656D">
        <w:t>the ex post evaluation. Section</w:t>
      </w:r>
      <w:r w:rsidR="005413A7">
        <w:t xml:space="preserve">s </w:t>
      </w:r>
      <w:r w:rsidR="007A5927">
        <w:t>3.1, 3.2, and 3.3</w:t>
      </w:r>
      <w:r w:rsidR="007D5855" w:rsidRPr="00B9656D">
        <w:t xml:space="preserve"> provide the ex post load impact estimates</w:t>
      </w:r>
      <w:r w:rsidR="005413A7">
        <w:t xml:space="preserve"> for</w:t>
      </w:r>
      <w:r w:rsidR="00660D8B">
        <w:t> </w:t>
      </w:r>
      <w:r w:rsidR="005413A7">
        <w:t>SCE</w:t>
      </w:r>
      <w:r w:rsidR="00C8767A">
        <w:t>,</w:t>
      </w:r>
      <w:r w:rsidR="007A5927">
        <w:t xml:space="preserve"> </w:t>
      </w:r>
      <w:r w:rsidR="005413A7">
        <w:t xml:space="preserve">PG&amp;E, </w:t>
      </w:r>
      <w:r w:rsidR="00C8767A">
        <w:t xml:space="preserve">and SDG&amp;E, </w:t>
      </w:r>
      <w:r w:rsidR="005413A7">
        <w:t>respectively</w:t>
      </w:r>
      <w:r w:rsidR="007D5855" w:rsidRPr="00B9656D">
        <w:t xml:space="preserve">. </w:t>
      </w:r>
      <w:r w:rsidRPr="00B9656D">
        <w:t xml:space="preserve">Section </w:t>
      </w:r>
      <w:r w:rsidR="007A5927">
        <w:t>4</w:t>
      </w:r>
      <w:r w:rsidRPr="00B9656D">
        <w:t xml:space="preserve"> summarizes the methodology used for the </w:t>
      </w:r>
      <w:r w:rsidR="007D5855" w:rsidRPr="00B9656D">
        <w:t>ex ante</w:t>
      </w:r>
      <w:r w:rsidR="00660D8B">
        <w:t> </w:t>
      </w:r>
      <w:r w:rsidRPr="00B9656D">
        <w:t>evaluation.</w:t>
      </w:r>
      <w:r w:rsidR="00DC539B" w:rsidRPr="00B9656D">
        <w:t xml:space="preserve"> </w:t>
      </w:r>
      <w:r w:rsidRPr="00B9656D">
        <w:t xml:space="preserve">Section </w:t>
      </w:r>
      <w:r w:rsidR="007A5927">
        <w:t>5</w:t>
      </w:r>
      <w:r w:rsidRPr="00B9656D">
        <w:t xml:space="preserve"> provides a summary of</w:t>
      </w:r>
      <w:r w:rsidR="00AA31A2" w:rsidRPr="00B9656D">
        <w:t> </w:t>
      </w:r>
      <w:r w:rsidRPr="00B9656D">
        <w:t>key assumptions and the resulting enrollment forecast.</w:t>
      </w:r>
      <w:r w:rsidR="00DC539B" w:rsidRPr="00B9656D">
        <w:t xml:space="preserve"> </w:t>
      </w:r>
      <w:r w:rsidRPr="00B9656D">
        <w:t xml:space="preserve">Section </w:t>
      </w:r>
      <w:r w:rsidR="007A5927">
        <w:t>6</w:t>
      </w:r>
      <w:r w:rsidRPr="00B9656D">
        <w:t xml:space="preserve"> provides the ex ante load</w:t>
      </w:r>
      <w:r w:rsidR="00AA31A2" w:rsidRPr="00B9656D">
        <w:t> </w:t>
      </w:r>
      <w:r w:rsidRPr="00B9656D">
        <w:t>impact estimates by utility.</w:t>
      </w:r>
      <w:r w:rsidR="00DC539B" w:rsidRPr="00B9656D">
        <w:t xml:space="preserve"> </w:t>
      </w:r>
      <w:r w:rsidR="005413A7">
        <w:t xml:space="preserve">Finally, </w:t>
      </w:r>
      <w:r w:rsidRPr="00B9656D">
        <w:t xml:space="preserve">Section </w:t>
      </w:r>
      <w:r w:rsidR="007A5927">
        <w:t>7</w:t>
      </w:r>
      <w:r w:rsidRPr="00B9656D">
        <w:t xml:space="preserve"> includes recommendations for future evaluations</w:t>
      </w:r>
      <w:r w:rsidR="005413A7">
        <w:t xml:space="preserve">. </w:t>
      </w:r>
    </w:p>
    <w:p w:rsidR="001B352B" w:rsidRPr="00B828B0" w:rsidRDefault="001B352B" w:rsidP="0087572A">
      <w:pPr>
        <w:pStyle w:val="BodyParagraph"/>
        <w:rPr>
          <w:rFonts w:ascii="Arial Bold" w:hAnsi="Arial Bold" w:cs="Times New Roman"/>
          <w:highlight w:val="yellow"/>
        </w:rPr>
      </w:pPr>
      <w:r w:rsidRPr="00B828B0">
        <w:rPr>
          <w:highlight w:val="yellow"/>
        </w:rPr>
        <w:br w:type="page"/>
      </w:r>
    </w:p>
    <w:p w:rsidR="0004351B" w:rsidRPr="00BE7C5A" w:rsidRDefault="0004351B" w:rsidP="0004351B">
      <w:pPr>
        <w:pStyle w:val="Heading1"/>
      </w:pPr>
      <w:bookmarkStart w:id="12" w:name="_Toc414539278"/>
      <w:bookmarkStart w:id="13" w:name="_Ref443495224"/>
      <w:bookmarkStart w:id="14" w:name="_Ref476214287"/>
      <w:bookmarkStart w:id="15" w:name="_Toc507085042"/>
      <w:r w:rsidRPr="00BE7C5A">
        <w:lastRenderedPageBreak/>
        <w:t>Ex Post Methods and Validation</w:t>
      </w:r>
      <w:bookmarkEnd w:id="12"/>
      <w:bookmarkEnd w:id="13"/>
      <w:bookmarkEnd w:id="14"/>
      <w:bookmarkEnd w:id="15"/>
    </w:p>
    <w:p w:rsidR="00CC6AC7" w:rsidRPr="00BE7C5A" w:rsidRDefault="00CC6AC7" w:rsidP="00CC6AC7">
      <w:pPr>
        <w:pStyle w:val="BodyParagraph"/>
      </w:pPr>
      <w:r w:rsidRPr="00BE7C5A">
        <w:t>As in any demand response evaluation, the fundamental exercise is to estimate what usage</w:t>
      </w:r>
      <w:r w:rsidR="00AA31A2" w:rsidRPr="00BE7C5A">
        <w:t> </w:t>
      </w:r>
      <w:r w:rsidRPr="00BE7C5A">
        <w:t>would have been in the absence of the program. In this case, that entails estimating what</w:t>
      </w:r>
      <w:r w:rsidR="00AA31A2" w:rsidRPr="00BE7C5A">
        <w:t> </w:t>
      </w:r>
      <w:r w:rsidRPr="00BE7C5A">
        <w:t>a given premise’s cooling system usage would have been if they had not installed the TES</w:t>
      </w:r>
      <w:r w:rsidR="00AA31A2" w:rsidRPr="00BE7C5A">
        <w:t> </w:t>
      </w:r>
      <w:r w:rsidRPr="00BE7C5A">
        <w:t xml:space="preserve">system. </w:t>
      </w:r>
    </w:p>
    <w:p w:rsidR="00CC6AC7" w:rsidRPr="00BE7C5A" w:rsidRDefault="00CC6AC7" w:rsidP="00CC6AC7">
      <w:pPr>
        <w:pStyle w:val="BodyParagraph"/>
      </w:pPr>
      <w:r w:rsidRPr="00BE7C5A">
        <w:t xml:space="preserve">In this document, we refer to both measured and estimated usage of the pre-TES cooling system as </w:t>
      </w:r>
      <w:r w:rsidRPr="00E40533">
        <w:rPr>
          <w:i/>
        </w:rPr>
        <w:t>baseline usage</w:t>
      </w:r>
      <w:r w:rsidRPr="00BE7C5A">
        <w:t>. We believe the most reasonable assumption for baseline usage is</w:t>
      </w:r>
      <w:r w:rsidR="00AA31A2" w:rsidRPr="00BE7C5A">
        <w:t> </w:t>
      </w:r>
      <w:r w:rsidRPr="00BE7C5A">
        <w:t>that</w:t>
      </w:r>
      <w:r w:rsidR="008D06B4" w:rsidRPr="00BE7C5A">
        <w:t>,</w:t>
      </w:r>
      <w:r w:rsidRPr="00BE7C5A">
        <w:t xml:space="preserve"> in the absence of TES, the customer would have continued to operate their current cooling system as they had in the past. This may not always be accurate, but attempting to determine what alternative modifications they would have made in the absence of the PLS program would not likely yield generalizable robust results. With that assumption, and in a</w:t>
      </w:r>
      <w:r w:rsidR="00AA31A2" w:rsidRPr="00BE7C5A">
        <w:t> </w:t>
      </w:r>
      <w:r w:rsidRPr="00BE7C5A">
        <w:t xml:space="preserve">situation where cooling electric usage is measured, the ex post evaluation task involves estimating what the electrical usage of each customer’s pre-TES cooling system would have been under the weather conditions that were observed over the ex post evaluation period. These estimates can be compared to actual measured usage over the same period. </w:t>
      </w:r>
    </w:p>
    <w:p w:rsidR="00CC6AC7" w:rsidRPr="00BE7C5A" w:rsidRDefault="00CC6AC7" w:rsidP="00095615">
      <w:pPr>
        <w:pStyle w:val="BodyBeforeBullet"/>
      </w:pPr>
      <w:r w:rsidRPr="00BE7C5A">
        <w:t xml:space="preserve">In our evaluation of the PG&amp;E PLS pilot, we found little scope for improvement upon the baseline models that were developed for the participating facilities under PG&amp;E’s </w:t>
      </w:r>
      <w:r w:rsidR="003B7C34" w:rsidRPr="00BE7C5A">
        <w:t>pilot</w:t>
      </w:r>
      <w:r w:rsidRPr="00BE7C5A">
        <w:t>. The current</w:t>
      </w:r>
      <w:r w:rsidR="003B7C34" w:rsidRPr="00BE7C5A">
        <w:t>ly</w:t>
      </w:r>
      <w:r w:rsidRPr="00BE7C5A">
        <w:t xml:space="preserve"> </w:t>
      </w:r>
      <w:r w:rsidR="003B7C34" w:rsidRPr="00BE7C5A">
        <w:t xml:space="preserve">approved PLS program guidelines </w:t>
      </w:r>
      <w:r w:rsidRPr="00BE7C5A">
        <w:t xml:space="preserve">call for future sites to replicate the data collection done at those </w:t>
      </w:r>
      <w:r w:rsidR="003B7C34" w:rsidRPr="00BE7C5A">
        <w:t xml:space="preserve">pilot </w:t>
      </w:r>
      <w:r w:rsidRPr="00BE7C5A">
        <w:t>sites</w:t>
      </w:r>
      <w:r w:rsidR="003B7C34" w:rsidRPr="00BE7C5A">
        <w:t xml:space="preserve"> over a three month pre-TES installation period, and for the five year post-TES installation period</w:t>
      </w:r>
      <w:r w:rsidRPr="00BE7C5A">
        <w:t>. As directed in the resolution approving the PLS program,</w:t>
      </w:r>
      <w:r w:rsidRPr="00BE7C5A">
        <w:rPr>
          <w:rStyle w:val="FootnoteReference"/>
        </w:rPr>
        <w:footnoteReference w:id="10"/>
      </w:r>
      <w:r w:rsidRPr="00BE7C5A">
        <w:t xml:space="preserve"> devices will be installed to monitor:</w:t>
      </w:r>
    </w:p>
    <w:p w:rsidR="00CC6AC7" w:rsidRPr="00BE7C5A" w:rsidRDefault="00CC6AC7" w:rsidP="001A6711">
      <w:pPr>
        <w:pStyle w:val="Bullets"/>
      </w:pPr>
      <w:r w:rsidRPr="00BE7C5A">
        <w:t>OAT: 1) Outdoor ambient temperature;</w:t>
      </w:r>
    </w:p>
    <w:p w:rsidR="00CC6AC7" w:rsidRPr="00BE7C5A" w:rsidRDefault="00CC6AC7" w:rsidP="001A6711">
      <w:pPr>
        <w:pStyle w:val="Bullets"/>
      </w:pPr>
      <w:r w:rsidRPr="00BE7C5A">
        <w:t>Cooling System Load: 2) Electric demand (kW) of all chilled water plant equipment (all plant chillers, pumps, and cooling tower fans); and</w:t>
      </w:r>
    </w:p>
    <w:p w:rsidR="00CC6AC7" w:rsidRPr="00BE7C5A" w:rsidRDefault="00CC6AC7" w:rsidP="001A6711">
      <w:pPr>
        <w:pStyle w:val="Bullets"/>
      </w:pPr>
      <w:r w:rsidRPr="00BE7C5A">
        <w:t>Cooling Tons:</w:t>
      </w:r>
    </w:p>
    <w:p w:rsidR="00CC6AC7" w:rsidRPr="00BE7C5A" w:rsidRDefault="00CC6AC7" w:rsidP="001A6711">
      <w:pPr>
        <w:pStyle w:val="Bullets"/>
      </w:pPr>
      <w:r w:rsidRPr="00BE7C5A">
        <w:t>3) Chilled water return temperature;</w:t>
      </w:r>
    </w:p>
    <w:p w:rsidR="00CC6AC7" w:rsidRPr="00BE7C5A" w:rsidRDefault="00CC6AC7" w:rsidP="001A6711">
      <w:pPr>
        <w:pStyle w:val="Bullets"/>
      </w:pPr>
      <w:r w:rsidRPr="00BE7C5A">
        <w:t xml:space="preserve">4) Chilled water supply temperature; and </w:t>
      </w:r>
    </w:p>
    <w:p w:rsidR="00CC6AC7" w:rsidRPr="00BE7C5A" w:rsidRDefault="00CC6AC7" w:rsidP="001A6711">
      <w:pPr>
        <w:pStyle w:val="BulletLast"/>
      </w:pPr>
      <w:r w:rsidRPr="00BE7C5A">
        <w:t>5) Chilled water flow rate.</w:t>
      </w:r>
    </w:p>
    <w:p w:rsidR="009536DE" w:rsidRPr="00BE7C5A" w:rsidRDefault="009536DE" w:rsidP="009536DE">
      <w:pPr>
        <w:pStyle w:val="BodyBeforeBullet"/>
      </w:pPr>
      <w:r w:rsidRPr="00BE7C5A">
        <w:t>Under the approved PLS program data collection requirements, the calculation of ex post baseline usage and ex post savings were expected to proceed as follows:</w:t>
      </w:r>
    </w:p>
    <w:p w:rsidR="009536DE" w:rsidRPr="00BE7C5A" w:rsidRDefault="009536DE" w:rsidP="001A6711">
      <w:pPr>
        <w:pStyle w:val="Bullets"/>
      </w:pPr>
      <w:r w:rsidRPr="00BE7C5A">
        <w:t>Use the collected chilled water data to calculate actual ex post cooling tons for each TES system for each hour of the pre- and post-TES installation period in the summer</w:t>
      </w:r>
      <w:r w:rsidR="005413A7">
        <w:t>, where U.S. gallons per minute (</w:t>
      </w:r>
      <w:proofErr w:type="spellStart"/>
      <w:r w:rsidR="005413A7">
        <w:t>USgpm</w:t>
      </w:r>
      <w:proofErr w:type="spellEnd"/>
      <w:r w:rsidR="005413A7">
        <w:t>) denotes the unit to describe the water flow and water supply and return temperatures are measured in degrees Fahrenheit (°F)</w:t>
      </w:r>
      <w:r w:rsidRPr="00BE7C5A">
        <w:t>;</w:t>
      </w:r>
    </w:p>
    <w:p w:rsidR="009536DE" w:rsidRPr="00BE7C5A" w:rsidRDefault="009536DE" w:rsidP="001A6711">
      <w:pPr>
        <w:pStyle w:val="Bullets"/>
      </w:pPr>
      <w:r w:rsidRPr="00BE7C5A">
        <w:rPr>
          <w:shd w:val="clear" w:color="auto" w:fill="FFFFFF"/>
        </w:rPr>
        <w:t>Cooling Tons = Flow (</w:t>
      </w:r>
      <w:proofErr w:type="spellStart"/>
      <w:r w:rsidRPr="00BE7C5A">
        <w:rPr>
          <w:shd w:val="clear" w:color="auto" w:fill="FFFFFF"/>
        </w:rPr>
        <w:t>USgpm</w:t>
      </w:r>
      <w:proofErr w:type="spellEnd"/>
      <w:r w:rsidRPr="00BE7C5A">
        <w:rPr>
          <w:shd w:val="clear" w:color="auto" w:fill="FFFFFF"/>
        </w:rPr>
        <w:t>) × (</w:t>
      </w:r>
      <w:proofErr w:type="spellStart"/>
      <w:r w:rsidRPr="00BE7C5A">
        <w:rPr>
          <w:sz w:val="18"/>
          <w:szCs w:val="18"/>
          <w:shd w:val="clear" w:color="auto" w:fill="FFFFFF"/>
          <w:vertAlign w:val="superscript"/>
        </w:rPr>
        <w:t>o</w:t>
      </w:r>
      <w:r w:rsidRPr="00BE7C5A">
        <w:rPr>
          <w:shd w:val="clear" w:color="auto" w:fill="FFFFFF"/>
        </w:rPr>
        <w:t>F</w:t>
      </w:r>
      <w:r w:rsidRPr="00BE7C5A">
        <w:rPr>
          <w:sz w:val="18"/>
          <w:szCs w:val="18"/>
          <w:shd w:val="clear" w:color="auto" w:fill="FFFFFF"/>
          <w:vertAlign w:val="subscript"/>
        </w:rPr>
        <w:t>in</w:t>
      </w:r>
      <w:proofErr w:type="spellEnd"/>
      <w:r w:rsidRPr="00BE7C5A">
        <w:rPr>
          <w:rStyle w:val="apple-converted-space"/>
          <w:rFonts w:ascii="Cambria Math" w:hAnsi="Cambria Math" w:cs="Times New Roman"/>
          <w:i/>
          <w:color w:val="000000"/>
          <w:shd w:val="clear" w:color="auto" w:fill="FFFFFF"/>
        </w:rPr>
        <w:t> </w:t>
      </w:r>
      <w:r w:rsidRPr="00BE7C5A">
        <w:rPr>
          <w:shd w:val="clear" w:color="auto" w:fill="FFFFFF"/>
        </w:rPr>
        <w:t>-</w:t>
      </w:r>
      <w:r w:rsidRPr="00BE7C5A">
        <w:rPr>
          <w:rStyle w:val="apple-converted-space"/>
          <w:rFonts w:ascii="Cambria Math" w:hAnsi="Cambria Math" w:cs="Times New Roman"/>
          <w:i/>
          <w:color w:val="000000"/>
          <w:shd w:val="clear" w:color="auto" w:fill="FFFFFF"/>
        </w:rPr>
        <w:t> </w:t>
      </w:r>
      <w:proofErr w:type="spellStart"/>
      <w:r w:rsidRPr="00BE7C5A">
        <w:rPr>
          <w:sz w:val="18"/>
          <w:szCs w:val="18"/>
          <w:shd w:val="clear" w:color="auto" w:fill="FFFFFF"/>
          <w:vertAlign w:val="superscript"/>
        </w:rPr>
        <w:t>o</w:t>
      </w:r>
      <w:r w:rsidRPr="00BE7C5A">
        <w:rPr>
          <w:shd w:val="clear" w:color="auto" w:fill="FFFFFF"/>
        </w:rPr>
        <w:t>F</w:t>
      </w:r>
      <w:r w:rsidRPr="00BE7C5A">
        <w:rPr>
          <w:sz w:val="18"/>
          <w:szCs w:val="18"/>
          <w:shd w:val="clear" w:color="auto" w:fill="FFFFFF"/>
          <w:vertAlign w:val="subscript"/>
        </w:rPr>
        <w:t>out</w:t>
      </w:r>
      <w:proofErr w:type="spellEnd"/>
      <w:r w:rsidRPr="00BE7C5A">
        <w:rPr>
          <w:shd w:val="clear" w:color="auto" w:fill="FFFFFF"/>
        </w:rPr>
        <w:t>)/24</w:t>
      </w:r>
    </w:p>
    <w:p w:rsidR="009536DE" w:rsidRPr="00BE7C5A" w:rsidRDefault="009536DE" w:rsidP="001A6711">
      <w:pPr>
        <w:pStyle w:val="Bullets"/>
      </w:pPr>
      <w:r w:rsidRPr="00BE7C5A">
        <w:t xml:space="preserve">Calculate the </w:t>
      </w:r>
      <w:r w:rsidR="005413A7">
        <w:t>coefficient of performance (</w:t>
      </w:r>
      <w:r w:rsidRPr="00BE7C5A">
        <w:t>COP</w:t>
      </w:r>
      <w:r w:rsidR="005413A7">
        <w:t>)</w:t>
      </w:r>
      <w:r w:rsidRPr="00BE7C5A">
        <w:t xml:space="preserve"> for each hour of the pre-TES period for each system based on the hourly cooling tons and cooling system load;</w:t>
      </w:r>
    </w:p>
    <w:p w:rsidR="009536DE" w:rsidRPr="00BE7C5A" w:rsidRDefault="009536DE" w:rsidP="001A6711">
      <w:pPr>
        <w:pStyle w:val="Bullets"/>
      </w:pPr>
      <w:r w:rsidRPr="00BE7C5A">
        <w:lastRenderedPageBreak/>
        <w:t>COP = Cooling Tons / Cooling System Load (kW</w:t>
      </w:r>
      <w:r w:rsidR="00BE7C5A" w:rsidRPr="00BE7C5A">
        <w:t>h/</w:t>
      </w:r>
      <w:r w:rsidRPr="00BE7C5A">
        <w:t>h)</w:t>
      </w:r>
    </w:p>
    <w:p w:rsidR="009536DE" w:rsidRPr="00BE7C5A" w:rsidRDefault="009536DE" w:rsidP="001A6711">
      <w:pPr>
        <w:pStyle w:val="Bullets"/>
      </w:pPr>
      <w:r w:rsidRPr="00BE7C5A">
        <w:t xml:space="preserve">Develop a regression model of the relationship between COP and OAT during the pre-TES period. Nexant will develop this model separately for each site since each pre-TES system was different. Most likely a simple linear or quadratic relationship between COP and outdoor air temperature will suffice. </w:t>
      </w:r>
      <w:r w:rsidRPr="00BE7C5A">
        <w:rPr>
          <w:szCs w:val="22"/>
        </w:rPr>
        <w:t>This model may require interactions with time of</w:t>
      </w:r>
      <w:r w:rsidR="00AA31A2" w:rsidRPr="00BE7C5A">
        <w:rPr>
          <w:szCs w:val="22"/>
        </w:rPr>
        <w:t> </w:t>
      </w:r>
      <w:r w:rsidRPr="00BE7C5A">
        <w:rPr>
          <w:szCs w:val="22"/>
        </w:rPr>
        <w:t xml:space="preserve">day or day-type since the customer’s use of the cooling system, driving the cooling tons, may vary based on building occupancy schedules for space cooling, or production schedules for process cooling. </w:t>
      </w:r>
      <w:r w:rsidR="000A718A">
        <w:t>Various</w:t>
      </w:r>
      <w:r w:rsidRPr="00BE7C5A">
        <w:t xml:space="preserve"> model specifications</w:t>
      </w:r>
      <w:r w:rsidR="000A718A">
        <w:t xml:space="preserve"> are tested</w:t>
      </w:r>
      <w:r w:rsidRPr="00BE7C5A">
        <w:t xml:space="preserve"> using standard regression diagnostics</w:t>
      </w:r>
      <w:r w:rsidR="000A718A">
        <w:t xml:space="preserve"> (e.g., accuracy metrics such as root-mean-square error, average percent error, adjusted R</w:t>
      </w:r>
      <w:r w:rsidR="000A718A" w:rsidRPr="000A718A">
        <w:rPr>
          <w:vertAlign w:val="superscript"/>
        </w:rPr>
        <w:t>2</w:t>
      </w:r>
      <w:r w:rsidR="000A718A">
        <w:t>, etc.)</w:t>
      </w:r>
      <w:r w:rsidRPr="00BE7C5A">
        <w:t>, including out-of-sample testing;</w:t>
      </w:r>
    </w:p>
    <w:p w:rsidR="009536DE" w:rsidRPr="00BE7C5A" w:rsidRDefault="009536DE" w:rsidP="001A6711">
      <w:pPr>
        <w:pStyle w:val="Bullets"/>
      </w:pPr>
      <w:r w:rsidRPr="00BE7C5A">
        <w:t xml:space="preserve">Use the regression model to estimate </w:t>
      </w:r>
      <m:oMath>
        <m:acc>
          <m:accPr>
            <m:ctrlPr>
              <w:rPr>
                <w:rFonts w:ascii="Cambria Math" w:hAnsi="Cambria Math" w:cstheme="minorHAnsi"/>
              </w:rPr>
            </m:ctrlPr>
          </m:accPr>
          <m:e>
            <m:r>
              <m:rPr>
                <m:sty m:val="p"/>
              </m:rPr>
              <w:rPr>
                <w:rFonts w:ascii="Cambria Math" w:hAnsi="Cambria Math" w:cstheme="minorHAnsi"/>
              </w:rPr>
              <m:t>COP</m:t>
            </m:r>
          </m:e>
        </m:acc>
      </m:oMath>
      <w:r w:rsidRPr="00BE7C5A">
        <w:t xml:space="preserve"> </w:t>
      </w:r>
      <w:r w:rsidR="00CA0CF1">
        <w:t>(i.e., the ratio of cooling tons to cooling system usage</w:t>
      </w:r>
      <w:r w:rsidR="000A718A">
        <w:t>)</w:t>
      </w:r>
      <w:r w:rsidR="00CA0CF1">
        <w:t xml:space="preserve"> </w:t>
      </w:r>
      <w:r w:rsidRPr="00BE7C5A">
        <w:t xml:space="preserve">for each hour of the summer based on the OAT </w:t>
      </w:r>
      <w:r w:rsidR="005413A7">
        <w:t xml:space="preserve">observed </w:t>
      </w:r>
      <w:r w:rsidRPr="00BE7C5A">
        <w:t>during the post-TES installation period;</w:t>
      </w:r>
    </w:p>
    <w:p w:rsidR="009536DE" w:rsidRPr="00BE7C5A" w:rsidRDefault="009536DE" w:rsidP="001A6711">
      <w:pPr>
        <w:pStyle w:val="Bullets"/>
      </w:pPr>
      <w:r w:rsidRPr="00BE7C5A">
        <w:t xml:space="preserve">Use the estimated </w:t>
      </w:r>
      <m:oMath>
        <m:acc>
          <m:accPr>
            <m:ctrlPr>
              <w:rPr>
                <w:rFonts w:ascii="Cambria Math" w:hAnsi="Cambria Math" w:cstheme="minorHAnsi"/>
              </w:rPr>
            </m:ctrlPr>
          </m:accPr>
          <m:e>
            <m:r>
              <m:rPr>
                <m:sty m:val="p"/>
              </m:rPr>
              <w:rPr>
                <w:rFonts w:ascii="Cambria Math" w:hAnsi="Cambria Math" w:cstheme="minorHAnsi"/>
              </w:rPr>
              <m:t>COP</m:t>
            </m:r>
          </m:e>
        </m:acc>
      </m:oMath>
      <w:r w:rsidR="00CA0CF1">
        <w:t xml:space="preserve"> and the observed post-installation </w:t>
      </w:r>
      <w:r w:rsidRPr="00BE7C5A">
        <w:t xml:space="preserve">cooling tons to estimate baseline </w:t>
      </w:r>
      <w:r w:rsidR="00CA0CF1">
        <w:t xml:space="preserve">cooling </w:t>
      </w:r>
      <w:r w:rsidRPr="00BE7C5A">
        <w:t xml:space="preserve">usage for each hour of the summer; </w:t>
      </w:r>
    </w:p>
    <w:p w:rsidR="009536DE" w:rsidRPr="00BE7C5A" w:rsidRDefault="009536DE" w:rsidP="001A6711">
      <w:pPr>
        <w:pStyle w:val="Bullets"/>
      </w:pPr>
      <m:oMath>
        <m:r>
          <w:rPr>
            <w:rFonts w:ascii="Cambria Math" w:hAnsi="Cambria Math"/>
          </w:rPr>
          <m:t>Baseline</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Cooling</m:t>
                </m:r>
                <m:r>
                  <m:rPr>
                    <m:sty m:val="p"/>
                  </m:rPr>
                  <w:rPr>
                    <w:rFonts w:ascii="Cambria Math" w:hAnsi="Cambria Math"/>
                  </w:rPr>
                  <m:t xml:space="preserve"> </m:t>
                </m:r>
                <m:r>
                  <w:rPr>
                    <w:rFonts w:ascii="Cambria Math" w:hAnsi="Cambria Math"/>
                  </w:rPr>
                  <m:t>Tons</m:t>
                </m:r>
              </m:e>
              <m:sub>
                <m:r>
                  <w:rPr>
                    <w:rFonts w:ascii="Cambria Math" w:hAnsi="Cambria Math"/>
                  </w:rPr>
                  <m:t>t</m:t>
                </m:r>
              </m:sub>
            </m:sSub>
          </m:num>
          <m:den>
            <m:sSub>
              <m:sSubPr>
                <m:ctrlPr>
                  <w:rPr>
                    <w:rFonts w:ascii="Cambria Math" w:hAnsi="Cambria Math"/>
                  </w:rPr>
                </m:ctrlPr>
              </m:sSubPr>
              <m:e>
                <m:acc>
                  <m:accPr>
                    <m:ctrlPr>
                      <w:rPr>
                        <w:rFonts w:ascii="Cambria Math" w:hAnsi="Cambria Math"/>
                      </w:rPr>
                    </m:ctrlPr>
                  </m:accPr>
                  <m:e>
                    <m:r>
                      <w:rPr>
                        <w:rFonts w:ascii="Cambria Math" w:hAnsi="Cambria Math"/>
                      </w:rPr>
                      <m:t>COP</m:t>
                    </m:r>
                  </m:e>
                </m:acc>
              </m:e>
              <m:sub>
                <m:r>
                  <w:rPr>
                    <w:rFonts w:ascii="Cambria Math" w:hAnsi="Cambria Math"/>
                  </w:rPr>
                  <m:t>t</m:t>
                </m:r>
              </m:sub>
            </m:sSub>
          </m:den>
        </m:f>
      </m:oMath>
      <w:r w:rsidRPr="00BE7C5A">
        <w:t>, where t (time) is a specific hour on a specific day</w:t>
      </w:r>
    </w:p>
    <w:p w:rsidR="009536DE" w:rsidRPr="00BE7C5A" w:rsidRDefault="009536DE" w:rsidP="001A6711">
      <w:pPr>
        <w:pStyle w:val="BulletLast"/>
      </w:pPr>
      <w:r w:rsidRPr="00BE7C5A">
        <w:t>Subtract actual measured usage from baseline usage to produce estimated ex post savings. This is one reason for requiring the measurement of system electricity usage.</w:t>
      </w:r>
    </w:p>
    <w:p w:rsidR="009536DE" w:rsidRPr="00BE7C5A" w:rsidRDefault="009536DE" w:rsidP="001A6711">
      <w:pPr>
        <w:pStyle w:val="Bullets"/>
      </w:pPr>
      <m:oMath>
        <m:r>
          <w:rPr>
            <w:rFonts w:ascii="Cambria Math" w:hAnsi="Cambria Math"/>
          </w:rPr>
          <m:t>Ex</m:t>
        </m:r>
        <m:r>
          <m:rPr>
            <m:sty m:val="p"/>
          </m:rPr>
          <w:rPr>
            <w:rFonts w:ascii="Cambria Math" w:hAnsi="Cambria Math"/>
          </w:rPr>
          <m:t xml:space="preserve"> </m:t>
        </m:r>
        <m:r>
          <w:rPr>
            <w:rFonts w:ascii="Cambria Math" w:hAnsi="Cambria Math"/>
          </w:rPr>
          <m:t>post</m:t>
        </m:r>
        <m:r>
          <m:rPr>
            <m:sty m:val="p"/>
          </m:rPr>
          <w:rPr>
            <w:rFonts w:ascii="Cambria Math" w:hAnsi="Cambria Math"/>
          </w:rPr>
          <m:t xml:space="preserve"> </m:t>
        </m:r>
        <m:r>
          <w:rPr>
            <w:rFonts w:ascii="Cambria Math" w:hAnsi="Cambria Math"/>
          </w:rPr>
          <m:t>impact</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r>
          <m:rPr>
            <m:sty m:val="p"/>
          </m:rPr>
          <w:rPr>
            <w:rFonts w:ascii="Cambria Math" w:hAnsi="Cambria Math"/>
          </w:rPr>
          <m:t>=</m:t>
        </m:r>
        <m:r>
          <w:rPr>
            <w:rFonts w:ascii="Cambria Math" w:hAnsi="Cambria Math"/>
          </w:rPr>
          <m:t>Baseline</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r>
          <m:rPr>
            <m:sty m:val="p"/>
          </m:rPr>
          <w:rPr>
            <w:rFonts w:ascii="Cambria Math" w:hAnsi="Cambria Math"/>
          </w:rPr>
          <m:t>-</m:t>
        </m:r>
        <m:r>
          <w:rPr>
            <w:rFonts w:ascii="Cambria Math" w:hAnsi="Cambria Math"/>
          </w:rPr>
          <m:t>Actual</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oMath>
    </w:p>
    <w:p w:rsidR="005413A7" w:rsidRDefault="00CA0CF1" w:rsidP="00095615">
      <w:pPr>
        <w:pStyle w:val="BodyParaAfterTableFigure"/>
      </w:pPr>
      <w:r>
        <w:t xml:space="preserve">In developing the ex post methodology, one consideration was to simply estimate a baseline model of electric usage as a function of temperature; however the two-step process described above—estimating COP as a function of temperature and using the estimated values and the observed cooling tons to calculate baseline cooling usage—is a more accurate and transparent method. While directly estimating electric usage as a function of temperature would work and may potentially serve as a useful corroboration exercise, the proposed method will be more accurate in the ex post setting because a direct model of electric usage as a function of temperature would effectively ignore </w:t>
      </w:r>
      <w:r w:rsidR="000A718A">
        <w:t xml:space="preserve">information provided from directly measuring post-installation cooling tons. The cooling tons provide valuable information about how hard the cooling system is working, and they are not perfectly correlated with temperature. Thus, using a model that excludes cooling tons would introduce an additional and unnecessary source of variance into the results. </w:t>
      </w:r>
    </w:p>
    <w:p w:rsidR="008907D8" w:rsidRPr="00EE386A" w:rsidRDefault="000A718A" w:rsidP="00095615">
      <w:pPr>
        <w:pStyle w:val="BodyParaAfterTableFigure"/>
      </w:pPr>
      <w:r>
        <w:t xml:space="preserve">In </w:t>
      </w:r>
      <w:r w:rsidR="00405194">
        <w:t>the 2015 and 2016 evaluations</w:t>
      </w:r>
      <w:r>
        <w:t>, there</w:t>
      </w:r>
      <w:r w:rsidR="004C356D" w:rsidRPr="00EE386A">
        <w:t xml:space="preserve"> were data collection </w:t>
      </w:r>
      <w:r w:rsidR="005D188A" w:rsidRPr="00EE386A">
        <w:t>challenges</w:t>
      </w:r>
      <w:r w:rsidR="004C356D" w:rsidRPr="00EE386A">
        <w:t xml:space="preserve"> at the only operational site</w:t>
      </w:r>
      <w:r w:rsidR="00EE386A" w:rsidRPr="00EE386A">
        <w:t xml:space="preserve"> </w:t>
      </w:r>
      <w:r>
        <w:t>installed in SCE’s territory</w:t>
      </w:r>
      <w:r w:rsidR="004C356D" w:rsidRPr="00EE386A">
        <w:t>. No pre</w:t>
      </w:r>
      <w:r w:rsidR="00BD6D3F" w:rsidRPr="00EE386A">
        <w:noBreakHyphen/>
      </w:r>
      <w:r w:rsidR="004C356D" w:rsidRPr="00EE386A">
        <w:t>TES operational data was available</w:t>
      </w:r>
      <w:r w:rsidR="005D188A" w:rsidRPr="00EE386A">
        <w:t xml:space="preserve"> because SCE waived the requirement for the customer</w:t>
      </w:r>
      <w:r w:rsidR="004C356D" w:rsidRPr="00EE386A">
        <w:t>, and the only post-TES installation operational data available was from the winter</w:t>
      </w:r>
      <w:r w:rsidR="00BD6D3F" w:rsidRPr="00EE386A">
        <w:t>,</w:t>
      </w:r>
      <w:r w:rsidR="005D188A" w:rsidRPr="00EE386A">
        <w:rPr>
          <w:rStyle w:val="FootnoteReference"/>
        </w:rPr>
        <w:footnoteReference w:id="11"/>
      </w:r>
      <w:r w:rsidR="004C356D" w:rsidRPr="00EE386A">
        <w:t xml:space="preserve"> which doesn’t correspond to the peak load shift season. Consequently, an alternative evaluation approach</w:t>
      </w:r>
      <w:r w:rsidR="007F4400" w:rsidRPr="00EE386A">
        <w:t xml:space="preserve"> was developed </w:t>
      </w:r>
      <w:r w:rsidR="00185729" w:rsidRPr="00EE386A">
        <w:t>that leverages</w:t>
      </w:r>
      <w:r w:rsidR="004C356D" w:rsidRPr="00EE386A">
        <w:t xml:space="preserve"> the pre and post-TES installation premise level interval meter data and utility provided regional temperature</w:t>
      </w:r>
      <w:r w:rsidR="00722723" w:rsidRPr="00EE386A">
        <w:t xml:space="preserve"> data</w:t>
      </w:r>
      <w:r w:rsidR="004C356D" w:rsidRPr="00EE386A">
        <w:t xml:space="preserve">. </w:t>
      </w:r>
      <w:r w:rsidR="008907D8" w:rsidRPr="00EE386A">
        <w:t xml:space="preserve">We believe that the originally proposed method is </w:t>
      </w:r>
      <w:r w:rsidR="007F4400" w:rsidRPr="00EE386A">
        <w:t xml:space="preserve">likely to be </w:t>
      </w:r>
      <w:r w:rsidR="008907D8" w:rsidRPr="00EE386A">
        <w:t xml:space="preserve">more accurate and </w:t>
      </w:r>
      <w:r w:rsidR="008907D8" w:rsidRPr="00EE386A">
        <w:lastRenderedPageBreak/>
        <w:t>transparent</w:t>
      </w:r>
      <w:r w:rsidR="00D17A9B" w:rsidRPr="00EE386A">
        <w:t xml:space="preserve"> </w:t>
      </w:r>
      <w:r w:rsidR="008907D8" w:rsidRPr="00EE386A">
        <w:t xml:space="preserve">because a direct model of electric usage as a function of temperature </w:t>
      </w:r>
      <w:r w:rsidR="00EE386A" w:rsidRPr="00EE386A">
        <w:t>does not fully take advantage of</w:t>
      </w:r>
      <w:r w:rsidR="008907D8" w:rsidRPr="00EE386A">
        <w:t xml:space="preserve"> the information provided by the directly measured ex post cooling tons. The cooling tons provide valuable information about how hard the cooling system is working and the cooling tons are not perfectly correlated with temperature, which means that using a model that eschews them introduces an additional and unnecessary source of variance into the results. </w:t>
      </w:r>
      <w:r w:rsidR="00D17A9B" w:rsidRPr="00EE386A">
        <w:t xml:space="preserve">However, the alternative approach based on the available data appears to produce reasonable results that provide valuable feedback to the utilities regarding operational performance relative to the expected load shift based off the incentive calculations. </w:t>
      </w:r>
    </w:p>
    <w:p w:rsidR="00912439" w:rsidRDefault="004D20F4" w:rsidP="00CC6AC7">
      <w:pPr>
        <w:pStyle w:val="BodyParagraph"/>
      </w:pPr>
      <w:r w:rsidRPr="00EB020C">
        <w:t xml:space="preserve">This year, the methodology described above </w:t>
      </w:r>
      <w:r w:rsidR="00912439">
        <w:t>leveraging operational data was</w:t>
      </w:r>
      <w:r w:rsidRPr="00EB020C">
        <w:t xml:space="preserve"> used to estimate the ex post impacts for the single PG&amp;E installation. Since </w:t>
      </w:r>
      <w:r w:rsidR="00405194">
        <w:t>all three</w:t>
      </w:r>
      <w:r w:rsidRPr="00EB020C">
        <w:t xml:space="preserve"> SCE installation</w:t>
      </w:r>
      <w:r w:rsidR="00405194">
        <w:t>s</w:t>
      </w:r>
      <w:r w:rsidRPr="00EB020C">
        <w:t xml:space="preserve"> only ha</w:t>
      </w:r>
      <w:r w:rsidR="00405194">
        <w:t>ve</w:t>
      </w:r>
      <w:r w:rsidRPr="00EB020C">
        <w:t xml:space="preserve"> post-installation data, the same methodology based on the premise level interval meter data use</w:t>
      </w:r>
      <w:r w:rsidR="00912439">
        <w:t>d</w:t>
      </w:r>
      <w:r w:rsidRPr="00EB020C">
        <w:t xml:space="preserve"> in the 201</w:t>
      </w:r>
      <w:r w:rsidR="00405194">
        <w:t>5 and 2016</w:t>
      </w:r>
      <w:r w:rsidRPr="00EB020C">
        <w:t xml:space="preserve"> evaluation</w:t>
      </w:r>
      <w:r w:rsidR="00405194">
        <w:t>s</w:t>
      </w:r>
      <w:r w:rsidRPr="00EB020C">
        <w:t xml:space="preserve"> </w:t>
      </w:r>
      <w:r w:rsidR="00912439">
        <w:t>was</w:t>
      </w:r>
      <w:r w:rsidRPr="00EB020C">
        <w:t xml:space="preserve"> used to estimate the customer’s ex post impacts for this year’s evaluation. </w:t>
      </w:r>
      <w:r w:rsidR="00405194">
        <w:t>For the three operational sites within</w:t>
      </w:r>
      <w:r w:rsidR="00912439">
        <w:t xml:space="preserve"> SDG&amp;E’s </w:t>
      </w:r>
      <w:r w:rsidR="00405194">
        <w:t>service territory, a variety of data sources were used to calculate ex post impacts at each of the sites. These sources include operational data, premise level meter data, and operational data from select test days at one of the installation sites. The variation in data required differing analyses for each of the three installations, with the aggregate impacts being determined after the contrasting analyses were completed.</w:t>
      </w:r>
    </w:p>
    <w:p w:rsidR="00D3234D" w:rsidRDefault="00D3234D" w:rsidP="00D3234D">
      <w:pPr>
        <w:pStyle w:val="Heading2"/>
      </w:pPr>
      <w:bookmarkStart w:id="16" w:name="_Ref477354607"/>
      <w:bookmarkStart w:id="17" w:name="_Toc507085043"/>
      <w:bookmarkStart w:id="18" w:name="_Ref477354610"/>
      <w:bookmarkStart w:id="19" w:name="_Ref477357249"/>
      <w:r>
        <w:t>PG&amp;E Ex Post Model Selection</w:t>
      </w:r>
      <w:bookmarkEnd w:id="16"/>
      <w:bookmarkEnd w:id="17"/>
    </w:p>
    <w:p w:rsidR="00D3234D" w:rsidRPr="00BE7C5A" w:rsidRDefault="00D3234D" w:rsidP="00D3234D">
      <w:pPr>
        <w:pStyle w:val="BodyBeforeBullet"/>
      </w:pPr>
      <w:r>
        <w:t xml:space="preserve">Since a complete panel of operational data was available for the PG&amp;E installation, Nexant used the methodology described in Section </w:t>
      </w:r>
      <w:r>
        <w:fldChar w:fldCharType="begin"/>
      </w:r>
      <w:r>
        <w:instrText xml:space="preserve"> REF _Ref476214287 \r \h </w:instrText>
      </w:r>
      <w:r>
        <w:fldChar w:fldCharType="separate"/>
      </w:r>
      <w:r w:rsidR="001F391A">
        <w:t>2</w:t>
      </w:r>
      <w:r>
        <w:fldChar w:fldCharType="end"/>
      </w:r>
      <w:r>
        <w:t>. The operational data collected by the customer include</w:t>
      </w:r>
      <w:r w:rsidR="001E3E5F">
        <w:t>d</w:t>
      </w:r>
      <w:r w:rsidRPr="00BE7C5A">
        <w:t>:</w:t>
      </w:r>
    </w:p>
    <w:p w:rsidR="00D3234D" w:rsidRPr="00BE7C5A" w:rsidRDefault="00D3234D" w:rsidP="001A6711">
      <w:pPr>
        <w:pStyle w:val="Bullets"/>
      </w:pPr>
      <w:r w:rsidRPr="00BE7C5A">
        <w:t>OAT: 1) Outdoor ambient temperature;</w:t>
      </w:r>
    </w:p>
    <w:p w:rsidR="00D3234D" w:rsidRPr="00BE7C5A" w:rsidRDefault="00D3234D" w:rsidP="001A6711">
      <w:pPr>
        <w:pStyle w:val="Bullets"/>
      </w:pPr>
      <w:r w:rsidRPr="00BE7C5A">
        <w:t>Cooling System Load: 2) Electric demand (kW) of all chilled water plant equipment (all plant chillers, pumps, and cooling tower fans); and</w:t>
      </w:r>
    </w:p>
    <w:p w:rsidR="00D3234D" w:rsidRPr="00BE7C5A" w:rsidRDefault="00D3234D" w:rsidP="001A6711">
      <w:pPr>
        <w:pStyle w:val="Bullets"/>
      </w:pPr>
      <w:r w:rsidRPr="00BE7C5A">
        <w:t>Cooling Tons:</w:t>
      </w:r>
    </w:p>
    <w:p w:rsidR="00D3234D" w:rsidRPr="00BE7C5A" w:rsidRDefault="00D3234D" w:rsidP="001A6711">
      <w:pPr>
        <w:pStyle w:val="Bullets"/>
      </w:pPr>
      <w:r w:rsidRPr="00BE7C5A">
        <w:t>3) Chilled water return temperature;</w:t>
      </w:r>
    </w:p>
    <w:p w:rsidR="00D3234D" w:rsidRPr="00BE7C5A" w:rsidRDefault="00D3234D" w:rsidP="001A6711">
      <w:pPr>
        <w:pStyle w:val="Bullets"/>
      </w:pPr>
      <w:r w:rsidRPr="00BE7C5A">
        <w:t xml:space="preserve">4) Chilled water supply temperature; and </w:t>
      </w:r>
    </w:p>
    <w:p w:rsidR="00D3234D" w:rsidRPr="00BE7C5A" w:rsidRDefault="00D3234D" w:rsidP="001A6711">
      <w:pPr>
        <w:pStyle w:val="BulletLast"/>
      </w:pPr>
      <w:r w:rsidRPr="00BE7C5A">
        <w:t>5) Chilled water flow rate.</w:t>
      </w:r>
    </w:p>
    <w:p w:rsidR="00D3234D" w:rsidRDefault="00D3234D" w:rsidP="00D3234D">
      <w:pPr>
        <w:pStyle w:val="BodyBeforeBullet"/>
        <w:spacing w:after="240"/>
      </w:pPr>
      <w:r w:rsidRPr="00A26C32">
        <w:t xml:space="preserve">The data </w:t>
      </w:r>
      <w:r w:rsidR="001A6711">
        <w:t>was</w:t>
      </w:r>
      <w:r w:rsidR="001A6711" w:rsidRPr="00A26C32">
        <w:t xml:space="preserve"> </w:t>
      </w:r>
      <w:r w:rsidRPr="00A26C32">
        <w:t xml:space="preserve">collected </w:t>
      </w:r>
      <w:r w:rsidR="001A6711">
        <w:t>over the</w:t>
      </w:r>
      <w:r w:rsidRPr="00A26C32">
        <w:t xml:space="preserve"> three month pre-TES installation period spanning July to</w:t>
      </w:r>
      <w:r w:rsidR="001A6711">
        <w:t> </w:t>
      </w:r>
      <w:r w:rsidRPr="00A26C32">
        <w:t>September 2015. The customer installed the TES system sometime in May 2016, and post</w:t>
      </w:r>
      <w:r w:rsidR="001A6711">
        <w:noBreakHyphen/>
      </w:r>
      <w:r w:rsidRPr="00A26C32">
        <w:t>installation data span</w:t>
      </w:r>
      <w:r w:rsidR="001A6711">
        <w:t>ned</w:t>
      </w:r>
      <w:r w:rsidRPr="00A26C32">
        <w:t xml:space="preserve"> May through October 201</w:t>
      </w:r>
      <w:r w:rsidR="00C53CA4">
        <w:t>7</w:t>
      </w:r>
      <w:r>
        <w:t xml:space="preserve"> </w:t>
      </w:r>
    </w:p>
    <w:p w:rsidR="00D3234D" w:rsidRPr="00BE7C5A" w:rsidRDefault="00D3234D" w:rsidP="00D3234D">
      <w:pPr>
        <w:pStyle w:val="BodyBeforeBullet"/>
      </w:pPr>
      <w:r w:rsidRPr="00BE7C5A">
        <w:t>Under the approved PLS program data collection requirements, the calculation of ex post baseline usage and ex post savings were expected to proceed as follows:</w:t>
      </w:r>
    </w:p>
    <w:p w:rsidR="00D3234D" w:rsidRPr="00BE7C5A" w:rsidRDefault="00D3234D" w:rsidP="001A6711">
      <w:pPr>
        <w:pStyle w:val="Bullets"/>
      </w:pPr>
      <w:r w:rsidRPr="00BE7C5A">
        <w:t>Use the collected chilled water data to calculate actual ex post cooling tons for each TES system for each hour of the pre- and post-TES installation period in the summer</w:t>
      </w:r>
      <w:r>
        <w:t xml:space="preserve">, </w:t>
      </w:r>
      <w:r w:rsidRPr="00346288">
        <w:t>where U.S.</w:t>
      </w:r>
      <w:r w:rsidR="001A6711">
        <w:t> </w:t>
      </w:r>
      <w:r w:rsidRPr="00346288">
        <w:t>gallons per minute (</w:t>
      </w:r>
      <w:proofErr w:type="spellStart"/>
      <w:r w:rsidRPr="00346288">
        <w:t>USgpm</w:t>
      </w:r>
      <w:proofErr w:type="spellEnd"/>
      <w:r w:rsidRPr="00346288">
        <w:t>) denotes the unit to describe the water flow and water supply and return temperatures are measured in degrees Fahrenheit (°F)</w:t>
      </w:r>
    </w:p>
    <w:p w:rsidR="00D3234D" w:rsidRPr="00BE7C5A" w:rsidRDefault="00D3234D" w:rsidP="00E40533">
      <w:pPr>
        <w:pStyle w:val="Bullets"/>
        <w:numPr>
          <w:ilvl w:val="1"/>
          <w:numId w:val="1"/>
        </w:numPr>
      </w:pPr>
      <w:r w:rsidRPr="00BE7C5A">
        <w:rPr>
          <w:shd w:val="clear" w:color="auto" w:fill="FFFFFF"/>
        </w:rPr>
        <w:t>Cooling Tons = Flow (</w:t>
      </w:r>
      <w:proofErr w:type="spellStart"/>
      <w:r w:rsidRPr="00BE7C5A">
        <w:rPr>
          <w:shd w:val="clear" w:color="auto" w:fill="FFFFFF"/>
        </w:rPr>
        <w:t>USgpm</w:t>
      </w:r>
      <w:proofErr w:type="spellEnd"/>
      <w:r w:rsidRPr="00BE7C5A">
        <w:rPr>
          <w:shd w:val="clear" w:color="auto" w:fill="FFFFFF"/>
        </w:rPr>
        <w:t>) × (</w:t>
      </w:r>
      <w:proofErr w:type="spellStart"/>
      <w:r w:rsidRPr="00BE7C5A">
        <w:rPr>
          <w:sz w:val="18"/>
          <w:szCs w:val="18"/>
          <w:shd w:val="clear" w:color="auto" w:fill="FFFFFF"/>
          <w:vertAlign w:val="superscript"/>
        </w:rPr>
        <w:t>o</w:t>
      </w:r>
      <w:r w:rsidRPr="00BE7C5A">
        <w:rPr>
          <w:shd w:val="clear" w:color="auto" w:fill="FFFFFF"/>
        </w:rPr>
        <w:t>F</w:t>
      </w:r>
      <w:r w:rsidRPr="00BE7C5A">
        <w:rPr>
          <w:sz w:val="18"/>
          <w:szCs w:val="18"/>
          <w:shd w:val="clear" w:color="auto" w:fill="FFFFFF"/>
          <w:vertAlign w:val="subscript"/>
        </w:rPr>
        <w:t>in</w:t>
      </w:r>
      <w:proofErr w:type="spellEnd"/>
      <w:r w:rsidRPr="00BE7C5A">
        <w:rPr>
          <w:rStyle w:val="apple-converted-space"/>
          <w:rFonts w:ascii="Cambria Math" w:hAnsi="Cambria Math" w:cs="Times New Roman"/>
          <w:i/>
          <w:color w:val="000000"/>
          <w:shd w:val="clear" w:color="auto" w:fill="FFFFFF"/>
        </w:rPr>
        <w:t> </w:t>
      </w:r>
      <w:r w:rsidRPr="00BE7C5A">
        <w:rPr>
          <w:shd w:val="clear" w:color="auto" w:fill="FFFFFF"/>
        </w:rPr>
        <w:t>-</w:t>
      </w:r>
      <w:r w:rsidRPr="00BE7C5A">
        <w:rPr>
          <w:rStyle w:val="apple-converted-space"/>
          <w:rFonts w:ascii="Cambria Math" w:hAnsi="Cambria Math" w:cs="Times New Roman"/>
          <w:i/>
          <w:color w:val="000000"/>
          <w:shd w:val="clear" w:color="auto" w:fill="FFFFFF"/>
        </w:rPr>
        <w:t> </w:t>
      </w:r>
      <w:proofErr w:type="spellStart"/>
      <w:r w:rsidRPr="00BE7C5A">
        <w:rPr>
          <w:sz w:val="18"/>
          <w:szCs w:val="18"/>
          <w:shd w:val="clear" w:color="auto" w:fill="FFFFFF"/>
          <w:vertAlign w:val="superscript"/>
        </w:rPr>
        <w:t>o</w:t>
      </w:r>
      <w:r w:rsidRPr="00BE7C5A">
        <w:rPr>
          <w:shd w:val="clear" w:color="auto" w:fill="FFFFFF"/>
        </w:rPr>
        <w:t>F</w:t>
      </w:r>
      <w:r w:rsidRPr="00BE7C5A">
        <w:rPr>
          <w:sz w:val="18"/>
          <w:szCs w:val="18"/>
          <w:shd w:val="clear" w:color="auto" w:fill="FFFFFF"/>
          <w:vertAlign w:val="subscript"/>
        </w:rPr>
        <w:t>out</w:t>
      </w:r>
      <w:proofErr w:type="spellEnd"/>
      <w:r w:rsidRPr="00BE7C5A">
        <w:rPr>
          <w:shd w:val="clear" w:color="auto" w:fill="FFFFFF"/>
        </w:rPr>
        <w:t>)/24</w:t>
      </w:r>
    </w:p>
    <w:p w:rsidR="00D3234D" w:rsidRPr="00BE7C5A" w:rsidRDefault="00D3234D" w:rsidP="00E40533">
      <w:pPr>
        <w:pStyle w:val="Bullets"/>
        <w:numPr>
          <w:ilvl w:val="1"/>
          <w:numId w:val="1"/>
        </w:numPr>
      </w:pPr>
      <w:r w:rsidRPr="00BE7C5A">
        <w:lastRenderedPageBreak/>
        <w:t xml:space="preserve">Calculate the </w:t>
      </w:r>
      <w:r w:rsidRPr="00346288">
        <w:t>coefficient of performance (COP)</w:t>
      </w:r>
      <w:r w:rsidRPr="00BE7C5A">
        <w:t xml:space="preserve"> for each hour of the </w:t>
      </w:r>
      <w:r w:rsidR="001A6711">
        <w:br/>
      </w:r>
      <w:r w:rsidRPr="00BE7C5A">
        <w:t xml:space="preserve">pre-TES period for each system based on the hourly cooling tons and </w:t>
      </w:r>
      <w:r w:rsidR="001A6711">
        <w:br/>
      </w:r>
      <w:r w:rsidRPr="00BE7C5A">
        <w:t>cooling system load</w:t>
      </w:r>
      <w:r w:rsidR="001A6711">
        <w:t>.</w:t>
      </w:r>
    </w:p>
    <w:p w:rsidR="00D3234D" w:rsidRPr="00BE7C5A" w:rsidRDefault="00D3234D" w:rsidP="00E40533">
      <w:pPr>
        <w:pStyle w:val="Bullets"/>
        <w:numPr>
          <w:ilvl w:val="1"/>
          <w:numId w:val="1"/>
        </w:numPr>
      </w:pPr>
      <w:r w:rsidRPr="00BE7C5A">
        <w:t>COP = Cooling Tons / Cooling System Load (kWh/h)</w:t>
      </w:r>
    </w:p>
    <w:p w:rsidR="00D3234D" w:rsidRPr="00BE7C5A" w:rsidRDefault="00D3234D" w:rsidP="001A6711">
      <w:pPr>
        <w:pStyle w:val="Bullets"/>
      </w:pPr>
      <w:r w:rsidRPr="00BE7C5A">
        <w:t xml:space="preserve">Develop a regression model of the relationship between COP and OAT during the pre-TES period. Nexant will develop this model separately for each site since each pre-TES system was different. Most likely a simple linear or quadratic relationship between COP and outdoor air temperature will suffice. </w:t>
      </w:r>
      <w:r w:rsidRPr="000A718A">
        <w:rPr>
          <w:szCs w:val="22"/>
        </w:rPr>
        <w:t>This model may require interactions with time of day or day-type since the customer’s use of the cooling system, driving the cooling tons,</w:t>
      </w:r>
      <w:r w:rsidR="001A6711">
        <w:rPr>
          <w:szCs w:val="22"/>
        </w:rPr>
        <w:t> </w:t>
      </w:r>
      <w:r w:rsidRPr="000A718A">
        <w:rPr>
          <w:szCs w:val="22"/>
        </w:rPr>
        <w:t xml:space="preserve">may vary based on building occupancy schedules for space cooling, or production schedules for process cooling. </w:t>
      </w:r>
      <w:r>
        <w:t>Various</w:t>
      </w:r>
      <w:r w:rsidRPr="00BE7C5A">
        <w:t xml:space="preserve"> model specifications</w:t>
      </w:r>
      <w:r>
        <w:t xml:space="preserve"> are tested</w:t>
      </w:r>
      <w:r w:rsidRPr="00BE7C5A">
        <w:t xml:space="preserve"> using standard regression diagnostics</w:t>
      </w:r>
      <w:r>
        <w:t xml:space="preserve"> (e.g., accuracy metrics such as root-mean-square error, average percent error, adjusted R</w:t>
      </w:r>
      <w:r w:rsidRPr="000A718A">
        <w:rPr>
          <w:vertAlign w:val="superscript"/>
        </w:rPr>
        <w:t>2</w:t>
      </w:r>
      <w:r>
        <w:t>, etc.)</w:t>
      </w:r>
      <w:r w:rsidRPr="00BE7C5A">
        <w:t>, including out-of-sample testing</w:t>
      </w:r>
      <w:r w:rsidR="001A6711">
        <w:t>.</w:t>
      </w:r>
    </w:p>
    <w:p w:rsidR="00D3234D" w:rsidRPr="00BE7C5A" w:rsidRDefault="00D3234D" w:rsidP="001A6711">
      <w:pPr>
        <w:pStyle w:val="Bullets"/>
      </w:pPr>
      <w:r w:rsidRPr="00BE7C5A">
        <w:t xml:space="preserve">Use the regression model to estimate </w:t>
      </w:r>
      <m:oMath>
        <m:acc>
          <m:accPr>
            <m:ctrlPr>
              <w:rPr>
                <w:rFonts w:ascii="Cambria Math" w:hAnsi="Cambria Math" w:cstheme="minorHAnsi"/>
              </w:rPr>
            </m:ctrlPr>
          </m:accPr>
          <m:e>
            <m:r>
              <m:rPr>
                <m:sty m:val="p"/>
              </m:rPr>
              <w:rPr>
                <w:rFonts w:ascii="Cambria Math" w:hAnsi="Cambria Math" w:cstheme="minorHAnsi"/>
              </w:rPr>
              <m:t>COP</m:t>
            </m:r>
          </m:e>
        </m:acc>
      </m:oMath>
      <w:r w:rsidRPr="00BE7C5A">
        <w:t xml:space="preserve"> </w:t>
      </w:r>
      <w:r>
        <w:t xml:space="preserve">(i.e., the ratio of cooling tons to cooling system usage) </w:t>
      </w:r>
      <w:r w:rsidRPr="00BE7C5A">
        <w:t xml:space="preserve">for each hour of the summer based on the OAT </w:t>
      </w:r>
      <w:r>
        <w:t xml:space="preserve">observed </w:t>
      </w:r>
      <w:r w:rsidRPr="00BE7C5A">
        <w:t>during the post-TES installation period</w:t>
      </w:r>
      <w:r w:rsidR="001A6711">
        <w:t>.</w:t>
      </w:r>
    </w:p>
    <w:p w:rsidR="00D3234D" w:rsidRPr="00BE7C5A" w:rsidRDefault="00D3234D" w:rsidP="001A6711">
      <w:pPr>
        <w:pStyle w:val="Bullets"/>
      </w:pPr>
      <w:r w:rsidRPr="00BE7C5A">
        <w:t xml:space="preserve">Use the estimated </w:t>
      </w:r>
      <m:oMath>
        <m:acc>
          <m:accPr>
            <m:ctrlPr>
              <w:rPr>
                <w:rFonts w:ascii="Cambria Math" w:hAnsi="Cambria Math" w:cstheme="minorHAnsi"/>
              </w:rPr>
            </m:ctrlPr>
          </m:accPr>
          <m:e>
            <m:r>
              <m:rPr>
                <m:sty m:val="p"/>
              </m:rPr>
              <w:rPr>
                <w:rFonts w:ascii="Cambria Math" w:hAnsi="Cambria Math" w:cstheme="minorHAnsi"/>
              </w:rPr>
              <m:t>COP</m:t>
            </m:r>
          </m:e>
        </m:acc>
      </m:oMath>
      <w:r w:rsidRPr="00BE7C5A">
        <w:t xml:space="preserve"> and the observed post-TES cooling tons to estimate baseline usage for each hour of the summer</w:t>
      </w:r>
      <w:r w:rsidR="001A6711">
        <w:t>.</w:t>
      </w:r>
    </w:p>
    <w:p w:rsidR="00D3234D" w:rsidRPr="00BE7C5A" w:rsidRDefault="00D3234D" w:rsidP="001A6711">
      <w:pPr>
        <w:pStyle w:val="Bullets"/>
      </w:pPr>
      <m:oMath>
        <m:r>
          <w:rPr>
            <w:rFonts w:ascii="Cambria Math" w:hAnsi="Cambria Math"/>
          </w:rPr>
          <m:t>Baseline</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Cooling</m:t>
                </m:r>
                <m:r>
                  <m:rPr>
                    <m:sty m:val="p"/>
                  </m:rPr>
                  <w:rPr>
                    <w:rFonts w:ascii="Cambria Math" w:hAnsi="Cambria Math"/>
                  </w:rPr>
                  <m:t xml:space="preserve"> </m:t>
                </m:r>
                <m:r>
                  <w:rPr>
                    <w:rFonts w:ascii="Cambria Math" w:hAnsi="Cambria Math"/>
                  </w:rPr>
                  <m:t>Tons</m:t>
                </m:r>
              </m:e>
              <m:sub>
                <m:r>
                  <w:rPr>
                    <w:rFonts w:ascii="Cambria Math" w:hAnsi="Cambria Math"/>
                  </w:rPr>
                  <m:t>t</m:t>
                </m:r>
              </m:sub>
            </m:sSub>
          </m:num>
          <m:den>
            <m:sSub>
              <m:sSubPr>
                <m:ctrlPr>
                  <w:rPr>
                    <w:rFonts w:ascii="Cambria Math" w:hAnsi="Cambria Math"/>
                  </w:rPr>
                </m:ctrlPr>
              </m:sSubPr>
              <m:e>
                <m:acc>
                  <m:accPr>
                    <m:ctrlPr>
                      <w:rPr>
                        <w:rFonts w:ascii="Cambria Math" w:hAnsi="Cambria Math"/>
                      </w:rPr>
                    </m:ctrlPr>
                  </m:accPr>
                  <m:e>
                    <m:r>
                      <w:rPr>
                        <w:rFonts w:ascii="Cambria Math" w:hAnsi="Cambria Math"/>
                      </w:rPr>
                      <m:t>COP</m:t>
                    </m:r>
                  </m:e>
                </m:acc>
              </m:e>
              <m:sub>
                <m:r>
                  <w:rPr>
                    <w:rFonts w:ascii="Cambria Math" w:hAnsi="Cambria Math"/>
                  </w:rPr>
                  <m:t>t</m:t>
                </m:r>
              </m:sub>
            </m:sSub>
          </m:den>
        </m:f>
      </m:oMath>
      <w:r w:rsidRPr="00BE7C5A">
        <w:t>, where t (time) is a specific hour on a specific day</w:t>
      </w:r>
      <w:r w:rsidR="001A6711">
        <w:t>.</w:t>
      </w:r>
    </w:p>
    <w:p w:rsidR="00D3234D" w:rsidRPr="00BE7C5A" w:rsidRDefault="00D3234D" w:rsidP="001A6711">
      <w:pPr>
        <w:pStyle w:val="BulletLast"/>
      </w:pPr>
      <w:r w:rsidRPr="00BE7C5A">
        <w:t>Subtract actual measured usage from baseline usage to produce estimated ex post savings. This is one reason for requiring the measurement of system electricity usage.</w:t>
      </w:r>
    </w:p>
    <w:p w:rsidR="00D3234D" w:rsidRDefault="00D3234D" w:rsidP="001A6711">
      <w:pPr>
        <w:pStyle w:val="Bullets"/>
      </w:pPr>
      <m:oMath>
        <m:r>
          <w:rPr>
            <w:rFonts w:ascii="Cambria Math" w:hAnsi="Cambria Math"/>
          </w:rPr>
          <m:t>Ex</m:t>
        </m:r>
        <m:r>
          <m:rPr>
            <m:sty m:val="p"/>
          </m:rPr>
          <w:rPr>
            <w:rFonts w:ascii="Cambria Math" w:hAnsi="Cambria Math"/>
          </w:rPr>
          <m:t xml:space="preserve"> </m:t>
        </m:r>
        <m:r>
          <w:rPr>
            <w:rFonts w:ascii="Cambria Math" w:hAnsi="Cambria Math"/>
          </w:rPr>
          <m:t>post</m:t>
        </m:r>
        <m:r>
          <m:rPr>
            <m:sty m:val="p"/>
          </m:rPr>
          <w:rPr>
            <w:rFonts w:ascii="Cambria Math" w:hAnsi="Cambria Math"/>
          </w:rPr>
          <m:t xml:space="preserve"> </m:t>
        </m:r>
        <m:r>
          <w:rPr>
            <w:rFonts w:ascii="Cambria Math" w:hAnsi="Cambria Math"/>
          </w:rPr>
          <m:t>impact</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r>
          <m:rPr>
            <m:sty m:val="p"/>
          </m:rPr>
          <w:rPr>
            <w:rFonts w:ascii="Cambria Math" w:hAnsi="Cambria Math"/>
          </w:rPr>
          <m:t>=</m:t>
        </m:r>
        <m:r>
          <w:rPr>
            <w:rFonts w:ascii="Cambria Math" w:hAnsi="Cambria Math"/>
          </w:rPr>
          <m:t>Baseline</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r>
          <m:rPr>
            <m:sty m:val="p"/>
          </m:rPr>
          <w:rPr>
            <w:rFonts w:ascii="Cambria Math" w:hAnsi="Cambria Math"/>
          </w:rPr>
          <m:t>-</m:t>
        </m:r>
        <m:r>
          <w:rPr>
            <w:rFonts w:ascii="Cambria Math" w:hAnsi="Cambria Math"/>
          </w:rPr>
          <m:t>Actual</m:t>
        </m:r>
        <m:r>
          <m:rPr>
            <m:sty m:val="p"/>
          </m:rPr>
          <w:rPr>
            <w:rFonts w:ascii="Cambria Math" w:hAnsi="Cambria Math"/>
          </w:rPr>
          <m:t xml:space="preserve"> </m:t>
        </m:r>
        <m:sSub>
          <m:sSubPr>
            <m:ctrlPr>
              <w:rPr>
                <w:rFonts w:ascii="Cambria Math" w:hAnsi="Cambria Math"/>
              </w:rPr>
            </m:ctrlPr>
          </m:sSubPr>
          <m:e>
            <m:r>
              <w:rPr>
                <w:rFonts w:ascii="Cambria Math" w:hAnsi="Cambria Math"/>
              </w:rPr>
              <m:t>kWh</m:t>
            </m:r>
          </m:e>
          <m:sub>
            <m:r>
              <w:rPr>
                <w:rFonts w:ascii="Cambria Math" w:hAnsi="Cambria Math"/>
              </w:rPr>
              <m:t>t</m:t>
            </m:r>
          </m:sub>
        </m:sSub>
      </m:oMath>
    </w:p>
    <w:p w:rsidR="00D3234D" w:rsidRPr="00095491" w:rsidRDefault="00D3234D" w:rsidP="00D3234D">
      <w:pPr>
        <w:pStyle w:val="BodyBeforeBullet"/>
      </w:pPr>
      <w:r w:rsidRPr="00095491">
        <w:t xml:space="preserve">The model selection process is summarized as follows: </w:t>
      </w:r>
    </w:p>
    <w:p w:rsidR="00D3234D" w:rsidRPr="00095491" w:rsidRDefault="00D3234D" w:rsidP="001A6711">
      <w:pPr>
        <w:pStyle w:val="Bullets"/>
        <w:numPr>
          <w:ilvl w:val="0"/>
          <w:numId w:val="27"/>
        </w:numPr>
      </w:pPr>
      <w:r w:rsidRPr="00095491">
        <w:t>Identified 1</w:t>
      </w:r>
      <w:r>
        <w:t>2</w:t>
      </w:r>
      <w:r w:rsidRPr="00095491">
        <w:t xml:space="preserve"> days from </w:t>
      </w:r>
      <w:r>
        <w:t>the pre-installation period, July</w:t>
      </w:r>
      <w:r w:rsidR="001A6711">
        <w:t xml:space="preserve"> through </w:t>
      </w:r>
      <w:r>
        <w:t>September 2015</w:t>
      </w:r>
      <w:r w:rsidRPr="00095491">
        <w:t xml:space="preserve"> (</w:t>
      </w:r>
      <w:r>
        <w:t>4</w:t>
      </w:r>
      <w:r w:rsidRPr="00095491">
        <w:t xml:space="preserve"> </w:t>
      </w:r>
      <w:r>
        <w:t xml:space="preserve">days </w:t>
      </w:r>
      <w:r w:rsidRPr="00095491">
        <w:t>from each</w:t>
      </w:r>
      <w:r>
        <w:t xml:space="preserve"> month</w:t>
      </w:r>
      <w:r w:rsidRPr="00095491">
        <w:t xml:space="preserve">) with the highest </w:t>
      </w:r>
      <w:r>
        <w:t xml:space="preserve">average noon to 6 PM cooling </w:t>
      </w:r>
      <w:r w:rsidRPr="00095491">
        <w:t xml:space="preserve">load to use as peak load days prior to </w:t>
      </w:r>
      <w:r>
        <w:t xml:space="preserve">the </w:t>
      </w:r>
      <w:r w:rsidRPr="00095491">
        <w:t>TES installation for out</w:t>
      </w:r>
      <w:r w:rsidR="001A6711">
        <w:t>-</w:t>
      </w:r>
      <w:r w:rsidRPr="00095491">
        <w:t>of</w:t>
      </w:r>
      <w:r w:rsidR="001A6711">
        <w:t>-</w:t>
      </w:r>
      <w:r w:rsidRPr="00095491">
        <w:t>sample testing.</w:t>
      </w:r>
    </w:p>
    <w:p w:rsidR="00D3234D" w:rsidRPr="00095491" w:rsidRDefault="00D3234D" w:rsidP="001A6711">
      <w:pPr>
        <w:pStyle w:val="Bullets"/>
        <w:numPr>
          <w:ilvl w:val="0"/>
          <w:numId w:val="27"/>
        </w:numPr>
      </w:pPr>
      <w:r w:rsidRPr="00095491">
        <w:t xml:space="preserve">Estimated </w:t>
      </w:r>
      <w:r>
        <w:t xml:space="preserve">13 </w:t>
      </w:r>
      <w:r w:rsidRPr="00095491">
        <w:t>different regression models and used them to predict out-of-sample for the</w:t>
      </w:r>
      <w:r w:rsidR="001A6711">
        <w:t> </w:t>
      </w:r>
      <w:r w:rsidRPr="00095491">
        <w:t xml:space="preserve">peak load days identified in step 1. This allowed </w:t>
      </w:r>
      <w:r>
        <w:t>for</w:t>
      </w:r>
      <w:r w:rsidRPr="00095491">
        <w:t xml:space="preserve"> identif</w:t>
      </w:r>
      <w:r>
        <w:t>ication of</w:t>
      </w:r>
      <w:r w:rsidRPr="00095491">
        <w:t xml:space="preserve"> the regression model that produced the most accurate predictions for peak load days similar to when maximum load shifting is expected. The models vary with respect to how weather variables were defined and with the inclusion of time related variables such as day </w:t>
      </w:r>
      <w:r w:rsidR="001A6711">
        <w:br/>
      </w:r>
      <w:r w:rsidRPr="00095491">
        <w:t>of the week, month, or season.</w:t>
      </w:r>
    </w:p>
    <w:p w:rsidR="00D3234D" w:rsidRPr="00095491" w:rsidRDefault="00D3234D" w:rsidP="001A6711">
      <w:pPr>
        <w:pStyle w:val="BulletLast"/>
        <w:numPr>
          <w:ilvl w:val="0"/>
          <w:numId w:val="27"/>
        </w:numPr>
      </w:pPr>
      <w:r w:rsidRPr="00095491">
        <w:t xml:space="preserve">Selected the most accurate model specification based on out-of-sample testing metrics and used it to estimate the reference load after the TES system was installed. </w:t>
      </w:r>
    </w:p>
    <w:p w:rsidR="00D3234D" w:rsidRPr="00095491" w:rsidRDefault="00D3234D" w:rsidP="00D3234D">
      <w:pPr>
        <w:pStyle w:val="BodyParagraph"/>
      </w:pPr>
      <w:r>
        <w:t>While different model specifications were tested for PG&amp;E, the overall ex post model selection process was identical to that used to select the model for SCE that was based on premise meter</w:t>
      </w:r>
      <w:r w:rsidR="001A6711">
        <w:t> </w:t>
      </w:r>
      <w:r>
        <w:t xml:space="preserve">data and described in Section </w:t>
      </w:r>
      <w:r>
        <w:fldChar w:fldCharType="begin"/>
      </w:r>
      <w:r>
        <w:instrText xml:space="preserve"> REF _Ref477357249 \n \h </w:instrText>
      </w:r>
      <w:r>
        <w:fldChar w:fldCharType="separate"/>
      </w:r>
      <w:r w:rsidR="001F391A">
        <w:t>2.1</w:t>
      </w:r>
      <w:r>
        <w:fldChar w:fldCharType="end"/>
      </w:r>
      <w:r>
        <w:t xml:space="preserve">. </w:t>
      </w:r>
      <w:r w:rsidRPr="00095491">
        <w:t>The final model was selected on the basis of average percent error, taking into account both its absolute value and its deviation across the excluded days, provided that the absolute sum of errors was acceptable relative to other potential models. The final model and its associated explanatory variables are summarized below.</w:t>
      </w:r>
    </w:p>
    <w:p w:rsidR="00D3234D" w:rsidRPr="00095491" w:rsidRDefault="00D3234D" w:rsidP="00D3234D">
      <w:pPr>
        <w:pStyle w:val="BodyBeforeBullet"/>
      </w:pPr>
      <w:r w:rsidRPr="00095491">
        <w:lastRenderedPageBreak/>
        <w:t>Mathematically, the regression can be expressed by:</w:t>
      </w:r>
    </w:p>
    <w:p w:rsidR="00D3234D" w:rsidRPr="00095491" w:rsidRDefault="003A34B9" w:rsidP="00D3234D">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COP</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cs="Arial"/>
                      <w:sz w:val="24"/>
                      <w:szCs w:val="24"/>
                    </w:rPr>
                    <m:t>12</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Month</m:t>
                      </m:r>
                    </m:e>
                    <m:sub>
                      <m:r>
                        <w:rPr>
                          <w:rFonts w:ascii="Cambria Math" w:hAnsi="Cambria Math" w:cs="Arial"/>
                          <w:sz w:val="24"/>
                          <w:szCs w:val="24"/>
                        </w:rPr>
                        <m:t>j</m:t>
                      </m:r>
                    </m:sub>
                  </m:sSub>
                </m:e>
              </m:nary>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oMath>
      </m:oMathPara>
    </w:p>
    <w:p w:rsidR="00D3234D" w:rsidRPr="009F033B" w:rsidRDefault="00D3234D" w:rsidP="00D3234D">
      <w:pPr>
        <w:pStyle w:val="BodyParagraph"/>
        <w:tabs>
          <w:tab w:val="left" w:pos="1620"/>
        </w:tabs>
        <w:spacing w:after="100" w:afterAutospacing="1"/>
        <w:rPr>
          <w:rFonts w:cs="Arial"/>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Mean17</m:t>
                  </m:r>
                </m:e>
                <m:sub>
                  <m:r>
                    <w:rPr>
                      <w:rFonts w:ascii="Cambria Math" w:hAnsi="Cambria Math" w:cs="Arial"/>
                      <w:sz w:val="24"/>
                      <w:szCs w:val="24"/>
                    </w:rPr>
                    <m:t>t</m:t>
                  </m:r>
                </m:sub>
              </m:sSub>
            </m:e>
          </m:nary>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D3234D" w:rsidRPr="00095491" w:rsidRDefault="00D3234D" w:rsidP="00D3234D">
      <w:pPr>
        <w:pStyle w:val="TableFigureCaption"/>
      </w:pPr>
      <w:r w:rsidRPr="00095491">
        <w:t>Table 2-</w:t>
      </w:r>
      <w:r w:rsidR="00060B2F">
        <w:t>1</w:t>
      </w:r>
      <w:r w:rsidRPr="00095491">
        <w:t>: Description of Regression Model Variables</w:t>
      </w:r>
    </w:p>
    <w:tbl>
      <w:tblPr>
        <w:tblStyle w:val="TableGrid"/>
        <w:tblW w:w="0" w:type="auto"/>
        <w:tblLook w:val="04A0" w:firstRow="1" w:lastRow="0" w:firstColumn="1" w:lastColumn="0" w:noHBand="0" w:noVBand="1"/>
      </w:tblPr>
      <w:tblGrid>
        <w:gridCol w:w="1539"/>
        <w:gridCol w:w="8037"/>
      </w:tblGrid>
      <w:tr w:rsidR="00D3234D" w:rsidRPr="00095491" w:rsidTr="006B3688">
        <w:trPr>
          <w:trHeight w:val="557"/>
          <w:tblHeader/>
        </w:trPr>
        <w:tc>
          <w:tcPr>
            <w:tcW w:w="1539" w:type="dxa"/>
            <w:tcBorders>
              <w:top w:val="single" w:sz="8" w:space="0" w:color="auto"/>
              <w:left w:val="single" w:sz="8" w:space="0" w:color="auto"/>
              <w:bottom w:val="single" w:sz="4" w:space="0" w:color="auto"/>
              <w:right w:val="single" w:sz="4" w:space="0" w:color="FFFFFF" w:themeColor="background1"/>
            </w:tcBorders>
            <w:shd w:val="clear" w:color="auto" w:fill="0070C0"/>
            <w:vAlign w:val="center"/>
          </w:tcPr>
          <w:p w:rsidR="00D3234D" w:rsidRPr="00095491" w:rsidRDefault="00D3234D" w:rsidP="006B3688">
            <w:pPr>
              <w:pStyle w:val="TableHeader"/>
              <w:keepNext/>
            </w:pPr>
            <w:r w:rsidRPr="00095491">
              <w:t>Variable</w:t>
            </w:r>
          </w:p>
        </w:tc>
        <w:tc>
          <w:tcPr>
            <w:tcW w:w="8037" w:type="dxa"/>
            <w:tcBorders>
              <w:top w:val="single" w:sz="8" w:space="0" w:color="auto"/>
              <w:left w:val="single" w:sz="4" w:space="0" w:color="FFFFFF" w:themeColor="background1"/>
              <w:bottom w:val="single" w:sz="4" w:space="0" w:color="auto"/>
              <w:right w:val="single" w:sz="8" w:space="0" w:color="auto"/>
            </w:tcBorders>
            <w:shd w:val="clear" w:color="auto" w:fill="0070C0"/>
            <w:vAlign w:val="center"/>
          </w:tcPr>
          <w:p w:rsidR="00D3234D" w:rsidRPr="00095491" w:rsidRDefault="00D3234D" w:rsidP="006B3688">
            <w:pPr>
              <w:pStyle w:val="TableHeader"/>
              <w:keepNext/>
            </w:pPr>
            <w:r w:rsidRPr="00095491">
              <w:t>Definition</w:t>
            </w:r>
          </w:p>
        </w:tc>
      </w:tr>
      <w:tr w:rsidR="00D3234D" w:rsidRPr="00095491" w:rsidTr="006B3688">
        <w:tc>
          <w:tcPr>
            <w:tcW w:w="1539" w:type="dxa"/>
            <w:tcBorders>
              <w:top w:val="single" w:sz="4" w:space="0" w:color="auto"/>
            </w:tcBorders>
            <w:vAlign w:val="center"/>
          </w:tcPr>
          <w:p w:rsidR="00D3234D" w:rsidRPr="00095491" w:rsidRDefault="00D3234D" w:rsidP="006B3688">
            <w:pPr>
              <w:pStyle w:val="TableText"/>
              <w:keepNext/>
            </w:pPr>
            <w:proofErr w:type="spellStart"/>
            <w:r w:rsidRPr="00095491">
              <w:t>kW</w:t>
            </w:r>
            <w:r w:rsidRPr="00095491">
              <w:rPr>
                <w:vertAlign w:val="subscript"/>
              </w:rPr>
              <w:t>t</w:t>
            </w:r>
            <w:proofErr w:type="spellEnd"/>
          </w:p>
        </w:tc>
        <w:tc>
          <w:tcPr>
            <w:tcW w:w="8037" w:type="dxa"/>
            <w:tcBorders>
              <w:top w:val="single" w:sz="4" w:space="0" w:color="auto"/>
            </w:tcBorders>
          </w:tcPr>
          <w:p w:rsidR="00D3234D" w:rsidRPr="00095491" w:rsidRDefault="00D3234D" w:rsidP="006B3688">
            <w:pPr>
              <w:pStyle w:val="TableText"/>
              <w:keepNext/>
              <w:jc w:val="left"/>
            </w:pPr>
            <w:r w:rsidRPr="00095491">
              <w:t>Average hourly demand (kW) for each time period</w:t>
            </w:r>
          </w:p>
        </w:tc>
      </w:tr>
      <w:tr w:rsidR="00D3234D" w:rsidRPr="00095491" w:rsidTr="006B3688">
        <w:tc>
          <w:tcPr>
            <w:tcW w:w="1539" w:type="dxa"/>
            <w:vAlign w:val="center"/>
          </w:tcPr>
          <w:p w:rsidR="00D3234D" w:rsidRPr="00095491" w:rsidRDefault="00D3234D" w:rsidP="006B3688">
            <w:pPr>
              <w:pStyle w:val="TableText"/>
              <w:keepNext/>
            </w:pPr>
            <w:r w:rsidRPr="00095491">
              <w:t>A</w:t>
            </w:r>
          </w:p>
        </w:tc>
        <w:tc>
          <w:tcPr>
            <w:tcW w:w="8037" w:type="dxa"/>
          </w:tcPr>
          <w:p w:rsidR="00D3234D" w:rsidRPr="00095491" w:rsidRDefault="00D3234D" w:rsidP="006B3688">
            <w:pPr>
              <w:pStyle w:val="TableText"/>
              <w:keepNext/>
              <w:tabs>
                <w:tab w:val="left" w:pos="2557"/>
              </w:tabs>
              <w:jc w:val="left"/>
            </w:pPr>
            <w:r w:rsidRPr="00095491">
              <w:t>Estimated constant term</w:t>
            </w:r>
            <w:r w:rsidRPr="00095491">
              <w:tab/>
            </w:r>
          </w:p>
        </w:tc>
      </w:tr>
      <w:tr w:rsidR="00D3234D" w:rsidRPr="00095491" w:rsidTr="006B3688">
        <w:tc>
          <w:tcPr>
            <w:tcW w:w="1539" w:type="dxa"/>
            <w:vAlign w:val="center"/>
          </w:tcPr>
          <w:p w:rsidR="00D3234D" w:rsidRPr="00095491" w:rsidRDefault="00D3234D" w:rsidP="006B3688">
            <w:pPr>
              <w:pStyle w:val="TableText"/>
              <w:keepNext/>
              <w:rPr>
                <w:vertAlign w:val="subscript"/>
              </w:rPr>
            </w:pPr>
            <w:proofErr w:type="spellStart"/>
            <w:r w:rsidRPr="00095491">
              <w:t>B</w:t>
            </w:r>
            <w:r w:rsidRPr="00095491">
              <w:rPr>
                <w:vertAlign w:val="subscript"/>
              </w:rPr>
              <w:t>ij</w:t>
            </w:r>
            <w:proofErr w:type="spellEnd"/>
            <w:r w:rsidRPr="00095491">
              <w:t xml:space="preserve"> through </w:t>
            </w:r>
            <w:r>
              <w:t>D</w:t>
            </w:r>
            <w:r w:rsidRPr="00095491">
              <w:rPr>
                <w:vertAlign w:val="subscript"/>
              </w:rPr>
              <w:t>i</w:t>
            </w:r>
          </w:p>
        </w:tc>
        <w:tc>
          <w:tcPr>
            <w:tcW w:w="8037" w:type="dxa"/>
          </w:tcPr>
          <w:p w:rsidR="00D3234D" w:rsidRPr="00095491" w:rsidRDefault="00D3234D" w:rsidP="006B3688">
            <w:pPr>
              <w:pStyle w:val="TableText"/>
              <w:keepNext/>
              <w:jc w:val="left"/>
            </w:pPr>
            <w:r w:rsidRPr="00095491">
              <w:t>Regression model parameters</w:t>
            </w:r>
          </w:p>
        </w:tc>
      </w:tr>
      <w:tr w:rsidR="00D3234D" w:rsidRPr="00095491" w:rsidTr="006B3688">
        <w:tc>
          <w:tcPr>
            <w:tcW w:w="1539" w:type="dxa"/>
            <w:vAlign w:val="center"/>
          </w:tcPr>
          <w:p w:rsidR="00D3234D" w:rsidRPr="00095491" w:rsidRDefault="00D3234D" w:rsidP="006B3688">
            <w:pPr>
              <w:pStyle w:val="TableText"/>
              <w:keepNext/>
            </w:pPr>
            <w:proofErr w:type="spellStart"/>
            <w:r w:rsidRPr="00095491">
              <w:t>Hour</w:t>
            </w:r>
            <w:r w:rsidRPr="00095491">
              <w:rPr>
                <w:vertAlign w:val="subscript"/>
              </w:rPr>
              <w:t>i</w:t>
            </w:r>
            <w:proofErr w:type="spellEnd"/>
          </w:p>
        </w:tc>
        <w:tc>
          <w:tcPr>
            <w:tcW w:w="8037" w:type="dxa"/>
          </w:tcPr>
          <w:p w:rsidR="00D3234D" w:rsidRPr="00095491" w:rsidRDefault="00D3234D" w:rsidP="006B3688">
            <w:pPr>
              <w:pStyle w:val="TableText"/>
              <w:keepNext/>
              <w:jc w:val="left"/>
            </w:pPr>
            <w:r w:rsidRPr="00095491">
              <w:t>Series of binary variables for each hour, which account for the basic hourly load shape of the customer after other factors such as weather are accounted for</w:t>
            </w:r>
          </w:p>
        </w:tc>
      </w:tr>
      <w:tr w:rsidR="00D3234D" w:rsidRPr="00095491" w:rsidTr="006B3688">
        <w:tc>
          <w:tcPr>
            <w:tcW w:w="1539" w:type="dxa"/>
            <w:vAlign w:val="center"/>
          </w:tcPr>
          <w:p w:rsidR="00D3234D" w:rsidRPr="00095491" w:rsidRDefault="00D3234D" w:rsidP="006B3688">
            <w:pPr>
              <w:pStyle w:val="TableText"/>
              <w:keepNext/>
            </w:pPr>
            <w:proofErr w:type="spellStart"/>
            <w:r w:rsidRPr="00095491">
              <w:t>DOW</w:t>
            </w:r>
            <w:r w:rsidRPr="00095491">
              <w:rPr>
                <w:vertAlign w:val="subscript"/>
              </w:rPr>
              <w:t>j</w:t>
            </w:r>
            <w:proofErr w:type="spellEnd"/>
          </w:p>
        </w:tc>
        <w:tc>
          <w:tcPr>
            <w:tcW w:w="8037" w:type="dxa"/>
          </w:tcPr>
          <w:p w:rsidR="00D3234D" w:rsidRPr="00095491" w:rsidRDefault="00D3234D" w:rsidP="006B3688">
            <w:pPr>
              <w:pStyle w:val="TableText"/>
              <w:keepNext/>
              <w:jc w:val="left"/>
            </w:pPr>
            <w:r w:rsidRPr="00095491">
              <w:t>Series of binary variables representing weekday</w:t>
            </w:r>
            <w:r>
              <w:t xml:space="preserve">s </w:t>
            </w:r>
            <w:r w:rsidRPr="00095491">
              <w:t>(Mon-Fri); weekends and holidays are excluded from the model</w:t>
            </w:r>
          </w:p>
        </w:tc>
      </w:tr>
      <w:tr w:rsidR="00D3234D" w:rsidRPr="00095491" w:rsidTr="006B3688">
        <w:tc>
          <w:tcPr>
            <w:tcW w:w="1539" w:type="dxa"/>
            <w:vAlign w:val="center"/>
          </w:tcPr>
          <w:p w:rsidR="00D3234D" w:rsidRPr="00095491" w:rsidRDefault="00D3234D" w:rsidP="006B3688">
            <w:pPr>
              <w:pStyle w:val="TableText"/>
              <w:keepNext/>
            </w:pPr>
            <w:proofErr w:type="spellStart"/>
            <w:r w:rsidRPr="00095491">
              <w:t>Month</w:t>
            </w:r>
            <w:r w:rsidRPr="00095491">
              <w:rPr>
                <w:vertAlign w:val="subscript"/>
              </w:rPr>
              <w:t>j</w:t>
            </w:r>
            <w:proofErr w:type="spellEnd"/>
          </w:p>
        </w:tc>
        <w:tc>
          <w:tcPr>
            <w:tcW w:w="8037" w:type="dxa"/>
          </w:tcPr>
          <w:p w:rsidR="00D3234D" w:rsidRPr="00095491" w:rsidRDefault="00D3234D" w:rsidP="006B3688">
            <w:pPr>
              <w:pStyle w:val="TableText"/>
              <w:keepNext/>
              <w:jc w:val="left"/>
            </w:pPr>
            <w:r w:rsidRPr="00095491">
              <w:t>Series of binary variables for each month designed to reflect seasonality in loads</w:t>
            </w:r>
          </w:p>
        </w:tc>
      </w:tr>
      <w:tr w:rsidR="00D3234D" w:rsidRPr="00095491" w:rsidTr="006B3688">
        <w:tc>
          <w:tcPr>
            <w:tcW w:w="1539" w:type="dxa"/>
            <w:vAlign w:val="center"/>
          </w:tcPr>
          <w:p w:rsidR="00D3234D" w:rsidRPr="00095491" w:rsidRDefault="00D3234D" w:rsidP="006B3688">
            <w:pPr>
              <w:pStyle w:val="TableText"/>
              <w:spacing w:line="276" w:lineRule="auto"/>
              <w:rPr>
                <w:rFonts w:cs="Arial"/>
              </w:rPr>
            </w:pPr>
            <w:r>
              <w:rPr>
                <w:rFonts w:cs="Arial"/>
              </w:rPr>
              <w:t>Mean17</w:t>
            </w:r>
            <w:r w:rsidRPr="00095491">
              <w:rPr>
                <w:rFonts w:cs="Arial"/>
                <w:vertAlign w:val="subscript"/>
              </w:rPr>
              <w:t>t</w:t>
            </w:r>
          </w:p>
        </w:tc>
        <w:tc>
          <w:tcPr>
            <w:tcW w:w="8037" w:type="dxa"/>
            <w:vAlign w:val="center"/>
          </w:tcPr>
          <w:p w:rsidR="00D3234D" w:rsidRPr="00095491" w:rsidRDefault="00D3234D" w:rsidP="006B3688">
            <w:pPr>
              <w:pStyle w:val="TableText"/>
              <w:spacing w:line="276" w:lineRule="auto"/>
              <w:jc w:val="left"/>
              <w:rPr>
                <w:rFonts w:eastAsia="Calibri" w:cs="Times New Roman"/>
              </w:rPr>
            </w:pPr>
            <w:r>
              <w:t>Mean17</w:t>
            </w:r>
            <w:r w:rsidRPr="00095491">
              <w:rPr>
                <w:rFonts w:cs="Arial"/>
              </w:rPr>
              <w:t>—</w:t>
            </w:r>
            <w:r w:rsidRPr="00095491">
              <w:t xml:space="preserve">the </w:t>
            </w:r>
            <w:r>
              <w:t>average temperature between midnight to 5 PM</w:t>
            </w:r>
          </w:p>
        </w:tc>
      </w:tr>
      <w:tr w:rsidR="00D3234D" w:rsidRPr="00B828B0" w:rsidTr="006B3688">
        <w:tc>
          <w:tcPr>
            <w:tcW w:w="1539" w:type="dxa"/>
            <w:vAlign w:val="center"/>
          </w:tcPr>
          <w:p w:rsidR="00D3234D" w:rsidRPr="00095491" w:rsidRDefault="00D3234D" w:rsidP="006B3688">
            <w:pPr>
              <w:pStyle w:val="TableText"/>
              <w:keepNext/>
            </w:pPr>
            <w:r w:rsidRPr="00095491">
              <w:t>e</w:t>
            </w:r>
            <w:r w:rsidRPr="00095491">
              <w:rPr>
                <w:vertAlign w:val="subscript"/>
              </w:rPr>
              <w:t>t</w:t>
            </w:r>
          </w:p>
        </w:tc>
        <w:tc>
          <w:tcPr>
            <w:tcW w:w="8037" w:type="dxa"/>
          </w:tcPr>
          <w:p w:rsidR="00D3234D" w:rsidRPr="00095491" w:rsidRDefault="00D3234D" w:rsidP="006B3688">
            <w:pPr>
              <w:pStyle w:val="TableText"/>
              <w:keepNext/>
              <w:jc w:val="left"/>
            </w:pPr>
            <w:r w:rsidRPr="00095491">
              <w:t>Error term</w:t>
            </w:r>
          </w:p>
        </w:tc>
      </w:tr>
    </w:tbl>
    <w:p w:rsidR="00D3234D" w:rsidRDefault="00D3234D" w:rsidP="00D3234D">
      <w:pPr>
        <w:pStyle w:val="BodyBeforeBullet"/>
      </w:pPr>
    </w:p>
    <w:p w:rsidR="00D3234D" w:rsidRDefault="00D3234D" w:rsidP="00D3234D">
      <w:pPr>
        <w:pStyle w:val="BodyParagraph"/>
      </w:pPr>
      <w:r>
        <w:t>The regression model specified above use the observed temperatures in the post-installation period to estimate ex post COP. The estimated COP was combined with the observed ex post</w:t>
      </w:r>
      <w:r w:rsidR="001A6711">
        <w:t> </w:t>
      </w:r>
      <w:r>
        <w:t>cooling tons to calculate baseline usage, as described in the methodology above. Because the pre-installation data spanned July through September and generally represented higher temperatures, the model estimated very small, but nonzero values of hourly COP for cooler temperatures during the post-installation period. Since the baseline usage is calculated as the ratio between the observed post-installation cooling tons and the estimated COP, these very small, nonzero estimates of COP caused the estimates of baseline usage to approach infinity.  In order to create upper bounds on the baseline usage, the estimated values of COP were replaced with zero for the hours between 11 PM and 8 AM, which is consistent with the observed COP values in the pre-installation data. In order to create a continuous load profile, in</w:t>
      </w:r>
      <w:r w:rsidR="008D2EB3">
        <w:t> </w:t>
      </w:r>
      <w:r>
        <w:t xml:space="preserve">every hour where the COP was zero, the cooling load was replaced with the average baseline cooling load from the pre-installation period.  </w:t>
      </w:r>
    </w:p>
    <w:p w:rsidR="00AA2BCB" w:rsidRDefault="00AA2BCB" w:rsidP="00D3234D">
      <w:pPr>
        <w:pStyle w:val="BodyParagraph"/>
      </w:pPr>
      <w:r w:rsidRPr="00AA2BCB">
        <w:t xml:space="preserve">Impacts were calculated for every hour of every day in the post-TES installation period. However, the reporting of impacts is limited to the day types required by the load impact protocols—system peak days and the average weekday for each month. </w:t>
      </w:r>
      <w:r w:rsidR="006B78F3">
        <w:t>It should be noted t</w:t>
      </w:r>
      <w:r w:rsidRPr="00AA2BCB">
        <w:t xml:space="preserve">he peak usage for the customer didn’t always align with </w:t>
      </w:r>
      <w:r>
        <w:t>PGE</w:t>
      </w:r>
      <w:r w:rsidRPr="00AA2BCB">
        <w:t>’s monthly system peak day each month</w:t>
      </w:r>
      <w:r w:rsidR="006B78F3">
        <w:t xml:space="preserve">. </w:t>
      </w:r>
      <w:r>
        <w:t>Additionally, because the COP calculation relied on the presence of mult</w:t>
      </w:r>
      <w:r w:rsidR="001E5667">
        <w:t>iple variables, including total cooling system load and chilled water temperature and rates</w:t>
      </w:r>
      <w:r>
        <w:t xml:space="preserve">, impacts could only </w:t>
      </w:r>
      <w:r>
        <w:lastRenderedPageBreak/>
        <w:t xml:space="preserve">be determined for hours with all input variables present. For two system peak days, June and August, the data was incomplete. Accordingly, the second highest system peak days were reported in the </w:t>
      </w:r>
      <w:r w:rsidR="001E5667">
        <w:t xml:space="preserve">ex post </w:t>
      </w:r>
      <w:r>
        <w:t xml:space="preserve">table impact generator. </w:t>
      </w:r>
    </w:p>
    <w:p w:rsidR="009D4D7D" w:rsidRPr="00095491" w:rsidRDefault="00095491" w:rsidP="003A7D22">
      <w:pPr>
        <w:pStyle w:val="Heading2"/>
      </w:pPr>
      <w:bookmarkStart w:id="20" w:name="_Toc507085044"/>
      <w:r w:rsidRPr="00095491">
        <w:t xml:space="preserve">SCE </w:t>
      </w:r>
      <w:r w:rsidR="006120F8" w:rsidRPr="00095491">
        <w:t>Ex Post Model Selection</w:t>
      </w:r>
      <w:bookmarkEnd w:id="18"/>
      <w:bookmarkEnd w:id="19"/>
      <w:bookmarkEnd w:id="20"/>
    </w:p>
    <w:p w:rsidR="00686D38" w:rsidRDefault="009E4A5C" w:rsidP="003A7D22">
      <w:pPr>
        <w:pStyle w:val="BodyParagraph"/>
        <w:rPr>
          <w:rFonts w:cs="Arial"/>
          <w:szCs w:val="20"/>
        </w:rPr>
      </w:pPr>
      <w:r>
        <w:rPr>
          <w:rFonts w:cs="Arial"/>
          <w:szCs w:val="20"/>
        </w:rPr>
        <w:t xml:space="preserve">This year, SCE had three installations that were analyzed by Nexant.  All of the installations were analyzed separately using premise-level data and then the results were combined at the end.  </w:t>
      </w:r>
      <w:r w:rsidR="00B77DA2">
        <w:rPr>
          <w:rFonts w:cs="Arial"/>
          <w:szCs w:val="20"/>
        </w:rPr>
        <w:t>The same model specification used in 201</w:t>
      </w:r>
      <w:r w:rsidR="001D2DA0">
        <w:rPr>
          <w:rFonts w:cs="Arial"/>
          <w:szCs w:val="20"/>
        </w:rPr>
        <w:t>6</w:t>
      </w:r>
      <w:r w:rsidR="00B77DA2">
        <w:rPr>
          <w:rFonts w:cs="Arial"/>
          <w:szCs w:val="20"/>
        </w:rPr>
        <w:t xml:space="preserve"> was used to estimate the 201</w:t>
      </w:r>
      <w:r w:rsidR="001D2DA0">
        <w:rPr>
          <w:rFonts w:cs="Arial"/>
          <w:szCs w:val="20"/>
        </w:rPr>
        <w:t>7</w:t>
      </w:r>
      <w:r w:rsidR="00B77DA2">
        <w:rPr>
          <w:rFonts w:cs="Arial"/>
          <w:szCs w:val="20"/>
        </w:rPr>
        <w:t xml:space="preserve"> ex post impacts for</w:t>
      </w:r>
      <w:r w:rsidR="008D2EB3">
        <w:rPr>
          <w:rFonts w:cs="Arial"/>
          <w:szCs w:val="20"/>
        </w:rPr>
        <w:t> </w:t>
      </w:r>
      <w:r w:rsidR="00B77DA2">
        <w:rPr>
          <w:rFonts w:cs="Arial"/>
          <w:szCs w:val="20"/>
        </w:rPr>
        <w:t>the SCE installation</w:t>
      </w:r>
      <w:r>
        <w:rPr>
          <w:rFonts w:cs="Arial"/>
          <w:szCs w:val="20"/>
        </w:rPr>
        <w:t xml:space="preserve"> </w:t>
      </w:r>
      <w:r w:rsidR="001D2DA0">
        <w:rPr>
          <w:rFonts w:cs="Arial"/>
          <w:szCs w:val="20"/>
        </w:rPr>
        <w:t>that was evaluated in 2016</w:t>
      </w:r>
      <w:r w:rsidR="00B77DA2">
        <w:rPr>
          <w:rFonts w:cs="Arial"/>
          <w:szCs w:val="20"/>
        </w:rPr>
        <w:t>. The</w:t>
      </w:r>
      <w:r w:rsidR="003A7D22" w:rsidRPr="00095491">
        <w:rPr>
          <w:rFonts w:cs="Arial"/>
          <w:szCs w:val="20"/>
        </w:rPr>
        <w:t xml:space="preserve"> regression model was used to estimate the relationship between premise level hourly load data for the customer with the operational TES system and several explanatory variables expected to influence the load such as the temperature, time of day, day of the week, month, season, and year</w:t>
      </w:r>
      <w:r w:rsidR="003A7D22" w:rsidRPr="001E3E5F">
        <w:rPr>
          <w:rFonts w:cs="Arial"/>
          <w:szCs w:val="20"/>
        </w:rPr>
        <w:t xml:space="preserve">. </w:t>
      </w:r>
      <w:r w:rsidR="005E0FAA" w:rsidRPr="001E3E5F">
        <w:rPr>
          <w:rFonts w:cs="Arial"/>
          <w:szCs w:val="20"/>
        </w:rPr>
        <w:t>For two of the t</w:t>
      </w:r>
      <w:r w:rsidR="001D2DA0" w:rsidRPr="001E3E5F">
        <w:rPr>
          <w:rFonts w:cs="Arial"/>
          <w:szCs w:val="20"/>
        </w:rPr>
        <w:t>hree locations</w:t>
      </w:r>
      <w:r w:rsidR="005E0FAA" w:rsidRPr="001E3E5F">
        <w:rPr>
          <w:rFonts w:cs="Arial"/>
          <w:szCs w:val="20"/>
        </w:rPr>
        <w:t>, Nexant received two channels of data</w:t>
      </w:r>
      <w:r w:rsidR="00806B58" w:rsidRPr="001E3E5F">
        <w:rPr>
          <w:rFonts w:cs="Arial"/>
          <w:szCs w:val="20"/>
        </w:rPr>
        <w:t xml:space="preserve">: “Delivered” and “Received.” </w:t>
      </w:r>
      <w:r w:rsidR="005E0FAA" w:rsidRPr="001E3E5F">
        <w:rPr>
          <w:rFonts w:cs="Arial"/>
          <w:szCs w:val="20"/>
        </w:rPr>
        <w:t xml:space="preserve"> </w:t>
      </w:r>
      <w:r w:rsidR="00806B58" w:rsidRPr="001E3E5F">
        <w:rPr>
          <w:rFonts w:cs="Arial"/>
          <w:szCs w:val="20"/>
        </w:rPr>
        <w:t>After discussions with SCE’s contracted engineering firm responsible for managing meter data</w:t>
      </w:r>
      <w:r w:rsidR="00686D38" w:rsidRPr="001E3E5F">
        <w:rPr>
          <w:rFonts w:cs="Arial"/>
          <w:szCs w:val="20"/>
        </w:rPr>
        <w:t xml:space="preserve"> </w:t>
      </w:r>
      <w:r w:rsidR="001D2DA0" w:rsidRPr="001E3E5F">
        <w:rPr>
          <w:rFonts w:cs="Arial"/>
          <w:szCs w:val="20"/>
        </w:rPr>
        <w:t>one of the locations</w:t>
      </w:r>
      <w:r w:rsidR="00686D38" w:rsidRPr="001E3E5F">
        <w:rPr>
          <w:rFonts w:cs="Arial"/>
          <w:szCs w:val="20"/>
        </w:rPr>
        <w:t xml:space="preserve">, Nexant determined that the received meter is offloading some demand from the main meter (“delivered”), and the received meter is not an “outbound” meter. From our </w:t>
      </w:r>
      <w:r w:rsidR="001D2DA0" w:rsidRPr="001E3E5F">
        <w:rPr>
          <w:rFonts w:cs="Arial"/>
          <w:szCs w:val="20"/>
        </w:rPr>
        <w:t>combined analysis</w:t>
      </w:r>
      <w:r w:rsidR="00686D38" w:rsidRPr="001E3E5F">
        <w:rPr>
          <w:rFonts w:cs="Arial"/>
          <w:szCs w:val="20"/>
        </w:rPr>
        <w:t xml:space="preserve">, it appears as though the generation is being metered individually. For the </w:t>
      </w:r>
      <w:r w:rsidR="001D2DA0" w:rsidRPr="001E3E5F">
        <w:rPr>
          <w:rFonts w:cs="Arial"/>
          <w:szCs w:val="20"/>
        </w:rPr>
        <w:t>second site</w:t>
      </w:r>
      <w:r w:rsidR="00686D38" w:rsidRPr="001E3E5F">
        <w:rPr>
          <w:rFonts w:cs="Arial"/>
          <w:szCs w:val="20"/>
        </w:rPr>
        <w:t>, the “Recei</w:t>
      </w:r>
      <w:r w:rsidR="0031753D" w:rsidRPr="001E3E5F">
        <w:rPr>
          <w:rFonts w:cs="Arial"/>
          <w:szCs w:val="20"/>
        </w:rPr>
        <w:t xml:space="preserve">ved” data was dropped from the </w:t>
      </w:r>
      <w:r w:rsidR="00686D38" w:rsidRPr="001E3E5F">
        <w:rPr>
          <w:rFonts w:cs="Arial"/>
          <w:szCs w:val="20"/>
        </w:rPr>
        <w:t xml:space="preserve">analysis as nearly all observations (99.96% of observations) were zero. In contrast, </w:t>
      </w:r>
      <w:r w:rsidR="001D2DA0" w:rsidRPr="001E3E5F">
        <w:rPr>
          <w:rFonts w:cs="Arial"/>
          <w:szCs w:val="20"/>
        </w:rPr>
        <w:t xml:space="preserve">to analyze impacts for the </w:t>
      </w:r>
      <w:r w:rsidR="0031753D" w:rsidRPr="001E3E5F">
        <w:rPr>
          <w:rFonts w:cs="Arial"/>
          <w:szCs w:val="20"/>
        </w:rPr>
        <w:t>third</w:t>
      </w:r>
      <w:r w:rsidR="001D2DA0" w:rsidRPr="001E3E5F">
        <w:rPr>
          <w:rFonts w:cs="Arial"/>
          <w:szCs w:val="20"/>
        </w:rPr>
        <w:t xml:space="preserve"> customer location and calibrate </w:t>
      </w:r>
      <w:r w:rsidR="00686D38" w:rsidRPr="001E3E5F">
        <w:rPr>
          <w:rFonts w:cs="Arial"/>
          <w:szCs w:val="20"/>
        </w:rPr>
        <w:t xml:space="preserve">an energy model for the campus, the combined consumption on both meters was utilized (received kilowatts plus delivered kilowatts). However, to </w:t>
      </w:r>
      <w:r w:rsidR="001D2DA0" w:rsidRPr="001E3E5F">
        <w:rPr>
          <w:rFonts w:cs="Arial"/>
          <w:szCs w:val="20"/>
        </w:rPr>
        <w:t>verify that</w:t>
      </w:r>
      <w:r w:rsidR="00686D38" w:rsidRPr="001E3E5F">
        <w:rPr>
          <w:rFonts w:cs="Arial"/>
          <w:szCs w:val="20"/>
        </w:rPr>
        <w:t xml:space="preserve"> the facility has enough demand on the grid at any time to substantiate the approved kilowatt load shift, only the main meter (delivered) </w:t>
      </w:r>
      <w:r w:rsidR="00DA6435" w:rsidRPr="001E3E5F">
        <w:rPr>
          <w:rFonts w:cs="Arial"/>
          <w:szCs w:val="20"/>
        </w:rPr>
        <w:t>was</w:t>
      </w:r>
      <w:r w:rsidR="00686D38" w:rsidRPr="001E3E5F">
        <w:rPr>
          <w:rFonts w:cs="Arial"/>
          <w:szCs w:val="20"/>
        </w:rPr>
        <w:t xml:space="preserve"> used.</w:t>
      </w:r>
      <w:r w:rsidR="00686D38">
        <w:rPr>
          <w:rFonts w:cs="Arial"/>
          <w:szCs w:val="20"/>
        </w:rPr>
        <w:t xml:space="preserve"> </w:t>
      </w:r>
    </w:p>
    <w:p w:rsidR="00E4487D" w:rsidRDefault="00B77DA2" w:rsidP="003A7D22">
      <w:pPr>
        <w:pStyle w:val="BodyParagraph"/>
        <w:rPr>
          <w:rFonts w:cs="Arial"/>
          <w:szCs w:val="20"/>
        </w:rPr>
      </w:pPr>
      <w:r>
        <w:rPr>
          <w:rFonts w:cs="Arial"/>
          <w:szCs w:val="20"/>
        </w:rPr>
        <w:t xml:space="preserve">To construct the model, </w:t>
      </w:r>
      <w:r w:rsidR="009E4A5C">
        <w:rPr>
          <w:rFonts w:cs="Arial"/>
          <w:szCs w:val="20"/>
        </w:rPr>
        <w:t xml:space="preserve">at least two </w:t>
      </w:r>
      <w:r w:rsidR="003A7D22" w:rsidRPr="00095491">
        <w:rPr>
          <w:rFonts w:cs="Arial"/>
          <w:szCs w:val="20"/>
        </w:rPr>
        <w:t xml:space="preserve">years of data were used </w:t>
      </w:r>
      <w:r>
        <w:rPr>
          <w:rFonts w:cs="Arial"/>
          <w:szCs w:val="20"/>
        </w:rPr>
        <w:t xml:space="preserve">for </w:t>
      </w:r>
      <w:r w:rsidR="00DF516D" w:rsidRPr="00095491">
        <w:rPr>
          <w:rFonts w:cs="Arial"/>
          <w:szCs w:val="20"/>
        </w:rPr>
        <w:t>estimation</w:t>
      </w:r>
      <w:r w:rsidR="003A7D22" w:rsidRPr="00095491">
        <w:rPr>
          <w:rFonts w:cs="Arial"/>
          <w:szCs w:val="20"/>
        </w:rPr>
        <w:t>—</w:t>
      </w:r>
      <w:r w:rsidR="00195CEA">
        <w:rPr>
          <w:rFonts w:cs="Arial"/>
          <w:szCs w:val="20"/>
        </w:rPr>
        <w:t xml:space="preserve"> ranging from </w:t>
      </w:r>
      <w:r w:rsidR="003A7D22" w:rsidRPr="00095491">
        <w:rPr>
          <w:rFonts w:cs="Arial"/>
          <w:szCs w:val="20"/>
        </w:rPr>
        <w:t>January 2013 through December 201</w:t>
      </w:r>
      <w:r w:rsidR="00413CBE">
        <w:rPr>
          <w:rFonts w:cs="Arial"/>
          <w:szCs w:val="20"/>
        </w:rPr>
        <w:t>7</w:t>
      </w:r>
      <w:r w:rsidR="003A7D22" w:rsidRPr="00095491">
        <w:rPr>
          <w:rFonts w:cs="Arial"/>
          <w:szCs w:val="20"/>
        </w:rPr>
        <w:t>. The</w:t>
      </w:r>
      <w:r w:rsidR="009E4A5C">
        <w:rPr>
          <w:rFonts w:cs="Arial"/>
          <w:szCs w:val="20"/>
        </w:rPr>
        <w:t xml:space="preserve"> first</w:t>
      </w:r>
      <w:r w:rsidR="003A7D22" w:rsidRPr="00095491">
        <w:rPr>
          <w:rFonts w:cs="Arial"/>
          <w:szCs w:val="20"/>
        </w:rPr>
        <w:t xml:space="preserve"> site became operational in March 2015, resulting in approximately two years of pre-TES </w:t>
      </w:r>
      <w:r w:rsidR="00DF516D" w:rsidRPr="00095491">
        <w:rPr>
          <w:rFonts w:cs="Arial"/>
          <w:szCs w:val="20"/>
        </w:rPr>
        <w:t xml:space="preserve">installation </w:t>
      </w:r>
      <w:r w:rsidR="003A7D22" w:rsidRPr="00095491">
        <w:rPr>
          <w:rFonts w:cs="Arial"/>
          <w:szCs w:val="20"/>
        </w:rPr>
        <w:t xml:space="preserve">data and </w:t>
      </w:r>
      <w:r w:rsidR="00094A0E">
        <w:rPr>
          <w:rFonts w:cs="Arial"/>
          <w:szCs w:val="20"/>
        </w:rPr>
        <w:t>two years</w:t>
      </w:r>
      <w:r w:rsidR="00E4487D">
        <w:rPr>
          <w:rFonts w:cs="Arial"/>
          <w:szCs w:val="20"/>
        </w:rPr>
        <w:t xml:space="preserve"> </w:t>
      </w:r>
      <w:r w:rsidR="003A7D22" w:rsidRPr="00095491">
        <w:rPr>
          <w:rFonts w:cs="Arial"/>
          <w:szCs w:val="20"/>
        </w:rPr>
        <w:t>of post-TES installation data. March 2015 was excluded from the analysis to allow for the installation and testing period to not influence model</w:t>
      </w:r>
      <w:r w:rsidR="00DF516D" w:rsidRPr="00095491">
        <w:rPr>
          <w:rFonts w:cs="Arial"/>
          <w:szCs w:val="20"/>
        </w:rPr>
        <w:t xml:space="preserve"> estimation</w:t>
      </w:r>
      <w:r w:rsidR="003A7D22" w:rsidRPr="00095491">
        <w:rPr>
          <w:rFonts w:cs="Arial"/>
          <w:szCs w:val="20"/>
        </w:rPr>
        <w:t>.</w:t>
      </w:r>
      <w:r w:rsidR="009E4A5C">
        <w:rPr>
          <w:rFonts w:cs="Arial"/>
          <w:szCs w:val="20"/>
        </w:rPr>
        <w:t xml:space="preserve">  The second site became operational in August 2016</w:t>
      </w:r>
      <w:r w:rsidR="00195CEA">
        <w:rPr>
          <w:rFonts w:cs="Arial"/>
          <w:szCs w:val="20"/>
        </w:rPr>
        <w:t>, resulting in approximately 2 years of pre-TES</w:t>
      </w:r>
      <w:r w:rsidR="003A7D22" w:rsidRPr="00095491">
        <w:rPr>
          <w:rFonts w:cs="Arial"/>
          <w:szCs w:val="20"/>
        </w:rPr>
        <w:t xml:space="preserve"> </w:t>
      </w:r>
      <w:r w:rsidR="00195CEA">
        <w:rPr>
          <w:rFonts w:cs="Arial"/>
          <w:szCs w:val="20"/>
        </w:rPr>
        <w:t xml:space="preserve">installation data from January 2014 through October 2017 and one year of post-TES installation data.  July 2016 was excluded from the analysis to allow for the </w:t>
      </w:r>
      <w:r w:rsidR="0031753D">
        <w:rPr>
          <w:rFonts w:cs="Arial"/>
          <w:szCs w:val="20"/>
        </w:rPr>
        <w:t>i</w:t>
      </w:r>
      <w:r w:rsidR="00195CEA">
        <w:rPr>
          <w:rFonts w:cs="Arial"/>
          <w:szCs w:val="20"/>
        </w:rPr>
        <w:t xml:space="preserve">nstallation and testing period to not influence model estimation.  The third site became operational in </w:t>
      </w:r>
      <w:r w:rsidR="00E4487D">
        <w:rPr>
          <w:rFonts w:cs="Arial"/>
          <w:szCs w:val="20"/>
        </w:rPr>
        <w:t xml:space="preserve">in March 2017, resulting in approximately three years of pre-installation data from January 2014 through March 2017.  For the third site, on-site generation made the average daily loads inconsistent between the three pre-installation years.  To make sure that the pre-installation data conditions were as similar to the post-installation data as possible, only 2016 summer data was used for the analysis. This resulted in 4 months of pre-installation data and 4 months of post-installation data being used for analysis. </w:t>
      </w:r>
    </w:p>
    <w:p w:rsidR="00560C4E" w:rsidRPr="00095491" w:rsidRDefault="003A7D22" w:rsidP="003A7D22">
      <w:pPr>
        <w:pStyle w:val="BodyParagraph"/>
      </w:pPr>
      <w:r w:rsidRPr="00095491">
        <w:rPr>
          <w:rFonts w:cs="Arial"/>
          <w:szCs w:val="20"/>
        </w:rPr>
        <w:t xml:space="preserve">Many model specifications were systematically evaluated </w:t>
      </w:r>
      <w:r w:rsidR="00560C4E" w:rsidRPr="00095491">
        <w:rPr>
          <w:rFonts w:cs="Arial"/>
          <w:szCs w:val="20"/>
        </w:rPr>
        <w:t>via</w:t>
      </w:r>
      <w:r w:rsidRPr="00095491">
        <w:rPr>
          <w:rFonts w:cs="Arial"/>
          <w:szCs w:val="20"/>
        </w:rPr>
        <w:t xml:space="preserve"> out</w:t>
      </w:r>
      <w:r w:rsidR="00DF516D" w:rsidRPr="00095491">
        <w:rPr>
          <w:rFonts w:cs="Arial"/>
          <w:szCs w:val="20"/>
        </w:rPr>
        <w:t>-</w:t>
      </w:r>
      <w:r w:rsidRPr="00095491">
        <w:rPr>
          <w:rFonts w:cs="Arial"/>
          <w:szCs w:val="20"/>
        </w:rPr>
        <w:t>of</w:t>
      </w:r>
      <w:r w:rsidR="00DF516D" w:rsidRPr="00095491">
        <w:rPr>
          <w:rFonts w:cs="Arial"/>
          <w:szCs w:val="20"/>
        </w:rPr>
        <w:t>-</w:t>
      </w:r>
      <w:r w:rsidRPr="00095491">
        <w:rPr>
          <w:rFonts w:cs="Arial"/>
          <w:szCs w:val="20"/>
        </w:rPr>
        <w:t>sample testing, and the best performing model was used to estimate the relationship between the e</w:t>
      </w:r>
      <w:r w:rsidR="00560C4E" w:rsidRPr="00095491">
        <w:rPr>
          <w:rFonts w:cs="Arial"/>
          <w:szCs w:val="20"/>
        </w:rPr>
        <w:t xml:space="preserve">xplanatory variables such as weather and time during the pre-TES installation period. The relationships estimated from the pre-TES installation period were then applied to the observed data—temperature and time related variables—in the post-TES installation period to forecast the reference load; or what we would have expected the customer’s load to be </w:t>
      </w:r>
      <w:r w:rsidR="00560C4E" w:rsidRPr="00095491">
        <w:t xml:space="preserve">in the absence of TES under the specific </w:t>
      </w:r>
      <w:r w:rsidR="00560C4E" w:rsidRPr="00095491">
        <w:lastRenderedPageBreak/>
        <w:t>weather conditions at that time.</w:t>
      </w:r>
      <w:r w:rsidR="00BD6D3F" w:rsidRPr="00095491">
        <w:t> </w:t>
      </w:r>
      <w:r w:rsidR="00560C4E" w:rsidRPr="00095491">
        <w:t>The load shift is then calculated as the difference between the</w:t>
      </w:r>
      <w:r w:rsidR="008D2EB3">
        <w:t> </w:t>
      </w:r>
      <w:r w:rsidR="004806BE" w:rsidRPr="00095491">
        <w:t xml:space="preserve">predicted </w:t>
      </w:r>
      <w:r w:rsidR="00560C4E" w:rsidRPr="00095491">
        <w:t>reference load</w:t>
      </w:r>
      <w:r w:rsidR="00BD6D3F" w:rsidRPr="00095491">
        <w:t> </w:t>
      </w:r>
      <w:r w:rsidR="00560C4E" w:rsidRPr="00095491">
        <w:t xml:space="preserve">and </w:t>
      </w:r>
      <w:r w:rsidR="00DF516D" w:rsidRPr="00095491">
        <w:t xml:space="preserve">the </w:t>
      </w:r>
      <w:r w:rsidR="00560C4E" w:rsidRPr="00095491">
        <w:t xml:space="preserve">actual observed load for each hour. </w:t>
      </w:r>
    </w:p>
    <w:p w:rsidR="00560C4E" w:rsidRPr="00095491" w:rsidRDefault="00560C4E" w:rsidP="003A7D22">
      <w:pPr>
        <w:pStyle w:val="BodyParagraph"/>
      </w:pPr>
      <w:r w:rsidRPr="00095491">
        <w:t>Impacts were calculated for every hour of every day in the post-TES installation period. However, the reporting of impacts is limited to the day types required by the load impact protocols—</w:t>
      </w:r>
      <w:r w:rsidR="000610DD" w:rsidRPr="00095491">
        <w:t>system peak days</w:t>
      </w:r>
      <w:r w:rsidRPr="00095491">
        <w:t xml:space="preserve"> and the average weekday for each month—and the day with the</w:t>
      </w:r>
      <w:r w:rsidR="00BD6D3F" w:rsidRPr="00095491">
        <w:t> </w:t>
      </w:r>
      <w:r w:rsidRPr="00095491">
        <w:t>largest estimated impact for each month.</w:t>
      </w:r>
      <w:r w:rsidR="000610DD" w:rsidRPr="00095491">
        <w:t xml:space="preserve"> The peak usage for the customer didn’t always align with SCE’s monthly system peak day each month, so the day with the largest estimated impact was included in order to facilitate the identification of the largest estimated load shift; which allows for the comparison with the customer’s incentive calculation based expected load</w:t>
      </w:r>
      <w:r w:rsidR="00BD6D3F" w:rsidRPr="00095491">
        <w:t> </w:t>
      </w:r>
      <w:r w:rsidR="000610DD" w:rsidRPr="00095491">
        <w:t>shift.</w:t>
      </w:r>
    </w:p>
    <w:p w:rsidR="003A7D22" w:rsidRPr="00095491" w:rsidRDefault="007D3839" w:rsidP="003A7D22">
      <w:pPr>
        <w:pStyle w:val="BodyBeforeBullet"/>
      </w:pPr>
      <w:r w:rsidRPr="00095491">
        <w:t>The model selection process is summarized as follows</w:t>
      </w:r>
      <w:r w:rsidR="003A7D22" w:rsidRPr="00095491">
        <w:t xml:space="preserve">: </w:t>
      </w:r>
    </w:p>
    <w:p w:rsidR="00DA6435" w:rsidRDefault="007D3839" w:rsidP="001A6711">
      <w:pPr>
        <w:pStyle w:val="Bullets"/>
        <w:numPr>
          <w:ilvl w:val="0"/>
          <w:numId w:val="23"/>
        </w:numPr>
      </w:pPr>
      <w:r w:rsidRPr="00095491">
        <w:t xml:space="preserve">Identified 10 days from </w:t>
      </w:r>
      <w:r w:rsidR="00A43683">
        <w:t xml:space="preserve">the pre-installation data </w:t>
      </w:r>
      <w:r w:rsidRPr="00095491">
        <w:t>(5 from each year</w:t>
      </w:r>
      <w:r w:rsidR="00A43683">
        <w:t xml:space="preserve"> or 10 from 1 year depending on available data</w:t>
      </w:r>
      <w:r w:rsidRPr="00095491">
        <w:t>) with the highest hourly load to use a</w:t>
      </w:r>
      <w:r w:rsidR="00162780" w:rsidRPr="00095491">
        <w:t>s</w:t>
      </w:r>
      <w:r w:rsidRPr="00095491">
        <w:t xml:space="preserve"> peak load </w:t>
      </w:r>
      <w:r w:rsidR="00162780" w:rsidRPr="00095491">
        <w:t>days prior to TES installation for out of sample testing</w:t>
      </w:r>
      <w:r w:rsidR="00BD6D3F" w:rsidRPr="00095491">
        <w:t>.</w:t>
      </w:r>
      <w:r w:rsidR="00A81E97">
        <w:t xml:space="preserve">  </w:t>
      </w:r>
    </w:p>
    <w:p w:rsidR="003A7D22" w:rsidRPr="00095491" w:rsidRDefault="003A7D22" w:rsidP="001A6711">
      <w:pPr>
        <w:pStyle w:val="Bullets"/>
        <w:numPr>
          <w:ilvl w:val="0"/>
          <w:numId w:val="23"/>
        </w:numPr>
      </w:pPr>
      <w:r w:rsidRPr="00095491">
        <w:t xml:space="preserve">Estimated </w:t>
      </w:r>
      <w:r w:rsidR="009F507E" w:rsidRPr="00095491">
        <w:t>28</w:t>
      </w:r>
      <w:r w:rsidRPr="00095491">
        <w:t xml:space="preserve"> different regression models and used them to predict out-of-sample for </w:t>
      </w:r>
      <w:r w:rsidR="00162780" w:rsidRPr="00095491">
        <w:t>the peak load days identified in step 1</w:t>
      </w:r>
      <w:r w:rsidRPr="00095491">
        <w:t xml:space="preserve">. This allowed us to identify the regression model that produced the most accurate </w:t>
      </w:r>
      <w:r w:rsidR="00DF516D" w:rsidRPr="00095491">
        <w:t>predictions for</w:t>
      </w:r>
      <w:r w:rsidR="00162780" w:rsidRPr="00095491">
        <w:t xml:space="preserve"> peak load days similar to when maximum load shift</w:t>
      </w:r>
      <w:r w:rsidR="004806BE" w:rsidRPr="00095491">
        <w:t>ing</w:t>
      </w:r>
      <w:r w:rsidR="00162780" w:rsidRPr="00095491">
        <w:t xml:space="preserve"> is expected</w:t>
      </w:r>
      <w:r w:rsidRPr="00095491">
        <w:t xml:space="preserve">. The models vary </w:t>
      </w:r>
      <w:r w:rsidR="00722723" w:rsidRPr="00095491">
        <w:t xml:space="preserve">with respect to </w:t>
      </w:r>
      <w:r w:rsidRPr="00095491">
        <w:t xml:space="preserve">how weather variables were defined and </w:t>
      </w:r>
      <w:r w:rsidR="00722723" w:rsidRPr="00095491">
        <w:t>with</w:t>
      </w:r>
      <w:r w:rsidRPr="00095491">
        <w:t xml:space="preserve"> the inclusion of </w:t>
      </w:r>
      <w:r w:rsidR="00162780" w:rsidRPr="00095491">
        <w:t xml:space="preserve">time related variables such as day of the week, </w:t>
      </w:r>
      <w:r w:rsidRPr="00095491">
        <w:t>month</w:t>
      </w:r>
      <w:r w:rsidR="00162780" w:rsidRPr="00095491">
        <w:t>,</w:t>
      </w:r>
      <w:r w:rsidRPr="00095491">
        <w:t xml:space="preserve"> or season.</w:t>
      </w:r>
    </w:p>
    <w:p w:rsidR="003A7D22" w:rsidRPr="00095491" w:rsidRDefault="003A7D22" w:rsidP="001A6711">
      <w:pPr>
        <w:pStyle w:val="BulletLast"/>
        <w:numPr>
          <w:ilvl w:val="0"/>
          <w:numId w:val="23"/>
        </w:numPr>
      </w:pPr>
      <w:r w:rsidRPr="00095491">
        <w:t>Selected the most accurate model specification</w:t>
      </w:r>
      <w:r w:rsidR="004806BE" w:rsidRPr="00095491">
        <w:t xml:space="preserve"> based on out</w:t>
      </w:r>
      <w:r w:rsidR="00722723" w:rsidRPr="00095491">
        <w:t>-</w:t>
      </w:r>
      <w:r w:rsidR="004806BE" w:rsidRPr="00095491">
        <w:t>of</w:t>
      </w:r>
      <w:r w:rsidR="00722723" w:rsidRPr="00095491">
        <w:t>-</w:t>
      </w:r>
      <w:r w:rsidR="004806BE" w:rsidRPr="00095491">
        <w:t>sample testing metrics</w:t>
      </w:r>
      <w:r w:rsidRPr="00095491">
        <w:t xml:space="preserve"> and used it to estimate </w:t>
      </w:r>
      <w:r w:rsidR="00162780" w:rsidRPr="00095491">
        <w:t>the reference load after the TES system was installed</w:t>
      </w:r>
      <w:r w:rsidRPr="00095491">
        <w:t xml:space="preserve">. </w:t>
      </w:r>
    </w:p>
    <w:p w:rsidR="007D3839" w:rsidRPr="00095491" w:rsidRDefault="003A7D22" w:rsidP="003A7D22">
      <w:pPr>
        <w:pStyle w:val="BodyParagraph"/>
      </w:pPr>
      <w:r w:rsidRPr="00095491">
        <w:t xml:space="preserve">Nexant first developed a set of candidate models to test. A candidate model could </w:t>
      </w:r>
      <w:r w:rsidR="009F507E" w:rsidRPr="00095491">
        <w:t>vary based on its specification.</w:t>
      </w:r>
      <w:r w:rsidRPr="00095491">
        <w:t xml:space="preserve"> The model specifications tested were carefully selected with a focus on load</w:t>
      </w:r>
      <w:r w:rsidR="00BD6D3F" w:rsidRPr="00095491">
        <w:t> </w:t>
      </w:r>
      <w:r w:rsidRPr="00095491">
        <w:t>magnitude and shape</w:t>
      </w:r>
      <w:r w:rsidR="009F507E" w:rsidRPr="00095491">
        <w:t xml:space="preserve"> under peak load conditions when maximum load shifting </w:t>
      </w:r>
      <w:r w:rsidR="008D2EB3">
        <w:t>wa</w:t>
      </w:r>
      <w:r w:rsidR="008D2EB3" w:rsidRPr="00095491">
        <w:t xml:space="preserve">s </w:t>
      </w:r>
      <w:r w:rsidR="009F507E" w:rsidRPr="00095491">
        <w:t>expected to occur</w:t>
      </w:r>
      <w:r w:rsidRPr="00095491">
        <w:t xml:space="preserve">. The set of candidate models were evaluated using a cross-validation process that assesses the quality of the </w:t>
      </w:r>
      <w:r w:rsidR="009F507E" w:rsidRPr="00095491">
        <w:t>model</w:t>
      </w:r>
      <w:r w:rsidRPr="00095491">
        <w:t xml:space="preserve"> based on how well </w:t>
      </w:r>
      <w:r w:rsidR="009F507E" w:rsidRPr="00095491">
        <w:t>it</w:t>
      </w:r>
      <w:r w:rsidRPr="00095491">
        <w:t xml:space="preserve"> predict</w:t>
      </w:r>
      <w:r w:rsidR="009F507E" w:rsidRPr="00095491">
        <w:t>s</w:t>
      </w:r>
      <w:r w:rsidRPr="00095491">
        <w:t xml:space="preserve"> for excluded </w:t>
      </w:r>
      <w:r w:rsidR="00162780" w:rsidRPr="00095491">
        <w:t>peak</w:t>
      </w:r>
      <w:r w:rsidR="008D2EB3">
        <w:t> </w:t>
      </w:r>
      <w:r w:rsidR="009F507E" w:rsidRPr="00095491">
        <w:t>load</w:t>
      </w:r>
      <w:r w:rsidRPr="00095491">
        <w:t xml:space="preserve"> days that</w:t>
      </w:r>
      <w:r w:rsidR="00BD6D3F" w:rsidRPr="00095491">
        <w:t> </w:t>
      </w:r>
      <w:r w:rsidR="003C37F0" w:rsidRPr="00095491">
        <w:t>we</w:t>
      </w:r>
      <w:r w:rsidRPr="00095491">
        <w:t>re not used to estimate the model. The rationale for such a strategy is</w:t>
      </w:r>
      <w:r w:rsidR="008D2EB3">
        <w:t> </w:t>
      </w:r>
      <w:r w:rsidRPr="00095491">
        <w:t xml:space="preserve">that, if a model accurately predicts load on </w:t>
      </w:r>
      <w:r w:rsidR="00162780" w:rsidRPr="00095491">
        <w:t>peak load</w:t>
      </w:r>
      <w:r w:rsidRPr="00095491">
        <w:t xml:space="preserve"> days</w:t>
      </w:r>
      <w:r w:rsidR="00162780" w:rsidRPr="00095491">
        <w:t xml:space="preserve"> prior to TES installation</w:t>
      </w:r>
      <w:r w:rsidRPr="00095491">
        <w:t xml:space="preserve">, it is expected to provide an accurate counterfactual for </w:t>
      </w:r>
      <w:r w:rsidR="00162780" w:rsidRPr="00095491">
        <w:t xml:space="preserve">expected </w:t>
      </w:r>
      <w:r w:rsidRPr="00095491">
        <w:t>load</w:t>
      </w:r>
      <w:r w:rsidR="00162780" w:rsidRPr="00095491">
        <w:t xml:space="preserve"> in the absence of a TES system, after that system is installed</w:t>
      </w:r>
      <w:r w:rsidRPr="00095491">
        <w:t xml:space="preserve">. </w:t>
      </w:r>
    </w:p>
    <w:p w:rsidR="003A7D22" w:rsidRPr="00095491" w:rsidRDefault="003A7D22" w:rsidP="003A7D22">
      <w:pPr>
        <w:pStyle w:val="BodyParagraph"/>
      </w:pPr>
      <w:r w:rsidRPr="00095491">
        <w:t xml:space="preserve">A good </w:t>
      </w:r>
      <w:r w:rsidR="00AB3A05" w:rsidRPr="00095491">
        <w:t>model</w:t>
      </w:r>
      <w:r w:rsidRPr="00095491">
        <w:t xml:space="preserve"> can be said to predict </w:t>
      </w:r>
      <w:r w:rsidR="00AB3A05" w:rsidRPr="00095491">
        <w:t>load</w:t>
      </w:r>
      <w:r w:rsidRPr="00095491">
        <w:t xml:space="preserve"> accurately if it yields an unbiased and precise fit to that of the </w:t>
      </w:r>
      <w:r w:rsidR="00AB3A05" w:rsidRPr="00095491">
        <w:t>withheld peak load day</w:t>
      </w:r>
      <w:r w:rsidRPr="00095491">
        <w:t xml:space="preserve">. The evaluation </w:t>
      </w:r>
      <w:r w:rsidR="00AB3A05" w:rsidRPr="00095491">
        <w:t xml:space="preserve">used a </w:t>
      </w:r>
      <w:r w:rsidRPr="00095491">
        <w:t xml:space="preserve">quantitative model selection process that employs a method called </w:t>
      </w:r>
      <w:r w:rsidRPr="00095491">
        <w:rPr>
          <w:i/>
        </w:rPr>
        <w:t>leave one out cross validation</w:t>
      </w:r>
      <w:r w:rsidRPr="00095491">
        <w:t xml:space="preserve"> (LOOCV) over a set of </w:t>
      </w:r>
      <w:r w:rsidR="00AB3A05" w:rsidRPr="00095491">
        <w:t>peak load</w:t>
      </w:r>
      <w:r w:rsidRPr="00095491">
        <w:t xml:space="preserve"> days. That set of days</w:t>
      </w:r>
      <w:r w:rsidR="00AB3A05" w:rsidRPr="00095491">
        <w:t>, as noted in step 1 above,</w:t>
      </w:r>
      <w:r w:rsidRPr="00095491">
        <w:t xml:space="preserve"> is selected to be as similar </w:t>
      </w:r>
      <w:r w:rsidR="00DF516D" w:rsidRPr="00095491">
        <w:t xml:space="preserve">as possible </w:t>
      </w:r>
      <w:r w:rsidRPr="00095491">
        <w:t xml:space="preserve">to days </w:t>
      </w:r>
      <w:r w:rsidR="00AB3A05" w:rsidRPr="00095491">
        <w:t>when a maximum load shift is expected</w:t>
      </w:r>
      <w:r w:rsidRPr="00095491">
        <w:t>. LOOCV is outlined below:</w:t>
      </w:r>
    </w:p>
    <w:p w:rsidR="003A7D22" w:rsidRPr="00095491" w:rsidRDefault="003A7D22" w:rsidP="003A7D22">
      <w:pPr>
        <w:pStyle w:val="BodyParagraph"/>
        <w:numPr>
          <w:ilvl w:val="0"/>
          <w:numId w:val="22"/>
        </w:numPr>
        <w:spacing w:after="60"/>
      </w:pPr>
      <w:r w:rsidRPr="00095491">
        <w:t xml:space="preserve">For each of the </w:t>
      </w:r>
      <m:oMath>
        <m:r>
          <w:rPr>
            <w:rFonts w:ascii="Cambria Math" w:hAnsi="Cambria Math"/>
          </w:rPr>
          <m:t>m</m:t>
        </m:r>
      </m:oMath>
      <w:r w:rsidRPr="00095491">
        <w:t xml:space="preserve"> candidate models, conduct LOOCV over </w:t>
      </w:r>
      <w:r w:rsidR="00AB3A05" w:rsidRPr="00095491">
        <w:t>peak load</w:t>
      </w:r>
      <w:r w:rsidRPr="00095491">
        <w:t xml:space="preserve"> days:</w:t>
      </w:r>
    </w:p>
    <w:p w:rsidR="003A7D22" w:rsidRPr="00095491" w:rsidRDefault="003A7D22" w:rsidP="003A7D22">
      <w:pPr>
        <w:pStyle w:val="BodyParagraph"/>
        <w:numPr>
          <w:ilvl w:val="1"/>
          <w:numId w:val="22"/>
        </w:numPr>
        <w:spacing w:after="60"/>
      </w:pPr>
      <w:r w:rsidRPr="00095491">
        <w:t xml:space="preserve">For each of the </w:t>
      </w:r>
      <m:oMath>
        <m:r>
          <w:rPr>
            <w:rFonts w:ascii="Cambria Math" w:hAnsi="Cambria Math"/>
          </w:rPr>
          <m:t>n</m:t>
        </m:r>
      </m:oMath>
      <w:r w:rsidRPr="00095491">
        <w:t xml:space="preserve"> </w:t>
      </w:r>
      <w:r w:rsidR="00AB3A05" w:rsidRPr="00095491">
        <w:t>peak load</w:t>
      </w:r>
      <w:r w:rsidRPr="00095491">
        <w:t xml:space="preserve"> days:</w:t>
      </w:r>
    </w:p>
    <w:p w:rsidR="003A7D22" w:rsidRPr="00095491" w:rsidRDefault="003A7D22" w:rsidP="003A7D22">
      <w:pPr>
        <w:pStyle w:val="BodyParagraph"/>
        <w:numPr>
          <w:ilvl w:val="2"/>
          <w:numId w:val="22"/>
        </w:numPr>
        <w:spacing w:after="60"/>
      </w:pPr>
      <w:r w:rsidRPr="00095491">
        <w:t xml:space="preserve">Develop explanatory variables using data from all </w:t>
      </w:r>
      <w:r w:rsidR="00AB3A05" w:rsidRPr="00095491">
        <w:t>peak load</w:t>
      </w:r>
      <w:r w:rsidRPr="00095491">
        <w:t xml:space="preserve"> days except the</w:t>
      </w:r>
      <m:oMath>
        <m:r>
          <w:rPr>
            <w:rFonts w:ascii="Cambria Math" w:hAnsi="Cambria Math"/>
          </w:rPr>
          <m:t xml:space="preserve"> nth</m:t>
        </m:r>
      </m:oMath>
      <w:r w:rsidRPr="00095491">
        <w:t>;</w:t>
      </w:r>
    </w:p>
    <w:p w:rsidR="003A7D22" w:rsidRPr="00095491" w:rsidRDefault="003A7D22" w:rsidP="003A7D22">
      <w:pPr>
        <w:pStyle w:val="BodyParagraph"/>
        <w:numPr>
          <w:ilvl w:val="2"/>
          <w:numId w:val="22"/>
        </w:numPr>
        <w:spacing w:after="60"/>
      </w:pPr>
      <w:r w:rsidRPr="00095491">
        <w:lastRenderedPageBreak/>
        <w:t xml:space="preserve">Fit </w:t>
      </w:r>
      <m:oMath>
        <m:r>
          <w:rPr>
            <w:rFonts w:ascii="Cambria Math" w:hAnsi="Cambria Math"/>
          </w:rPr>
          <m:t>mth</m:t>
        </m:r>
      </m:oMath>
      <w:r w:rsidRPr="00095491">
        <w:t xml:space="preserve"> model using explanatory variables and </w:t>
      </w:r>
      <w:r w:rsidR="00AB3A05" w:rsidRPr="00095491">
        <w:t xml:space="preserve">predict load based on the </w:t>
      </w:r>
      <w:r w:rsidR="00DF603B" w:rsidRPr="00095491">
        <w:t xml:space="preserve">observed </w:t>
      </w:r>
      <w:r w:rsidR="00AB3A05" w:rsidRPr="00095491">
        <w:t>characteristics of the</w:t>
      </w:r>
      <m:oMath>
        <m:r>
          <w:rPr>
            <w:rFonts w:ascii="Cambria Math" w:hAnsi="Cambria Math"/>
          </w:rPr>
          <m:t xml:space="preserve"> nth</m:t>
        </m:r>
      </m:oMath>
      <w:r w:rsidR="00AB3A05" w:rsidRPr="00095491">
        <w:t xml:space="preserve"> day</w:t>
      </w:r>
      <w:r w:rsidRPr="00095491">
        <w:t>;</w:t>
      </w:r>
    </w:p>
    <w:p w:rsidR="003A7D22" w:rsidRPr="00095491" w:rsidRDefault="003A7D22" w:rsidP="003A7D22">
      <w:pPr>
        <w:pStyle w:val="BodyParagraph"/>
        <w:numPr>
          <w:ilvl w:val="2"/>
          <w:numId w:val="22"/>
        </w:numPr>
        <w:spacing w:after="60"/>
      </w:pPr>
      <w:r w:rsidRPr="00095491">
        <w:t>Record</w:t>
      </w:r>
      <w:r w:rsidR="00AB3A05" w:rsidRPr="00095491">
        <w:t xml:space="preserve"> predicted</w:t>
      </w:r>
      <w:r w:rsidRPr="00095491">
        <w:t xml:space="preserve"> load and </w:t>
      </w:r>
      <w:r w:rsidR="00AB3A05" w:rsidRPr="00095491">
        <w:t>actual load</w:t>
      </w:r>
      <w:r w:rsidRPr="00095491">
        <w:t xml:space="preserve"> on the </w:t>
      </w:r>
      <m:oMath>
        <m:r>
          <w:rPr>
            <w:rFonts w:ascii="Cambria Math" w:hAnsi="Cambria Math"/>
          </w:rPr>
          <m:t>nth</m:t>
        </m:r>
      </m:oMath>
      <w:r w:rsidRPr="00095491">
        <w:t xml:space="preserve"> </w:t>
      </w:r>
      <w:r w:rsidR="00AB3A05" w:rsidRPr="00095491">
        <w:t>peak load</w:t>
      </w:r>
      <w:r w:rsidRPr="00095491">
        <w:t xml:space="preserve"> day not used to fit the model; and</w:t>
      </w:r>
    </w:p>
    <w:p w:rsidR="003A7D22" w:rsidRPr="00095491" w:rsidRDefault="003A7D22" w:rsidP="00DF603B">
      <w:pPr>
        <w:pStyle w:val="BodyParagraph"/>
        <w:numPr>
          <w:ilvl w:val="0"/>
          <w:numId w:val="22"/>
        </w:numPr>
      </w:pPr>
      <w:r w:rsidRPr="00095491">
        <w:t xml:space="preserve">Compute metrics to measure bias and goodness-of-fit </w:t>
      </w:r>
      <w:r w:rsidR="00DF603B" w:rsidRPr="00095491">
        <w:t>for each model</w:t>
      </w:r>
      <w:r w:rsidRPr="00095491">
        <w:t>.</w:t>
      </w:r>
    </w:p>
    <w:p w:rsidR="003C37F0" w:rsidRPr="00B828B0" w:rsidRDefault="00DF603B" w:rsidP="000A718A">
      <w:pPr>
        <w:pStyle w:val="BodyParagraph"/>
        <w:rPr>
          <w:b/>
          <w:highlight w:val="yellow"/>
        </w:rPr>
      </w:pPr>
      <w:r w:rsidRPr="00095491">
        <w:t>The quality of a model is</w:t>
      </w:r>
      <w:r w:rsidR="003A7D22" w:rsidRPr="00095491">
        <w:t xml:space="preserve"> evaluate</w:t>
      </w:r>
      <w:r w:rsidRPr="00095491">
        <w:t>d</w:t>
      </w:r>
      <w:r w:rsidR="003A7D22" w:rsidRPr="00095491">
        <w:t xml:space="preserve"> based on the bias and precision of its </w:t>
      </w:r>
      <w:r w:rsidRPr="00095491">
        <w:t>prediction of load compared to the actual load on the</w:t>
      </w:r>
      <w:r w:rsidR="003A7D22" w:rsidRPr="00095491">
        <w:t xml:space="preserve"> excluded</w:t>
      </w:r>
      <w:r w:rsidRPr="00095491">
        <w:t xml:space="preserve"> peak load</w:t>
      </w:r>
      <w:r w:rsidR="003A7D22" w:rsidRPr="00095491">
        <w:t xml:space="preserve"> days. Table </w:t>
      </w:r>
      <w:r w:rsidRPr="00095491">
        <w:t>2</w:t>
      </w:r>
      <w:r w:rsidR="003A7D22" w:rsidRPr="00095491">
        <w:t>-</w:t>
      </w:r>
      <w:r w:rsidR="00060B2F">
        <w:t>2</w:t>
      </w:r>
      <w:r w:rsidR="00060B2F" w:rsidRPr="00095491">
        <w:t xml:space="preserve"> </w:t>
      </w:r>
      <w:r w:rsidR="003A7D22" w:rsidRPr="00095491">
        <w:t>shows the metrics computed in step 2. All metrics were computed over the relevant </w:t>
      </w:r>
      <w:r w:rsidRPr="00095491">
        <w:t>PLS program</w:t>
      </w:r>
      <w:r w:rsidR="003A7D22" w:rsidRPr="00095491">
        <w:t xml:space="preserve"> hours, as that was the principal period over which we had to estimate load </w:t>
      </w:r>
      <w:r w:rsidRPr="00095491">
        <w:t>shifting</w:t>
      </w:r>
      <w:r w:rsidR="003A7D22" w:rsidRPr="00095491">
        <w:t>.</w:t>
      </w:r>
    </w:p>
    <w:p w:rsidR="003A7D22" w:rsidRPr="00095491" w:rsidRDefault="003A7D22" w:rsidP="003A7D22">
      <w:pPr>
        <w:pStyle w:val="TableFigureCaption"/>
      </w:pPr>
      <w:r w:rsidRPr="00095491">
        <w:t xml:space="preserve">Table </w:t>
      </w:r>
      <w:r w:rsidR="00DF603B" w:rsidRPr="00095491">
        <w:t>2</w:t>
      </w:r>
      <w:r w:rsidRPr="00095491">
        <w:t>-</w:t>
      </w:r>
      <w:r w:rsidR="00060B2F">
        <w:t>2</w:t>
      </w:r>
      <w:r w:rsidRPr="00095491">
        <w:t>: Control Group Accuracy Statistics</w:t>
      </w:r>
    </w:p>
    <w:tbl>
      <w:tblPr>
        <w:tblStyle w:val="TableGrid"/>
        <w:tblW w:w="0" w:type="auto"/>
        <w:tblLayout w:type="fixed"/>
        <w:tblLook w:val="04A0" w:firstRow="1" w:lastRow="0" w:firstColumn="1" w:lastColumn="0" w:noHBand="0" w:noVBand="1"/>
      </w:tblPr>
      <w:tblGrid>
        <w:gridCol w:w="1188"/>
        <w:gridCol w:w="1080"/>
        <w:gridCol w:w="1080"/>
        <w:gridCol w:w="2430"/>
        <w:gridCol w:w="2202"/>
        <w:gridCol w:w="1596"/>
      </w:tblGrid>
      <w:tr w:rsidR="003A7D22" w:rsidRPr="00095491" w:rsidTr="003C37F0">
        <w:trPr>
          <w:cantSplit/>
        </w:trPr>
        <w:tc>
          <w:tcPr>
            <w:tcW w:w="1188" w:type="dxa"/>
            <w:tcBorders>
              <w:right w:val="single" w:sz="4" w:space="0" w:color="FFFFFF" w:themeColor="background1"/>
            </w:tcBorders>
            <w:shd w:val="clear" w:color="auto" w:fill="0070CD"/>
            <w:vAlign w:val="center"/>
          </w:tcPr>
          <w:p w:rsidR="003A7D22" w:rsidRPr="00095491" w:rsidRDefault="003A7D22" w:rsidP="005D62AE">
            <w:pPr>
              <w:pStyle w:val="TableHeader"/>
            </w:pPr>
            <w:r w:rsidRPr="00095491">
              <w:t>Statistic Type</w:t>
            </w:r>
          </w:p>
        </w:tc>
        <w:tc>
          <w:tcPr>
            <w:tcW w:w="1080" w:type="dxa"/>
            <w:tcBorders>
              <w:left w:val="single" w:sz="4" w:space="0" w:color="FFFFFF" w:themeColor="background1"/>
              <w:right w:val="single" w:sz="4" w:space="0" w:color="FFFFFF" w:themeColor="background1"/>
            </w:tcBorders>
            <w:shd w:val="clear" w:color="auto" w:fill="0070CD"/>
            <w:vAlign w:val="center"/>
          </w:tcPr>
          <w:p w:rsidR="003A7D22" w:rsidRPr="00095491" w:rsidRDefault="003A7D22" w:rsidP="005D62AE">
            <w:pPr>
              <w:pStyle w:val="TableHeader"/>
            </w:pPr>
            <w:r w:rsidRPr="00095491">
              <w:t>Statistic Level</w:t>
            </w:r>
          </w:p>
        </w:tc>
        <w:tc>
          <w:tcPr>
            <w:tcW w:w="1080" w:type="dxa"/>
            <w:tcBorders>
              <w:left w:val="single" w:sz="4" w:space="0" w:color="FFFFFF" w:themeColor="background1"/>
              <w:right w:val="single" w:sz="4" w:space="0" w:color="FFFFFF" w:themeColor="background1"/>
            </w:tcBorders>
            <w:shd w:val="clear" w:color="auto" w:fill="0070CD"/>
            <w:vAlign w:val="center"/>
          </w:tcPr>
          <w:p w:rsidR="003A7D22" w:rsidRPr="00095491" w:rsidRDefault="003A7D22" w:rsidP="005D62AE">
            <w:pPr>
              <w:pStyle w:val="TableHeader"/>
            </w:pPr>
            <w:r w:rsidRPr="00095491">
              <w:t>Statistic</w:t>
            </w:r>
          </w:p>
        </w:tc>
        <w:tc>
          <w:tcPr>
            <w:tcW w:w="2430" w:type="dxa"/>
            <w:tcBorders>
              <w:left w:val="single" w:sz="4" w:space="0" w:color="FFFFFF" w:themeColor="background1"/>
              <w:right w:val="single" w:sz="4" w:space="0" w:color="FFFFFF" w:themeColor="background1"/>
            </w:tcBorders>
            <w:shd w:val="clear" w:color="auto" w:fill="0070CD"/>
            <w:vAlign w:val="center"/>
          </w:tcPr>
          <w:p w:rsidR="003A7D22" w:rsidRPr="00095491" w:rsidRDefault="003A7D22" w:rsidP="005D62AE">
            <w:pPr>
              <w:pStyle w:val="TableHeader"/>
            </w:pPr>
            <w:r w:rsidRPr="00095491">
              <w:t>Formula</w:t>
            </w:r>
          </w:p>
        </w:tc>
        <w:tc>
          <w:tcPr>
            <w:tcW w:w="2202" w:type="dxa"/>
            <w:tcBorders>
              <w:left w:val="single" w:sz="4" w:space="0" w:color="FFFFFF" w:themeColor="background1"/>
              <w:right w:val="single" w:sz="4" w:space="0" w:color="FFFFFF" w:themeColor="background1"/>
            </w:tcBorders>
            <w:shd w:val="clear" w:color="auto" w:fill="0070CD"/>
            <w:vAlign w:val="center"/>
          </w:tcPr>
          <w:p w:rsidR="003A7D22" w:rsidRPr="00095491" w:rsidRDefault="003A7D22" w:rsidP="005D62AE">
            <w:pPr>
              <w:pStyle w:val="TableHeader"/>
            </w:pPr>
            <w:r w:rsidRPr="00095491">
              <w:t>Description</w:t>
            </w:r>
          </w:p>
        </w:tc>
        <w:tc>
          <w:tcPr>
            <w:tcW w:w="1596" w:type="dxa"/>
            <w:tcBorders>
              <w:left w:val="single" w:sz="4" w:space="0" w:color="FFFFFF" w:themeColor="background1"/>
            </w:tcBorders>
            <w:shd w:val="clear" w:color="auto" w:fill="0070CD"/>
            <w:vAlign w:val="center"/>
          </w:tcPr>
          <w:p w:rsidR="003A7D22" w:rsidRPr="00095491" w:rsidRDefault="003A7D22" w:rsidP="005D62AE">
            <w:pPr>
              <w:pStyle w:val="TableHeader"/>
            </w:pPr>
            <w:r w:rsidRPr="00095491">
              <w:t>Typical Values</w:t>
            </w:r>
          </w:p>
        </w:tc>
      </w:tr>
      <w:tr w:rsidR="003A7D22" w:rsidRPr="00095491" w:rsidTr="003C37F0">
        <w:trPr>
          <w:cantSplit/>
        </w:trPr>
        <w:tc>
          <w:tcPr>
            <w:tcW w:w="1188" w:type="dxa"/>
            <w:vAlign w:val="center"/>
          </w:tcPr>
          <w:p w:rsidR="003A7D22" w:rsidRPr="00095491" w:rsidRDefault="003A7D22" w:rsidP="005D62AE">
            <w:pPr>
              <w:pStyle w:val="TableText"/>
            </w:pPr>
            <w:r w:rsidRPr="00095491">
              <w:t>Bias</w:t>
            </w:r>
          </w:p>
        </w:tc>
        <w:tc>
          <w:tcPr>
            <w:tcW w:w="1080" w:type="dxa"/>
            <w:vAlign w:val="center"/>
          </w:tcPr>
          <w:p w:rsidR="003A7D22" w:rsidRPr="00095491" w:rsidRDefault="003A7D22" w:rsidP="005D62AE">
            <w:pPr>
              <w:pStyle w:val="TableText"/>
            </w:pPr>
            <w:r w:rsidRPr="00095491">
              <w:t>Program</w:t>
            </w:r>
          </w:p>
        </w:tc>
        <w:tc>
          <w:tcPr>
            <w:tcW w:w="1080" w:type="dxa"/>
            <w:vAlign w:val="center"/>
          </w:tcPr>
          <w:p w:rsidR="003A7D22" w:rsidRPr="00095491" w:rsidRDefault="003A7D22" w:rsidP="005D62AE">
            <w:pPr>
              <w:pStyle w:val="TableText"/>
            </w:pPr>
            <w:r w:rsidRPr="00095491">
              <w:t>Average Percent Error</w:t>
            </w:r>
          </w:p>
        </w:tc>
        <w:tc>
          <w:tcPr>
            <w:tcW w:w="2430" w:type="dxa"/>
            <w:vAlign w:val="center"/>
          </w:tcPr>
          <w:p w:rsidR="003A7D22" w:rsidRPr="00095491" w:rsidRDefault="003A7D22" w:rsidP="005D62AE">
            <w:pPr>
              <w:pStyle w:val="TableText"/>
            </w:pPr>
            <w:r w:rsidRPr="00095491">
              <w:rPr>
                <w:noProof/>
              </w:rPr>
              <w:drawing>
                <wp:inline distT="0" distB="0" distL="0" distR="0" wp14:anchorId="55BF5502" wp14:editId="282D0E9C">
                  <wp:extent cx="723900" cy="5524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723900" cy="552450"/>
                          </a:xfrm>
                          <a:prstGeom prst="rect">
                            <a:avLst/>
                          </a:prstGeom>
                        </pic:spPr>
                      </pic:pic>
                    </a:graphicData>
                  </a:graphic>
                </wp:inline>
              </w:drawing>
            </w:r>
          </w:p>
        </w:tc>
        <w:tc>
          <w:tcPr>
            <w:tcW w:w="2202" w:type="dxa"/>
            <w:vAlign w:val="center"/>
          </w:tcPr>
          <w:p w:rsidR="003A7D22" w:rsidRPr="00095491" w:rsidRDefault="003A7D22" w:rsidP="00DF603B">
            <w:pPr>
              <w:pStyle w:val="TableText"/>
              <w:jc w:val="left"/>
            </w:pPr>
            <w:r w:rsidRPr="00095491">
              <w:t xml:space="preserve">Sums up </w:t>
            </w:r>
            <w:r w:rsidR="00DF603B" w:rsidRPr="00095491">
              <w:t>predicted</w:t>
            </w:r>
            <w:r w:rsidRPr="00095491">
              <w:t xml:space="preserve"> and actual value for </w:t>
            </w:r>
            <w:r w:rsidR="00DF603B" w:rsidRPr="00095491">
              <w:t>peak load</w:t>
            </w:r>
            <w:r w:rsidRPr="00095491">
              <w:t xml:space="preserve"> days for the </w:t>
            </w:r>
            <w:r w:rsidR="00DF603B" w:rsidRPr="00095491">
              <w:t>customer</w:t>
            </w:r>
            <w:r w:rsidRPr="00095491">
              <w:t>; calculates error statistics from these values.</w:t>
            </w:r>
          </w:p>
        </w:tc>
        <w:tc>
          <w:tcPr>
            <w:tcW w:w="1596" w:type="dxa"/>
            <w:vAlign w:val="center"/>
          </w:tcPr>
          <w:p w:rsidR="003A7D22" w:rsidRPr="00095491" w:rsidRDefault="003A7D22" w:rsidP="005D62AE">
            <w:pPr>
              <w:pStyle w:val="TableText"/>
              <w:jc w:val="left"/>
            </w:pPr>
            <w:r w:rsidRPr="00095491">
              <w:t>Expressed in percentage terms. Can be positive or negative. The closer to zero, the better.</w:t>
            </w:r>
          </w:p>
        </w:tc>
      </w:tr>
      <w:tr w:rsidR="003A7D22" w:rsidRPr="00095491" w:rsidTr="003C37F0">
        <w:trPr>
          <w:cantSplit/>
        </w:trPr>
        <w:tc>
          <w:tcPr>
            <w:tcW w:w="1188" w:type="dxa"/>
            <w:vAlign w:val="center"/>
          </w:tcPr>
          <w:p w:rsidR="003A7D22" w:rsidRPr="00095491" w:rsidRDefault="003A7D22" w:rsidP="005D62AE">
            <w:pPr>
              <w:pStyle w:val="TableText"/>
            </w:pPr>
            <w:r w:rsidRPr="00095491">
              <w:t>Bias</w:t>
            </w:r>
          </w:p>
        </w:tc>
        <w:tc>
          <w:tcPr>
            <w:tcW w:w="1080" w:type="dxa"/>
            <w:vAlign w:val="center"/>
          </w:tcPr>
          <w:p w:rsidR="003A7D22" w:rsidRPr="00095491" w:rsidRDefault="003A7D22" w:rsidP="005D62AE">
            <w:pPr>
              <w:pStyle w:val="TableText"/>
            </w:pPr>
            <w:r w:rsidRPr="00095491">
              <w:t>Program</w:t>
            </w:r>
          </w:p>
        </w:tc>
        <w:tc>
          <w:tcPr>
            <w:tcW w:w="1080" w:type="dxa"/>
            <w:vAlign w:val="center"/>
          </w:tcPr>
          <w:p w:rsidR="003A7D22" w:rsidRPr="00095491" w:rsidRDefault="003A7D22" w:rsidP="005D62AE">
            <w:pPr>
              <w:pStyle w:val="TableText"/>
            </w:pPr>
            <w:r w:rsidRPr="00095491">
              <w:t>SD(APE)</w:t>
            </w:r>
          </w:p>
        </w:tc>
        <w:tc>
          <w:tcPr>
            <w:tcW w:w="2430" w:type="dxa"/>
            <w:vAlign w:val="center"/>
          </w:tcPr>
          <w:p w:rsidR="003A7D22" w:rsidRPr="00095491" w:rsidRDefault="003A7D22" w:rsidP="005D62AE">
            <w:pPr>
              <w:pStyle w:val="TableText"/>
            </w:pPr>
            <w:r w:rsidRPr="00095491">
              <w:rPr>
                <w:noProof/>
              </w:rPr>
              <w:drawing>
                <wp:inline distT="0" distB="0" distL="0" distR="0" wp14:anchorId="63964B30" wp14:editId="17CF6C72">
                  <wp:extent cx="1466850" cy="69532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466850" cy="695325"/>
                          </a:xfrm>
                          <a:prstGeom prst="rect">
                            <a:avLst/>
                          </a:prstGeom>
                        </pic:spPr>
                      </pic:pic>
                    </a:graphicData>
                  </a:graphic>
                </wp:inline>
              </w:drawing>
            </w:r>
          </w:p>
        </w:tc>
        <w:tc>
          <w:tcPr>
            <w:tcW w:w="2202" w:type="dxa"/>
            <w:vAlign w:val="center"/>
          </w:tcPr>
          <w:p w:rsidR="003A7D22" w:rsidRPr="00095491" w:rsidRDefault="003A7D22" w:rsidP="00DF603B">
            <w:pPr>
              <w:pStyle w:val="TableText"/>
              <w:jc w:val="left"/>
            </w:pPr>
            <w:r w:rsidRPr="00095491">
              <w:t xml:space="preserve">Measures the average deviation in average percent error on individual </w:t>
            </w:r>
            <w:r w:rsidR="00DF603B" w:rsidRPr="00095491">
              <w:t>peak load</w:t>
            </w:r>
            <w:r w:rsidRPr="00095491">
              <w:t xml:space="preserve"> days.</w:t>
            </w:r>
          </w:p>
        </w:tc>
        <w:tc>
          <w:tcPr>
            <w:tcW w:w="1596" w:type="dxa"/>
            <w:vAlign w:val="center"/>
          </w:tcPr>
          <w:p w:rsidR="003A7D22" w:rsidRPr="00095491" w:rsidRDefault="003A7D22" w:rsidP="005D62AE">
            <w:pPr>
              <w:pStyle w:val="TableText"/>
              <w:jc w:val="left"/>
            </w:pPr>
            <w:r w:rsidRPr="00095491">
              <w:t>Expressed in percentage terms. Can only be positive. The smaller the number, the better.</w:t>
            </w:r>
          </w:p>
        </w:tc>
      </w:tr>
      <w:tr w:rsidR="003A7D22" w:rsidRPr="00095491" w:rsidTr="003C37F0">
        <w:trPr>
          <w:cantSplit/>
        </w:trPr>
        <w:tc>
          <w:tcPr>
            <w:tcW w:w="1188" w:type="dxa"/>
            <w:vAlign w:val="center"/>
          </w:tcPr>
          <w:p w:rsidR="003A7D22" w:rsidRPr="00095491" w:rsidRDefault="003A7D22" w:rsidP="005D62AE">
            <w:pPr>
              <w:pStyle w:val="TableText"/>
            </w:pPr>
            <w:r w:rsidRPr="00095491">
              <w:t>Goodness-of-fit</w:t>
            </w:r>
          </w:p>
        </w:tc>
        <w:tc>
          <w:tcPr>
            <w:tcW w:w="1080" w:type="dxa"/>
            <w:vAlign w:val="center"/>
          </w:tcPr>
          <w:p w:rsidR="003A7D22" w:rsidRPr="00095491" w:rsidRDefault="003A7D22" w:rsidP="005D62AE">
            <w:pPr>
              <w:pStyle w:val="TableText"/>
            </w:pPr>
            <w:r w:rsidRPr="00095491">
              <w:t>Program</w:t>
            </w:r>
          </w:p>
        </w:tc>
        <w:tc>
          <w:tcPr>
            <w:tcW w:w="1080" w:type="dxa"/>
            <w:vAlign w:val="center"/>
          </w:tcPr>
          <w:p w:rsidR="003A7D22" w:rsidRPr="00095491" w:rsidRDefault="003A7D22" w:rsidP="005D62AE">
            <w:pPr>
              <w:pStyle w:val="TableText"/>
            </w:pPr>
            <w:r w:rsidRPr="00095491">
              <w:t>Absolute Sum of Errors</w:t>
            </w:r>
          </w:p>
        </w:tc>
        <w:tc>
          <w:tcPr>
            <w:tcW w:w="2430" w:type="dxa"/>
            <w:vAlign w:val="center"/>
          </w:tcPr>
          <w:p w:rsidR="003A7D22" w:rsidRPr="00095491" w:rsidRDefault="003A7D22" w:rsidP="005D62AE">
            <w:pPr>
              <w:pStyle w:val="TableText"/>
            </w:pPr>
            <w:r w:rsidRPr="00095491">
              <w:rPr>
                <w:noProof/>
              </w:rPr>
              <w:drawing>
                <wp:inline distT="0" distB="0" distL="0" distR="0" wp14:anchorId="0B801C7F" wp14:editId="4CD1E7C3">
                  <wp:extent cx="904875" cy="4191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904875" cy="419100"/>
                          </a:xfrm>
                          <a:prstGeom prst="rect">
                            <a:avLst/>
                          </a:prstGeom>
                        </pic:spPr>
                      </pic:pic>
                    </a:graphicData>
                  </a:graphic>
                </wp:inline>
              </w:drawing>
            </w:r>
          </w:p>
        </w:tc>
        <w:tc>
          <w:tcPr>
            <w:tcW w:w="2202" w:type="dxa"/>
            <w:vAlign w:val="center"/>
          </w:tcPr>
          <w:p w:rsidR="003A7D22" w:rsidRPr="00095491" w:rsidRDefault="003A7D22" w:rsidP="00DF603B">
            <w:pPr>
              <w:pStyle w:val="TableText"/>
              <w:jc w:val="left"/>
            </w:pPr>
            <w:r w:rsidRPr="00095491">
              <w:t xml:space="preserve">Sums up absolute errors for </w:t>
            </w:r>
            <w:r w:rsidR="00DF603B" w:rsidRPr="00095491">
              <w:t>peak</w:t>
            </w:r>
            <w:r w:rsidRPr="00095491">
              <w:t xml:space="preserve"> days.</w:t>
            </w:r>
          </w:p>
        </w:tc>
        <w:tc>
          <w:tcPr>
            <w:tcW w:w="1596" w:type="dxa"/>
            <w:vAlign w:val="center"/>
          </w:tcPr>
          <w:p w:rsidR="003A7D22" w:rsidRPr="00095491" w:rsidRDefault="003A7D22" w:rsidP="005D62AE">
            <w:pPr>
              <w:pStyle w:val="TableText"/>
              <w:jc w:val="left"/>
            </w:pPr>
            <w:r w:rsidRPr="00095491">
              <w:t>Expressed in kWh terms. Can only be positive. The smaller the number, the better.</w:t>
            </w:r>
          </w:p>
        </w:tc>
      </w:tr>
    </w:tbl>
    <w:p w:rsidR="003A7D22" w:rsidRPr="00095491" w:rsidRDefault="003A7D22" w:rsidP="003A7D22">
      <w:pPr>
        <w:pStyle w:val="BodyParaAfterTableFigure"/>
        <w:spacing w:after="0"/>
      </w:pPr>
      <w:r w:rsidRPr="00095491">
        <w:t>The statistics above use the following nomenclature:</w:t>
      </w:r>
    </w:p>
    <w:p w:rsidR="003A7D22" w:rsidRPr="00095491" w:rsidRDefault="003A7D22" w:rsidP="001A6711">
      <w:pPr>
        <w:pStyle w:val="Bullets"/>
        <w:rPr>
          <w:rFonts w:eastAsiaTheme="minorEastAsia"/>
        </w:rPr>
      </w:pPr>
      <m:oMath>
        <m:r>
          <m:rPr>
            <m:sty m:val="p"/>
          </m:rPr>
          <w:rPr>
            <w:rFonts w:ascii="Cambria Math" w:eastAsiaTheme="minorEastAsia" w:hAnsi="Cambria Math"/>
          </w:rPr>
          <m:t>y</m:t>
        </m:r>
      </m:oMath>
      <w:r w:rsidRPr="00095491">
        <w:rPr>
          <w:rFonts w:eastAsiaTheme="minorEastAsia"/>
        </w:rPr>
        <w:t xml:space="preserve"> - </w:t>
      </w:r>
      <w:r w:rsidR="00DF603B" w:rsidRPr="00095491">
        <w:rPr>
          <w:rFonts w:eastAsiaTheme="minorEastAsia"/>
        </w:rPr>
        <w:t>observed</w:t>
      </w:r>
      <w:r w:rsidRPr="00095491">
        <w:rPr>
          <w:rFonts w:eastAsiaTheme="minorEastAsia"/>
        </w:rPr>
        <w:t xml:space="preserve"> kWh</w:t>
      </w:r>
    </w:p>
    <w:p w:rsidR="003A7D22" w:rsidRPr="00095491" w:rsidRDefault="003A34B9" w:rsidP="001A6711">
      <w:pPr>
        <w:pStyle w:val="Bullets"/>
      </w:pPr>
      <m:oMath>
        <m:acc>
          <m:accPr>
            <m:ctrlPr>
              <w:rPr>
                <w:rFonts w:ascii="Cambria Math" w:hAnsi="Cambria Math"/>
                <w:i/>
                <w:iCs/>
              </w:rPr>
            </m:ctrlPr>
          </m:accPr>
          <m:e>
            <m:r>
              <w:rPr>
                <w:rFonts w:ascii="Cambria Math" w:hAnsi="Cambria Math"/>
              </w:rPr>
              <m:t>y</m:t>
            </m:r>
          </m:e>
        </m:acc>
      </m:oMath>
      <w:r w:rsidR="003A7D22" w:rsidRPr="00095491">
        <w:t xml:space="preserve"> - </w:t>
      </w:r>
      <w:r w:rsidR="00DF603B" w:rsidRPr="00095491">
        <w:t>predicted</w:t>
      </w:r>
      <w:r w:rsidR="003A7D22" w:rsidRPr="00095491">
        <w:t xml:space="preserve"> kWh</w:t>
      </w:r>
    </w:p>
    <w:p w:rsidR="003A7D22" w:rsidRPr="00095491" w:rsidRDefault="003A7D22" w:rsidP="001A6711">
      <w:pPr>
        <w:pStyle w:val="Bullets"/>
      </w:pPr>
      <m:oMath>
        <m:r>
          <w:rPr>
            <w:rFonts w:ascii="Cambria Math" w:hAnsi="Cambria Math"/>
          </w:rPr>
          <m:t>i</m:t>
        </m:r>
      </m:oMath>
      <w:r w:rsidRPr="00095491">
        <w:t xml:space="preserve"> - customer</w:t>
      </w:r>
    </w:p>
    <w:p w:rsidR="003A7D22" w:rsidRPr="00095491" w:rsidRDefault="003A7D22" w:rsidP="001A6711">
      <w:pPr>
        <w:pStyle w:val="Bullets"/>
      </w:pPr>
      <m:oMath>
        <m:r>
          <w:rPr>
            <w:rFonts w:ascii="Cambria Math" w:hAnsi="Cambria Math"/>
          </w:rPr>
          <m:t>t</m:t>
        </m:r>
      </m:oMath>
      <w:r w:rsidRPr="00095491">
        <w:t xml:space="preserve"> - each individual </w:t>
      </w:r>
      <w:r w:rsidR="00DF603B" w:rsidRPr="00095491">
        <w:t>peak load</w:t>
      </w:r>
      <w:r w:rsidRPr="00095491">
        <w:t xml:space="preserve"> day</w:t>
      </w:r>
    </w:p>
    <w:p w:rsidR="003A7D22" w:rsidRPr="00095491" w:rsidRDefault="003A7D22" w:rsidP="001A6711">
      <w:pPr>
        <w:pStyle w:val="BulletLast"/>
      </w:pPr>
      <m:oMath>
        <m:r>
          <w:rPr>
            <w:rFonts w:ascii="Cambria Math" w:hAnsi="Cambria Math"/>
          </w:rPr>
          <m:t>n</m:t>
        </m:r>
      </m:oMath>
      <w:r w:rsidRPr="00095491">
        <w:t xml:space="preserve"> - total number of </w:t>
      </w:r>
      <w:r w:rsidR="00DF603B" w:rsidRPr="00095491">
        <w:t>peak load</w:t>
      </w:r>
      <w:r w:rsidRPr="00095491">
        <w:t xml:space="preserve"> days</w:t>
      </w:r>
    </w:p>
    <w:p w:rsidR="008D0E94" w:rsidRPr="00095491" w:rsidRDefault="003A7D22" w:rsidP="008D0E94">
      <w:pPr>
        <w:pStyle w:val="BodyParagraph"/>
      </w:pPr>
      <w:r w:rsidRPr="00095491">
        <w:t xml:space="preserve">The final model was selected on the basis of average percent error, taking into account both its absolute value and its deviation across the excluded days, provided that the absolute sum </w:t>
      </w:r>
      <w:r w:rsidRPr="00095491">
        <w:lastRenderedPageBreak/>
        <w:t xml:space="preserve">of errors was acceptable relative to other potential models. </w:t>
      </w:r>
      <w:r w:rsidR="00A43683">
        <w:t>An example of t</w:t>
      </w:r>
      <w:r w:rsidRPr="00095491">
        <w:t xml:space="preserve">he final model and its associated </w:t>
      </w:r>
      <w:r w:rsidR="008D0E94" w:rsidRPr="00095491">
        <w:t xml:space="preserve">explanatory variables are summarized </w:t>
      </w:r>
      <w:r w:rsidR="005540DF" w:rsidRPr="00095491">
        <w:t>below</w:t>
      </w:r>
      <w:r w:rsidR="008D0E94" w:rsidRPr="00095491">
        <w:t>.</w:t>
      </w:r>
      <w:r w:rsidR="00A43683">
        <w:t xml:space="preserve">  The models for the other customers can be found in Appendix A.</w:t>
      </w:r>
    </w:p>
    <w:p w:rsidR="008D0E94" w:rsidRPr="00095491" w:rsidRDefault="008D0E94" w:rsidP="00E40533">
      <w:r w:rsidRPr="00095491">
        <w:t>Mathematically, the regression can be expressed by:</w:t>
      </w:r>
    </w:p>
    <w:p w:rsidR="008D0E94" w:rsidRPr="00095491" w:rsidRDefault="003A34B9" w:rsidP="008D0E94">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kW</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cs="Arial"/>
                      <w:sz w:val="24"/>
                      <w:szCs w:val="24"/>
                    </w:rPr>
                    <m:t>12</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Mont</m:t>
                      </m:r>
                      <m:r>
                        <w:rPr>
                          <w:rFonts w:hAnsi="Cambria Math" w:cs="Arial"/>
                          <w:sz w:val="24"/>
                          <w:szCs w:val="24"/>
                        </w:rPr>
                        <m:t>h</m:t>
                      </m:r>
                    </m:e>
                    <m:sub>
                      <m:r>
                        <w:rPr>
                          <w:rFonts w:ascii="Cambria Math" w:hAnsi="Cambria Math" w:cs="Arial"/>
                          <w:sz w:val="24"/>
                          <w:szCs w:val="24"/>
                        </w:rPr>
                        <m:t>j</m:t>
                      </m:r>
                    </m:sub>
                  </m:sSub>
                </m:e>
              </m:nary>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oMath>
      </m:oMathPara>
    </w:p>
    <w:p w:rsidR="008D0E94" w:rsidRPr="009F033B" w:rsidRDefault="008D0E94" w:rsidP="009F033B">
      <w:pPr>
        <w:pStyle w:val="BodyParagraph"/>
        <w:tabs>
          <w:tab w:val="left" w:pos="1620"/>
        </w:tabs>
        <w:spacing w:after="100" w:afterAutospacing="1"/>
        <w:rPr>
          <w:rFonts w:cs="Arial"/>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CDD</m:t>
                  </m:r>
                </m:e>
                <m:sub>
                  <m:r>
                    <w:rPr>
                      <w:rFonts w:ascii="Cambria Math" w:hAnsi="Cambria Math" w:cs="Arial"/>
                      <w:sz w:val="24"/>
                      <w:szCs w:val="24"/>
                    </w:rPr>
                    <m:t>t</m:t>
                  </m:r>
                </m:sub>
              </m:sSub>
            </m:e>
          </m:nary>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E</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CDDsqr</m:t>
                  </m:r>
                </m:e>
                <m:sub>
                  <m:r>
                    <w:rPr>
                      <w:rFonts w:ascii="Cambria Math" w:hAnsi="Cambria Math" w:cs="Arial"/>
                      <w:sz w:val="24"/>
                      <w:szCs w:val="24"/>
                    </w:rPr>
                    <m:t>t</m:t>
                  </m:r>
                </m:sub>
              </m:sSub>
            </m:e>
          </m:nary>
          <m:r>
            <w:rPr>
              <w:rFonts w:ascii="Cambria Math" w:hAnsi="Cambria Math"/>
              <w:sz w:val="24"/>
              <w:szCs w:val="24"/>
            </w:rPr>
            <m:t xml:space="preserve">+ </m:t>
          </m:r>
          <m:r>
            <m:rPr>
              <m:sty m:val="p"/>
            </m:rPr>
            <w:rPr>
              <w:rFonts w:cs="Arial"/>
              <w:sz w:val="24"/>
              <w:szCs w:val="24"/>
            </w:rPr>
            <w:br/>
          </m:r>
        </m:oMath>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F</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m:t>
                  </m:r>
                </m:e>
                <m:sub>
                  <m:r>
                    <w:rPr>
                      <w:rFonts w:ascii="Cambria Math" w:hAnsi="Cambria Math" w:cs="Arial"/>
                      <w:sz w:val="24"/>
                      <w:szCs w:val="24"/>
                    </w:rPr>
                    <m:t>t</m:t>
                  </m:r>
                </m:sub>
              </m:sSub>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G</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CDHsqr</m:t>
                  </m:r>
                </m:e>
                <m:sub>
                  <m:r>
                    <w:rPr>
                      <w:rFonts w:ascii="Cambria Math" w:hAnsi="Cambria Math" w:cs="Arial"/>
                      <w:sz w:val="24"/>
                      <w:szCs w:val="24"/>
                    </w:rPr>
                    <m:t>t</m:t>
                  </m:r>
                </m:sub>
              </m:sSub>
            </m:e>
          </m:nary>
          <m:r>
            <m:rPr>
              <m:sty m:val="p"/>
            </m:rPr>
            <w:rPr>
              <w:rFonts w:ascii="Cambria Math" w:cs="Arial"/>
              <w:sz w:val="24"/>
              <w:szCs w:val="24"/>
            </w:rPr>
            <m:t xml:space="preserve">+ </m:t>
          </m:r>
          <m:r>
            <m:rPr>
              <m:sty m:val="p"/>
            </m:rPr>
            <w:rPr>
              <w:rFonts w:ascii="Cambria Math" w:cs="Arial"/>
              <w:sz w:val="24"/>
              <w:szCs w:val="24"/>
            </w:rPr>
            <w:br/>
          </m:r>
        </m:oMath>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i=1</m:t>
              </m:r>
            </m:sub>
            <m:sup>
              <m:r>
                <w:rPr>
                  <w:rFonts w:ascii="Cambria Math" w:hAnsi="Cambria Math" w:cs="Arial"/>
                  <w:sz w:val="24"/>
                  <w:szCs w:val="24"/>
                </w:rPr>
                <m:t>24</m:t>
              </m:r>
            </m:sup>
            <m:e>
              <m:sSub>
                <m:sSubPr>
                  <m:ctrlPr>
                    <w:rPr>
                      <w:rFonts w:ascii="Cambria Math" w:hAnsi="Cambria Math" w:cs="Arial"/>
                      <w:i/>
                      <w:sz w:val="24"/>
                      <w:szCs w:val="24"/>
                    </w:rPr>
                  </m:ctrlPr>
                </m:sSubPr>
                <m:e>
                  <m:r>
                    <w:rPr>
                      <w:rFonts w:ascii="Cambria Math" w:cs="Arial"/>
                      <w:sz w:val="24"/>
                      <w:szCs w:val="24"/>
                    </w:rPr>
                    <m:t>H</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r>
                <w:rPr>
                  <w:rFonts w:ascii="Cambria Math" w:hAnsi="Cambria Math" w:cs="Arial"/>
                  <w:sz w:val="24"/>
                  <w:szCs w:val="24"/>
                </w:rPr>
                <m:t>Summer</m:t>
              </m:r>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3</m:t>
              </m:r>
            </m:sup>
            <m:e>
              <m:sSub>
                <m:sSubPr>
                  <m:ctrlPr>
                    <w:rPr>
                      <w:rFonts w:ascii="Cambria Math" w:hAnsi="Cambria Math" w:cs="Arial"/>
                      <w:i/>
                      <w:sz w:val="24"/>
                      <w:szCs w:val="24"/>
                    </w:rPr>
                  </m:ctrlPr>
                </m:sSubPr>
                <m:e>
                  <m:r>
                    <w:rPr>
                      <w:rFonts w:ascii="Cambria Math" w:hAnsi="Cambria Math" w:cs="Arial"/>
                      <w:sz w:val="24"/>
                      <w:szCs w:val="24"/>
                    </w:rPr>
                    <m:t>I</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Year</m:t>
                  </m:r>
                </m:e>
                <m:sub>
                  <m:r>
                    <w:rPr>
                      <w:rFonts w:ascii="Cambria Math" w:hAnsi="Cambria Math" w:cs="Arial"/>
                      <w:sz w:val="24"/>
                      <w:szCs w:val="24"/>
                    </w:rPr>
                    <m:t>it</m:t>
                  </m:r>
                </m:sub>
              </m:sSub>
            </m:e>
          </m:nary>
          <m:r>
            <w:rPr>
              <w:rFonts w:ascii="Cambria Math" w:hAnsi="Cambria Math" w:cs="Arial"/>
              <w:sz w:val="24"/>
              <w:szCs w:val="24"/>
            </w:rPr>
            <m:t xml:space="preserve">+ </m:t>
          </m:r>
          <m:r>
            <m:rPr>
              <m:sty m:val="p"/>
            </m:rPr>
            <w:rPr>
              <w:rFonts w:ascii="Cambria Math" w:hAnsi="Cambria Math" w:cs="Arial"/>
              <w:sz w:val="24"/>
              <w:szCs w:val="24"/>
            </w:rPr>
            <w:br/>
          </m:r>
        </m:oMath>
        <m:oMath>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cs="Arial"/>
                  <w:sz w:val="24"/>
                  <w:szCs w:val="24"/>
                </w:rPr>
                <m:t>J</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PLS</m:t>
              </m:r>
            </m:e>
            <m:sub>
              <m:r>
                <w:rPr>
                  <w:rFonts w:ascii="Cambria Math" w:hAnsi="Cambria Math" w:cs="Arial"/>
                  <w:sz w:val="24"/>
                  <w:szCs w:val="24"/>
                </w:rPr>
                <m:t>t</m:t>
              </m:r>
            </m:sub>
          </m:sSub>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5540DF" w:rsidRPr="00095491" w:rsidRDefault="005540DF" w:rsidP="001A69F7">
      <w:pPr>
        <w:pStyle w:val="TableFigureCaption"/>
      </w:pPr>
      <w:r w:rsidRPr="00095491">
        <w:t>Table 2-</w:t>
      </w:r>
      <w:r w:rsidR="00060B2F">
        <w:t>3</w:t>
      </w:r>
      <w:r w:rsidRPr="00095491">
        <w:t>: Description of Regression Model Variables</w:t>
      </w:r>
    </w:p>
    <w:tbl>
      <w:tblPr>
        <w:tblStyle w:val="TableGrid"/>
        <w:tblW w:w="0" w:type="auto"/>
        <w:tblLook w:val="04A0" w:firstRow="1" w:lastRow="0" w:firstColumn="1" w:lastColumn="0" w:noHBand="0" w:noVBand="1"/>
      </w:tblPr>
      <w:tblGrid>
        <w:gridCol w:w="1539"/>
        <w:gridCol w:w="8037"/>
      </w:tblGrid>
      <w:tr w:rsidR="005540DF" w:rsidRPr="00095491" w:rsidTr="005D62AE">
        <w:trPr>
          <w:trHeight w:val="557"/>
          <w:tblHeader/>
        </w:trPr>
        <w:tc>
          <w:tcPr>
            <w:tcW w:w="1539" w:type="dxa"/>
            <w:tcBorders>
              <w:top w:val="single" w:sz="8" w:space="0" w:color="auto"/>
              <w:left w:val="single" w:sz="8" w:space="0" w:color="auto"/>
              <w:bottom w:val="single" w:sz="4" w:space="0" w:color="auto"/>
              <w:right w:val="single" w:sz="4" w:space="0" w:color="FFFFFF" w:themeColor="background1"/>
            </w:tcBorders>
            <w:shd w:val="clear" w:color="auto" w:fill="0070C0"/>
            <w:vAlign w:val="center"/>
          </w:tcPr>
          <w:p w:rsidR="005540DF" w:rsidRPr="00095491" w:rsidRDefault="005540DF" w:rsidP="005D62AE">
            <w:pPr>
              <w:pStyle w:val="TableHeader"/>
              <w:keepNext/>
            </w:pPr>
            <w:r w:rsidRPr="00095491">
              <w:t>Variable</w:t>
            </w:r>
          </w:p>
        </w:tc>
        <w:tc>
          <w:tcPr>
            <w:tcW w:w="8037" w:type="dxa"/>
            <w:tcBorders>
              <w:top w:val="single" w:sz="8" w:space="0" w:color="auto"/>
              <w:left w:val="single" w:sz="4" w:space="0" w:color="FFFFFF" w:themeColor="background1"/>
              <w:bottom w:val="single" w:sz="4" w:space="0" w:color="auto"/>
              <w:right w:val="single" w:sz="8" w:space="0" w:color="auto"/>
            </w:tcBorders>
            <w:shd w:val="clear" w:color="auto" w:fill="0070C0"/>
            <w:vAlign w:val="center"/>
          </w:tcPr>
          <w:p w:rsidR="005540DF" w:rsidRPr="00095491" w:rsidRDefault="005540DF" w:rsidP="005D62AE">
            <w:pPr>
              <w:pStyle w:val="TableHeader"/>
              <w:keepNext/>
            </w:pPr>
            <w:r w:rsidRPr="00095491">
              <w:t>Definition</w:t>
            </w:r>
          </w:p>
        </w:tc>
      </w:tr>
      <w:tr w:rsidR="005540DF" w:rsidRPr="00095491" w:rsidTr="005D62AE">
        <w:tc>
          <w:tcPr>
            <w:tcW w:w="1539" w:type="dxa"/>
            <w:tcBorders>
              <w:top w:val="single" w:sz="4" w:space="0" w:color="auto"/>
            </w:tcBorders>
            <w:vAlign w:val="center"/>
          </w:tcPr>
          <w:p w:rsidR="005540DF" w:rsidRPr="00095491" w:rsidRDefault="005540DF" w:rsidP="005D62AE">
            <w:pPr>
              <w:pStyle w:val="TableText"/>
              <w:keepNext/>
            </w:pPr>
            <w:proofErr w:type="spellStart"/>
            <w:r w:rsidRPr="00095491">
              <w:t>kW</w:t>
            </w:r>
            <w:r w:rsidRPr="00095491">
              <w:rPr>
                <w:vertAlign w:val="subscript"/>
              </w:rPr>
              <w:t>t</w:t>
            </w:r>
            <w:proofErr w:type="spellEnd"/>
          </w:p>
        </w:tc>
        <w:tc>
          <w:tcPr>
            <w:tcW w:w="8037" w:type="dxa"/>
            <w:tcBorders>
              <w:top w:val="single" w:sz="4" w:space="0" w:color="auto"/>
            </w:tcBorders>
          </w:tcPr>
          <w:p w:rsidR="005540DF" w:rsidRPr="00095491" w:rsidRDefault="005540DF" w:rsidP="005D62AE">
            <w:pPr>
              <w:pStyle w:val="TableText"/>
              <w:keepNext/>
              <w:jc w:val="left"/>
            </w:pPr>
            <w:r w:rsidRPr="00095491">
              <w:t>Average hourly demand (kW) for each time period</w:t>
            </w:r>
          </w:p>
        </w:tc>
      </w:tr>
      <w:tr w:rsidR="005540DF" w:rsidRPr="00095491" w:rsidTr="005D62AE">
        <w:tc>
          <w:tcPr>
            <w:tcW w:w="1539" w:type="dxa"/>
            <w:vAlign w:val="center"/>
          </w:tcPr>
          <w:p w:rsidR="005540DF" w:rsidRPr="00095491" w:rsidRDefault="005540DF" w:rsidP="005D62AE">
            <w:pPr>
              <w:pStyle w:val="TableText"/>
              <w:keepNext/>
            </w:pPr>
            <w:r w:rsidRPr="00095491">
              <w:t>A</w:t>
            </w:r>
          </w:p>
        </w:tc>
        <w:tc>
          <w:tcPr>
            <w:tcW w:w="8037" w:type="dxa"/>
          </w:tcPr>
          <w:p w:rsidR="005540DF" w:rsidRPr="00095491" w:rsidRDefault="005540DF" w:rsidP="005D62AE">
            <w:pPr>
              <w:pStyle w:val="TableText"/>
              <w:keepNext/>
              <w:tabs>
                <w:tab w:val="left" w:pos="2557"/>
              </w:tabs>
              <w:jc w:val="left"/>
            </w:pPr>
            <w:r w:rsidRPr="00095491">
              <w:t>Estimated constant term</w:t>
            </w:r>
            <w:r w:rsidRPr="00095491">
              <w:tab/>
            </w:r>
          </w:p>
        </w:tc>
      </w:tr>
      <w:tr w:rsidR="005540DF" w:rsidRPr="00095491" w:rsidTr="005D62AE">
        <w:tc>
          <w:tcPr>
            <w:tcW w:w="1539" w:type="dxa"/>
            <w:vAlign w:val="center"/>
          </w:tcPr>
          <w:p w:rsidR="005540DF" w:rsidRPr="00095491" w:rsidRDefault="005540DF" w:rsidP="005D62AE">
            <w:pPr>
              <w:pStyle w:val="TableText"/>
              <w:keepNext/>
              <w:rPr>
                <w:vertAlign w:val="subscript"/>
              </w:rPr>
            </w:pPr>
            <w:proofErr w:type="spellStart"/>
            <w:r w:rsidRPr="00095491">
              <w:t>B</w:t>
            </w:r>
            <w:r w:rsidRPr="00095491">
              <w:rPr>
                <w:vertAlign w:val="subscript"/>
              </w:rPr>
              <w:t>ij</w:t>
            </w:r>
            <w:proofErr w:type="spellEnd"/>
            <w:r w:rsidRPr="00095491">
              <w:t xml:space="preserve"> through </w:t>
            </w:r>
            <w:proofErr w:type="spellStart"/>
            <w:r w:rsidRPr="00095491">
              <w:t>J</w:t>
            </w:r>
            <w:r w:rsidRPr="00095491">
              <w:rPr>
                <w:vertAlign w:val="subscript"/>
              </w:rPr>
              <w:t>i</w:t>
            </w:r>
            <w:proofErr w:type="spellEnd"/>
          </w:p>
        </w:tc>
        <w:tc>
          <w:tcPr>
            <w:tcW w:w="8037" w:type="dxa"/>
          </w:tcPr>
          <w:p w:rsidR="005540DF" w:rsidRPr="00095491" w:rsidRDefault="005540DF" w:rsidP="005D62AE">
            <w:pPr>
              <w:pStyle w:val="TableText"/>
              <w:keepNext/>
              <w:jc w:val="left"/>
            </w:pPr>
            <w:r w:rsidRPr="00095491">
              <w:t>Regression model parameters</w:t>
            </w:r>
          </w:p>
        </w:tc>
      </w:tr>
      <w:tr w:rsidR="005540DF" w:rsidRPr="00095491" w:rsidTr="005D62AE">
        <w:tc>
          <w:tcPr>
            <w:tcW w:w="1539" w:type="dxa"/>
            <w:vAlign w:val="center"/>
          </w:tcPr>
          <w:p w:rsidR="005540DF" w:rsidRPr="00095491" w:rsidRDefault="005540DF" w:rsidP="005D62AE">
            <w:pPr>
              <w:pStyle w:val="TableText"/>
              <w:keepNext/>
            </w:pPr>
            <w:proofErr w:type="spellStart"/>
            <w:r w:rsidRPr="00095491">
              <w:t>Hour</w:t>
            </w:r>
            <w:r w:rsidRPr="00095491">
              <w:rPr>
                <w:vertAlign w:val="subscript"/>
              </w:rPr>
              <w:t>i</w:t>
            </w:r>
            <w:proofErr w:type="spellEnd"/>
          </w:p>
        </w:tc>
        <w:tc>
          <w:tcPr>
            <w:tcW w:w="8037" w:type="dxa"/>
          </w:tcPr>
          <w:p w:rsidR="005540DF" w:rsidRPr="00095491" w:rsidRDefault="005540DF" w:rsidP="005E4FA6">
            <w:pPr>
              <w:pStyle w:val="TableText"/>
              <w:keepNext/>
              <w:jc w:val="left"/>
            </w:pPr>
            <w:r w:rsidRPr="00095491">
              <w:t>Series of binary variables for each hour, which account for the basic hourly load shape of the customer after other factors such as weather are accounted for</w:t>
            </w:r>
          </w:p>
        </w:tc>
      </w:tr>
      <w:tr w:rsidR="005540DF" w:rsidRPr="00095491" w:rsidTr="005D62AE">
        <w:tc>
          <w:tcPr>
            <w:tcW w:w="1539" w:type="dxa"/>
            <w:vAlign w:val="center"/>
          </w:tcPr>
          <w:p w:rsidR="005540DF" w:rsidRPr="00095491" w:rsidRDefault="005540DF" w:rsidP="00095491">
            <w:pPr>
              <w:pStyle w:val="TableText"/>
              <w:keepNext/>
            </w:pPr>
            <w:proofErr w:type="spellStart"/>
            <w:r w:rsidRPr="00095491">
              <w:t>D</w:t>
            </w:r>
            <w:r w:rsidR="00095491" w:rsidRPr="00095491">
              <w:t>OW</w:t>
            </w:r>
            <w:r w:rsidRPr="00095491">
              <w:rPr>
                <w:vertAlign w:val="subscript"/>
              </w:rPr>
              <w:t>j</w:t>
            </w:r>
            <w:proofErr w:type="spellEnd"/>
          </w:p>
        </w:tc>
        <w:tc>
          <w:tcPr>
            <w:tcW w:w="8037" w:type="dxa"/>
          </w:tcPr>
          <w:p w:rsidR="005540DF" w:rsidRPr="00095491" w:rsidRDefault="005540DF" w:rsidP="00F958C8">
            <w:pPr>
              <w:pStyle w:val="TableText"/>
              <w:keepNext/>
              <w:jc w:val="left"/>
            </w:pPr>
            <w:r w:rsidRPr="00095491">
              <w:t xml:space="preserve">Series of binary variables representing </w:t>
            </w:r>
            <w:r w:rsidR="00095491" w:rsidRPr="00095491">
              <w:t>weekday</w:t>
            </w:r>
            <w:r w:rsidR="000A718A">
              <w:t xml:space="preserve">s </w:t>
            </w:r>
            <w:r w:rsidRPr="00095491">
              <w:t>(Mon</w:t>
            </w:r>
            <w:r w:rsidR="00346288">
              <w:t>-</w:t>
            </w:r>
            <w:r w:rsidR="00095491" w:rsidRPr="00095491">
              <w:t>Fri</w:t>
            </w:r>
            <w:r w:rsidRPr="00095491">
              <w:t xml:space="preserve">); weekends </w:t>
            </w:r>
            <w:r w:rsidR="007E3AFA" w:rsidRPr="00095491">
              <w:t xml:space="preserve">and holidays </w:t>
            </w:r>
            <w:r w:rsidRPr="00095491">
              <w:t>are excluded from the model</w:t>
            </w:r>
            <w:r w:rsidR="00346288">
              <w:t>. Energy use immediately before or after a weekend may be different compared to load in the middle of the week</w:t>
            </w:r>
          </w:p>
        </w:tc>
      </w:tr>
      <w:tr w:rsidR="005540DF" w:rsidRPr="00095491" w:rsidTr="005D62AE">
        <w:tc>
          <w:tcPr>
            <w:tcW w:w="1539" w:type="dxa"/>
            <w:vAlign w:val="center"/>
          </w:tcPr>
          <w:p w:rsidR="005540DF" w:rsidRPr="00095491" w:rsidRDefault="005540DF" w:rsidP="005D62AE">
            <w:pPr>
              <w:pStyle w:val="TableText"/>
              <w:keepNext/>
            </w:pPr>
            <w:proofErr w:type="spellStart"/>
            <w:r w:rsidRPr="00095491">
              <w:t>Month</w:t>
            </w:r>
            <w:r w:rsidRPr="00095491">
              <w:rPr>
                <w:vertAlign w:val="subscript"/>
              </w:rPr>
              <w:t>j</w:t>
            </w:r>
            <w:proofErr w:type="spellEnd"/>
          </w:p>
        </w:tc>
        <w:tc>
          <w:tcPr>
            <w:tcW w:w="8037" w:type="dxa"/>
          </w:tcPr>
          <w:p w:rsidR="005540DF" w:rsidRPr="00095491" w:rsidRDefault="005540DF" w:rsidP="005D62AE">
            <w:pPr>
              <w:pStyle w:val="TableText"/>
              <w:keepNext/>
              <w:jc w:val="left"/>
            </w:pPr>
            <w:r w:rsidRPr="00095491">
              <w:t>Series of binary variables for each month designed to reflect seasonality in loads</w:t>
            </w:r>
          </w:p>
        </w:tc>
      </w:tr>
      <w:tr w:rsidR="005E4FA6" w:rsidRPr="00095491" w:rsidTr="005D62AE">
        <w:tc>
          <w:tcPr>
            <w:tcW w:w="1539" w:type="dxa"/>
            <w:vAlign w:val="center"/>
          </w:tcPr>
          <w:p w:rsidR="005E4FA6" w:rsidRPr="00095491" w:rsidRDefault="005E4FA6" w:rsidP="005D62AE">
            <w:pPr>
              <w:pStyle w:val="TableText"/>
              <w:spacing w:line="276" w:lineRule="auto"/>
              <w:rPr>
                <w:rFonts w:cs="Arial"/>
              </w:rPr>
            </w:pPr>
            <w:proofErr w:type="spellStart"/>
            <w:r w:rsidRPr="00095491">
              <w:rPr>
                <w:rFonts w:cs="Arial"/>
              </w:rPr>
              <w:t>CDD</w:t>
            </w:r>
            <w:r w:rsidRPr="00095491">
              <w:rPr>
                <w:rFonts w:cs="Arial"/>
                <w:vertAlign w:val="subscript"/>
              </w:rPr>
              <w:t>t</w:t>
            </w:r>
            <w:proofErr w:type="spellEnd"/>
          </w:p>
        </w:tc>
        <w:tc>
          <w:tcPr>
            <w:tcW w:w="8037" w:type="dxa"/>
            <w:vAlign w:val="center"/>
          </w:tcPr>
          <w:p w:rsidR="005E4FA6" w:rsidRPr="00095491" w:rsidRDefault="005E4FA6">
            <w:pPr>
              <w:pStyle w:val="TableText"/>
              <w:spacing w:line="276" w:lineRule="auto"/>
              <w:jc w:val="left"/>
              <w:rPr>
                <w:rFonts w:eastAsia="Calibri" w:cs="Times New Roman"/>
              </w:rPr>
            </w:pPr>
            <w:r w:rsidRPr="00095491">
              <w:t>Cooling Degree Day</w:t>
            </w:r>
            <w:r w:rsidR="000C007D" w:rsidRPr="00095491">
              <w:rPr>
                <w:rFonts w:cs="Arial"/>
              </w:rPr>
              <w:t>—</w:t>
            </w:r>
            <w:r w:rsidRPr="00095491">
              <w:t>the max of zero and the mean temperature of the day of the hourly observation less a base value of 60°F</w:t>
            </w:r>
          </w:p>
        </w:tc>
      </w:tr>
      <w:tr w:rsidR="001A69F7" w:rsidRPr="00095491" w:rsidTr="005D62AE">
        <w:tc>
          <w:tcPr>
            <w:tcW w:w="1539" w:type="dxa"/>
            <w:vAlign w:val="center"/>
          </w:tcPr>
          <w:p w:rsidR="001A69F7" w:rsidRPr="00095491" w:rsidRDefault="001A69F7" w:rsidP="005D62AE">
            <w:pPr>
              <w:pStyle w:val="TableText"/>
              <w:spacing w:line="276" w:lineRule="auto"/>
              <w:rPr>
                <w:rFonts w:cs="Arial"/>
              </w:rPr>
            </w:pPr>
            <w:proofErr w:type="spellStart"/>
            <w:r w:rsidRPr="00095491">
              <w:rPr>
                <w:rFonts w:cs="Arial"/>
              </w:rPr>
              <w:t>CDDsqr</w:t>
            </w:r>
            <w:r w:rsidRPr="00095491">
              <w:rPr>
                <w:rFonts w:cs="Arial"/>
                <w:vertAlign w:val="subscript"/>
              </w:rPr>
              <w:t>t</w:t>
            </w:r>
            <w:proofErr w:type="spellEnd"/>
          </w:p>
        </w:tc>
        <w:tc>
          <w:tcPr>
            <w:tcW w:w="8037" w:type="dxa"/>
            <w:vAlign w:val="center"/>
          </w:tcPr>
          <w:p w:rsidR="001A69F7" w:rsidRPr="00095491" w:rsidRDefault="001A69F7" w:rsidP="005D62AE">
            <w:pPr>
              <w:pStyle w:val="TableText"/>
              <w:spacing w:line="276" w:lineRule="auto"/>
              <w:jc w:val="left"/>
              <w:rPr>
                <w:rFonts w:eastAsia="Calibri" w:cs="Times New Roman"/>
              </w:rPr>
            </w:pPr>
            <w:r w:rsidRPr="00095491">
              <w:t>The square of Cooling Degree Day</w:t>
            </w:r>
          </w:p>
        </w:tc>
      </w:tr>
      <w:tr w:rsidR="001A69F7" w:rsidRPr="00095491" w:rsidTr="005D62AE">
        <w:tc>
          <w:tcPr>
            <w:tcW w:w="1539" w:type="dxa"/>
            <w:vAlign w:val="center"/>
          </w:tcPr>
          <w:p w:rsidR="001A69F7" w:rsidRPr="00095491" w:rsidRDefault="001A69F7" w:rsidP="005D62AE">
            <w:pPr>
              <w:pStyle w:val="TableText"/>
              <w:spacing w:line="276" w:lineRule="auto"/>
              <w:rPr>
                <w:rFonts w:cs="Arial"/>
              </w:rPr>
            </w:pPr>
            <w:proofErr w:type="spellStart"/>
            <w:r w:rsidRPr="00095491">
              <w:rPr>
                <w:rFonts w:cs="Arial"/>
              </w:rPr>
              <w:t>CDH</w:t>
            </w:r>
            <w:r w:rsidRPr="00095491">
              <w:rPr>
                <w:rFonts w:cs="Arial"/>
                <w:vertAlign w:val="subscript"/>
              </w:rPr>
              <w:t>t</w:t>
            </w:r>
            <w:proofErr w:type="spellEnd"/>
          </w:p>
        </w:tc>
        <w:tc>
          <w:tcPr>
            <w:tcW w:w="8037" w:type="dxa"/>
            <w:vAlign w:val="center"/>
          </w:tcPr>
          <w:p w:rsidR="001A69F7" w:rsidRPr="00095491" w:rsidRDefault="001A69F7">
            <w:pPr>
              <w:pStyle w:val="TableText"/>
              <w:spacing w:line="276" w:lineRule="auto"/>
              <w:jc w:val="left"/>
              <w:rPr>
                <w:rFonts w:eastAsia="Calibri" w:cs="Times New Roman"/>
              </w:rPr>
            </w:pPr>
            <w:r w:rsidRPr="00095491">
              <w:t>Cooling Degree Hour</w:t>
            </w:r>
            <w:r w:rsidR="000C007D" w:rsidRPr="00095491">
              <w:rPr>
                <w:rFonts w:cs="Arial"/>
              </w:rPr>
              <w:t>—</w:t>
            </w:r>
            <w:r w:rsidRPr="00095491">
              <w:t>the max of zero and the hourly temperature value less a base value of 60°F</w:t>
            </w:r>
          </w:p>
        </w:tc>
      </w:tr>
      <w:tr w:rsidR="001A69F7" w:rsidRPr="00095491" w:rsidTr="005D62AE">
        <w:tc>
          <w:tcPr>
            <w:tcW w:w="1539" w:type="dxa"/>
            <w:vAlign w:val="center"/>
          </w:tcPr>
          <w:p w:rsidR="001A69F7" w:rsidRPr="00095491" w:rsidRDefault="001A69F7" w:rsidP="005D62AE">
            <w:pPr>
              <w:pStyle w:val="TableText"/>
              <w:spacing w:line="276" w:lineRule="auto"/>
              <w:rPr>
                <w:rFonts w:cs="Arial"/>
              </w:rPr>
            </w:pPr>
            <w:proofErr w:type="spellStart"/>
            <w:r w:rsidRPr="00095491">
              <w:rPr>
                <w:rFonts w:cs="Arial"/>
              </w:rPr>
              <w:t>CDHsqr</w:t>
            </w:r>
            <w:r w:rsidRPr="00095491">
              <w:rPr>
                <w:rFonts w:cs="Arial"/>
                <w:vertAlign w:val="subscript"/>
              </w:rPr>
              <w:t>t</w:t>
            </w:r>
            <w:proofErr w:type="spellEnd"/>
          </w:p>
        </w:tc>
        <w:tc>
          <w:tcPr>
            <w:tcW w:w="8037" w:type="dxa"/>
            <w:vAlign w:val="center"/>
          </w:tcPr>
          <w:p w:rsidR="001A69F7" w:rsidRPr="00095491" w:rsidRDefault="001A69F7" w:rsidP="005D62AE">
            <w:pPr>
              <w:pStyle w:val="TableText"/>
              <w:spacing w:line="276" w:lineRule="auto"/>
              <w:jc w:val="left"/>
              <w:rPr>
                <w:rFonts w:eastAsia="Calibri" w:cs="Times New Roman"/>
              </w:rPr>
            </w:pPr>
            <w:r w:rsidRPr="00095491">
              <w:t>The square of Cooling Degree Hour</w:t>
            </w:r>
          </w:p>
        </w:tc>
      </w:tr>
      <w:tr w:rsidR="001A69F7" w:rsidRPr="00095491" w:rsidTr="005D62AE">
        <w:tc>
          <w:tcPr>
            <w:tcW w:w="1539" w:type="dxa"/>
            <w:vAlign w:val="center"/>
          </w:tcPr>
          <w:p w:rsidR="001A69F7" w:rsidRPr="00095491" w:rsidRDefault="001A69F7" w:rsidP="005D62AE">
            <w:pPr>
              <w:pStyle w:val="TableText"/>
              <w:keepNext/>
            </w:pPr>
            <w:proofErr w:type="spellStart"/>
            <w:r w:rsidRPr="00095491">
              <w:lastRenderedPageBreak/>
              <w:t>Summer</w:t>
            </w:r>
            <w:r w:rsidRPr="00095491">
              <w:rPr>
                <w:vertAlign w:val="subscript"/>
              </w:rPr>
              <w:t>t</w:t>
            </w:r>
            <w:proofErr w:type="spellEnd"/>
          </w:p>
        </w:tc>
        <w:tc>
          <w:tcPr>
            <w:tcW w:w="8037" w:type="dxa"/>
          </w:tcPr>
          <w:p w:rsidR="001A69F7" w:rsidRPr="00095491" w:rsidRDefault="001A69F7" w:rsidP="005D62AE">
            <w:pPr>
              <w:pStyle w:val="TableText"/>
              <w:keepNext/>
              <w:jc w:val="left"/>
            </w:pPr>
            <w:r w:rsidRPr="00095491">
              <w:t>Binary variable reflecting the summer months of July through October</w:t>
            </w:r>
          </w:p>
        </w:tc>
      </w:tr>
      <w:tr w:rsidR="001A69F7" w:rsidRPr="00095491" w:rsidTr="005D62AE">
        <w:tc>
          <w:tcPr>
            <w:tcW w:w="1539" w:type="dxa"/>
            <w:vAlign w:val="center"/>
          </w:tcPr>
          <w:p w:rsidR="001A69F7" w:rsidRPr="00095491" w:rsidRDefault="001A69F7" w:rsidP="005D62AE">
            <w:pPr>
              <w:pStyle w:val="TableText"/>
              <w:keepNext/>
            </w:pPr>
            <w:proofErr w:type="spellStart"/>
            <w:r w:rsidRPr="00095491">
              <w:t>PLS</w:t>
            </w:r>
            <w:r w:rsidRPr="00095491">
              <w:rPr>
                <w:vertAlign w:val="subscript"/>
              </w:rPr>
              <w:t>t</w:t>
            </w:r>
            <w:proofErr w:type="spellEnd"/>
          </w:p>
        </w:tc>
        <w:tc>
          <w:tcPr>
            <w:tcW w:w="8037" w:type="dxa"/>
          </w:tcPr>
          <w:p w:rsidR="001A69F7" w:rsidRPr="00095491" w:rsidRDefault="001A69F7" w:rsidP="005D62AE">
            <w:pPr>
              <w:pStyle w:val="TableText"/>
              <w:keepNext/>
              <w:jc w:val="left"/>
            </w:pPr>
            <w:r w:rsidRPr="00095491">
              <w:t>Binary variable reflecting when the TES system is operational</w:t>
            </w:r>
          </w:p>
        </w:tc>
      </w:tr>
      <w:tr w:rsidR="001A69F7" w:rsidRPr="00B828B0" w:rsidTr="005D62AE">
        <w:tc>
          <w:tcPr>
            <w:tcW w:w="1539" w:type="dxa"/>
            <w:vAlign w:val="center"/>
          </w:tcPr>
          <w:p w:rsidR="001A69F7" w:rsidRPr="00095491" w:rsidRDefault="001A69F7" w:rsidP="005D62AE">
            <w:pPr>
              <w:pStyle w:val="TableText"/>
              <w:keepNext/>
            </w:pPr>
            <w:r w:rsidRPr="00095491">
              <w:t>e</w:t>
            </w:r>
            <w:r w:rsidRPr="00095491">
              <w:rPr>
                <w:vertAlign w:val="subscript"/>
              </w:rPr>
              <w:t>t</w:t>
            </w:r>
          </w:p>
        </w:tc>
        <w:tc>
          <w:tcPr>
            <w:tcW w:w="8037" w:type="dxa"/>
          </w:tcPr>
          <w:p w:rsidR="001A69F7" w:rsidRPr="00095491" w:rsidRDefault="001A69F7" w:rsidP="005D62AE">
            <w:pPr>
              <w:pStyle w:val="TableText"/>
              <w:keepNext/>
              <w:jc w:val="left"/>
            </w:pPr>
            <w:r w:rsidRPr="00095491">
              <w:t>Error term</w:t>
            </w:r>
          </w:p>
        </w:tc>
      </w:tr>
    </w:tbl>
    <w:p w:rsidR="0004351B" w:rsidRDefault="00B77DA2" w:rsidP="007E3AFA">
      <w:pPr>
        <w:pStyle w:val="BodyParaAfterTableFigure"/>
        <w:rPr>
          <w:rFonts w:cs="Arial"/>
        </w:rPr>
      </w:pPr>
      <w:r w:rsidRPr="00A3759A">
        <w:t xml:space="preserve">To estimate the 2016 ex post load impacts, </w:t>
      </w:r>
      <w:r w:rsidR="00121357">
        <w:t>a</w:t>
      </w:r>
      <w:r w:rsidRPr="00A3759A">
        <w:t xml:space="preserve"> regression model </w:t>
      </w:r>
      <w:r w:rsidR="00121357">
        <w:t xml:space="preserve">such as the one </w:t>
      </w:r>
      <w:r w:rsidRPr="00A3759A">
        <w:t>specified in the above equation was applied to premise meter data from 201</w:t>
      </w:r>
      <w:r w:rsidR="00121357">
        <w:t>7</w:t>
      </w:r>
      <w:r w:rsidRPr="00A3759A">
        <w:t>, specifically to the summer months (</w:t>
      </w:r>
      <w:r w:rsidRPr="00A3759A">
        <w:rPr>
          <w:rFonts w:eastAsia="Times New Roman"/>
        </w:rPr>
        <w:t>June 1</w:t>
      </w:r>
      <w:r w:rsidRPr="00A3759A">
        <w:t>–</w:t>
      </w:r>
      <w:r w:rsidRPr="00A3759A">
        <w:rPr>
          <w:rFonts w:eastAsia="Times New Roman"/>
        </w:rPr>
        <w:t xml:space="preserve">September 30) the customer </w:t>
      </w:r>
      <w:r w:rsidR="008D2EB3">
        <w:rPr>
          <w:rFonts w:eastAsia="Times New Roman"/>
        </w:rPr>
        <w:t>wa</w:t>
      </w:r>
      <w:r w:rsidRPr="00A3759A">
        <w:rPr>
          <w:rFonts w:eastAsia="Times New Roman"/>
        </w:rPr>
        <w:t xml:space="preserve">s required to shift load. </w:t>
      </w:r>
      <w:r w:rsidR="009F033B" w:rsidRPr="00A3759A">
        <w:t>Nexant conducted an additional analysis to refine the base temperature used to calculate the cooling degree day and cooling degree hour variables. Based on the results of testing the correlation between several base temperatures (50</w:t>
      </w:r>
      <w:r w:rsidR="009F033B" w:rsidRPr="00A3759A">
        <w:rPr>
          <w:rFonts w:cs="Arial"/>
        </w:rPr>
        <w:t>°F</w:t>
      </w:r>
      <w:r w:rsidR="009F033B" w:rsidRPr="00A3759A">
        <w:t xml:space="preserve"> to 70</w:t>
      </w:r>
      <w:r w:rsidR="009F033B" w:rsidRPr="00A3759A">
        <w:rPr>
          <w:rFonts w:cs="Arial"/>
        </w:rPr>
        <w:t>°F in increments of five degrees) and pre-installation period load data</w:t>
      </w:r>
      <w:r w:rsidR="00FB2D75" w:rsidRPr="00A3759A">
        <w:rPr>
          <w:rFonts w:cs="Arial"/>
        </w:rPr>
        <w:t>, a base temperature of 60°F was chosen for both</w:t>
      </w:r>
      <w:r w:rsidR="009F033B" w:rsidRPr="00A3759A">
        <w:t xml:space="preserve"> </w:t>
      </w:r>
      <w:r w:rsidR="00FB2D75" w:rsidRPr="00A3759A">
        <w:t>cooling degree days and cooling degree hours, compared to the base temperature of 55</w:t>
      </w:r>
      <w:r w:rsidR="00FB2D75" w:rsidRPr="00A3759A">
        <w:rPr>
          <w:rFonts w:cs="Arial"/>
        </w:rPr>
        <w:t>°F used in the 2015 evaluation.</w:t>
      </w:r>
    </w:p>
    <w:p w:rsidR="009228ED" w:rsidRDefault="009228ED" w:rsidP="009228ED">
      <w:pPr>
        <w:pStyle w:val="Heading2"/>
      </w:pPr>
      <w:bookmarkStart w:id="21" w:name="_Ref503786233"/>
      <w:bookmarkStart w:id="22" w:name="_Toc507085045"/>
      <w:r>
        <w:t>SDG&amp;E Ex Post Model Selection</w:t>
      </w:r>
      <w:bookmarkEnd w:id="21"/>
      <w:bookmarkEnd w:id="22"/>
    </w:p>
    <w:p w:rsidR="00A43E77" w:rsidRDefault="00A43E77" w:rsidP="009228ED">
      <w:pPr>
        <w:pStyle w:val="BodyParagraph"/>
      </w:pPr>
      <w:r>
        <w:t xml:space="preserve">This year, SDG&amp;E had three </w:t>
      </w:r>
      <w:r w:rsidR="00DA6435">
        <w:t xml:space="preserve">operational </w:t>
      </w:r>
      <w:r>
        <w:t>customers enrolled in the PLS program.  Each customer was analyzed separately</w:t>
      </w:r>
      <w:r w:rsidR="002B032E">
        <w:t xml:space="preserve"> using a different methodology</w:t>
      </w:r>
      <w:r>
        <w:t xml:space="preserve"> and then the results of the three analyses were combined.</w:t>
      </w:r>
      <w:r w:rsidR="002B032E">
        <w:t xml:space="preserve">  </w:t>
      </w:r>
    </w:p>
    <w:p w:rsidR="009228ED" w:rsidRDefault="00A43E77" w:rsidP="009228ED">
      <w:pPr>
        <w:pStyle w:val="BodyParagraph"/>
      </w:pPr>
      <w:r>
        <w:t xml:space="preserve">The first customer was analyzed last year after the April 1 filing and presented several data problems.  </w:t>
      </w:r>
      <w:r w:rsidR="009228ED">
        <w:t xml:space="preserve">After determining that there was no change in </w:t>
      </w:r>
      <w:r>
        <w:t>the customer’s status</w:t>
      </w:r>
      <w:r w:rsidR="009228ED">
        <w:t xml:space="preserve"> from the previous year, Nexant used the same methodology as last year to estimate the ex post impacts for </w:t>
      </w:r>
      <w:r>
        <w:t>its first customer, outlined below.</w:t>
      </w:r>
    </w:p>
    <w:p w:rsidR="009228ED" w:rsidRDefault="009228ED" w:rsidP="009228ED">
      <w:pPr>
        <w:pStyle w:val="BodyParagraph"/>
      </w:pPr>
      <w:r>
        <w:t xml:space="preserve">The </w:t>
      </w:r>
      <w:r w:rsidR="00A43E77">
        <w:t>first customer’s</w:t>
      </w:r>
      <w:r>
        <w:t xml:space="preserve"> installation in SDG&amp;E’s territory presented several challenges to estimating ex post impacts. Records from SDG&amp;E indicate the building with the TES installation changed owners or tenants around the time of the installation. This makes it difficult to find pre-installation data that can be used to generate a reference loads for comparison with observed premise meter data during the post-installation period. Additionally, the building is only partially occupied, so the TES system is not being run at full capacity. This makes it difficult to detect the PLS signature in the premise meter data, as the TES system is being run below the maximum incentivized capacity of </w:t>
      </w:r>
      <w:r w:rsidRPr="001E3E5F">
        <w:t>306</w:t>
      </w:r>
      <w:r>
        <w:t xml:space="preserve"> kW. In this situation where the PLS signature is small relative to the base load, it is ideal to use operational data directly from TES system; however, the building conducts classified</w:t>
      </w:r>
      <w:r>
        <w:rPr>
          <w:rStyle w:val="FootnoteReference"/>
        </w:rPr>
        <w:footnoteReference w:id="12"/>
      </w:r>
      <w:r>
        <w:t xml:space="preserve"> activities, which limited the access of the third-party contractor to collect operational data and conduct operational tests. </w:t>
      </w:r>
    </w:p>
    <w:p w:rsidR="009228ED" w:rsidRDefault="009228ED" w:rsidP="009228ED">
      <w:pPr>
        <w:pStyle w:val="BodyParagraph"/>
      </w:pPr>
      <w:r>
        <w:t>In order to demonstrate system performance and calculate the final incentive amount for this customer, the third-party contractor ran the fully charged TES system to depletion on two test days, June 8 and June 9, 2016, and recorded the total ton-hours.</w:t>
      </w:r>
      <w:r>
        <w:rPr>
          <w:rStyle w:val="FootnoteReference"/>
        </w:rPr>
        <w:footnoteReference w:id="13"/>
      </w:r>
      <w:r>
        <w:t xml:space="preserve"> The total ton-hours were </w:t>
      </w:r>
      <w:r>
        <w:lastRenderedPageBreak/>
        <w:t xml:space="preserve">divided by the seven hour load-shifting period (11 AM to 6 PM) to calculate the average tons the TES system would shift during the on-peak period. The maximum average on-peak tons measured over the two test days was </w:t>
      </w:r>
      <w:r w:rsidRPr="001E3E5F">
        <w:t>255</w:t>
      </w:r>
      <w:r>
        <w:t xml:space="preserve"> tons, or </w:t>
      </w:r>
      <w:r w:rsidRPr="001E3E5F">
        <w:t>306</w:t>
      </w:r>
      <w:r>
        <w:t xml:space="preserve"> kW (</w:t>
      </w:r>
      <w:r w:rsidRPr="001E3E5F">
        <w:t>255 tons * 1.2 kW/ton = 306</w:t>
      </w:r>
      <w:r>
        <w:t xml:space="preserve">). </w:t>
      </w:r>
    </w:p>
    <w:p w:rsidR="009228ED" w:rsidRDefault="009228ED" w:rsidP="009228ED">
      <w:pPr>
        <w:pStyle w:val="BodyParagraph"/>
      </w:pPr>
      <w:r>
        <w:t>Given the TES system’s small signature in the premise meter data, the lack of pre-installation premise data for the current customer, and the lack of operational data, Nexant identified approximately 10 proxy days each from June 2014 and non-test days in June 2016 based on similar weather conditions. Proxy days were selected based on their similarity to each test day based on mean17, overnight cooling degree hour (CDH),</w:t>
      </w:r>
      <w:r>
        <w:rPr>
          <w:rStyle w:val="FootnoteReference"/>
        </w:rPr>
        <w:footnoteReference w:id="14"/>
      </w:r>
      <w:r>
        <w:t xml:space="preserve"> and cooling degree day (CDD).</w:t>
      </w:r>
      <w:r>
        <w:rPr>
          <w:rStyle w:val="FootnoteReference"/>
        </w:rPr>
        <w:footnoteReference w:id="15"/>
      </w:r>
      <w:r>
        <w:t xml:space="preserve"> A simple propensity score model was used to calculate the likelihood that a proxy day had the same weather conditions as the test days. The model was run separately for each test day and </w:t>
      </w:r>
      <w:proofErr w:type="gramStart"/>
      <w:r>
        <w:t>each weather</w:t>
      </w:r>
      <w:proofErr w:type="gramEnd"/>
      <w:r>
        <w:t xml:space="preserve"> metric. Each run identified up to 10 nearest neighbor matches from the group of weekdays in June 2014 and the non-test weekdays in June 2016. The final 2014 and 2016 proxy days were selected if the day was identified as a top ten match across two of the three weather metrics. </w:t>
      </w:r>
      <w:r w:rsidRPr="001E3E5F">
        <w:fldChar w:fldCharType="begin"/>
      </w:r>
      <w:r w:rsidRPr="001E3E5F">
        <w:instrText xml:space="preserve"> REF _Ref483494897 \h </w:instrText>
      </w:r>
      <w:r w:rsidR="001E3E5F">
        <w:instrText xml:space="preserve"> \* MERGEFORMAT </w:instrText>
      </w:r>
      <w:r w:rsidRPr="001E3E5F">
        <w:fldChar w:fldCharType="separate"/>
      </w:r>
      <w:r w:rsidR="001F391A" w:rsidRPr="001E3E5F">
        <w:t xml:space="preserve">Figure </w:t>
      </w:r>
      <w:r w:rsidR="001F391A" w:rsidRPr="001E3E5F">
        <w:rPr>
          <w:noProof/>
        </w:rPr>
        <w:t>2</w:t>
      </w:r>
      <w:r w:rsidR="001F391A" w:rsidRPr="001E3E5F">
        <w:noBreakHyphen/>
      </w:r>
      <w:r w:rsidR="001F391A" w:rsidRPr="001E3E5F">
        <w:rPr>
          <w:noProof/>
        </w:rPr>
        <w:t>1</w:t>
      </w:r>
      <w:r w:rsidRPr="001E3E5F">
        <w:fldChar w:fldCharType="end"/>
      </w:r>
      <w:r>
        <w:t xml:space="preserve"> shows a side-by-side comparison of the average 2014 and 2016 proxy day loads with the observed load on the June 8 test day</w:t>
      </w:r>
      <w:r w:rsidRPr="001E3E5F">
        <w:t xml:space="preserve">. </w:t>
      </w:r>
      <w:r w:rsidRPr="001E3E5F">
        <w:fldChar w:fldCharType="begin"/>
      </w:r>
      <w:r w:rsidRPr="001E3E5F">
        <w:instrText xml:space="preserve"> REF _Ref483494972 \h </w:instrText>
      </w:r>
      <w:r w:rsidR="001E3E5F">
        <w:instrText xml:space="preserve"> \* MERGEFORMAT </w:instrText>
      </w:r>
      <w:r w:rsidRPr="001E3E5F">
        <w:fldChar w:fldCharType="separate"/>
      </w:r>
      <w:r w:rsidR="001F391A" w:rsidRPr="001E3E5F">
        <w:t xml:space="preserve">Figure </w:t>
      </w:r>
      <w:r w:rsidR="001F391A" w:rsidRPr="001E3E5F">
        <w:rPr>
          <w:noProof/>
        </w:rPr>
        <w:t>2</w:t>
      </w:r>
      <w:r w:rsidR="001F391A" w:rsidRPr="001E3E5F">
        <w:noBreakHyphen/>
      </w:r>
      <w:r w:rsidR="001F391A" w:rsidRPr="001E3E5F">
        <w:rPr>
          <w:noProof/>
        </w:rPr>
        <w:t>2</w:t>
      </w:r>
      <w:r w:rsidRPr="001E3E5F">
        <w:fldChar w:fldCharType="end"/>
      </w:r>
      <w:r>
        <w:t xml:space="preserve"> shows the same set of graphs for the June 9 test day. </w:t>
      </w:r>
    </w:p>
    <w:p w:rsidR="009228ED" w:rsidRPr="001E3E5F" w:rsidRDefault="009228ED" w:rsidP="009228ED">
      <w:pPr>
        <w:pStyle w:val="Caption"/>
        <w:contextualSpacing/>
      </w:pPr>
      <w:bookmarkStart w:id="23" w:name="_Ref483494897"/>
      <w:r w:rsidRPr="001E3E5F">
        <w:t xml:space="preserve">Figure </w:t>
      </w:r>
      <w:fldSimple w:instr=" STYLEREF 1 \s ">
        <w:r w:rsidR="001F391A" w:rsidRPr="001E3E5F">
          <w:rPr>
            <w:noProof/>
          </w:rPr>
          <w:t>2</w:t>
        </w:r>
      </w:fldSimple>
      <w:r w:rsidRPr="001E3E5F">
        <w:noBreakHyphen/>
      </w:r>
      <w:fldSimple w:instr=" SEQ Figure \* ARABIC \s 1 ">
        <w:r w:rsidR="001F391A" w:rsidRPr="001E3E5F">
          <w:rPr>
            <w:noProof/>
          </w:rPr>
          <w:t>1</w:t>
        </w:r>
      </w:fldSimple>
      <w:bookmarkEnd w:id="23"/>
      <w:r w:rsidRPr="001E3E5F">
        <w:t xml:space="preserve">: Average 2014 and 2016 June Proxy Days and Observed Load – </w:t>
      </w:r>
    </w:p>
    <w:p w:rsidR="009228ED" w:rsidRDefault="009228ED" w:rsidP="009228ED">
      <w:pPr>
        <w:pStyle w:val="Caption"/>
      </w:pPr>
      <w:r w:rsidRPr="001E3E5F">
        <w:t>June 8, 2016 Test Day</w:t>
      </w:r>
      <w:r>
        <w:t xml:space="preserve">  </w:t>
      </w:r>
    </w:p>
    <w:p w:rsidR="009228ED" w:rsidRPr="00C775A6" w:rsidRDefault="009228ED" w:rsidP="00A43E77">
      <w:pPr>
        <w:jc w:val="center"/>
      </w:pPr>
      <w:r w:rsidRPr="00DA6435">
        <w:rPr>
          <w:noProof/>
        </w:rPr>
        <w:drawing>
          <wp:inline distT="0" distB="0" distL="0" distR="0" wp14:anchorId="2BB50373" wp14:editId="5A5223EC">
            <wp:extent cx="5848350" cy="2108054"/>
            <wp:effectExtent l="0" t="0" r="0" b="698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0006" cy="2108651"/>
                    </a:xfrm>
                    <a:prstGeom prst="rect">
                      <a:avLst/>
                    </a:prstGeom>
                    <a:noFill/>
                  </pic:spPr>
                </pic:pic>
              </a:graphicData>
            </a:graphic>
          </wp:inline>
        </w:drawing>
      </w:r>
    </w:p>
    <w:p w:rsidR="009228ED" w:rsidRPr="001E3E5F" w:rsidRDefault="009228ED" w:rsidP="009228ED">
      <w:pPr>
        <w:pStyle w:val="Caption"/>
        <w:contextualSpacing/>
      </w:pPr>
      <w:bookmarkStart w:id="24" w:name="_Ref483494972"/>
      <w:r w:rsidRPr="001E3E5F">
        <w:lastRenderedPageBreak/>
        <w:t xml:space="preserve">Figure </w:t>
      </w:r>
      <w:fldSimple w:instr=" STYLEREF 1 \s ">
        <w:r w:rsidR="001F391A" w:rsidRPr="001E3E5F">
          <w:rPr>
            <w:noProof/>
          </w:rPr>
          <w:t>2</w:t>
        </w:r>
      </w:fldSimple>
      <w:r w:rsidRPr="001E3E5F">
        <w:noBreakHyphen/>
      </w:r>
      <w:fldSimple w:instr=" SEQ Figure \* ARABIC \s 1 ">
        <w:r w:rsidR="001F391A" w:rsidRPr="001E3E5F">
          <w:rPr>
            <w:noProof/>
          </w:rPr>
          <w:t>2</w:t>
        </w:r>
      </w:fldSimple>
      <w:bookmarkEnd w:id="24"/>
      <w:r w:rsidRPr="001E3E5F">
        <w:t xml:space="preserve">: Average 2014 and 2016 June Proxy Days and Observed Load – </w:t>
      </w:r>
    </w:p>
    <w:p w:rsidR="009228ED" w:rsidRDefault="009228ED" w:rsidP="009228ED">
      <w:pPr>
        <w:pStyle w:val="Caption"/>
      </w:pPr>
      <w:r w:rsidRPr="001E3E5F">
        <w:t>June 9, 2016 Test Day</w:t>
      </w:r>
      <w:r>
        <w:t xml:space="preserve">  </w:t>
      </w:r>
    </w:p>
    <w:p w:rsidR="009228ED" w:rsidRPr="00C775A6" w:rsidRDefault="009228ED" w:rsidP="009228ED">
      <w:pPr>
        <w:pStyle w:val="Caption"/>
      </w:pPr>
      <w:r w:rsidRPr="00DA6435">
        <w:rPr>
          <w:noProof/>
        </w:rPr>
        <w:drawing>
          <wp:inline distT="0" distB="0" distL="0" distR="0" wp14:anchorId="1C390A13" wp14:editId="53443F9C">
            <wp:extent cx="5949950" cy="214293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1635" cy="2143537"/>
                    </a:xfrm>
                    <a:prstGeom prst="rect">
                      <a:avLst/>
                    </a:prstGeom>
                    <a:noFill/>
                  </pic:spPr>
                </pic:pic>
              </a:graphicData>
            </a:graphic>
          </wp:inline>
        </w:drawing>
      </w:r>
    </w:p>
    <w:p w:rsidR="009228ED" w:rsidRDefault="009228ED" w:rsidP="009228ED">
      <w:r>
        <w:t xml:space="preserve">The difference between the reference and observed loads using the average 2014 and 2016 proxy days represent the upper and lower bounds of the load shift, respectively. The range for the average on-peak shift for the June 8 test day is </w:t>
      </w:r>
      <w:r w:rsidRPr="001E3E5F">
        <w:t>146.3</w:t>
      </w:r>
      <w:r>
        <w:t xml:space="preserve"> kW to </w:t>
      </w:r>
      <w:r w:rsidRPr="001E3E5F">
        <w:t>384</w:t>
      </w:r>
      <w:r>
        <w:t xml:space="preserve"> kW and </w:t>
      </w:r>
      <w:r w:rsidRPr="001E3E5F">
        <w:t>129.5</w:t>
      </w:r>
      <w:r>
        <w:t xml:space="preserve"> kW to </w:t>
      </w:r>
      <w:r w:rsidRPr="001E3E5F">
        <w:t>369.5</w:t>
      </w:r>
      <w:r>
        <w:t xml:space="preserve"> kW for the June 9 test day. </w:t>
      </w:r>
    </w:p>
    <w:p w:rsidR="009228ED" w:rsidRDefault="009228ED" w:rsidP="009228ED">
      <w:r>
        <w:t xml:space="preserve">The reference load for the average 2014 proxy day is assumed to represent the pre-installation load for the current customer if the building were fully occupied. Given the similarity in load shapes during the off-peak periods for the test days and 2014 proxy days, it is reasonable to assume that the 2014 proxy days represent the typical pre-installation premise loads for the current customer. The 2016 proxy days were selected to generate a lower bound on the impact estimates. Since the customer is not currently running the TES system to its full capacity, it is reasonable to assume that the load on similar, non-test days represent the typical load profile for the customer under the limited occupancy conditions. </w:t>
      </w:r>
    </w:p>
    <w:p w:rsidR="00A43E77" w:rsidRPr="00C775A6" w:rsidRDefault="009228ED" w:rsidP="009228ED">
      <w:r>
        <w:t xml:space="preserve">The final ex post impact is calculated using the average of the 2014 and 2016 proxy day loads for each test day and for an average test day. </w:t>
      </w:r>
    </w:p>
    <w:p w:rsidR="009228ED" w:rsidRDefault="0069339F" w:rsidP="00DA6435">
      <w:pPr>
        <w:pStyle w:val="BodyParagraph"/>
        <w:rPr>
          <w:rFonts w:cs="Arial"/>
          <w:szCs w:val="20"/>
        </w:rPr>
      </w:pPr>
      <w:r>
        <w:rPr>
          <w:rFonts w:cs="Arial"/>
          <w:szCs w:val="20"/>
        </w:rPr>
        <w:t>For the second</w:t>
      </w:r>
      <w:r w:rsidR="00121357">
        <w:rPr>
          <w:rFonts w:cs="Arial"/>
          <w:szCs w:val="20"/>
        </w:rPr>
        <w:t xml:space="preserve"> and third</w:t>
      </w:r>
      <w:r>
        <w:rPr>
          <w:rFonts w:cs="Arial"/>
          <w:szCs w:val="20"/>
        </w:rPr>
        <w:t xml:space="preserve"> customer’s installation a</w:t>
      </w:r>
      <w:r w:rsidR="009228ED" w:rsidRPr="00095491">
        <w:rPr>
          <w:rFonts w:cs="Arial"/>
          <w:szCs w:val="20"/>
        </w:rPr>
        <w:t xml:space="preserve"> regression model was used to estimate the relationship between premise level hourly load data for the customer with the operational TES system and several explanatory variables expected to influence the load such as the temperature, time of day, day of the week, month, season, and year.</w:t>
      </w:r>
    </w:p>
    <w:p w:rsidR="00121357" w:rsidRDefault="009228ED" w:rsidP="009228ED">
      <w:pPr>
        <w:pStyle w:val="BodyParagraph"/>
        <w:rPr>
          <w:rFonts w:cs="Arial"/>
          <w:szCs w:val="20"/>
        </w:rPr>
      </w:pPr>
      <w:r>
        <w:rPr>
          <w:rFonts w:cs="Arial"/>
          <w:szCs w:val="20"/>
        </w:rPr>
        <w:t xml:space="preserve">To construct the model for </w:t>
      </w:r>
      <w:r w:rsidR="002B032E">
        <w:rPr>
          <w:rFonts w:cs="Arial"/>
          <w:szCs w:val="20"/>
        </w:rPr>
        <w:t xml:space="preserve">the </w:t>
      </w:r>
      <w:r w:rsidR="00121357">
        <w:rPr>
          <w:rFonts w:cs="Arial"/>
          <w:szCs w:val="20"/>
        </w:rPr>
        <w:t>second customer,</w:t>
      </w:r>
      <w:r>
        <w:rPr>
          <w:rFonts w:cs="Arial"/>
          <w:szCs w:val="20"/>
        </w:rPr>
        <w:t xml:space="preserve"> </w:t>
      </w:r>
      <w:r w:rsidR="00121357">
        <w:rPr>
          <w:rFonts w:cs="Arial"/>
          <w:szCs w:val="20"/>
        </w:rPr>
        <w:t>at least four</w:t>
      </w:r>
      <w:r w:rsidRPr="00095491">
        <w:rPr>
          <w:rFonts w:cs="Arial"/>
          <w:szCs w:val="20"/>
        </w:rPr>
        <w:t xml:space="preserve"> years of </w:t>
      </w:r>
      <w:r w:rsidR="00121357">
        <w:rPr>
          <w:rFonts w:cs="Arial"/>
          <w:szCs w:val="20"/>
        </w:rPr>
        <w:t xml:space="preserve">premise-level </w:t>
      </w:r>
      <w:r w:rsidRPr="00095491">
        <w:rPr>
          <w:rFonts w:cs="Arial"/>
          <w:szCs w:val="20"/>
        </w:rPr>
        <w:t xml:space="preserve">data were used </w:t>
      </w:r>
      <w:r>
        <w:rPr>
          <w:rFonts w:cs="Arial"/>
          <w:szCs w:val="20"/>
        </w:rPr>
        <w:t xml:space="preserve">for </w:t>
      </w:r>
      <w:r w:rsidR="0069339F">
        <w:rPr>
          <w:rFonts w:cs="Arial"/>
          <w:szCs w:val="20"/>
        </w:rPr>
        <w:t>estimation</w:t>
      </w:r>
      <w:r>
        <w:rPr>
          <w:rFonts w:cs="Arial"/>
          <w:szCs w:val="20"/>
        </w:rPr>
        <w:t xml:space="preserve">. The </w:t>
      </w:r>
      <w:r w:rsidR="00121357">
        <w:rPr>
          <w:rFonts w:cs="Arial"/>
          <w:szCs w:val="20"/>
        </w:rPr>
        <w:t xml:space="preserve">first </w:t>
      </w:r>
      <w:r>
        <w:rPr>
          <w:rFonts w:cs="Arial"/>
          <w:szCs w:val="20"/>
        </w:rPr>
        <w:t>site became operational between January and May 2016</w:t>
      </w:r>
      <w:r w:rsidRPr="00095491">
        <w:rPr>
          <w:rFonts w:cs="Arial"/>
          <w:szCs w:val="20"/>
        </w:rPr>
        <w:t xml:space="preserve">, resulting in approximately two years of pre-TES installation data and </w:t>
      </w:r>
      <w:r>
        <w:rPr>
          <w:rFonts w:cs="Arial"/>
          <w:szCs w:val="20"/>
        </w:rPr>
        <w:t>two years</w:t>
      </w:r>
      <w:r w:rsidR="00DA6435">
        <w:rPr>
          <w:rFonts w:cs="Arial"/>
          <w:szCs w:val="20"/>
        </w:rPr>
        <w:t xml:space="preserve"> </w:t>
      </w:r>
      <w:r w:rsidRPr="00095491">
        <w:rPr>
          <w:rFonts w:cs="Arial"/>
          <w:szCs w:val="20"/>
        </w:rPr>
        <w:t xml:space="preserve">of post-TES installation data. </w:t>
      </w:r>
      <w:r>
        <w:rPr>
          <w:rFonts w:cs="Arial"/>
          <w:szCs w:val="20"/>
        </w:rPr>
        <w:t>The time from January 2016 through May 2016</w:t>
      </w:r>
      <w:r w:rsidRPr="00095491">
        <w:rPr>
          <w:rFonts w:cs="Arial"/>
          <w:szCs w:val="20"/>
        </w:rPr>
        <w:t xml:space="preserve"> was excluded from the analysis to allow for the installation and testing period to not influence model estimation. </w:t>
      </w:r>
    </w:p>
    <w:p w:rsidR="00121357" w:rsidRDefault="00121357" w:rsidP="00121357">
      <w:pPr>
        <w:pStyle w:val="BodyParagraph"/>
      </w:pPr>
      <w:r>
        <w:t xml:space="preserve">For the third customer, Nexant was unable to use premise-level data for the ex post analysis because additional buildings had been added after the time of the pre-installation data, and therefore the load shape had changed too much to separate out the impact of the PLS system.  </w:t>
      </w:r>
      <w:r>
        <w:lastRenderedPageBreak/>
        <w:t xml:space="preserve">Because of this, Nexant used operational data for the analysis.  This means that the aggregate impact of the PLS system includes both premise-level data and end-use data, and so the percent impact of the PLS system is not </w:t>
      </w:r>
      <w:r w:rsidR="00AE1DE7">
        <w:t>well defined</w:t>
      </w:r>
      <w:r>
        <w:t xml:space="preserve"> because the data type is not consistent across all three sites.</w:t>
      </w:r>
    </w:p>
    <w:p w:rsidR="00121357" w:rsidRDefault="00121357" w:rsidP="00121357">
      <w:pPr>
        <w:pStyle w:val="BodyParagraph"/>
      </w:pPr>
      <w:r>
        <w:t>The operational data for SDGE’s third customer</w:t>
      </w:r>
      <w:r w:rsidRPr="00C32205">
        <w:t xml:space="preserve"> presented several data challenges.  Pre-installation data indicated that the cooling system had three chillers, but one of the chillers was not being used at full capacity during the 2012-2013 time </w:t>
      </w:r>
      <w:proofErr w:type="gramStart"/>
      <w:r w:rsidRPr="00C32205">
        <w:t>interval</w:t>
      </w:r>
      <w:proofErr w:type="gramEnd"/>
      <w:r w:rsidRPr="00C32205">
        <w:t xml:space="preserve"> in which Nexant was provided with pre-installation data.  To ensure only the PLS system impact was captured in the analysis, Nexant excluded the third chiller from the analysis, since its use had changed independently of the installation of the PLS system.  Nexant was also provided with auxiliary load in pre-installation data, but not in the post-installation data, and so was not able to include auxiliary data in the analysis.  Therefore, Nexant analyzed the impact of the PLS system on two of the customer’s chillers.  The chiller load was given the same treatment as premise-level load in the model selection and analysis.</w:t>
      </w:r>
    </w:p>
    <w:p w:rsidR="00121357" w:rsidRPr="00C32205" w:rsidRDefault="00121357" w:rsidP="00121357">
      <w:pPr>
        <w:pStyle w:val="BodyParagraph"/>
      </w:pPr>
      <w:r>
        <w:t xml:space="preserve">The customer’s operational data for July also only included five days that could be used for analysis.  Of these five days, two days had a significantly higher load than all other post-operational data provided.  In order to prevent these outliers from influencing the monthly predictions in the ex </w:t>
      </w:r>
      <w:r w:rsidR="00AE1DE7">
        <w:t>ante analysis,</w:t>
      </w:r>
      <w:r>
        <w:t xml:space="preserve"> </w:t>
      </w:r>
      <w:proofErr w:type="spellStart"/>
      <w:r>
        <w:t>Nexant</w:t>
      </w:r>
      <w:proofErr w:type="spellEnd"/>
      <w:r>
        <w:t xml:space="preserve"> created a model that estimated impacts without </w:t>
      </w:r>
      <w:r w:rsidR="00AE1DE7">
        <w:t>including</w:t>
      </w:r>
      <w:r>
        <w:t xml:space="preserve"> the month as a variable.  </w:t>
      </w:r>
    </w:p>
    <w:p w:rsidR="00121357" w:rsidRDefault="00121357" w:rsidP="00121357">
      <w:pPr>
        <w:pStyle w:val="BodyParagraph"/>
        <w:rPr>
          <w:rFonts w:cs="Arial"/>
          <w:szCs w:val="20"/>
        </w:rPr>
      </w:pPr>
      <w:r>
        <w:rPr>
          <w:rFonts w:cs="Arial"/>
          <w:szCs w:val="20"/>
        </w:rPr>
        <w:t>To construct the model for the third customer, twelve months</w:t>
      </w:r>
      <w:r w:rsidRPr="00095491">
        <w:rPr>
          <w:rFonts w:cs="Arial"/>
          <w:szCs w:val="20"/>
        </w:rPr>
        <w:t xml:space="preserve"> of data were used </w:t>
      </w:r>
      <w:r>
        <w:rPr>
          <w:rFonts w:cs="Arial"/>
          <w:szCs w:val="20"/>
        </w:rPr>
        <w:t xml:space="preserve">for estimation—April 2012 </w:t>
      </w:r>
      <w:r w:rsidRPr="00095491">
        <w:rPr>
          <w:rFonts w:cs="Arial"/>
          <w:szCs w:val="20"/>
        </w:rPr>
        <w:t xml:space="preserve">through </w:t>
      </w:r>
      <w:r>
        <w:rPr>
          <w:rFonts w:cs="Arial"/>
          <w:szCs w:val="20"/>
        </w:rPr>
        <w:t>July 2012, April 2013 through July 2013, and April 2017 through July 2017.  The other months were excluded from the analysis because Nexant did not receive post-in</w:t>
      </w:r>
      <w:r w:rsidR="000079C4">
        <w:rPr>
          <w:rFonts w:cs="Arial"/>
          <w:szCs w:val="20"/>
        </w:rPr>
        <w:t>s</w:t>
      </w:r>
      <w:r>
        <w:rPr>
          <w:rFonts w:cs="Arial"/>
          <w:szCs w:val="20"/>
        </w:rPr>
        <w:t>tallation data for the other months. The site became operational October 2016</w:t>
      </w:r>
      <w:r w:rsidRPr="00095491">
        <w:rPr>
          <w:rFonts w:cs="Arial"/>
          <w:szCs w:val="20"/>
        </w:rPr>
        <w:t xml:space="preserve">, resulting in approximately </w:t>
      </w:r>
      <w:r>
        <w:rPr>
          <w:rFonts w:cs="Arial"/>
          <w:szCs w:val="20"/>
        </w:rPr>
        <w:t>eight months</w:t>
      </w:r>
      <w:r w:rsidRPr="00095491">
        <w:rPr>
          <w:rFonts w:cs="Arial"/>
          <w:szCs w:val="20"/>
        </w:rPr>
        <w:t xml:space="preserve"> of pre-TES installation data and </w:t>
      </w:r>
      <w:r>
        <w:rPr>
          <w:rFonts w:cs="Arial"/>
          <w:szCs w:val="20"/>
        </w:rPr>
        <w:t>four months of</w:t>
      </w:r>
      <w:r w:rsidRPr="00095491">
        <w:rPr>
          <w:rFonts w:cs="Arial"/>
          <w:szCs w:val="20"/>
        </w:rPr>
        <w:t xml:space="preserve"> post-TES installation data.</w:t>
      </w:r>
    </w:p>
    <w:p w:rsidR="009228ED" w:rsidRDefault="00121357" w:rsidP="009228ED">
      <w:pPr>
        <w:pStyle w:val="BodyParagraph"/>
      </w:pPr>
      <w:r>
        <w:rPr>
          <w:rFonts w:cs="Arial"/>
          <w:szCs w:val="20"/>
        </w:rPr>
        <w:t>For both customers, m</w:t>
      </w:r>
      <w:r w:rsidR="009228ED" w:rsidRPr="00095491">
        <w:rPr>
          <w:rFonts w:cs="Arial"/>
          <w:szCs w:val="20"/>
        </w:rPr>
        <w:t xml:space="preserve">any model specifications were systematically evaluated via out-of-sample testing, as discussed below, and the best performing model was used to estimate the relationship between the explanatory variables such as weather and time during the pre-TES installation period. The relationships estimated from the pre-TES installation period were then applied to the observed data—temperature and time related variables—in the post-TES installation period to forecast the reference load; or what we would have expected the customer’s load to be </w:t>
      </w:r>
      <w:r w:rsidR="009228ED" w:rsidRPr="00095491">
        <w:t>in the absence of TES under the specific weather conditions at that time. The load shift is then calculated as the difference between the</w:t>
      </w:r>
      <w:r w:rsidR="009228ED">
        <w:t> </w:t>
      </w:r>
      <w:r w:rsidR="009228ED" w:rsidRPr="00095491">
        <w:t xml:space="preserve">predicted reference load and the actual observed load for each hour. </w:t>
      </w:r>
    </w:p>
    <w:p w:rsidR="009228ED" w:rsidRPr="00095491" w:rsidRDefault="009228ED" w:rsidP="009228ED">
      <w:pPr>
        <w:pStyle w:val="BodyParagraph"/>
      </w:pPr>
      <w:r w:rsidRPr="00095491">
        <w:t xml:space="preserve">Impacts were calculated for every hour of every day in the post-TES installation period. However, the reporting of impacts is limited to the day types required by the load impact protocols—system peak days and the average weekday for each month—and the day with the largest estimated impact for each month. </w:t>
      </w:r>
    </w:p>
    <w:p w:rsidR="009228ED" w:rsidRPr="00095491" w:rsidRDefault="009228ED" w:rsidP="009228ED">
      <w:pPr>
        <w:pStyle w:val="BodyBeforeBullet"/>
      </w:pPr>
      <w:r w:rsidRPr="00095491">
        <w:t xml:space="preserve">The model selection process is summarized as follows: </w:t>
      </w:r>
    </w:p>
    <w:p w:rsidR="009228ED" w:rsidRPr="00095491" w:rsidRDefault="009228ED" w:rsidP="009228ED">
      <w:pPr>
        <w:pStyle w:val="Bullets"/>
        <w:numPr>
          <w:ilvl w:val="0"/>
          <w:numId w:val="31"/>
        </w:numPr>
        <w:tabs>
          <w:tab w:val="left" w:pos="630"/>
        </w:tabs>
        <w:ind w:left="360"/>
      </w:pPr>
      <w:r>
        <w:t>Identified 10 days from 201</w:t>
      </w:r>
      <w:r w:rsidR="00AE1DE7">
        <w:t>2</w:t>
      </w:r>
      <w:r>
        <w:t xml:space="preserve"> and 201</w:t>
      </w:r>
      <w:r w:rsidR="00AE1DE7">
        <w:t>3</w:t>
      </w:r>
      <w:r w:rsidRPr="00095491">
        <w:t xml:space="preserve"> (5 from each year) with the highest hourly load to use as peak load days prior to TES installation for out of sample testing.</w:t>
      </w:r>
    </w:p>
    <w:p w:rsidR="009228ED" w:rsidRPr="00095491" w:rsidRDefault="009228ED" w:rsidP="009228ED">
      <w:pPr>
        <w:pStyle w:val="Bullets"/>
        <w:numPr>
          <w:ilvl w:val="0"/>
          <w:numId w:val="31"/>
        </w:numPr>
        <w:tabs>
          <w:tab w:val="left" w:pos="630"/>
        </w:tabs>
        <w:ind w:left="360"/>
      </w:pPr>
      <w:r w:rsidRPr="00095491">
        <w:lastRenderedPageBreak/>
        <w:t>Estimated 28 different regression models and used them to predict out-of-sample for the peak load days identified in step 1. This allowed us to identify the regression model that produced the most accurate predictions for peak load days similar to when maximum load shifting is expected. The models vary with respect to how weather variables were defined and with the inclusion of time related variables such as day of the week, month, or season.</w:t>
      </w:r>
    </w:p>
    <w:p w:rsidR="009228ED" w:rsidRPr="00095491" w:rsidRDefault="009228ED" w:rsidP="009228ED">
      <w:pPr>
        <w:pStyle w:val="BulletLast"/>
        <w:numPr>
          <w:ilvl w:val="0"/>
          <w:numId w:val="31"/>
        </w:numPr>
        <w:tabs>
          <w:tab w:val="left" w:pos="630"/>
        </w:tabs>
        <w:ind w:left="360"/>
      </w:pPr>
      <w:r w:rsidRPr="00095491">
        <w:t xml:space="preserve">Selected the most accurate model specification based on out-of-sample testing metrics and used it to estimate the reference load after the TES system was installed. </w:t>
      </w:r>
    </w:p>
    <w:p w:rsidR="009228ED" w:rsidRPr="00095491" w:rsidRDefault="009228ED" w:rsidP="009228ED">
      <w:pPr>
        <w:pStyle w:val="BodyParagraph"/>
      </w:pPr>
      <w:r w:rsidRPr="00095491">
        <w:t xml:space="preserve">Nexant first developed a set of candidate models to test. A candidate model could vary based on its specification. The model specifications tested were carefully selected with a focus on load magnitude and shape under peak load conditions when maximum load shifting </w:t>
      </w:r>
      <w:r>
        <w:t>wa</w:t>
      </w:r>
      <w:r w:rsidRPr="00095491">
        <w:t>s expected to occur. The set of candidate models were evaluated using a cross-validation process that assesses the quality of the model based on how well it predicts for excluded peak</w:t>
      </w:r>
      <w:r>
        <w:t> </w:t>
      </w:r>
      <w:r w:rsidRPr="00095491">
        <w:t>load days that were not used to estimate the model. The rationale for such a strategy is</w:t>
      </w:r>
      <w:r>
        <w:t> </w:t>
      </w:r>
      <w:r w:rsidRPr="00095491">
        <w:t xml:space="preserve">that, if a model accurately predicts load on peak load days prior to TES installation, it is expected to provide an accurate counterfactual for expected load in the absence of a TES system, after that system is installed. </w:t>
      </w:r>
    </w:p>
    <w:p w:rsidR="009228ED" w:rsidRPr="00095491" w:rsidRDefault="009228ED" w:rsidP="009228ED">
      <w:pPr>
        <w:pStyle w:val="BodyParagraph"/>
      </w:pPr>
      <w:r w:rsidRPr="00095491">
        <w:t xml:space="preserve">A good model can be said to predict load accurately if it yields an unbiased and precise fit to that of the withheld peak load day. The evaluation used a quantitative model selection process that employs a method called </w:t>
      </w:r>
      <w:r w:rsidRPr="00095491">
        <w:rPr>
          <w:i/>
        </w:rPr>
        <w:t>leave one out cross validation</w:t>
      </w:r>
      <w:r w:rsidRPr="00095491">
        <w:t xml:space="preserve"> (LOOCV) over a set of peak load days. That set of days, as noted in step 1 above, is selected to be as similar as possible to days when a maximum load shift is expected. LOOCV is outlined below:</w:t>
      </w:r>
    </w:p>
    <w:p w:rsidR="009228ED" w:rsidRPr="00095491" w:rsidRDefault="009228ED" w:rsidP="009228ED">
      <w:pPr>
        <w:pStyle w:val="BodyParagraph"/>
        <w:numPr>
          <w:ilvl w:val="0"/>
          <w:numId w:val="32"/>
        </w:numPr>
        <w:spacing w:after="60"/>
        <w:ind w:left="630"/>
      </w:pPr>
      <w:r w:rsidRPr="00095491">
        <w:t xml:space="preserve">For each of the </w:t>
      </w:r>
      <m:oMath>
        <m:r>
          <w:rPr>
            <w:rFonts w:ascii="Cambria Math" w:hAnsi="Cambria Math"/>
          </w:rPr>
          <m:t>m</m:t>
        </m:r>
      </m:oMath>
      <w:r w:rsidRPr="00095491">
        <w:t xml:space="preserve"> candidate models, conduct LOOCV over peak load days:</w:t>
      </w:r>
    </w:p>
    <w:p w:rsidR="009228ED" w:rsidRPr="00095491" w:rsidRDefault="009228ED" w:rsidP="009228ED">
      <w:pPr>
        <w:pStyle w:val="BodyParagraph"/>
        <w:numPr>
          <w:ilvl w:val="1"/>
          <w:numId w:val="32"/>
        </w:numPr>
        <w:spacing w:after="60"/>
        <w:ind w:left="630"/>
      </w:pPr>
      <w:r w:rsidRPr="00095491">
        <w:t xml:space="preserve">For each of the </w:t>
      </w:r>
      <m:oMath>
        <m:r>
          <w:rPr>
            <w:rFonts w:ascii="Cambria Math" w:hAnsi="Cambria Math"/>
          </w:rPr>
          <m:t>n</m:t>
        </m:r>
      </m:oMath>
      <w:r w:rsidRPr="00095491">
        <w:t xml:space="preserve"> peak load days:</w:t>
      </w:r>
    </w:p>
    <w:p w:rsidR="009228ED" w:rsidRPr="00095491" w:rsidRDefault="009228ED" w:rsidP="009228ED">
      <w:pPr>
        <w:pStyle w:val="BodyParagraph"/>
        <w:numPr>
          <w:ilvl w:val="2"/>
          <w:numId w:val="32"/>
        </w:numPr>
        <w:spacing w:after="60"/>
        <w:ind w:left="630"/>
      </w:pPr>
      <w:r w:rsidRPr="00095491">
        <w:t>Develop explanatory variables using data from all peak load days except the</w:t>
      </w:r>
      <m:oMath>
        <m:r>
          <w:rPr>
            <w:rFonts w:ascii="Cambria Math" w:hAnsi="Cambria Math"/>
          </w:rPr>
          <m:t xml:space="preserve"> nth</m:t>
        </m:r>
      </m:oMath>
      <w:r w:rsidRPr="00095491">
        <w:t>;</w:t>
      </w:r>
    </w:p>
    <w:p w:rsidR="009228ED" w:rsidRPr="00095491" w:rsidRDefault="009228ED" w:rsidP="009228ED">
      <w:pPr>
        <w:pStyle w:val="BodyParagraph"/>
        <w:numPr>
          <w:ilvl w:val="2"/>
          <w:numId w:val="32"/>
        </w:numPr>
        <w:spacing w:after="60"/>
        <w:ind w:left="630"/>
      </w:pPr>
      <w:r w:rsidRPr="00095491">
        <w:t xml:space="preserve">Fit </w:t>
      </w:r>
      <m:oMath>
        <m:r>
          <w:rPr>
            <w:rFonts w:ascii="Cambria Math" w:hAnsi="Cambria Math"/>
          </w:rPr>
          <m:t>mth</m:t>
        </m:r>
      </m:oMath>
      <w:r w:rsidRPr="00095491">
        <w:t xml:space="preserve"> model using explanatory variables and predict load based on the observed characteristics of the</w:t>
      </w:r>
      <m:oMath>
        <m:r>
          <w:rPr>
            <w:rFonts w:ascii="Cambria Math" w:hAnsi="Cambria Math"/>
          </w:rPr>
          <m:t xml:space="preserve"> nth</m:t>
        </m:r>
      </m:oMath>
      <w:r w:rsidRPr="00095491">
        <w:t xml:space="preserve"> day;</w:t>
      </w:r>
    </w:p>
    <w:p w:rsidR="009228ED" w:rsidRPr="00095491" w:rsidRDefault="009228ED" w:rsidP="009228ED">
      <w:pPr>
        <w:pStyle w:val="BodyParagraph"/>
        <w:numPr>
          <w:ilvl w:val="2"/>
          <w:numId w:val="32"/>
        </w:numPr>
        <w:spacing w:after="60"/>
        <w:ind w:left="630"/>
      </w:pPr>
      <w:r w:rsidRPr="00095491">
        <w:t xml:space="preserve">Record predicted load and actual load on the </w:t>
      </w:r>
      <m:oMath>
        <m:r>
          <w:rPr>
            <w:rFonts w:ascii="Cambria Math" w:hAnsi="Cambria Math"/>
          </w:rPr>
          <m:t>nth</m:t>
        </m:r>
      </m:oMath>
      <w:r w:rsidRPr="00095491">
        <w:t xml:space="preserve"> peak load day not used to fit the model; and</w:t>
      </w:r>
    </w:p>
    <w:p w:rsidR="009228ED" w:rsidRPr="00095491" w:rsidRDefault="009228ED" w:rsidP="009228ED">
      <w:pPr>
        <w:pStyle w:val="BodyParagraph"/>
        <w:numPr>
          <w:ilvl w:val="0"/>
          <w:numId w:val="32"/>
        </w:numPr>
        <w:ind w:left="630"/>
      </w:pPr>
      <w:r w:rsidRPr="00095491">
        <w:t>Compute metrics to measure bias and goodness-of-fit for each model.</w:t>
      </w:r>
    </w:p>
    <w:p w:rsidR="00AA4AC2" w:rsidRDefault="009228ED" w:rsidP="009228ED">
      <w:pPr>
        <w:pStyle w:val="BodyParagraph"/>
      </w:pPr>
      <w:r w:rsidRPr="00095491">
        <w:t>The quality of a model is evaluated based on the bias and precision of its prediction of load compared to the actual load on the excluded peak load days. Table 2-</w:t>
      </w:r>
      <w:r w:rsidR="00162BB1">
        <w:t>4</w:t>
      </w:r>
      <w:r w:rsidRPr="00095491">
        <w:t xml:space="preserve"> shows the metrics computed in step 2. All metrics were computed over the relevant PLS program hours, as that was the principal period over which we had to estimate load shifting.</w:t>
      </w:r>
    </w:p>
    <w:p w:rsidR="00AA4AC2" w:rsidRDefault="00AA4AC2">
      <w:pPr>
        <w:rPr>
          <w:rFonts w:ascii="Arial" w:hAnsi="Arial"/>
          <w:color w:val="1C1C1C"/>
        </w:rPr>
      </w:pPr>
      <w:r>
        <w:br w:type="page"/>
      </w:r>
    </w:p>
    <w:p w:rsidR="009228ED" w:rsidRPr="00095491" w:rsidRDefault="009228ED" w:rsidP="009228ED">
      <w:pPr>
        <w:pStyle w:val="TableFigureCaption"/>
      </w:pPr>
      <w:r w:rsidRPr="00095491">
        <w:lastRenderedPageBreak/>
        <w:t>Table 2-</w:t>
      </w:r>
      <w:r w:rsidR="00162BB1">
        <w:t>4</w:t>
      </w:r>
      <w:r w:rsidRPr="00095491">
        <w:t>: Control Group Accuracy Statistics</w:t>
      </w:r>
    </w:p>
    <w:tbl>
      <w:tblPr>
        <w:tblStyle w:val="TableGrid"/>
        <w:tblW w:w="0" w:type="auto"/>
        <w:tblLayout w:type="fixed"/>
        <w:tblLook w:val="04A0" w:firstRow="1" w:lastRow="0" w:firstColumn="1" w:lastColumn="0" w:noHBand="0" w:noVBand="1"/>
      </w:tblPr>
      <w:tblGrid>
        <w:gridCol w:w="1188"/>
        <w:gridCol w:w="1080"/>
        <w:gridCol w:w="1080"/>
        <w:gridCol w:w="2430"/>
        <w:gridCol w:w="2202"/>
        <w:gridCol w:w="1596"/>
      </w:tblGrid>
      <w:tr w:rsidR="009228ED" w:rsidRPr="00095491" w:rsidTr="007104F8">
        <w:trPr>
          <w:cantSplit/>
        </w:trPr>
        <w:tc>
          <w:tcPr>
            <w:tcW w:w="1188" w:type="dxa"/>
            <w:tcBorders>
              <w:right w:val="single" w:sz="4" w:space="0" w:color="FFFFFF" w:themeColor="background1"/>
            </w:tcBorders>
            <w:shd w:val="clear" w:color="auto" w:fill="0070CD"/>
            <w:vAlign w:val="center"/>
          </w:tcPr>
          <w:p w:rsidR="009228ED" w:rsidRPr="00095491" w:rsidRDefault="009228ED" w:rsidP="007104F8">
            <w:pPr>
              <w:pStyle w:val="TableHeader"/>
            </w:pPr>
            <w:r w:rsidRPr="00095491">
              <w:t>Statistic Type</w:t>
            </w:r>
          </w:p>
        </w:tc>
        <w:tc>
          <w:tcPr>
            <w:tcW w:w="1080" w:type="dxa"/>
            <w:tcBorders>
              <w:left w:val="single" w:sz="4" w:space="0" w:color="FFFFFF" w:themeColor="background1"/>
              <w:right w:val="single" w:sz="4" w:space="0" w:color="FFFFFF" w:themeColor="background1"/>
            </w:tcBorders>
            <w:shd w:val="clear" w:color="auto" w:fill="0070CD"/>
            <w:vAlign w:val="center"/>
          </w:tcPr>
          <w:p w:rsidR="009228ED" w:rsidRPr="00095491" w:rsidRDefault="009228ED" w:rsidP="007104F8">
            <w:pPr>
              <w:pStyle w:val="TableHeader"/>
            </w:pPr>
            <w:r w:rsidRPr="00095491">
              <w:t>Statistic Level</w:t>
            </w:r>
          </w:p>
        </w:tc>
        <w:tc>
          <w:tcPr>
            <w:tcW w:w="1080" w:type="dxa"/>
            <w:tcBorders>
              <w:left w:val="single" w:sz="4" w:space="0" w:color="FFFFFF" w:themeColor="background1"/>
              <w:right w:val="single" w:sz="4" w:space="0" w:color="FFFFFF" w:themeColor="background1"/>
            </w:tcBorders>
            <w:shd w:val="clear" w:color="auto" w:fill="0070CD"/>
            <w:vAlign w:val="center"/>
          </w:tcPr>
          <w:p w:rsidR="009228ED" w:rsidRPr="00095491" w:rsidRDefault="009228ED" w:rsidP="007104F8">
            <w:pPr>
              <w:pStyle w:val="TableHeader"/>
            </w:pPr>
            <w:r w:rsidRPr="00095491">
              <w:t>Statistic</w:t>
            </w:r>
          </w:p>
        </w:tc>
        <w:tc>
          <w:tcPr>
            <w:tcW w:w="2430" w:type="dxa"/>
            <w:tcBorders>
              <w:left w:val="single" w:sz="4" w:space="0" w:color="FFFFFF" w:themeColor="background1"/>
              <w:right w:val="single" w:sz="4" w:space="0" w:color="FFFFFF" w:themeColor="background1"/>
            </w:tcBorders>
            <w:shd w:val="clear" w:color="auto" w:fill="0070CD"/>
            <w:vAlign w:val="center"/>
          </w:tcPr>
          <w:p w:rsidR="009228ED" w:rsidRPr="00095491" w:rsidRDefault="009228ED" w:rsidP="007104F8">
            <w:pPr>
              <w:pStyle w:val="TableHeader"/>
            </w:pPr>
            <w:r w:rsidRPr="00095491">
              <w:t>Formula</w:t>
            </w:r>
          </w:p>
        </w:tc>
        <w:tc>
          <w:tcPr>
            <w:tcW w:w="2202" w:type="dxa"/>
            <w:tcBorders>
              <w:left w:val="single" w:sz="4" w:space="0" w:color="FFFFFF" w:themeColor="background1"/>
              <w:right w:val="single" w:sz="4" w:space="0" w:color="FFFFFF" w:themeColor="background1"/>
            </w:tcBorders>
            <w:shd w:val="clear" w:color="auto" w:fill="0070CD"/>
            <w:vAlign w:val="center"/>
          </w:tcPr>
          <w:p w:rsidR="009228ED" w:rsidRPr="00095491" w:rsidRDefault="009228ED" w:rsidP="007104F8">
            <w:pPr>
              <w:pStyle w:val="TableHeader"/>
            </w:pPr>
            <w:r w:rsidRPr="00095491">
              <w:t>Description</w:t>
            </w:r>
          </w:p>
        </w:tc>
        <w:tc>
          <w:tcPr>
            <w:tcW w:w="1596" w:type="dxa"/>
            <w:tcBorders>
              <w:left w:val="single" w:sz="4" w:space="0" w:color="FFFFFF" w:themeColor="background1"/>
            </w:tcBorders>
            <w:shd w:val="clear" w:color="auto" w:fill="0070CD"/>
            <w:vAlign w:val="center"/>
          </w:tcPr>
          <w:p w:rsidR="009228ED" w:rsidRPr="00095491" w:rsidRDefault="009228ED" w:rsidP="007104F8">
            <w:pPr>
              <w:pStyle w:val="TableHeader"/>
            </w:pPr>
            <w:r w:rsidRPr="00095491">
              <w:t>Typical Values</w:t>
            </w:r>
          </w:p>
        </w:tc>
      </w:tr>
      <w:tr w:rsidR="009228ED" w:rsidRPr="00095491" w:rsidTr="007104F8">
        <w:trPr>
          <w:cantSplit/>
        </w:trPr>
        <w:tc>
          <w:tcPr>
            <w:tcW w:w="1188" w:type="dxa"/>
            <w:vAlign w:val="center"/>
          </w:tcPr>
          <w:p w:rsidR="009228ED" w:rsidRPr="00095491" w:rsidRDefault="009228ED" w:rsidP="007104F8">
            <w:pPr>
              <w:pStyle w:val="TableText"/>
            </w:pPr>
            <w:r w:rsidRPr="00095491">
              <w:t>Bias</w:t>
            </w:r>
          </w:p>
        </w:tc>
        <w:tc>
          <w:tcPr>
            <w:tcW w:w="1080" w:type="dxa"/>
            <w:vAlign w:val="center"/>
          </w:tcPr>
          <w:p w:rsidR="009228ED" w:rsidRPr="00095491" w:rsidRDefault="009228ED" w:rsidP="007104F8">
            <w:pPr>
              <w:pStyle w:val="TableText"/>
            </w:pPr>
            <w:r w:rsidRPr="00095491">
              <w:t>Program</w:t>
            </w:r>
          </w:p>
        </w:tc>
        <w:tc>
          <w:tcPr>
            <w:tcW w:w="1080" w:type="dxa"/>
            <w:vAlign w:val="center"/>
          </w:tcPr>
          <w:p w:rsidR="009228ED" w:rsidRPr="00095491" w:rsidRDefault="009228ED" w:rsidP="007104F8">
            <w:pPr>
              <w:pStyle w:val="TableText"/>
            </w:pPr>
            <w:r w:rsidRPr="00095491">
              <w:t>Average Percent Error</w:t>
            </w:r>
          </w:p>
        </w:tc>
        <w:tc>
          <w:tcPr>
            <w:tcW w:w="2430" w:type="dxa"/>
            <w:vAlign w:val="center"/>
          </w:tcPr>
          <w:p w:rsidR="009228ED" w:rsidRPr="00095491" w:rsidRDefault="009228ED" w:rsidP="007104F8">
            <w:pPr>
              <w:pStyle w:val="TableText"/>
            </w:pPr>
            <w:r w:rsidRPr="00DA6435">
              <w:rPr>
                <w:noProof/>
              </w:rPr>
              <w:drawing>
                <wp:inline distT="0" distB="0" distL="0" distR="0" wp14:anchorId="7C493329" wp14:editId="1F3CB6E4">
                  <wp:extent cx="723900" cy="5524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723900" cy="552450"/>
                          </a:xfrm>
                          <a:prstGeom prst="rect">
                            <a:avLst/>
                          </a:prstGeom>
                        </pic:spPr>
                      </pic:pic>
                    </a:graphicData>
                  </a:graphic>
                </wp:inline>
              </w:drawing>
            </w:r>
          </w:p>
        </w:tc>
        <w:tc>
          <w:tcPr>
            <w:tcW w:w="2202" w:type="dxa"/>
            <w:vAlign w:val="center"/>
          </w:tcPr>
          <w:p w:rsidR="009228ED" w:rsidRPr="00095491" w:rsidRDefault="009228ED" w:rsidP="007104F8">
            <w:pPr>
              <w:pStyle w:val="TableText"/>
              <w:jc w:val="left"/>
            </w:pPr>
            <w:r w:rsidRPr="00095491">
              <w:t>Sums up predicted and actual value for peak load days for the customer; calculates error statistics from these values.</w:t>
            </w:r>
          </w:p>
        </w:tc>
        <w:tc>
          <w:tcPr>
            <w:tcW w:w="1596" w:type="dxa"/>
            <w:vAlign w:val="center"/>
          </w:tcPr>
          <w:p w:rsidR="009228ED" w:rsidRPr="00095491" w:rsidRDefault="009228ED" w:rsidP="007104F8">
            <w:pPr>
              <w:pStyle w:val="TableText"/>
              <w:jc w:val="left"/>
            </w:pPr>
            <w:r w:rsidRPr="00095491">
              <w:t>Expressed in percentage terms. Can be positive or negative. The closer to zero, the better.</w:t>
            </w:r>
          </w:p>
        </w:tc>
      </w:tr>
      <w:tr w:rsidR="009228ED" w:rsidRPr="00095491" w:rsidTr="007104F8">
        <w:trPr>
          <w:cantSplit/>
        </w:trPr>
        <w:tc>
          <w:tcPr>
            <w:tcW w:w="1188" w:type="dxa"/>
            <w:vAlign w:val="center"/>
          </w:tcPr>
          <w:p w:rsidR="009228ED" w:rsidRPr="00095491" w:rsidRDefault="009228ED" w:rsidP="007104F8">
            <w:pPr>
              <w:pStyle w:val="TableText"/>
            </w:pPr>
            <w:r w:rsidRPr="00095491">
              <w:t>Bias</w:t>
            </w:r>
          </w:p>
        </w:tc>
        <w:tc>
          <w:tcPr>
            <w:tcW w:w="1080" w:type="dxa"/>
            <w:vAlign w:val="center"/>
          </w:tcPr>
          <w:p w:rsidR="009228ED" w:rsidRPr="00095491" w:rsidRDefault="009228ED" w:rsidP="007104F8">
            <w:pPr>
              <w:pStyle w:val="TableText"/>
            </w:pPr>
            <w:r w:rsidRPr="00095491">
              <w:t>Program</w:t>
            </w:r>
          </w:p>
        </w:tc>
        <w:tc>
          <w:tcPr>
            <w:tcW w:w="1080" w:type="dxa"/>
            <w:vAlign w:val="center"/>
          </w:tcPr>
          <w:p w:rsidR="009228ED" w:rsidRPr="00095491" w:rsidRDefault="009228ED" w:rsidP="007104F8">
            <w:pPr>
              <w:pStyle w:val="TableText"/>
            </w:pPr>
            <w:r w:rsidRPr="00095491">
              <w:t>SD(APE)</w:t>
            </w:r>
          </w:p>
        </w:tc>
        <w:tc>
          <w:tcPr>
            <w:tcW w:w="2430" w:type="dxa"/>
            <w:vAlign w:val="center"/>
          </w:tcPr>
          <w:p w:rsidR="009228ED" w:rsidRPr="00095491" w:rsidRDefault="009228ED" w:rsidP="007104F8">
            <w:pPr>
              <w:pStyle w:val="TableText"/>
            </w:pPr>
            <w:r w:rsidRPr="00DA6435">
              <w:rPr>
                <w:noProof/>
              </w:rPr>
              <w:drawing>
                <wp:inline distT="0" distB="0" distL="0" distR="0" wp14:anchorId="7740FA34" wp14:editId="12CB91A2">
                  <wp:extent cx="1466850" cy="695325"/>
                  <wp:effectExtent l="0" t="0" r="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466850" cy="695325"/>
                          </a:xfrm>
                          <a:prstGeom prst="rect">
                            <a:avLst/>
                          </a:prstGeom>
                        </pic:spPr>
                      </pic:pic>
                    </a:graphicData>
                  </a:graphic>
                </wp:inline>
              </w:drawing>
            </w:r>
          </w:p>
        </w:tc>
        <w:tc>
          <w:tcPr>
            <w:tcW w:w="2202" w:type="dxa"/>
            <w:vAlign w:val="center"/>
          </w:tcPr>
          <w:p w:rsidR="009228ED" w:rsidRPr="00095491" w:rsidRDefault="009228ED" w:rsidP="007104F8">
            <w:pPr>
              <w:pStyle w:val="TableText"/>
              <w:jc w:val="left"/>
            </w:pPr>
            <w:r w:rsidRPr="00095491">
              <w:t>Measures the average deviation in average percent error on individual peak load days.</w:t>
            </w:r>
          </w:p>
        </w:tc>
        <w:tc>
          <w:tcPr>
            <w:tcW w:w="1596" w:type="dxa"/>
            <w:vAlign w:val="center"/>
          </w:tcPr>
          <w:p w:rsidR="009228ED" w:rsidRPr="00095491" w:rsidRDefault="009228ED" w:rsidP="007104F8">
            <w:pPr>
              <w:pStyle w:val="TableText"/>
              <w:jc w:val="left"/>
            </w:pPr>
            <w:r w:rsidRPr="00095491">
              <w:t>Expressed in percentage terms. Can only be positive. The smaller the number, the better.</w:t>
            </w:r>
          </w:p>
        </w:tc>
      </w:tr>
      <w:tr w:rsidR="009228ED" w:rsidRPr="00095491" w:rsidTr="007104F8">
        <w:trPr>
          <w:cantSplit/>
        </w:trPr>
        <w:tc>
          <w:tcPr>
            <w:tcW w:w="1188" w:type="dxa"/>
            <w:vAlign w:val="center"/>
          </w:tcPr>
          <w:p w:rsidR="009228ED" w:rsidRPr="00095491" w:rsidRDefault="009228ED" w:rsidP="007104F8">
            <w:pPr>
              <w:pStyle w:val="TableText"/>
            </w:pPr>
            <w:r w:rsidRPr="00095491">
              <w:t>Goodness-of-fit</w:t>
            </w:r>
          </w:p>
        </w:tc>
        <w:tc>
          <w:tcPr>
            <w:tcW w:w="1080" w:type="dxa"/>
            <w:vAlign w:val="center"/>
          </w:tcPr>
          <w:p w:rsidR="009228ED" w:rsidRPr="00095491" w:rsidRDefault="009228ED" w:rsidP="007104F8">
            <w:pPr>
              <w:pStyle w:val="TableText"/>
            </w:pPr>
            <w:r w:rsidRPr="00095491">
              <w:t>Program</w:t>
            </w:r>
          </w:p>
        </w:tc>
        <w:tc>
          <w:tcPr>
            <w:tcW w:w="1080" w:type="dxa"/>
            <w:vAlign w:val="center"/>
          </w:tcPr>
          <w:p w:rsidR="009228ED" w:rsidRPr="00095491" w:rsidRDefault="009228ED" w:rsidP="007104F8">
            <w:pPr>
              <w:pStyle w:val="TableText"/>
            </w:pPr>
            <w:r w:rsidRPr="00095491">
              <w:t>Absolute Sum of Errors</w:t>
            </w:r>
          </w:p>
        </w:tc>
        <w:tc>
          <w:tcPr>
            <w:tcW w:w="2430" w:type="dxa"/>
            <w:vAlign w:val="center"/>
          </w:tcPr>
          <w:p w:rsidR="009228ED" w:rsidRPr="00095491" w:rsidRDefault="009228ED" w:rsidP="007104F8">
            <w:pPr>
              <w:pStyle w:val="TableText"/>
            </w:pPr>
            <w:r w:rsidRPr="00DA6435">
              <w:rPr>
                <w:noProof/>
              </w:rPr>
              <w:drawing>
                <wp:inline distT="0" distB="0" distL="0" distR="0" wp14:anchorId="269EA72E" wp14:editId="2F805373">
                  <wp:extent cx="904875" cy="41910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904875" cy="419100"/>
                          </a:xfrm>
                          <a:prstGeom prst="rect">
                            <a:avLst/>
                          </a:prstGeom>
                        </pic:spPr>
                      </pic:pic>
                    </a:graphicData>
                  </a:graphic>
                </wp:inline>
              </w:drawing>
            </w:r>
          </w:p>
        </w:tc>
        <w:tc>
          <w:tcPr>
            <w:tcW w:w="2202" w:type="dxa"/>
            <w:vAlign w:val="center"/>
          </w:tcPr>
          <w:p w:rsidR="009228ED" w:rsidRPr="00095491" w:rsidRDefault="009228ED" w:rsidP="007104F8">
            <w:pPr>
              <w:pStyle w:val="TableText"/>
              <w:jc w:val="left"/>
            </w:pPr>
            <w:r w:rsidRPr="00095491">
              <w:t>Sums up absolute errors for peak days.</w:t>
            </w:r>
          </w:p>
        </w:tc>
        <w:tc>
          <w:tcPr>
            <w:tcW w:w="1596" w:type="dxa"/>
            <w:vAlign w:val="center"/>
          </w:tcPr>
          <w:p w:rsidR="009228ED" w:rsidRPr="00095491" w:rsidRDefault="009228ED" w:rsidP="007104F8">
            <w:pPr>
              <w:pStyle w:val="TableText"/>
              <w:jc w:val="left"/>
            </w:pPr>
            <w:r w:rsidRPr="00095491">
              <w:t>Expressed in kWh terms. Can only be positive. The smaller the number, the better.</w:t>
            </w:r>
          </w:p>
        </w:tc>
      </w:tr>
    </w:tbl>
    <w:p w:rsidR="009228ED" w:rsidRPr="00095491" w:rsidRDefault="009228ED" w:rsidP="009228ED">
      <w:pPr>
        <w:pStyle w:val="BodyParaAfterTableFigure"/>
        <w:spacing w:after="0"/>
      </w:pPr>
      <w:r w:rsidRPr="00095491">
        <w:t>The statistics above use the following nomenclature:</w:t>
      </w:r>
    </w:p>
    <w:p w:rsidR="009228ED" w:rsidRPr="00095491" w:rsidRDefault="009228ED" w:rsidP="009228ED">
      <w:pPr>
        <w:pStyle w:val="Bullets"/>
        <w:rPr>
          <w:rFonts w:eastAsiaTheme="minorEastAsia"/>
        </w:rPr>
      </w:pPr>
      <m:oMath>
        <m:r>
          <m:rPr>
            <m:sty m:val="p"/>
          </m:rPr>
          <w:rPr>
            <w:rFonts w:ascii="Cambria Math" w:eastAsiaTheme="minorEastAsia" w:hAnsi="Cambria Math"/>
          </w:rPr>
          <m:t>y</m:t>
        </m:r>
      </m:oMath>
      <w:r w:rsidRPr="00095491">
        <w:rPr>
          <w:rFonts w:eastAsiaTheme="minorEastAsia"/>
        </w:rPr>
        <w:t xml:space="preserve"> - observed kWh</w:t>
      </w:r>
    </w:p>
    <w:p w:rsidR="009228ED" w:rsidRPr="00095491" w:rsidRDefault="003A34B9" w:rsidP="009228ED">
      <w:pPr>
        <w:pStyle w:val="Bullets"/>
      </w:pPr>
      <m:oMath>
        <m:acc>
          <m:accPr>
            <m:ctrlPr>
              <w:rPr>
                <w:rFonts w:ascii="Cambria Math" w:hAnsi="Cambria Math"/>
                <w:i/>
                <w:iCs/>
              </w:rPr>
            </m:ctrlPr>
          </m:accPr>
          <m:e>
            <m:r>
              <w:rPr>
                <w:rFonts w:ascii="Cambria Math" w:hAnsi="Cambria Math"/>
              </w:rPr>
              <m:t>y</m:t>
            </m:r>
          </m:e>
        </m:acc>
      </m:oMath>
      <w:r w:rsidR="009228ED" w:rsidRPr="00095491">
        <w:t xml:space="preserve"> - predicted kWh</w:t>
      </w:r>
    </w:p>
    <w:p w:rsidR="009228ED" w:rsidRPr="00095491" w:rsidRDefault="009228ED" w:rsidP="009228ED">
      <w:pPr>
        <w:pStyle w:val="Bullets"/>
      </w:pPr>
      <m:oMath>
        <m:r>
          <w:rPr>
            <w:rFonts w:ascii="Cambria Math" w:hAnsi="Cambria Math"/>
          </w:rPr>
          <m:t>i</m:t>
        </m:r>
      </m:oMath>
      <w:r w:rsidRPr="00095491">
        <w:t xml:space="preserve"> - customer</w:t>
      </w:r>
    </w:p>
    <w:p w:rsidR="009228ED" w:rsidRPr="00095491" w:rsidRDefault="009228ED" w:rsidP="009228ED">
      <w:pPr>
        <w:pStyle w:val="Bullets"/>
      </w:pPr>
      <m:oMath>
        <m:r>
          <w:rPr>
            <w:rFonts w:ascii="Cambria Math" w:hAnsi="Cambria Math"/>
          </w:rPr>
          <m:t>t</m:t>
        </m:r>
      </m:oMath>
      <w:r w:rsidRPr="00095491">
        <w:t xml:space="preserve"> - each individual peak load day</w:t>
      </w:r>
    </w:p>
    <w:p w:rsidR="009228ED" w:rsidRPr="00095491" w:rsidRDefault="009228ED" w:rsidP="009228ED">
      <w:pPr>
        <w:pStyle w:val="BulletLast"/>
      </w:pPr>
      <m:oMath>
        <m:r>
          <w:rPr>
            <w:rFonts w:ascii="Cambria Math" w:hAnsi="Cambria Math"/>
          </w:rPr>
          <m:t>n</m:t>
        </m:r>
      </m:oMath>
      <w:r w:rsidRPr="00095491">
        <w:t xml:space="preserve"> - total number of peak load days</w:t>
      </w:r>
    </w:p>
    <w:p w:rsidR="009228ED" w:rsidRPr="00095491" w:rsidRDefault="009228ED" w:rsidP="009228ED">
      <w:pPr>
        <w:pStyle w:val="BodyParagraph"/>
      </w:pPr>
      <w:r w:rsidRPr="00095491">
        <w:t>The final model was selected on the basis of average percent error, taking into account both its absolute value and its deviation across the excluded days, provided that the absolute sum of errors was acceptable relative to other potential models. The final model and its associated explanatory variables are summarized below.</w:t>
      </w:r>
    </w:p>
    <w:p w:rsidR="009228ED" w:rsidRDefault="009228ED" w:rsidP="009228ED">
      <w:r w:rsidRPr="00095491">
        <w:t>Mathematically, the regression can be expressed by:</w:t>
      </w:r>
    </w:p>
    <w:p w:rsidR="009228ED" w:rsidRPr="00095491" w:rsidRDefault="003A34B9" w:rsidP="009228ED">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kW</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nary>
            <m:naryPr>
              <m:chr m:val="∑"/>
              <m:limLoc m:val="undOvr"/>
              <m:ctrlPr>
                <w:rPr>
                  <w:rFonts w:ascii="Cambria Math" w:hAnsi="Cambria Math" w:cs="Arial"/>
                  <w:i/>
                  <w:sz w:val="24"/>
                  <w:szCs w:val="24"/>
                </w:rPr>
              </m:ctrlPr>
            </m:naryPr>
            <m:sub>
              <m:r>
                <w:rPr>
                  <w:rFonts w:ascii="Cambria Math" w:hAnsi="Cambria Math" w:cs="Arial"/>
                  <w:sz w:val="24"/>
                  <w:szCs w:val="24"/>
                </w:rPr>
                <m:t>i=1</m:t>
              </m:r>
            </m:sub>
            <m:sup>
              <m:r>
                <w:rPr>
                  <w:rFonts w:ascii="Cambria Math" w:hAnsi="Cambria Math" w:cs="Arial"/>
                  <w:sz w:val="24"/>
                  <w:szCs w:val="24"/>
                </w:rPr>
                <m:t>24</m:t>
              </m:r>
            </m:sup>
            <m:e>
              <m:sSub>
                <m:sSubPr>
                  <m:ctrlPr>
                    <w:rPr>
                      <w:rFonts w:ascii="Cambria Math" w:hAnsi="Cambria Math" w:cs="Arial"/>
                      <w:i/>
                      <w:sz w:val="24"/>
                      <w:szCs w:val="24"/>
                    </w:rPr>
                  </m:ctrlPr>
                </m:sSubPr>
                <m:e>
                  <m:r>
                    <w:rPr>
                      <w:rFonts w:ascii="Cambria Math" w:cs="Arial"/>
                      <w:sz w:val="24"/>
                      <w:szCs w:val="24"/>
                    </w:rPr>
                    <m:t>C</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r>
                <w:rPr>
                  <w:rFonts w:ascii="Cambria Math" w:hAnsi="Cambria Math" w:cs="Arial"/>
                  <w:sz w:val="24"/>
                  <w:szCs w:val="24"/>
                </w:rPr>
                <m:t>Summer</m:t>
              </m:r>
            </m:e>
          </m:nary>
        </m:oMath>
      </m:oMathPara>
    </w:p>
    <w:p w:rsidR="009228ED" w:rsidRPr="00E7046B" w:rsidRDefault="009228ED" w:rsidP="00DA6435">
      <w:pPr>
        <w:pStyle w:val="BodyParagraph"/>
        <w:rPr>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m:t>
                  </m:r>
                </m:e>
                <m:sub>
                  <m:r>
                    <w:rPr>
                      <w:rFonts w:ascii="Cambria Math" w:hAnsi="Cambria Math" w:cs="Arial"/>
                      <w:sz w:val="24"/>
                      <w:szCs w:val="24"/>
                    </w:rPr>
                    <m:t>t</m:t>
                  </m:r>
                </m:sub>
              </m:sSub>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E</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OvernightCDH</m:t>
                  </m:r>
                </m:e>
                <m:sub>
                  <m:r>
                    <w:rPr>
                      <w:rFonts w:ascii="Cambria Math" w:hAnsi="Cambria Math" w:cs="Arial"/>
                      <w:sz w:val="24"/>
                      <w:szCs w:val="24"/>
                    </w:rPr>
                    <m:t>t</m:t>
                  </m:r>
                </m:sub>
              </m:sSub>
            </m:e>
          </m:nary>
        </m:oMath>
      </m:oMathPara>
    </w:p>
    <w:p w:rsidR="001B23B3" w:rsidRDefault="0004351B" w:rsidP="009F033B">
      <w:pPr>
        <w:pStyle w:val="Heading1"/>
      </w:pPr>
      <w:bookmarkStart w:id="25" w:name="_Toc414539281"/>
      <w:bookmarkStart w:id="26" w:name="_Ref443495231"/>
      <w:bookmarkStart w:id="27" w:name="_Toc507085046"/>
      <w:r w:rsidRPr="00BF5325">
        <w:lastRenderedPageBreak/>
        <w:t xml:space="preserve">Ex Post </w:t>
      </w:r>
      <w:bookmarkEnd w:id="25"/>
      <w:r w:rsidRPr="00BF5325">
        <w:t>Impact Estimates</w:t>
      </w:r>
      <w:bookmarkStart w:id="28" w:name="_Ref443495238"/>
      <w:bookmarkEnd w:id="26"/>
      <w:bookmarkEnd w:id="27"/>
    </w:p>
    <w:p w:rsidR="00093D3D" w:rsidRDefault="00093D3D" w:rsidP="00093D3D">
      <w:pPr>
        <w:pStyle w:val="Heading2"/>
        <w:spacing w:before="240"/>
      </w:pPr>
      <w:bookmarkStart w:id="29" w:name="_Toc507085047"/>
      <w:r>
        <w:t>PG&amp;E Ex Post Impacts</w:t>
      </w:r>
      <w:bookmarkEnd w:id="29"/>
    </w:p>
    <w:p w:rsidR="002E1C1C" w:rsidRPr="00337E19" w:rsidRDefault="002E1C1C" w:rsidP="002E1C1C">
      <w:pPr>
        <w:pStyle w:val="BodyParagraph"/>
      </w:pPr>
      <w:r w:rsidRPr="00337E19">
        <w:t xml:space="preserve">The single installation in PG&amp;E’s territory was installed in May 2016 and is located in </w:t>
      </w:r>
      <w:r w:rsidRPr="0016185F">
        <w:rPr>
          <w:highlight w:val="black"/>
        </w:rPr>
        <w:t>XXXX XXX</w:t>
      </w:r>
      <w:r w:rsidRPr="00337E19">
        <w:t>.</w:t>
      </w:r>
      <w:r>
        <w:t> </w:t>
      </w:r>
      <w:r w:rsidRPr="00337E19">
        <w:t>The installation site comprises a single, mixed-use industrial building that houses office,</w:t>
      </w:r>
      <w:r>
        <w:t> </w:t>
      </w:r>
      <w:r w:rsidRPr="00337E19">
        <w:t xml:space="preserve">manufacturing, warehouse, and laboratory facilities and totals over </w:t>
      </w:r>
      <w:r w:rsidRPr="0016185F">
        <w:rPr>
          <w:highlight w:val="black"/>
        </w:rPr>
        <w:t>XXXXX</w:t>
      </w:r>
      <w:r w:rsidRPr="00337E19">
        <w:t xml:space="preserve"> square feet.</w:t>
      </w:r>
      <w:r>
        <w:t> </w:t>
      </w:r>
      <w:r w:rsidRPr="00337E19">
        <w:t>Coincident with the PLS installation, the customer also installed a solar generation system,</w:t>
      </w:r>
      <w:r>
        <w:t> </w:t>
      </w:r>
      <w:r w:rsidRPr="00337E19">
        <w:t xml:space="preserve">which makes it impossible to estimate the ex post impacts from the PLS TES installation </w:t>
      </w:r>
      <w:r>
        <w:t xml:space="preserve">based on premise level meter data </w:t>
      </w:r>
      <w:r w:rsidRPr="00337E19">
        <w:t>without additional information about the customer’s sol</w:t>
      </w:r>
      <w:r>
        <w:t>a</w:t>
      </w:r>
      <w:r w:rsidRPr="00337E19">
        <w:t xml:space="preserve">r generation profiles. Since this information was unavailable, </w:t>
      </w:r>
      <w:proofErr w:type="spellStart"/>
      <w:r w:rsidRPr="00337E19">
        <w:t>Nexant</w:t>
      </w:r>
      <w:proofErr w:type="spellEnd"/>
      <w:r w:rsidRPr="00337E19">
        <w:t xml:space="preserve"> used the</w:t>
      </w:r>
      <w:r>
        <w:t> </w:t>
      </w:r>
      <w:r w:rsidRPr="00337E19">
        <w:t>operational data from the TES system to estimate a relationship between the coefficient of</w:t>
      </w:r>
      <w:r>
        <w:t> </w:t>
      </w:r>
      <w:r w:rsidRPr="00337E19">
        <w:t xml:space="preserve">performance (i.e., the ratio of cooling tons to cooling system load) and temperature. </w:t>
      </w:r>
    </w:p>
    <w:p w:rsidR="002E1C1C" w:rsidRPr="00337E19" w:rsidRDefault="002E1C1C" w:rsidP="002E1C1C">
      <w:pPr>
        <w:pStyle w:val="BodyParagraph"/>
      </w:pPr>
      <w:r w:rsidRPr="00337E19">
        <w:t>The PLS program is designed to shift cooling load using the TES system during the on-peak summer hours (12</w:t>
      </w:r>
      <w:r>
        <w:t xml:space="preserve"> to </w:t>
      </w:r>
      <w:r w:rsidRPr="00337E19">
        <w:t xml:space="preserve">6 PM May through October) rather than reduce overall cooling load. </w:t>
      </w:r>
      <w:r w:rsidRPr="00337E19">
        <w:fldChar w:fldCharType="begin"/>
      </w:r>
      <w:r w:rsidRPr="00337E19">
        <w:instrText xml:space="preserve"> REF _Ref476296848 \h </w:instrText>
      </w:r>
      <w:r>
        <w:instrText xml:space="preserve"> \* MERGEFORMAT </w:instrText>
      </w:r>
      <w:r w:rsidRPr="00337E19">
        <w:fldChar w:fldCharType="separate"/>
      </w:r>
      <w:r w:rsidRPr="00A4065E">
        <w:t xml:space="preserve">Figure </w:t>
      </w:r>
      <w:r w:rsidRPr="00A4065E">
        <w:rPr>
          <w:noProof/>
        </w:rPr>
        <w:t>3</w:t>
      </w:r>
      <w:r w:rsidRPr="00A4065E">
        <w:rPr>
          <w:noProof/>
        </w:rPr>
        <w:noBreakHyphen/>
        <w:t>1</w:t>
      </w:r>
      <w:r w:rsidRPr="00337E19">
        <w:fldChar w:fldCharType="end"/>
      </w:r>
      <w:r w:rsidRPr="00337E19">
        <w:t xml:space="preserve"> shows the cooling system load for the average August weekday during the pre- and post-installation periods. The figure clearly shows the load shift occurring during the post-installation period where the load from approximately HE 13 to HE 19 drops to </w:t>
      </w:r>
      <w:r w:rsidRPr="0016185F">
        <w:rPr>
          <w:highlight w:val="black"/>
        </w:rPr>
        <w:t>XXX</w:t>
      </w:r>
      <w:r w:rsidRPr="00D93E6E">
        <w:t xml:space="preserve"> kW</w:t>
      </w:r>
      <w:r w:rsidRPr="00337E19">
        <w:t xml:space="preserve"> compared to approximately </w:t>
      </w:r>
      <w:r w:rsidRPr="0016185F">
        <w:rPr>
          <w:highlight w:val="black"/>
        </w:rPr>
        <w:t>XXX</w:t>
      </w:r>
      <w:r w:rsidRPr="00D93E6E">
        <w:t xml:space="preserve"> kW</w:t>
      </w:r>
      <w:r w:rsidRPr="00337E19">
        <w:t xml:space="preserve"> for the same period in the pre-installation period. Additionally, the graph</w:t>
      </w:r>
      <w:r>
        <w:t> </w:t>
      </w:r>
      <w:r w:rsidRPr="00337E19">
        <w:t xml:space="preserve">shows an expected increase in post-installation cooling load during the nighttime and early morning hours as the system is recharging and creating ice for cooling during the day. </w:t>
      </w:r>
      <w:r>
        <w:t xml:space="preserve">While </w:t>
      </w:r>
      <w:r w:rsidRPr="00337E19">
        <w:fldChar w:fldCharType="begin"/>
      </w:r>
      <w:r w:rsidRPr="00337E19">
        <w:instrText xml:space="preserve"> REF _Ref476296848 \h </w:instrText>
      </w:r>
      <w:r>
        <w:instrText xml:space="preserve"> \* MERGEFORMAT </w:instrText>
      </w:r>
      <w:r w:rsidRPr="00337E19">
        <w:fldChar w:fldCharType="separate"/>
      </w:r>
      <w:r w:rsidRPr="00A4065E">
        <w:t xml:space="preserve">Figure </w:t>
      </w:r>
      <w:r w:rsidRPr="00A4065E">
        <w:rPr>
          <w:noProof/>
        </w:rPr>
        <w:t>3</w:t>
      </w:r>
      <w:r w:rsidRPr="00A4065E">
        <w:rPr>
          <w:noProof/>
        </w:rPr>
        <w:noBreakHyphen/>
        <w:t>1</w:t>
      </w:r>
      <w:r w:rsidRPr="00337E19">
        <w:fldChar w:fldCharType="end"/>
      </w:r>
      <w:r>
        <w:t xml:space="preserve"> does not take into account day-to-day variation or the relationship between cooling load, cooling tons, and temperature, it provides the average load shapes and the order of magnitude of load impacts we would expect to see in the post-installation period. </w:t>
      </w:r>
    </w:p>
    <w:p w:rsidR="002E1C1C" w:rsidRDefault="002E1C1C" w:rsidP="002E1C1C">
      <w:pPr>
        <w:pStyle w:val="Caption"/>
      </w:pPr>
      <w:bookmarkStart w:id="30" w:name="_Ref476296848"/>
      <w:r w:rsidRPr="0016185F">
        <w:t xml:space="preserve">Figure </w:t>
      </w:r>
      <w:fldSimple w:instr=" STYLEREF 1 \s ">
        <w:r w:rsidRPr="0016185F">
          <w:rPr>
            <w:noProof/>
          </w:rPr>
          <w:t>3</w:t>
        </w:r>
      </w:fldSimple>
      <w:r w:rsidRPr="0016185F">
        <w:noBreakHyphen/>
      </w:r>
      <w:fldSimple w:instr=" SEQ Figure \* ARABIC \s 1 ">
        <w:r w:rsidRPr="0016185F">
          <w:rPr>
            <w:noProof/>
          </w:rPr>
          <w:t>1</w:t>
        </w:r>
      </w:fldSimple>
      <w:bookmarkEnd w:id="30"/>
      <w:r w:rsidRPr="0016185F">
        <w:t>: Comparison of Pre- and Post-installation Cooling System Load for the Average August Weekday</w:t>
      </w:r>
    </w:p>
    <w:p w:rsidR="002E1C1C" w:rsidRPr="009A464B" w:rsidRDefault="002E1C1C" w:rsidP="002E1C1C">
      <w:r w:rsidRPr="006C2F88">
        <w:rPr>
          <w:noProof/>
        </w:rPr>
        <w:drawing>
          <wp:inline distT="0" distB="0" distL="0" distR="0" wp14:anchorId="7FF449B2" wp14:editId="59BC33E3">
            <wp:extent cx="5943600" cy="2971800"/>
            <wp:effectExtent l="0" t="0" r="0" b="0"/>
            <wp:docPr id="3086" name="Picture 3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Pr="001D1C3E" w:rsidRDefault="001D1C3E" w:rsidP="001D1C3E">
      <w:pPr>
        <w:rPr>
          <w:rFonts w:ascii="Arial" w:hAnsi="Arial"/>
          <w:color w:val="1C1C1C"/>
        </w:rPr>
      </w:pPr>
      <w:r w:rsidRPr="001D1C3E">
        <w:rPr>
          <w:rFonts w:ascii="Arial" w:hAnsi="Arial"/>
          <w:color w:val="1C1C1C"/>
        </w:rPr>
        <w:lastRenderedPageBreak/>
        <w:fldChar w:fldCharType="begin"/>
      </w:r>
      <w:r w:rsidRPr="001D1C3E">
        <w:rPr>
          <w:rFonts w:ascii="Arial" w:hAnsi="Arial"/>
          <w:color w:val="1C1C1C"/>
        </w:rPr>
        <w:instrText xml:space="preserve"> REF _Ref476298001 \h  \* MERGEFORMAT </w:instrText>
      </w:r>
      <w:r w:rsidRPr="001D1C3E">
        <w:rPr>
          <w:rFonts w:ascii="Arial" w:hAnsi="Arial"/>
          <w:color w:val="1C1C1C"/>
        </w:rPr>
      </w:r>
      <w:r w:rsidRPr="001D1C3E">
        <w:rPr>
          <w:rFonts w:ascii="Arial" w:hAnsi="Arial"/>
          <w:color w:val="1C1C1C"/>
        </w:rPr>
        <w:fldChar w:fldCharType="separate"/>
      </w:r>
      <w:r w:rsidRPr="001D1C3E">
        <w:rPr>
          <w:rFonts w:ascii="Arial" w:hAnsi="Arial"/>
          <w:color w:val="1C1C1C"/>
        </w:rPr>
        <w:t>Figure 3</w:t>
      </w:r>
      <w:r w:rsidRPr="001D1C3E">
        <w:rPr>
          <w:rFonts w:ascii="Arial" w:hAnsi="Arial"/>
          <w:color w:val="1C1C1C"/>
        </w:rPr>
        <w:noBreakHyphen/>
        <w:t>2</w:t>
      </w:r>
      <w:r w:rsidRPr="001D1C3E">
        <w:rPr>
          <w:rFonts w:ascii="Arial" w:hAnsi="Arial"/>
          <w:color w:val="1C1C1C"/>
        </w:rPr>
        <w:fldChar w:fldCharType="end"/>
      </w:r>
      <w:r w:rsidRPr="001D1C3E">
        <w:rPr>
          <w:rFonts w:ascii="Arial" w:hAnsi="Arial"/>
          <w:color w:val="1C1C1C"/>
        </w:rPr>
        <w:t xml:space="preserve"> shows the results of the best model from the out-of-sample testing from the model selection process averaged across the 12 peak load days in the pre-installation period that were used for out-of-sample testing.</w:t>
      </w:r>
      <w:r w:rsidRPr="001D1C3E">
        <w:rPr>
          <w:rFonts w:ascii="Arial" w:hAnsi="Arial"/>
          <w:color w:val="1C1C1C"/>
          <w:vertAlign w:val="superscript"/>
        </w:rPr>
        <w:footnoteReference w:id="16"/>
      </w:r>
      <w:r w:rsidRPr="001D1C3E">
        <w:rPr>
          <w:rFonts w:ascii="Arial" w:hAnsi="Arial"/>
          <w:color w:val="1C1C1C"/>
        </w:rPr>
        <w:t xml:space="preserve"> The average predicted hourly COP from the model is shown in blue, and the actual COP averaged across the 12 peak load days is shown in green. The aggregation across days acts to smooth out the variation observed at the daily level, and provides an estimate of how well the model will predict load for an average peak load day. Given the hourly variation of COP and that the estimation is only for a single customer, the model appears to predict COP relatively well. The difference between the predicted and observed COP is fairly balanced between being positive and negative over the course of the average peak load day; however, the model consistently overestimates COP during the program operational hours (noon to 6 PM). Assuming accuracy in the measured post-installation cooling ton data, this will have the effect of slightly underestimating baseline usage, defined as ratio of the observed cooling tons to the estimated COP, and consequently underestimating ex post impacts. The difference between the predicted and observed COP is captured by the modeling estimation process, and is later reflected in the confidence intervals around the load impact estimation. </w:t>
      </w:r>
    </w:p>
    <w:p w:rsidR="001D1C3E" w:rsidRPr="001D1C3E" w:rsidRDefault="001D1C3E" w:rsidP="001D1C3E">
      <w:pPr>
        <w:rPr>
          <w:rFonts w:ascii="Arial" w:hAnsi="Arial"/>
          <w:b/>
          <w:color w:val="1C1C1C"/>
        </w:rPr>
      </w:pPr>
      <w:bookmarkStart w:id="31" w:name="_Ref476298001"/>
      <w:r w:rsidRPr="001D1C3E">
        <w:rPr>
          <w:rFonts w:ascii="Arial" w:hAnsi="Arial"/>
          <w:b/>
          <w:color w:val="1C1C1C"/>
        </w:rPr>
        <w:t xml:space="preserve">Figure </w:t>
      </w:r>
      <w:r w:rsidRPr="001D1C3E">
        <w:rPr>
          <w:rFonts w:ascii="Arial" w:hAnsi="Arial"/>
          <w:b/>
          <w:color w:val="1C1C1C"/>
        </w:rPr>
        <w:fldChar w:fldCharType="begin"/>
      </w:r>
      <w:r w:rsidRPr="001D1C3E">
        <w:rPr>
          <w:rFonts w:ascii="Arial" w:hAnsi="Arial"/>
          <w:b/>
          <w:color w:val="1C1C1C"/>
        </w:rPr>
        <w:instrText xml:space="preserve"> STYLEREF 1 \s </w:instrText>
      </w:r>
      <w:r w:rsidRPr="001D1C3E">
        <w:rPr>
          <w:rFonts w:ascii="Arial" w:hAnsi="Arial"/>
          <w:b/>
          <w:color w:val="1C1C1C"/>
        </w:rPr>
        <w:fldChar w:fldCharType="separate"/>
      </w:r>
      <w:r w:rsidRPr="001D1C3E">
        <w:rPr>
          <w:rFonts w:ascii="Arial" w:hAnsi="Arial"/>
          <w:b/>
          <w:color w:val="1C1C1C"/>
        </w:rPr>
        <w:t>3</w:t>
      </w:r>
      <w:r w:rsidRPr="001D1C3E">
        <w:rPr>
          <w:rFonts w:ascii="Arial" w:hAnsi="Arial"/>
          <w:color w:val="1C1C1C"/>
        </w:rPr>
        <w:fldChar w:fldCharType="end"/>
      </w:r>
      <w:r w:rsidRPr="001D1C3E">
        <w:rPr>
          <w:rFonts w:ascii="Arial" w:hAnsi="Arial"/>
          <w:b/>
          <w:color w:val="1C1C1C"/>
        </w:rPr>
        <w:noBreakHyphen/>
      </w:r>
      <w:r w:rsidRPr="001D1C3E">
        <w:rPr>
          <w:rFonts w:ascii="Arial" w:hAnsi="Arial"/>
          <w:b/>
          <w:color w:val="1C1C1C"/>
        </w:rPr>
        <w:fldChar w:fldCharType="begin"/>
      </w:r>
      <w:r w:rsidRPr="001D1C3E">
        <w:rPr>
          <w:rFonts w:ascii="Arial" w:hAnsi="Arial"/>
          <w:b/>
          <w:color w:val="1C1C1C"/>
        </w:rPr>
        <w:instrText xml:space="preserve"> SEQ Figure \* ARABIC \s 1 </w:instrText>
      </w:r>
      <w:r w:rsidRPr="001D1C3E">
        <w:rPr>
          <w:rFonts w:ascii="Arial" w:hAnsi="Arial"/>
          <w:b/>
          <w:color w:val="1C1C1C"/>
        </w:rPr>
        <w:fldChar w:fldCharType="separate"/>
      </w:r>
      <w:r w:rsidRPr="001D1C3E">
        <w:rPr>
          <w:rFonts w:ascii="Arial" w:hAnsi="Arial"/>
          <w:b/>
          <w:color w:val="1C1C1C"/>
        </w:rPr>
        <w:t>2</w:t>
      </w:r>
      <w:r w:rsidRPr="001D1C3E">
        <w:rPr>
          <w:rFonts w:ascii="Arial" w:hAnsi="Arial"/>
          <w:color w:val="1C1C1C"/>
        </w:rPr>
        <w:fldChar w:fldCharType="end"/>
      </w:r>
      <w:bookmarkEnd w:id="31"/>
      <w:r w:rsidRPr="001D1C3E">
        <w:rPr>
          <w:rFonts w:ascii="Arial" w:hAnsi="Arial"/>
          <w:b/>
          <w:color w:val="1C1C1C"/>
        </w:rPr>
        <w:t>: Average Predicted &amp; Observed COP across the Peak Load Days Iteratively Withheld for Out-of-sample Testing</w:t>
      </w:r>
    </w:p>
    <w:p w:rsidR="001D1C3E" w:rsidRPr="001D1C3E" w:rsidRDefault="001D1C3E" w:rsidP="001D1C3E">
      <w:pPr>
        <w:rPr>
          <w:rFonts w:ascii="Arial" w:hAnsi="Arial"/>
          <w:color w:val="1C1C1C"/>
        </w:rPr>
      </w:pPr>
      <w:r w:rsidRPr="001D1C3E">
        <w:rPr>
          <w:rFonts w:ascii="Arial" w:hAnsi="Arial"/>
          <w:noProof/>
          <w:color w:val="1C1C1C"/>
        </w:rPr>
        <w:drawing>
          <wp:inline distT="0" distB="0" distL="0" distR="0" wp14:anchorId="5E327689" wp14:editId="50FA3F4F">
            <wp:extent cx="5943600" cy="2971800"/>
            <wp:effectExtent l="0" t="0" r="0" b="0"/>
            <wp:docPr id="3084" name="Picture 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Pr="001D1C3E" w:rsidRDefault="001D1C3E" w:rsidP="001D1C3E">
      <w:pPr>
        <w:rPr>
          <w:rFonts w:ascii="Arial" w:hAnsi="Arial"/>
          <w:b/>
          <w:color w:val="1C1C1C"/>
        </w:rPr>
      </w:pPr>
      <w:r w:rsidRPr="001D1C3E">
        <w:rPr>
          <w:rFonts w:ascii="Arial" w:hAnsi="Arial"/>
          <w:color w:val="1C1C1C"/>
        </w:rPr>
        <w:t xml:space="preserve">The final driver of estimated ex post baseline cooling load is the observed cooling tons for the post-installation period. </w:t>
      </w:r>
      <w:r w:rsidRPr="001D1C3E">
        <w:rPr>
          <w:rFonts w:ascii="Arial" w:hAnsi="Arial"/>
          <w:color w:val="1C1C1C"/>
        </w:rPr>
        <w:fldChar w:fldCharType="begin"/>
      </w:r>
      <w:r w:rsidRPr="001D1C3E">
        <w:rPr>
          <w:rFonts w:ascii="Arial" w:hAnsi="Arial"/>
          <w:color w:val="1C1C1C"/>
        </w:rPr>
        <w:instrText xml:space="preserve"> REF _Ref477383179 \h  \* MERGEFORMAT </w:instrText>
      </w:r>
      <w:r w:rsidRPr="001D1C3E">
        <w:rPr>
          <w:rFonts w:ascii="Arial" w:hAnsi="Arial"/>
          <w:color w:val="1C1C1C"/>
        </w:rPr>
      </w:r>
      <w:r w:rsidRPr="001D1C3E">
        <w:rPr>
          <w:rFonts w:ascii="Arial" w:hAnsi="Arial"/>
          <w:color w:val="1C1C1C"/>
        </w:rPr>
        <w:fldChar w:fldCharType="separate"/>
      </w:r>
    </w:p>
    <w:p w:rsidR="00093D3D" w:rsidRDefault="001D1C3E" w:rsidP="001D1C3E">
      <w:pPr>
        <w:rPr>
          <w:rFonts w:ascii="Arial" w:hAnsi="Arial"/>
          <w:b/>
        </w:rPr>
      </w:pPr>
      <w:r w:rsidRPr="001D1C3E">
        <w:rPr>
          <w:rFonts w:ascii="Arial" w:hAnsi="Arial"/>
          <w:color w:val="1C1C1C"/>
        </w:rPr>
        <w:t>Figure 3</w:t>
      </w:r>
      <w:r w:rsidRPr="001D1C3E">
        <w:rPr>
          <w:rFonts w:ascii="Arial" w:hAnsi="Arial"/>
          <w:color w:val="1C1C1C"/>
        </w:rPr>
        <w:noBreakHyphen/>
        <w:t>3</w:t>
      </w:r>
      <w:r w:rsidRPr="001D1C3E">
        <w:rPr>
          <w:rFonts w:ascii="Arial" w:hAnsi="Arial"/>
          <w:color w:val="1C1C1C"/>
        </w:rPr>
        <w:fldChar w:fldCharType="end"/>
      </w:r>
      <w:r w:rsidRPr="001D1C3E">
        <w:rPr>
          <w:rFonts w:ascii="Arial" w:hAnsi="Arial"/>
          <w:color w:val="1C1C1C"/>
        </w:rPr>
        <w:t xml:space="preserve"> through </w:t>
      </w:r>
      <w:r w:rsidRPr="001D1C3E">
        <w:rPr>
          <w:rFonts w:ascii="Arial" w:hAnsi="Arial"/>
          <w:color w:val="1C1C1C"/>
        </w:rPr>
        <w:fldChar w:fldCharType="begin"/>
      </w:r>
      <w:r w:rsidRPr="001D1C3E">
        <w:rPr>
          <w:rFonts w:ascii="Arial" w:hAnsi="Arial"/>
          <w:color w:val="1C1C1C"/>
        </w:rPr>
        <w:instrText xml:space="preserve"> REF _Ref477383181 \h  \* MERGEFORMAT </w:instrText>
      </w:r>
      <w:r w:rsidRPr="001D1C3E">
        <w:rPr>
          <w:rFonts w:ascii="Arial" w:hAnsi="Arial"/>
          <w:color w:val="1C1C1C"/>
        </w:rPr>
      </w:r>
      <w:r w:rsidRPr="001D1C3E">
        <w:rPr>
          <w:rFonts w:ascii="Arial" w:hAnsi="Arial"/>
          <w:color w:val="1C1C1C"/>
        </w:rPr>
        <w:fldChar w:fldCharType="separate"/>
      </w:r>
      <w:r w:rsidRPr="001D1C3E">
        <w:rPr>
          <w:rFonts w:ascii="Arial" w:hAnsi="Arial"/>
          <w:color w:val="1C1C1C"/>
        </w:rPr>
        <w:t>Figure 3</w:t>
      </w:r>
      <w:r w:rsidRPr="001D1C3E">
        <w:rPr>
          <w:rFonts w:ascii="Arial" w:hAnsi="Arial"/>
          <w:color w:val="1C1C1C"/>
        </w:rPr>
        <w:noBreakHyphen/>
        <w:t>5</w:t>
      </w:r>
      <w:r w:rsidRPr="001D1C3E">
        <w:rPr>
          <w:rFonts w:ascii="Arial" w:hAnsi="Arial"/>
          <w:color w:val="1C1C1C"/>
        </w:rPr>
        <w:fldChar w:fldCharType="end"/>
      </w:r>
      <w:r w:rsidRPr="001D1C3E">
        <w:rPr>
          <w:rFonts w:ascii="Arial" w:hAnsi="Arial"/>
          <w:color w:val="1C1C1C"/>
        </w:rPr>
        <w:t xml:space="preserve"> show the average observed cooling tons and cooling load in the pre-installation period compared to the observed cooling tons and estimated cooling load for the </w:t>
      </w:r>
      <w:r w:rsidRPr="001D1C3E">
        <w:rPr>
          <w:rFonts w:ascii="Arial" w:hAnsi="Arial"/>
          <w:color w:val="1C1C1C"/>
        </w:rPr>
        <w:lastRenderedPageBreak/>
        <w:t xml:space="preserve">overlapping post-installation period. The figures clearly show a marked increase in average cooling tons in the post-installation period, which consequently drives higher baseline cooling </w:t>
      </w:r>
      <w:r w:rsidR="00093D3D">
        <w:t xml:space="preserve">loads on average. The figures also demonstrate a change in the building’s cooling capacity needs from the pre- to post-installation period. </w:t>
      </w:r>
      <w:bookmarkStart w:id="32" w:name="_Ref477383179"/>
    </w:p>
    <w:bookmarkEnd w:id="32"/>
    <w:p w:rsidR="001D1C3E" w:rsidRDefault="001D1C3E" w:rsidP="001D1C3E">
      <w:pPr>
        <w:pStyle w:val="Caption"/>
      </w:pPr>
      <w:r w:rsidRPr="0016185F">
        <w:t xml:space="preserve">Figure </w:t>
      </w:r>
      <w:fldSimple w:instr=" STYLEREF 1 \s ">
        <w:r w:rsidRPr="0016185F">
          <w:rPr>
            <w:noProof/>
          </w:rPr>
          <w:t>3</w:t>
        </w:r>
      </w:fldSimple>
      <w:r w:rsidRPr="0016185F">
        <w:noBreakHyphen/>
      </w:r>
      <w:fldSimple w:instr=" SEQ Figure \* ARABIC \s 1 ">
        <w:r w:rsidRPr="0016185F">
          <w:rPr>
            <w:noProof/>
          </w:rPr>
          <w:t>3</w:t>
        </w:r>
      </w:fldSimple>
      <w:r w:rsidRPr="0016185F">
        <w:t>: Comparison of the Pre- and Post-installation Cooling Tons and Baseline Cooling Load for the July Average Weekday</w:t>
      </w:r>
      <w:r>
        <w:t xml:space="preserve"> </w:t>
      </w:r>
    </w:p>
    <w:p w:rsidR="001D1C3E" w:rsidRDefault="001D1C3E" w:rsidP="001D1C3E">
      <w:pPr>
        <w:pStyle w:val="Caption"/>
        <w:rPr>
          <w:highlight w:val="lightGray"/>
        </w:rPr>
      </w:pPr>
      <w:bookmarkStart w:id="33" w:name="_Ref477383180"/>
      <w:r w:rsidRPr="006C2F88">
        <w:rPr>
          <w:noProof/>
        </w:rPr>
        <w:drawing>
          <wp:inline distT="0" distB="0" distL="0" distR="0" wp14:anchorId="72019E01" wp14:editId="43177D48">
            <wp:extent cx="5943600" cy="2971800"/>
            <wp:effectExtent l="0" t="0" r="0" b="0"/>
            <wp:docPr id="3085" name="Picture 3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pStyle w:val="Caption"/>
      </w:pPr>
      <w:r w:rsidRPr="0016185F">
        <w:t xml:space="preserve">Figure </w:t>
      </w:r>
      <w:fldSimple w:instr=" STYLEREF 1 \s ">
        <w:r w:rsidRPr="0016185F">
          <w:rPr>
            <w:noProof/>
          </w:rPr>
          <w:t>3</w:t>
        </w:r>
      </w:fldSimple>
      <w:r w:rsidRPr="0016185F">
        <w:noBreakHyphen/>
      </w:r>
      <w:fldSimple w:instr=" SEQ Figure \* ARABIC \s 1 ">
        <w:r w:rsidRPr="0016185F">
          <w:rPr>
            <w:noProof/>
          </w:rPr>
          <w:t>4</w:t>
        </w:r>
      </w:fldSimple>
      <w:bookmarkEnd w:id="33"/>
      <w:r w:rsidRPr="0016185F">
        <w:t>: Comparison of the Pre- and Post-installation Cooling Tons and Baseline Cooling Load for the August Average Weekday</w:t>
      </w:r>
    </w:p>
    <w:p w:rsidR="001D1C3E" w:rsidRPr="00E623E5" w:rsidRDefault="001D1C3E" w:rsidP="001D1C3E">
      <w:pPr>
        <w:jc w:val="center"/>
      </w:pPr>
      <w:r w:rsidRPr="006C2F88">
        <w:rPr>
          <w:noProof/>
        </w:rPr>
        <w:drawing>
          <wp:inline distT="0" distB="0" distL="0" distR="0" wp14:anchorId="772E02CD" wp14:editId="3B2E75E6">
            <wp:extent cx="5943600" cy="2971800"/>
            <wp:effectExtent l="0" t="0" r="0" b="0"/>
            <wp:docPr id="3087" name="Picture 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Pr="00E623E5" w:rsidRDefault="001D1C3E" w:rsidP="001D1C3E">
      <w:pPr>
        <w:pStyle w:val="Caption"/>
      </w:pPr>
      <w:bookmarkStart w:id="34" w:name="_Ref477383181"/>
      <w:r w:rsidRPr="0016185F">
        <w:lastRenderedPageBreak/>
        <w:t xml:space="preserve">Figure </w:t>
      </w:r>
      <w:fldSimple w:instr=" STYLEREF 1 \s ">
        <w:r w:rsidRPr="0016185F">
          <w:rPr>
            <w:noProof/>
          </w:rPr>
          <w:t>3</w:t>
        </w:r>
      </w:fldSimple>
      <w:r w:rsidRPr="0016185F">
        <w:noBreakHyphen/>
      </w:r>
      <w:fldSimple w:instr=" SEQ Figure \* ARABIC \s 1 ">
        <w:r w:rsidRPr="0016185F">
          <w:rPr>
            <w:noProof/>
          </w:rPr>
          <w:t>5</w:t>
        </w:r>
      </w:fldSimple>
      <w:bookmarkEnd w:id="34"/>
      <w:r w:rsidRPr="0016185F">
        <w:t>: Comparison of the Pre- and Post-installation Cooling Tons and Baseline Cooling Load for the September Average Weekday</w:t>
      </w:r>
      <w:r w:rsidRPr="006C2F88">
        <w:rPr>
          <w:noProof/>
        </w:rPr>
        <w:drawing>
          <wp:inline distT="0" distB="0" distL="0" distR="0" wp14:anchorId="006DC2F6" wp14:editId="0DDD1902">
            <wp:extent cx="5943600" cy="2971800"/>
            <wp:effectExtent l="0" t="0" r="0" b="0"/>
            <wp:docPr id="3088" name="Picture 3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rPr>
          <w:rFonts w:ascii="Arial" w:hAnsi="Arial"/>
          <w:b/>
        </w:rPr>
      </w:pPr>
      <w:r w:rsidRPr="00A27F33">
        <w:fldChar w:fldCharType="begin"/>
      </w:r>
      <w:r w:rsidRPr="00A27F33">
        <w:instrText xml:space="preserve"> REF _Ref476298039 \h </w:instrText>
      </w:r>
      <w:r>
        <w:instrText xml:space="preserve"> \* MERGEFORMAT </w:instrText>
      </w:r>
      <w:r w:rsidRPr="00A27F33">
        <w:fldChar w:fldCharType="separate"/>
      </w:r>
      <w:r w:rsidRPr="00AA4AC2">
        <w:t xml:space="preserve">Figure </w:t>
      </w:r>
      <w:r w:rsidRPr="00AA4AC2">
        <w:rPr>
          <w:noProof/>
        </w:rPr>
        <w:t>3</w:t>
      </w:r>
      <w:r w:rsidRPr="00AA4AC2">
        <w:rPr>
          <w:noProof/>
        </w:rPr>
        <w:noBreakHyphen/>
        <w:t>6</w:t>
      </w:r>
      <w:r w:rsidRPr="00A27F33">
        <w:fldChar w:fldCharType="end"/>
      </w:r>
      <w:r w:rsidRPr="00A27F33">
        <w:t xml:space="preserve"> shows the ex post load impact table for the August system peak day, which shows an average load shift of </w:t>
      </w:r>
      <w:r w:rsidRPr="0016185F">
        <w:rPr>
          <w:highlight w:val="black"/>
        </w:rPr>
        <w:t>XXXX</w:t>
      </w:r>
      <w:r w:rsidRPr="00A27F33">
        <w:t xml:space="preserve"> kW. According to the customer’s feasibility study, the TES system would provide a maximum load shift of approximately </w:t>
      </w:r>
      <w:r w:rsidRPr="0016185F">
        <w:rPr>
          <w:highlight w:val="black"/>
        </w:rPr>
        <w:t>XXX</w:t>
      </w:r>
      <w:r w:rsidRPr="00A27F33">
        <w:t xml:space="preserve"> kW. It should be noted that the estimated reference load, with a maximum value of over </w:t>
      </w:r>
      <w:r w:rsidRPr="0016185F">
        <w:rPr>
          <w:highlight w:val="black"/>
        </w:rPr>
        <w:t>XXXXX</w:t>
      </w:r>
      <w:r w:rsidRPr="00A27F33">
        <w:t xml:space="preserve"> kW </w:t>
      </w:r>
      <w:r>
        <w:t xml:space="preserve">occurs </w:t>
      </w:r>
      <w:r w:rsidRPr="00A27F33">
        <w:t>in hour ending 17 exceeded all previously observed hourly load values from the pre-installation period. While the average temperature between midnight and 5 PM, also known as mean17,</w:t>
      </w:r>
      <w:r w:rsidRPr="00A27F33">
        <w:rPr>
          <w:rStyle w:val="FootnoteReference"/>
        </w:rPr>
        <w:footnoteReference w:id="17"/>
      </w:r>
      <w:r w:rsidRPr="00A27F33">
        <w:t xml:space="preserve"> was within the range of values observed during the pre-installation period, </w:t>
      </w:r>
      <w:r>
        <w:fldChar w:fldCharType="begin"/>
      </w:r>
      <w:r>
        <w:instrText xml:space="preserve"> REF _Ref477383179 \h  \* MERGEFORMAT </w:instrText>
      </w:r>
      <w:r>
        <w:fldChar w:fldCharType="separate"/>
      </w:r>
    </w:p>
    <w:p w:rsidR="001D1C3E" w:rsidRPr="006A5995" w:rsidRDefault="001D1C3E" w:rsidP="001D1C3E">
      <w:pPr>
        <w:rPr>
          <w:rFonts w:ascii="Arial" w:hAnsi="Arial"/>
          <w:b/>
        </w:rPr>
      </w:pPr>
      <w:r w:rsidRPr="0016185F">
        <w:t xml:space="preserve">Figures </w:t>
      </w:r>
      <w:r w:rsidRPr="0016185F">
        <w:rPr>
          <w:noProof/>
        </w:rPr>
        <w:t>3</w:t>
      </w:r>
      <w:r w:rsidRPr="0016185F">
        <w:noBreakHyphen/>
      </w:r>
      <w:r w:rsidRPr="0016185F">
        <w:rPr>
          <w:noProof/>
        </w:rPr>
        <w:t>3</w:t>
      </w:r>
      <w:r>
        <w:fldChar w:fldCharType="end"/>
      </w:r>
      <w:r>
        <w:t xml:space="preserve"> through </w:t>
      </w:r>
      <w:r w:rsidRPr="0016185F">
        <w:t>3-5</w:t>
      </w:r>
      <w:r>
        <w:t xml:space="preserve"> indicate</w:t>
      </w:r>
      <w:r w:rsidRPr="00A27F33">
        <w:t xml:space="preserve"> the </w:t>
      </w:r>
      <w:r>
        <w:t xml:space="preserve">building’s </w:t>
      </w:r>
      <w:r w:rsidRPr="00A27F33">
        <w:t>cooling capacity needs differ</w:t>
      </w:r>
      <w:r>
        <w:t>ed</w:t>
      </w:r>
      <w:r w:rsidRPr="00A27F33">
        <w:t xml:space="preserve"> from the pre- and post-installation period. </w:t>
      </w:r>
      <w:r>
        <w:t xml:space="preserve">One explanation could be that the previous cooling system wasn’t being used at full capacity under the conditions captured in the three months of pre-installation data. </w:t>
      </w:r>
      <w:r w:rsidRPr="00A27F33">
        <w:t xml:space="preserve">Consequently, it is entirely plausible that the estimated reference load reflects what would have occurred in the absence of the PLS system.   </w:t>
      </w:r>
    </w:p>
    <w:p w:rsidR="00093D3D" w:rsidRPr="005C1EEE" w:rsidRDefault="001D1C3E" w:rsidP="001D1C3E">
      <w:pPr>
        <w:pStyle w:val="BodyParagraph"/>
        <w:sectPr w:rsidR="00093D3D" w:rsidRPr="005C1EEE" w:rsidSect="00355BC6">
          <w:headerReference w:type="default" r:id="rId42"/>
          <w:footerReference w:type="default" r:id="rId43"/>
          <w:pgSz w:w="12240" w:h="15840"/>
          <w:pgMar w:top="1440" w:right="1440" w:bottom="1440" w:left="1440" w:header="720" w:footer="720" w:gutter="0"/>
          <w:cols w:space="720"/>
          <w:docGrid w:linePitch="360"/>
        </w:sectPr>
      </w:pPr>
      <w:r>
        <w:t>The</w:t>
      </w:r>
      <w:r w:rsidRPr="00821A6A">
        <w:t xml:space="preserve"> upper and lower confidence intervals on the graph (green dashed lines) represent the uncertainty surrounding the load impact estimate. The uncertainty in the load impact estimation is a direct result of estimating the reference load, which reflects what load would have likely been in the absence of the PLS system. </w:t>
      </w:r>
      <w:r>
        <w:t xml:space="preserve">The largest hourly load shift on the August system peak day shown </w:t>
      </w:r>
      <w:r w:rsidRPr="0016185F">
        <w:t xml:space="preserve">in </w:t>
      </w:r>
      <w:r w:rsidRPr="0016185F">
        <w:fldChar w:fldCharType="begin"/>
      </w:r>
      <w:r w:rsidRPr="0016185F">
        <w:instrText xml:space="preserve"> REF _Ref476298039 \h </w:instrText>
      </w:r>
      <w:r>
        <w:instrText xml:space="preserve"> \* MERGEFORMAT </w:instrText>
      </w:r>
      <w:r w:rsidRPr="0016185F">
        <w:fldChar w:fldCharType="separate"/>
      </w:r>
      <w:r w:rsidRPr="0016185F">
        <w:t xml:space="preserve">Figure </w:t>
      </w:r>
      <w:r w:rsidRPr="0016185F">
        <w:rPr>
          <w:noProof/>
        </w:rPr>
        <w:t>3</w:t>
      </w:r>
      <w:r w:rsidRPr="0016185F">
        <w:noBreakHyphen/>
      </w:r>
      <w:r w:rsidRPr="0016185F">
        <w:rPr>
          <w:noProof/>
        </w:rPr>
        <w:t>6</w:t>
      </w:r>
      <w:r w:rsidRPr="0016185F">
        <w:fldChar w:fldCharType="end"/>
      </w:r>
      <w:r>
        <w:t xml:space="preserve"> was </w:t>
      </w:r>
      <w:r w:rsidRPr="0016185F">
        <w:rPr>
          <w:highlight w:val="black"/>
        </w:rPr>
        <w:t>XXXX</w:t>
      </w:r>
      <w:r>
        <w:t xml:space="preserve"> kW, which occurred in hour ending 17. </w:t>
      </w:r>
      <w:r w:rsidRPr="00F44255">
        <w:t xml:space="preserve">The upper and lower bounds of the 90% confidence interval are </w:t>
      </w:r>
      <w:r w:rsidRPr="0016185F">
        <w:rPr>
          <w:highlight w:val="black"/>
        </w:rPr>
        <w:t>XXXXX</w:t>
      </w:r>
      <w:r w:rsidRPr="00F44255">
        <w:t xml:space="preserve"> kW and </w:t>
      </w:r>
      <w:r w:rsidRPr="0016185F">
        <w:rPr>
          <w:highlight w:val="black"/>
        </w:rPr>
        <w:t>XXXX</w:t>
      </w:r>
      <w:r w:rsidRPr="00F44255">
        <w:t xml:space="preserve"> kW, respectively. This range represents the point estimate of the load impact plus or minus </w:t>
      </w:r>
      <w:r>
        <w:t>38</w:t>
      </w:r>
      <w:r w:rsidRPr="00F44255">
        <w:t>%. Most demand response load impact evaluations exhibit much narrower confidence intervals; however, that is</w:t>
      </w:r>
      <w:r>
        <w:t> </w:t>
      </w:r>
      <w:r w:rsidRPr="00F44255">
        <w:t xml:space="preserve">also the result of including hundreds or thousands of customers in the estimation process. Confidence intervals for a single customer will always be relatively wide compared to regression </w:t>
      </w:r>
      <w:r w:rsidR="00093D3D" w:rsidRPr="00F44255">
        <w:lastRenderedPageBreak/>
        <w:t>estimates from a larger population.</w:t>
      </w:r>
      <w:r w:rsidR="00093D3D">
        <w:t xml:space="preserve"> In this case, the confidence intervals are also quite wide relative to other regression estimates because the regression model estimates COP, so the variance is captured at the COP estimate level. In order to calculate baseline cooling load, the observed cooling tons are divided by the estimated COP. Consequently, the estimated variance must also be scaled to reflect the uncertainty of the baseline usage in kWh. The scaled variance is proportional to the cooling tons, the original variance from the COP estimation, and the inverse of the estimated COP to the fourth power. As many of the COP estimates are less than one, the above relationship drives the large confidence intervals. It should also be noted that the confidence interval is narrower when observing results for the average weekday versus the monthly system peak day. This is due to having approximately </w:t>
      </w:r>
      <w:r w:rsidR="006B644D">
        <w:t xml:space="preserve">20 </w:t>
      </w:r>
      <w:r w:rsidR="00093D3D">
        <w:t xml:space="preserve">average weekday observations for the estimation whereas there is only a single monthly system peak day.   </w:t>
      </w:r>
    </w:p>
    <w:p w:rsidR="001D1C3E" w:rsidRPr="001E3E5F" w:rsidRDefault="001D1C3E" w:rsidP="001D1C3E">
      <w:pPr>
        <w:pStyle w:val="Caption"/>
      </w:pPr>
      <w:bookmarkStart w:id="35" w:name="_Ref476298039"/>
      <w:r w:rsidRPr="0016185F">
        <w:lastRenderedPageBreak/>
        <w:t xml:space="preserve">Figure </w:t>
      </w:r>
      <w:fldSimple w:instr=" STYLEREF 1 \s ">
        <w:r w:rsidRPr="0016185F">
          <w:rPr>
            <w:noProof/>
          </w:rPr>
          <w:t>3</w:t>
        </w:r>
      </w:fldSimple>
      <w:r w:rsidRPr="0016185F">
        <w:noBreakHyphen/>
      </w:r>
      <w:fldSimple w:instr=" SEQ Figure \* ARABIC \s 1 ">
        <w:r w:rsidRPr="0016185F">
          <w:rPr>
            <w:noProof/>
          </w:rPr>
          <w:t>6</w:t>
        </w:r>
      </w:fldSimple>
      <w:bookmarkEnd w:id="35"/>
      <w:r w:rsidRPr="0016185F">
        <w:t>: Ex Post Load Impact Table</w:t>
      </w:r>
      <w:r w:rsidRPr="0016185F">
        <w:rPr>
          <w:rFonts w:cs="Arial"/>
        </w:rPr>
        <w:t>—</w:t>
      </w:r>
      <w:r w:rsidRPr="0016185F">
        <w:t>August Monthly System Peak</w:t>
      </w:r>
    </w:p>
    <w:p w:rsidR="001D1C3E" w:rsidRPr="00B828B0" w:rsidRDefault="001D1C3E" w:rsidP="001D1C3E">
      <w:pPr>
        <w:pStyle w:val="BodyParagraph"/>
        <w:rPr>
          <w:highlight w:val="yellow"/>
        </w:rPr>
        <w:sectPr w:rsidR="001D1C3E" w:rsidRPr="00B828B0" w:rsidSect="0035172C">
          <w:footerReference w:type="default" r:id="rId44"/>
          <w:pgSz w:w="15840" w:h="12240" w:orient="landscape"/>
          <w:pgMar w:top="1440" w:right="1440" w:bottom="1440" w:left="1440" w:header="720" w:footer="720" w:gutter="0"/>
          <w:cols w:space="720"/>
          <w:docGrid w:linePitch="360"/>
        </w:sectPr>
      </w:pPr>
      <w:r w:rsidRPr="006C2F88">
        <w:rPr>
          <w:noProof/>
        </w:rPr>
        <w:drawing>
          <wp:inline distT="0" distB="0" distL="0" distR="0" wp14:anchorId="74B96ECB" wp14:editId="08DC4BB3">
            <wp:extent cx="8051800" cy="4025900"/>
            <wp:effectExtent l="0" t="0" r="6350" b="0"/>
            <wp:docPr id="3089" name="Picture 3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051800" cy="4025900"/>
                    </a:xfrm>
                    <a:prstGeom prst="rect">
                      <a:avLst/>
                    </a:prstGeom>
                    <a:noFill/>
                    <a:ln>
                      <a:noFill/>
                    </a:ln>
                  </pic:spPr>
                </pic:pic>
              </a:graphicData>
            </a:graphic>
          </wp:inline>
        </w:drawing>
      </w:r>
    </w:p>
    <w:bookmarkStart w:id="36" w:name="_Toc507085049"/>
    <w:p w:rsidR="001D1C3E" w:rsidRPr="00585891" w:rsidRDefault="001D1C3E" w:rsidP="001D1C3E">
      <w:pPr>
        <w:pStyle w:val="BodyParagraph"/>
      </w:pPr>
      <w:r w:rsidRPr="00337E19">
        <w:lastRenderedPageBreak/>
        <w:fldChar w:fldCharType="begin"/>
      </w:r>
      <w:r w:rsidRPr="00337E19">
        <w:instrText xml:space="preserve"> REF _Ref476293722 \h </w:instrText>
      </w:r>
      <w:r>
        <w:instrText xml:space="preserve"> \* MERGEFORMAT </w:instrText>
      </w:r>
      <w:r w:rsidRPr="00337E19">
        <w:fldChar w:fldCharType="separate"/>
      </w:r>
      <w:r w:rsidRPr="00AA4AC2">
        <w:t xml:space="preserve">Table </w:t>
      </w:r>
      <w:r w:rsidRPr="00AA4AC2">
        <w:rPr>
          <w:noProof/>
        </w:rPr>
        <w:t>3</w:t>
      </w:r>
      <w:r w:rsidRPr="00AA4AC2">
        <w:rPr>
          <w:noProof/>
        </w:rPr>
        <w:noBreakHyphen/>
        <w:t>1</w:t>
      </w:r>
      <w:r w:rsidRPr="00337E19">
        <w:fldChar w:fldCharType="end"/>
      </w:r>
      <w:r w:rsidRPr="00337E19">
        <w:t xml:space="preserve"> compares the monthly system peak day impact with </w:t>
      </w:r>
      <w:r>
        <w:t>the average weekday</w:t>
      </w:r>
      <w:r w:rsidRPr="00337E19">
        <w:t xml:space="preserve"> impact estimated for each month. The average impact across the peak hours and the maximum hourly impact are also presented. </w:t>
      </w:r>
      <w:r>
        <w:t xml:space="preserve">The August monthly system peak saw the highest impacts with an average shift of nearly </w:t>
      </w:r>
      <w:r w:rsidRPr="0016185F">
        <w:rPr>
          <w:highlight w:val="black"/>
        </w:rPr>
        <w:t>XXXX</w:t>
      </w:r>
      <w:r>
        <w:t xml:space="preserve"> kW and an hourly maximum of almost </w:t>
      </w:r>
      <w:r w:rsidRPr="0016185F">
        <w:rPr>
          <w:highlight w:val="black"/>
        </w:rPr>
        <w:t>XX</w:t>
      </w:r>
      <w:r>
        <w:t xml:space="preserve"> MW. Because PLS is not an event based program and the TES system runs at all hours during the program operational months, the average weekday impacts are more indicative of the day-to-day usage. The highest average weekday impact of </w:t>
      </w:r>
      <w:r w:rsidRPr="0016185F">
        <w:rPr>
          <w:highlight w:val="black"/>
        </w:rPr>
        <w:t>XXXX</w:t>
      </w:r>
      <w:r>
        <w:t xml:space="preserve"> kW was observed in July. </w:t>
      </w:r>
      <w:r w:rsidRPr="00585891">
        <w:t xml:space="preserve">The largest difference in the maximum hourly impact between the </w:t>
      </w:r>
      <w:r>
        <w:t>average weekday</w:t>
      </w:r>
      <w:r w:rsidRPr="00585891">
        <w:t xml:space="preserve"> and the system peak day occurred in</w:t>
      </w:r>
      <w:r>
        <w:t> </w:t>
      </w:r>
      <w:r w:rsidRPr="00585891">
        <w:t xml:space="preserve">May and was </w:t>
      </w:r>
      <w:r w:rsidRPr="0016185F">
        <w:rPr>
          <w:highlight w:val="black"/>
        </w:rPr>
        <w:t>XXXX</w:t>
      </w:r>
      <w:r w:rsidRPr="00585891">
        <w:t xml:space="preserve"> kW, or approximately </w:t>
      </w:r>
      <w:r w:rsidRPr="0016185F">
        <w:rPr>
          <w:highlight w:val="black"/>
        </w:rPr>
        <w:t>XX%.</w:t>
      </w:r>
    </w:p>
    <w:p w:rsidR="001D1C3E" w:rsidRDefault="001D1C3E" w:rsidP="001D1C3E">
      <w:pPr>
        <w:pStyle w:val="Caption"/>
        <w:rPr>
          <w:rFonts w:asciiTheme="minorHAnsi" w:hAnsiTheme="minorHAnsi"/>
        </w:rPr>
      </w:pPr>
      <w:bookmarkStart w:id="37" w:name="_Ref476293722"/>
      <w:r w:rsidRPr="0016185F">
        <w:t xml:space="preserve">Table </w:t>
      </w:r>
      <w:fldSimple w:instr=" STYLEREF 1 \s ">
        <w:r w:rsidRPr="0016185F">
          <w:rPr>
            <w:noProof/>
          </w:rPr>
          <w:t>3</w:t>
        </w:r>
      </w:fldSimple>
      <w:r w:rsidRPr="0016185F">
        <w:noBreakHyphen/>
      </w:r>
      <w:fldSimple w:instr=" SEQ Table \* ARABIC \s 1 ">
        <w:r w:rsidRPr="0016185F">
          <w:rPr>
            <w:noProof/>
          </w:rPr>
          <w:t>1</w:t>
        </w:r>
      </w:fldSimple>
      <w:bookmarkEnd w:id="37"/>
      <w:r w:rsidRPr="0016185F">
        <w:t>: Comparison of Monthly System Peak Day</w:t>
      </w:r>
      <w:r w:rsidRPr="0016185F">
        <w:rPr>
          <w:rStyle w:val="FootnoteReference"/>
        </w:rPr>
        <w:footnoteReference w:id="18"/>
      </w:r>
      <w:r w:rsidRPr="0016185F">
        <w:t xml:space="preserve"> and Average Weekday Impacts</w:t>
      </w:r>
    </w:p>
    <w:tbl>
      <w:tblPr>
        <w:tblW w:w="9360" w:type="dxa"/>
        <w:tblInd w:w="93" w:type="dxa"/>
        <w:tblLook w:val="04A0" w:firstRow="1" w:lastRow="0" w:firstColumn="1" w:lastColumn="0" w:noHBand="0" w:noVBand="1"/>
      </w:tblPr>
      <w:tblGrid>
        <w:gridCol w:w="1520"/>
        <w:gridCol w:w="1960"/>
        <w:gridCol w:w="1960"/>
        <w:gridCol w:w="1960"/>
        <w:gridCol w:w="1960"/>
      </w:tblGrid>
      <w:tr w:rsidR="001D1C3E" w:rsidRPr="00093D3D" w:rsidTr="00F13AE8">
        <w:trPr>
          <w:trHeight w:val="345"/>
        </w:trPr>
        <w:tc>
          <w:tcPr>
            <w:tcW w:w="1520" w:type="dxa"/>
            <w:vMerge w:val="restart"/>
            <w:tcBorders>
              <w:top w:val="single" w:sz="4" w:space="0" w:color="auto"/>
              <w:left w:val="single" w:sz="4" w:space="0" w:color="auto"/>
              <w:bottom w:val="single" w:sz="4" w:space="0" w:color="000000"/>
              <w:right w:val="single" w:sz="4" w:space="0" w:color="FFFFFF"/>
            </w:tcBorders>
            <w:shd w:val="clear" w:color="000000" w:fill="0070CD"/>
            <w:noWrap/>
            <w:vAlign w:val="center"/>
            <w:hideMark/>
          </w:tcPr>
          <w:p w:rsidR="001D1C3E" w:rsidRPr="00093D3D" w:rsidRDefault="001D1C3E" w:rsidP="00F13AE8">
            <w:pPr>
              <w:spacing w:after="0"/>
              <w:jc w:val="center"/>
              <w:rPr>
                <w:rFonts w:ascii="Arial" w:hAnsi="Arial" w:cs="Arial"/>
                <w:b/>
                <w:bCs/>
                <w:color w:val="FFFFFF"/>
              </w:rPr>
            </w:pPr>
            <w:r w:rsidRPr="00093D3D">
              <w:rPr>
                <w:rFonts w:ascii="Arial" w:hAnsi="Arial" w:cs="Arial"/>
                <w:b/>
                <w:bCs/>
                <w:color w:val="FFFFFF"/>
              </w:rPr>
              <w:t>Month</w:t>
            </w:r>
          </w:p>
        </w:tc>
        <w:tc>
          <w:tcPr>
            <w:tcW w:w="3920" w:type="dxa"/>
            <w:gridSpan w:val="2"/>
            <w:tcBorders>
              <w:top w:val="single" w:sz="4" w:space="0" w:color="auto"/>
              <w:left w:val="nil"/>
              <w:bottom w:val="single" w:sz="4" w:space="0" w:color="FFFFFF"/>
              <w:right w:val="single" w:sz="4" w:space="0" w:color="FFFFFF"/>
            </w:tcBorders>
            <w:shd w:val="clear" w:color="000000" w:fill="0070CD"/>
            <w:noWrap/>
            <w:vAlign w:val="center"/>
            <w:hideMark/>
          </w:tcPr>
          <w:p w:rsidR="001D1C3E" w:rsidRPr="00093D3D" w:rsidRDefault="001D1C3E" w:rsidP="00F13AE8">
            <w:pPr>
              <w:spacing w:after="0"/>
              <w:jc w:val="center"/>
              <w:rPr>
                <w:rFonts w:ascii="Arial" w:hAnsi="Arial" w:cs="Arial"/>
                <w:b/>
                <w:bCs/>
                <w:color w:val="FFFFFF"/>
              </w:rPr>
            </w:pPr>
            <w:r w:rsidRPr="00093D3D">
              <w:rPr>
                <w:rFonts w:ascii="Arial" w:hAnsi="Arial" w:cs="Arial"/>
                <w:b/>
                <w:bCs/>
                <w:color w:val="FFFFFF"/>
              </w:rPr>
              <w:t>Monthly System Peak Day (kW)</w:t>
            </w:r>
          </w:p>
        </w:tc>
        <w:tc>
          <w:tcPr>
            <w:tcW w:w="3920" w:type="dxa"/>
            <w:gridSpan w:val="2"/>
            <w:tcBorders>
              <w:top w:val="single" w:sz="4" w:space="0" w:color="auto"/>
              <w:left w:val="nil"/>
              <w:bottom w:val="single" w:sz="4" w:space="0" w:color="FFFFFF"/>
              <w:right w:val="single" w:sz="4" w:space="0" w:color="000000"/>
            </w:tcBorders>
            <w:shd w:val="clear" w:color="000000" w:fill="0070CD"/>
            <w:noWrap/>
            <w:vAlign w:val="center"/>
            <w:hideMark/>
          </w:tcPr>
          <w:p w:rsidR="001D1C3E" w:rsidRPr="00093D3D" w:rsidRDefault="001D1C3E" w:rsidP="00F13AE8">
            <w:pPr>
              <w:spacing w:after="0"/>
              <w:jc w:val="center"/>
              <w:rPr>
                <w:rFonts w:ascii="Arial" w:hAnsi="Arial" w:cs="Arial"/>
                <w:b/>
                <w:bCs/>
                <w:color w:val="FFFFFF"/>
              </w:rPr>
            </w:pPr>
            <w:r w:rsidRPr="00093D3D">
              <w:rPr>
                <w:rFonts w:ascii="Arial" w:hAnsi="Arial" w:cs="Arial"/>
                <w:b/>
                <w:bCs/>
                <w:color w:val="FFFFFF"/>
              </w:rPr>
              <w:t>Average Weekday (kW)</w:t>
            </w:r>
          </w:p>
        </w:tc>
      </w:tr>
      <w:tr w:rsidR="001D1C3E" w:rsidRPr="00093D3D" w:rsidTr="00F13AE8">
        <w:trPr>
          <w:trHeight w:val="660"/>
        </w:trPr>
        <w:tc>
          <w:tcPr>
            <w:tcW w:w="1520" w:type="dxa"/>
            <w:vMerge/>
            <w:tcBorders>
              <w:top w:val="single" w:sz="4" w:space="0" w:color="auto"/>
              <w:left w:val="single" w:sz="4" w:space="0" w:color="auto"/>
              <w:bottom w:val="single" w:sz="4" w:space="0" w:color="000000"/>
              <w:right w:val="single" w:sz="4" w:space="0" w:color="FFFFFF"/>
            </w:tcBorders>
            <w:vAlign w:val="center"/>
            <w:hideMark/>
          </w:tcPr>
          <w:p w:rsidR="001D1C3E" w:rsidRPr="00093D3D" w:rsidRDefault="001D1C3E" w:rsidP="00F13AE8">
            <w:pPr>
              <w:spacing w:after="0"/>
              <w:rPr>
                <w:rFonts w:ascii="Arial" w:hAnsi="Arial" w:cs="Arial"/>
                <w:b/>
                <w:bCs/>
                <w:color w:val="FFFFFF"/>
              </w:rPr>
            </w:pPr>
          </w:p>
        </w:tc>
        <w:tc>
          <w:tcPr>
            <w:tcW w:w="1960" w:type="dxa"/>
            <w:tcBorders>
              <w:top w:val="nil"/>
              <w:left w:val="nil"/>
              <w:bottom w:val="single" w:sz="4" w:space="0" w:color="auto"/>
              <w:right w:val="single" w:sz="4" w:space="0" w:color="FFFFFF"/>
            </w:tcBorders>
            <w:shd w:val="clear" w:color="000000" w:fill="0070CD"/>
            <w:vAlign w:val="center"/>
            <w:hideMark/>
          </w:tcPr>
          <w:p w:rsidR="001D1C3E" w:rsidRPr="00093D3D" w:rsidRDefault="001D1C3E" w:rsidP="00F13AE8">
            <w:pPr>
              <w:spacing w:after="0"/>
              <w:jc w:val="center"/>
              <w:rPr>
                <w:rFonts w:ascii="Arial" w:hAnsi="Arial" w:cs="Arial"/>
                <w:b/>
                <w:bCs/>
                <w:color w:val="FFFFFF"/>
              </w:rPr>
            </w:pPr>
            <w:r w:rsidRPr="00093D3D">
              <w:rPr>
                <w:rFonts w:ascii="Arial" w:hAnsi="Arial" w:cs="Arial"/>
                <w:b/>
                <w:bCs/>
                <w:color w:val="FFFFFF"/>
              </w:rPr>
              <w:t>Average Hourly Impact</w:t>
            </w:r>
          </w:p>
        </w:tc>
        <w:tc>
          <w:tcPr>
            <w:tcW w:w="1960" w:type="dxa"/>
            <w:tcBorders>
              <w:top w:val="nil"/>
              <w:left w:val="nil"/>
              <w:bottom w:val="single" w:sz="4" w:space="0" w:color="auto"/>
              <w:right w:val="single" w:sz="4" w:space="0" w:color="FFFFFF"/>
            </w:tcBorders>
            <w:shd w:val="clear" w:color="000000" w:fill="0070CD"/>
            <w:vAlign w:val="center"/>
            <w:hideMark/>
          </w:tcPr>
          <w:p w:rsidR="001D1C3E" w:rsidRPr="00093D3D" w:rsidRDefault="001D1C3E" w:rsidP="00F13AE8">
            <w:pPr>
              <w:spacing w:after="0"/>
              <w:jc w:val="center"/>
              <w:rPr>
                <w:rFonts w:ascii="Arial" w:hAnsi="Arial" w:cs="Arial"/>
                <w:b/>
                <w:bCs/>
                <w:color w:val="FFFFFF"/>
              </w:rPr>
            </w:pPr>
            <w:r w:rsidRPr="00093D3D">
              <w:rPr>
                <w:rFonts w:ascii="Arial" w:hAnsi="Arial" w:cs="Arial"/>
                <w:b/>
                <w:bCs/>
                <w:color w:val="FFFFFF"/>
              </w:rPr>
              <w:t>Maximum Hourly Impact</w:t>
            </w:r>
          </w:p>
        </w:tc>
        <w:tc>
          <w:tcPr>
            <w:tcW w:w="1960" w:type="dxa"/>
            <w:tcBorders>
              <w:top w:val="nil"/>
              <w:left w:val="nil"/>
              <w:bottom w:val="single" w:sz="4" w:space="0" w:color="auto"/>
              <w:right w:val="single" w:sz="4" w:space="0" w:color="FFFFFF"/>
            </w:tcBorders>
            <w:shd w:val="clear" w:color="000000" w:fill="0070CD"/>
            <w:vAlign w:val="center"/>
            <w:hideMark/>
          </w:tcPr>
          <w:p w:rsidR="001D1C3E" w:rsidRPr="00093D3D" w:rsidRDefault="001D1C3E" w:rsidP="00F13AE8">
            <w:pPr>
              <w:spacing w:after="0"/>
              <w:jc w:val="center"/>
              <w:rPr>
                <w:rFonts w:ascii="Arial" w:hAnsi="Arial" w:cs="Arial"/>
                <w:b/>
                <w:bCs/>
                <w:color w:val="FFFFFF"/>
              </w:rPr>
            </w:pPr>
            <w:r w:rsidRPr="00093D3D">
              <w:rPr>
                <w:rFonts w:ascii="Arial" w:hAnsi="Arial" w:cs="Arial"/>
                <w:b/>
                <w:bCs/>
                <w:color w:val="FFFFFF"/>
              </w:rPr>
              <w:t>Average Hourly Impact</w:t>
            </w:r>
          </w:p>
        </w:tc>
        <w:tc>
          <w:tcPr>
            <w:tcW w:w="1960" w:type="dxa"/>
            <w:tcBorders>
              <w:top w:val="nil"/>
              <w:left w:val="nil"/>
              <w:bottom w:val="single" w:sz="4" w:space="0" w:color="auto"/>
              <w:right w:val="single" w:sz="4" w:space="0" w:color="auto"/>
            </w:tcBorders>
            <w:shd w:val="clear" w:color="000000" w:fill="0070CD"/>
            <w:vAlign w:val="center"/>
            <w:hideMark/>
          </w:tcPr>
          <w:p w:rsidR="001D1C3E" w:rsidRPr="00093D3D" w:rsidRDefault="001D1C3E" w:rsidP="00F13AE8">
            <w:pPr>
              <w:spacing w:after="0"/>
              <w:jc w:val="center"/>
              <w:rPr>
                <w:rFonts w:ascii="Arial" w:hAnsi="Arial" w:cs="Arial"/>
                <w:b/>
                <w:bCs/>
                <w:color w:val="FFFFFF"/>
              </w:rPr>
            </w:pPr>
            <w:r w:rsidRPr="00093D3D">
              <w:rPr>
                <w:rFonts w:ascii="Arial" w:hAnsi="Arial" w:cs="Arial"/>
                <w:b/>
                <w:bCs/>
                <w:color w:val="FFFFFF"/>
              </w:rPr>
              <w:t>Maximum Hourly Impact</w:t>
            </w:r>
          </w:p>
        </w:tc>
      </w:tr>
      <w:tr w:rsidR="001D1C3E" w:rsidRPr="00093D3D" w:rsidTr="00F13AE8">
        <w:trPr>
          <w:trHeight w:val="285"/>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B30C1C" w:rsidRDefault="001D1C3E" w:rsidP="00F13AE8">
            <w:pPr>
              <w:spacing w:after="0"/>
              <w:jc w:val="center"/>
              <w:rPr>
                <w:rFonts w:ascii="Arial" w:hAnsi="Arial" w:cs="Arial"/>
              </w:rPr>
            </w:pPr>
            <w:r w:rsidRPr="00B30C1C">
              <w:rPr>
                <w:rFonts w:ascii="Arial" w:hAnsi="Arial" w:cs="Arial"/>
              </w:rPr>
              <w:t>May</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r>
      <w:tr w:rsidR="001D1C3E" w:rsidRPr="00093D3D" w:rsidTr="00F13AE8">
        <w:trPr>
          <w:trHeight w:val="285"/>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B30C1C" w:rsidRDefault="001D1C3E" w:rsidP="00F13AE8">
            <w:pPr>
              <w:spacing w:after="0"/>
              <w:jc w:val="center"/>
              <w:rPr>
                <w:rFonts w:ascii="Arial" w:hAnsi="Arial" w:cs="Arial"/>
              </w:rPr>
            </w:pPr>
            <w:r w:rsidRPr="00B30C1C">
              <w:rPr>
                <w:rFonts w:ascii="Arial" w:hAnsi="Arial" w:cs="Arial"/>
              </w:rPr>
              <w:t>June</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r>
      <w:tr w:rsidR="001D1C3E" w:rsidRPr="00093D3D" w:rsidTr="00F13AE8">
        <w:trPr>
          <w:trHeight w:val="285"/>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B30C1C" w:rsidRDefault="001D1C3E" w:rsidP="00F13AE8">
            <w:pPr>
              <w:spacing w:after="0"/>
              <w:jc w:val="center"/>
              <w:rPr>
                <w:rFonts w:ascii="Arial" w:hAnsi="Arial" w:cs="Arial"/>
              </w:rPr>
            </w:pPr>
            <w:r w:rsidRPr="00B30C1C">
              <w:rPr>
                <w:rFonts w:ascii="Arial" w:hAnsi="Arial" w:cs="Arial"/>
              </w:rPr>
              <w:t>July</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r>
      <w:tr w:rsidR="001D1C3E" w:rsidRPr="00093D3D" w:rsidTr="00F13AE8">
        <w:trPr>
          <w:trHeight w:val="285"/>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B30C1C" w:rsidRDefault="001D1C3E" w:rsidP="00F13AE8">
            <w:pPr>
              <w:spacing w:after="0"/>
              <w:jc w:val="center"/>
              <w:rPr>
                <w:rFonts w:ascii="Arial" w:hAnsi="Arial" w:cs="Arial"/>
              </w:rPr>
            </w:pPr>
            <w:r w:rsidRPr="00B30C1C">
              <w:rPr>
                <w:rFonts w:ascii="Arial" w:hAnsi="Arial" w:cs="Arial"/>
              </w:rPr>
              <w:t>August</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r>
      <w:tr w:rsidR="001D1C3E" w:rsidRPr="00093D3D" w:rsidTr="00F13AE8">
        <w:trPr>
          <w:trHeight w:val="285"/>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B30C1C" w:rsidRDefault="001D1C3E" w:rsidP="00F13AE8">
            <w:pPr>
              <w:spacing w:after="0"/>
              <w:jc w:val="center"/>
              <w:rPr>
                <w:rFonts w:ascii="Arial" w:hAnsi="Arial" w:cs="Arial"/>
              </w:rPr>
            </w:pPr>
            <w:r w:rsidRPr="00B30C1C">
              <w:rPr>
                <w:rFonts w:ascii="Arial" w:hAnsi="Arial" w:cs="Arial"/>
              </w:rPr>
              <w:t>September</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r>
      <w:tr w:rsidR="001D1C3E" w:rsidRPr="00093D3D" w:rsidTr="00F13AE8">
        <w:trPr>
          <w:trHeight w:val="285"/>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B30C1C" w:rsidRDefault="001D1C3E" w:rsidP="00F13AE8">
            <w:pPr>
              <w:spacing w:after="0"/>
              <w:jc w:val="center"/>
              <w:rPr>
                <w:rFonts w:ascii="Arial" w:hAnsi="Arial" w:cs="Arial"/>
              </w:rPr>
            </w:pPr>
            <w:r w:rsidRPr="00B30C1C">
              <w:rPr>
                <w:rFonts w:ascii="Arial" w:hAnsi="Arial" w:cs="Arial"/>
              </w:rPr>
              <w:t>October</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45B58" w:rsidRDefault="001D1C3E" w:rsidP="00F13AE8">
            <w:pPr>
              <w:spacing w:after="0"/>
              <w:jc w:val="center"/>
              <w:rPr>
                <w:rFonts w:ascii="Arial" w:hAnsi="Arial" w:cs="Arial"/>
              </w:rPr>
            </w:pPr>
            <w:r w:rsidRPr="00945B58">
              <w:rPr>
                <w:rFonts w:ascii="Arial" w:hAnsi="Arial" w:cs="Arial"/>
              </w:rPr>
              <w:t>-</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45B58" w:rsidRDefault="001D1C3E" w:rsidP="00F13AE8">
            <w:pPr>
              <w:spacing w:after="0"/>
              <w:jc w:val="center"/>
              <w:rPr>
                <w:rFonts w:ascii="Arial" w:hAnsi="Arial" w:cs="Arial"/>
              </w:rPr>
            </w:pPr>
            <w:r w:rsidRPr="00945B58">
              <w:rPr>
                <w:rFonts w:ascii="Arial" w:hAnsi="Arial" w:cs="Arial"/>
              </w:rPr>
              <w:t>-</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c>
          <w:tcPr>
            <w:tcW w:w="1960" w:type="dxa"/>
            <w:tcBorders>
              <w:top w:val="nil"/>
              <w:left w:val="nil"/>
              <w:bottom w:val="single" w:sz="4" w:space="0" w:color="auto"/>
              <w:right w:val="single" w:sz="4" w:space="0" w:color="auto"/>
            </w:tcBorders>
            <w:shd w:val="clear" w:color="auto" w:fill="auto"/>
            <w:noWrap/>
            <w:vAlign w:val="center"/>
            <w:hideMark/>
          </w:tcPr>
          <w:p w:rsidR="001D1C3E" w:rsidRPr="009F447F" w:rsidRDefault="001D1C3E" w:rsidP="00F13AE8">
            <w:pPr>
              <w:spacing w:after="0"/>
              <w:jc w:val="center"/>
              <w:rPr>
                <w:rFonts w:ascii="Arial" w:hAnsi="Arial" w:cs="Arial"/>
                <w:highlight w:val="black"/>
              </w:rPr>
            </w:pPr>
            <w:r w:rsidRPr="009F447F">
              <w:rPr>
                <w:rFonts w:ascii="Arial" w:hAnsi="Arial" w:cs="Arial"/>
                <w:highlight w:val="black"/>
              </w:rPr>
              <w:t>XXXX</w:t>
            </w:r>
          </w:p>
        </w:tc>
      </w:tr>
    </w:tbl>
    <w:p w:rsidR="001D1C3E" w:rsidRDefault="001D1C3E" w:rsidP="001D1C3E">
      <w:pPr>
        <w:pStyle w:val="BodyBeforeBullet"/>
      </w:pPr>
    </w:p>
    <w:p w:rsidR="001D1C3E" w:rsidRDefault="001D1C3E" w:rsidP="001D1C3E">
      <w:pPr>
        <w:pStyle w:val="Heading3"/>
      </w:pPr>
      <w:bookmarkStart w:id="38" w:name="_Toc447117281"/>
      <w:bookmarkStart w:id="39" w:name="_Toc507085048"/>
      <w:r>
        <w:t>Comparison between 2016 and 201</w:t>
      </w:r>
      <w:bookmarkEnd w:id="38"/>
      <w:r>
        <w:t>7 Ex Post Results</w:t>
      </w:r>
      <w:bookmarkEnd w:id="39"/>
    </w:p>
    <w:p w:rsidR="001D1C3E" w:rsidRPr="00D53175" w:rsidRDefault="001D1C3E" w:rsidP="001D1C3E">
      <w:pPr>
        <w:pStyle w:val="Bullets"/>
        <w:numPr>
          <w:ilvl w:val="0"/>
          <w:numId w:val="0"/>
        </w:numPr>
      </w:pPr>
      <w:r>
        <w:t xml:space="preserve">The average weekday impacts were very comparable between 2016 and 2017. In 2016 the average hourly impacts across July and August was </w:t>
      </w:r>
      <w:r w:rsidRPr="009F447F">
        <w:rPr>
          <w:highlight w:val="black"/>
        </w:rPr>
        <w:t>XXXX</w:t>
      </w:r>
      <w:r>
        <w:t xml:space="preserve"> kW.  The similarly calculated value for 2017 was </w:t>
      </w:r>
      <w:r w:rsidRPr="009F447F">
        <w:rPr>
          <w:highlight w:val="black"/>
        </w:rPr>
        <w:t>XXXX</w:t>
      </w:r>
      <w:r>
        <w:t xml:space="preserve"> - which was nearly identical. </w:t>
      </w:r>
    </w:p>
    <w:p w:rsidR="00062E36" w:rsidRPr="00BF5325" w:rsidRDefault="00062E36" w:rsidP="00D3234D">
      <w:pPr>
        <w:pStyle w:val="Heading2"/>
        <w:spacing w:before="240"/>
      </w:pPr>
      <w:r w:rsidRPr="00BF5325">
        <w:t>SCE Ex Post Impacts</w:t>
      </w:r>
      <w:bookmarkEnd w:id="36"/>
    </w:p>
    <w:p w:rsidR="001D1C3E" w:rsidRDefault="001D1C3E" w:rsidP="001D1C3E">
      <w:pPr>
        <w:pStyle w:val="BodyParagraph"/>
      </w:pPr>
      <w:r w:rsidRPr="00BF5325">
        <w:t>The</w:t>
      </w:r>
      <w:r>
        <w:t xml:space="preserve">re were three PLS installations within SCE’s territory available to be evaluated for PY2017. The first </w:t>
      </w:r>
      <w:r w:rsidRPr="00BF5325">
        <w:t>PLS installation</w:t>
      </w:r>
      <w:r>
        <w:t xml:space="preserve"> in SCE’s service territory</w:t>
      </w:r>
      <w:r w:rsidRPr="00BF5325">
        <w:t xml:space="preserve"> was completed in 2015 </w:t>
      </w:r>
      <w:r>
        <w:t xml:space="preserve">and </w:t>
      </w:r>
      <w:r w:rsidRPr="00BF5325">
        <w:t xml:space="preserve">is located near the coast in the city of </w:t>
      </w:r>
      <w:r w:rsidRPr="003E5FC0">
        <w:rPr>
          <w:highlight w:val="black"/>
        </w:rPr>
        <w:t>XXXXXXXX</w:t>
      </w:r>
      <w:r w:rsidRPr="00BF5325">
        <w:t xml:space="preserve">. It is comprised of two, multi-story office buildings totaling over </w:t>
      </w:r>
      <w:r w:rsidRPr="003E5FC0">
        <w:rPr>
          <w:highlight w:val="black"/>
        </w:rPr>
        <w:t>XXXXXX</w:t>
      </w:r>
      <w:r w:rsidRPr="00BF5325">
        <w:t xml:space="preserve"> square feet of office space.</w:t>
      </w:r>
      <w:r>
        <w:t xml:space="preserve"> The second PLS installation, completed in 2016, was installed inside a </w:t>
      </w:r>
      <w:r w:rsidRPr="003E5FC0">
        <w:rPr>
          <w:highlight w:val="black"/>
        </w:rPr>
        <w:t>XXXXXXXXXXXXXXXXXXX</w:t>
      </w:r>
      <w:r>
        <w:t xml:space="preserve"> In total, the </w:t>
      </w:r>
      <w:r w:rsidRPr="003E5FC0">
        <w:rPr>
          <w:highlight w:val="black"/>
        </w:rPr>
        <w:t>XXXXXX</w:t>
      </w:r>
      <w:r>
        <w:t xml:space="preserve"> </w:t>
      </w:r>
      <w:r w:rsidRPr="00622524">
        <w:t>consis</w:t>
      </w:r>
      <w:r>
        <w:t>ts</w:t>
      </w:r>
      <w:r w:rsidRPr="00622524">
        <w:t xml:space="preserve"> of </w:t>
      </w:r>
      <w:r w:rsidRPr="003E5FC0">
        <w:rPr>
          <w:highlight w:val="black"/>
        </w:rPr>
        <w:t>XXXXXX</w:t>
      </w:r>
      <w:r w:rsidRPr="00622524">
        <w:t xml:space="preserve"> gross square f</w:t>
      </w:r>
      <w:r>
        <w:t>eet</w:t>
      </w:r>
      <w:r w:rsidRPr="00622524">
        <w:t xml:space="preserve">, of which </w:t>
      </w:r>
      <w:r w:rsidRPr="003E5FC0">
        <w:rPr>
          <w:highlight w:val="black"/>
        </w:rPr>
        <w:t>XXXXXX</w:t>
      </w:r>
      <w:r>
        <w:t xml:space="preserve"> square feet are assignable</w:t>
      </w:r>
      <w:r w:rsidRPr="00622524">
        <w:t xml:space="preserve"> (ASF). Facility cooling currently </w:t>
      </w:r>
      <w:proofErr w:type="gramStart"/>
      <w:r w:rsidRPr="00622524">
        <w:t>consists</w:t>
      </w:r>
      <w:proofErr w:type="gramEnd"/>
      <w:r w:rsidRPr="00622524">
        <w:t xml:space="preserve"> </w:t>
      </w:r>
      <w:r w:rsidRPr="003E5FC0">
        <w:rPr>
          <w:highlight w:val="black"/>
        </w:rPr>
        <w:t>XXXXXXXXXXXXXXXXXXXXXXXXXXXXXXXXXXXXXXXXXXXXXXXXXXXXXXXXX XXXXXX</w:t>
      </w:r>
      <w:r w:rsidRPr="00622524">
        <w:t xml:space="preserve">. The feasibility study lists that </w:t>
      </w:r>
      <w:r w:rsidRPr="003E5FC0">
        <w:rPr>
          <w:highlight w:val="black"/>
        </w:rPr>
        <w:t xml:space="preserve">XXXXXX </w:t>
      </w:r>
      <w:proofErr w:type="spellStart"/>
      <w:r w:rsidRPr="003E5FC0">
        <w:rPr>
          <w:highlight w:val="black"/>
        </w:rPr>
        <w:t>XXXXXX</w:t>
      </w:r>
      <w:proofErr w:type="spellEnd"/>
      <w:r w:rsidRPr="003E5FC0">
        <w:rPr>
          <w:highlight w:val="black"/>
        </w:rPr>
        <w:t xml:space="preserve"> </w:t>
      </w:r>
      <w:proofErr w:type="spellStart"/>
      <w:r w:rsidRPr="003E5FC0">
        <w:rPr>
          <w:highlight w:val="black"/>
        </w:rPr>
        <w:t>XXXXXX</w:t>
      </w:r>
      <w:proofErr w:type="spellEnd"/>
      <w:r w:rsidRPr="00622524">
        <w:t xml:space="preserve"> square feet are served by the central plant. </w:t>
      </w:r>
      <w:r>
        <w:t xml:space="preserve">The third PLS installation was completed in 2017 and is also comprised of </w:t>
      </w:r>
      <w:r w:rsidRPr="00945B58">
        <w:rPr>
          <w:highlight w:val="lightGray"/>
        </w:rPr>
        <w:t xml:space="preserve">a </w:t>
      </w:r>
      <w:r w:rsidRPr="003E5FC0">
        <w:rPr>
          <w:highlight w:val="black"/>
        </w:rPr>
        <w:t>XXXXXXXXXXXXXXXXXXXXXXXXXXXX</w:t>
      </w:r>
      <w:r>
        <w:t xml:space="preserve">. </w:t>
      </w:r>
      <w:r w:rsidRPr="00622524">
        <w:t xml:space="preserve">The campus consists of </w:t>
      </w:r>
      <w:r w:rsidRPr="003E5FC0">
        <w:rPr>
          <w:highlight w:val="black"/>
        </w:rPr>
        <w:t>XXXXXX</w:t>
      </w:r>
      <w:r w:rsidRPr="00622524">
        <w:t xml:space="preserve"> Assignable Square Feet (ASF). </w:t>
      </w:r>
      <w:r w:rsidRPr="003E5FC0">
        <w:rPr>
          <w:highlight w:val="black"/>
        </w:rPr>
        <w:t>XXXXXXXXXXXXXXXXXXXXXXXXXXXXXXXXXXXXXXXXXXXXXXX XXXXXXXXXXXXXXXXXXXXXXXXXXXXXXXXXXXXXXXXXXXXXXXXXXXX</w:t>
      </w:r>
      <w:r>
        <w:t xml:space="preserve"> </w:t>
      </w:r>
    </w:p>
    <w:p w:rsidR="001D1C3E" w:rsidRDefault="001D1C3E" w:rsidP="001D1C3E">
      <w:pPr>
        <w:pStyle w:val="BodyParagraph"/>
        <w:rPr>
          <w:rFonts w:cs="Arial"/>
          <w:szCs w:val="20"/>
        </w:rPr>
      </w:pPr>
      <w:r>
        <w:rPr>
          <w:rFonts w:cs="Arial"/>
          <w:szCs w:val="20"/>
        </w:rPr>
        <w:lastRenderedPageBreak/>
        <w:t>For the first site, t</w:t>
      </w:r>
      <w:r w:rsidRPr="00BF5325">
        <w:rPr>
          <w:rFonts w:cs="Arial"/>
          <w:szCs w:val="20"/>
        </w:rPr>
        <w:t>he same model specification</w:t>
      </w:r>
      <w:r>
        <w:rPr>
          <w:rFonts w:cs="Arial"/>
          <w:szCs w:val="20"/>
        </w:rPr>
        <w:t xml:space="preserve"> used in 2015 and 2016 was used to estimate the 2017 ex post impacts. A detailed explanation of the model selection process and the performance of the selected model </w:t>
      </w:r>
      <w:proofErr w:type="gramStart"/>
      <w:r>
        <w:rPr>
          <w:rFonts w:cs="Arial"/>
          <w:szCs w:val="20"/>
        </w:rPr>
        <w:t>was</w:t>
      </w:r>
      <w:proofErr w:type="gramEnd"/>
      <w:r>
        <w:rPr>
          <w:rFonts w:cs="Arial"/>
          <w:szCs w:val="20"/>
        </w:rPr>
        <w:t xml:space="preserve"> included in the 2015 load impact evaluation report.</w:t>
      </w:r>
      <w:r>
        <w:rPr>
          <w:rStyle w:val="FootnoteReference"/>
          <w:rFonts w:cs="Arial"/>
          <w:szCs w:val="20"/>
        </w:rPr>
        <w:footnoteReference w:id="19"/>
      </w:r>
      <w:r>
        <w:rPr>
          <w:rFonts w:cs="Arial"/>
          <w:szCs w:val="20"/>
        </w:rPr>
        <w:t xml:space="preserve">  The detailed approach to the analysis for the second two sites is covered in the methodology section. At a high level, premise level data was analyzed in a manner similar to the first site.</w:t>
      </w:r>
    </w:p>
    <w:p w:rsidR="009F033B" w:rsidRPr="0018307E" w:rsidRDefault="001D1C3E" w:rsidP="001D1C3E">
      <w:pPr>
        <w:pStyle w:val="BodyParagraph"/>
        <w:sectPr w:rsidR="009F033B" w:rsidRPr="0018307E" w:rsidSect="003708EA">
          <w:footerReference w:type="default" r:id="rId45"/>
          <w:pgSz w:w="12240" w:h="15840"/>
          <w:pgMar w:top="1440" w:right="1440" w:bottom="1440" w:left="1440" w:header="720" w:footer="720" w:gutter="0"/>
          <w:cols w:space="720"/>
          <w:docGrid w:linePitch="360"/>
        </w:sectPr>
      </w:pPr>
      <w:r w:rsidRPr="00972439">
        <w:fldChar w:fldCharType="begin"/>
      </w:r>
      <w:r w:rsidRPr="00972439">
        <w:instrText xml:space="preserve"> REF _Ref446173473 \h  \* MERGEFORMAT </w:instrText>
      </w:r>
      <w:r w:rsidRPr="00972439">
        <w:fldChar w:fldCharType="separate"/>
      </w:r>
      <w:r w:rsidRPr="00AA4AC2">
        <w:t xml:space="preserve">Figure </w:t>
      </w:r>
      <w:r w:rsidRPr="00AA4AC2">
        <w:rPr>
          <w:noProof/>
        </w:rPr>
        <w:t>3</w:t>
      </w:r>
      <w:r w:rsidRPr="00AA4AC2">
        <w:rPr>
          <w:noProof/>
        </w:rPr>
        <w:noBreakHyphen/>
        <w:t>7</w:t>
      </w:r>
      <w:r w:rsidRPr="00972439">
        <w:fldChar w:fldCharType="end"/>
      </w:r>
      <w:r w:rsidRPr="00972439">
        <w:t xml:space="preserve"> shows the </w:t>
      </w:r>
      <w:r>
        <w:t xml:space="preserve">aggregated </w:t>
      </w:r>
      <w:r w:rsidRPr="00972439">
        <w:t xml:space="preserve">ex post load impact table for September system peak day, which experienced the highest average load shift of </w:t>
      </w:r>
      <w:r w:rsidRPr="00943B44">
        <w:rPr>
          <w:highlight w:val="black"/>
        </w:rPr>
        <w:t xml:space="preserve">XXXXX </w:t>
      </w:r>
      <w:r w:rsidRPr="00225E2B">
        <w:t>kW</w:t>
      </w:r>
      <w:r w:rsidRPr="00972439">
        <w:t>. The</w:t>
      </w:r>
      <w:r>
        <w:t> </w:t>
      </w:r>
      <w:r w:rsidRPr="00972439">
        <w:t>upper and lower confidence intervals on the graph (green dashed lines) represent the uncertainty surrounding the load impact estimate. The uncertainty in the load impact estimation is a direct result of estimating the reference load, which reflects what load would have likely been in the absence of the PLS system.</w:t>
      </w:r>
      <w:r>
        <w:t xml:space="preserve"> The largest hourly load shift on the September system peak day shown in </w:t>
      </w:r>
      <w:r w:rsidRPr="00972439">
        <w:fldChar w:fldCharType="begin"/>
      </w:r>
      <w:r w:rsidRPr="00972439">
        <w:instrText xml:space="preserve"> REF _Ref446173473 \h  \* MERGEFORMAT </w:instrText>
      </w:r>
      <w:r w:rsidRPr="00972439">
        <w:fldChar w:fldCharType="separate"/>
      </w:r>
      <w:r w:rsidRPr="00AA4AC2">
        <w:t xml:space="preserve">Figure </w:t>
      </w:r>
      <w:r w:rsidRPr="00AA4AC2">
        <w:rPr>
          <w:noProof/>
        </w:rPr>
        <w:t>3</w:t>
      </w:r>
      <w:r w:rsidRPr="00AA4AC2">
        <w:rPr>
          <w:noProof/>
        </w:rPr>
        <w:noBreakHyphen/>
        <w:t>7</w:t>
      </w:r>
      <w:r w:rsidRPr="00972439">
        <w:fldChar w:fldCharType="end"/>
      </w:r>
      <w:r>
        <w:t xml:space="preserve"> was </w:t>
      </w:r>
      <w:r w:rsidRPr="00943B44">
        <w:rPr>
          <w:highlight w:val="black"/>
        </w:rPr>
        <w:t>XXXXX</w:t>
      </w:r>
      <w:r>
        <w:t xml:space="preserve"> kW which occurred in hour ending 16, the middle hour of the </w:t>
      </w:r>
      <w:r w:rsidRPr="00BF5325">
        <w:t xml:space="preserve">operational load shifting period. The upper and lower bounds of the 90% confidence interval are </w:t>
      </w:r>
      <w:r w:rsidRPr="00943B44">
        <w:rPr>
          <w:highlight w:val="black"/>
        </w:rPr>
        <w:t>XXXXX</w:t>
      </w:r>
      <w:r w:rsidRPr="00BF5325">
        <w:t xml:space="preserve"> kW and </w:t>
      </w:r>
      <w:r w:rsidRPr="00943B44">
        <w:rPr>
          <w:highlight w:val="black"/>
        </w:rPr>
        <w:t>XXXXX</w:t>
      </w:r>
      <w:r w:rsidRPr="00BF5325">
        <w:t xml:space="preserve"> kW, respectively. This range represents the point estimate of the load impact plus or minus 17%. Most demand response load impact evaluations exhibit much narrower confidence intervals; however, that is also the result of including hundreds or thousands of customers in the estimation process. Confidence intervals for a single customer will always be relatively wide compared to a larger population</w:t>
      </w:r>
      <w:r>
        <w:t xml:space="preserve">. Similarly, Figure 3-8 shows the average customer ex post load impacts for the September peak day, which experienced the highest load shift of </w:t>
      </w:r>
      <w:r w:rsidRPr="00943B44">
        <w:rPr>
          <w:highlight w:val="black"/>
        </w:rPr>
        <w:t>XXXXX</w:t>
      </w:r>
      <w:r>
        <w:t xml:space="preserve"> kW.  The largest hourly load shift on the September system peak day shown in Figure 3-8 was </w:t>
      </w:r>
      <w:r w:rsidRPr="00943B44">
        <w:rPr>
          <w:highlight w:val="black"/>
        </w:rPr>
        <w:t>XXXXX</w:t>
      </w:r>
      <w:r>
        <w:t xml:space="preserve"> kW which occurred in hour ending 16, the middle hour of the </w:t>
      </w:r>
      <w:r w:rsidRPr="00BF5325">
        <w:t xml:space="preserve">operational load shifting period. The upper and lower bounds of the 90% confidence interval are </w:t>
      </w:r>
      <w:r w:rsidRPr="00943B44">
        <w:rPr>
          <w:highlight w:val="black"/>
        </w:rPr>
        <w:t>XXXXX</w:t>
      </w:r>
      <w:r>
        <w:t xml:space="preserve"> </w:t>
      </w:r>
      <w:r w:rsidRPr="00BF5325">
        <w:t xml:space="preserve">kW and </w:t>
      </w:r>
      <w:r w:rsidRPr="00943B44">
        <w:rPr>
          <w:highlight w:val="black"/>
        </w:rPr>
        <w:t>XXXX</w:t>
      </w:r>
      <w:r w:rsidRPr="00BF5325">
        <w:t xml:space="preserve"> kW, respectively</w:t>
      </w:r>
    </w:p>
    <w:p w:rsidR="001D1C3E" w:rsidRDefault="001D1C3E" w:rsidP="001D1C3E">
      <w:pPr>
        <w:pStyle w:val="Caption"/>
      </w:pPr>
      <w:bookmarkStart w:id="40" w:name="_Ref446173473"/>
      <w:r w:rsidRPr="00943B44">
        <w:lastRenderedPageBreak/>
        <w:t xml:space="preserve">Figure </w:t>
      </w:r>
      <w:fldSimple w:instr=" STYLEREF 1 \s ">
        <w:r w:rsidRPr="00943B44">
          <w:rPr>
            <w:noProof/>
          </w:rPr>
          <w:t>3</w:t>
        </w:r>
      </w:fldSimple>
      <w:r w:rsidRPr="00943B44">
        <w:noBreakHyphen/>
      </w:r>
      <w:fldSimple w:instr=" SEQ Figure \* ARABIC \s 1 ">
        <w:r w:rsidRPr="00943B44">
          <w:rPr>
            <w:noProof/>
          </w:rPr>
          <w:t>7</w:t>
        </w:r>
      </w:fldSimple>
      <w:bookmarkEnd w:id="40"/>
      <w:r w:rsidRPr="00943B44">
        <w:t>: Ex Post Load Impact Table</w:t>
      </w:r>
      <w:r w:rsidRPr="00943B44">
        <w:rPr>
          <w:rFonts w:cs="Arial"/>
        </w:rPr>
        <w:t xml:space="preserve">—Aggregate </w:t>
      </w:r>
      <w:r w:rsidRPr="00943B44">
        <w:t>September Monthly System Peak Day</w:t>
      </w:r>
    </w:p>
    <w:p w:rsidR="001D1C3E" w:rsidRDefault="001D1C3E" w:rsidP="001D1C3E">
      <w:r w:rsidRPr="006C2F88">
        <w:rPr>
          <w:noProof/>
        </w:rPr>
        <w:drawing>
          <wp:inline distT="0" distB="0" distL="0" distR="0" wp14:anchorId="0A5D5AE6" wp14:editId="3A74EF8A">
            <wp:extent cx="8051800" cy="402590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051800" cy="4025900"/>
                    </a:xfrm>
                    <a:prstGeom prst="rect">
                      <a:avLst/>
                    </a:prstGeom>
                    <a:noFill/>
                    <a:ln>
                      <a:noFill/>
                    </a:ln>
                  </pic:spPr>
                </pic:pic>
              </a:graphicData>
            </a:graphic>
          </wp:inline>
        </w:drawing>
      </w:r>
    </w:p>
    <w:p w:rsidR="00AC639B" w:rsidRDefault="00AC639B" w:rsidP="00F14F5A"/>
    <w:p w:rsidR="00F14F5A" w:rsidRPr="00F14F5A" w:rsidRDefault="00F14F5A" w:rsidP="00F14F5A">
      <w:pPr>
        <w:rPr>
          <w:highlight w:val="yellow"/>
        </w:rPr>
      </w:pPr>
    </w:p>
    <w:p w:rsidR="00AC639B" w:rsidRDefault="00AC639B" w:rsidP="0018307E">
      <w:pPr>
        <w:pStyle w:val="BodyParagraph"/>
        <w:keepNext/>
      </w:pPr>
    </w:p>
    <w:p w:rsidR="001D1C3E" w:rsidRPr="00AE57BA" w:rsidRDefault="001D1C3E" w:rsidP="001D1C3E">
      <w:pPr>
        <w:pStyle w:val="Caption"/>
      </w:pPr>
      <w:r w:rsidRPr="00943B44">
        <w:t xml:space="preserve">Figure </w:t>
      </w:r>
      <w:fldSimple w:instr=" STYLEREF 1 \s ">
        <w:r w:rsidRPr="00943B44">
          <w:rPr>
            <w:noProof/>
          </w:rPr>
          <w:t>3</w:t>
        </w:r>
      </w:fldSimple>
      <w:r w:rsidRPr="00943B44">
        <w:noBreakHyphen/>
        <w:t>8: Ex Post Load Impact Table</w:t>
      </w:r>
      <w:r w:rsidRPr="00943B44">
        <w:rPr>
          <w:rFonts w:cs="Arial"/>
        </w:rPr>
        <w:t xml:space="preserve">—Average Customer </w:t>
      </w:r>
      <w:r w:rsidRPr="00943B44">
        <w:t>September Monthly System Peak Day</w:t>
      </w:r>
    </w:p>
    <w:p w:rsidR="001D1C3E" w:rsidRPr="00E53748" w:rsidRDefault="001D1C3E" w:rsidP="001D1C3E">
      <w:pPr>
        <w:rPr>
          <w:highlight w:val="yellow"/>
        </w:rPr>
        <w:sectPr w:rsidR="001D1C3E" w:rsidRPr="00E53748" w:rsidSect="0035172C">
          <w:footerReference w:type="default" r:id="rId46"/>
          <w:pgSz w:w="15840" w:h="12240" w:orient="landscape"/>
          <w:pgMar w:top="1440" w:right="1440" w:bottom="1440" w:left="1440" w:header="720" w:footer="720" w:gutter="0"/>
          <w:cols w:space="720"/>
          <w:docGrid w:linePitch="360"/>
        </w:sectPr>
      </w:pPr>
      <w:r w:rsidRPr="006C2F88">
        <w:rPr>
          <w:noProof/>
        </w:rPr>
        <w:drawing>
          <wp:inline distT="0" distB="0" distL="0" distR="0" wp14:anchorId="39017471" wp14:editId="07DCF330">
            <wp:extent cx="8051800" cy="40259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051800" cy="4025900"/>
                    </a:xfrm>
                    <a:prstGeom prst="rect">
                      <a:avLst/>
                    </a:prstGeom>
                    <a:noFill/>
                    <a:ln>
                      <a:noFill/>
                    </a:ln>
                  </pic:spPr>
                </pic:pic>
              </a:graphicData>
            </a:graphic>
          </wp:inline>
        </w:drawing>
      </w:r>
    </w:p>
    <w:bookmarkStart w:id="41" w:name="_Toc507085051"/>
    <w:p w:rsidR="001D1C3E" w:rsidRPr="00252D43" w:rsidRDefault="001D1C3E" w:rsidP="001D1C3E">
      <w:pPr>
        <w:pStyle w:val="BodyParagraph"/>
      </w:pPr>
      <w:r w:rsidRPr="00BF5325">
        <w:lastRenderedPageBreak/>
        <w:fldChar w:fldCharType="begin"/>
      </w:r>
      <w:r w:rsidRPr="00BF5325">
        <w:instrText xml:space="preserve"> REF _Ref446176437 \h  \* MERGEFORMAT </w:instrText>
      </w:r>
      <w:r w:rsidRPr="00BF5325">
        <w:fldChar w:fldCharType="separate"/>
      </w:r>
      <w:r w:rsidRPr="00AA4AC2">
        <w:t xml:space="preserve">Table </w:t>
      </w:r>
      <w:r w:rsidRPr="00AA4AC2">
        <w:rPr>
          <w:noProof/>
        </w:rPr>
        <w:t>3</w:t>
      </w:r>
      <w:r w:rsidRPr="00AA4AC2">
        <w:rPr>
          <w:noProof/>
        </w:rPr>
        <w:noBreakHyphen/>
        <w:t>2</w:t>
      </w:r>
      <w:r w:rsidRPr="00BF5325">
        <w:fldChar w:fldCharType="end"/>
      </w:r>
      <w:r w:rsidRPr="00BF5325">
        <w:t xml:space="preserve"> compares the monthly system peak day </w:t>
      </w:r>
      <w:r>
        <w:t xml:space="preserve">aggregate </w:t>
      </w:r>
      <w:r w:rsidRPr="00BF5325">
        <w:t>impact with the average weekday impact estimated for each month</w:t>
      </w:r>
      <w:r>
        <w:t xml:space="preserve"> the customer is required to shift load (June 1 to September 30)</w:t>
      </w:r>
      <w:r w:rsidRPr="00BF5325">
        <w:t xml:space="preserve">. </w:t>
      </w:r>
      <w:r w:rsidRPr="00337E19">
        <w:t xml:space="preserve">The average impact across the peak hours and the maximum hourly impact are also presented. </w:t>
      </w:r>
      <w:r>
        <w:t xml:space="preserve">The September monthly system peak saw the highest impacts with an average shift of nearly </w:t>
      </w:r>
      <w:r w:rsidRPr="00943B44">
        <w:rPr>
          <w:highlight w:val="black"/>
        </w:rPr>
        <w:t>XXXXX</w:t>
      </w:r>
      <w:r>
        <w:t xml:space="preserve"> kW and an hourly maximum of over </w:t>
      </w:r>
      <w:r w:rsidRPr="00943B44">
        <w:rPr>
          <w:highlight w:val="black"/>
        </w:rPr>
        <w:t>XX</w:t>
      </w:r>
      <w:r w:rsidRPr="00225E2B">
        <w:t xml:space="preserve"> MW</w:t>
      </w:r>
      <w:r>
        <w:t xml:space="preserve">. Because PLS is not an event based program and the TES system runs at all hours during the program operational months, the average weekday impacts are more indicative of the day-to-day usage. The highest average weekday impact of </w:t>
      </w:r>
      <w:r w:rsidRPr="00943B44">
        <w:rPr>
          <w:highlight w:val="black"/>
        </w:rPr>
        <w:t>XXXXX</w:t>
      </w:r>
      <w:r>
        <w:t xml:space="preserve"> kW was observed in September. </w:t>
      </w:r>
      <w:r w:rsidRPr="00585891">
        <w:t xml:space="preserve">The largest difference in the maximum hourly impact between the </w:t>
      </w:r>
      <w:r>
        <w:t>average weekday</w:t>
      </w:r>
      <w:r w:rsidRPr="00585891">
        <w:t xml:space="preserve"> and the system peak day occurred in </w:t>
      </w:r>
      <w:r>
        <w:t>June</w:t>
      </w:r>
      <w:r w:rsidRPr="00585891">
        <w:t xml:space="preserve"> and was </w:t>
      </w:r>
      <w:r w:rsidRPr="00943B44">
        <w:rPr>
          <w:highlight w:val="black"/>
        </w:rPr>
        <w:t>XXXXX</w:t>
      </w:r>
      <w:r w:rsidRPr="00585891">
        <w:t xml:space="preserve"> kW, or approximately </w:t>
      </w:r>
      <w:r>
        <w:t>48</w:t>
      </w:r>
      <w:r w:rsidRPr="00585891">
        <w:t>%.</w:t>
      </w:r>
    </w:p>
    <w:p w:rsidR="001D1C3E" w:rsidRPr="00BF5325" w:rsidRDefault="001D1C3E" w:rsidP="001D1C3E">
      <w:pPr>
        <w:pStyle w:val="Caption"/>
      </w:pPr>
      <w:bookmarkStart w:id="42" w:name="_Ref446176437"/>
      <w:r w:rsidRPr="00943B44">
        <w:t xml:space="preserve">Table </w:t>
      </w:r>
      <w:fldSimple w:instr=" STYLEREF 1 \s ">
        <w:r w:rsidRPr="00943B44">
          <w:rPr>
            <w:noProof/>
          </w:rPr>
          <w:t>3</w:t>
        </w:r>
      </w:fldSimple>
      <w:r w:rsidRPr="00943B44">
        <w:noBreakHyphen/>
      </w:r>
      <w:fldSimple w:instr=" SEQ Table \* ARABIC \s 1 ">
        <w:r w:rsidRPr="00943B44">
          <w:rPr>
            <w:noProof/>
          </w:rPr>
          <w:t>2</w:t>
        </w:r>
      </w:fldSimple>
      <w:bookmarkEnd w:id="42"/>
      <w:r w:rsidRPr="00943B44">
        <w:t>: Comparison of Monthly System Peak Day and Average Weekday Impacts</w:t>
      </w:r>
    </w:p>
    <w:tbl>
      <w:tblPr>
        <w:tblW w:w="9360" w:type="dxa"/>
        <w:jc w:val="center"/>
        <w:tblInd w:w="93" w:type="dxa"/>
        <w:tblLook w:val="04A0" w:firstRow="1" w:lastRow="0" w:firstColumn="1" w:lastColumn="0" w:noHBand="0" w:noVBand="1"/>
      </w:tblPr>
      <w:tblGrid>
        <w:gridCol w:w="1520"/>
        <w:gridCol w:w="1960"/>
        <w:gridCol w:w="1960"/>
        <w:gridCol w:w="1960"/>
        <w:gridCol w:w="1960"/>
      </w:tblGrid>
      <w:tr w:rsidR="001D1C3E" w:rsidRPr="00387626" w:rsidTr="00F13AE8">
        <w:trPr>
          <w:trHeight w:val="345"/>
          <w:jc w:val="center"/>
        </w:trPr>
        <w:tc>
          <w:tcPr>
            <w:tcW w:w="1520" w:type="dxa"/>
            <w:vMerge w:val="restart"/>
            <w:tcBorders>
              <w:top w:val="single" w:sz="4" w:space="0" w:color="auto"/>
              <w:left w:val="single" w:sz="4" w:space="0" w:color="auto"/>
              <w:bottom w:val="single" w:sz="4" w:space="0" w:color="000000"/>
              <w:right w:val="single" w:sz="4" w:space="0" w:color="FFFFFF"/>
            </w:tcBorders>
            <w:shd w:val="clear" w:color="000000" w:fill="0070CD"/>
            <w:noWrap/>
            <w:vAlign w:val="center"/>
            <w:hideMark/>
          </w:tcPr>
          <w:p w:rsidR="001D1C3E" w:rsidRPr="00387626" w:rsidRDefault="001D1C3E" w:rsidP="00F13AE8">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Month</w:t>
            </w:r>
          </w:p>
        </w:tc>
        <w:tc>
          <w:tcPr>
            <w:tcW w:w="3920" w:type="dxa"/>
            <w:gridSpan w:val="2"/>
            <w:tcBorders>
              <w:top w:val="single" w:sz="4" w:space="0" w:color="auto"/>
              <w:left w:val="nil"/>
              <w:bottom w:val="single" w:sz="4" w:space="0" w:color="FFFFFF"/>
              <w:right w:val="single" w:sz="4" w:space="0" w:color="FFFFFF"/>
            </w:tcBorders>
            <w:shd w:val="clear" w:color="000000" w:fill="0070CD"/>
            <w:noWrap/>
            <w:vAlign w:val="center"/>
            <w:hideMark/>
          </w:tcPr>
          <w:p w:rsidR="001D1C3E" w:rsidRPr="00387626" w:rsidRDefault="001D1C3E" w:rsidP="00F13AE8">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Monthly System Peak Day (kW)</w:t>
            </w:r>
          </w:p>
        </w:tc>
        <w:tc>
          <w:tcPr>
            <w:tcW w:w="3920" w:type="dxa"/>
            <w:gridSpan w:val="2"/>
            <w:tcBorders>
              <w:top w:val="single" w:sz="4" w:space="0" w:color="auto"/>
              <w:left w:val="nil"/>
              <w:bottom w:val="single" w:sz="4" w:space="0" w:color="FFFFFF"/>
              <w:right w:val="single" w:sz="4" w:space="0" w:color="000000"/>
            </w:tcBorders>
            <w:shd w:val="clear" w:color="000000" w:fill="0070CD"/>
            <w:noWrap/>
            <w:vAlign w:val="center"/>
            <w:hideMark/>
          </w:tcPr>
          <w:p w:rsidR="001D1C3E" w:rsidRPr="00387626" w:rsidRDefault="001D1C3E" w:rsidP="00F13AE8">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Average Weekday (kW)</w:t>
            </w:r>
          </w:p>
        </w:tc>
      </w:tr>
      <w:tr w:rsidR="001D1C3E" w:rsidRPr="00387626" w:rsidTr="00F13AE8">
        <w:trPr>
          <w:trHeight w:val="660"/>
          <w:jc w:val="center"/>
        </w:trPr>
        <w:tc>
          <w:tcPr>
            <w:tcW w:w="1520" w:type="dxa"/>
            <w:vMerge/>
            <w:tcBorders>
              <w:top w:val="single" w:sz="4" w:space="0" w:color="auto"/>
              <w:left w:val="single" w:sz="4" w:space="0" w:color="auto"/>
              <w:bottom w:val="single" w:sz="4" w:space="0" w:color="000000"/>
              <w:right w:val="single" w:sz="4" w:space="0" w:color="FFFFFF"/>
            </w:tcBorders>
            <w:vAlign w:val="center"/>
            <w:hideMark/>
          </w:tcPr>
          <w:p w:rsidR="001D1C3E" w:rsidRPr="00387626" w:rsidRDefault="001D1C3E" w:rsidP="00F13AE8">
            <w:pPr>
              <w:spacing w:after="0" w:line="240" w:lineRule="auto"/>
              <w:rPr>
                <w:rFonts w:ascii="Arial" w:eastAsia="Times New Roman" w:hAnsi="Arial" w:cs="Arial"/>
                <w:b/>
                <w:bCs/>
                <w:color w:val="FFFFFF"/>
              </w:rPr>
            </w:pPr>
          </w:p>
        </w:tc>
        <w:tc>
          <w:tcPr>
            <w:tcW w:w="1960" w:type="dxa"/>
            <w:tcBorders>
              <w:top w:val="nil"/>
              <w:left w:val="nil"/>
              <w:bottom w:val="single" w:sz="4" w:space="0" w:color="auto"/>
              <w:right w:val="single" w:sz="4" w:space="0" w:color="FFFFFF"/>
            </w:tcBorders>
            <w:shd w:val="clear" w:color="000000" w:fill="0070CD"/>
            <w:vAlign w:val="center"/>
            <w:hideMark/>
          </w:tcPr>
          <w:p w:rsidR="001D1C3E" w:rsidRPr="00387626" w:rsidRDefault="001D1C3E" w:rsidP="00F13AE8">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Average Hourly Impact</w:t>
            </w:r>
          </w:p>
        </w:tc>
        <w:tc>
          <w:tcPr>
            <w:tcW w:w="1960" w:type="dxa"/>
            <w:tcBorders>
              <w:top w:val="nil"/>
              <w:left w:val="nil"/>
              <w:bottom w:val="single" w:sz="4" w:space="0" w:color="auto"/>
              <w:right w:val="single" w:sz="4" w:space="0" w:color="FFFFFF"/>
            </w:tcBorders>
            <w:shd w:val="clear" w:color="000000" w:fill="0070CD"/>
            <w:vAlign w:val="center"/>
            <w:hideMark/>
          </w:tcPr>
          <w:p w:rsidR="001D1C3E" w:rsidRPr="00387626" w:rsidRDefault="001D1C3E" w:rsidP="00F13AE8">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Maximum Hourly Impact</w:t>
            </w:r>
          </w:p>
        </w:tc>
        <w:tc>
          <w:tcPr>
            <w:tcW w:w="1960" w:type="dxa"/>
            <w:tcBorders>
              <w:top w:val="nil"/>
              <w:left w:val="nil"/>
              <w:bottom w:val="single" w:sz="4" w:space="0" w:color="auto"/>
              <w:right w:val="single" w:sz="4" w:space="0" w:color="FFFFFF"/>
            </w:tcBorders>
            <w:shd w:val="clear" w:color="000000" w:fill="0070CD"/>
            <w:vAlign w:val="center"/>
            <w:hideMark/>
          </w:tcPr>
          <w:p w:rsidR="001D1C3E" w:rsidRPr="00387626" w:rsidRDefault="001D1C3E" w:rsidP="00F13AE8">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Average Hourly Impact</w:t>
            </w:r>
          </w:p>
        </w:tc>
        <w:tc>
          <w:tcPr>
            <w:tcW w:w="1960" w:type="dxa"/>
            <w:tcBorders>
              <w:top w:val="nil"/>
              <w:left w:val="nil"/>
              <w:bottom w:val="single" w:sz="4" w:space="0" w:color="auto"/>
              <w:right w:val="single" w:sz="4" w:space="0" w:color="auto"/>
            </w:tcBorders>
            <w:shd w:val="clear" w:color="000000" w:fill="0070CD"/>
            <w:vAlign w:val="center"/>
            <w:hideMark/>
          </w:tcPr>
          <w:p w:rsidR="001D1C3E" w:rsidRPr="00387626" w:rsidRDefault="001D1C3E" w:rsidP="00F13AE8">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Maximum Hourly Impact</w:t>
            </w:r>
          </w:p>
        </w:tc>
      </w:tr>
      <w:tr w:rsidR="001D1C3E" w:rsidRPr="00387626" w:rsidTr="00F13AE8">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387626" w:rsidRDefault="001D1C3E" w:rsidP="00F13AE8">
            <w:pPr>
              <w:spacing w:after="0" w:line="240" w:lineRule="auto"/>
              <w:jc w:val="center"/>
              <w:rPr>
                <w:rFonts w:ascii="Arial" w:eastAsia="Times New Roman" w:hAnsi="Arial" w:cs="Arial"/>
              </w:rPr>
            </w:pPr>
            <w:r>
              <w:rPr>
                <w:rFonts w:ascii="Arial" w:eastAsia="Times New Roman" w:hAnsi="Arial" w:cs="Arial"/>
              </w:rPr>
              <w:t>June</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r>
      <w:tr w:rsidR="001D1C3E" w:rsidRPr="00387626" w:rsidTr="00F13AE8">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387626" w:rsidRDefault="001D1C3E" w:rsidP="00F13AE8">
            <w:pPr>
              <w:spacing w:after="0" w:line="240" w:lineRule="auto"/>
              <w:jc w:val="center"/>
              <w:rPr>
                <w:rFonts w:ascii="Arial" w:eastAsia="Times New Roman" w:hAnsi="Arial" w:cs="Arial"/>
              </w:rPr>
            </w:pPr>
            <w:r w:rsidRPr="00387626">
              <w:rPr>
                <w:rFonts w:ascii="Arial" w:eastAsia="Times New Roman" w:hAnsi="Arial" w:cs="Arial"/>
              </w:rPr>
              <w:t>Ju</w:t>
            </w:r>
            <w:r>
              <w:rPr>
                <w:rFonts w:ascii="Arial" w:eastAsia="Times New Roman" w:hAnsi="Arial" w:cs="Arial"/>
              </w:rPr>
              <w:t>ly</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r>
      <w:tr w:rsidR="001D1C3E" w:rsidRPr="00387626" w:rsidTr="00F13AE8">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387626" w:rsidRDefault="001D1C3E" w:rsidP="00F13AE8">
            <w:pPr>
              <w:spacing w:after="0" w:line="240" w:lineRule="auto"/>
              <w:jc w:val="center"/>
              <w:rPr>
                <w:rFonts w:ascii="Arial" w:eastAsia="Times New Roman" w:hAnsi="Arial" w:cs="Arial"/>
              </w:rPr>
            </w:pPr>
            <w:r>
              <w:rPr>
                <w:rFonts w:ascii="Arial" w:eastAsia="Times New Roman" w:hAnsi="Arial" w:cs="Arial"/>
              </w:rPr>
              <w:t>August</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r>
      <w:tr w:rsidR="001D1C3E" w:rsidRPr="00387626" w:rsidTr="00F13AE8">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1D1C3E" w:rsidRPr="00387626" w:rsidRDefault="001D1C3E" w:rsidP="00F13AE8">
            <w:pPr>
              <w:spacing w:after="0" w:line="240" w:lineRule="auto"/>
              <w:jc w:val="center"/>
              <w:rPr>
                <w:rFonts w:ascii="Arial" w:eastAsia="Times New Roman" w:hAnsi="Arial" w:cs="Arial"/>
              </w:rPr>
            </w:pPr>
            <w:r>
              <w:rPr>
                <w:rFonts w:ascii="Arial" w:eastAsia="Times New Roman" w:hAnsi="Arial" w:cs="Arial"/>
              </w:rPr>
              <w:t>September</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c>
          <w:tcPr>
            <w:tcW w:w="1960" w:type="dxa"/>
            <w:tcBorders>
              <w:top w:val="nil"/>
              <w:left w:val="nil"/>
              <w:bottom w:val="single" w:sz="4" w:space="0" w:color="auto"/>
              <w:right w:val="single" w:sz="4" w:space="0" w:color="auto"/>
            </w:tcBorders>
            <w:shd w:val="clear" w:color="auto" w:fill="auto"/>
            <w:noWrap/>
            <w:vAlign w:val="bottom"/>
            <w:hideMark/>
          </w:tcPr>
          <w:p w:rsidR="001D1C3E" w:rsidRPr="00943B44" w:rsidRDefault="001D1C3E" w:rsidP="00F13AE8">
            <w:pPr>
              <w:spacing w:after="0"/>
              <w:jc w:val="center"/>
              <w:rPr>
                <w:rFonts w:ascii="Arial" w:hAnsi="Arial" w:cs="Arial"/>
                <w:color w:val="000000"/>
                <w:highlight w:val="black"/>
              </w:rPr>
            </w:pPr>
            <w:r w:rsidRPr="00943B44">
              <w:rPr>
                <w:rFonts w:ascii="Arial" w:hAnsi="Arial" w:cs="Arial"/>
                <w:color w:val="000000"/>
                <w:highlight w:val="black"/>
              </w:rPr>
              <w:t>XXXXXX</w:t>
            </w:r>
          </w:p>
        </w:tc>
      </w:tr>
    </w:tbl>
    <w:p w:rsidR="001D1C3E" w:rsidRDefault="001D1C3E" w:rsidP="001D1C3E">
      <w:pPr>
        <w:pStyle w:val="BodyBeforeBullet"/>
      </w:pPr>
    </w:p>
    <w:p w:rsidR="001D1C3E" w:rsidRDefault="001D1C3E" w:rsidP="001D1C3E">
      <w:pPr>
        <w:pStyle w:val="Heading3"/>
      </w:pPr>
      <w:bookmarkStart w:id="43" w:name="_Toc507085050"/>
      <w:r>
        <w:t>Comparison between 2016 and 2017 Ex Post Results</w:t>
      </w:r>
      <w:bookmarkEnd w:id="43"/>
    </w:p>
    <w:p w:rsidR="001D1C3E" w:rsidRPr="0018307E" w:rsidRDefault="001D1C3E" w:rsidP="001D1C3E">
      <w:pPr>
        <w:pStyle w:val="Caption"/>
        <w:spacing w:before="240"/>
        <w:jc w:val="left"/>
        <w:rPr>
          <w:b w:val="0"/>
          <w:color w:val="1C1C1C"/>
        </w:rPr>
      </w:pPr>
      <w:r w:rsidRPr="0018307E">
        <w:rPr>
          <w:b w:val="0"/>
          <w:color w:val="1C1C1C"/>
        </w:rPr>
        <w:t>The significant</w:t>
      </w:r>
      <w:r>
        <w:rPr>
          <w:b w:val="0"/>
          <w:color w:val="1C1C1C"/>
        </w:rPr>
        <w:t xml:space="preserve"> enrollment</w:t>
      </w:r>
      <w:r w:rsidRPr="0018307E">
        <w:rPr>
          <w:b w:val="0"/>
          <w:color w:val="1C1C1C"/>
        </w:rPr>
        <w:t xml:space="preserve"> increase from a single customer up to three customers between 2016 and 2017</w:t>
      </w:r>
      <w:r>
        <w:rPr>
          <w:b w:val="0"/>
          <w:color w:val="1C1C1C"/>
        </w:rPr>
        <w:t xml:space="preserve"> limits the value of comparing impacts between the program years. The 2017 ex post impacts are significantly larger, as would be expected. However, year over year comparison won’t be meaningful until the enrolled population is stable.</w:t>
      </w:r>
    </w:p>
    <w:p w:rsidR="006D27E7" w:rsidRDefault="006D27E7">
      <w:pPr>
        <w:pStyle w:val="Heading2"/>
      </w:pPr>
      <w:r>
        <w:t>SDG&amp;E Ex Post Impacts</w:t>
      </w:r>
      <w:bookmarkEnd w:id="41"/>
    </w:p>
    <w:p w:rsidR="000079C4" w:rsidRDefault="000079C4" w:rsidP="000079C4">
      <w:pPr>
        <w:pStyle w:val="BodyParagraph"/>
      </w:pPr>
      <w:r w:rsidRPr="00BF5325">
        <w:t>The</w:t>
      </w:r>
      <w:r>
        <w:t xml:space="preserve">re </w:t>
      </w:r>
      <w:r w:rsidR="0099552E">
        <w:t>we</w:t>
      </w:r>
      <w:r>
        <w:t xml:space="preserve">re three PLS installations within SDG&amp;E’s territory that </w:t>
      </w:r>
      <w:r w:rsidR="0099552E">
        <w:t>were available for evaluation</w:t>
      </w:r>
      <w:r>
        <w:t xml:space="preserve"> this year. The first installation in SDG&amp;E’s territory was installed in March 2015, however due to the ownership change for the building and its classified status, the final post-installation activities and commissioning report were not completed until spring 2016. The installation is located in </w:t>
      </w:r>
      <w:r w:rsidRPr="00027EFC">
        <w:t>San Diego</w:t>
      </w:r>
      <w:r>
        <w:t>, and the installation site comprises a single building that is part of a larger office park.  The second installation was installed in May 2016, and is comprised of a 40,000 square foot lab</w:t>
      </w:r>
      <w:r w:rsidR="00FC3AB8">
        <w:t>oratory</w:t>
      </w:r>
      <w:r>
        <w:t xml:space="preserve"> facility. The third installation was installed in October 2016 and is comprised of a 10,350 square foot building that is part of a college campus located in San Diego.</w:t>
      </w:r>
    </w:p>
    <w:p w:rsidR="008A3A8B" w:rsidRDefault="000079C4" w:rsidP="000079C4">
      <w:pPr>
        <w:pStyle w:val="BodyParagraph"/>
      </w:pPr>
      <w:r>
        <w:t>Due to a lack of post-operational data, the results for the 2017 evaluation only include all three utilities in the average June weekday results.  Two customers are included for the months of April through July for both average weekdays and monthly system peak</w:t>
      </w:r>
      <w:r w:rsidR="00225E2B">
        <w:t xml:space="preserve"> </w:t>
      </w:r>
      <w:r>
        <w:t xml:space="preserve">days, and one customer is included in all of the result months. Figure 3-9 </w:t>
      </w:r>
      <w:r w:rsidRPr="00972439">
        <w:t>shows th</w:t>
      </w:r>
      <w:r>
        <w:t>e aggregate ex post load impact table for an average June weekday where all three customers are included.  An average June weekday experienced an aggregate</w:t>
      </w:r>
      <w:r w:rsidRPr="00972439">
        <w:t xml:space="preserve"> load shift </w:t>
      </w:r>
      <w:r w:rsidRPr="00027EFC">
        <w:t>of 899</w:t>
      </w:r>
      <w:r>
        <w:t xml:space="preserve"> kW and a maximum hourly load shift of </w:t>
      </w:r>
      <w:r w:rsidRPr="00027EFC">
        <w:t>934</w:t>
      </w:r>
      <w:r>
        <w:t xml:space="preserve"> kW occurring in hour ending 14. </w:t>
      </w:r>
      <w:r w:rsidR="00FC3AB8">
        <w:t xml:space="preserve">The load impact is likely larger in the hotter peak </w:t>
      </w:r>
      <w:r w:rsidR="00FC3AB8">
        <w:lastRenderedPageBreak/>
        <w:t xml:space="preserve">summer months, but the data availability challenges limit what can be reported in the ex post section of the report. </w:t>
      </w:r>
      <w:r w:rsidR="008A3A8B">
        <w:t xml:space="preserve">Modeling techniques will be applied for the ex ante analysis that help to reflect the full load shifting potential of the program during the months not included in the ex post. </w:t>
      </w:r>
    </w:p>
    <w:p w:rsidR="000079C4" w:rsidRDefault="000079C4" w:rsidP="000079C4">
      <w:pPr>
        <w:pStyle w:val="BodyParagraph"/>
      </w:pPr>
      <w:r w:rsidRPr="00972439">
        <w:t>The</w:t>
      </w:r>
      <w:r>
        <w:t> </w:t>
      </w:r>
      <w:r w:rsidRPr="00972439">
        <w:t xml:space="preserve">upper and lower confidence intervals on the graph (green dashed lines) represent the </w:t>
      </w:r>
      <w:r>
        <w:t>uncertainty</w:t>
      </w:r>
      <w:r w:rsidRPr="00972439">
        <w:t xml:space="preserve"> </w:t>
      </w:r>
      <w:r>
        <w:t xml:space="preserve">around </w:t>
      </w:r>
      <w:r w:rsidRPr="00972439">
        <w:t>the load impact estimate.</w:t>
      </w:r>
      <w:r>
        <w:t xml:space="preserve">  </w:t>
      </w:r>
      <w:r w:rsidRPr="00BF5325">
        <w:t xml:space="preserve">The upper and lower bounds of the 90% confidence interval are </w:t>
      </w:r>
      <w:r w:rsidRPr="00027EFC">
        <w:t>1,076</w:t>
      </w:r>
      <w:r w:rsidR="00027EFC">
        <w:t>/</w:t>
      </w:r>
      <w:proofErr w:type="gramStart"/>
      <w:r w:rsidR="00027EFC">
        <w:t>]p</w:t>
      </w:r>
      <w:proofErr w:type="gramEnd"/>
      <w:r w:rsidR="00027EFC">
        <w:t>[</w:t>
      </w:r>
      <w:r>
        <w:t xml:space="preserve"> </w:t>
      </w:r>
      <w:r w:rsidRPr="00BF5325">
        <w:t xml:space="preserve">kW and </w:t>
      </w:r>
      <w:r w:rsidRPr="0003461A">
        <w:t>793</w:t>
      </w:r>
      <w:r w:rsidRPr="00BF5325">
        <w:t xml:space="preserve"> kW, respectively. This range represents the point estimate of </w:t>
      </w:r>
      <w:r>
        <w:t>the load impact plus or minus 18</w:t>
      </w:r>
      <w:r w:rsidRPr="00BF5325">
        <w:t xml:space="preserve">%. </w:t>
      </w:r>
      <w:r>
        <w:t xml:space="preserve"> Similarly, Figure 3-10 shows the ex post load impact for the average customer on an average June weekday.  On an average June weekday the average PLS customer experienced a load shift of </w:t>
      </w:r>
      <w:r w:rsidRPr="0003461A">
        <w:t>300</w:t>
      </w:r>
      <w:r>
        <w:t xml:space="preserve"> kW and a maximum hourly load shift of </w:t>
      </w:r>
      <w:r w:rsidRPr="0003461A">
        <w:t>311</w:t>
      </w:r>
      <w:r>
        <w:t xml:space="preserve"> kW during hour ending 14.  The upper and lower bounds of the 90% confidence interval are </w:t>
      </w:r>
      <w:r w:rsidRPr="0003461A">
        <w:t>359</w:t>
      </w:r>
      <w:r>
        <w:t xml:space="preserve"> kW and </w:t>
      </w:r>
      <w:r w:rsidRPr="0003461A">
        <w:t>264</w:t>
      </w:r>
      <w:r>
        <w:t xml:space="preserve"> kW, respectively. </w:t>
      </w:r>
    </w:p>
    <w:p w:rsidR="000079C4" w:rsidRDefault="000079C4" w:rsidP="000079C4">
      <w:pPr>
        <w:rPr>
          <w:rFonts w:ascii="Arial" w:hAnsi="Arial"/>
          <w:color w:val="1C1C1C"/>
        </w:rPr>
      </w:pPr>
      <w:r>
        <w:br w:type="page"/>
      </w:r>
    </w:p>
    <w:p w:rsidR="000079C4" w:rsidRDefault="000079C4" w:rsidP="000079C4">
      <w:pPr>
        <w:sectPr w:rsidR="000079C4" w:rsidSect="00831552">
          <w:footerReference w:type="default" r:id="rId47"/>
          <w:pgSz w:w="12240" w:h="15840"/>
          <w:pgMar w:top="1440" w:right="1440" w:bottom="1440" w:left="1440" w:header="720" w:footer="720" w:gutter="0"/>
          <w:cols w:space="720"/>
          <w:docGrid w:linePitch="360"/>
        </w:sectPr>
      </w:pPr>
    </w:p>
    <w:p w:rsidR="000079C4" w:rsidRDefault="000079C4" w:rsidP="000079C4">
      <w:pPr>
        <w:pStyle w:val="Caption"/>
      </w:pPr>
      <w:r>
        <w:lastRenderedPageBreak/>
        <w:t>Figure 3-9: Aggregate Impact June Average Weekday</w:t>
      </w:r>
    </w:p>
    <w:p w:rsidR="000079C4" w:rsidRDefault="000079C4" w:rsidP="000079C4">
      <w:r w:rsidRPr="00B31380">
        <w:rPr>
          <w:noProof/>
        </w:rPr>
        <w:drawing>
          <wp:inline distT="0" distB="0" distL="0" distR="0" wp14:anchorId="460D7594" wp14:editId="0D6493EC">
            <wp:extent cx="8276073" cy="3810000"/>
            <wp:effectExtent l="0" t="0" r="0" b="0"/>
            <wp:docPr id="3080" name="Picture 3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8276073" cy="3810000"/>
                    </a:xfrm>
                    <a:prstGeom prst="rect">
                      <a:avLst/>
                    </a:prstGeom>
                  </pic:spPr>
                </pic:pic>
              </a:graphicData>
            </a:graphic>
          </wp:inline>
        </w:drawing>
      </w:r>
    </w:p>
    <w:p w:rsidR="000079C4" w:rsidRDefault="000079C4" w:rsidP="000079C4"/>
    <w:p w:rsidR="000079C4" w:rsidRDefault="000079C4" w:rsidP="000079C4">
      <w:pPr>
        <w:rPr>
          <w:rFonts w:ascii="Arial" w:hAnsi="Arial"/>
          <w:b/>
        </w:rPr>
      </w:pPr>
      <w:r>
        <w:br w:type="page"/>
      </w:r>
    </w:p>
    <w:p w:rsidR="000079C4" w:rsidRDefault="000079C4" w:rsidP="000079C4">
      <w:pPr>
        <w:pStyle w:val="Caption"/>
      </w:pPr>
      <w:r>
        <w:lastRenderedPageBreak/>
        <w:t>Figure 3-10: Average Customer Impact June Average Weekday</w:t>
      </w:r>
    </w:p>
    <w:p w:rsidR="000079C4" w:rsidRDefault="000079C4" w:rsidP="000079C4">
      <w:pPr>
        <w:sectPr w:rsidR="000079C4" w:rsidSect="00836EE7">
          <w:pgSz w:w="15840" w:h="12240" w:orient="landscape"/>
          <w:pgMar w:top="1440" w:right="1440" w:bottom="1440" w:left="1440" w:header="720" w:footer="720" w:gutter="0"/>
          <w:cols w:space="720"/>
          <w:docGrid w:linePitch="360"/>
        </w:sectPr>
      </w:pPr>
      <w:r w:rsidRPr="00B31380">
        <w:rPr>
          <w:noProof/>
        </w:rPr>
        <w:drawing>
          <wp:inline distT="0" distB="0" distL="0" distR="0" wp14:anchorId="668B8073" wp14:editId="10CBB311">
            <wp:extent cx="8254314" cy="3817620"/>
            <wp:effectExtent l="0" t="0" r="0" b="0"/>
            <wp:docPr id="3081" name="Picture 3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8254314" cy="3817620"/>
                    </a:xfrm>
                    <a:prstGeom prst="rect">
                      <a:avLst/>
                    </a:prstGeom>
                  </pic:spPr>
                </pic:pic>
              </a:graphicData>
            </a:graphic>
          </wp:inline>
        </w:drawing>
      </w:r>
    </w:p>
    <w:p w:rsidR="000079C4" w:rsidRPr="00252D43" w:rsidRDefault="000079C4" w:rsidP="000079C4">
      <w:pPr>
        <w:pStyle w:val="BodyParagraph"/>
      </w:pPr>
      <w:r>
        <w:lastRenderedPageBreak/>
        <w:t>Table 3-3</w:t>
      </w:r>
      <w:r w:rsidRPr="00BF5325">
        <w:t xml:space="preserve"> compares the monthly system peak day </w:t>
      </w:r>
      <w:r>
        <w:t xml:space="preserve">aggregate </w:t>
      </w:r>
      <w:r w:rsidRPr="00BF5325">
        <w:t>impact with the average weekday impact estimated for each month</w:t>
      </w:r>
      <w:r>
        <w:t xml:space="preserve"> the customer is required to shift load (June 1 to September 30)</w:t>
      </w:r>
      <w:r w:rsidRPr="00BF5325">
        <w:t xml:space="preserve">. </w:t>
      </w:r>
      <w:r w:rsidRPr="00337E19">
        <w:t xml:space="preserve">The average impact across the peak hours and the maximum hourly impact are also presented. </w:t>
      </w:r>
      <w:r>
        <w:t>The July monthly system peak saw the highest impacts with an average shift of 1,100 kW and an hourly maximum of 1,134 kW. Because PLS is not an event based program and the TES system runs at all hours during the program operational months, the average weekday impacts are more indicative of the day-to-day usage. The highest average weekday impact of 899 kW was observed in June. It should again be noted that only June average weekdays represent all three customer loads, and August and September only represent the load impacts of one customer.</w:t>
      </w:r>
    </w:p>
    <w:p w:rsidR="000079C4" w:rsidRPr="00BF5325" w:rsidRDefault="000079C4" w:rsidP="000079C4">
      <w:pPr>
        <w:pStyle w:val="Caption"/>
      </w:pPr>
      <w:r w:rsidRPr="0003461A">
        <w:t xml:space="preserve">Table </w:t>
      </w:r>
      <w:fldSimple w:instr=" STYLEREF 1 \s ">
        <w:r w:rsidR="001F391A" w:rsidRPr="0003461A">
          <w:rPr>
            <w:noProof/>
          </w:rPr>
          <w:t>3</w:t>
        </w:r>
      </w:fldSimple>
      <w:r w:rsidRPr="0003461A">
        <w:noBreakHyphen/>
        <w:t>3: Comparison of Monthly System Peak Day and Average Weekday Impacts</w:t>
      </w:r>
      <w:r>
        <w:t xml:space="preserve"> (aggregate)</w:t>
      </w:r>
    </w:p>
    <w:tbl>
      <w:tblPr>
        <w:tblW w:w="9360" w:type="dxa"/>
        <w:jc w:val="center"/>
        <w:tblInd w:w="93" w:type="dxa"/>
        <w:tblLook w:val="04A0" w:firstRow="1" w:lastRow="0" w:firstColumn="1" w:lastColumn="0" w:noHBand="0" w:noVBand="1"/>
      </w:tblPr>
      <w:tblGrid>
        <w:gridCol w:w="1520"/>
        <w:gridCol w:w="1960"/>
        <w:gridCol w:w="1960"/>
        <w:gridCol w:w="1960"/>
        <w:gridCol w:w="1960"/>
      </w:tblGrid>
      <w:tr w:rsidR="000079C4" w:rsidRPr="00387626" w:rsidTr="00836EE7">
        <w:trPr>
          <w:trHeight w:val="345"/>
          <w:jc w:val="center"/>
        </w:trPr>
        <w:tc>
          <w:tcPr>
            <w:tcW w:w="1520" w:type="dxa"/>
            <w:vMerge w:val="restart"/>
            <w:tcBorders>
              <w:top w:val="single" w:sz="4" w:space="0" w:color="auto"/>
              <w:left w:val="single" w:sz="4" w:space="0" w:color="auto"/>
              <w:bottom w:val="single" w:sz="4" w:space="0" w:color="000000"/>
              <w:right w:val="single" w:sz="4" w:space="0" w:color="FFFFFF"/>
            </w:tcBorders>
            <w:shd w:val="clear" w:color="000000" w:fill="0070CD"/>
            <w:noWrap/>
            <w:vAlign w:val="center"/>
            <w:hideMark/>
          </w:tcPr>
          <w:p w:rsidR="000079C4" w:rsidRPr="00387626" w:rsidRDefault="000079C4" w:rsidP="00836EE7">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Month</w:t>
            </w:r>
          </w:p>
        </w:tc>
        <w:tc>
          <w:tcPr>
            <w:tcW w:w="3920" w:type="dxa"/>
            <w:gridSpan w:val="2"/>
            <w:tcBorders>
              <w:top w:val="single" w:sz="4" w:space="0" w:color="auto"/>
              <w:left w:val="nil"/>
              <w:bottom w:val="single" w:sz="4" w:space="0" w:color="FFFFFF"/>
              <w:right w:val="single" w:sz="4" w:space="0" w:color="FFFFFF"/>
            </w:tcBorders>
            <w:shd w:val="clear" w:color="000000" w:fill="0070CD"/>
            <w:noWrap/>
            <w:vAlign w:val="center"/>
            <w:hideMark/>
          </w:tcPr>
          <w:p w:rsidR="000079C4" w:rsidRPr="00387626" w:rsidRDefault="000079C4" w:rsidP="00836EE7">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Monthly System Peak Day (kW)</w:t>
            </w:r>
          </w:p>
        </w:tc>
        <w:tc>
          <w:tcPr>
            <w:tcW w:w="3920" w:type="dxa"/>
            <w:gridSpan w:val="2"/>
            <w:tcBorders>
              <w:top w:val="single" w:sz="4" w:space="0" w:color="auto"/>
              <w:left w:val="nil"/>
              <w:bottom w:val="single" w:sz="4" w:space="0" w:color="FFFFFF"/>
              <w:right w:val="single" w:sz="4" w:space="0" w:color="000000"/>
            </w:tcBorders>
            <w:shd w:val="clear" w:color="000000" w:fill="0070CD"/>
            <w:noWrap/>
            <w:vAlign w:val="center"/>
            <w:hideMark/>
          </w:tcPr>
          <w:p w:rsidR="000079C4" w:rsidRPr="00387626" w:rsidRDefault="000079C4" w:rsidP="00836EE7">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Average Weekday (kW)</w:t>
            </w:r>
          </w:p>
        </w:tc>
      </w:tr>
      <w:tr w:rsidR="000079C4" w:rsidRPr="00387626" w:rsidTr="00836EE7">
        <w:trPr>
          <w:trHeight w:val="660"/>
          <w:jc w:val="center"/>
        </w:trPr>
        <w:tc>
          <w:tcPr>
            <w:tcW w:w="1520" w:type="dxa"/>
            <w:vMerge/>
            <w:tcBorders>
              <w:top w:val="single" w:sz="4" w:space="0" w:color="auto"/>
              <w:left w:val="single" w:sz="4" w:space="0" w:color="auto"/>
              <w:bottom w:val="single" w:sz="4" w:space="0" w:color="000000"/>
              <w:right w:val="single" w:sz="4" w:space="0" w:color="FFFFFF"/>
            </w:tcBorders>
            <w:vAlign w:val="center"/>
            <w:hideMark/>
          </w:tcPr>
          <w:p w:rsidR="000079C4" w:rsidRPr="00387626" w:rsidRDefault="000079C4" w:rsidP="00836EE7">
            <w:pPr>
              <w:spacing w:after="0" w:line="240" w:lineRule="auto"/>
              <w:rPr>
                <w:rFonts w:ascii="Arial" w:eastAsia="Times New Roman" w:hAnsi="Arial" w:cs="Arial"/>
                <w:b/>
                <w:bCs/>
                <w:color w:val="FFFFFF"/>
              </w:rPr>
            </w:pPr>
          </w:p>
        </w:tc>
        <w:tc>
          <w:tcPr>
            <w:tcW w:w="1960" w:type="dxa"/>
            <w:tcBorders>
              <w:top w:val="nil"/>
              <w:left w:val="nil"/>
              <w:bottom w:val="single" w:sz="4" w:space="0" w:color="auto"/>
              <w:right w:val="single" w:sz="4" w:space="0" w:color="FFFFFF"/>
            </w:tcBorders>
            <w:shd w:val="clear" w:color="000000" w:fill="0070CD"/>
            <w:vAlign w:val="center"/>
            <w:hideMark/>
          </w:tcPr>
          <w:p w:rsidR="000079C4" w:rsidRPr="00387626" w:rsidRDefault="000079C4" w:rsidP="00836EE7">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Average Hourly Impact</w:t>
            </w:r>
          </w:p>
        </w:tc>
        <w:tc>
          <w:tcPr>
            <w:tcW w:w="1960" w:type="dxa"/>
            <w:tcBorders>
              <w:top w:val="nil"/>
              <w:left w:val="nil"/>
              <w:bottom w:val="single" w:sz="4" w:space="0" w:color="auto"/>
              <w:right w:val="single" w:sz="4" w:space="0" w:color="FFFFFF"/>
            </w:tcBorders>
            <w:shd w:val="clear" w:color="000000" w:fill="0070CD"/>
            <w:vAlign w:val="center"/>
            <w:hideMark/>
          </w:tcPr>
          <w:p w:rsidR="000079C4" w:rsidRPr="00387626" w:rsidRDefault="000079C4" w:rsidP="00836EE7">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Maximum Hourly Impact</w:t>
            </w:r>
          </w:p>
        </w:tc>
        <w:tc>
          <w:tcPr>
            <w:tcW w:w="1960" w:type="dxa"/>
            <w:tcBorders>
              <w:top w:val="nil"/>
              <w:left w:val="nil"/>
              <w:bottom w:val="single" w:sz="4" w:space="0" w:color="auto"/>
              <w:right w:val="single" w:sz="4" w:space="0" w:color="FFFFFF"/>
            </w:tcBorders>
            <w:shd w:val="clear" w:color="000000" w:fill="0070CD"/>
            <w:vAlign w:val="center"/>
            <w:hideMark/>
          </w:tcPr>
          <w:p w:rsidR="000079C4" w:rsidRPr="00387626" w:rsidRDefault="000079C4" w:rsidP="00836EE7">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Average Hourly Impact</w:t>
            </w:r>
          </w:p>
        </w:tc>
        <w:tc>
          <w:tcPr>
            <w:tcW w:w="1960" w:type="dxa"/>
            <w:tcBorders>
              <w:top w:val="nil"/>
              <w:left w:val="nil"/>
              <w:bottom w:val="single" w:sz="4" w:space="0" w:color="auto"/>
              <w:right w:val="single" w:sz="4" w:space="0" w:color="auto"/>
            </w:tcBorders>
            <w:shd w:val="clear" w:color="000000" w:fill="0070CD"/>
            <w:vAlign w:val="center"/>
            <w:hideMark/>
          </w:tcPr>
          <w:p w:rsidR="000079C4" w:rsidRPr="00387626" w:rsidRDefault="000079C4" w:rsidP="00836EE7">
            <w:pPr>
              <w:spacing w:after="0" w:line="240" w:lineRule="auto"/>
              <w:jc w:val="center"/>
              <w:rPr>
                <w:rFonts w:ascii="Arial" w:eastAsia="Times New Roman" w:hAnsi="Arial" w:cs="Arial"/>
                <w:b/>
                <w:bCs/>
                <w:color w:val="FFFFFF"/>
              </w:rPr>
            </w:pPr>
            <w:r w:rsidRPr="00387626">
              <w:rPr>
                <w:rFonts w:ascii="Arial" w:eastAsia="Times New Roman" w:hAnsi="Arial" w:cs="Arial"/>
                <w:b/>
                <w:bCs/>
                <w:color w:val="FFFFFF"/>
              </w:rPr>
              <w:t>Maximum Hourly Impact</w:t>
            </w:r>
          </w:p>
        </w:tc>
      </w:tr>
      <w:tr w:rsidR="000079C4" w:rsidRPr="00387626" w:rsidTr="00836EE7">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0079C4" w:rsidRPr="00387626" w:rsidRDefault="000079C4" w:rsidP="00836EE7">
            <w:pPr>
              <w:spacing w:after="0" w:line="240" w:lineRule="auto"/>
              <w:jc w:val="center"/>
              <w:rPr>
                <w:rFonts w:ascii="Arial" w:eastAsia="Times New Roman" w:hAnsi="Arial" w:cs="Arial"/>
              </w:rPr>
            </w:pPr>
            <w:r>
              <w:rPr>
                <w:rFonts w:ascii="Arial" w:eastAsia="Times New Roman" w:hAnsi="Arial" w:cs="Arial"/>
              </w:rPr>
              <w:t>June</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934.67</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1,089.18</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899.09</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934.43</w:t>
            </w:r>
          </w:p>
        </w:tc>
      </w:tr>
      <w:tr w:rsidR="000079C4" w:rsidRPr="00387626" w:rsidTr="00836EE7">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0079C4" w:rsidRPr="00387626" w:rsidRDefault="000079C4" w:rsidP="00836EE7">
            <w:pPr>
              <w:spacing w:after="0" w:line="240" w:lineRule="auto"/>
              <w:jc w:val="center"/>
              <w:rPr>
                <w:rFonts w:ascii="Arial" w:eastAsia="Times New Roman" w:hAnsi="Arial" w:cs="Arial"/>
              </w:rPr>
            </w:pPr>
            <w:r w:rsidRPr="00387626">
              <w:rPr>
                <w:rFonts w:ascii="Arial" w:eastAsia="Times New Roman" w:hAnsi="Arial" w:cs="Arial"/>
              </w:rPr>
              <w:t>Ju</w:t>
            </w:r>
            <w:r>
              <w:rPr>
                <w:rFonts w:ascii="Arial" w:eastAsia="Times New Roman" w:hAnsi="Arial" w:cs="Arial"/>
              </w:rPr>
              <w:t>ly</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1,101.81</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1,134.65</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652.77</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715.11</w:t>
            </w:r>
          </w:p>
        </w:tc>
      </w:tr>
      <w:tr w:rsidR="000079C4" w:rsidRPr="00387626" w:rsidTr="00836EE7">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0079C4" w:rsidRPr="00387626" w:rsidRDefault="000079C4" w:rsidP="00836EE7">
            <w:pPr>
              <w:spacing w:after="0" w:line="240" w:lineRule="auto"/>
              <w:jc w:val="center"/>
              <w:rPr>
                <w:rFonts w:ascii="Arial" w:eastAsia="Times New Roman" w:hAnsi="Arial" w:cs="Arial"/>
              </w:rPr>
            </w:pPr>
            <w:r>
              <w:rPr>
                <w:rFonts w:ascii="Arial" w:eastAsia="Times New Roman" w:hAnsi="Arial" w:cs="Arial"/>
              </w:rPr>
              <w:t>August</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151.19</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259.06</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137.57</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189.11</w:t>
            </w:r>
          </w:p>
        </w:tc>
      </w:tr>
      <w:tr w:rsidR="000079C4" w:rsidRPr="00387626" w:rsidTr="00836EE7">
        <w:trPr>
          <w:trHeight w:val="285"/>
          <w:jc w:val="center"/>
        </w:trPr>
        <w:tc>
          <w:tcPr>
            <w:tcW w:w="1520" w:type="dxa"/>
            <w:tcBorders>
              <w:top w:val="nil"/>
              <w:left w:val="single" w:sz="4" w:space="0" w:color="auto"/>
              <w:bottom w:val="single" w:sz="4" w:space="0" w:color="auto"/>
              <w:right w:val="single" w:sz="4" w:space="0" w:color="auto"/>
            </w:tcBorders>
            <w:shd w:val="clear" w:color="auto" w:fill="auto"/>
            <w:noWrap/>
            <w:vAlign w:val="center"/>
            <w:hideMark/>
          </w:tcPr>
          <w:p w:rsidR="000079C4" w:rsidRPr="00387626" w:rsidRDefault="000079C4" w:rsidP="00836EE7">
            <w:pPr>
              <w:spacing w:after="0" w:line="240" w:lineRule="auto"/>
              <w:jc w:val="center"/>
              <w:rPr>
                <w:rFonts w:ascii="Arial" w:eastAsia="Times New Roman" w:hAnsi="Arial" w:cs="Arial"/>
              </w:rPr>
            </w:pPr>
            <w:r>
              <w:rPr>
                <w:rFonts w:ascii="Arial" w:eastAsia="Times New Roman" w:hAnsi="Arial" w:cs="Arial"/>
              </w:rPr>
              <w:t>September</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132.17</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280.23</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156.09</w:t>
            </w:r>
          </w:p>
        </w:tc>
        <w:tc>
          <w:tcPr>
            <w:tcW w:w="1960" w:type="dxa"/>
            <w:tcBorders>
              <w:top w:val="nil"/>
              <w:left w:val="nil"/>
              <w:bottom w:val="single" w:sz="4" w:space="0" w:color="auto"/>
              <w:right w:val="single" w:sz="4" w:space="0" w:color="auto"/>
            </w:tcBorders>
            <w:shd w:val="clear" w:color="auto" w:fill="auto"/>
            <w:noWrap/>
            <w:vAlign w:val="bottom"/>
            <w:hideMark/>
          </w:tcPr>
          <w:p w:rsidR="000079C4" w:rsidRPr="00252D43" w:rsidRDefault="000079C4" w:rsidP="00836EE7">
            <w:pPr>
              <w:spacing w:after="0"/>
              <w:jc w:val="center"/>
              <w:rPr>
                <w:rFonts w:ascii="Arial" w:hAnsi="Arial" w:cs="Arial"/>
                <w:color w:val="000000"/>
              </w:rPr>
            </w:pPr>
            <w:r>
              <w:rPr>
                <w:rFonts w:ascii="Arial" w:hAnsi="Arial" w:cs="Arial"/>
                <w:color w:val="000000"/>
              </w:rPr>
              <w:t>197.37</w:t>
            </w:r>
          </w:p>
        </w:tc>
      </w:tr>
    </w:tbl>
    <w:p w:rsidR="000079C4" w:rsidRPr="00227647" w:rsidRDefault="000079C4" w:rsidP="000079C4">
      <w:pPr>
        <w:pStyle w:val="BodyParagraph"/>
      </w:pPr>
    </w:p>
    <w:p w:rsidR="0099552E" w:rsidRDefault="0099552E" w:rsidP="0099552E">
      <w:pPr>
        <w:pStyle w:val="Heading3"/>
      </w:pPr>
      <w:bookmarkStart w:id="44" w:name="_Toc507085052"/>
      <w:r>
        <w:t>Comparison between 2016 and 2017 Ex Post Results</w:t>
      </w:r>
      <w:bookmarkEnd w:id="44"/>
    </w:p>
    <w:p w:rsidR="0099552E" w:rsidRPr="0018307E" w:rsidRDefault="0099552E" w:rsidP="0099552E">
      <w:pPr>
        <w:pStyle w:val="Caption"/>
        <w:spacing w:before="240"/>
        <w:jc w:val="left"/>
        <w:rPr>
          <w:b w:val="0"/>
          <w:color w:val="1C1C1C"/>
        </w:rPr>
      </w:pPr>
      <w:r w:rsidRPr="0018307E">
        <w:rPr>
          <w:b w:val="0"/>
          <w:color w:val="1C1C1C"/>
        </w:rPr>
        <w:t>The significant</w:t>
      </w:r>
      <w:r>
        <w:rPr>
          <w:b w:val="0"/>
          <w:color w:val="1C1C1C"/>
        </w:rPr>
        <w:t xml:space="preserve"> enrollment</w:t>
      </w:r>
      <w:r w:rsidRPr="0018307E">
        <w:rPr>
          <w:b w:val="0"/>
          <w:color w:val="1C1C1C"/>
        </w:rPr>
        <w:t xml:space="preserve"> increase from a single customer up to three customers between 2016 and 2017</w:t>
      </w:r>
      <w:r>
        <w:rPr>
          <w:b w:val="0"/>
          <w:color w:val="1C1C1C"/>
        </w:rPr>
        <w:t xml:space="preserve"> limits the value of comparing impacts between the program years. The 2017 ex post impacts are significantly larger, as would be expected. However, year over year comparison won’t be meaningful until the enrolled population is stable.</w:t>
      </w:r>
    </w:p>
    <w:p w:rsidR="00F1237C" w:rsidRPr="00711F3D" w:rsidRDefault="00F1237C" w:rsidP="00F1237C">
      <w:pPr>
        <w:pStyle w:val="Heading1"/>
        <w:spacing w:before="240"/>
      </w:pPr>
      <w:bookmarkStart w:id="45" w:name="_Toc507085053"/>
      <w:bookmarkEnd w:id="28"/>
      <w:r w:rsidRPr="00711F3D">
        <w:t>Ex Ante Methodology</w:t>
      </w:r>
      <w:bookmarkEnd w:id="45"/>
    </w:p>
    <w:p w:rsidR="00F1237C" w:rsidRPr="0019357F" w:rsidRDefault="007F76B8" w:rsidP="00F1237C">
      <w:pPr>
        <w:pStyle w:val="BodyParagraph"/>
      </w:pPr>
      <w:r>
        <w:t>T</w:t>
      </w:r>
      <w:r w:rsidR="00F1237C" w:rsidRPr="00711F3D">
        <w:t xml:space="preserve">he statewide PLS program currently has </w:t>
      </w:r>
      <w:r w:rsidR="00742D25">
        <w:t>13</w:t>
      </w:r>
      <w:r w:rsidR="0058471F" w:rsidRPr="00711F3D">
        <w:t xml:space="preserve"> </w:t>
      </w:r>
      <w:r w:rsidR="00F1237C" w:rsidRPr="00711F3D">
        <w:t>applications in the pipeline</w:t>
      </w:r>
      <w:r>
        <w:t xml:space="preserve"> and</w:t>
      </w:r>
      <w:r w:rsidR="00F1237C" w:rsidRPr="00711F3D">
        <w:t xml:space="preserve"> </w:t>
      </w:r>
      <w:r w:rsidR="0058471F">
        <w:t>7</w:t>
      </w:r>
      <w:r w:rsidR="00F1237C" w:rsidRPr="00711F3D">
        <w:t xml:space="preserve"> program-funded TES installations have been completed that allow</w:t>
      </w:r>
      <w:r w:rsidR="00A37F55">
        <w:t>ed</w:t>
      </w:r>
      <w:r w:rsidR="00F1237C" w:rsidRPr="00711F3D">
        <w:t xml:space="preserve"> for modeling ex post load</w:t>
      </w:r>
      <w:r w:rsidR="00F1237C">
        <w:t> </w:t>
      </w:r>
      <w:r w:rsidR="00F1237C" w:rsidRPr="00711F3D">
        <w:t xml:space="preserve">impacts. Due to the customized nature of each PLS installation, the findings from a single customer are not appropriate to generalize to the broader PLS program for ex ante forecasting purposes. Each utility had a pilot PLS program from 2008 through 2011, but the design of the </w:t>
      </w:r>
      <w:r w:rsidR="00F1237C">
        <w:t>p</w:t>
      </w:r>
      <w:r w:rsidR="00F1237C" w:rsidRPr="00711F3D">
        <w:t>ilots differed</w:t>
      </w:r>
      <w:r w:rsidR="00F1237C" w:rsidRPr="0019357F">
        <w:t xml:space="preserve"> from the current program design</w:t>
      </w:r>
      <w:r w:rsidR="00F1237C">
        <w:t>;</w:t>
      </w:r>
      <w:r w:rsidR="00F1237C" w:rsidRPr="0019357F">
        <w:t xml:space="preserve"> therefore</w:t>
      </w:r>
      <w:r w:rsidR="00F1237C">
        <w:t>,</w:t>
      </w:r>
      <w:r w:rsidR="00F1237C" w:rsidRPr="0019357F">
        <w:t xml:space="preserve"> the PLS-TES installations completed under the </w:t>
      </w:r>
      <w:r w:rsidR="00F1237C">
        <w:t>p</w:t>
      </w:r>
      <w:r w:rsidR="00F1237C" w:rsidRPr="0019357F">
        <w:t xml:space="preserve">ilots cannot be used as the basis for forecasting load impacts for this program. </w:t>
      </w:r>
      <w:r w:rsidR="00A37F55">
        <w:t xml:space="preserve">Because the PLS program is no longer open to new applications, there is little uncertainty about the number of future installations that will come online. Accordingly, </w:t>
      </w:r>
      <w:r w:rsidR="00F1237C" w:rsidRPr="0019357F">
        <w:t xml:space="preserve">Nexant relied on </w:t>
      </w:r>
      <w:r w:rsidR="00885CAC">
        <w:t>the</w:t>
      </w:r>
      <w:r w:rsidR="00A37F55">
        <w:t xml:space="preserve"> expected</w:t>
      </w:r>
      <w:r w:rsidR="00F1237C" w:rsidRPr="0019357F">
        <w:t xml:space="preserve"> </w:t>
      </w:r>
      <w:r w:rsidR="00A37F55">
        <w:t>peak load reduction</w:t>
      </w:r>
      <w:r w:rsidR="0058471F">
        <w:t xml:space="preserve"> and</w:t>
      </w:r>
      <w:r w:rsidR="0058471F" w:rsidRPr="0019357F">
        <w:t xml:space="preserve"> timing</w:t>
      </w:r>
      <w:r w:rsidR="00F1237C" w:rsidRPr="0019357F">
        <w:t xml:space="preserve"> of when projects would become operational </w:t>
      </w:r>
      <w:r w:rsidR="00A37F55">
        <w:t xml:space="preserve">from the current application pipeline </w:t>
      </w:r>
      <w:r w:rsidR="00F1237C" w:rsidRPr="0019357F">
        <w:t>in combination with the ex post results from the operational installations</w:t>
      </w:r>
      <w:r w:rsidR="00A37F55">
        <w:t xml:space="preserve"> t</w:t>
      </w:r>
      <w:r w:rsidR="00A37F55" w:rsidRPr="0019357F">
        <w:t>o produce</w:t>
      </w:r>
      <w:r w:rsidR="00A37F55">
        <w:t xml:space="preserve"> ex ante</w:t>
      </w:r>
      <w:r w:rsidR="00A37F55" w:rsidRPr="0019357F">
        <w:t xml:space="preserve"> load impact estimates for the PY201</w:t>
      </w:r>
      <w:r w:rsidR="00A37F55">
        <w:t>7 PLS evaluation</w:t>
      </w:r>
      <w:r w:rsidR="00F1237C" w:rsidRPr="0019357F">
        <w:t xml:space="preserve">. </w:t>
      </w:r>
      <w:r w:rsidR="0058471F">
        <w:t xml:space="preserve"> </w:t>
      </w:r>
    </w:p>
    <w:p w:rsidR="007703A2" w:rsidRDefault="00A37F55" w:rsidP="00F1237C">
      <w:pPr>
        <w:pStyle w:val="BodyBeforeBullet"/>
      </w:pPr>
      <w:r>
        <w:t>A</w:t>
      </w:r>
      <w:r w:rsidR="00F1237C" w:rsidRPr="009F3963">
        <w:t xml:space="preserve"> concise summary of assumptions that drove the </w:t>
      </w:r>
      <w:r w:rsidR="00885CAC" w:rsidRPr="009F3963">
        <w:t>PY201</w:t>
      </w:r>
      <w:r w:rsidR="00885CAC">
        <w:t>7</w:t>
      </w:r>
      <w:r w:rsidR="00885CAC" w:rsidRPr="009F3963">
        <w:t xml:space="preserve"> </w:t>
      </w:r>
      <w:r w:rsidR="00F1237C" w:rsidRPr="009F3963">
        <w:t>evaluation by utility is provided in Section</w:t>
      </w:r>
      <w:r w:rsidR="007703A2">
        <w:t xml:space="preserve"> 5</w:t>
      </w:r>
      <w:r>
        <w:t xml:space="preserve"> in order to be as transparent as possible</w:t>
      </w:r>
      <w:r w:rsidR="00F1237C" w:rsidRPr="009F3963">
        <w:t xml:space="preserve">. All of the assumptions are based on the </w:t>
      </w:r>
      <w:r w:rsidR="00F1237C" w:rsidRPr="009F3963">
        <w:lastRenderedPageBreak/>
        <w:t>most recent information on program enrollment and the current status of projects that have been identified and are in the application/verification stages of the proces</w:t>
      </w:r>
      <w:r w:rsidR="00885CAC">
        <w:t>s.</w:t>
      </w:r>
    </w:p>
    <w:p w:rsidR="00F1237C" w:rsidRPr="009F3963" w:rsidRDefault="00F1237C" w:rsidP="00F1237C">
      <w:pPr>
        <w:pStyle w:val="BodyBeforeBullet"/>
      </w:pPr>
      <w:r w:rsidRPr="009F3963">
        <w:t xml:space="preserve">This evaluation forecasts load impacts for </w:t>
      </w:r>
      <w:r w:rsidR="0058471F" w:rsidRPr="009F3963">
        <w:t>t</w:t>
      </w:r>
      <w:r w:rsidR="0058471F">
        <w:t>wo</w:t>
      </w:r>
      <w:r w:rsidR="0058471F" w:rsidRPr="009F3963">
        <w:t xml:space="preserve"> </w:t>
      </w:r>
      <w:r w:rsidRPr="009F3963">
        <w:t>different types of projects:</w:t>
      </w:r>
    </w:p>
    <w:p w:rsidR="00F1237C" w:rsidRPr="009F3963" w:rsidRDefault="00F1237C" w:rsidP="00F1237C">
      <w:pPr>
        <w:pStyle w:val="Bullets"/>
      </w:pPr>
      <w:r w:rsidRPr="009F3963">
        <w:rPr>
          <w:b/>
        </w:rPr>
        <w:t>Operational</w:t>
      </w:r>
      <w:r w:rsidRPr="009F3963">
        <w:t>—customers with installed and operational PLS systems;</w:t>
      </w:r>
      <w:r w:rsidR="00A37F55">
        <w:t xml:space="preserve"> and</w:t>
      </w:r>
    </w:p>
    <w:p w:rsidR="00F1237C" w:rsidRPr="009F3963" w:rsidRDefault="00F1237C" w:rsidP="00F1237C">
      <w:pPr>
        <w:pStyle w:val="Bullets"/>
      </w:pPr>
      <w:r w:rsidRPr="009F3963">
        <w:rPr>
          <w:b/>
        </w:rPr>
        <w:t>Identified</w:t>
      </w:r>
      <w:r w:rsidRPr="009F3963">
        <w:t>—those for which customers have completed an application or feasibility study</w:t>
      </w:r>
      <w:r w:rsidR="00A37F55">
        <w:t>.</w:t>
      </w:r>
    </w:p>
    <w:p w:rsidR="00D3319D" w:rsidRDefault="00D3319D" w:rsidP="00D3319D">
      <w:pPr>
        <w:pStyle w:val="BodyParagraph"/>
      </w:pPr>
      <w:r>
        <w:t>In past years, Nexant has analyzed impacts for both identified projects, those for which customers have already completed an application or feasibility study, and unidentified projects, or projects in which applications are projected to be submitted duri</w:t>
      </w:r>
      <w:r w:rsidR="00885CAC">
        <w:t xml:space="preserve">ng the funding cycle. </w:t>
      </w:r>
      <w:r w:rsidR="00225E2B">
        <w:t>B</w:t>
      </w:r>
      <w:r>
        <w:t xml:space="preserve">ecause the PLS program is not open to new applicants, </w:t>
      </w:r>
      <w:proofErr w:type="spellStart"/>
      <w:r>
        <w:t>Nexant</w:t>
      </w:r>
      <w:proofErr w:type="spellEnd"/>
      <w:r>
        <w:t xml:space="preserve"> </w:t>
      </w:r>
      <w:r w:rsidR="00225E2B">
        <w:t>only analyzed</w:t>
      </w:r>
      <w:r>
        <w:t xml:space="preserve"> identified </w:t>
      </w:r>
      <w:r w:rsidR="00290911">
        <w:t xml:space="preserve">and operational </w:t>
      </w:r>
      <w:r>
        <w:t xml:space="preserve">projects in the PY2017 evaluation. </w:t>
      </w:r>
    </w:p>
    <w:p w:rsidR="00D3319D" w:rsidRPr="007703A2" w:rsidRDefault="00F1237C" w:rsidP="00D3319D">
      <w:pPr>
        <w:pStyle w:val="BodyParagraph"/>
      </w:pPr>
      <w:r w:rsidRPr="009F3963">
        <w:t>Applications are submitted by potential PLS participants to initiate their enrollment in the program. Each application includes an initial estimate of the proposed PLS-TES installation’s load shifting capacity. Feasibility studies are more in-depth analyses conducted by qualified engineers and include a technical and cost analysis of the proposed project. Completion of a feasibility study is the next step in the PLS approval process after the initial application has been submitted and approved</w:t>
      </w:r>
      <w:r w:rsidRPr="000B2E34">
        <w:t xml:space="preserve">. As of this writing, a total of </w:t>
      </w:r>
      <w:r w:rsidR="00742D25">
        <w:t>30</w:t>
      </w:r>
      <w:r w:rsidR="00BA7D1E" w:rsidRPr="000B2E34">
        <w:t xml:space="preserve"> </w:t>
      </w:r>
      <w:r w:rsidRPr="000B2E34">
        <w:t xml:space="preserve">applications have been received by the 3 IOUs, </w:t>
      </w:r>
      <w:r w:rsidR="00742D25">
        <w:t>10</w:t>
      </w:r>
      <w:r w:rsidR="00885CAC">
        <w:t xml:space="preserve"> </w:t>
      </w:r>
      <w:r w:rsidRPr="000B2E34">
        <w:t xml:space="preserve">have been withdrawn, </w:t>
      </w:r>
      <w:r w:rsidR="00742D25">
        <w:t>1 project is awaiting approval,</w:t>
      </w:r>
      <w:r w:rsidR="007703A2">
        <w:t xml:space="preserve"> </w:t>
      </w:r>
      <w:r w:rsidR="00D3319D">
        <w:t>1</w:t>
      </w:r>
      <w:r w:rsidR="00742D25">
        <w:t>2</w:t>
      </w:r>
      <w:r w:rsidR="00D3319D" w:rsidRPr="000B2E34">
        <w:t xml:space="preserve"> </w:t>
      </w:r>
      <w:r w:rsidRPr="000B2E34">
        <w:t>projects have completed feasibility studies</w:t>
      </w:r>
      <w:r w:rsidR="00742D25">
        <w:t>,</w:t>
      </w:r>
      <w:r w:rsidRPr="000B2E34">
        <w:t xml:space="preserve"> and </w:t>
      </w:r>
      <w:r w:rsidR="00D3319D">
        <w:t>7</w:t>
      </w:r>
      <w:r w:rsidR="00D3319D" w:rsidRPr="000B2E34">
        <w:t xml:space="preserve"> </w:t>
      </w:r>
      <w:r w:rsidRPr="000B2E34">
        <w:t xml:space="preserve">installations are operational. </w:t>
      </w:r>
    </w:p>
    <w:p w:rsidR="00F1237C" w:rsidRPr="00B828B0" w:rsidRDefault="00F1237C" w:rsidP="00F1237C">
      <w:pPr>
        <w:pStyle w:val="BodyParagraph"/>
        <w:rPr>
          <w:highlight w:val="yellow"/>
        </w:rPr>
      </w:pPr>
      <w:r w:rsidRPr="00F81281">
        <w:t>For identified projects, the ex ante load impacts were allocated to specific local capacity areas</w:t>
      </w:r>
      <w:r w:rsidRPr="00F81281">
        <w:rPr>
          <w:rStyle w:val="FootnoteReference"/>
        </w:rPr>
        <w:footnoteReference w:id="20"/>
      </w:r>
      <w:r w:rsidRPr="00F81281">
        <w:t xml:space="preserve"> (LCAs) because the location of the PLS-TES system installation was known. While this information on where identified projects will be installed reduces some uncertainty in the forecast, there is still substantial uncertainty regarding whether the project will successfully go through the entire verification process given that, as of January </w:t>
      </w:r>
      <w:r w:rsidR="00D3319D" w:rsidRPr="00F81281">
        <w:t>201</w:t>
      </w:r>
      <w:r w:rsidR="00D3319D">
        <w:t>8</w:t>
      </w:r>
      <w:r w:rsidRPr="00F81281">
        <w:t xml:space="preserve">, </w:t>
      </w:r>
      <w:r w:rsidR="00D3319D">
        <w:t>seven</w:t>
      </w:r>
      <w:r w:rsidRPr="00F81281">
        <w:t xml:space="preserve"> projects have become operational. </w:t>
      </w:r>
      <w:r w:rsidRPr="008E12A3">
        <w:t>The identified projects also have an expectation of the installation date</w:t>
      </w:r>
      <w:r w:rsidRPr="008E12A3">
        <w:rPr>
          <w:rFonts w:cs="Arial"/>
        </w:rPr>
        <w:t>—</w:t>
      </w:r>
      <w:r w:rsidRPr="008E12A3">
        <w:t>either in the application or the feasibility study, if available</w:t>
      </w:r>
      <w:r w:rsidRPr="008E12A3">
        <w:rPr>
          <w:rFonts w:cs="Arial"/>
        </w:rPr>
        <w:t>—</w:t>
      </w:r>
      <w:r w:rsidRPr="008E12A3">
        <w:t>but those dates may change throughout the verification process.</w:t>
      </w:r>
    </w:p>
    <w:p w:rsidR="007703A2" w:rsidRDefault="00F1237C" w:rsidP="00F1237C">
      <w:pPr>
        <w:pStyle w:val="BodyParagraph"/>
      </w:pPr>
      <w:r w:rsidRPr="00167938">
        <w:t>Because the number and size of</w:t>
      </w:r>
      <w:r w:rsidRPr="00D3319D">
        <w:t xml:space="preserve"> </w:t>
      </w:r>
      <w:r w:rsidRPr="007703A2">
        <w:t>identified</w:t>
      </w:r>
      <w:r w:rsidRPr="00167938">
        <w:t xml:space="preserve"> projects varies between each IOU, the approach used to evaluate program impacts was tailored to the amount of information that was available for each IOU. Primarily, the number and diversity of applications determines the methodology used to generate load impacts for identified projects. </w:t>
      </w:r>
    </w:p>
    <w:p w:rsidR="00F1237C" w:rsidRDefault="00F1237C" w:rsidP="00F1237C">
      <w:pPr>
        <w:pStyle w:val="BodyParagraph"/>
      </w:pPr>
      <w:r w:rsidRPr="00167938">
        <w:t>The following subsections describe the methodology that was used to estimate ex ante load impacts for operational</w:t>
      </w:r>
      <w:r w:rsidR="00127EC1">
        <w:t xml:space="preserve"> and </w:t>
      </w:r>
      <w:r w:rsidRPr="00167938">
        <w:t>identified projects.</w:t>
      </w:r>
    </w:p>
    <w:p w:rsidR="00F1237C" w:rsidRPr="007F2F6A" w:rsidRDefault="00F1237C" w:rsidP="00F1237C">
      <w:pPr>
        <w:pStyle w:val="Heading2"/>
      </w:pPr>
      <w:bookmarkStart w:id="46" w:name="_Toc507085054"/>
      <w:r w:rsidRPr="007F2F6A">
        <w:lastRenderedPageBreak/>
        <w:t>Operational Projects</w:t>
      </w:r>
      <w:bookmarkEnd w:id="46"/>
    </w:p>
    <w:p w:rsidR="00F1237C" w:rsidRDefault="00F1237C" w:rsidP="00F1237C">
      <w:pPr>
        <w:pStyle w:val="BodyBeforeBullet"/>
        <w:spacing w:after="240"/>
      </w:pPr>
      <w:r>
        <w:t>There were two similar methods used for ex ante estimation for operational sites</w:t>
      </w:r>
      <w:r w:rsidR="008D6A91">
        <w:rPr>
          <w:rStyle w:val="FootnoteReference"/>
        </w:rPr>
        <w:footnoteReference w:id="21"/>
      </w:r>
      <w:r>
        <w:t>, depending on whether ex post estimation used premise level meter data or operational data. The following sections summarize the two different methodologies.</w:t>
      </w:r>
    </w:p>
    <w:p w:rsidR="00F1237C" w:rsidRPr="00336AD7" w:rsidRDefault="00F1237C" w:rsidP="00F1237C">
      <w:pPr>
        <w:pStyle w:val="Heading3"/>
      </w:pPr>
      <w:bookmarkStart w:id="47" w:name="_Toc507085055"/>
      <w:r>
        <w:t>Ex Post Based on Premise Level Data</w:t>
      </w:r>
      <w:bookmarkEnd w:id="47"/>
    </w:p>
    <w:p w:rsidR="00F1237C" w:rsidRDefault="00F1237C" w:rsidP="00F1237C">
      <w:pPr>
        <w:pStyle w:val="BodyBeforeBullet"/>
      </w:pPr>
      <w:r>
        <w:t xml:space="preserve">The methodology </w:t>
      </w:r>
      <w:r w:rsidRPr="007F2F6A">
        <w:t>for ex ante estimation for the operational site</w:t>
      </w:r>
      <w:r w:rsidR="00290911">
        <w:t>s</w:t>
      </w:r>
      <w:r>
        <w:t xml:space="preserve"> using premise level data</w:t>
      </w:r>
      <w:r w:rsidRPr="007F2F6A">
        <w:t xml:space="preserve"> is</w:t>
      </w:r>
      <w:r>
        <w:t> </w:t>
      </w:r>
      <w:r w:rsidRPr="007F2F6A">
        <w:t>based off the ex post estimation, but contains three extra modeling steps</w:t>
      </w:r>
      <w:r w:rsidRPr="007F2F6A">
        <w:rPr>
          <w:rFonts w:cs="Arial"/>
        </w:rPr>
        <w:t>—</w:t>
      </w:r>
      <w:r w:rsidRPr="007F2F6A">
        <w:t>developing a model to estimate the relationship between temperature and the ex post load shift</w:t>
      </w:r>
      <w:r>
        <w:t>,</w:t>
      </w:r>
      <w:r w:rsidRPr="007F2F6A">
        <w:t xml:space="preserve"> predict the reference load under ex ante conditions using the same model used for ex post</w:t>
      </w:r>
      <w:r>
        <w:t>,</w:t>
      </w:r>
      <w:r w:rsidRPr="007F2F6A">
        <w:t xml:space="preserve"> and predict</w:t>
      </w:r>
      <w:r w:rsidR="00290911">
        <w:t>ing</w:t>
      </w:r>
      <w:r w:rsidRPr="007F2F6A">
        <w:t xml:space="preserve"> the</w:t>
      </w:r>
      <w:r>
        <w:t> </w:t>
      </w:r>
      <w:r w:rsidRPr="007F2F6A">
        <w:t>ex ante load impacts based on the ex ante weather conditions</w:t>
      </w:r>
      <w:r w:rsidRPr="007F2F6A">
        <w:rPr>
          <w:rFonts w:cs="Arial"/>
        </w:rPr>
        <w:t>—</w:t>
      </w:r>
      <w:r w:rsidRPr="007F2F6A">
        <w:t xml:space="preserve">all as functions of outdoor air temperature and time. </w:t>
      </w:r>
      <w:r>
        <w:t xml:space="preserve">This methodology was used to estimate ex ante for the </w:t>
      </w:r>
      <w:r w:rsidR="00127EC1">
        <w:t xml:space="preserve">three </w:t>
      </w:r>
      <w:r>
        <w:t>operational installation</w:t>
      </w:r>
      <w:r w:rsidR="00127EC1">
        <w:t>s</w:t>
      </w:r>
      <w:r>
        <w:t xml:space="preserve"> in SCE’s territory </w:t>
      </w:r>
      <w:r w:rsidR="00127EC1">
        <w:t xml:space="preserve">as well as </w:t>
      </w:r>
      <w:r w:rsidR="008D6A91">
        <w:t xml:space="preserve">two </w:t>
      </w:r>
      <w:r w:rsidR="00127EC1">
        <w:t>installations in SDG&amp;E’s territory</w:t>
      </w:r>
      <w:r w:rsidR="00D93696">
        <w:rPr>
          <w:rStyle w:val="FootnoteReference"/>
        </w:rPr>
        <w:footnoteReference w:id="22"/>
      </w:r>
      <w:r w:rsidR="00127EC1">
        <w:t xml:space="preserve"> </w:t>
      </w:r>
      <w:r>
        <w:t xml:space="preserve">and includes the </w:t>
      </w:r>
      <w:r w:rsidRPr="000B348C">
        <w:t>following</w:t>
      </w:r>
      <w:r>
        <w:t xml:space="preserve"> steps:</w:t>
      </w:r>
      <w:r w:rsidRPr="007F2F6A">
        <w:t xml:space="preserve"> </w:t>
      </w:r>
    </w:p>
    <w:p w:rsidR="00F1237C" w:rsidRPr="007F2F6A" w:rsidRDefault="00F1237C" w:rsidP="00F1237C">
      <w:pPr>
        <w:pStyle w:val="BodyBeforeBullet"/>
        <w:numPr>
          <w:ilvl w:val="0"/>
          <w:numId w:val="28"/>
        </w:numPr>
        <w:spacing w:after="120"/>
      </w:pPr>
      <w:r w:rsidRPr="007F2F6A">
        <w:t>Identif</w:t>
      </w:r>
      <w:r>
        <w:t>y</w:t>
      </w:r>
      <w:r w:rsidRPr="007F2F6A">
        <w:t xml:space="preserve"> 10 days from the two most recent pre-installation years (5 from each year) with the highest hourly load to use as peak load days prior to TES installation for out of sample testing.</w:t>
      </w:r>
    </w:p>
    <w:p w:rsidR="00F1237C" w:rsidRPr="007F2F6A" w:rsidRDefault="00F1237C" w:rsidP="00F1237C">
      <w:pPr>
        <w:pStyle w:val="Bullets"/>
        <w:numPr>
          <w:ilvl w:val="0"/>
          <w:numId w:val="28"/>
        </w:numPr>
      </w:pPr>
      <w:r w:rsidRPr="007F2F6A">
        <w:t>Estimat</w:t>
      </w:r>
      <w:r>
        <w:t>e</w:t>
      </w:r>
      <w:r w:rsidRPr="007F2F6A">
        <w:t xml:space="preserve"> 28 different regression models and used them to predict out-of-sample for the peak load days identified in step 1. This allowed us to identify the regression model that produced the most accurate results on peak load days similar to when a maximum load shifting is expected. The models vary in how weather variables were defined, and in the inclusion of time related variables such as day of the week, month, or season.</w:t>
      </w:r>
    </w:p>
    <w:p w:rsidR="00F1237C" w:rsidRPr="007F2F6A" w:rsidRDefault="00F1237C" w:rsidP="00F1237C">
      <w:pPr>
        <w:pStyle w:val="BulletLast"/>
        <w:numPr>
          <w:ilvl w:val="0"/>
          <w:numId w:val="28"/>
        </w:numPr>
        <w:spacing w:after="120"/>
      </w:pPr>
      <w:r w:rsidRPr="007F2F6A">
        <w:t>Select the most accurate model specification based on out-of-sample testing metrics</w:t>
      </w:r>
      <w:r>
        <w:t xml:space="preserve"> (same as those used in the ex post model selection)</w:t>
      </w:r>
      <w:r w:rsidRPr="007F2F6A">
        <w:t xml:space="preserve"> and use </w:t>
      </w:r>
      <w:r>
        <w:t>the selected model</w:t>
      </w:r>
      <w:r w:rsidRPr="007F2F6A">
        <w:t xml:space="preserve"> to estimate the reference load after the TES system was installed. </w:t>
      </w:r>
    </w:p>
    <w:p w:rsidR="00F1237C" w:rsidRPr="007F2F6A" w:rsidRDefault="00F1237C" w:rsidP="00F1237C">
      <w:pPr>
        <w:pStyle w:val="BodyParagraph"/>
        <w:numPr>
          <w:ilvl w:val="0"/>
          <w:numId w:val="28"/>
        </w:numPr>
        <w:spacing w:after="120"/>
      </w:pPr>
      <w:r w:rsidRPr="007F2F6A">
        <w:t xml:space="preserve">Calculate </w:t>
      </w:r>
      <w:r>
        <w:t xml:space="preserve">the </w:t>
      </w:r>
      <w:r w:rsidRPr="007F2F6A">
        <w:t xml:space="preserve">estimated ex post load impacts based </w:t>
      </w:r>
      <w:r>
        <w:t>by</w:t>
      </w:r>
      <w:r w:rsidRPr="007F2F6A">
        <w:t xml:space="preserve"> subtracting the observed load from the estimated reference load during the post-PLS installation period.</w:t>
      </w:r>
    </w:p>
    <w:p w:rsidR="00F1237C" w:rsidRPr="007F2F6A" w:rsidRDefault="00F1237C" w:rsidP="00F1237C">
      <w:pPr>
        <w:pStyle w:val="BodyParagraph"/>
        <w:numPr>
          <w:ilvl w:val="0"/>
          <w:numId w:val="28"/>
        </w:numPr>
        <w:spacing w:after="120"/>
      </w:pPr>
      <w:r w:rsidRPr="007F2F6A">
        <w:t>Develop a model of the relationship between temperature, time, and ex post load impacts.</w:t>
      </w:r>
    </w:p>
    <w:p w:rsidR="00F1237C" w:rsidRPr="007F2F6A" w:rsidRDefault="00F1237C" w:rsidP="00F1237C">
      <w:pPr>
        <w:pStyle w:val="BodyParagraph"/>
        <w:numPr>
          <w:ilvl w:val="0"/>
          <w:numId w:val="28"/>
        </w:numPr>
        <w:spacing w:after="120"/>
      </w:pPr>
      <w:r w:rsidRPr="007F2F6A">
        <w:t xml:space="preserve">Forecast reference load under ex ante weather conditions based on </w:t>
      </w:r>
      <w:r>
        <w:t xml:space="preserve">the selected </w:t>
      </w:r>
      <w:r w:rsidRPr="007F2F6A">
        <w:t xml:space="preserve">model from </w:t>
      </w:r>
      <w:r>
        <w:t>S</w:t>
      </w:r>
      <w:r w:rsidRPr="007F2F6A">
        <w:t>tep 3.</w:t>
      </w:r>
    </w:p>
    <w:p w:rsidR="00F1237C" w:rsidRDefault="00F1237C" w:rsidP="00F1237C">
      <w:pPr>
        <w:pStyle w:val="BodyParagraph"/>
        <w:numPr>
          <w:ilvl w:val="0"/>
          <w:numId w:val="28"/>
        </w:numPr>
      </w:pPr>
      <w:r w:rsidRPr="007F2F6A">
        <w:t xml:space="preserve">Forecast ex ante impacts based on </w:t>
      </w:r>
      <w:r>
        <w:t xml:space="preserve">the </w:t>
      </w:r>
      <w:r w:rsidRPr="007F2F6A">
        <w:t xml:space="preserve">model developed in </w:t>
      </w:r>
      <w:r>
        <w:t>S</w:t>
      </w:r>
      <w:r w:rsidRPr="007F2F6A">
        <w:t>tep 5 under ex ante weather conditions, and combine with reference load to create to create ex ante load</w:t>
      </w:r>
      <w:r>
        <w:t> </w:t>
      </w:r>
      <w:r w:rsidRPr="007F2F6A">
        <w:t>impacts.</w:t>
      </w:r>
    </w:p>
    <w:p w:rsidR="00F1237C" w:rsidRDefault="00F1237C" w:rsidP="00F1237C">
      <w:pPr>
        <w:pStyle w:val="Heading3"/>
      </w:pPr>
      <w:bookmarkStart w:id="48" w:name="_Toc507085056"/>
      <w:r>
        <w:lastRenderedPageBreak/>
        <w:t>Ex Post Based on Operational Data</w:t>
      </w:r>
      <w:bookmarkEnd w:id="48"/>
    </w:p>
    <w:p w:rsidR="00F1237C" w:rsidRDefault="00F1237C" w:rsidP="00F1237C">
      <w:pPr>
        <w:pStyle w:val="BodyBeforeBullet"/>
      </w:pPr>
      <w:r>
        <w:t xml:space="preserve">The methodology </w:t>
      </w:r>
      <w:r w:rsidRPr="007F2F6A">
        <w:t>for ex ante estimation for the operational site</w:t>
      </w:r>
      <w:r>
        <w:t xml:space="preserve"> using operational data</w:t>
      </w:r>
      <w:r w:rsidRPr="007F2F6A">
        <w:t xml:space="preserve"> is based off the ex post estimation,</w:t>
      </w:r>
      <w:r>
        <w:t xml:space="preserve"> but contains two extra modeling steps—developing a model for cooling tons and developing a model for post-installation cooling system usage</w:t>
      </w:r>
      <w:r>
        <w:rPr>
          <w:rFonts w:cs="Arial"/>
        </w:rPr>
        <w:t>—</w:t>
      </w:r>
      <w:r>
        <w:t xml:space="preserve">both as functions of outdoor air temperature and time. These models need to be developed because neither cooling tons nor </w:t>
      </w:r>
      <w:proofErr w:type="gramStart"/>
      <w:r>
        <w:t>post-installation usage is</w:t>
      </w:r>
      <w:proofErr w:type="gramEnd"/>
      <w:r>
        <w:t xml:space="preserve"> observable under ex ante conditions. This methodology was used to estimate ex ante impacts for the one operational site in PG&amp;E’s territory and includes the following steps:</w:t>
      </w:r>
    </w:p>
    <w:p w:rsidR="00F1237C" w:rsidRDefault="00F1237C" w:rsidP="00F1237C">
      <w:pPr>
        <w:pStyle w:val="Bullets"/>
        <w:numPr>
          <w:ilvl w:val="0"/>
          <w:numId w:val="29"/>
        </w:numPr>
      </w:pPr>
      <w:r w:rsidRPr="007F2F6A">
        <w:t>Identif</w:t>
      </w:r>
      <w:r>
        <w:t>y</w:t>
      </w:r>
      <w:r w:rsidRPr="007F2F6A">
        <w:t xml:space="preserve"> 10 days</w:t>
      </w:r>
      <w:r>
        <w:t xml:space="preserve"> in the pre- and post-installation period</w:t>
      </w:r>
      <w:r w:rsidRPr="007F2F6A">
        <w:t xml:space="preserve"> (5 from each year) with</w:t>
      </w:r>
      <w:r>
        <w:t> </w:t>
      </w:r>
      <w:r w:rsidRPr="007F2F6A">
        <w:t>the</w:t>
      </w:r>
      <w:r>
        <w:t> </w:t>
      </w:r>
      <w:r w:rsidRPr="007F2F6A">
        <w:t xml:space="preserve">highest </w:t>
      </w:r>
      <w:r>
        <w:t xml:space="preserve">average noon to 6 PM cooling </w:t>
      </w:r>
      <w:r w:rsidRPr="007F2F6A">
        <w:t xml:space="preserve">load to use as peak load days </w:t>
      </w:r>
      <w:r>
        <w:br/>
      </w:r>
      <w:r w:rsidRPr="007F2F6A">
        <w:t>for out</w:t>
      </w:r>
      <w:r>
        <w:t>-</w:t>
      </w:r>
      <w:r w:rsidRPr="007F2F6A">
        <w:t>of</w:t>
      </w:r>
      <w:r>
        <w:t>-</w:t>
      </w:r>
      <w:r w:rsidRPr="007F2F6A">
        <w:t>sample testing</w:t>
      </w:r>
      <w:r>
        <w:t>.</w:t>
      </w:r>
    </w:p>
    <w:p w:rsidR="00F1237C" w:rsidRDefault="00F1237C" w:rsidP="00F1237C">
      <w:pPr>
        <w:pStyle w:val="Bullets"/>
        <w:numPr>
          <w:ilvl w:val="0"/>
          <w:numId w:val="29"/>
        </w:numPr>
      </w:pPr>
      <w:r>
        <w:t>Estimate 13 regression models of cooling tons as a function of temperature. These models can use as inputs for both the pre-installation and post-installation cooling tons because we are assuming that the building’s cooling needs are static. The models will account for possible differences in cooling intensity at different times of day and on different days of the week by allowing the temperature coefficients to vary across hours of the day and between weekends and weekdays.</w:t>
      </w:r>
    </w:p>
    <w:p w:rsidR="00F1237C" w:rsidRDefault="00F1237C" w:rsidP="00F1237C">
      <w:pPr>
        <w:pStyle w:val="Bullets"/>
        <w:numPr>
          <w:ilvl w:val="0"/>
          <w:numId w:val="29"/>
        </w:numPr>
      </w:pPr>
      <w:r>
        <w:t>Estimate 13 regression models of post-TES cooling system load as a function of temperature. As with the case</w:t>
      </w:r>
      <w:r w:rsidRPr="006F0734">
        <w:t xml:space="preserve"> </w:t>
      </w:r>
      <w:r>
        <w:t>above, we will allow the effect of temperature to vary across hours and day-types.</w:t>
      </w:r>
    </w:p>
    <w:p w:rsidR="00F1237C" w:rsidRDefault="00F1237C" w:rsidP="00F1237C">
      <w:pPr>
        <w:pStyle w:val="Bullets"/>
        <w:numPr>
          <w:ilvl w:val="0"/>
          <w:numId w:val="29"/>
        </w:numPr>
      </w:pPr>
      <w:r w:rsidRPr="007F2F6A">
        <w:t>Select the most accurate model specification</w:t>
      </w:r>
      <w:r>
        <w:t>s for estimating cooling tons and post-installation cooling load</w:t>
      </w:r>
      <w:r w:rsidRPr="007F2F6A">
        <w:t xml:space="preserve"> based on out-of-sample testing metrics</w:t>
      </w:r>
      <w:r>
        <w:t xml:space="preserve"> (same as those used in the ex post model selection).</w:t>
      </w:r>
    </w:p>
    <w:p w:rsidR="00F1237C" w:rsidRDefault="00F1237C" w:rsidP="00F1237C">
      <w:pPr>
        <w:pStyle w:val="Bullets"/>
        <w:numPr>
          <w:ilvl w:val="0"/>
          <w:numId w:val="29"/>
        </w:numPr>
      </w:pPr>
      <w:r>
        <w:t>Use the three regression models (including the COP model developed for the ex post analysis) to estimate COP, cooling tons, and post-installation cooling usage for all ex ante weather conditions.</w:t>
      </w:r>
    </w:p>
    <w:p w:rsidR="00F1237C" w:rsidRDefault="00F1237C" w:rsidP="00F1237C">
      <w:pPr>
        <w:pStyle w:val="Bullets"/>
        <w:numPr>
          <w:ilvl w:val="0"/>
          <w:numId w:val="29"/>
        </w:numPr>
      </w:pPr>
      <w:r>
        <w:t>Use estimated COP and the estimated cooling tons to estimate the baseline cooling load for all ex ante weather conditions, similar to the process in ex post.</w:t>
      </w:r>
    </w:p>
    <w:p w:rsidR="00F1237C" w:rsidRPr="00DD4454" w:rsidRDefault="00F1237C" w:rsidP="00F1237C">
      <w:pPr>
        <w:pStyle w:val="BulletLast"/>
        <w:numPr>
          <w:ilvl w:val="0"/>
          <w:numId w:val="29"/>
        </w:numPr>
      </w:pPr>
      <w:r>
        <w:t>Subtract estimated post-installation load from the calculated baseline load to produce ex ante impact estimates for all ex ante weather conditions.</w:t>
      </w:r>
    </w:p>
    <w:p w:rsidR="00F1237C" w:rsidRPr="0038187D" w:rsidRDefault="00F1237C" w:rsidP="00F1237C">
      <w:pPr>
        <w:pStyle w:val="Heading2"/>
      </w:pPr>
      <w:bookmarkStart w:id="49" w:name="_Toc447030490"/>
      <w:bookmarkStart w:id="50" w:name="_Toc447030491"/>
      <w:bookmarkStart w:id="51" w:name="_Toc447030492"/>
      <w:bookmarkStart w:id="52" w:name="_Toc507085057"/>
      <w:bookmarkEnd w:id="49"/>
      <w:bookmarkEnd w:id="50"/>
      <w:bookmarkEnd w:id="51"/>
      <w:r w:rsidRPr="0038187D">
        <w:t>Identified Projects</w:t>
      </w:r>
      <w:bookmarkEnd w:id="52"/>
    </w:p>
    <w:p w:rsidR="001255C3" w:rsidRDefault="00F1237C" w:rsidP="00F1237C">
      <w:pPr>
        <w:pStyle w:val="BodyParagraph"/>
      </w:pPr>
      <w:r w:rsidRPr="00B30F38">
        <w:t xml:space="preserve">The </w:t>
      </w:r>
      <w:r w:rsidR="001255C3" w:rsidRPr="00B30F38">
        <w:t>PY201</w:t>
      </w:r>
      <w:r w:rsidR="001255C3">
        <w:t>7</w:t>
      </w:r>
      <w:r w:rsidR="001255C3" w:rsidRPr="00B30F38">
        <w:t xml:space="preserve"> </w:t>
      </w:r>
      <w:r w:rsidRPr="00B30F38">
        <w:t xml:space="preserve">PLS program evaluation used the same single, consistent, methodology as the </w:t>
      </w:r>
      <w:r w:rsidR="001255C3" w:rsidRPr="00B30F38">
        <w:t>201</w:t>
      </w:r>
      <w:r w:rsidR="001255C3">
        <w:t>6</w:t>
      </w:r>
      <w:r w:rsidR="001255C3" w:rsidRPr="00B30F38">
        <w:t xml:space="preserve"> </w:t>
      </w:r>
      <w:r w:rsidRPr="00B30F38">
        <w:t xml:space="preserve">evaluation to estimate ex ante load impacts for identified projects across the IOUs. This approach </w:t>
      </w:r>
      <w:r w:rsidR="001255C3">
        <w:t>is based on the fact</w:t>
      </w:r>
      <w:r w:rsidRPr="00B30F38">
        <w:t xml:space="preserve"> that the</w:t>
      </w:r>
      <w:r>
        <w:t xml:space="preserve"> size,</w:t>
      </w:r>
      <w:r w:rsidRPr="00B30F38">
        <w:t xml:space="preserve"> installation date</w:t>
      </w:r>
      <w:r>
        <w:t>,</w:t>
      </w:r>
      <w:r w:rsidRPr="00B30F38">
        <w:t xml:space="preserve"> and location were </w:t>
      </w:r>
      <w:r w:rsidR="001255C3">
        <w:t>known for each</w:t>
      </w:r>
      <w:r w:rsidRPr="00B30F38">
        <w:t xml:space="preserve"> specific project. </w:t>
      </w:r>
      <w:r w:rsidRPr="00CB618C">
        <w:t xml:space="preserve">At the time of the evaluation, PG&amp;E had </w:t>
      </w:r>
      <w:r w:rsidR="001255C3">
        <w:t>five</w:t>
      </w:r>
      <w:r w:rsidR="001255C3" w:rsidRPr="00CB618C">
        <w:t xml:space="preserve"> </w:t>
      </w:r>
      <w:r w:rsidRPr="00CB618C">
        <w:t xml:space="preserve">active projects, SCE had six, and SDG&amp;E had </w:t>
      </w:r>
      <w:r w:rsidR="003379D9">
        <w:t>two</w:t>
      </w:r>
      <w:r w:rsidRPr="00CB618C">
        <w:t xml:space="preserve">. Of these </w:t>
      </w:r>
      <w:r w:rsidR="00742D25">
        <w:t>13</w:t>
      </w:r>
      <w:r w:rsidR="00742D25" w:rsidRPr="00CB618C">
        <w:t xml:space="preserve"> </w:t>
      </w:r>
      <w:r w:rsidRPr="00CB618C">
        <w:t>projects</w:t>
      </w:r>
      <w:r w:rsidR="008139B9">
        <w:t xml:space="preserve"> that are currently in progress</w:t>
      </w:r>
      <w:r w:rsidRPr="00CB618C">
        <w:t xml:space="preserve">, </w:t>
      </w:r>
      <w:r w:rsidR="00742D25">
        <w:t>12</w:t>
      </w:r>
      <w:r w:rsidR="00633C54">
        <w:t xml:space="preserve"> </w:t>
      </w:r>
      <w:r w:rsidRPr="00CB618C">
        <w:t>projects ha</w:t>
      </w:r>
      <w:r w:rsidR="008139B9">
        <w:t>ve</w:t>
      </w:r>
      <w:r w:rsidRPr="00CB618C">
        <w:t xml:space="preserve"> reached the feasibility study stage in the application and verification process and had </w:t>
      </w:r>
      <w:r w:rsidR="00584247">
        <w:t>their</w:t>
      </w:r>
      <w:r w:rsidR="001255C3" w:rsidRPr="00CB618C">
        <w:t xml:space="preserve"> </w:t>
      </w:r>
      <w:r w:rsidRPr="00CB618C">
        <w:t>application approved</w:t>
      </w:r>
      <w:r w:rsidR="00742D25">
        <w:t xml:space="preserve"> while one application is waiting to be approved</w:t>
      </w:r>
      <w:r w:rsidRPr="00CB618C">
        <w:t>. The projects range in size from approximately 30 kW</w:t>
      </w:r>
      <w:r>
        <w:t> </w:t>
      </w:r>
      <w:r w:rsidRPr="00CB618C">
        <w:t xml:space="preserve">up to 1.5 MW. </w:t>
      </w:r>
      <w:r w:rsidRPr="00BD6DCD">
        <w:t>Ex ante conversion factors (discussed in</w:t>
      </w:r>
      <w:r w:rsidR="00584247">
        <w:t xml:space="preserve"> detail in</w:t>
      </w:r>
      <w:r w:rsidRPr="00BD6DCD">
        <w:t xml:space="preserve"> the next report section) were used</w:t>
      </w:r>
      <w:r>
        <w:t> </w:t>
      </w:r>
      <w:r w:rsidRPr="00BD6DCD">
        <w:t xml:space="preserve">to convert the expected load shift from the application/feasibility study to ex ante weather conditions. </w:t>
      </w:r>
    </w:p>
    <w:p w:rsidR="001255C3" w:rsidRDefault="001255C3" w:rsidP="001255C3">
      <w:pPr>
        <w:pStyle w:val="BodyParagraph"/>
      </w:pPr>
      <w:r>
        <w:t xml:space="preserve">This kW load shift amount </w:t>
      </w:r>
      <w:r w:rsidR="00584247">
        <w:t xml:space="preserve">represents the peak load shift </w:t>
      </w:r>
      <w:r>
        <w:t xml:space="preserve">that can be expected under hot, maximum cooling load, weather conditions. The kW load shift was multiplied by the ex ante </w:t>
      </w:r>
      <w:r>
        <w:lastRenderedPageBreak/>
        <w:t>conversion factors,  which converted the load shift under the incentive payment, maximum cooling load, and weather conditions to the ex ante load impact estimates for monthly system peak days and average weekdays under 1-in-2 year and 1-in-10 year weather conditions—as per the California DR Load Impact Protocols. The conversion factors are the same as those used in PY2015 and PY2016. These conversion factors were re-estimated for the PY2014 evaluation based on updated building simulation models and newly developed 1-in-2 and 1-in-10 year weather data that addressed the new requirement for reporting results for the CAISO system peak in addition to the IOU system peak.</w:t>
      </w:r>
    </w:p>
    <w:p w:rsidR="001255C3" w:rsidRDefault="001255C3" w:rsidP="001255C3">
      <w:pPr>
        <w:pStyle w:val="BodyParagraph"/>
      </w:pPr>
      <w:r>
        <w:t>Over time, the load shifting capacity of the PLS-TES technologies is expected to degrade as the system ages. The forecasts assume that five years after each forecasted PLS-TES installation, the ex ante impacts begin to degrade at a rate of 2.5% per year.  This assumption was made in consultation with program managers and it is consistent with last year’s evaluation.</w:t>
      </w:r>
    </w:p>
    <w:p w:rsidR="001255C3" w:rsidRDefault="001255C3" w:rsidP="001255C3">
      <w:pPr>
        <w:pStyle w:val="BodyParagraph"/>
      </w:pPr>
      <w:r>
        <w:t>The ex ante conversion factors were used to convert the load shift under the incentive payment, maximum cooling load, and weather conditions to the load shift that can be expected under the various ex ante temperature scenarios. The ex ante temperature scenarios include the monthly system peak days and average weekdays under 1-in-2 year and 1-in-10 year weather conditions for the utility specific and CAISO peak. Essentially, the conversion factors facilitate the estimation of the PLS-TES load impacts under a variety of different weather conditions with ease and efficiency. The methodology for developing the conversion factors is described in Appendix A. In the appendix, Nexant provides evidence that it is not necessary to know the specific building characteristics, and that conversion factors may be used for this evaluation. The analysis shows that relative usage values across different weather conditions are basically insensitive to building characteristics, likely due to building codes that establish standard materials for window insulation and other weatherization factors, and that the ratio for a given ex ante condition hardly changes even as the building characteristics vary substantially. This relationship is a critical factor in the evaluation, and the current conversion factor approach would need to be modified if this weren’t the case.</w:t>
      </w:r>
    </w:p>
    <w:p w:rsidR="001255C3" w:rsidRDefault="001255C3" w:rsidP="001255C3">
      <w:pPr>
        <w:pStyle w:val="BodyParagraph"/>
      </w:pPr>
      <w:r>
        <w:t>It is important to note that these conversion factors were developed with building simulation models of space cooling installations. Some of the applications that have been received thus far also include process cooling installations, which have load profiles that frequently differ from the typical space cooling profile. Unfortunately, the process cooling installations do not make good candidates for generalized modeling because they are highly customized by industry and location; in addition, while space cooling loads exhibit significant seasonality due to temperature variation, process cooling loads may vary seasonally by temperature and changes in the underlying production process. For example, agricultural customer process cooling loads tend to follow the harvest schedule in addition to being temperature sensitive. The weather sensitivity of the currently modeled process cooling applications was analyzed, and the range of sensitivity in terms of the percentage difference in cooling load between 1-in-2 and 1-in-10 monthly peak days exhibit similar upper and lower limits to commercial AC cycling programs. For the sake of simplicity, lack of generalizability of the process cooling installations, and similarity in weather sensitivity ranges, space cooling building simulation models were used to develop the conversion factors applied to both space cooling and</w:t>
      </w:r>
      <w:r w:rsidR="00C77B9D">
        <w:t xml:space="preserve"> process cooling installations.</w:t>
      </w:r>
    </w:p>
    <w:p w:rsidR="00F1237C" w:rsidRPr="00B23664" w:rsidRDefault="001255C3" w:rsidP="00F1237C">
      <w:pPr>
        <w:pStyle w:val="BodyParagraph"/>
      </w:pPr>
      <w:r>
        <w:lastRenderedPageBreak/>
        <w:t xml:space="preserve">Finally, because local weather conditions influence the load shift that is actually experienced, the ex ante load impacts are dependent on the specific geographic region in which an installation is located. </w:t>
      </w:r>
      <w:r w:rsidR="007C1A2C">
        <w:t>C</w:t>
      </w:r>
      <w:r w:rsidR="00F1237C" w:rsidRPr="00BD6DCD">
        <w:t>onsidering that the location and installation date were provided in the application for identified projects, the forecast for identified projects incorporates this information by having the project come online on the expected installation date and by assigning the ex ante load impacts for that project to the customer’s LCA</w:t>
      </w:r>
      <w:r w:rsidR="00F1237C">
        <w:t>.</w:t>
      </w:r>
    </w:p>
    <w:p w:rsidR="00F1237C" w:rsidRPr="00B23664" w:rsidRDefault="00F1237C" w:rsidP="00F1237C">
      <w:pPr>
        <w:pStyle w:val="Heading2"/>
        <w:rPr>
          <w:rFonts w:eastAsia="Times New Roman"/>
        </w:rPr>
      </w:pPr>
      <w:bookmarkStart w:id="53" w:name="_Ref443683894"/>
      <w:bookmarkStart w:id="54" w:name="_Toc507085058"/>
      <w:r w:rsidRPr="00B23664">
        <w:rPr>
          <w:rFonts w:eastAsia="Times New Roman"/>
        </w:rPr>
        <w:t>Estimating Ex Ante Weather Conditions</w:t>
      </w:r>
      <w:bookmarkEnd w:id="53"/>
      <w:bookmarkEnd w:id="54"/>
    </w:p>
    <w:p w:rsidR="00F1237C" w:rsidRPr="00B23664" w:rsidRDefault="00F1237C" w:rsidP="00F1237C">
      <w:pPr>
        <w:pStyle w:val="BodyParagraph"/>
        <w:rPr>
          <w:rFonts w:eastAsiaTheme="minorHAnsi"/>
        </w:rPr>
      </w:pPr>
      <w:r w:rsidRPr="00B23664">
        <w:rPr>
          <w:rFonts w:eastAsiaTheme="minorHAnsi"/>
        </w:rPr>
        <w:t>The CPUC Load Impact Protocols</w:t>
      </w:r>
      <w:r w:rsidRPr="00B23664">
        <w:rPr>
          <w:rFonts w:eastAsiaTheme="minorHAnsi"/>
          <w:vertAlign w:val="superscript"/>
        </w:rPr>
        <w:footnoteReference w:id="23"/>
      </w:r>
      <w:r w:rsidRPr="00B23664">
        <w:rPr>
          <w:rFonts w:eastAsiaTheme="minorHAnsi"/>
        </w:rPr>
        <w:t xml:space="preserve"> require that ex ante load impacts be estimated assuming weather conditions associated with both normal and extreme utility operating conditions. Normal conditions are defined as those that would be expected to occur once every 2 years (1-in-2 conditions) and extreme conditions are those that would be expected to occur once every 10 years (1-in-10 conditions). Since 2008, the IOUs have based ex ante weather on system operating conditions specific to each individual utility. However, ex ante weather conditions could alternatively reflect 1-in-2 and 1-in-10 year operating conditions for the California Independent System Operator (CAISO) rather than the operating conditions for each IOU. While the protocols are silent on this issue, a letter from the CPUC Energy Division to the IOUs dated October 21, 2014 directed the utilities to provide impact estimates under two sets of operating conditions starting with the April 1, 2015 filings: one reflecting operating conditions for each IOU and one reflecting operating conditions for the CAISO system. </w:t>
      </w:r>
    </w:p>
    <w:p w:rsidR="001F391A" w:rsidRPr="00E405B9" w:rsidRDefault="00F1237C" w:rsidP="001B44C0">
      <w:pPr>
        <w:pStyle w:val="BodyParagraph"/>
        <w:rPr>
          <w:rFonts w:cs="Arial"/>
        </w:rPr>
      </w:pPr>
      <w:r w:rsidRPr="00B23664">
        <w:rPr>
          <w:rFonts w:eastAsiaTheme="minorHAnsi"/>
        </w:rPr>
        <w:t>In order to meet this new requirement, California’s IOUs contracted with Nexant to develop ex ante weather conditions based on the peaking conditions for each utility and for the CAISO system. The previous ex ante weather conditions for each utility were developed in 2009 and were updated in 2015</w:t>
      </w:r>
      <w:r w:rsidR="00DA73A5">
        <w:rPr>
          <w:rFonts w:eastAsiaTheme="minorHAnsi"/>
        </w:rPr>
        <w:t xml:space="preserve"> for </w:t>
      </w:r>
      <w:r w:rsidR="00EE04F7">
        <w:rPr>
          <w:rFonts w:eastAsiaTheme="minorHAnsi"/>
        </w:rPr>
        <w:t>all three utilities. There were updated again</w:t>
      </w:r>
      <w:r w:rsidR="00DA73A5">
        <w:rPr>
          <w:rFonts w:eastAsiaTheme="minorHAnsi"/>
        </w:rPr>
        <w:t xml:space="preserve"> in 2017 for SDG&amp;E</w:t>
      </w:r>
      <w:r w:rsidRPr="00B23664">
        <w:rPr>
          <w:rFonts w:eastAsiaTheme="minorHAnsi"/>
        </w:rPr>
        <w:t xml:space="preserve"> along with the development of the new CAISO based conditions. Both sets of estimates used a common methodology, which was documented in a report delivered to the IOUs.</w:t>
      </w:r>
      <w:r w:rsidRPr="00B23664">
        <w:rPr>
          <w:rFonts w:eastAsiaTheme="minorHAnsi"/>
          <w:vertAlign w:val="superscript"/>
        </w:rPr>
        <w:footnoteReference w:id="24"/>
      </w:r>
      <w:r w:rsidRPr="00B23664">
        <w:rPr>
          <w:rFonts w:eastAsiaTheme="minorHAnsi"/>
        </w:rPr>
        <w:t xml:space="preserve">  The </w:t>
      </w:r>
      <w:r w:rsidR="00DA73A5" w:rsidRPr="00B23664">
        <w:rPr>
          <w:rFonts w:eastAsiaTheme="minorHAnsi"/>
        </w:rPr>
        <w:t>PY201</w:t>
      </w:r>
      <w:r w:rsidR="00DA73A5">
        <w:rPr>
          <w:rFonts w:eastAsiaTheme="minorHAnsi"/>
        </w:rPr>
        <w:t>7</w:t>
      </w:r>
      <w:r w:rsidR="00DA73A5" w:rsidRPr="00B23664">
        <w:rPr>
          <w:rFonts w:eastAsiaTheme="minorHAnsi"/>
        </w:rPr>
        <w:t xml:space="preserve"> </w:t>
      </w:r>
      <w:r w:rsidRPr="00B23664">
        <w:rPr>
          <w:rFonts w:eastAsiaTheme="minorHAnsi"/>
        </w:rPr>
        <w:t xml:space="preserve">PLS program evaluation uses </w:t>
      </w:r>
      <w:r w:rsidR="00DA73A5">
        <w:rPr>
          <w:rFonts w:eastAsiaTheme="minorHAnsi"/>
        </w:rPr>
        <w:t>the most recently developed ex ante weather conditions that are available for ea</w:t>
      </w:r>
      <w:r w:rsidR="00584247">
        <w:rPr>
          <w:rFonts w:eastAsiaTheme="minorHAnsi"/>
        </w:rPr>
        <w:t xml:space="preserve">ch utility, which means that </w:t>
      </w:r>
      <w:r w:rsidR="00DA73A5">
        <w:rPr>
          <w:rFonts w:eastAsiaTheme="minorHAnsi"/>
        </w:rPr>
        <w:t>2017 updates for SDG&amp;E’s ex ante weather conditions</w:t>
      </w:r>
      <w:r w:rsidR="008D6A91">
        <w:rPr>
          <w:rFonts w:eastAsiaTheme="minorHAnsi"/>
        </w:rPr>
        <w:t xml:space="preserve"> </w:t>
      </w:r>
      <w:r w:rsidR="00EE04F7">
        <w:rPr>
          <w:rFonts w:eastAsiaTheme="minorHAnsi"/>
        </w:rPr>
        <w:t xml:space="preserve">were incorporated </w:t>
      </w:r>
      <w:r w:rsidR="008D6A91">
        <w:rPr>
          <w:rFonts w:eastAsiaTheme="minorHAnsi"/>
        </w:rPr>
        <w:t>for its operational projects</w:t>
      </w:r>
      <w:r w:rsidR="00EE04F7">
        <w:rPr>
          <w:rFonts w:eastAsiaTheme="minorHAnsi"/>
        </w:rPr>
        <w:t xml:space="preserve"> where the ex ante impacts were based off the ex post</w:t>
      </w:r>
      <w:r w:rsidR="00C63F09">
        <w:rPr>
          <w:rFonts w:eastAsiaTheme="minorHAnsi"/>
        </w:rPr>
        <w:t xml:space="preserve"> results</w:t>
      </w:r>
      <w:r w:rsidRPr="00B23664">
        <w:rPr>
          <w:rFonts w:eastAsiaTheme="minorHAnsi"/>
        </w:rPr>
        <w:t xml:space="preserve">. </w:t>
      </w:r>
      <w:r w:rsidR="00742D25">
        <w:rPr>
          <w:rFonts w:eastAsiaTheme="minorHAnsi"/>
        </w:rPr>
        <w:t>However, identified</w:t>
      </w:r>
      <w:r w:rsidR="00EE04F7">
        <w:rPr>
          <w:rFonts w:eastAsiaTheme="minorHAnsi"/>
        </w:rPr>
        <w:t xml:space="preserve"> (not yet operational) projects that rely on</w:t>
      </w:r>
      <w:r w:rsidR="00742D25">
        <w:rPr>
          <w:rFonts w:eastAsiaTheme="minorHAnsi"/>
        </w:rPr>
        <w:t xml:space="preserve"> building simulation models to calculate the</w:t>
      </w:r>
      <w:r w:rsidR="00EE04F7">
        <w:rPr>
          <w:rFonts w:eastAsiaTheme="minorHAnsi"/>
        </w:rPr>
        <w:t xml:space="preserve"> ex ante</w:t>
      </w:r>
      <w:r w:rsidR="00742D25">
        <w:rPr>
          <w:rFonts w:eastAsiaTheme="minorHAnsi"/>
        </w:rPr>
        <w:t xml:space="preserve"> impacts </w:t>
      </w:r>
      <w:r w:rsidR="00EE04F7">
        <w:rPr>
          <w:rFonts w:eastAsiaTheme="minorHAnsi"/>
        </w:rPr>
        <w:t>are all based on the 2015 ex ante weather</w:t>
      </w:r>
      <w:r w:rsidR="00742D25">
        <w:rPr>
          <w:rFonts w:eastAsiaTheme="minorHAnsi"/>
        </w:rPr>
        <w:t xml:space="preserve"> conditions. </w:t>
      </w:r>
      <w:r w:rsidR="00EE04F7">
        <w:rPr>
          <w:rFonts w:eastAsiaTheme="minorHAnsi"/>
        </w:rPr>
        <w:t xml:space="preserve">Building simulation models are based on specific sets of weather data, and are not simple updates, requiring extensive </w:t>
      </w:r>
      <w:r w:rsidR="001B44C0">
        <w:rPr>
          <w:rFonts w:eastAsiaTheme="minorHAnsi"/>
        </w:rPr>
        <w:t>calibration</w:t>
      </w:r>
      <w:r w:rsidR="00EE04F7">
        <w:rPr>
          <w:rFonts w:eastAsiaTheme="minorHAnsi"/>
        </w:rPr>
        <w:t xml:space="preserve"> and quality checks. Given the uncertainty regarding these identified sites actually completing inst</w:t>
      </w:r>
      <w:r w:rsidR="00C63F09">
        <w:rPr>
          <w:rFonts w:eastAsiaTheme="minorHAnsi"/>
        </w:rPr>
        <w:t xml:space="preserve">allation, and the final specifications of the installation (which often vary compared to the initial application and feasibility study), the benefit of creating new building simulation models for the two SDG&amp;E applicants isn’t enough to outweigh the costs of creating the model. This is especially the case now that the program has been closed, as the cost of the previous building simulation models were able to be spread out across several years of evaluations. Based on all of these factors, Nexant has recommended the original building simulation models based on the 2015 ex ante weather data be used </w:t>
      </w:r>
      <w:r w:rsidR="00C63F09">
        <w:rPr>
          <w:rFonts w:eastAsiaTheme="minorHAnsi"/>
        </w:rPr>
        <w:lastRenderedPageBreak/>
        <w:t>because the newer data wouldn’t necessarily improve the accuracy or precision o</w:t>
      </w:r>
      <w:r w:rsidR="001B44C0">
        <w:rPr>
          <w:rFonts w:eastAsiaTheme="minorHAnsi"/>
        </w:rPr>
        <w:t xml:space="preserve">f the forecast, nor would it be an efficient use of the evaluation budget. </w:t>
      </w:r>
      <w:r w:rsidR="00AF5791" w:rsidRPr="006967B2">
        <w:rPr>
          <w:rFonts w:cs="Arial"/>
        </w:rPr>
        <w:fldChar w:fldCharType="begin"/>
      </w:r>
      <w:r w:rsidR="00AF5791" w:rsidRPr="006967B2">
        <w:rPr>
          <w:rFonts w:cs="Arial"/>
        </w:rPr>
        <w:instrText xml:space="preserve"> REF _Ref443503975 \h  \* MERGEFORMAT </w:instrText>
      </w:r>
      <w:r w:rsidR="00AF5791" w:rsidRPr="006967B2">
        <w:rPr>
          <w:rFonts w:cs="Arial"/>
        </w:rPr>
      </w:r>
      <w:r w:rsidR="00AF5791" w:rsidRPr="006967B2">
        <w:rPr>
          <w:rFonts w:cs="Arial"/>
        </w:rPr>
        <w:fldChar w:fldCharType="separate"/>
      </w:r>
    </w:p>
    <w:p w:rsidR="001B44C0" w:rsidRDefault="001F391A" w:rsidP="00F1237C">
      <w:pPr>
        <w:rPr>
          <w:rFonts w:ascii="Arial" w:hAnsi="Arial"/>
          <w:color w:val="1C1C1C"/>
        </w:rPr>
      </w:pPr>
      <w:r w:rsidRPr="00E405B9">
        <w:rPr>
          <w:rFonts w:ascii="Arial" w:hAnsi="Arial" w:cs="Arial"/>
          <w:noProof/>
        </w:rPr>
        <w:t>Table</w:t>
      </w:r>
      <w:r w:rsidRPr="00E405B9">
        <w:rPr>
          <w:rFonts w:ascii="Arial" w:hAnsi="Arial" w:cs="Arial"/>
        </w:rPr>
        <w:t xml:space="preserve"> </w:t>
      </w:r>
      <w:r>
        <w:rPr>
          <w:noProof/>
        </w:rPr>
        <w:t>4</w:t>
      </w:r>
      <w:r>
        <w:noBreakHyphen/>
      </w:r>
      <w:r>
        <w:rPr>
          <w:noProof/>
        </w:rPr>
        <w:t>1</w:t>
      </w:r>
      <w:r w:rsidR="00AF5791" w:rsidRPr="006967B2">
        <w:rPr>
          <w:rFonts w:ascii="Arial" w:hAnsi="Arial" w:cs="Arial"/>
          <w:color w:val="1C1C1C"/>
        </w:rPr>
        <w:fldChar w:fldCharType="end"/>
      </w:r>
      <w:r w:rsidR="00AF5791">
        <w:rPr>
          <w:rFonts w:ascii="Arial" w:hAnsi="Arial" w:cs="Arial"/>
          <w:color w:val="1C1C1C"/>
        </w:rPr>
        <w:t xml:space="preserve"> </w:t>
      </w:r>
      <w:r w:rsidR="00F1237C" w:rsidRPr="006967B2">
        <w:rPr>
          <w:rFonts w:ascii="Arial" w:hAnsi="Arial" w:cs="Arial"/>
          <w:color w:val="1C1C1C"/>
        </w:rPr>
        <w:t xml:space="preserve">through </w:t>
      </w:r>
      <w:r w:rsidR="00F1237C" w:rsidRPr="006967B2">
        <w:rPr>
          <w:noProof/>
        </w:rPr>
        <w:t>4</w:t>
      </w:r>
      <w:r w:rsidR="00F1237C" w:rsidRPr="006967B2">
        <w:noBreakHyphen/>
      </w:r>
      <w:r w:rsidR="00F1237C" w:rsidRPr="006967B2">
        <w:rPr>
          <w:noProof/>
        </w:rPr>
        <w:t>4</w:t>
      </w:r>
      <w:r w:rsidR="00F1237C" w:rsidRPr="006967B2">
        <w:rPr>
          <w:rFonts w:ascii="Arial" w:hAnsi="Arial" w:cs="Arial"/>
          <w:color w:val="1C1C1C"/>
        </w:rPr>
        <w:t xml:space="preserve"> show</w:t>
      </w:r>
      <w:r w:rsidR="00F1237C" w:rsidRPr="006967B2">
        <w:rPr>
          <w:rFonts w:ascii="Arial" w:hAnsi="Arial"/>
          <w:color w:val="1C1C1C"/>
        </w:rPr>
        <w:t xml:space="preserve"> the values for each weather scenario, weather year and month for a variable equal to the average temperature from midnight to 5 PM (referred to as mean17) for each day type. </w:t>
      </w:r>
      <w:r w:rsidR="00F1237C" w:rsidRPr="0038187D">
        <w:rPr>
          <w:rFonts w:ascii="Arial" w:hAnsi="Arial"/>
          <w:color w:val="1C1C1C"/>
        </w:rPr>
        <w:t xml:space="preserve">For the typical event day, the CAISO weather is lower on average than the utility specific weather for PG&amp;E for both 1-in-2 and 1-in-10 year weather conditions. </w:t>
      </w:r>
      <w:r w:rsidR="00F1237C" w:rsidRPr="002C46A8">
        <w:rPr>
          <w:rFonts w:ascii="Arial" w:hAnsi="Arial"/>
          <w:color w:val="1C1C1C"/>
        </w:rPr>
        <w:t>For SCE, CAISO values are almost the same as the utility-specific scenarios under normal weather conditions and slightly cooler than the utility-specific scenarios under extreme weather conditions for the typical event day</w:t>
      </w:r>
      <w:r w:rsidR="00F1237C" w:rsidRPr="00570C8A">
        <w:rPr>
          <w:rFonts w:ascii="Arial" w:hAnsi="Arial"/>
          <w:color w:val="1C1C1C"/>
        </w:rPr>
        <w:t>. For SDG&amp;E, the CAISO weather is cooler under both 1-in-2 year and 1-in-10 year weather conditions. There are instances for both PG&amp;E and SDG&amp;E where the CAISO 1-in-2 weather conditions are higher temperature than the CAISO 1-in-10 weather conditions for the average weekday. This is driven by the process of how the CAISO weather conditions are selected, and the relationship between the CAISO peaking conditions and the local utility weather.</w:t>
      </w:r>
      <w:r w:rsidR="00F1237C" w:rsidRPr="00570C8A">
        <w:rPr>
          <w:rStyle w:val="FootnoteReference"/>
          <w:rFonts w:ascii="Arial" w:hAnsi="Arial"/>
          <w:color w:val="1C1C1C"/>
        </w:rPr>
        <w:footnoteReference w:id="25"/>
      </w:r>
      <w:r w:rsidR="00F1237C" w:rsidRPr="00570C8A">
        <w:rPr>
          <w:rFonts w:ascii="Arial" w:hAnsi="Arial"/>
          <w:color w:val="1C1C1C"/>
        </w:rPr>
        <w:t xml:space="preserve"> </w:t>
      </w:r>
      <w:bookmarkStart w:id="55" w:name="_Ref443503975"/>
    </w:p>
    <w:p w:rsidR="001B44C0" w:rsidRDefault="001B44C0">
      <w:pPr>
        <w:rPr>
          <w:rFonts w:ascii="Arial" w:hAnsi="Arial"/>
          <w:color w:val="1C1C1C"/>
        </w:rPr>
      </w:pPr>
      <w:r>
        <w:rPr>
          <w:rFonts w:ascii="Arial" w:hAnsi="Arial"/>
          <w:color w:val="1C1C1C"/>
        </w:rPr>
        <w:br w:type="page"/>
      </w:r>
    </w:p>
    <w:p w:rsidR="00F1237C" w:rsidRDefault="00F1237C" w:rsidP="00F1237C">
      <w:pPr>
        <w:pStyle w:val="TableFigureCaption"/>
      </w:pPr>
      <w:r w:rsidRPr="002B5421">
        <w:lastRenderedPageBreak/>
        <w:t xml:space="preserve">Table </w:t>
      </w:r>
      <w:fldSimple w:instr=" STYLEREF 1 \s ">
        <w:r w:rsidR="001F391A">
          <w:rPr>
            <w:noProof/>
          </w:rPr>
          <w:t>4</w:t>
        </w:r>
      </w:fldSimple>
      <w:r w:rsidR="008139B9">
        <w:noBreakHyphen/>
      </w:r>
      <w:fldSimple w:instr=" SEQ Table \* ARABIC \s 1 ">
        <w:r w:rsidR="001F391A">
          <w:rPr>
            <w:noProof/>
          </w:rPr>
          <w:t>1</w:t>
        </w:r>
      </w:fldSimple>
      <w:bookmarkEnd w:id="55"/>
      <w:r w:rsidRPr="002B5421">
        <w:t>: PG&amp;E Enrollment Weighted Ex Ante Weather Values (mean17)</w:t>
      </w:r>
    </w:p>
    <w:tbl>
      <w:tblPr>
        <w:tblW w:w="8745" w:type="dxa"/>
        <w:jc w:val="center"/>
        <w:tblInd w:w="93" w:type="dxa"/>
        <w:tblLook w:val="04A0" w:firstRow="1" w:lastRow="0" w:firstColumn="1" w:lastColumn="0" w:noHBand="0" w:noVBand="1"/>
      </w:tblPr>
      <w:tblGrid>
        <w:gridCol w:w="1513"/>
        <w:gridCol w:w="1195"/>
        <w:gridCol w:w="1508"/>
        <w:gridCol w:w="1509"/>
        <w:gridCol w:w="1508"/>
        <w:gridCol w:w="1512"/>
      </w:tblGrid>
      <w:tr w:rsidR="00F1237C" w:rsidRPr="002B5421" w:rsidTr="0058471F">
        <w:trPr>
          <w:trHeight w:val="510"/>
          <w:jc w:val="center"/>
        </w:trPr>
        <w:tc>
          <w:tcPr>
            <w:tcW w:w="2707" w:type="dxa"/>
            <w:gridSpan w:val="2"/>
            <w:vMerge w:val="restart"/>
            <w:tcBorders>
              <w:top w:val="single" w:sz="4" w:space="0" w:color="auto"/>
              <w:left w:val="single" w:sz="4" w:space="0" w:color="auto"/>
              <w:bottom w:val="single" w:sz="8" w:space="0" w:color="000000"/>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Day Type</w:t>
            </w:r>
          </w:p>
        </w:tc>
        <w:tc>
          <w:tcPr>
            <w:tcW w:w="3016" w:type="dxa"/>
            <w:gridSpan w:val="2"/>
            <w:tcBorders>
              <w:top w:val="single" w:sz="4" w:space="0" w:color="auto"/>
              <w:left w:val="nil"/>
              <w:bottom w:val="single" w:sz="8" w:space="0" w:color="FFFFFF"/>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PG&amp;E Based Weather</w:t>
            </w:r>
          </w:p>
        </w:tc>
        <w:tc>
          <w:tcPr>
            <w:tcW w:w="3022" w:type="dxa"/>
            <w:gridSpan w:val="2"/>
            <w:tcBorders>
              <w:top w:val="single" w:sz="4" w:space="0" w:color="auto"/>
              <w:left w:val="nil"/>
              <w:bottom w:val="single" w:sz="8" w:space="0" w:color="FFFFFF"/>
              <w:right w:val="single" w:sz="4" w:space="0" w:color="auto"/>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CAISO Based Weather</w:t>
            </w:r>
          </w:p>
        </w:tc>
      </w:tr>
      <w:tr w:rsidR="00F1237C" w:rsidRPr="002B5421" w:rsidTr="0058471F">
        <w:trPr>
          <w:trHeight w:val="315"/>
          <w:jc w:val="center"/>
        </w:trPr>
        <w:tc>
          <w:tcPr>
            <w:tcW w:w="2707" w:type="dxa"/>
            <w:gridSpan w:val="2"/>
            <w:vMerge/>
            <w:tcBorders>
              <w:top w:val="single" w:sz="8" w:space="0" w:color="auto"/>
              <w:left w:val="single" w:sz="4" w:space="0" w:color="auto"/>
              <w:bottom w:val="single" w:sz="4" w:space="0" w:color="auto"/>
              <w:right w:val="single" w:sz="8" w:space="0" w:color="FFFFFF"/>
            </w:tcBorders>
            <w:vAlign w:val="center"/>
            <w:hideMark/>
          </w:tcPr>
          <w:p w:rsidR="00F1237C" w:rsidRPr="002B5421" w:rsidRDefault="00F1237C" w:rsidP="0058471F">
            <w:pPr>
              <w:spacing w:after="0" w:line="240" w:lineRule="auto"/>
              <w:rPr>
                <w:rFonts w:ascii="Arial" w:eastAsia="Times New Roman" w:hAnsi="Arial" w:cs="Arial"/>
                <w:b/>
                <w:bCs/>
                <w:color w:val="FFFFFF"/>
                <w:sz w:val="20"/>
                <w:szCs w:val="20"/>
              </w:rPr>
            </w:pPr>
          </w:p>
        </w:tc>
        <w:tc>
          <w:tcPr>
            <w:tcW w:w="1509" w:type="dxa"/>
            <w:tcBorders>
              <w:top w:val="nil"/>
              <w:left w:val="nil"/>
              <w:bottom w:val="single" w:sz="4" w:space="0" w:color="auto"/>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1-in-2</w:t>
            </w:r>
          </w:p>
        </w:tc>
        <w:tc>
          <w:tcPr>
            <w:tcW w:w="1510" w:type="dxa"/>
            <w:tcBorders>
              <w:top w:val="nil"/>
              <w:left w:val="nil"/>
              <w:bottom w:val="single" w:sz="4" w:space="0" w:color="auto"/>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1-in-10</w:t>
            </w:r>
          </w:p>
        </w:tc>
        <w:tc>
          <w:tcPr>
            <w:tcW w:w="1509" w:type="dxa"/>
            <w:tcBorders>
              <w:top w:val="nil"/>
              <w:left w:val="nil"/>
              <w:bottom w:val="single" w:sz="4" w:space="0" w:color="auto"/>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1-in-2</w:t>
            </w:r>
          </w:p>
        </w:tc>
        <w:tc>
          <w:tcPr>
            <w:tcW w:w="1510" w:type="dxa"/>
            <w:tcBorders>
              <w:top w:val="nil"/>
              <w:left w:val="nil"/>
              <w:bottom w:val="single" w:sz="4" w:space="0" w:color="auto"/>
              <w:right w:val="single" w:sz="4" w:space="0" w:color="auto"/>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1-in-10</w:t>
            </w:r>
          </w:p>
        </w:tc>
      </w:tr>
      <w:tr w:rsidR="00F1237C" w:rsidRPr="002B5421" w:rsidTr="0058471F">
        <w:trPr>
          <w:trHeight w:val="315"/>
          <w:jc w:val="center"/>
        </w:trPr>
        <w:tc>
          <w:tcPr>
            <w:tcW w:w="2707" w:type="dxa"/>
            <w:gridSpan w:val="2"/>
            <w:tcBorders>
              <w:top w:val="single" w:sz="4" w:space="0" w:color="auto"/>
              <w:left w:val="single" w:sz="8" w:space="0" w:color="auto"/>
              <w:bottom w:val="single" w:sz="8" w:space="0" w:color="auto"/>
              <w:right w:val="single" w:sz="8" w:space="0" w:color="000000"/>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Typical Event Day</w:t>
            </w:r>
          </w:p>
        </w:tc>
        <w:tc>
          <w:tcPr>
            <w:tcW w:w="1509" w:type="dxa"/>
            <w:tcBorders>
              <w:top w:val="single" w:sz="4" w:space="0" w:color="auto"/>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73.0</w:t>
            </w:r>
          </w:p>
        </w:tc>
        <w:tc>
          <w:tcPr>
            <w:tcW w:w="1510" w:type="dxa"/>
            <w:tcBorders>
              <w:top w:val="single" w:sz="4" w:space="0" w:color="auto"/>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78.7</w:t>
            </w:r>
          </w:p>
        </w:tc>
        <w:tc>
          <w:tcPr>
            <w:tcW w:w="1509" w:type="dxa"/>
            <w:tcBorders>
              <w:top w:val="single" w:sz="4" w:space="0" w:color="auto"/>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70.4</w:t>
            </w:r>
          </w:p>
        </w:tc>
        <w:tc>
          <w:tcPr>
            <w:tcW w:w="1510" w:type="dxa"/>
            <w:tcBorders>
              <w:top w:val="single" w:sz="4" w:space="0" w:color="auto"/>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73.9</w:t>
            </w:r>
          </w:p>
        </w:tc>
      </w:tr>
      <w:tr w:rsidR="00F1237C" w:rsidRPr="002B5421" w:rsidTr="0058471F">
        <w:trPr>
          <w:trHeight w:val="315"/>
          <w:jc w:val="center"/>
        </w:trPr>
        <w:tc>
          <w:tcPr>
            <w:tcW w:w="1512" w:type="dxa"/>
            <w:vMerge w:val="restart"/>
            <w:tcBorders>
              <w:top w:val="nil"/>
              <w:left w:val="single" w:sz="8" w:space="0" w:color="auto"/>
              <w:bottom w:val="single" w:sz="8" w:space="0" w:color="000000"/>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Peak Day</w:t>
            </w: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May</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67.4</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78.9</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64.6</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70.4</w:t>
            </w:r>
          </w:p>
        </w:tc>
      </w:tr>
      <w:tr w:rsidR="00F1237C" w:rsidRPr="002B5421" w:rsidTr="0058471F">
        <w:trPr>
          <w:trHeight w:val="315"/>
          <w:jc w:val="center"/>
        </w:trPr>
        <w:tc>
          <w:tcPr>
            <w:tcW w:w="1512"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June</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72.6</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81.3</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73.5</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73.4</w:t>
            </w:r>
          </w:p>
        </w:tc>
      </w:tr>
      <w:tr w:rsidR="00F1237C" w:rsidRPr="002B5421" w:rsidTr="0058471F">
        <w:trPr>
          <w:trHeight w:val="315"/>
          <w:jc w:val="center"/>
        </w:trPr>
        <w:tc>
          <w:tcPr>
            <w:tcW w:w="1512"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July</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72.3</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78.2</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69.9</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76.4</w:t>
            </w:r>
          </w:p>
        </w:tc>
      </w:tr>
      <w:tr w:rsidR="00F1237C" w:rsidRPr="002B5421" w:rsidTr="0058471F">
        <w:trPr>
          <w:trHeight w:val="315"/>
          <w:jc w:val="center"/>
        </w:trPr>
        <w:tc>
          <w:tcPr>
            <w:tcW w:w="1512"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August</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73.5</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77.3</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69.3</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74.2</w:t>
            </w:r>
          </w:p>
        </w:tc>
      </w:tr>
      <w:tr w:rsidR="00F1237C" w:rsidRPr="002B5421" w:rsidTr="0058471F">
        <w:trPr>
          <w:trHeight w:val="317"/>
          <w:jc w:val="center"/>
        </w:trPr>
        <w:tc>
          <w:tcPr>
            <w:tcW w:w="1512"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September</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73.6</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77.8</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68.8</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71.8</w:t>
            </w:r>
          </w:p>
        </w:tc>
      </w:tr>
      <w:tr w:rsidR="00F1237C" w:rsidRPr="002B5421" w:rsidTr="0058471F">
        <w:trPr>
          <w:trHeight w:val="315"/>
          <w:jc w:val="center"/>
        </w:trPr>
        <w:tc>
          <w:tcPr>
            <w:tcW w:w="1512"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October</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68.0</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74.8</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67.9</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69.7</w:t>
            </w:r>
          </w:p>
        </w:tc>
      </w:tr>
      <w:tr w:rsidR="00F1237C" w:rsidRPr="002B5421" w:rsidTr="0058471F">
        <w:trPr>
          <w:trHeight w:val="315"/>
          <w:jc w:val="center"/>
        </w:trPr>
        <w:tc>
          <w:tcPr>
            <w:tcW w:w="1512" w:type="dxa"/>
            <w:vMerge w:val="restart"/>
            <w:tcBorders>
              <w:top w:val="nil"/>
              <w:left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Average Weekday</w:t>
            </w: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May</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61.2</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64.9</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62.4</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60.8</w:t>
            </w:r>
          </w:p>
        </w:tc>
      </w:tr>
      <w:tr w:rsidR="00F1237C" w:rsidRPr="002B5421" w:rsidTr="0058471F">
        <w:trPr>
          <w:trHeight w:val="315"/>
          <w:jc w:val="center"/>
        </w:trPr>
        <w:tc>
          <w:tcPr>
            <w:tcW w:w="1512"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June</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63.5</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66.4</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62.2</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64.3</w:t>
            </w:r>
          </w:p>
        </w:tc>
      </w:tr>
      <w:tr w:rsidR="00F1237C" w:rsidRPr="002B5421" w:rsidTr="0058471F">
        <w:trPr>
          <w:trHeight w:val="315"/>
          <w:jc w:val="center"/>
        </w:trPr>
        <w:tc>
          <w:tcPr>
            <w:tcW w:w="1512"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July</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66.3</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67.7</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69.2</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66.7</w:t>
            </w:r>
          </w:p>
        </w:tc>
      </w:tr>
      <w:tr w:rsidR="00F1237C" w:rsidRPr="002B5421" w:rsidTr="0058471F">
        <w:trPr>
          <w:trHeight w:val="315"/>
          <w:jc w:val="center"/>
        </w:trPr>
        <w:tc>
          <w:tcPr>
            <w:tcW w:w="1512"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August</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67.4</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67.5</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65.8</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64.5</w:t>
            </w:r>
          </w:p>
        </w:tc>
      </w:tr>
      <w:tr w:rsidR="00F1237C" w:rsidRPr="002B5421" w:rsidTr="0058471F">
        <w:trPr>
          <w:trHeight w:val="317"/>
          <w:jc w:val="center"/>
        </w:trPr>
        <w:tc>
          <w:tcPr>
            <w:tcW w:w="1512"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September</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66.2</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68.8</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66.5</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67.6</w:t>
            </w:r>
          </w:p>
        </w:tc>
      </w:tr>
      <w:tr w:rsidR="00F1237C" w:rsidRPr="002B5421" w:rsidTr="0058471F">
        <w:trPr>
          <w:trHeight w:val="315"/>
          <w:jc w:val="center"/>
        </w:trPr>
        <w:tc>
          <w:tcPr>
            <w:tcW w:w="1512" w:type="dxa"/>
            <w:vMerge/>
            <w:tcBorders>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October</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61.5</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64.3</w:t>
            </w:r>
          </w:p>
        </w:tc>
        <w:tc>
          <w:tcPr>
            <w:tcW w:w="1509"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61.5</w:t>
            </w:r>
          </w:p>
        </w:tc>
        <w:tc>
          <w:tcPr>
            <w:tcW w:w="1510" w:type="dxa"/>
            <w:tcBorders>
              <w:top w:val="nil"/>
              <w:left w:val="nil"/>
              <w:bottom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63.4</w:t>
            </w:r>
          </w:p>
        </w:tc>
      </w:tr>
    </w:tbl>
    <w:p w:rsidR="00F1237C" w:rsidRPr="00B828B0" w:rsidRDefault="00F1237C" w:rsidP="00F1237C">
      <w:pPr>
        <w:rPr>
          <w:rFonts w:ascii="Arial" w:hAnsi="Arial"/>
          <w:b/>
          <w:highlight w:val="yellow"/>
        </w:rPr>
      </w:pPr>
    </w:p>
    <w:p w:rsidR="00F1237C" w:rsidRPr="002C46A8" w:rsidRDefault="00F1237C" w:rsidP="00F1237C">
      <w:pPr>
        <w:pStyle w:val="Caption"/>
      </w:pPr>
      <w:r w:rsidRPr="002C46A8">
        <w:t xml:space="preserve">Table </w:t>
      </w:r>
      <w:fldSimple w:instr=" STYLEREF 1 \s ">
        <w:r w:rsidR="001F391A">
          <w:rPr>
            <w:noProof/>
          </w:rPr>
          <w:t>4</w:t>
        </w:r>
      </w:fldSimple>
      <w:r w:rsidR="008139B9">
        <w:noBreakHyphen/>
      </w:r>
      <w:fldSimple w:instr=" SEQ Table \* ARABIC \s 1 ">
        <w:r w:rsidR="001F391A">
          <w:rPr>
            <w:noProof/>
          </w:rPr>
          <w:t>2</w:t>
        </w:r>
      </w:fldSimple>
      <w:r w:rsidRPr="002C46A8">
        <w:t>: SCE Enrollment Weighted Ex Ante Weather Values (mean17)</w:t>
      </w:r>
    </w:p>
    <w:tbl>
      <w:tblPr>
        <w:tblW w:w="8745" w:type="dxa"/>
        <w:jc w:val="center"/>
        <w:tblInd w:w="93" w:type="dxa"/>
        <w:tblLook w:val="04A0" w:firstRow="1" w:lastRow="0" w:firstColumn="1" w:lastColumn="0" w:noHBand="0" w:noVBand="1"/>
      </w:tblPr>
      <w:tblGrid>
        <w:gridCol w:w="1513"/>
        <w:gridCol w:w="1195"/>
        <w:gridCol w:w="1508"/>
        <w:gridCol w:w="1509"/>
        <w:gridCol w:w="1508"/>
        <w:gridCol w:w="1512"/>
      </w:tblGrid>
      <w:tr w:rsidR="00F1237C" w:rsidRPr="002B5421" w:rsidTr="0058471F">
        <w:trPr>
          <w:trHeight w:val="510"/>
          <w:jc w:val="center"/>
        </w:trPr>
        <w:tc>
          <w:tcPr>
            <w:tcW w:w="2708" w:type="dxa"/>
            <w:gridSpan w:val="2"/>
            <w:vMerge w:val="restart"/>
            <w:tcBorders>
              <w:top w:val="single" w:sz="4" w:space="0" w:color="auto"/>
              <w:left w:val="single" w:sz="4" w:space="0" w:color="auto"/>
              <w:bottom w:val="single" w:sz="8" w:space="0" w:color="000000"/>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Day Type</w:t>
            </w:r>
          </w:p>
        </w:tc>
        <w:tc>
          <w:tcPr>
            <w:tcW w:w="3017" w:type="dxa"/>
            <w:gridSpan w:val="2"/>
            <w:tcBorders>
              <w:top w:val="single" w:sz="4" w:space="0" w:color="auto"/>
              <w:left w:val="nil"/>
              <w:bottom w:val="single" w:sz="8" w:space="0" w:color="FFFFFF"/>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SC</w:t>
            </w:r>
            <w:r w:rsidRPr="002B5421">
              <w:rPr>
                <w:rFonts w:ascii="Arial" w:eastAsia="Times New Roman" w:hAnsi="Arial" w:cs="Arial"/>
                <w:b/>
                <w:bCs/>
                <w:color w:val="FFFFFF"/>
                <w:sz w:val="20"/>
                <w:szCs w:val="20"/>
              </w:rPr>
              <w:t>E Based Weather</w:t>
            </w:r>
          </w:p>
        </w:tc>
        <w:tc>
          <w:tcPr>
            <w:tcW w:w="3020" w:type="dxa"/>
            <w:gridSpan w:val="2"/>
            <w:tcBorders>
              <w:top w:val="single" w:sz="4" w:space="0" w:color="auto"/>
              <w:left w:val="nil"/>
              <w:bottom w:val="single" w:sz="8" w:space="0" w:color="FFFFFF"/>
              <w:right w:val="single" w:sz="4" w:space="0" w:color="auto"/>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CAISO Based Weather</w:t>
            </w:r>
          </w:p>
        </w:tc>
      </w:tr>
      <w:tr w:rsidR="00F1237C" w:rsidRPr="002B5421" w:rsidTr="0058471F">
        <w:trPr>
          <w:trHeight w:val="315"/>
          <w:jc w:val="center"/>
        </w:trPr>
        <w:tc>
          <w:tcPr>
            <w:tcW w:w="2708" w:type="dxa"/>
            <w:gridSpan w:val="2"/>
            <w:vMerge/>
            <w:tcBorders>
              <w:top w:val="single" w:sz="8" w:space="0" w:color="auto"/>
              <w:left w:val="single" w:sz="4" w:space="0" w:color="auto"/>
              <w:bottom w:val="single" w:sz="4" w:space="0" w:color="auto"/>
              <w:right w:val="single" w:sz="8" w:space="0" w:color="FFFFFF"/>
            </w:tcBorders>
            <w:vAlign w:val="center"/>
            <w:hideMark/>
          </w:tcPr>
          <w:p w:rsidR="00F1237C" w:rsidRPr="002B5421" w:rsidRDefault="00F1237C" w:rsidP="0058471F">
            <w:pPr>
              <w:spacing w:after="0" w:line="240" w:lineRule="auto"/>
              <w:rPr>
                <w:rFonts w:ascii="Arial" w:eastAsia="Times New Roman" w:hAnsi="Arial" w:cs="Arial"/>
                <w:b/>
                <w:bCs/>
                <w:color w:val="FFFFFF"/>
                <w:sz w:val="20"/>
                <w:szCs w:val="20"/>
              </w:rPr>
            </w:pPr>
          </w:p>
        </w:tc>
        <w:tc>
          <w:tcPr>
            <w:tcW w:w="1508" w:type="dxa"/>
            <w:tcBorders>
              <w:top w:val="nil"/>
              <w:left w:val="nil"/>
              <w:bottom w:val="single" w:sz="4" w:space="0" w:color="auto"/>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1-in-2</w:t>
            </w:r>
          </w:p>
        </w:tc>
        <w:tc>
          <w:tcPr>
            <w:tcW w:w="1509" w:type="dxa"/>
            <w:tcBorders>
              <w:top w:val="nil"/>
              <w:left w:val="nil"/>
              <w:bottom w:val="single" w:sz="4" w:space="0" w:color="auto"/>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1-in-10</w:t>
            </w:r>
          </w:p>
        </w:tc>
        <w:tc>
          <w:tcPr>
            <w:tcW w:w="1508" w:type="dxa"/>
            <w:tcBorders>
              <w:top w:val="nil"/>
              <w:left w:val="nil"/>
              <w:bottom w:val="single" w:sz="4" w:space="0" w:color="auto"/>
              <w:right w:val="single" w:sz="8" w:space="0" w:color="FFFFFF"/>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1-in-2</w:t>
            </w:r>
          </w:p>
        </w:tc>
        <w:tc>
          <w:tcPr>
            <w:tcW w:w="1512" w:type="dxa"/>
            <w:tcBorders>
              <w:top w:val="nil"/>
              <w:left w:val="nil"/>
              <w:bottom w:val="single" w:sz="4" w:space="0" w:color="auto"/>
              <w:right w:val="single" w:sz="4" w:space="0" w:color="auto"/>
            </w:tcBorders>
            <w:shd w:val="clear" w:color="000000" w:fill="0070CD"/>
            <w:vAlign w:val="center"/>
            <w:hideMark/>
          </w:tcPr>
          <w:p w:rsidR="00F1237C" w:rsidRPr="002B5421" w:rsidRDefault="00F1237C" w:rsidP="0058471F">
            <w:pPr>
              <w:spacing w:after="0" w:line="240" w:lineRule="auto"/>
              <w:jc w:val="center"/>
              <w:rPr>
                <w:rFonts w:ascii="Arial" w:eastAsia="Times New Roman" w:hAnsi="Arial" w:cs="Arial"/>
                <w:b/>
                <w:bCs/>
                <w:color w:val="FFFFFF"/>
                <w:sz w:val="20"/>
                <w:szCs w:val="20"/>
              </w:rPr>
            </w:pPr>
            <w:r w:rsidRPr="002B5421">
              <w:rPr>
                <w:rFonts w:ascii="Arial" w:eastAsia="Times New Roman" w:hAnsi="Arial" w:cs="Arial"/>
                <w:b/>
                <w:bCs/>
                <w:color w:val="FFFFFF"/>
                <w:sz w:val="20"/>
                <w:szCs w:val="20"/>
              </w:rPr>
              <w:t>1-in-10</w:t>
            </w:r>
          </w:p>
        </w:tc>
      </w:tr>
      <w:tr w:rsidR="00F1237C" w:rsidRPr="002B5421" w:rsidTr="0058471F">
        <w:trPr>
          <w:trHeight w:val="315"/>
          <w:jc w:val="center"/>
        </w:trPr>
        <w:tc>
          <w:tcPr>
            <w:tcW w:w="2708" w:type="dxa"/>
            <w:gridSpan w:val="2"/>
            <w:tcBorders>
              <w:top w:val="single" w:sz="4" w:space="0" w:color="auto"/>
              <w:left w:val="single" w:sz="8" w:space="0" w:color="auto"/>
              <w:bottom w:val="single" w:sz="8" w:space="0" w:color="auto"/>
              <w:right w:val="single" w:sz="8" w:space="0" w:color="000000"/>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Typical Event Day</w:t>
            </w:r>
          </w:p>
        </w:tc>
        <w:tc>
          <w:tcPr>
            <w:tcW w:w="1508" w:type="dxa"/>
            <w:tcBorders>
              <w:top w:val="single" w:sz="4" w:space="0" w:color="auto"/>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75.5</w:t>
            </w:r>
          </w:p>
        </w:tc>
        <w:tc>
          <w:tcPr>
            <w:tcW w:w="1509" w:type="dxa"/>
            <w:tcBorders>
              <w:top w:val="single" w:sz="4" w:space="0" w:color="auto"/>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80.3</w:t>
            </w:r>
          </w:p>
        </w:tc>
        <w:tc>
          <w:tcPr>
            <w:tcW w:w="1508" w:type="dxa"/>
            <w:tcBorders>
              <w:top w:val="single" w:sz="4" w:space="0" w:color="auto"/>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75.3</w:t>
            </w:r>
          </w:p>
        </w:tc>
        <w:tc>
          <w:tcPr>
            <w:tcW w:w="1512" w:type="dxa"/>
            <w:tcBorders>
              <w:top w:val="single" w:sz="4" w:space="0" w:color="auto"/>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78.6</w:t>
            </w:r>
          </w:p>
        </w:tc>
      </w:tr>
      <w:tr w:rsidR="00F1237C" w:rsidRPr="002B5421" w:rsidTr="0058471F">
        <w:trPr>
          <w:trHeight w:val="315"/>
          <w:jc w:val="center"/>
        </w:trPr>
        <w:tc>
          <w:tcPr>
            <w:tcW w:w="1513" w:type="dxa"/>
            <w:vMerge w:val="restart"/>
            <w:tcBorders>
              <w:top w:val="nil"/>
              <w:left w:val="single" w:sz="8" w:space="0" w:color="auto"/>
              <w:bottom w:val="single" w:sz="8" w:space="0" w:color="000000"/>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Peak Day</w:t>
            </w: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May</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69.1</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79.2</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66.5</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75.3</w:t>
            </w:r>
          </w:p>
        </w:tc>
      </w:tr>
      <w:tr w:rsidR="00F1237C" w:rsidRPr="002B5421" w:rsidTr="0058471F">
        <w:trPr>
          <w:trHeight w:val="315"/>
          <w:jc w:val="center"/>
        </w:trPr>
        <w:tc>
          <w:tcPr>
            <w:tcW w:w="1513"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June</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72.5</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78.2</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73.0</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76.0</w:t>
            </w:r>
          </w:p>
        </w:tc>
      </w:tr>
      <w:tr w:rsidR="00F1237C" w:rsidRPr="002B5421" w:rsidTr="0058471F">
        <w:trPr>
          <w:trHeight w:val="315"/>
          <w:jc w:val="center"/>
        </w:trPr>
        <w:tc>
          <w:tcPr>
            <w:tcW w:w="1513"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July</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74.9</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79.5</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76.3</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78.2</w:t>
            </w:r>
          </w:p>
        </w:tc>
      </w:tr>
      <w:tr w:rsidR="00F1237C" w:rsidRPr="002B5421" w:rsidTr="0058471F">
        <w:trPr>
          <w:trHeight w:val="315"/>
          <w:jc w:val="center"/>
        </w:trPr>
        <w:tc>
          <w:tcPr>
            <w:tcW w:w="1513"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August</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78.3</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81.3</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76.2</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79.8</w:t>
            </w:r>
          </w:p>
        </w:tc>
      </w:tr>
      <w:tr w:rsidR="00F1237C" w:rsidRPr="002B5421" w:rsidTr="0058471F">
        <w:trPr>
          <w:trHeight w:val="317"/>
          <w:jc w:val="center"/>
        </w:trPr>
        <w:tc>
          <w:tcPr>
            <w:tcW w:w="1513"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September</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76.4</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82.3</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75.9</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80.5</w:t>
            </w:r>
          </w:p>
        </w:tc>
      </w:tr>
      <w:tr w:rsidR="00F1237C" w:rsidRPr="002B5421" w:rsidTr="0058471F">
        <w:trPr>
          <w:trHeight w:val="315"/>
          <w:jc w:val="center"/>
        </w:trPr>
        <w:tc>
          <w:tcPr>
            <w:tcW w:w="1513" w:type="dxa"/>
            <w:vMerge/>
            <w:tcBorders>
              <w:top w:val="nil"/>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October</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73.8</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77.8</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71.1</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75.5</w:t>
            </w:r>
          </w:p>
        </w:tc>
      </w:tr>
      <w:tr w:rsidR="00F1237C" w:rsidRPr="002B5421" w:rsidTr="0058471F">
        <w:trPr>
          <w:trHeight w:val="315"/>
          <w:jc w:val="center"/>
        </w:trPr>
        <w:tc>
          <w:tcPr>
            <w:tcW w:w="1513" w:type="dxa"/>
            <w:vMerge w:val="restart"/>
            <w:tcBorders>
              <w:top w:val="nil"/>
              <w:left w:val="single" w:sz="8" w:space="0" w:color="auto"/>
              <w:right w:val="single" w:sz="8" w:space="0" w:color="auto"/>
            </w:tcBorders>
            <w:shd w:val="clear" w:color="auto" w:fill="auto"/>
            <w:vAlign w:val="center"/>
            <w:hideMark/>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Average Weekday</w:t>
            </w: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May</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61.8</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67.6</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62.1</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62.1</w:t>
            </w:r>
          </w:p>
        </w:tc>
      </w:tr>
      <w:tr w:rsidR="00F1237C" w:rsidRPr="002B5421" w:rsidTr="0058471F">
        <w:trPr>
          <w:trHeight w:val="315"/>
          <w:jc w:val="center"/>
        </w:trPr>
        <w:tc>
          <w:tcPr>
            <w:tcW w:w="1513"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June</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64.3</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69.2</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64.7</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68.5</w:t>
            </w:r>
          </w:p>
        </w:tc>
      </w:tr>
      <w:tr w:rsidR="00F1237C" w:rsidRPr="002B5421" w:rsidTr="0058471F">
        <w:trPr>
          <w:trHeight w:val="315"/>
          <w:jc w:val="center"/>
        </w:trPr>
        <w:tc>
          <w:tcPr>
            <w:tcW w:w="1513"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July</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70.3</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71.2</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71.4</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71.0</w:t>
            </w:r>
          </w:p>
        </w:tc>
      </w:tr>
      <w:tr w:rsidR="00F1237C" w:rsidRPr="002B5421" w:rsidTr="0058471F">
        <w:trPr>
          <w:trHeight w:val="315"/>
          <w:jc w:val="center"/>
        </w:trPr>
        <w:tc>
          <w:tcPr>
            <w:tcW w:w="1513"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August</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72.2</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73.9</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70.6</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72.9</w:t>
            </w:r>
          </w:p>
        </w:tc>
      </w:tr>
      <w:tr w:rsidR="00F1237C" w:rsidRPr="002B5421" w:rsidTr="0058471F">
        <w:trPr>
          <w:trHeight w:val="317"/>
          <w:jc w:val="center"/>
        </w:trPr>
        <w:tc>
          <w:tcPr>
            <w:tcW w:w="1513" w:type="dxa"/>
            <w:vMerge/>
            <w:tcBorders>
              <w:left w:val="single" w:sz="8" w:space="0" w:color="auto"/>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September</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68.8</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71.6</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70.0</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71.1</w:t>
            </w:r>
          </w:p>
        </w:tc>
      </w:tr>
      <w:tr w:rsidR="00F1237C" w:rsidRPr="002B5421" w:rsidTr="0058471F">
        <w:trPr>
          <w:trHeight w:val="315"/>
          <w:jc w:val="center"/>
        </w:trPr>
        <w:tc>
          <w:tcPr>
            <w:tcW w:w="1513" w:type="dxa"/>
            <w:vMerge/>
            <w:tcBorders>
              <w:left w:val="single" w:sz="8" w:space="0" w:color="auto"/>
              <w:bottom w:val="single" w:sz="8" w:space="0" w:color="000000"/>
              <w:right w:val="single" w:sz="8" w:space="0" w:color="auto"/>
            </w:tcBorders>
            <w:vAlign w:val="center"/>
            <w:hideMark/>
          </w:tcPr>
          <w:p w:rsidR="00F1237C" w:rsidRPr="002B5421" w:rsidRDefault="00F1237C" w:rsidP="0058471F">
            <w:pPr>
              <w:spacing w:after="0" w:line="240" w:lineRule="auto"/>
              <w:rPr>
                <w:rFonts w:ascii="Arial" w:eastAsia="Times New Roman" w:hAnsi="Arial" w:cs="Arial"/>
                <w:color w:val="000000"/>
                <w:sz w:val="20"/>
                <w:szCs w:val="20"/>
              </w:rPr>
            </w:pPr>
          </w:p>
        </w:tc>
        <w:tc>
          <w:tcPr>
            <w:tcW w:w="1195" w:type="dxa"/>
            <w:tcBorders>
              <w:top w:val="nil"/>
              <w:left w:val="nil"/>
              <w:bottom w:val="single" w:sz="8" w:space="0" w:color="auto"/>
              <w:right w:val="single" w:sz="8" w:space="0" w:color="auto"/>
            </w:tcBorders>
            <w:shd w:val="clear" w:color="auto" w:fill="auto"/>
            <w:vAlign w:val="center"/>
          </w:tcPr>
          <w:p w:rsidR="00F1237C" w:rsidRPr="002B5421" w:rsidRDefault="00F1237C" w:rsidP="0058471F">
            <w:pPr>
              <w:spacing w:after="0" w:line="240" w:lineRule="auto"/>
              <w:jc w:val="center"/>
              <w:rPr>
                <w:rFonts w:ascii="Arial" w:eastAsia="Times New Roman" w:hAnsi="Arial" w:cs="Arial"/>
                <w:color w:val="000000"/>
                <w:sz w:val="20"/>
                <w:szCs w:val="20"/>
              </w:rPr>
            </w:pPr>
            <w:r w:rsidRPr="002B5421">
              <w:rPr>
                <w:rFonts w:ascii="Arial" w:eastAsia="Times New Roman" w:hAnsi="Arial" w:cs="Arial"/>
                <w:color w:val="000000"/>
                <w:sz w:val="20"/>
                <w:szCs w:val="20"/>
              </w:rPr>
              <w:t>October</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63.5</w:t>
            </w:r>
          </w:p>
        </w:tc>
        <w:tc>
          <w:tcPr>
            <w:tcW w:w="1509"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66.6</w:t>
            </w:r>
          </w:p>
        </w:tc>
        <w:tc>
          <w:tcPr>
            <w:tcW w:w="1508" w:type="dxa"/>
            <w:tcBorders>
              <w:top w:val="nil"/>
              <w:left w:val="nil"/>
              <w:bottom w:val="single" w:sz="8" w:space="0" w:color="auto"/>
              <w:right w:val="single" w:sz="8" w:space="0" w:color="auto"/>
            </w:tcBorders>
            <w:shd w:val="clear" w:color="auto" w:fill="auto"/>
            <w:vAlign w:val="bottom"/>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64.5</w:t>
            </w:r>
          </w:p>
        </w:tc>
        <w:tc>
          <w:tcPr>
            <w:tcW w:w="1512" w:type="dxa"/>
            <w:tcBorders>
              <w:top w:val="nil"/>
              <w:left w:val="nil"/>
              <w:bottom w:val="single" w:sz="8" w:space="0" w:color="auto"/>
              <w:right w:val="single" w:sz="8" w:space="0" w:color="auto"/>
            </w:tcBorders>
            <w:shd w:val="clear" w:color="auto" w:fill="auto"/>
            <w:vAlign w:val="bottom"/>
            <w:hideMark/>
          </w:tcPr>
          <w:p w:rsidR="00F1237C" w:rsidRPr="002C46A8" w:rsidRDefault="00F1237C" w:rsidP="0058471F">
            <w:pPr>
              <w:spacing w:after="0" w:line="240" w:lineRule="auto"/>
              <w:jc w:val="center"/>
              <w:rPr>
                <w:rFonts w:ascii="Arial" w:eastAsia="Times New Roman" w:hAnsi="Arial" w:cs="Arial"/>
                <w:color w:val="000000"/>
                <w:sz w:val="20"/>
                <w:szCs w:val="20"/>
              </w:rPr>
            </w:pPr>
            <w:r w:rsidRPr="002C46A8">
              <w:rPr>
                <w:rFonts w:ascii="Arial" w:eastAsia="Times New Roman" w:hAnsi="Arial" w:cs="Arial"/>
                <w:color w:val="000000"/>
                <w:sz w:val="20"/>
                <w:szCs w:val="20"/>
              </w:rPr>
              <w:t>67.6</w:t>
            </w:r>
          </w:p>
        </w:tc>
      </w:tr>
    </w:tbl>
    <w:p w:rsidR="00F1237C" w:rsidRPr="00570C8A" w:rsidRDefault="00F1237C" w:rsidP="00F1237C">
      <w:pPr>
        <w:pStyle w:val="BodyParagraph"/>
        <w:spacing w:after="0"/>
      </w:pPr>
    </w:p>
    <w:p w:rsidR="001B44C0" w:rsidRDefault="001B44C0">
      <w:pPr>
        <w:rPr>
          <w:rFonts w:ascii="Arial" w:hAnsi="Arial"/>
          <w:b/>
        </w:rPr>
      </w:pPr>
      <w:bookmarkStart w:id="56" w:name="_Ref443504042"/>
      <w:r>
        <w:br w:type="page"/>
      </w:r>
    </w:p>
    <w:p w:rsidR="00742D25" w:rsidRPr="00570C8A" w:rsidRDefault="00742D25" w:rsidP="00742D25">
      <w:pPr>
        <w:pStyle w:val="Caption"/>
      </w:pPr>
      <w:r w:rsidRPr="00570C8A">
        <w:lastRenderedPageBreak/>
        <w:t xml:space="preserve">Table </w:t>
      </w:r>
      <w:fldSimple w:instr=" STYLEREF 1 \s ">
        <w:r w:rsidR="001F391A">
          <w:rPr>
            <w:noProof/>
          </w:rPr>
          <w:t>4</w:t>
        </w:r>
      </w:fldSimple>
      <w:r w:rsidR="008139B9">
        <w:noBreakHyphen/>
      </w:r>
      <w:fldSimple w:instr=" SEQ Table \* ARABIC \s 1 ">
        <w:r w:rsidR="001F391A">
          <w:rPr>
            <w:noProof/>
          </w:rPr>
          <w:t>3</w:t>
        </w:r>
      </w:fldSimple>
      <w:r w:rsidRPr="00570C8A">
        <w:t xml:space="preserve">: </w:t>
      </w:r>
      <w:r>
        <w:t xml:space="preserve">2015 </w:t>
      </w:r>
      <w:r w:rsidRPr="00570C8A">
        <w:t>SDG&amp;E Enrollment Weighted Ex Ante Weather Values (mean17)</w:t>
      </w:r>
    </w:p>
    <w:tbl>
      <w:tblPr>
        <w:tblW w:w="4508" w:type="pct"/>
        <w:jc w:val="center"/>
        <w:tblInd w:w="254" w:type="dxa"/>
        <w:tblCellMar>
          <w:left w:w="0" w:type="dxa"/>
          <w:right w:w="0" w:type="dxa"/>
        </w:tblCellMar>
        <w:tblLook w:val="04A0" w:firstRow="1" w:lastRow="0" w:firstColumn="1" w:lastColumn="0" w:noHBand="0" w:noVBand="1"/>
      </w:tblPr>
      <w:tblGrid>
        <w:gridCol w:w="1502"/>
        <w:gridCol w:w="1196"/>
        <w:gridCol w:w="1461"/>
        <w:gridCol w:w="1462"/>
        <w:gridCol w:w="1461"/>
        <w:gridCol w:w="1459"/>
      </w:tblGrid>
      <w:tr w:rsidR="00742D25" w:rsidRPr="00B828B0" w:rsidTr="00742D25">
        <w:trPr>
          <w:trHeight w:val="278"/>
          <w:tblHeader/>
          <w:jc w:val="center"/>
        </w:trPr>
        <w:tc>
          <w:tcPr>
            <w:tcW w:w="1579" w:type="pct"/>
            <w:gridSpan w:val="2"/>
            <w:vMerge w:val="restart"/>
            <w:tcBorders>
              <w:top w:val="single" w:sz="4" w:space="0" w:color="auto"/>
              <w:left w:val="single" w:sz="4" w:space="0" w:color="auto"/>
              <w:right w:val="single" w:sz="8" w:space="0" w:color="FFFFFF"/>
            </w:tcBorders>
            <w:shd w:val="clear" w:color="auto" w:fill="0070CD"/>
            <w:vAlign w:val="center"/>
          </w:tcPr>
          <w:p w:rsidR="00742D25" w:rsidRPr="00657EAF" w:rsidRDefault="00742D25" w:rsidP="00742D25">
            <w:pPr>
              <w:pStyle w:val="TableHeader"/>
              <w:rPr>
                <w:rFonts w:eastAsia="Times New Roman"/>
              </w:rPr>
            </w:pPr>
            <w:r w:rsidRPr="00657EAF">
              <w:t>Day Type</w:t>
            </w:r>
          </w:p>
        </w:tc>
        <w:tc>
          <w:tcPr>
            <w:tcW w:w="1711" w:type="pct"/>
            <w:gridSpan w:val="2"/>
            <w:tcBorders>
              <w:top w:val="single" w:sz="4" w:space="0" w:color="auto"/>
              <w:left w:val="nil"/>
              <w:bottom w:val="single" w:sz="8" w:space="0" w:color="FFFFFF"/>
              <w:right w:val="single" w:sz="8" w:space="0" w:color="FFFFFF"/>
            </w:tcBorders>
            <w:shd w:val="clear" w:color="auto" w:fill="0070CD"/>
            <w:tcMar>
              <w:top w:w="0" w:type="dxa"/>
              <w:left w:w="108" w:type="dxa"/>
              <w:bottom w:w="0" w:type="dxa"/>
              <w:right w:w="108" w:type="dxa"/>
            </w:tcMar>
            <w:vAlign w:val="center"/>
            <w:hideMark/>
          </w:tcPr>
          <w:p w:rsidR="00742D25" w:rsidRPr="00657EAF" w:rsidRDefault="00742D25" w:rsidP="00742D25">
            <w:pPr>
              <w:pStyle w:val="TableHeader"/>
              <w:rPr>
                <w:rFonts w:eastAsia="Times New Roman"/>
              </w:rPr>
            </w:pPr>
            <w:r w:rsidRPr="00657EAF">
              <w:t>SDG&amp;E Based Weather</w:t>
            </w:r>
          </w:p>
        </w:tc>
        <w:tc>
          <w:tcPr>
            <w:tcW w:w="1709" w:type="pct"/>
            <w:gridSpan w:val="2"/>
            <w:tcBorders>
              <w:top w:val="single" w:sz="4" w:space="0" w:color="auto"/>
              <w:left w:val="nil"/>
              <w:bottom w:val="single" w:sz="8" w:space="0" w:color="FFFFFF"/>
              <w:right w:val="single" w:sz="4" w:space="0" w:color="auto"/>
            </w:tcBorders>
            <w:shd w:val="clear" w:color="auto" w:fill="0070CD"/>
            <w:tcMar>
              <w:top w:w="0" w:type="dxa"/>
              <w:left w:w="108" w:type="dxa"/>
              <w:bottom w:w="0" w:type="dxa"/>
              <w:right w:w="108" w:type="dxa"/>
            </w:tcMar>
            <w:vAlign w:val="center"/>
            <w:hideMark/>
          </w:tcPr>
          <w:p w:rsidR="00742D25" w:rsidRPr="00657EAF" w:rsidRDefault="00742D25" w:rsidP="00742D25">
            <w:pPr>
              <w:pStyle w:val="TableHeader"/>
              <w:rPr>
                <w:rFonts w:eastAsia="Times New Roman"/>
              </w:rPr>
            </w:pPr>
            <w:r w:rsidRPr="00657EAF">
              <w:t>CAISO Based Weather</w:t>
            </w:r>
          </w:p>
        </w:tc>
      </w:tr>
      <w:tr w:rsidR="00742D25" w:rsidRPr="00B828B0" w:rsidTr="00742D25">
        <w:trPr>
          <w:trHeight w:val="278"/>
          <w:tblHeader/>
          <w:jc w:val="center"/>
        </w:trPr>
        <w:tc>
          <w:tcPr>
            <w:tcW w:w="1579" w:type="pct"/>
            <w:gridSpan w:val="2"/>
            <w:vMerge/>
            <w:tcBorders>
              <w:left w:val="single" w:sz="4" w:space="0" w:color="auto"/>
              <w:bottom w:val="single" w:sz="4" w:space="0" w:color="auto"/>
              <w:right w:val="single" w:sz="8" w:space="0" w:color="FFFFFF"/>
            </w:tcBorders>
            <w:shd w:val="clear" w:color="auto" w:fill="0070CD"/>
          </w:tcPr>
          <w:p w:rsidR="00742D25" w:rsidRPr="00657EAF" w:rsidRDefault="00742D25" w:rsidP="00742D25">
            <w:pPr>
              <w:pStyle w:val="TableHeader"/>
              <w:rPr>
                <w:rFonts w:ascii="Calibri" w:eastAsiaTheme="minorHAnsi" w:hAnsi="Calibri"/>
                <w:bCs/>
                <w:color w:val="FFFFFF"/>
                <w:szCs w:val="20"/>
              </w:rPr>
            </w:pPr>
          </w:p>
        </w:tc>
        <w:tc>
          <w:tcPr>
            <w:tcW w:w="855"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742D25" w:rsidRPr="00657EAF" w:rsidRDefault="00742D25" w:rsidP="00742D25">
            <w:pPr>
              <w:pStyle w:val="TableHeader"/>
              <w:rPr>
                <w:rFonts w:eastAsia="Times New Roman"/>
              </w:rPr>
            </w:pPr>
            <w:r w:rsidRPr="00657EAF">
              <w:t>1-in-2</w:t>
            </w:r>
          </w:p>
        </w:tc>
        <w:tc>
          <w:tcPr>
            <w:tcW w:w="856"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742D25" w:rsidRPr="00657EAF" w:rsidRDefault="00742D25" w:rsidP="00742D25">
            <w:pPr>
              <w:pStyle w:val="TableHeader"/>
              <w:rPr>
                <w:rFonts w:eastAsia="Times New Roman"/>
              </w:rPr>
            </w:pPr>
            <w:r w:rsidRPr="00657EAF">
              <w:t>1-in-10</w:t>
            </w:r>
          </w:p>
        </w:tc>
        <w:tc>
          <w:tcPr>
            <w:tcW w:w="855"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742D25" w:rsidRPr="00657EAF" w:rsidRDefault="00742D25" w:rsidP="00742D25">
            <w:pPr>
              <w:pStyle w:val="TableHeader"/>
              <w:rPr>
                <w:rFonts w:eastAsia="Times New Roman"/>
              </w:rPr>
            </w:pPr>
            <w:r w:rsidRPr="00657EAF">
              <w:t>1-in-2</w:t>
            </w:r>
          </w:p>
        </w:tc>
        <w:tc>
          <w:tcPr>
            <w:tcW w:w="854" w:type="pct"/>
            <w:tcBorders>
              <w:top w:val="nil"/>
              <w:left w:val="nil"/>
              <w:bottom w:val="single" w:sz="4" w:space="0" w:color="auto"/>
              <w:right w:val="single" w:sz="4" w:space="0" w:color="auto"/>
            </w:tcBorders>
            <w:shd w:val="clear" w:color="auto" w:fill="0070CD"/>
            <w:tcMar>
              <w:top w:w="0" w:type="dxa"/>
              <w:left w:w="108" w:type="dxa"/>
              <w:bottom w:w="0" w:type="dxa"/>
              <w:right w:w="108" w:type="dxa"/>
            </w:tcMar>
            <w:vAlign w:val="center"/>
            <w:hideMark/>
          </w:tcPr>
          <w:p w:rsidR="00742D25" w:rsidRPr="00657EAF" w:rsidRDefault="00742D25" w:rsidP="00742D25">
            <w:pPr>
              <w:pStyle w:val="TableHeader"/>
              <w:rPr>
                <w:rFonts w:eastAsia="Times New Roman"/>
              </w:rPr>
            </w:pPr>
            <w:r w:rsidRPr="00657EAF">
              <w:t>1-in-10</w:t>
            </w:r>
          </w:p>
        </w:tc>
      </w:tr>
      <w:tr w:rsidR="00742D25" w:rsidRPr="00B828B0" w:rsidTr="00742D25">
        <w:trPr>
          <w:trHeight w:val="315"/>
          <w:jc w:val="center"/>
        </w:trPr>
        <w:tc>
          <w:tcPr>
            <w:tcW w:w="1579" w:type="pct"/>
            <w:gridSpan w:val="2"/>
            <w:tcBorders>
              <w:top w:val="single" w:sz="4" w:space="0" w:color="auto"/>
              <w:left w:val="single" w:sz="8" w:space="0" w:color="auto"/>
              <w:bottom w:val="single" w:sz="8" w:space="0" w:color="auto"/>
              <w:right w:val="single" w:sz="8" w:space="0" w:color="auto"/>
            </w:tcBorders>
          </w:tcPr>
          <w:p w:rsidR="00742D25" w:rsidRPr="00657EAF" w:rsidRDefault="00742D25" w:rsidP="00742D25">
            <w:pPr>
              <w:pStyle w:val="TableText"/>
            </w:pPr>
            <w:r w:rsidRPr="00657EAF">
              <w:t>Typical Event Day</w:t>
            </w:r>
          </w:p>
        </w:tc>
        <w:tc>
          <w:tcPr>
            <w:tcW w:w="855"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742D25" w:rsidRPr="00E405B9" w:rsidRDefault="00742D25" w:rsidP="00742D25">
            <w:pPr>
              <w:pStyle w:val="TableText"/>
              <w:keepNext/>
              <w:spacing w:before="0" w:after="0"/>
              <w:rPr>
                <w:rFonts w:asciiTheme="minorHAnsi" w:hAnsiTheme="minorHAnsi" w:cstheme="minorHAnsi"/>
                <w:sz w:val="22"/>
              </w:rPr>
            </w:pPr>
            <w:r w:rsidRPr="00E405B9">
              <w:rPr>
                <w:rFonts w:asciiTheme="minorHAnsi" w:hAnsiTheme="minorHAnsi" w:cstheme="minorHAnsi"/>
                <w:sz w:val="22"/>
              </w:rPr>
              <w:t>7</w:t>
            </w:r>
            <w:r w:rsidR="009D3C16" w:rsidRPr="00E405B9">
              <w:rPr>
                <w:rFonts w:asciiTheme="minorHAnsi" w:hAnsiTheme="minorHAnsi" w:cstheme="minorHAnsi"/>
                <w:sz w:val="22"/>
              </w:rPr>
              <w:t>3.1</w:t>
            </w:r>
          </w:p>
        </w:tc>
        <w:tc>
          <w:tcPr>
            <w:tcW w:w="856"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742D25" w:rsidRPr="00E405B9" w:rsidRDefault="00742D25" w:rsidP="00742D25">
            <w:pPr>
              <w:keepNext/>
              <w:spacing w:after="0" w:line="240" w:lineRule="auto"/>
              <w:jc w:val="center"/>
              <w:rPr>
                <w:rFonts w:cstheme="minorHAnsi"/>
                <w:color w:val="000000"/>
              </w:rPr>
            </w:pPr>
            <w:r w:rsidRPr="00E405B9">
              <w:rPr>
                <w:rFonts w:cstheme="minorHAnsi"/>
                <w:color w:val="000000"/>
              </w:rPr>
              <w:t>79.</w:t>
            </w:r>
            <w:r w:rsidR="00395838" w:rsidRPr="00E405B9">
              <w:rPr>
                <w:rFonts w:cstheme="minorHAnsi"/>
                <w:color w:val="000000"/>
              </w:rPr>
              <w:t>0</w:t>
            </w:r>
          </w:p>
        </w:tc>
        <w:tc>
          <w:tcPr>
            <w:tcW w:w="855"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742D25" w:rsidRPr="00E405B9" w:rsidRDefault="00742D25" w:rsidP="00742D25">
            <w:pPr>
              <w:keepNext/>
              <w:spacing w:after="0" w:line="240" w:lineRule="auto"/>
              <w:jc w:val="center"/>
              <w:rPr>
                <w:rFonts w:cstheme="minorHAnsi"/>
                <w:color w:val="000000"/>
              </w:rPr>
            </w:pPr>
            <w:r w:rsidRPr="00E405B9">
              <w:rPr>
                <w:rFonts w:cstheme="minorHAnsi"/>
                <w:color w:val="000000"/>
              </w:rPr>
              <w:t>7</w:t>
            </w:r>
            <w:r w:rsidR="00395838" w:rsidRPr="00E405B9">
              <w:rPr>
                <w:rFonts w:cstheme="minorHAnsi"/>
                <w:color w:val="000000"/>
              </w:rPr>
              <w:t>2.3</w:t>
            </w:r>
          </w:p>
        </w:tc>
        <w:tc>
          <w:tcPr>
            <w:tcW w:w="854"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742D25" w:rsidRPr="00E405B9" w:rsidRDefault="00742D25" w:rsidP="00742D25">
            <w:pPr>
              <w:keepNext/>
              <w:spacing w:after="0" w:line="240" w:lineRule="auto"/>
              <w:jc w:val="center"/>
              <w:rPr>
                <w:rFonts w:cstheme="minorHAnsi"/>
                <w:color w:val="000000"/>
              </w:rPr>
            </w:pPr>
            <w:r w:rsidRPr="00E405B9">
              <w:rPr>
                <w:rFonts w:cstheme="minorHAnsi"/>
                <w:color w:val="000000"/>
              </w:rPr>
              <w:t>7</w:t>
            </w:r>
            <w:r w:rsidR="001503E6" w:rsidRPr="001503E6">
              <w:rPr>
                <w:rFonts w:cstheme="minorHAnsi"/>
                <w:color w:val="000000"/>
              </w:rPr>
              <w:t>5</w:t>
            </w:r>
            <w:r w:rsidR="001503E6">
              <w:rPr>
                <w:rFonts w:cstheme="minorHAnsi"/>
                <w:color w:val="000000"/>
              </w:rPr>
              <w:t>.7</w:t>
            </w:r>
          </w:p>
        </w:tc>
      </w:tr>
      <w:tr w:rsidR="00742D25" w:rsidRPr="00B828B0" w:rsidTr="00742D25">
        <w:trPr>
          <w:trHeight w:val="315"/>
          <w:jc w:val="center"/>
        </w:trPr>
        <w:tc>
          <w:tcPr>
            <w:tcW w:w="879" w:type="pct"/>
            <w:vMerge w:val="restart"/>
            <w:tcBorders>
              <w:top w:val="nil"/>
              <w:left w:val="single" w:sz="8" w:space="0" w:color="auto"/>
              <w:right w:val="single" w:sz="8" w:space="0" w:color="auto"/>
            </w:tcBorders>
            <w:vAlign w:val="center"/>
          </w:tcPr>
          <w:p w:rsidR="00742D25" w:rsidRPr="00657EAF" w:rsidRDefault="00742D25" w:rsidP="00742D25">
            <w:pPr>
              <w:pStyle w:val="TableText"/>
              <w:spacing w:before="0" w:after="0" w:line="276" w:lineRule="auto"/>
            </w:pPr>
            <w:r w:rsidRPr="00657EAF">
              <w:t>Peak Day</w:t>
            </w: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42D25" w:rsidRPr="00657EAF" w:rsidRDefault="00742D25" w:rsidP="00742D25">
            <w:pPr>
              <w:pStyle w:val="TableText"/>
              <w:spacing w:before="0" w:after="0" w:line="276" w:lineRule="auto"/>
              <w:rPr>
                <w:rFonts w:eastAsia="Times New Roman"/>
              </w:rPr>
            </w:pPr>
            <w:r w:rsidRPr="00657EAF">
              <w:t>May</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rsidRPr="00395838">
              <w:t>68.0</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t>78.1</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t>64.7</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742D25" w:rsidP="00742D25">
            <w:pPr>
              <w:keepNext/>
              <w:spacing w:after="0" w:line="240" w:lineRule="auto"/>
              <w:jc w:val="center"/>
              <w:rPr>
                <w:rFonts w:cstheme="minorHAnsi"/>
                <w:color w:val="000000"/>
              </w:rPr>
            </w:pPr>
            <w:r w:rsidRPr="00395838">
              <w:t>7</w:t>
            </w:r>
            <w:r w:rsidR="001503E6">
              <w:t>2.2</w:t>
            </w:r>
          </w:p>
        </w:tc>
      </w:tr>
      <w:tr w:rsidR="00742D25" w:rsidRPr="00B828B0" w:rsidTr="00742D25">
        <w:trPr>
          <w:trHeight w:val="315"/>
          <w:jc w:val="center"/>
        </w:trPr>
        <w:tc>
          <w:tcPr>
            <w:tcW w:w="879" w:type="pct"/>
            <w:vMerge/>
            <w:tcBorders>
              <w:left w:val="single" w:sz="8" w:space="0" w:color="auto"/>
              <w:right w:val="single" w:sz="8" w:space="0" w:color="auto"/>
            </w:tcBorders>
          </w:tcPr>
          <w:p w:rsidR="00742D25" w:rsidRPr="00657EAF" w:rsidRDefault="00742D25"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42D25" w:rsidRPr="00657EAF" w:rsidRDefault="00742D25" w:rsidP="00742D25">
            <w:pPr>
              <w:pStyle w:val="TableText"/>
              <w:spacing w:before="0" w:after="0" w:line="276" w:lineRule="auto"/>
              <w:rPr>
                <w:rFonts w:eastAsia="Times New Roman"/>
              </w:rPr>
            </w:pPr>
            <w:r w:rsidRPr="00657EAF">
              <w:t>June</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rsidRPr="00395838">
              <w:t>70.3</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t>77.8</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t>71.2</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742D25" w:rsidP="00742D25">
            <w:pPr>
              <w:keepNext/>
              <w:spacing w:after="0" w:line="240" w:lineRule="auto"/>
              <w:jc w:val="center"/>
              <w:rPr>
                <w:rFonts w:cstheme="minorHAnsi"/>
                <w:color w:val="000000"/>
              </w:rPr>
            </w:pPr>
            <w:r w:rsidRPr="00395838">
              <w:t>7</w:t>
            </w:r>
            <w:r w:rsidR="001503E6">
              <w:t>3.6</w:t>
            </w:r>
          </w:p>
        </w:tc>
      </w:tr>
      <w:tr w:rsidR="00742D25" w:rsidRPr="00B828B0" w:rsidTr="00742D25">
        <w:trPr>
          <w:trHeight w:val="315"/>
          <w:jc w:val="center"/>
        </w:trPr>
        <w:tc>
          <w:tcPr>
            <w:tcW w:w="879" w:type="pct"/>
            <w:vMerge/>
            <w:tcBorders>
              <w:left w:val="single" w:sz="8" w:space="0" w:color="auto"/>
              <w:right w:val="single" w:sz="8" w:space="0" w:color="auto"/>
            </w:tcBorders>
          </w:tcPr>
          <w:p w:rsidR="00742D25" w:rsidRPr="00657EAF" w:rsidRDefault="00742D25"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42D25" w:rsidRPr="00657EAF" w:rsidRDefault="00742D25" w:rsidP="00742D25">
            <w:pPr>
              <w:pStyle w:val="TableText"/>
              <w:spacing w:before="0" w:after="0" w:line="276" w:lineRule="auto"/>
              <w:rPr>
                <w:rFonts w:eastAsia="Times New Roman"/>
              </w:rPr>
            </w:pPr>
            <w:r w:rsidRPr="00657EAF">
              <w:t>July</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rsidRPr="00395838">
              <w:t>72.7</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t>78.7</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742D25" w:rsidP="00742D25">
            <w:pPr>
              <w:keepNext/>
              <w:spacing w:after="0" w:line="240" w:lineRule="auto"/>
              <w:jc w:val="center"/>
              <w:rPr>
                <w:rFonts w:cstheme="minorHAnsi"/>
                <w:color w:val="000000"/>
              </w:rPr>
            </w:pPr>
            <w:r w:rsidRPr="00395838">
              <w:t>7</w:t>
            </w:r>
            <w:r w:rsidR="00395838">
              <w:t>0.9</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742D25" w:rsidP="00742D25">
            <w:pPr>
              <w:keepNext/>
              <w:spacing w:after="0" w:line="240" w:lineRule="auto"/>
              <w:jc w:val="center"/>
              <w:rPr>
                <w:rFonts w:cstheme="minorHAnsi"/>
                <w:color w:val="000000"/>
              </w:rPr>
            </w:pPr>
            <w:r w:rsidRPr="00395838">
              <w:t>75</w:t>
            </w:r>
            <w:r w:rsidR="001503E6">
              <w:t>.4</w:t>
            </w:r>
          </w:p>
        </w:tc>
      </w:tr>
      <w:tr w:rsidR="00742D25" w:rsidRPr="00B828B0" w:rsidTr="00742D25">
        <w:trPr>
          <w:trHeight w:val="315"/>
          <w:jc w:val="center"/>
        </w:trPr>
        <w:tc>
          <w:tcPr>
            <w:tcW w:w="879" w:type="pct"/>
            <w:vMerge/>
            <w:tcBorders>
              <w:left w:val="single" w:sz="8" w:space="0" w:color="auto"/>
              <w:right w:val="single" w:sz="8" w:space="0" w:color="auto"/>
            </w:tcBorders>
          </w:tcPr>
          <w:p w:rsidR="00742D25" w:rsidRPr="00657EAF" w:rsidRDefault="00742D25"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42D25" w:rsidRPr="00657EAF" w:rsidRDefault="00742D25" w:rsidP="00742D25">
            <w:pPr>
              <w:pStyle w:val="TableText"/>
              <w:spacing w:before="0" w:after="0" w:line="276" w:lineRule="auto"/>
              <w:rPr>
                <w:rFonts w:eastAsia="Times New Roman"/>
              </w:rPr>
            </w:pPr>
            <w:r w:rsidRPr="00657EAF">
              <w:t>August</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rsidRPr="00395838">
              <w:t>74.2</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395838" w:rsidP="00742D25">
            <w:pPr>
              <w:keepNext/>
              <w:spacing w:after="0" w:line="240" w:lineRule="auto"/>
              <w:jc w:val="center"/>
              <w:rPr>
                <w:rFonts w:cstheme="minorHAnsi"/>
                <w:color w:val="000000"/>
              </w:rPr>
            </w:pPr>
            <w:r>
              <w:t>78.7</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742D25" w:rsidP="00742D25">
            <w:pPr>
              <w:keepNext/>
              <w:spacing w:after="0" w:line="240" w:lineRule="auto"/>
              <w:jc w:val="center"/>
              <w:rPr>
                <w:rFonts w:cstheme="minorHAnsi"/>
                <w:color w:val="000000"/>
              </w:rPr>
            </w:pPr>
            <w:r w:rsidRPr="00395838">
              <w:t>7</w:t>
            </w:r>
            <w:r w:rsidR="00395838">
              <w:t>3.5</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742D25" w:rsidRPr="00E405B9" w:rsidRDefault="00742D25" w:rsidP="00742D25">
            <w:pPr>
              <w:keepNext/>
              <w:spacing w:after="0" w:line="240" w:lineRule="auto"/>
              <w:jc w:val="center"/>
              <w:rPr>
                <w:rFonts w:cstheme="minorHAnsi"/>
                <w:color w:val="000000"/>
              </w:rPr>
            </w:pPr>
            <w:r w:rsidRPr="00395838">
              <w:t>7</w:t>
            </w:r>
            <w:r w:rsidR="001503E6">
              <w:t>6.0</w:t>
            </w:r>
          </w:p>
        </w:tc>
      </w:tr>
      <w:tr w:rsidR="00395838" w:rsidRPr="00B828B0" w:rsidTr="00742D25">
        <w:trPr>
          <w:trHeight w:val="315"/>
          <w:jc w:val="center"/>
        </w:trPr>
        <w:tc>
          <w:tcPr>
            <w:tcW w:w="879" w:type="pct"/>
            <w:vMerge/>
            <w:tcBorders>
              <w:left w:val="single" w:sz="8" w:space="0" w:color="auto"/>
              <w:right w:val="single" w:sz="8" w:space="0" w:color="auto"/>
            </w:tcBorders>
          </w:tcPr>
          <w:p w:rsidR="00395838" w:rsidRPr="00657EAF" w:rsidRDefault="00395838"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95838" w:rsidRPr="00657EAF" w:rsidRDefault="00395838" w:rsidP="00742D25">
            <w:pPr>
              <w:pStyle w:val="TableText"/>
              <w:spacing w:before="0" w:after="0" w:line="276" w:lineRule="auto"/>
              <w:rPr>
                <w:rFonts w:eastAsia="Times New Roman"/>
              </w:rPr>
            </w:pPr>
            <w:r w:rsidRPr="00657EAF">
              <w:t>September</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75.0</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80.7</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73.6</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1503E6" w:rsidP="00742D25">
            <w:pPr>
              <w:keepNext/>
              <w:spacing w:after="0" w:line="240" w:lineRule="auto"/>
              <w:jc w:val="center"/>
              <w:rPr>
                <w:rFonts w:cstheme="minorHAnsi"/>
                <w:color w:val="000000"/>
              </w:rPr>
            </w:pPr>
            <w:r>
              <w:t>77.6</w:t>
            </w:r>
          </w:p>
        </w:tc>
      </w:tr>
      <w:tr w:rsidR="00395838" w:rsidRPr="00B828B0" w:rsidTr="00742D25">
        <w:trPr>
          <w:trHeight w:val="315"/>
          <w:jc w:val="center"/>
        </w:trPr>
        <w:tc>
          <w:tcPr>
            <w:tcW w:w="879" w:type="pct"/>
            <w:vMerge/>
            <w:tcBorders>
              <w:left w:val="single" w:sz="8" w:space="0" w:color="auto"/>
              <w:bottom w:val="single" w:sz="8" w:space="0" w:color="auto"/>
              <w:right w:val="single" w:sz="8" w:space="0" w:color="auto"/>
            </w:tcBorders>
          </w:tcPr>
          <w:p w:rsidR="00395838" w:rsidRPr="00657EAF" w:rsidRDefault="00395838"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95838" w:rsidRPr="00657EAF" w:rsidRDefault="00395838" w:rsidP="00742D25">
            <w:pPr>
              <w:pStyle w:val="TableText"/>
              <w:spacing w:before="0" w:after="0" w:line="276" w:lineRule="auto"/>
            </w:pPr>
            <w:r w:rsidRPr="00657EAF">
              <w:t>October</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70.0</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76.3</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68.0</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7</w:t>
            </w:r>
            <w:r w:rsidR="001503E6">
              <w:t>2.6</w:t>
            </w:r>
          </w:p>
        </w:tc>
      </w:tr>
      <w:tr w:rsidR="00395838" w:rsidRPr="00B828B0" w:rsidTr="00742D25">
        <w:trPr>
          <w:trHeight w:val="315"/>
          <w:jc w:val="center"/>
        </w:trPr>
        <w:tc>
          <w:tcPr>
            <w:tcW w:w="879" w:type="pct"/>
            <w:vMerge w:val="restart"/>
            <w:tcBorders>
              <w:top w:val="nil"/>
              <w:left w:val="single" w:sz="8" w:space="0" w:color="auto"/>
              <w:right w:val="single" w:sz="8" w:space="0" w:color="auto"/>
            </w:tcBorders>
            <w:vAlign w:val="center"/>
          </w:tcPr>
          <w:p w:rsidR="00395838" w:rsidRPr="00657EAF" w:rsidRDefault="00395838" w:rsidP="00742D25">
            <w:pPr>
              <w:pStyle w:val="TableText"/>
              <w:spacing w:before="0" w:after="0" w:line="276" w:lineRule="auto"/>
            </w:pPr>
            <w:r w:rsidRPr="00657EAF">
              <w:t>Average Weekday</w:t>
            </w: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95838" w:rsidRPr="00657EAF" w:rsidRDefault="00395838" w:rsidP="00742D25">
            <w:pPr>
              <w:pStyle w:val="TableText"/>
              <w:spacing w:before="0" w:after="0" w:line="276" w:lineRule="auto"/>
              <w:rPr>
                <w:rFonts w:eastAsia="Times New Roman"/>
              </w:rPr>
            </w:pPr>
            <w:r w:rsidRPr="00657EAF">
              <w:t>May</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61.6</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65.7</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w:t>
            </w:r>
            <w:r w:rsidR="001503E6">
              <w:t>2.1</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w:t>
            </w:r>
            <w:r w:rsidR="001503E6">
              <w:t>1.4</w:t>
            </w:r>
          </w:p>
        </w:tc>
      </w:tr>
      <w:tr w:rsidR="00395838" w:rsidRPr="00B828B0" w:rsidTr="00742D25">
        <w:trPr>
          <w:trHeight w:val="315"/>
          <w:jc w:val="center"/>
        </w:trPr>
        <w:tc>
          <w:tcPr>
            <w:tcW w:w="879" w:type="pct"/>
            <w:vMerge/>
            <w:tcBorders>
              <w:left w:val="single" w:sz="8" w:space="0" w:color="auto"/>
              <w:right w:val="single" w:sz="8" w:space="0" w:color="auto"/>
            </w:tcBorders>
          </w:tcPr>
          <w:p w:rsidR="00395838" w:rsidRPr="00657EAF" w:rsidRDefault="00395838"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95838" w:rsidRPr="00657EAF" w:rsidRDefault="00395838" w:rsidP="00742D25">
            <w:pPr>
              <w:pStyle w:val="TableText"/>
              <w:spacing w:before="0" w:after="0" w:line="276" w:lineRule="auto"/>
              <w:rPr>
                <w:rFonts w:eastAsia="Times New Roman"/>
              </w:rPr>
            </w:pPr>
            <w:r w:rsidRPr="00657EAF">
              <w:t>June</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63.7</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67.3</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w:t>
            </w:r>
            <w:r w:rsidR="001503E6">
              <w:t>3.5</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w:t>
            </w:r>
            <w:r w:rsidR="001503E6">
              <w:t>5.6</w:t>
            </w:r>
          </w:p>
        </w:tc>
      </w:tr>
      <w:tr w:rsidR="00395838" w:rsidRPr="00B828B0" w:rsidTr="00742D25">
        <w:trPr>
          <w:trHeight w:val="315"/>
          <w:jc w:val="center"/>
        </w:trPr>
        <w:tc>
          <w:tcPr>
            <w:tcW w:w="879" w:type="pct"/>
            <w:vMerge/>
            <w:tcBorders>
              <w:left w:val="single" w:sz="8" w:space="0" w:color="auto"/>
              <w:right w:val="single" w:sz="8" w:space="0" w:color="auto"/>
            </w:tcBorders>
          </w:tcPr>
          <w:p w:rsidR="00395838" w:rsidRPr="00657EAF" w:rsidRDefault="00395838"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95838" w:rsidRPr="00657EAF" w:rsidRDefault="00395838" w:rsidP="00742D25">
            <w:pPr>
              <w:pStyle w:val="TableText"/>
              <w:spacing w:before="0" w:after="0" w:line="276" w:lineRule="auto"/>
              <w:rPr>
                <w:rFonts w:eastAsia="Times New Roman"/>
              </w:rPr>
            </w:pPr>
            <w:r w:rsidRPr="00657EAF">
              <w:t>July</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67.4</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69.2</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70.</w:t>
            </w:r>
            <w:r w:rsidR="001503E6">
              <w:t>5</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1503E6" w:rsidP="00742D25">
            <w:pPr>
              <w:keepNext/>
              <w:spacing w:after="0" w:line="240" w:lineRule="auto"/>
              <w:jc w:val="center"/>
              <w:rPr>
                <w:rFonts w:cstheme="minorHAnsi"/>
                <w:color w:val="000000"/>
              </w:rPr>
            </w:pPr>
            <w:r>
              <w:t>68.2</w:t>
            </w:r>
          </w:p>
        </w:tc>
      </w:tr>
      <w:tr w:rsidR="00395838" w:rsidRPr="00B828B0" w:rsidTr="00742D25">
        <w:trPr>
          <w:trHeight w:val="315"/>
          <w:jc w:val="center"/>
        </w:trPr>
        <w:tc>
          <w:tcPr>
            <w:tcW w:w="879" w:type="pct"/>
            <w:vMerge/>
            <w:tcBorders>
              <w:left w:val="single" w:sz="8" w:space="0" w:color="auto"/>
              <w:right w:val="single" w:sz="8" w:space="0" w:color="auto"/>
            </w:tcBorders>
          </w:tcPr>
          <w:p w:rsidR="00395838" w:rsidRPr="00657EAF" w:rsidRDefault="00395838"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95838" w:rsidRPr="00657EAF" w:rsidRDefault="00395838" w:rsidP="00742D25">
            <w:pPr>
              <w:pStyle w:val="TableText"/>
              <w:spacing w:before="0" w:after="0" w:line="276" w:lineRule="auto"/>
              <w:rPr>
                <w:rFonts w:eastAsia="Times New Roman"/>
              </w:rPr>
            </w:pPr>
            <w:r w:rsidRPr="00657EAF">
              <w:t>August</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68.5</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70.3</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1503E6" w:rsidP="00742D25">
            <w:pPr>
              <w:keepNext/>
              <w:spacing w:after="0" w:line="240" w:lineRule="auto"/>
              <w:jc w:val="center"/>
              <w:rPr>
                <w:rFonts w:cstheme="minorHAnsi"/>
                <w:color w:val="000000"/>
              </w:rPr>
            </w:pPr>
            <w:r>
              <w:t>67.6</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1503E6" w:rsidP="00742D25">
            <w:pPr>
              <w:keepNext/>
              <w:spacing w:after="0" w:line="240" w:lineRule="auto"/>
              <w:jc w:val="center"/>
              <w:rPr>
                <w:rFonts w:cstheme="minorHAnsi"/>
                <w:color w:val="000000"/>
              </w:rPr>
            </w:pPr>
            <w:r>
              <w:t>69.5</w:t>
            </w:r>
          </w:p>
        </w:tc>
      </w:tr>
      <w:tr w:rsidR="00395838" w:rsidRPr="00B828B0" w:rsidTr="00742D25">
        <w:trPr>
          <w:trHeight w:val="315"/>
          <w:jc w:val="center"/>
        </w:trPr>
        <w:tc>
          <w:tcPr>
            <w:tcW w:w="879" w:type="pct"/>
            <w:vMerge/>
            <w:tcBorders>
              <w:left w:val="single" w:sz="8" w:space="0" w:color="auto"/>
              <w:right w:val="single" w:sz="8" w:space="0" w:color="auto"/>
            </w:tcBorders>
          </w:tcPr>
          <w:p w:rsidR="00395838" w:rsidRPr="00657EAF" w:rsidRDefault="00395838"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95838" w:rsidRPr="00657EAF" w:rsidRDefault="00395838" w:rsidP="00742D25">
            <w:pPr>
              <w:pStyle w:val="TableText"/>
              <w:spacing w:before="0" w:after="0" w:line="276" w:lineRule="auto"/>
              <w:rPr>
                <w:rFonts w:eastAsia="Times New Roman"/>
              </w:rPr>
            </w:pPr>
            <w:r w:rsidRPr="00657EAF">
              <w:t>September</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67.1</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70.4</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1503E6" w:rsidP="00742D25">
            <w:pPr>
              <w:keepNext/>
              <w:spacing w:after="0" w:line="240" w:lineRule="auto"/>
              <w:jc w:val="center"/>
              <w:rPr>
                <w:rFonts w:cstheme="minorHAnsi"/>
                <w:color w:val="000000"/>
              </w:rPr>
            </w:pPr>
            <w:r>
              <w:t>67.8</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1503E6" w:rsidP="00742D25">
            <w:pPr>
              <w:keepNext/>
              <w:spacing w:after="0" w:line="240" w:lineRule="auto"/>
              <w:jc w:val="center"/>
              <w:rPr>
                <w:rFonts w:cstheme="minorHAnsi"/>
                <w:color w:val="000000"/>
              </w:rPr>
            </w:pPr>
            <w:r>
              <w:t>69.8</w:t>
            </w:r>
          </w:p>
        </w:tc>
      </w:tr>
      <w:tr w:rsidR="00395838" w:rsidRPr="00B828B0" w:rsidTr="00742D25">
        <w:trPr>
          <w:trHeight w:val="315"/>
          <w:jc w:val="center"/>
        </w:trPr>
        <w:tc>
          <w:tcPr>
            <w:tcW w:w="879" w:type="pct"/>
            <w:vMerge/>
            <w:tcBorders>
              <w:left w:val="single" w:sz="8" w:space="0" w:color="auto"/>
              <w:bottom w:val="single" w:sz="8" w:space="0" w:color="auto"/>
              <w:right w:val="single" w:sz="8" w:space="0" w:color="auto"/>
            </w:tcBorders>
          </w:tcPr>
          <w:p w:rsidR="00395838" w:rsidRPr="00657EAF" w:rsidRDefault="00395838" w:rsidP="00742D25">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95838" w:rsidRPr="00657EAF" w:rsidRDefault="00395838" w:rsidP="00742D25">
            <w:pPr>
              <w:pStyle w:val="TableText"/>
              <w:spacing w:before="0" w:after="0" w:line="276" w:lineRule="auto"/>
            </w:pPr>
            <w:r w:rsidRPr="00657EAF">
              <w:t>October</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63.2</w:t>
            </w:r>
          </w:p>
        </w:tc>
        <w:tc>
          <w:tcPr>
            <w:tcW w:w="856"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t>66.0</w:t>
            </w:r>
          </w:p>
        </w:tc>
        <w:tc>
          <w:tcPr>
            <w:tcW w:w="855"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w:t>
            </w:r>
            <w:r w:rsidR="001503E6">
              <w:t>3.1</w:t>
            </w:r>
          </w:p>
        </w:tc>
        <w:tc>
          <w:tcPr>
            <w:tcW w:w="854" w:type="pct"/>
            <w:tcBorders>
              <w:top w:val="nil"/>
              <w:left w:val="nil"/>
              <w:bottom w:val="single" w:sz="8" w:space="0" w:color="auto"/>
              <w:right w:val="single" w:sz="8" w:space="0" w:color="auto"/>
            </w:tcBorders>
            <w:tcMar>
              <w:top w:w="0" w:type="dxa"/>
              <w:left w:w="108" w:type="dxa"/>
              <w:bottom w:w="0" w:type="dxa"/>
              <w:right w:w="108" w:type="dxa"/>
            </w:tcMar>
          </w:tcPr>
          <w:p w:rsidR="00395838" w:rsidRPr="00E405B9" w:rsidRDefault="00395838" w:rsidP="00742D25">
            <w:pPr>
              <w:keepNext/>
              <w:spacing w:after="0" w:line="240" w:lineRule="auto"/>
              <w:jc w:val="center"/>
              <w:rPr>
                <w:rFonts w:cstheme="minorHAnsi"/>
                <w:color w:val="000000"/>
              </w:rPr>
            </w:pPr>
            <w:r w:rsidRPr="00395838">
              <w:t>6</w:t>
            </w:r>
            <w:r w:rsidR="001503E6">
              <w:t>5.5</w:t>
            </w:r>
          </w:p>
        </w:tc>
      </w:tr>
    </w:tbl>
    <w:p w:rsidR="00742D25" w:rsidRDefault="00742D25" w:rsidP="00F1237C">
      <w:pPr>
        <w:pStyle w:val="Caption"/>
      </w:pPr>
    </w:p>
    <w:p w:rsidR="00F1237C" w:rsidRPr="00570C8A" w:rsidRDefault="00F1237C" w:rsidP="00F1237C">
      <w:pPr>
        <w:pStyle w:val="Caption"/>
      </w:pPr>
      <w:r w:rsidRPr="00570C8A">
        <w:t xml:space="preserve">Table </w:t>
      </w:r>
      <w:fldSimple w:instr=" STYLEREF 1 \s ">
        <w:r w:rsidR="001F391A">
          <w:rPr>
            <w:noProof/>
          </w:rPr>
          <w:t>4</w:t>
        </w:r>
      </w:fldSimple>
      <w:r w:rsidR="008139B9">
        <w:noBreakHyphen/>
      </w:r>
      <w:fldSimple w:instr=" SEQ Table \* ARABIC \s 1 ">
        <w:r w:rsidR="001F391A">
          <w:rPr>
            <w:noProof/>
          </w:rPr>
          <w:t>4</w:t>
        </w:r>
      </w:fldSimple>
      <w:bookmarkEnd w:id="56"/>
      <w:r w:rsidRPr="00570C8A">
        <w:t xml:space="preserve">: </w:t>
      </w:r>
      <w:r w:rsidR="00742D25">
        <w:t xml:space="preserve">2017 </w:t>
      </w:r>
      <w:r w:rsidRPr="00570C8A">
        <w:t>SDG&amp;E Enrollment Weighted Ex Ante Weather Values (mean17)</w:t>
      </w:r>
    </w:p>
    <w:tbl>
      <w:tblPr>
        <w:tblW w:w="4508" w:type="pct"/>
        <w:jc w:val="center"/>
        <w:tblInd w:w="254" w:type="dxa"/>
        <w:tblCellMar>
          <w:left w:w="0" w:type="dxa"/>
          <w:right w:w="0" w:type="dxa"/>
        </w:tblCellMar>
        <w:tblLook w:val="04A0" w:firstRow="1" w:lastRow="0" w:firstColumn="1" w:lastColumn="0" w:noHBand="0" w:noVBand="1"/>
      </w:tblPr>
      <w:tblGrid>
        <w:gridCol w:w="1502"/>
        <w:gridCol w:w="1196"/>
        <w:gridCol w:w="1461"/>
        <w:gridCol w:w="1462"/>
        <w:gridCol w:w="1461"/>
        <w:gridCol w:w="1459"/>
      </w:tblGrid>
      <w:tr w:rsidR="00F1237C" w:rsidRPr="00B828B0" w:rsidTr="00E84283">
        <w:trPr>
          <w:trHeight w:val="278"/>
          <w:tblHeader/>
          <w:jc w:val="center"/>
        </w:trPr>
        <w:tc>
          <w:tcPr>
            <w:tcW w:w="1579" w:type="pct"/>
            <w:gridSpan w:val="2"/>
            <w:vMerge w:val="restart"/>
            <w:tcBorders>
              <w:top w:val="single" w:sz="4" w:space="0" w:color="auto"/>
              <w:left w:val="single" w:sz="4" w:space="0" w:color="auto"/>
              <w:right w:val="single" w:sz="8" w:space="0" w:color="FFFFFF"/>
            </w:tcBorders>
            <w:shd w:val="clear" w:color="auto" w:fill="0070CD"/>
            <w:vAlign w:val="center"/>
          </w:tcPr>
          <w:p w:rsidR="00F1237C" w:rsidRPr="00657EAF" w:rsidRDefault="00F1237C" w:rsidP="0058471F">
            <w:pPr>
              <w:pStyle w:val="TableHeader"/>
              <w:rPr>
                <w:rFonts w:eastAsia="Times New Roman"/>
              </w:rPr>
            </w:pPr>
            <w:r w:rsidRPr="00657EAF">
              <w:t>Day Type</w:t>
            </w:r>
          </w:p>
        </w:tc>
        <w:tc>
          <w:tcPr>
            <w:tcW w:w="1711" w:type="pct"/>
            <w:gridSpan w:val="2"/>
            <w:tcBorders>
              <w:top w:val="single" w:sz="4" w:space="0" w:color="auto"/>
              <w:left w:val="nil"/>
              <w:bottom w:val="single" w:sz="8" w:space="0" w:color="FFFFFF"/>
              <w:right w:val="single" w:sz="8" w:space="0" w:color="FFFFFF"/>
            </w:tcBorders>
            <w:shd w:val="clear" w:color="auto" w:fill="0070CD"/>
            <w:tcMar>
              <w:top w:w="0" w:type="dxa"/>
              <w:left w:w="108" w:type="dxa"/>
              <w:bottom w:w="0" w:type="dxa"/>
              <w:right w:w="108" w:type="dxa"/>
            </w:tcMar>
            <w:vAlign w:val="center"/>
            <w:hideMark/>
          </w:tcPr>
          <w:p w:rsidR="00F1237C" w:rsidRPr="00657EAF" w:rsidRDefault="00F1237C" w:rsidP="0058471F">
            <w:pPr>
              <w:pStyle w:val="TableHeader"/>
              <w:rPr>
                <w:rFonts w:eastAsia="Times New Roman"/>
              </w:rPr>
            </w:pPr>
            <w:r w:rsidRPr="00657EAF">
              <w:t>SDG&amp;E Based Weather</w:t>
            </w:r>
          </w:p>
        </w:tc>
        <w:tc>
          <w:tcPr>
            <w:tcW w:w="1709" w:type="pct"/>
            <w:gridSpan w:val="2"/>
            <w:tcBorders>
              <w:top w:val="single" w:sz="4" w:space="0" w:color="auto"/>
              <w:left w:val="nil"/>
              <w:bottom w:val="single" w:sz="8" w:space="0" w:color="FFFFFF"/>
              <w:right w:val="single" w:sz="4" w:space="0" w:color="auto"/>
            </w:tcBorders>
            <w:shd w:val="clear" w:color="auto" w:fill="0070CD"/>
            <w:tcMar>
              <w:top w:w="0" w:type="dxa"/>
              <w:left w:w="108" w:type="dxa"/>
              <w:bottom w:w="0" w:type="dxa"/>
              <w:right w:w="108" w:type="dxa"/>
            </w:tcMar>
            <w:vAlign w:val="center"/>
            <w:hideMark/>
          </w:tcPr>
          <w:p w:rsidR="00F1237C" w:rsidRPr="00657EAF" w:rsidRDefault="00F1237C" w:rsidP="0058471F">
            <w:pPr>
              <w:pStyle w:val="TableHeader"/>
              <w:rPr>
                <w:rFonts w:eastAsia="Times New Roman"/>
              </w:rPr>
            </w:pPr>
            <w:r w:rsidRPr="00657EAF">
              <w:t>CAISO Based Weather</w:t>
            </w:r>
          </w:p>
        </w:tc>
      </w:tr>
      <w:tr w:rsidR="00F1237C" w:rsidRPr="00B828B0" w:rsidTr="00E84283">
        <w:trPr>
          <w:trHeight w:val="278"/>
          <w:tblHeader/>
          <w:jc w:val="center"/>
        </w:trPr>
        <w:tc>
          <w:tcPr>
            <w:tcW w:w="1579" w:type="pct"/>
            <w:gridSpan w:val="2"/>
            <w:vMerge/>
            <w:tcBorders>
              <w:left w:val="single" w:sz="4" w:space="0" w:color="auto"/>
              <w:bottom w:val="single" w:sz="4" w:space="0" w:color="auto"/>
              <w:right w:val="single" w:sz="8" w:space="0" w:color="FFFFFF"/>
            </w:tcBorders>
            <w:shd w:val="clear" w:color="auto" w:fill="0070CD"/>
          </w:tcPr>
          <w:p w:rsidR="00F1237C" w:rsidRPr="00657EAF" w:rsidRDefault="00F1237C" w:rsidP="0058471F">
            <w:pPr>
              <w:pStyle w:val="TableHeader"/>
              <w:rPr>
                <w:rFonts w:ascii="Calibri" w:eastAsiaTheme="minorHAnsi" w:hAnsi="Calibri"/>
                <w:bCs/>
                <w:color w:val="FFFFFF"/>
                <w:szCs w:val="20"/>
              </w:rPr>
            </w:pPr>
          </w:p>
        </w:tc>
        <w:tc>
          <w:tcPr>
            <w:tcW w:w="855"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F1237C" w:rsidRPr="00657EAF" w:rsidRDefault="00F1237C" w:rsidP="0058471F">
            <w:pPr>
              <w:pStyle w:val="TableHeader"/>
              <w:rPr>
                <w:rFonts w:eastAsia="Times New Roman"/>
              </w:rPr>
            </w:pPr>
            <w:r w:rsidRPr="00657EAF">
              <w:t>1-in-2</w:t>
            </w:r>
          </w:p>
        </w:tc>
        <w:tc>
          <w:tcPr>
            <w:tcW w:w="856"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F1237C" w:rsidRPr="00657EAF" w:rsidRDefault="00F1237C" w:rsidP="0058471F">
            <w:pPr>
              <w:pStyle w:val="TableHeader"/>
              <w:rPr>
                <w:rFonts w:eastAsia="Times New Roman"/>
              </w:rPr>
            </w:pPr>
            <w:r w:rsidRPr="00657EAF">
              <w:t>1-in-10</w:t>
            </w:r>
          </w:p>
        </w:tc>
        <w:tc>
          <w:tcPr>
            <w:tcW w:w="855"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F1237C" w:rsidRPr="00657EAF" w:rsidRDefault="00F1237C" w:rsidP="0058471F">
            <w:pPr>
              <w:pStyle w:val="TableHeader"/>
              <w:rPr>
                <w:rFonts w:eastAsia="Times New Roman"/>
              </w:rPr>
            </w:pPr>
            <w:r w:rsidRPr="00657EAF">
              <w:t>1-in-2</w:t>
            </w:r>
          </w:p>
        </w:tc>
        <w:tc>
          <w:tcPr>
            <w:tcW w:w="854" w:type="pct"/>
            <w:tcBorders>
              <w:top w:val="nil"/>
              <w:left w:val="nil"/>
              <w:bottom w:val="single" w:sz="4" w:space="0" w:color="auto"/>
              <w:right w:val="single" w:sz="4" w:space="0" w:color="auto"/>
            </w:tcBorders>
            <w:shd w:val="clear" w:color="auto" w:fill="0070CD"/>
            <w:tcMar>
              <w:top w:w="0" w:type="dxa"/>
              <w:left w:w="108" w:type="dxa"/>
              <w:bottom w:w="0" w:type="dxa"/>
              <w:right w:w="108" w:type="dxa"/>
            </w:tcMar>
            <w:vAlign w:val="center"/>
            <w:hideMark/>
          </w:tcPr>
          <w:p w:rsidR="00F1237C" w:rsidRPr="00657EAF" w:rsidRDefault="00F1237C" w:rsidP="0058471F">
            <w:pPr>
              <w:pStyle w:val="TableHeader"/>
              <w:rPr>
                <w:rFonts w:eastAsia="Times New Roman"/>
              </w:rPr>
            </w:pPr>
            <w:r w:rsidRPr="00657EAF">
              <w:t>1-in-10</w:t>
            </w:r>
          </w:p>
        </w:tc>
      </w:tr>
      <w:tr w:rsidR="00F1237C" w:rsidRPr="00B828B0" w:rsidTr="00E84283">
        <w:trPr>
          <w:trHeight w:val="315"/>
          <w:jc w:val="center"/>
        </w:trPr>
        <w:tc>
          <w:tcPr>
            <w:tcW w:w="1579" w:type="pct"/>
            <w:gridSpan w:val="2"/>
            <w:tcBorders>
              <w:top w:val="single" w:sz="4" w:space="0" w:color="auto"/>
              <w:left w:val="single" w:sz="8" w:space="0" w:color="auto"/>
              <w:bottom w:val="single" w:sz="8" w:space="0" w:color="auto"/>
              <w:right w:val="single" w:sz="8" w:space="0" w:color="auto"/>
            </w:tcBorders>
          </w:tcPr>
          <w:p w:rsidR="00F1237C" w:rsidRPr="00657EAF" w:rsidRDefault="00F1237C" w:rsidP="0058471F">
            <w:pPr>
              <w:pStyle w:val="TableText"/>
            </w:pPr>
            <w:r w:rsidRPr="00657EAF">
              <w:t>Typical Event Day</w:t>
            </w:r>
          </w:p>
        </w:tc>
        <w:tc>
          <w:tcPr>
            <w:tcW w:w="855"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F1237C" w:rsidRPr="00CB5FC7" w:rsidRDefault="00F1237C" w:rsidP="0058471F">
            <w:pPr>
              <w:pStyle w:val="TableText"/>
              <w:spacing w:before="0" w:after="0"/>
              <w:rPr>
                <w:rFonts w:asciiTheme="minorHAnsi" w:hAnsiTheme="minorHAnsi" w:cstheme="minorHAnsi"/>
                <w:szCs w:val="20"/>
              </w:rPr>
            </w:pPr>
            <w:r w:rsidRPr="00CB5FC7">
              <w:rPr>
                <w:rFonts w:asciiTheme="minorHAnsi" w:hAnsiTheme="minorHAnsi" w:cstheme="minorHAnsi"/>
                <w:szCs w:val="20"/>
              </w:rPr>
              <w:t>7</w:t>
            </w:r>
            <w:r w:rsidR="00E84283">
              <w:rPr>
                <w:rFonts w:asciiTheme="minorHAnsi" w:hAnsiTheme="minorHAnsi" w:cstheme="minorHAnsi"/>
                <w:szCs w:val="20"/>
              </w:rPr>
              <w:t>5.7</w:t>
            </w:r>
          </w:p>
        </w:tc>
        <w:tc>
          <w:tcPr>
            <w:tcW w:w="856"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F1237C" w:rsidRPr="00CB5FC7" w:rsidRDefault="00F1237C" w:rsidP="0058471F">
            <w:pPr>
              <w:spacing w:after="0"/>
              <w:jc w:val="center"/>
              <w:rPr>
                <w:rFonts w:cstheme="minorHAnsi"/>
                <w:color w:val="000000"/>
                <w:sz w:val="20"/>
                <w:szCs w:val="20"/>
              </w:rPr>
            </w:pPr>
            <w:r w:rsidRPr="00CB5FC7">
              <w:rPr>
                <w:rFonts w:cstheme="minorHAnsi"/>
                <w:color w:val="000000"/>
                <w:sz w:val="20"/>
                <w:szCs w:val="20"/>
              </w:rPr>
              <w:t>79.</w:t>
            </w:r>
            <w:r w:rsidR="00E84283">
              <w:rPr>
                <w:rFonts w:cstheme="minorHAnsi"/>
                <w:color w:val="000000"/>
                <w:sz w:val="20"/>
                <w:szCs w:val="20"/>
              </w:rPr>
              <w:t>8</w:t>
            </w:r>
          </w:p>
        </w:tc>
        <w:tc>
          <w:tcPr>
            <w:tcW w:w="855"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F1237C" w:rsidRPr="00CB5FC7" w:rsidRDefault="00F1237C" w:rsidP="0058471F">
            <w:pPr>
              <w:spacing w:after="0"/>
              <w:jc w:val="center"/>
              <w:rPr>
                <w:rFonts w:cstheme="minorHAnsi"/>
                <w:color w:val="000000"/>
                <w:sz w:val="20"/>
                <w:szCs w:val="20"/>
              </w:rPr>
            </w:pPr>
            <w:r w:rsidRPr="00CB5FC7">
              <w:rPr>
                <w:rFonts w:cstheme="minorHAnsi"/>
                <w:color w:val="000000"/>
                <w:sz w:val="20"/>
                <w:szCs w:val="20"/>
              </w:rPr>
              <w:t>7</w:t>
            </w:r>
            <w:r w:rsidR="00E84283">
              <w:rPr>
                <w:rFonts w:cstheme="minorHAnsi"/>
                <w:color w:val="000000"/>
                <w:sz w:val="20"/>
                <w:szCs w:val="20"/>
              </w:rPr>
              <w:t>5.1</w:t>
            </w:r>
          </w:p>
        </w:tc>
        <w:tc>
          <w:tcPr>
            <w:tcW w:w="854"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F1237C" w:rsidRPr="00CB5FC7" w:rsidRDefault="00F1237C" w:rsidP="0058471F">
            <w:pPr>
              <w:spacing w:after="0"/>
              <w:jc w:val="center"/>
              <w:rPr>
                <w:rFonts w:cstheme="minorHAnsi"/>
                <w:color w:val="000000"/>
                <w:sz w:val="20"/>
                <w:szCs w:val="20"/>
              </w:rPr>
            </w:pPr>
            <w:r w:rsidRPr="00CB5FC7">
              <w:rPr>
                <w:rFonts w:cstheme="minorHAnsi"/>
                <w:color w:val="000000"/>
                <w:sz w:val="20"/>
                <w:szCs w:val="20"/>
              </w:rPr>
              <w:t>7</w:t>
            </w:r>
            <w:r w:rsidR="00E84283">
              <w:rPr>
                <w:rFonts w:cstheme="minorHAnsi"/>
                <w:color w:val="000000"/>
                <w:sz w:val="20"/>
                <w:szCs w:val="20"/>
              </w:rPr>
              <w:t>8.8</w:t>
            </w:r>
          </w:p>
        </w:tc>
      </w:tr>
      <w:tr w:rsidR="00E84283" w:rsidRPr="00B828B0" w:rsidTr="00E405B9">
        <w:trPr>
          <w:trHeight w:val="315"/>
          <w:jc w:val="center"/>
        </w:trPr>
        <w:tc>
          <w:tcPr>
            <w:tcW w:w="879" w:type="pct"/>
            <w:vMerge w:val="restart"/>
            <w:tcBorders>
              <w:top w:val="nil"/>
              <w:left w:val="single" w:sz="8" w:space="0" w:color="auto"/>
              <w:right w:val="single" w:sz="8" w:space="0" w:color="auto"/>
            </w:tcBorders>
            <w:vAlign w:val="center"/>
          </w:tcPr>
          <w:p w:rsidR="00E84283" w:rsidRPr="00657EAF" w:rsidRDefault="00E84283" w:rsidP="0058471F">
            <w:pPr>
              <w:pStyle w:val="TableText"/>
              <w:spacing w:before="0" w:after="0" w:line="276" w:lineRule="auto"/>
            </w:pPr>
            <w:r w:rsidRPr="00657EAF">
              <w:t>Peak Day</w:t>
            </w: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E84283" w:rsidRPr="00657EAF" w:rsidRDefault="00E84283" w:rsidP="0058471F">
            <w:pPr>
              <w:pStyle w:val="TableText"/>
              <w:spacing w:before="0" w:after="0" w:line="276" w:lineRule="auto"/>
              <w:rPr>
                <w:rFonts w:eastAsia="Times New Roman"/>
              </w:rPr>
            </w:pPr>
            <w:r w:rsidRPr="00657EAF">
              <w:t>May</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69.7</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77.0</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66.7</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75.6</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E84283" w:rsidRPr="00657EAF" w:rsidRDefault="00E84283" w:rsidP="0058471F">
            <w:pPr>
              <w:pStyle w:val="TableText"/>
              <w:spacing w:before="0" w:after="0" w:line="276" w:lineRule="auto"/>
              <w:rPr>
                <w:rFonts w:eastAsia="Times New Roman"/>
              </w:rPr>
            </w:pPr>
            <w:r w:rsidRPr="00657EAF">
              <w:t>June</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67.5</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77.2</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67.3</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79.7</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E84283" w:rsidRPr="00657EAF" w:rsidRDefault="00E84283" w:rsidP="0058471F">
            <w:pPr>
              <w:pStyle w:val="TableText"/>
              <w:spacing w:before="0" w:after="0" w:line="276" w:lineRule="auto"/>
              <w:rPr>
                <w:rFonts w:eastAsia="Times New Roman"/>
              </w:rPr>
            </w:pPr>
            <w:r w:rsidRPr="00657EAF">
              <w:t>July</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75.0</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76.6</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72.0</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75.6</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E84283" w:rsidRPr="00657EAF" w:rsidRDefault="00E84283" w:rsidP="0058471F">
            <w:pPr>
              <w:pStyle w:val="TableText"/>
              <w:spacing w:before="0" w:after="0" w:line="276" w:lineRule="auto"/>
              <w:rPr>
                <w:rFonts w:eastAsia="Times New Roman"/>
              </w:rPr>
            </w:pPr>
            <w:r w:rsidRPr="00657EAF">
              <w:t>August</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78.0</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81.1</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79.3</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78.5</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E84283" w:rsidRPr="00657EAF" w:rsidRDefault="00E84283" w:rsidP="0058471F">
            <w:pPr>
              <w:pStyle w:val="TableText"/>
              <w:spacing w:before="0" w:after="0" w:line="276" w:lineRule="auto"/>
              <w:rPr>
                <w:rFonts w:eastAsia="Times New Roman"/>
              </w:rPr>
            </w:pPr>
            <w:r w:rsidRPr="00657EAF">
              <w:t>September</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82.2</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84.0</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81.9</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81.4</w:t>
            </w:r>
          </w:p>
        </w:tc>
      </w:tr>
      <w:tr w:rsidR="00E84283" w:rsidRPr="00B828B0" w:rsidTr="00E405B9">
        <w:trPr>
          <w:trHeight w:val="315"/>
          <w:jc w:val="center"/>
        </w:trPr>
        <w:tc>
          <w:tcPr>
            <w:tcW w:w="879" w:type="pct"/>
            <w:vMerge/>
            <w:tcBorders>
              <w:left w:val="single" w:sz="8" w:space="0" w:color="auto"/>
              <w:bottom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E84283" w:rsidRPr="00657EAF" w:rsidRDefault="00E84283" w:rsidP="0058471F">
            <w:pPr>
              <w:pStyle w:val="TableText"/>
              <w:spacing w:before="0" w:after="0" w:line="276" w:lineRule="auto"/>
            </w:pPr>
            <w:r w:rsidRPr="00657EAF">
              <w:t>October</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74.9</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78.7</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72.4</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77.9</w:t>
            </w:r>
          </w:p>
        </w:tc>
      </w:tr>
      <w:tr w:rsidR="00E84283" w:rsidRPr="00B828B0" w:rsidTr="00E405B9">
        <w:trPr>
          <w:trHeight w:val="315"/>
          <w:jc w:val="center"/>
        </w:trPr>
        <w:tc>
          <w:tcPr>
            <w:tcW w:w="879" w:type="pct"/>
            <w:vMerge w:val="restart"/>
            <w:tcBorders>
              <w:top w:val="nil"/>
              <w:left w:val="single" w:sz="8" w:space="0" w:color="auto"/>
              <w:right w:val="single" w:sz="8" w:space="0" w:color="auto"/>
            </w:tcBorders>
            <w:vAlign w:val="center"/>
          </w:tcPr>
          <w:p w:rsidR="00E84283" w:rsidRPr="00657EAF" w:rsidRDefault="00E84283" w:rsidP="0058471F">
            <w:pPr>
              <w:pStyle w:val="TableText"/>
              <w:spacing w:before="0" w:after="0" w:line="276" w:lineRule="auto"/>
            </w:pPr>
            <w:r w:rsidRPr="00657EAF">
              <w:t>Average Weekday</w:t>
            </w: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E84283" w:rsidRPr="00657EAF" w:rsidRDefault="00E84283" w:rsidP="0058471F">
            <w:pPr>
              <w:pStyle w:val="TableText"/>
              <w:spacing w:before="0" w:after="0" w:line="276" w:lineRule="auto"/>
              <w:rPr>
                <w:rFonts w:eastAsia="Times New Roman"/>
              </w:rPr>
            </w:pPr>
            <w:r w:rsidRPr="00657EAF">
              <w:t>May</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62.8</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65.0</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63.5</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63.5</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E84283" w:rsidRPr="00657EAF" w:rsidRDefault="00E84283" w:rsidP="0058471F">
            <w:pPr>
              <w:pStyle w:val="TableText"/>
              <w:spacing w:before="0" w:after="0" w:line="276" w:lineRule="auto"/>
              <w:rPr>
                <w:rFonts w:eastAsia="Times New Roman"/>
              </w:rPr>
            </w:pPr>
            <w:r w:rsidRPr="00657EAF">
              <w:t>June</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64.9</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68.6</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64.6</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68.6</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E84283" w:rsidRPr="00657EAF" w:rsidRDefault="00E84283" w:rsidP="0058471F">
            <w:pPr>
              <w:pStyle w:val="TableText"/>
              <w:spacing w:before="0" w:after="0" w:line="276" w:lineRule="auto"/>
              <w:rPr>
                <w:rFonts w:eastAsia="Times New Roman"/>
              </w:rPr>
            </w:pPr>
            <w:r w:rsidRPr="00657EAF">
              <w:t>July</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69.5</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72.15</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70.6</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72.2</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E84283" w:rsidRPr="00657EAF" w:rsidRDefault="00E84283" w:rsidP="0058471F">
            <w:pPr>
              <w:pStyle w:val="TableText"/>
              <w:spacing w:before="0" w:after="0" w:line="276" w:lineRule="auto"/>
              <w:rPr>
                <w:rFonts w:eastAsia="Times New Roman"/>
              </w:rPr>
            </w:pPr>
            <w:r w:rsidRPr="00657EAF">
              <w:t>August</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71.9</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74.0</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73.0</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74.0</w:t>
            </w:r>
          </w:p>
        </w:tc>
      </w:tr>
      <w:tr w:rsidR="00E84283" w:rsidRPr="00B828B0" w:rsidTr="00E405B9">
        <w:trPr>
          <w:trHeight w:val="315"/>
          <w:jc w:val="center"/>
        </w:trPr>
        <w:tc>
          <w:tcPr>
            <w:tcW w:w="879" w:type="pct"/>
            <w:vMerge/>
            <w:tcBorders>
              <w:left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E84283" w:rsidRPr="00657EAF" w:rsidRDefault="00E84283" w:rsidP="0058471F">
            <w:pPr>
              <w:pStyle w:val="TableText"/>
              <w:spacing w:before="0" w:after="0" w:line="276" w:lineRule="auto"/>
              <w:rPr>
                <w:rFonts w:eastAsia="Times New Roman"/>
              </w:rPr>
            </w:pPr>
            <w:r w:rsidRPr="00657EAF">
              <w:t>September</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70.4</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74.9</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70.4</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74.9</w:t>
            </w:r>
          </w:p>
        </w:tc>
      </w:tr>
      <w:tr w:rsidR="00E84283" w:rsidRPr="00B828B0" w:rsidTr="00E405B9">
        <w:trPr>
          <w:trHeight w:val="315"/>
          <w:jc w:val="center"/>
        </w:trPr>
        <w:tc>
          <w:tcPr>
            <w:tcW w:w="879" w:type="pct"/>
            <w:vMerge/>
            <w:tcBorders>
              <w:left w:val="single" w:sz="8" w:space="0" w:color="auto"/>
              <w:bottom w:val="single" w:sz="8" w:space="0" w:color="auto"/>
              <w:right w:val="single" w:sz="8" w:space="0" w:color="auto"/>
            </w:tcBorders>
          </w:tcPr>
          <w:p w:rsidR="00E84283" w:rsidRPr="00657EAF" w:rsidRDefault="00E84283" w:rsidP="0058471F">
            <w:pPr>
              <w:pStyle w:val="TableText"/>
              <w:spacing w:before="0" w:after="0" w:line="276" w:lineRule="auto"/>
            </w:pPr>
          </w:p>
        </w:tc>
        <w:tc>
          <w:tcPr>
            <w:tcW w:w="70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E84283" w:rsidRPr="00657EAF" w:rsidRDefault="00E84283" w:rsidP="0058471F">
            <w:pPr>
              <w:pStyle w:val="TableText"/>
              <w:spacing w:before="0" w:after="0" w:line="276" w:lineRule="auto"/>
            </w:pPr>
            <w:r w:rsidRPr="00657EAF">
              <w:t>October</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65.4</w:t>
            </w:r>
          </w:p>
        </w:tc>
        <w:tc>
          <w:tcPr>
            <w:tcW w:w="856"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69.5</w:t>
            </w:r>
          </w:p>
        </w:tc>
        <w:tc>
          <w:tcPr>
            <w:tcW w:w="855"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64.5</w:t>
            </w:r>
          </w:p>
        </w:tc>
        <w:tc>
          <w:tcPr>
            <w:tcW w:w="854" w:type="pct"/>
            <w:tcBorders>
              <w:top w:val="nil"/>
              <w:left w:val="nil"/>
              <w:bottom w:val="single" w:sz="8" w:space="0" w:color="auto"/>
              <w:right w:val="single" w:sz="8" w:space="0" w:color="auto"/>
            </w:tcBorders>
            <w:tcMar>
              <w:top w:w="0" w:type="dxa"/>
              <w:left w:w="108" w:type="dxa"/>
              <w:bottom w:w="0" w:type="dxa"/>
              <w:right w:w="108" w:type="dxa"/>
            </w:tcMar>
            <w:vAlign w:val="center"/>
          </w:tcPr>
          <w:p w:rsidR="00E84283" w:rsidRPr="00E405B9" w:rsidRDefault="00E84283" w:rsidP="00E405B9">
            <w:pPr>
              <w:spacing w:after="0" w:line="240" w:lineRule="auto"/>
              <w:jc w:val="center"/>
              <w:rPr>
                <w:rFonts w:cstheme="minorHAnsi"/>
                <w:color w:val="000000"/>
                <w:sz w:val="20"/>
                <w:szCs w:val="20"/>
              </w:rPr>
            </w:pPr>
            <w:r w:rsidRPr="00E405B9">
              <w:rPr>
                <w:sz w:val="20"/>
              </w:rPr>
              <w:t>69.5</w:t>
            </w:r>
          </w:p>
        </w:tc>
      </w:tr>
    </w:tbl>
    <w:p w:rsidR="00F1237C" w:rsidRDefault="00F1237C" w:rsidP="00F1237C">
      <w:pPr>
        <w:pStyle w:val="BodyParaAfterTableFigure"/>
        <w:rPr>
          <w:rFonts w:eastAsia="Times New Roman" w:cs="Times New Roman"/>
          <w:color w:val="0070CD"/>
          <w:sz w:val="28"/>
          <w:szCs w:val="28"/>
        </w:rPr>
      </w:pPr>
      <w:bookmarkStart w:id="57" w:name="_Ref443488985"/>
      <w:bookmarkStart w:id="58" w:name="_Ref443495250"/>
      <w:bookmarkStart w:id="59" w:name="_Ref443503323"/>
      <w:r>
        <w:br w:type="page"/>
      </w:r>
    </w:p>
    <w:p w:rsidR="00F1237C" w:rsidRPr="00167938" w:rsidRDefault="00F1237C" w:rsidP="00F1237C">
      <w:pPr>
        <w:pStyle w:val="Heading1"/>
        <w:spacing w:before="240"/>
      </w:pPr>
      <w:bookmarkStart w:id="60" w:name="_Toc507085059"/>
      <w:r w:rsidRPr="00167938">
        <w:lastRenderedPageBreak/>
        <w:t>Summary of Assumptions and Enrollment Forecast</w:t>
      </w:r>
      <w:bookmarkEnd w:id="57"/>
      <w:bookmarkEnd w:id="58"/>
      <w:bookmarkEnd w:id="59"/>
      <w:bookmarkEnd w:id="60"/>
    </w:p>
    <w:p w:rsidR="00C77B9D" w:rsidRDefault="00C77B9D" w:rsidP="00F1237C">
      <w:pPr>
        <w:pStyle w:val="BodyParagraph"/>
      </w:pPr>
      <w:r w:rsidRPr="00C77B9D">
        <w:t>Section 5 provides a summary of the assumptions for the PY201</w:t>
      </w:r>
      <w:r>
        <w:t>7</w:t>
      </w:r>
      <w:r w:rsidRPr="00C77B9D">
        <w:t xml:space="preserve"> evaluation, which refines the assumptions used in the PY201</w:t>
      </w:r>
      <w:r>
        <w:t>6</w:t>
      </w:r>
      <w:r w:rsidRPr="00C77B9D">
        <w:t xml:space="preserve"> evaluation based on the most recent information on budget, program enrollment, and the current status of identified projects</w:t>
      </w:r>
      <w:r w:rsidR="009A56F8">
        <w:t>.</w:t>
      </w:r>
      <w:r w:rsidR="005B5CE9">
        <w:t xml:space="preserve"> Since t</w:t>
      </w:r>
      <w:r w:rsidR="00E450D8">
        <w:t>he PLS program is no longer accepting new applications, the enrollment forecast is based upon ac</w:t>
      </w:r>
      <w:r w:rsidR="005B5CE9">
        <w:t>tive</w:t>
      </w:r>
      <w:r w:rsidR="00E450D8">
        <w:t xml:space="preserve"> applications </w:t>
      </w:r>
      <w:r w:rsidR="0098450A">
        <w:t xml:space="preserve">and existing installations </w:t>
      </w:r>
      <w:r w:rsidR="00E450D8">
        <w:t xml:space="preserve">only. </w:t>
      </w:r>
    </w:p>
    <w:p w:rsidR="00F1237C" w:rsidRDefault="009A56F8" w:rsidP="00F1237C">
      <w:pPr>
        <w:rPr>
          <w:b/>
        </w:rPr>
      </w:pPr>
      <w:r>
        <w:t xml:space="preserve">The PLS program is now closed to new applicants, and as such all expected new customers are customers that have already submitted an application and are expected to come online in the next few years. Once these projects come online the enrollment </w:t>
      </w:r>
      <w:r w:rsidR="0049635F">
        <w:t>will</w:t>
      </w:r>
      <w:r>
        <w:t xml:space="preserve"> be constant</w:t>
      </w:r>
      <w:r w:rsidR="0049635F">
        <w:t xml:space="preserve"> for the remain</w:t>
      </w:r>
      <w:r w:rsidR="003379D9">
        <w:t>der of the forecast horizon.  Since</w:t>
      </w:r>
      <w:r w:rsidR="0049635F">
        <w:t xml:space="preserve"> there are no new applicants</w:t>
      </w:r>
      <w:r w:rsidR="0098450A">
        <w:t>,</w:t>
      </w:r>
      <w:r w:rsidR="0049635F">
        <w:t xml:space="preserve"> Nexant did not include unidentified projects in the evaluation this year and did not look at different enrollment scenarios</w:t>
      </w:r>
      <w:r>
        <w:t xml:space="preserve">. </w:t>
      </w:r>
      <w:bookmarkStart w:id="61" w:name="_Ref446236226"/>
      <w:r w:rsidR="00F1237C">
        <w:rPr>
          <w:b/>
        </w:rPr>
        <w:br w:type="page"/>
      </w:r>
    </w:p>
    <w:bookmarkEnd w:id="61"/>
    <w:p w:rsidR="00F1237C" w:rsidRPr="00A252C3" w:rsidRDefault="00F1237C" w:rsidP="00F1237C">
      <w:pPr>
        <w:pStyle w:val="BodyParagraph"/>
      </w:pPr>
      <w:r w:rsidRPr="00A252C3">
        <w:lastRenderedPageBreak/>
        <w:t>As discussed in Section 2.1, five years after each forecasted PLS-TES installation, the ex ante impacts are assumed to degrade at a rate of 2.5% per year. This assumption was made in consultation with program managers and is consistent with last year’s evaluation.</w:t>
      </w:r>
    </w:p>
    <w:p w:rsidR="00F1237C" w:rsidRPr="004D61D9" w:rsidRDefault="00F1237C" w:rsidP="00F1237C">
      <w:pPr>
        <w:pStyle w:val="BodyParagraph"/>
      </w:pPr>
      <w:r w:rsidRPr="004D61D9">
        <w:fldChar w:fldCharType="begin"/>
      </w:r>
      <w:r w:rsidRPr="004D61D9">
        <w:instrText xml:space="preserve"> REF _Ref443506023 \h  \* MERGEFORMAT </w:instrText>
      </w:r>
      <w:r w:rsidRPr="004D61D9">
        <w:fldChar w:fldCharType="separate"/>
      </w:r>
      <w:r w:rsidR="001F391A" w:rsidRPr="00B17186">
        <w:t xml:space="preserve">Figure </w:t>
      </w:r>
      <w:r w:rsidR="001F391A">
        <w:rPr>
          <w:noProof/>
        </w:rPr>
        <w:t>5</w:t>
      </w:r>
      <w:r w:rsidR="001F391A" w:rsidRPr="00B17186">
        <w:rPr>
          <w:noProof/>
        </w:rPr>
        <w:noBreakHyphen/>
      </w:r>
      <w:r w:rsidR="001F391A">
        <w:rPr>
          <w:noProof/>
        </w:rPr>
        <w:t>1</w:t>
      </w:r>
      <w:r w:rsidRPr="004D61D9">
        <w:fldChar w:fldCharType="end"/>
      </w:r>
      <w:r w:rsidRPr="004D61D9">
        <w:t xml:space="preserve"> provides the enrollment forecast by utility. As discussed in Section </w:t>
      </w:r>
      <w:r w:rsidRPr="004D61D9">
        <w:fldChar w:fldCharType="begin"/>
      </w:r>
      <w:r w:rsidRPr="004D61D9">
        <w:instrText xml:space="preserve"> REF _Ref443495238 \r \h  \* MERGEFORMAT </w:instrText>
      </w:r>
      <w:r w:rsidRPr="004D61D9">
        <w:fldChar w:fldCharType="separate"/>
      </w:r>
      <w:r w:rsidR="001F391A">
        <w:t>3</w:t>
      </w:r>
      <w:r w:rsidRPr="004D61D9">
        <w:fldChar w:fldCharType="end"/>
      </w:r>
      <w:r w:rsidRPr="004D61D9">
        <w:t>, customers are not defined as enrolled until their PLS-TES installation has come online</w:t>
      </w:r>
      <w:r>
        <w:t xml:space="preserve"> and the post installation validation has been completed</w:t>
      </w:r>
      <w:r w:rsidRPr="004D61D9">
        <w:t>. Most of the identified projects for all three IOUs are expected to come online between 201</w:t>
      </w:r>
      <w:r w:rsidR="001C06CA">
        <w:t>8</w:t>
      </w:r>
      <w:r w:rsidRPr="004D61D9">
        <w:t xml:space="preserve"> and 201</w:t>
      </w:r>
      <w:r w:rsidR="001C06CA">
        <w:t>9</w:t>
      </w:r>
      <w:r w:rsidR="00E450D8">
        <w:t>, with two</w:t>
      </w:r>
      <w:r w:rsidR="001C06CA">
        <w:t xml:space="preserve"> SCE project</w:t>
      </w:r>
      <w:r w:rsidR="00E450D8">
        <w:t>s</w:t>
      </w:r>
      <w:r w:rsidR="001C06CA">
        <w:t xml:space="preserve"> projected to come online in 2020</w:t>
      </w:r>
      <w:r w:rsidRPr="004D61D9">
        <w:t>.</w:t>
      </w:r>
      <w:r w:rsidR="00AD200C">
        <w:t xml:space="preserve"> This results in a total of 20 projects in the Statewide PLS program at the end of 2028.</w:t>
      </w:r>
    </w:p>
    <w:p w:rsidR="00F1237C" w:rsidRDefault="00F1237C" w:rsidP="00F1237C">
      <w:pPr>
        <w:pStyle w:val="Caption"/>
      </w:pPr>
      <w:bookmarkStart w:id="62" w:name="_Ref443506023"/>
      <w:r w:rsidRPr="00B17186">
        <w:t xml:space="preserve">Figure </w:t>
      </w:r>
      <w:fldSimple w:instr=" STYLEREF 1 \s ">
        <w:r w:rsidR="001F391A">
          <w:rPr>
            <w:noProof/>
          </w:rPr>
          <w:t>5</w:t>
        </w:r>
      </w:fldSimple>
      <w:r w:rsidRPr="00B17186">
        <w:noBreakHyphen/>
      </w:r>
      <w:fldSimple w:instr=" SEQ Figure \* ARABIC \s 1 ">
        <w:r w:rsidR="001F391A">
          <w:rPr>
            <w:noProof/>
          </w:rPr>
          <w:t>1</w:t>
        </w:r>
      </w:fldSimple>
      <w:bookmarkEnd w:id="62"/>
      <w:r w:rsidRPr="00B17186">
        <w:t xml:space="preserve">: Enrollment Forecast by Utility </w:t>
      </w:r>
    </w:p>
    <w:p w:rsidR="001C06CA" w:rsidRPr="001C06CA" w:rsidRDefault="001C06CA" w:rsidP="00E405B9">
      <w:r w:rsidRPr="00E405B9">
        <w:rPr>
          <w:noProof/>
        </w:rPr>
        <w:drawing>
          <wp:inline distT="0" distB="0" distL="0" distR="0" wp14:anchorId="1E48CFE1" wp14:editId="6A5BA3E8">
            <wp:extent cx="5943600" cy="3291205"/>
            <wp:effectExtent l="0" t="0" r="19050" b="23495"/>
            <wp:docPr id="2056" name="Chart 205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F1237C" w:rsidRPr="00B828B0" w:rsidRDefault="00F1237C" w:rsidP="00F1237C">
      <w:pPr>
        <w:pStyle w:val="BodyParagraph"/>
        <w:jc w:val="center"/>
        <w:rPr>
          <w:highlight w:val="yellow"/>
        </w:rPr>
      </w:pPr>
    </w:p>
    <w:p w:rsidR="00F1237C" w:rsidRPr="004672A6" w:rsidRDefault="00F1237C" w:rsidP="00F1237C">
      <w:pPr>
        <w:pStyle w:val="BodyParaAfterTableFigure"/>
      </w:pPr>
      <w:r w:rsidRPr="003D2671">
        <w:fldChar w:fldCharType="begin"/>
      </w:r>
      <w:r w:rsidRPr="003D2671">
        <w:instrText xml:space="preserve"> REF _Ref443506345 \h  \* MERGEFORMAT </w:instrText>
      </w:r>
      <w:r w:rsidRPr="003D2671">
        <w:fldChar w:fldCharType="separate"/>
      </w:r>
      <w:r w:rsidR="001F391A" w:rsidRPr="00751808">
        <w:t xml:space="preserve">Table </w:t>
      </w:r>
      <w:r w:rsidR="001F391A">
        <w:rPr>
          <w:noProof/>
        </w:rPr>
        <w:t>5</w:t>
      </w:r>
      <w:r w:rsidR="001F391A">
        <w:rPr>
          <w:noProof/>
        </w:rPr>
        <w:noBreakHyphen/>
        <w:t>1</w:t>
      </w:r>
      <w:r w:rsidRPr="003D2671">
        <w:fldChar w:fldCharType="end"/>
      </w:r>
      <w:r w:rsidRPr="003D2671">
        <w:t xml:space="preserve"> provides the PLS program enrollment forecast by utility and LCA for each year </w:t>
      </w:r>
      <w:r w:rsidR="00AE0D77">
        <w:t>of the forecast horizon</w:t>
      </w:r>
      <w:r w:rsidRPr="003D2671">
        <w:t xml:space="preserve">. </w:t>
      </w:r>
      <w:r w:rsidRPr="004672A6">
        <w:t>Of all the LCAs in California, the</w:t>
      </w:r>
      <w:r>
        <w:t> </w:t>
      </w:r>
      <w:r w:rsidRPr="004672A6">
        <w:t xml:space="preserve">greatest number of PLS program installations is </w:t>
      </w:r>
      <w:r>
        <w:t>projected</w:t>
      </w:r>
      <w:r w:rsidRPr="004672A6">
        <w:t xml:space="preserve"> to occur in the LA Basin LCA</w:t>
      </w:r>
      <w:r w:rsidRPr="004672A6">
        <w:rPr>
          <w:rFonts w:cs="Arial"/>
        </w:rPr>
        <w:t>—</w:t>
      </w:r>
      <w:r w:rsidR="00205B9D">
        <w:rPr>
          <w:rFonts w:cs="Arial"/>
        </w:rPr>
        <w:t xml:space="preserve"> with </w:t>
      </w:r>
      <w:r w:rsidR="00AE0D77">
        <w:rPr>
          <w:rFonts w:cs="Arial"/>
        </w:rPr>
        <w:t>9</w:t>
      </w:r>
      <w:r w:rsidR="00205B9D">
        <w:rPr>
          <w:rFonts w:cs="Arial"/>
        </w:rPr>
        <w:t xml:space="preserve"> </w:t>
      </w:r>
      <w:r w:rsidRPr="004672A6">
        <w:t>of</w:t>
      </w:r>
      <w:r w:rsidR="00205B9D">
        <w:t xml:space="preserve"> the</w:t>
      </w:r>
      <w:r w:rsidRPr="004672A6">
        <w:t xml:space="preserve"> </w:t>
      </w:r>
      <w:r w:rsidR="00AE0D77">
        <w:t>20</w:t>
      </w:r>
      <w:r w:rsidR="00AE0D77" w:rsidRPr="004672A6">
        <w:t xml:space="preserve"> </w:t>
      </w:r>
      <w:r w:rsidRPr="004672A6">
        <w:t xml:space="preserve">installations by the end of the forecast horizon. The Greater Bay Area and SDG&amp;E are the only other LCAs in California that are forecasted to have more than three PLS program installations. </w:t>
      </w:r>
    </w:p>
    <w:p w:rsidR="00F1237C" w:rsidRPr="00B828B0" w:rsidRDefault="00F1237C" w:rsidP="00F1237C">
      <w:pPr>
        <w:rPr>
          <w:rFonts w:ascii="Arial" w:hAnsi="Arial"/>
          <w:color w:val="1C1C1C"/>
          <w:highlight w:val="yellow"/>
        </w:rPr>
      </w:pPr>
      <w:r w:rsidRPr="00B828B0">
        <w:rPr>
          <w:highlight w:val="yellow"/>
        </w:rPr>
        <w:br w:type="page"/>
      </w:r>
    </w:p>
    <w:p w:rsidR="00F1237C" w:rsidRPr="00751808" w:rsidRDefault="00F1237C" w:rsidP="00F1237C">
      <w:pPr>
        <w:pStyle w:val="Caption"/>
      </w:pPr>
      <w:bookmarkStart w:id="63" w:name="_Ref443506345"/>
      <w:r w:rsidRPr="00751808">
        <w:lastRenderedPageBreak/>
        <w:t xml:space="preserve">Table </w:t>
      </w:r>
      <w:fldSimple w:instr=" STYLEREF 1 \s ">
        <w:r w:rsidR="001F391A">
          <w:rPr>
            <w:noProof/>
          </w:rPr>
          <w:t>5</w:t>
        </w:r>
      </w:fldSimple>
      <w:r w:rsidR="008139B9">
        <w:noBreakHyphen/>
      </w:r>
      <w:fldSimple w:instr=" SEQ Table \* ARABIC \s 1 ">
        <w:r w:rsidR="001F391A">
          <w:rPr>
            <w:noProof/>
          </w:rPr>
          <w:t>1</w:t>
        </w:r>
      </w:fldSimple>
      <w:bookmarkEnd w:id="63"/>
      <w:r w:rsidRPr="00751808">
        <w:t xml:space="preserve">: PLS Program Enrollment Forecast by Utility and LCA </w:t>
      </w:r>
    </w:p>
    <w:tbl>
      <w:tblPr>
        <w:tblW w:w="6242" w:type="dxa"/>
        <w:jc w:val="center"/>
        <w:tblInd w:w="-567" w:type="dxa"/>
        <w:tblLook w:val="04A0" w:firstRow="1" w:lastRow="0" w:firstColumn="1" w:lastColumn="0" w:noHBand="0" w:noVBand="1"/>
      </w:tblPr>
      <w:tblGrid>
        <w:gridCol w:w="1360"/>
        <w:gridCol w:w="1920"/>
        <w:gridCol w:w="1481"/>
        <w:gridCol w:w="1481"/>
      </w:tblGrid>
      <w:tr w:rsidR="00A04707" w:rsidRPr="00B828B0" w:rsidTr="00E405B9">
        <w:trPr>
          <w:trHeight w:val="630"/>
          <w:jc w:val="center"/>
        </w:trPr>
        <w:tc>
          <w:tcPr>
            <w:tcW w:w="1360" w:type="dxa"/>
            <w:tcBorders>
              <w:top w:val="single" w:sz="8" w:space="0" w:color="000000"/>
              <w:left w:val="single" w:sz="8" w:space="0" w:color="000000"/>
              <w:bottom w:val="single" w:sz="8" w:space="0" w:color="000000"/>
              <w:right w:val="single" w:sz="8" w:space="0" w:color="FFFFFF"/>
            </w:tcBorders>
            <w:shd w:val="clear" w:color="000000" w:fill="0070CD"/>
            <w:vAlign w:val="center"/>
            <w:hideMark/>
          </w:tcPr>
          <w:p w:rsidR="00A04707" w:rsidRPr="00946343" w:rsidRDefault="00A04707" w:rsidP="0058471F">
            <w:pPr>
              <w:spacing w:after="0" w:line="240" w:lineRule="auto"/>
              <w:jc w:val="center"/>
              <w:rPr>
                <w:rFonts w:ascii="Arial" w:eastAsia="Times New Roman" w:hAnsi="Arial" w:cs="Arial"/>
                <w:b/>
                <w:bCs/>
                <w:color w:val="FFFFFF"/>
                <w:sz w:val="24"/>
                <w:szCs w:val="24"/>
              </w:rPr>
            </w:pPr>
            <w:r w:rsidRPr="00946343">
              <w:rPr>
                <w:rFonts w:ascii="Arial" w:eastAsia="Times New Roman" w:hAnsi="Arial" w:cs="Arial"/>
                <w:b/>
                <w:bCs/>
                <w:color w:val="FFFFFF"/>
                <w:sz w:val="24"/>
              </w:rPr>
              <w:t>Utility</w:t>
            </w:r>
          </w:p>
        </w:tc>
        <w:tc>
          <w:tcPr>
            <w:tcW w:w="1920" w:type="dxa"/>
            <w:tcBorders>
              <w:top w:val="single" w:sz="8" w:space="0" w:color="000000"/>
              <w:left w:val="nil"/>
              <w:bottom w:val="single" w:sz="8" w:space="0" w:color="000000"/>
              <w:right w:val="single" w:sz="8" w:space="0" w:color="FFFFFF"/>
            </w:tcBorders>
            <w:shd w:val="clear" w:color="000000" w:fill="0070CD"/>
            <w:vAlign w:val="center"/>
            <w:hideMark/>
          </w:tcPr>
          <w:p w:rsidR="00A04707" w:rsidRPr="00946343" w:rsidRDefault="00A04707" w:rsidP="0058471F">
            <w:pPr>
              <w:spacing w:after="0" w:line="240" w:lineRule="auto"/>
              <w:jc w:val="center"/>
              <w:rPr>
                <w:rFonts w:ascii="Arial" w:eastAsia="Times New Roman" w:hAnsi="Arial" w:cs="Arial"/>
                <w:b/>
                <w:bCs/>
                <w:color w:val="FFFFFF"/>
                <w:sz w:val="24"/>
                <w:szCs w:val="24"/>
              </w:rPr>
            </w:pPr>
            <w:r w:rsidRPr="00946343">
              <w:rPr>
                <w:rFonts w:ascii="Arial" w:eastAsia="Times New Roman" w:hAnsi="Arial" w:cs="Arial"/>
                <w:b/>
                <w:bCs/>
                <w:color w:val="FFFFFF"/>
                <w:sz w:val="24"/>
              </w:rPr>
              <w:t>LCA</w:t>
            </w:r>
          </w:p>
        </w:tc>
        <w:tc>
          <w:tcPr>
            <w:tcW w:w="1481" w:type="dxa"/>
            <w:tcBorders>
              <w:top w:val="single" w:sz="8" w:space="0" w:color="000000"/>
              <w:left w:val="nil"/>
              <w:bottom w:val="nil"/>
              <w:right w:val="single" w:sz="8" w:space="0" w:color="FFFFFF"/>
            </w:tcBorders>
            <w:shd w:val="clear" w:color="000000" w:fill="0070CD"/>
            <w:vAlign w:val="center"/>
            <w:hideMark/>
          </w:tcPr>
          <w:p w:rsidR="00A04707" w:rsidRPr="00946343" w:rsidRDefault="00A04707" w:rsidP="0058471F">
            <w:pPr>
              <w:spacing w:after="0" w:line="240" w:lineRule="auto"/>
              <w:jc w:val="center"/>
              <w:rPr>
                <w:rFonts w:ascii="Arial" w:eastAsia="Times New Roman" w:hAnsi="Arial" w:cs="Arial"/>
                <w:b/>
                <w:bCs/>
                <w:color w:val="FFFFFF"/>
                <w:sz w:val="24"/>
                <w:szCs w:val="24"/>
              </w:rPr>
            </w:pPr>
            <w:r w:rsidRPr="00946343">
              <w:rPr>
                <w:rFonts w:ascii="Arial" w:eastAsia="Times New Roman" w:hAnsi="Arial" w:cs="Arial"/>
                <w:b/>
                <w:bCs/>
                <w:color w:val="FFFFFF"/>
                <w:sz w:val="24"/>
              </w:rPr>
              <w:t>201</w:t>
            </w:r>
            <w:r>
              <w:rPr>
                <w:rFonts w:ascii="Arial" w:eastAsia="Times New Roman" w:hAnsi="Arial" w:cs="Arial"/>
                <w:b/>
                <w:bCs/>
                <w:color w:val="FFFFFF"/>
                <w:sz w:val="24"/>
              </w:rPr>
              <w:t>8</w:t>
            </w:r>
          </w:p>
        </w:tc>
        <w:tc>
          <w:tcPr>
            <w:tcW w:w="1481" w:type="dxa"/>
            <w:tcBorders>
              <w:top w:val="single" w:sz="8" w:space="0" w:color="000000"/>
              <w:left w:val="nil"/>
              <w:bottom w:val="nil"/>
              <w:right w:val="single" w:sz="8" w:space="0" w:color="FFFFFF"/>
            </w:tcBorders>
            <w:shd w:val="clear" w:color="000000" w:fill="0070CD"/>
            <w:vAlign w:val="center"/>
            <w:hideMark/>
          </w:tcPr>
          <w:p w:rsidR="00A04707" w:rsidRPr="00946343" w:rsidRDefault="00A04707" w:rsidP="0058471F">
            <w:pPr>
              <w:spacing w:after="0" w:line="240" w:lineRule="auto"/>
              <w:jc w:val="center"/>
              <w:rPr>
                <w:rFonts w:ascii="Arial" w:eastAsia="Times New Roman" w:hAnsi="Arial" w:cs="Arial"/>
                <w:b/>
                <w:bCs/>
                <w:color w:val="FFFFFF"/>
                <w:sz w:val="24"/>
                <w:szCs w:val="24"/>
              </w:rPr>
            </w:pPr>
            <w:r>
              <w:rPr>
                <w:rFonts w:ascii="Arial" w:eastAsia="Times New Roman" w:hAnsi="Arial" w:cs="Arial"/>
                <w:b/>
                <w:bCs/>
                <w:color w:val="FFFFFF"/>
                <w:sz w:val="24"/>
              </w:rPr>
              <w:t>2019 - 2028</w:t>
            </w:r>
          </w:p>
        </w:tc>
      </w:tr>
      <w:tr w:rsidR="00A04707" w:rsidRPr="00B828B0" w:rsidTr="00E405B9">
        <w:trPr>
          <w:trHeight w:val="315"/>
          <w:jc w:val="center"/>
        </w:trPr>
        <w:tc>
          <w:tcPr>
            <w:tcW w:w="1360" w:type="dxa"/>
            <w:vMerge w:val="restart"/>
            <w:tcBorders>
              <w:top w:val="nil"/>
              <w:left w:val="single" w:sz="8" w:space="0" w:color="000000"/>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PG&amp;E</w:t>
            </w: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Greater Bay Area</w:t>
            </w:r>
          </w:p>
        </w:tc>
        <w:tc>
          <w:tcPr>
            <w:tcW w:w="1481" w:type="dxa"/>
            <w:tcBorders>
              <w:top w:val="single" w:sz="4" w:space="0" w:color="auto"/>
              <w:left w:val="nil"/>
              <w:bottom w:val="single" w:sz="8" w:space="0" w:color="000000"/>
              <w:right w:val="single" w:sz="8" w:space="0" w:color="000000"/>
            </w:tcBorders>
            <w:shd w:val="clear" w:color="auto" w:fill="auto"/>
            <w:vAlign w:val="center"/>
          </w:tcPr>
          <w:p w:rsidR="00A04707" w:rsidRPr="00197FFA" w:rsidRDefault="008B2A27" w:rsidP="0058471F">
            <w:pPr>
              <w:spacing w:after="0"/>
              <w:jc w:val="center"/>
              <w:rPr>
                <w:rFonts w:cstheme="minorHAnsi"/>
                <w:color w:val="000000"/>
                <w:sz w:val="20"/>
                <w:szCs w:val="20"/>
              </w:rPr>
            </w:pPr>
            <w:r>
              <w:rPr>
                <w:rFonts w:cstheme="minorHAnsi"/>
                <w:color w:val="000000"/>
                <w:sz w:val="20"/>
                <w:szCs w:val="20"/>
              </w:rPr>
              <w:t>2</w:t>
            </w:r>
          </w:p>
        </w:tc>
        <w:tc>
          <w:tcPr>
            <w:tcW w:w="1481" w:type="dxa"/>
            <w:tcBorders>
              <w:top w:val="single" w:sz="4" w:space="0" w:color="auto"/>
              <w:left w:val="nil"/>
              <w:bottom w:val="single" w:sz="8" w:space="0" w:color="000000"/>
              <w:right w:val="single" w:sz="8" w:space="0" w:color="000000"/>
            </w:tcBorders>
            <w:shd w:val="clear" w:color="auto" w:fill="auto"/>
            <w:vAlign w:val="center"/>
          </w:tcPr>
          <w:p w:rsidR="00A04707" w:rsidRPr="00197FFA" w:rsidRDefault="008B2A27" w:rsidP="0058471F">
            <w:pPr>
              <w:spacing w:after="0"/>
              <w:jc w:val="center"/>
              <w:rPr>
                <w:rFonts w:cstheme="minorHAnsi"/>
                <w:color w:val="000000"/>
                <w:sz w:val="20"/>
                <w:szCs w:val="20"/>
              </w:rPr>
            </w:pPr>
            <w:r>
              <w:rPr>
                <w:rFonts w:cstheme="minorHAnsi"/>
                <w:color w:val="000000"/>
                <w:sz w:val="20"/>
                <w:szCs w:val="20"/>
              </w:rPr>
              <w:t>4</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Greater Fresno</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0</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E0D77" w:rsidP="0058471F">
            <w:pPr>
              <w:spacing w:after="0"/>
              <w:jc w:val="center"/>
              <w:rPr>
                <w:rFonts w:cstheme="minorHAnsi"/>
                <w:color w:val="000000"/>
                <w:sz w:val="20"/>
                <w:szCs w:val="20"/>
              </w:rPr>
            </w:pPr>
            <w:r>
              <w:rPr>
                <w:rFonts w:cstheme="minorHAnsi"/>
                <w:color w:val="000000"/>
                <w:sz w:val="20"/>
                <w:szCs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Humboldt</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0</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Kern</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0</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E0D77" w:rsidP="0058471F">
            <w:pPr>
              <w:spacing w:after="0"/>
              <w:jc w:val="center"/>
              <w:rPr>
                <w:rFonts w:cstheme="minorHAnsi"/>
                <w:color w:val="000000"/>
                <w:sz w:val="20"/>
                <w:szCs w:val="20"/>
              </w:rPr>
            </w:pPr>
            <w:r>
              <w:rPr>
                <w:rFonts w:cstheme="minorHAnsi"/>
                <w:color w:val="000000"/>
                <w:sz w:val="20"/>
                <w:szCs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Northern Coast</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2</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8B2A27" w:rsidP="0058471F">
            <w:pPr>
              <w:spacing w:after="0"/>
              <w:jc w:val="center"/>
              <w:rPr>
                <w:rFonts w:cstheme="minorHAnsi"/>
                <w:color w:val="000000"/>
                <w:sz w:val="20"/>
                <w:szCs w:val="20"/>
              </w:rPr>
            </w:pPr>
            <w:r>
              <w:rPr>
                <w:rFonts w:cstheme="minorHAnsi"/>
                <w:color w:val="000000"/>
                <w:sz w:val="20"/>
                <w:szCs w:val="20"/>
              </w:rPr>
              <w:t>2</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Other</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0</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8B2A27" w:rsidP="0058471F">
            <w:pPr>
              <w:spacing w:after="0"/>
              <w:jc w:val="center"/>
              <w:rPr>
                <w:rFonts w:cstheme="minorHAnsi"/>
                <w:color w:val="000000"/>
                <w:sz w:val="20"/>
                <w:szCs w:val="20"/>
              </w:rPr>
            </w:pPr>
            <w:r>
              <w:rPr>
                <w:rFonts w:cstheme="minorHAnsi"/>
                <w:color w:val="000000"/>
                <w:sz w:val="20"/>
                <w:szCs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Sierra</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0</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E405B9" w:rsidP="0058471F">
            <w:pPr>
              <w:spacing w:after="0"/>
              <w:jc w:val="center"/>
              <w:rPr>
                <w:rFonts w:cstheme="minorHAnsi"/>
                <w:color w:val="000000"/>
                <w:sz w:val="20"/>
                <w:szCs w:val="20"/>
              </w:rPr>
            </w:pPr>
            <w:r>
              <w:rPr>
                <w:rFonts w:cstheme="minorHAnsi"/>
                <w:color w:val="000000"/>
                <w:sz w:val="20"/>
                <w:szCs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Stockton</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A04707" w:rsidP="0058471F">
            <w:pPr>
              <w:spacing w:after="0"/>
              <w:jc w:val="center"/>
              <w:rPr>
                <w:rFonts w:cstheme="minorHAnsi"/>
                <w:color w:val="000000"/>
                <w:sz w:val="20"/>
                <w:szCs w:val="20"/>
              </w:rPr>
            </w:pPr>
            <w:r w:rsidRPr="00197FFA">
              <w:rPr>
                <w:rFonts w:cstheme="minorHAnsi"/>
                <w:color w:val="000000"/>
                <w:sz w:val="20"/>
                <w:szCs w:val="20"/>
              </w:rPr>
              <w:t>0</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8B2A27" w:rsidP="0058471F">
            <w:pPr>
              <w:spacing w:after="0"/>
              <w:jc w:val="center"/>
              <w:rPr>
                <w:rFonts w:cstheme="minorHAnsi"/>
                <w:color w:val="000000"/>
                <w:sz w:val="20"/>
                <w:szCs w:val="20"/>
              </w:rPr>
            </w:pPr>
            <w:r>
              <w:rPr>
                <w:rFonts w:cstheme="minorHAnsi"/>
                <w:color w:val="000000"/>
                <w:sz w:val="20"/>
                <w:szCs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i/>
                <w:iCs/>
                <w:color w:val="000000"/>
                <w:sz w:val="20"/>
                <w:szCs w:val="20"/>
              </w:rPr>
            </w:pPr>
            <w:r w:rsidRPr="00946343">
              <w:rPr>
                <w:rFonts w:ascii="Arial" w:eastAsia="Times New Roman" w:hAnsi="Arial" w:cs="Arial"/>
                <w:i/>
                <w:iCs/>
                <w:color w:val="000000"/>
                <w:sz w:val="20"/>
                <w:szCs w:val="20"/>
              </w:rPr>
              <w:t>Total (PG&amp;E)</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8B2A27" w:rsidP="0058471F">
            <w:pPr>
              <w:spacing w:after="0"/>
              <w:jc w:val="center"/>
              <w:rPr>
                <w:rFonts w:cstheme="minorHAnsi"/>
                <w:color w:val="000000"/>
                <w:sz w:val="20"/>
                <w:szCs w:val="20"/>
              </w:rPr>
            </w:pPr>
            <w:r>
              <w:rPr>
                <w:rFonts w:cstheme="minorHAnsi"/>
                <w:color w:val="000000"/>
                <w:sz w:val="20"/>
                <w:szCs w:val="20"/>
              </w:rPr>
              <w:t>4</w:t>
            </w:r>
          </w:p>
        </w:tc>
        <w:tc>
          <w:tcPr>
            <w:tcW w:w="1481" w:type="dxa"/>
            <w:tcBorders>
              <w:top w:val="nil"/>
              <w:left w:val="nil"/>
              <w:bottom w:val="single" w:sz="8" w:space="0" w:color="000000"/>
              <w:right w:val="single" w:sz="8" w:space="0" w:color="000000"/>
            </w:tcBorders>
            <w:shd w:val="clear" w:color="auto" w:fill="auto"/>
            <w:vAlign w:val="center"/>
          </w:tcPr>
          <w:p w:rsidR="00A04707" w:rsidRPr="00197FFA" w:rsidRDefault="008B2A27" w:rsidP="0058471F">
            <w:pPr>
              <w:spacing w:after="0"/>
              <w:jc w:val="center"/>
              <w:rPr>
                <w:rFonts w:cstheme="minorHAnsi"/>
                <w:color w:val="000000"/>
                <w:sz w:val="20"/>
                <w:szCs w:val="20"/>
              </w:rPr>
            </w:pPr>
            <w:r>
              <w:rPr>
                <w:rFonts w:cstheme="minorHAnsi"/>
                <w:color w:val="000000"/>
                <w:sz w:val="20"/>
                <w:szCs w:val="20"/>
              </w:rPr>
              <w:t>6</w:t>
            </w:r>
          </w:p>
        </w:tc>
      </w:tr>
      <w:tr w:rsidR="00A04707" w:rsidRPr="00B828B0" w:rsidTr="00E405B9">
        <w:trPr>
          <w:trHeight w:val="315"/>
          <w:jc w:val="center"/>
        </w:trPr>
        <w:tc>
          <w:tcPr>
            <w:tcW w:w="1360" w:type="dxa"/>
            <w:vMerge w:val="restart"/>
            <w:tcBorders>
              <w:top w:val="nil"/>
              <w:left w:val="single" w:sz="8" w:space="0" w:color="000000"/>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SCE</w:t>
            </w: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LA Basin</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8B2A27" w:rsidP="0058471F">
            <w:pPr>
              <w:spacing w:after="0"/>
              <w:jc w:val="center"/>
              <w:rPr>
                <w:rFonts w:ascii="Arial" w:hAnsi="Arial" w:cs="Arial"/>
                <w:color w:val="000000"/>
                <w:sz w:val="20"/>
              </w:rPr>
            </w:pPr>
            <w:r>
              <w:rPr>
                <w:rFonts w:ascii="Arial" w:hAnsi="Arial" w:cs="Arial"/>
                <w:color w:val="000000"/>
                <w:sz w:val="20"/>
              </w:rPr>
              <w:t>6</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8B2A27" w:rsidP="0058471F">
            <w:pPr>
              <w:spacing w:after="0"/>
              <w:jc w:val="center"/>
              <w:rPr>
                <w:rFonts w:ascii="Arial" w:hAnsi="Arial" w:cs="Arial"/>
                <w:color w:val="000000"/>
                <w:sz w:val="20"/>
              </w:rPr>
            </w:pPr>
            <w:r>
              <w:rPr>
                <w:rFonts w:ascii="Arial" w:hAnsi="Arial" w:cs="Arial"/>
                <w:color w:val="000000"/>
                <w:sz w:val="20"/>
              </w:rPr>
              <w:t>9</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Outside LA Basin</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A04707" w:rsidP="0058471F">
            <w:pPr>
              <w:spacing w:after="0"/>
              <w:jc w:val="center"/>
              <w:rPr>
                <w:rFonts w:ascii="Arial" w:hAnsi="Arial" w:cs="Arial"/>
                <w:color w:val="000000"/>
                <w:sz w:val="20"/>
              </w:rPr>
            </w:pPr>
            <w:r w:rsidRPr="00B646DC">
              <w:rPr>
                <w:rFonts w:ascii="Arial" w:hAnsi="Arial" w:cs="Arial"/>
                <w:color w:val="000000"/>
                <w:sz w:val="20"/>
              </w:rPr>
              <w:t>0</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8B2A27" w:rsidP="0058471F">
            <w:pPr>
              <w:spacing w:after="0"/>
              <w:jc w:val="center"/>
              <w:rPr>
                <w:rFonts w:ascii="Arial" w:hAnsi="Arial" w:cs="Arial"/>
                <w:color w:val="000000"/>
                <w:sz w:val="20"/>
              </w:rPr>
            </w:pPr>
            <w:r>
              <w:rPr>
                <w:rFonts w:ascii="Arial" w:hAnsi="Arial" w:cs="Arial"/>
                <w:color w:val="000000"/>
                <w:sz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Ventura</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8B2A27" w:rsidP="0058471F">
            <w:pPr>
              <w:spacing w:after="0"/>
              <w:jc w:val="center"/>
              <w:rPr>
                <w:rFonts w:ascii="Arial" w:hAnsi="Arial" w:cs="Arial"/>
                <w:color w:val="000000"/>
                <w:sz w:val="20"/>
              </w:rPr>
            </w:pPr>
            <w:r>
              <w:rPr>
                <w:rFonts w:ascii="Arial" w:hAnsi="Arial" w:cs="Arial"/>
                <w:color w:val="000000"/>
                <w:sz w:val="20"/>
              </w:rPr>
              <w:t>0</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8B2A27" w:rsidP="0058471F">
            <w:pPr>
              <w:spacing w:after="0"/>
              <w:jc w:val="center"/>
              <w:rPr>
                <w:rFonts w:ascii="Arial" w:hAnsi="Arial" w:cs="Arial"/>
                <w:color w:val="000000"/>
                <w:sz w:val="20"/>
              </w:rPr>
            </w:pPr>
            <w:r>
              <w:rPr>
                <w:rFonts w:ascii="Arial" w:hAnsi="Arial" w:cs="Arial"/>
                <w:color w:val="000000"/>
                <w:sz w:val="20"/>
              </w:rPr>
              <w:t>0</w:t>
            </w:r>
          </w:p>
        </w:tc>
      </w:tr>
      <w:tr w:rsidR="00A04707" w:rsidRPr="00B828B0" w:rsidTr="00E405B9">
        <w:trPr>
          <w:trHeight w:val="315"/>
          <w:jc w:val="center"/>
        </w:trPr>
        <w:tc>
          <w:tcPr>
            <w:tcW w:w="1360" w:type="dxa"/>
            <w:vMerge/>
            <w:tcBorders>
              <w:top w:val="nil"/>
              <w:left w:val="single" w:sz="8" w:space="0" w:color="000000"/>
              <w:bottom w:val="single" w:sz="8" w:space="0" w:color="000000"/>
              <w:right w:val="single" w:sz="8" w:space="0" w:color="000000"/>
            </w:tcBorders>
            <w:vAlign w:val="center"/>
            <w:hideMark/>
          </w:tcPr>
          <w:p w:rsidR="00A04707" w:rsidRPr="00946343" w:rsidRDefault="00A04707" w:rsidP="0058471F">
            <w:pPr>
              <w:spacing w:after="0" w:line="240" w:lineRule="auto"/>
              <w:rPr>
                <w:rFonts w:ascii="Arial" w:eastAsia="Times New Roman" w:hAnsi="Arial" w:cs="Arial"/>
                <w:color w:val="000000"/>
                <w:sz w:val="20"/>
                <w:szCs w:val="20"/>
              </w:rPr>
            </w:pPr>
          </w:p>
        </w:tc>
        <w:tc>
          <w:tcPr>
            <w:tcW w:w="1920" w:type="dxa"/>
            <w:tcBorders>
              <w:top w:val="nil"/>
              <w:left w:val="nil"/>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i/>
                <w:iCs/>
                <w:color w:val="000000"/>
                <w:sz w:val="20"/>
                <w:szCs w:val="20"/>
              </w:rPr>
            </w:pPr>
            <w:r w:rsidRPr="00946343">
              <w:rPr>
                <w:rFonts w:ascii="Arial" w:eastAsia="Times New Roman" w:hAnsi="Arial" w:cs="Arial"/>
                <w:i/>
                <w:iCs/>
                <w:color w:val="000000"/>
                <w:sz w:val="20"/>
                <w:szCs w:val="20"/>
              </w:rPr>
              <w:t>Total (SCE)</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8B2A27" w:rsidP="0058471F">
            <w:pPr>
              <w:spacing w:after="0"/>
              <w:jc w:val="center"/>
              <w:rPr>
                <w:rFonts w:ascii="Arial" w:hAnsi="Arial" w:cs="Arial"/>
                <w:color w:val="000000"/>
                <w:sz w:val="20"/>
              </w:rPr>
            </w:pPr>
            <w:r>
              <w:rPr>
                <w:rFonts w:ascii="Arial" w:hAnsi="Arial" w:cs="Arial"/>
                <w:color w:val="000000"/>
                <w:sz w:val="20"/>
              </w:rPr>
              <w:t>6</w:t>
            </w:r>
          </w:p>
        </w:tc>
        <w:tc>
          <w:tcPr>
            <w:tcW w:w="1481" w:type="dxa"/>
            <w:tcBorders>
              <w:top w:val="nil"/>
              <w:left w:val="nil"/>
              <w:bottom w:val="single" w:sz="8" w:space="0" w:color="000000"/>
              <w:right w:val="single" w:sz="8" w:space="0" w:color="000000"/>
            </w:tcBorders>
            <w:shd w:val="clear" w:color="auto" w:fill="auto"/>
            <w:vAlign w:val="bottom"/>
          </w:tcPr>
          <w:p w:rsidR="00A04707" w:rsidRPr="00B646DC" w:rsidRDefault="008B2A27" w:rsidP="0058471F">
            <w:pPr>
              <w:spacing w:after="0"/>
              <w:jc w:val="center"/>
              <w:rPr>
                <w:rFonts w:ascii="Arial" w:hAnsi="Arial" w:cs="Arial"/>
                <w:color w:val="000000"/>
                <w:sz w:val="20"/>
              </w:rPr>
            </w:pPr>
            <w:r>
              <w:rPr>
                <w:rFonts w:ascii="Arial" w:hAnsi="Arial" w:cs="Arial"/>
                <w:color w:val="000000"/>
                <w:sz w:val="20"/>
              </w:rPr>
              <w:t>9</w:t>
            </w:r>
          </w:p>
        </w:tc>
      </w:tr>
      <w:tr w:rsidR="00A04707" w:rsidRPr="00B828B0" w:rsidTr="00E405B9">
        <w:trPr>
          <w:trHeight w:val="315"/>
          <w:jc w:val="center"/>
        </w:trPr>
        <w:tc>
          <w:tcPr>
            <w:tcW w:w="3280" w:type="dxa"/>
            <w:gridSpan w:val="2"/>
            <w:tcBorders>
              <w:top w:val="single" w:sz="8" w:space="0" w:color="000000"/>
              <w:left w:val="single" w:sz="8" w:space="0" w:color="000000"/>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color w:val="000000"/>
                <w:sz w:val="20"/>
                <w:szCs w:val="20"/>
              </w:rPr>
            </w:pPr>
            <w:r w:rsidRPr="00946343">
              <w:rPr>
                <w:rFonts w:ascii="Arial" w:eastAsia="Times New Roman" w:hAnsi="Arial" w:cs="Arial"/>
                <w:color w:val="000000"/>
                <w:sz w:val="20"/>
                <w:szCs w:val="20"/>
              </w:rPr>
              <w:t>SDG&amp;E</w:t>
            </w:r>
          </w:p>
        </w:tc>
        <w:tc>
          <w:tcPr>
            <w:tcW w:w="1481" w:type="dxa"/>
            <w:tcBorders>
              <w:top w:val="nil"/>
              <w:left w:val="nil"/>
              <w:bottom w:val="single" w:sz="8" w:space="0" w:color="000000"/>
              <w:right w:val="single" w:sz="8" w:space="0" w:color="000000"/>
            </w:tcBorders>
            <w:shd w:val="clear" w:color="auto" w:fill="auto"/>
            <w:vAlign w:val="center"/>
          </w:tcPr>
          <w:p w:rsidR="00A04707" w:rsidRPr="003506C1" w:rsidRDefault="008B2A27" w:rsidP="0058471F">
            <w:pPr>
              <w:spacing w:after="0" w:line="240" w:lineRule="auto"/>
              <w:jc w:val="center"/>
              <w:rPr>
                <w:rFonts w:ascii="Arial" w:eastAsia="Times New Roman" w:hAnsi="Arial" w:cs="Arial"/>
                <w:color w:val="000000"/>
                <w:sz w:val="20"/>
              </w:rPr>
            </w:pPr>
            <w:r>
              <w:rPr>
                <w:rFonts w:ascii="Arial" w:eastAsia="Times New Roman" w:hAnsi="Arial" w:cs="Arial"/>
                <w:color w:val="000000"/>
                <w:sz w:val="20"/>
              </w:rPr>
              <w:t>5</w:t>
            </w:r>
          </w:p>
        </w:tc>
        <w:tc>
          <w:tcPr>
            <w:tcW w:w="1481" w:type="dxa"/>
            <w:tcBorders>
              <w:top w:val="nil"/>
              <w:left w:val="nil"/>
              <w:bottom w:val="single" w:sz="8" w:space="0" w:color="000000"/>
              <w:right w:val="single" w:sz="8" w:space="0" w:color="000000"/>
            </w:tcBorders>
            <w:shd w:val="clear" w:color="auto" w:fill="auto"/>
            <w:vAlign w:val="center"/>
          </w:tcPr>
          <w:p w:rsidR="00A04707" w:rsidRPr="003506C1" w:rsidRDefault="008B2A27" w:rsidP="0058471F">
            <w:pPr>
              <w:spacing w:after="0" w:line="240" w:lineRule="auto"/>
              <w:jc w:val="center"/>
              <w:rPr>
                <w:rFonts w:ascii="Arial" w:eastAsia="Times New Roman" w:hAnsi="Arial" w:cs="Arial"/>
                <w:color w:val="000000"/>
                <w:sz w:val="20"/>
              </w:rPr>
            </w:pPr>
            <w:r>
              <w:rPr>
                <w:rFonts w:ascii="Arial" w:eastAsia="Times New Roman" w:hAnsi="Arial" w:cs="Arial"/>
                <w:color w:val="000000"/>
                <w:sz w:val="20"/>
              </w:rPr>
              <w:t>5</w:t>
            </w:r>
          </w:p>
        </w:tc>
      </w:tr>
      <w:tr w:rsidR="00A04707" w:rsidRPr="00B828B0" w:rsidTr="00E405B9">
        <w:trPr>
          <w:trHeight w:val="315"/>
          <w:jc w:val="center"/>
        </w:trPr>
        <w:tc>
          <w:tcPr>
            <w:tcW w:w="3280" w:type="dxa"/>
            <w:gridSpan w:val="2"/>
            <w:tcBorders>
              <w:top w:val="single" w:sz="8" w:space="0" w:color="000000"/>
              <w:left w:val="single" w:sz="8" w:space="0" w:color="000000"/>
              <w:bottom w:val="single" w:sz="8" w:space="0" w:color="000000"/>
              <w:right w:val="single" w:sz="8" w:space="0" w:color="000000"/>
            </w:tcBorders>
            <w:shd w:val="clear" w:color="auto" w:fill="auto"/>
            <w:noWrap/>
            <w:vAlign w:val="center"/>
            <w:hideMark/>
          </w:tcPr>
          <w:p w:rsidR="00A04707" w:rsidRPr="00946343" w:rsidRDefault="00A04707" w:rsidP="0058471F">
            <w:pPr>
              <w:spacing w:after="0" w:line="240" w:lineRule="auto"/>
              <w:jc w:val="center"/>
              <w:rPr>
                <w:rFonts w:ascii="Arial" w:eastAsia="Times New Roman" w:hAnsi="Arial" w:cs="Arial"/>
                <w:b/>
                <w:bCs/>
                <w:color w:val="000000"/>
                <w:sz w:val="20"/>
                <w:szCs w:val="20"/>
              </w:rPr>
            </w:pPr>
            <w:r w:rsidRPr="00946343">
              <w:rPr>
                <w:rFonts w:ascii="Arial" w:eastAsia="Times New Roman" w:hAnsi="Arial" w:cs="Arial"/>
                <w:b/>
                <w:bCs/>
                <w:color w:val="000000"/>
                <w:sz w:val="20"/>
                <w:szCs w:val="20"/>
              </w:rPr>
              <w:t>Total (Statewide)</w:t>
            </w:r>
            <w:r w:rsidRPr="00946343">
              <w:rPr>
                <w:rFonts w:ascii="Arial" w:eastAsia="Times New Roman" w:hAnsi="Arial" w:cs="Arial"/>
                <w:color w:val="000000"/>
                <w:sz w:val="16"/>
                <w:szCs w:val="16"/>
              </w:rPr>
              <w:t> </w:t>
            </w:r>
          </w:p>
        </w:tc>
        <w:tc>
          <w:tcPr>
            <w:tcW w:w="1481" w:type="dxa"/>
            <w:tcBorders>
              <w:top w:val="nil"/>
              <w:left w:val="nil"/>
              <w:bottom w:val="single" w:sz="8" w:space="0" w:color="000000"/>
              <w:right w:val="single" w:sz="8" w:space="0" w:color="000000"/>
            </w:tcBorders>
            <w:shd w:val="clear" w:color="auto" w:fill="auto"/>
            <w:vAlign w:val="center"/>
          </w:tcPr>
          <w:p w:rsidR="00A04707" w:rsidRPr="003506C1" w:rsidRDefault="008B2A27" w:rsidP="0058471F">
            <w:pPr>
              <w:spacing w:after="0" w:line="240" w:lineRule="auto"/>
              <w:jc w:val="center"/>
              <w:rPr>
                <w:rFonts w:ascii="Arial" w:eastAsia="Times New Roman" w:hAnsi="Arial" w:cs="Arial"/>
                <w:b/>
                <w:color w:val="000000"/>
                <w:sz w:val="20"/>
              </w:rPr>
            </w:pPr>
            <w:r>
              <w:rPr>
                <w:rFonts w:ascii="Arial" w:eastAsia="Times New Roman" w:hAnsi="Arial" w:cs="Arial"/>
                <w:b/>
                <w:color w:val="000000"/>
                <w:sz w:val="20"/>
              </w:rPr>
              <w:t>15</w:t>
            </w:r>
          </w:p>
        </w:tc>
        <w:tc>
          <w:tcPr>
            <w:tcW w:w="1481" w:type="dxa"/>
            <w:tcBorders>
              <w:top w:val="nil"/>
              <w:left w:val="nil"/>
              <w:bottom w:val="single" w:sz="8" w:space="0" w:color="000000"/>
              <w:right w:val="single" w:sz="8" w:space="0" w:color="000000"/>
            </w:tcBorders>
            <w:shd w:val="clear" w:color="auto" w:fill="auto"/>
            <w:vAlign w:val="center"/>
          </w:tcPr>
          <w:p w:rsidR="00A04707" w:rsidRPr="003506C1" w:rsidRDefault="008B2A27" w:rsidP="0058471F">
            <w:pPr>
              <w:spacing w:after="0" w:line="240" w:lineRule="auto"/>
              <w:jc w:val="center"/>
              <w:rPr>
                <w:rFonts w:ascii="Arial" w:eastAsia="Times New Roman" w:hAnsi="Arial" w:cs="Arial"/>
                <w:b/>
                <w:color w:val="000000"/>
                <w:sz w:val="20"/>
              </w:rPr>
            </w:pPr>
            <w:r>
              <w:rPr>
                <w:rFonts w:ascii="Arial" w:eastAsia="Times New Roman" w:hAnsi="Arial" w:cs="Arial"/>
                <w:b/>
                <w:color w:val="000000"/>
                <w:sz w:val="20"/>
              </w:rPr>
              <w:t>20</w:t>
            </w:r>
          </w:p>
        </w:tc>
      </w:tr>
    </w:tbl>
    <w:p w:rsidR="00F1237C" w:rsidRPr="00B828B0" w:rsidRDefault="00F1237C" w:rsidP="00F1237C">
      <w:pPr>
        <w:rPr>
          <w:highlight w:val="yellow"/>
        </w:rPr>
      </w:pPr>
    </w:p>
    <w:p w:rsidR="00F1237C" w:rsidRPr="00B828B0" w:rsidRDefault="00F1237C" w:rsidP="00F1237C">
      <w:pPr>
        <w:rPr>
          <w:highlight w:val="yellow"/>
        </w:rPr>
      </w:pPr>
      <w:r w:rsidRPr="00B828B0">
        <w:rPr>
          <w:highlight w:val="yellow"/>
        </w:rPr>
        <w:br w:type="page"/>
      </w:r>
    </w:p>
    <w:p w:rsidR="00F1237C" w:rsidRPr="00CD53B7" w:rsidRDefault="00F1237C" w:rsidP="00F1237C">
      <w:pPr>
        <w:pStyle w:val="Heading1"/>
      </w:pPr>
      <w:bookmarkStart w:id="64" w:name="_Toc382926512"/>
      <w:bookmarkStart w:id="65" w:name="_Ref443495260"/>
      <w:bookmarkStart w:id="66" w:name="_Toc507085060"/>
      <w:r w:rsidRPr="00CD53B7">
        <w:lastRenderedPageBreak/>
        <w:t>Ex Ante Impact Estimates</w:t>
      </w:r>
      <w:bookmarkEnd w:id="64"/>
      <w:bookmarkEnd w:id="65"/>
      <w:bookmarkEnd w:id="66"/>
    </w:p>
    <w:p w:rsidR="00F1237C" w:rsidRPr="00CD53B7" w:rsidRDefault="00F1237C" w:rsidP="00F1237C">
      <w:pPr>
        <w:pStyle w:val="BodyParagraph"/>
      </w:pPr>
      <w:r w:rsidRPr="00CD53B7">
        <w:t xml:space="preserve">This section provides the ex ante impact estimates for peak period conditions for the program operational months of May through </w:t>
      </w:r>
      <w:r w:rsidRPr="00463CDF">
        <w:t>October. In accordance with the Resource Adequacy window</w:t>
      </w:r>
      <w:r>
        <w:t>,</w:t>
      </w:r>
      <w:r w:rsidRPr="00463CDF">
        <w:rPr>
          <w:rStyle w:val="FootnoteReference"/>
        </w:rPr>
        <w:footnoteReference w:id="26"/>
      </w:r>
      <w:r w:rsidRPr="00463CDF">
        <w:t xml:space="preserve"> the peak period is defined as 1 to 6 PM, even though PLS program participants are</w:t>
      </w:r>
      <w:r>
        <w:t> </w:t>
      </w:r>
      <w:r w:rsidRPr="00463CDF">
        <w:t>required to shift load from 12 to 6 PM (for SCE and PG&amp;E) or 11 AM to 6 PM (for SDG&amp;E).</w:t>
      </w:r>
      <w:r>
        <w:t> </w:t>
      </w:r>
      <w:r w:rsidRPr="00463CDF">
        <w:t>Estimates for average weekdays can be found in the Excel load impact tables, which</w:t>
      </w:r>
      <w:r>
        <w:t> </w:t>
      </w:r>
      <w:r w:rsidRPr="00CD53B7">
        <w:t>are available upon request.</w:t>
      </w:r>
      <w:r w:rsidRPr="00CD53B7">
        <w:rPr>
          <w:rStyle w:val="FootnoteReference"/>
        </w:rPr>
        <w:footnoteReference w:id="27"/>
      </w:r>
      <w:r w:rsidRPr="00CD53B7">
        <w:t xml:space="preserve"> The results are provided separately for each utility. A comparison to last year’s ex ante forecast is also provided for each utility. The forecast runs</w:t>
      </w:r>
      <w:r>
        <w:t> </w:t>
      </w:r>
      <w:r w:rsidRPr="00CD53B7">
        <w:t>from May 201</w:t>
      </w:r>
      <w:r w:rsidR="008B2A27">
        <w:t>8</w:t>
      </w:r>
      <w:r w:rsidRPr="00CD53B7">
        <w:t xml:space="preserve"> through October 202</w:t>
      </w:r>
      <w:r w:rsidR="008B2A27">
        <w:t>8</w:t>
      </w:r>
      <w:r w:rsidRPr="00CD53B7">
        <w:t xml:space="preserve">. </w:t>
      </w:r>
    </w:p>
    <w:p w:rsidR="00F1237C" w:rsidRPr="00CD53B7" w:rsidRDefault="00F1237C" w:rsidP="00F1237C">
      <w:pPr>
        <w:pStyle w:val="BodyParagraph"/>
      </w:pPr>
      <w:r w:rsidRPr="00CD53B7">
        <w:t xml:space="preserve">Load impacts during the months of November through March are expected to be zero or nearly zero due to a lack of significant cooling load in most areas during those months. In addition, because customers will not be required to run their systems during those months, it is best to assume that the impacts are zero until further information becomes available. Therefore, estimates have not been developed for those months. </w:t>
      </w:r>
    </w:p>
    <w:p w:rsidR="00F1237C" w:rsidRPr="00CD53B7" w:rsidRDefault="00F1237C" w:rsidP="00F1237C">
      <w:pPr>
        <w:pStyle w:val="BodyParagraph"/>
      </w:pPr>
      <w:r w:rsidRPr="00CD53B7">
        <w:t xml:space="preserve">Similarly, customers technically do not have to run their systems during April and SCE customers do not have to run their systems during May or October (see </w:t>
      </w:r>
      <w:r w:rsidRPr="00CD53B7">
        <w:fldChar w:fldCharType="begin"/>
      </w:r>
      <w:r w:rsidRPr="00CD53B7">
        <w:instrText xml:space="preserve"> REF _Ref443495165 \h  \* MERGEFORMAT </w:instrText>
      </w:r>
      <w:r w:rsidRPr="00CD53B7">
        <w:fldChar w:fldCharType="separate"/>
      </w:r>
      <w:r w:rsidR="001F391A" w:rsidRPr="00BE7C5A">
        <w:t xml:space="preserve">Table </w:t>
      </w:r>
      <w:r w:rsidR="001F391A">
        <w:rPr>
          <w:noProof/>
        </w:rPr>
        <w:t>1</w:t>
      </w:r>
      <w:r w:rsidR="001F391A">
        <w:rPr>
          <w:noProof/>
        </w:rPr>
        <w:noBreakHyphen/>
        <w:t>1</w:t>
      </w:r>
      <w:r w:rsidRPr="00CD53B7">
        <w:fldChar w:fldCharType="end"/>
      </w:r>
      <w:r w:rsidRPr="00CD53B7">
        <w:t xml:space="preserve">). Regardless, customers may choose to simply run their systems when the cooling season begins. It is uncertain whether that pattern will develop, and it depends on how easy and financially advantageous it is for customers to run their systems when they are not required to do so. For that reason, April impacts are also excluded from the analysis until empirical data is available to support load impacts outside of the specified program guidelines. May and October impacts for SCE have </w:t>
      </w:r>
      <w:r w:rsidR="006740DF">
        <w:t>also not been included since they are outside of the SCE program season</w:t>
      </w:r>
      <w:r w:rsidRPr="00CD53B7">
        <w:t>.</w:t>
      </w:r>
    </w:p>
    <w:p w:rsidR="00F1237C" w:rsidRPr="00EA44E0" w:rsidRDefault="00F1237C" w:rsidP="00F1237C">
      <w:pPr>
        <w:pStyle w:val="BodyParagraph"/>
      </w:pPr>
      <w:r w:rsidRPr="00EA44E0">
        <w:t xml:space="preserve">It is also important to note that these impacts represent load that is shifted, not eliminated. The evaluation assumes that all avoided peak period load, plus an additional 5%, is consumed during the hours from 9 PM to 6 AM. PLS systems are required to use no more than 5% </w:t>
      </w:r>
      <w:r>
        <w:t xml:space="preserve">of </w:t>
      </w:r>
      <w:r w:rsidRPr="00EA44E0">
        <w:t xml:space="preserve">additional energy </w:t>
      </w:r>
      <w:r>
        <w:t>relative to</w:t>
      </w:r>
      <w:r w:rsidRPr="00EA44E0">
        <w:t xml:space="preserve"> the baseline system. Because not all cooling load occurs during the</w:t>
      </w:r>
      <w:r>
        <w:t> </w:t>
      </w:r>
      <w:r w:rsidRPr="00EA44E0">
        <w:t>peak period and we have only added 5% to the shifted peak period load, our assumption implies that the 5% limit will be binding for many, but not all, sites.</w:t>
      </w:r>
    </w:p>
    <w:p w:rsidR="00F1237C" w:rsidRPr="00EA44E0" w:rsidRDefault="00F1237C" w:rsidP="00F1237C">
      <w:pPr>
        <w:pStyle w:val="BodyParagraph"/>
      </w:pPr>
      <w:r w:rsidRPr="00EA44E0">
        <w:t xml:space="preserve">Finally, each installation is expected to last a minimum of five years, after which we have assumed </w:t>
      </w:r>
      <w:proofErr w:type="gramStart"/>
      <w:r w:rsidRPr="00EA44E0">
        <w:t>a degradation</w:t>
      </w:r>
      <w:proofErr w:type="gramEnd"/>
      <w:r w:rsidRPr="00EA44E0">
        <w:t xml:space="preserve"> in load impacts of about 2.5% per year, which corresponds to an expected life of about 20 years for each installation.</w:t>
      </w:r>
      <w:r w:rsidRPr="00EA44E0">
        <w:rPr>
          <w:rStyle w:val="FootnoteReference"/>
        </w:rPr>
        <w:footnoteReference w:id="28"/>
      </w:r>
      <w:r w:rsidRPr="00EA44E0">
        <w:t xml:space="preserve"> We have assumed the same degradation factor for each month within a given year so that the percentage difference measured May over</w:t>
      </w:r>
      <w:r>
        <w:t> </w:t>
      </w:r>
      <w:r w:rsidRPr="00EA44E0">
        <w:t>May would be identical to the difference measured June over June and so forth. The degradation factor is a major simplification</w:t>
      </w:r>
      <w:r w:rsidR="008D225C">
        <w:t xml:space="preserve"> of what is expected to occur in the next decade</w:t>
      </w:r>
      <w:r w:rsidRPr="00EA44E0">
        <w:t xml:space="preserve">. </w:t>
      </w:r>
      <w:r w:rsidRPr="00EA44E0">
        <w:lastRenderedPageBreak/>
        <w:t>PLS-TES systems are too complex and their continued function is based on too many variables for a</w:t>
      </w:r>
      <w:r>
        <w:t> </w:t>
      </w:r>
      <w:r w:rsidRPr="00EA44E0">
        <w:t>theoretical analysis to accurately reflect the actual state of system operations. Therefore, we have chosen a simple set of values for degradation that dovetail with the assumptions that utility staff consider reasonable; and we recognize the significant uncertainty associated with these projections.</w:t>
      </w:r>
    </w:p>
    <w:p w:rsidR="00F1237C" w:rsidRPr="005C4FEE" w:rsidRDefault="00F1237C" w:rsidP="00F1237C">
      <w:pPr>
        <w:pStyle w:val="Heading2"/>
      </w:pPr>
      <w:bookmarkStart w:id="67" w:name="_Toc382926513"/>
      <w:bookmarkStart w:id="68" w:name="_Toc412919724"/>
      <w:bookmarkStart w:id="69" w:name="_Toc507085061"/>
      <w:r w:rsidRPr="005C4FEE">
        <w:t>PG&amp;E Results</w:t>
      </w:r>
      <w:bookmarkEnd w:id="67"/>
      <w:bookmarkEnd w:id="68"/>
      <w:bookmarkEnd w:id="69"/>
    </w:p>
    <w:p w:rsidR="00F1237C" w:rsidRDefault="00F1237C" w:rsidP="00F1237C">
      <w:pPr>
        <w:pStyle w:val="BodyParagraph"/>
      </w:pPr>
      <w:r w:rsidRPr="00996511">
        <w:fldChar w:fldCharType="begin"/>
      </w:r>
      <w:r w:rsidRPr="00996511">
        <w:instrText xml:space="preserve"> REF _Ref443506702 \h  \* MERGEFORMAT </w:instrText>
      </w:r>
      <w:r w:rsidRPr="00996511">
        <w:fldChar w:fldCharType="separate"/>
      </w:r>
      <w:r w:rsidR="001F391A" w:rsidRPr="006B3688">
        <w:t xml:space="preserve">Table </w:t>
      </w:r>
      <w:r w:rsidR="001F391A">
        <w:rPr>
          <w:noProof/>
        </w:rPr>
        <w:t>6</w:t>
      </w:r>
      <w:r w:rsidR="001F391A">
        <w:rPr>
          <w:noProof/>
        </w:rPr>
        <w:noBreakHyphen/>
        <w:t>1</w:t>
      </w:r>
      <w:r w:rsidRPr="00996511">
        <w:fldChar w:fldCharType="end"/>
      </w:r>
      <w:r w:rsidRPr="00996511">
        <w:t xml:space="preserve"> provides the ex ante load impact estimates for monthly system peak days in May through October of 201</w:t>
      </w:r>
      <w:r>
        <w:t>8</w:t>
      </w:r>
      <w:proofErr w:type="gramStart"/>
      <w:r w:rsidRPr="00996511">
        <w:t>,</w:t>
      </w:r>
      <w:proofErr w:type="gramEnd"/>
      <w:r w:rsidRPr="002F094E">
        <w:rPr>
          <w:rStyle w:val="FootnoteReference"/>
        </w:rPr>
        <w:t xml:space="preserve"> </w:t>
      </w:r>
      <w:r w:rsidRPr="00996511">
        <w:t xml:space="preserve">under the utility specific 1-in-2 and 1-in-10 year weather conditions. </w:t>
      </w:r>
      <w:r>
        <w:t xml:space="preserve">These load impacts are based on the ex post impacts from the single installation that came online in May 2016 and the </w:t>
      </w:r>
      <w:r w:rsidR="00661DD2">
        <w:t>three</w:t>
      </w:r>
      <w:r>
        <w:t xml:space="preserve"> identified projects that are expected to come online in 2018. PG&amp;E’s </w:t>
      </w:r>
      <w:r w:rsidR="00661DD2">
        <w:t>five</w:t>
      </w:r>
      <w:r w:rsidR="00E405B9">
        <w:t xml:space="preserve"> </w:t>
      </w:r>
      <w:r>
        <w:t>identified projects are projected to become operational in May 2018, July 2018,</w:t>
      </w:r>
      <w:r w:rsidR="002A0651">
        <w:t xml:space="preserve"> August 2018, April 2019,</w:t>
      </w:r>
      <w:r>
        <w:t xml:space="preserve"> and June 2019, respectively. In 2018, there are </w:t>
      </w:r>
      <w:r w:rsidR="002A0651">
        <w:t xml:space="preserve">four </w:t>
      </w:r>
      <w:r>
        <w:t xml:space="preserve">total projects that provide a maximum peak load shift of nearly </w:t>
      </w:r>
      <w:r w:rsidR="00972D87" w:rsidRPr="003379D9">
        <w:t>2</w:t>
      </w:r>
      <w:r w:rsidR="00B5019C" w:rsidRPr="003379D9">
        <w:t>.</w:t>
      </w:r>
      <w:r w:rsidR="006940C1" w:rsidRPr="003379D9">
        <w:t>4</w:t>
      </w:r>
      <w:r w:rsidR="003379D9">
        <w:t xml:space="preserve"> MW under the utility specific </w:t>
      </w:r>
      <w:r w:rsidR="00972D87">
        <w:t>August</w:t>
      </w:r>
      <w:r>
        <w:t xml:space="preserve"> </w:t>
      </w:r>
      <w:r w:rsidR="00972D87">
        <w:t>1-in-10</w:t>
      </w:r>
      <w:r>
        <w:t xml:space="preserve"> weather conditions. </w:t>
      </w:r>
    </w:p>
    <w:p w:rsidR="00F1237C" w:rsidRPr="004140C0" w:rsidRDefault="00F1237C" w:rsidP="00F1237C">
      <w:pPr>
        <w:pStyle w:val="BodyParagraph"/>
      </w:pPr>
      <w:r w:rsidRPr="00E87678">
        <w:fldChar w:fldCharType="begin"/>
      </w:r>
      <w:r w:rsidRPr="00E87678">
        <w:instrText xml:space="preserve"> REF _Ref443506733 \h  \* MERGEFORMAT </w:instrText>
      </w:r>
      <w:r w:rsidRPr="00E87678">
        <w:fldChar w:fldCharType="separate"/>
      </w:r>
      <w:r w:rsidR="001F391A" w:rsidRPr="00907DBD">
        <w:t xml:space="preserve">Table </w:t>
      </w:r>
      <w:r w:rsidR="001F391A">
        <w:rPr>
          <w:noProof/>
        </w:rPr>
        <w:t>6</w:t>
      </w:r>
      <w:r w:rsidR="001F391A">
        <w:rPr>
          <w:noProof/>
        </w:rPr>
        <w:noBreakHyphen/>
        <w:t>2</w:t>
      </w:r>
      <w:r w:rsidRPr="00E87678">
        <w:fldChar w:fldCharType="end"/>
      </w:r>
      <w:r w:rsidRPr="00E87678">
        <w:t xml:space="preserve"> shows results from 2019, which is a transition year when the remaining identified project</w:t>
      </w:r>
      <w:r w:rsidR="009A1E71">
        <w:t>s</w:t>
      </w:r>
      <w:r w:rsidR="003379D9">
        <w:t xml:space="preserve"> come</w:t>
      </w:r>
      <w:r w:rsidRPr="00E87678">
        <w:t xml:space="preserve"> online. </w:t>
      </w:r>
      <w:r w:rsidRPr="00907DBD">
        <w:t>With the addition of these new installations, the maximum peak shift is estimated to</w:t>
      </w:r>
      <w:r>
        <w:t> </w:t>
      </w:r>
      <w:r w:rsidRPr="00907DBD">
        <w:t xml:space="preserve">be approximately </w:t>
      </w:r>
      <w:r w:rsidR="00972D87" w:rsidRPr="003379D9">
        <w:t>4.0</w:t>
      </w:r>
      <w:r w:rsidRPr="00907DBD">
        <w:t xml:space="preserve"> MW, occurring under the utility specific July 1-in-10 weather conditions.  </w:t>
      </w:r>
      <w:r w:rsidRPr="00907DBD">
        <w:fldChar w:fldCharType="begin"/>
      </w:r>
      <w:r w:rsidRPr="00907DBD">
        <w:instrText xml:space="preserve"> REF _Ref443633632 \h  \* MERGEFORMAT </w:instrText>
      </w:r>
      <w:r w:rsidRPr="00907DBD">
        <w:fldChar w:fldCharType="separate"/>
      </w:r>
      <w:r w:rsidR="001F391A" w:rsidRPr="004140C0">
        <w:t xml:space="preserve">Table </w:t>
      </w:r>
      <w:r w:rsidR="001F391A">
        <w:rPr>
          <w:noProof/>
        </w:rPr>
        <w:t>6</w:t>
      </w:r>
      <w:r w:rsidR="001F391A">
        <w:rPr>
          <w:noProof/>
        </w:rPr>
        <w:noBreakHyphen/>
        <w:t>3</w:t>
      </w:r>
      <w:r w:rsidRPr="00907DBD">
        <w:fldChar w:fldCharType="end"/>
      </w:r>
      <w:r w:rsidRPr="00907DBD">
        <w:t xml:space="preserve"> provides results for PG&amp;E in 202</w:t>
      </w:r>
      <w:r w:rsidR="00972D87">
        <w:t>8</w:t>
      </w:r>
      <w:r w:rsidRPr="00907DBD">
        <w:t xml:space="preserve">, the final year of the forecast horizon. The </w:t>
      </w:r>
      <w:r w:rsidR="00972D87">
        <w:t xml:space="preserve">largest estimated load shift </w:t>
      </w:r>
      <w:r w:rsidRPr="00907DBD">
        <w:t>for the utility specific July 1</w:t>
      </w:r>
      <w:r w:rsidRPr="00907DBD">
        <w:noBreakHyphen/>
        <w:t>in</w:t>
      </w:r>
      <w:r w:rsidRPr="00907DBD">
        <w:noBreakHyphen/>
        <w:t>10 peak day</w:t>
      </w:r>
      <w:r w:rsidR="00972D87">
        <w:t xml:space="preserve"> drops to about </w:t>
      </w:r>
      <w:r w:rsidR="00972D87" w:rsidRPr="003379D9">
        <w:t>3.5</w:t>
      </w:r>
      <w:r w:rsidR="00972D87">
        <w:t xml:space="preserve"> MW due to expected degradation.</w:t>
      </w:r>
      <w:r w:rsidRPr="00907DBD">
        <w:t xml:space="preserve"> The Greater Bay Area LCA accounts for the largest share of load impacts, comprising approximately </w:t>
      </w:r>
      <w:r w:rsidR="00972D87">
        <w:t>97</w:t>
      </w:r>
      <w:r w:rsidRPr="00907DBD">
        <w:t>% of the total. It is important</w:t>
      </w:r>
      <w:r w:rsidRPr="00E87678">
        <w:t xml:space="preserve"> to note that the Greater Bay Area also includes many hot areas with large commercial and industrial facilities, including Silicon Valley, Concord, and San Ramon. </w:t>
      </w:r>
    </w:p>
    <w:p w:rsidR="00F1237C" w:rsidRPr="00B828B0" w:rsidRDefault="00F1237C" w:rsidP="00F1237C">
      <w:pPr>
        <w:pStyle w:val="BodyParagraph"/>
        <w:rPr>
          <w:highlight w:val="yellow"/>
        </w:rPr>
        <w:sectPr w:rsidR="00F1237C" w:rsidRPr="00B828B0" w:rsidSect="00831552">
          <w:footerReference w:type="default" r:id="rId51"/>
          <w:pgSz w:w="12240" w:h="15840"/>
          <w:pgMar w:top="1440" w:right="1440" w:bottom="1440" w:left="1440" w:header="720" w:footer="720" w:gutter="0"/>
          <w:cols w:space="720"/>
          <w:docGrid w:linePitch="360"/>
        </w:sectPr>
      </w:pPr>
    </w:p>
    <w:p w:rsidR="00F1237C" w:rsidRPr="00C968E1" w:rsidRDefault="00F1237C" w:rsidP="00F1237C">
      <w:pPr>
        <w:pStyle w:val="Caption"/>
      </w:pPr>
      <w:bookmarkStart w:id="70" w:name="_Ref443506702"/>
      <w:r w:rsidRPr="006B3688">
        <w:lastRenderedPageBreak/>
        <w:t xml:space="preserve">Table </w:t>
      </w:r>
      <w:fldSimple w:instr=" STYLEREF 1 \s ">
        <w:r w:rsidR="001F391A">
          <w:rPr>
            <w:noProof/>
          </w:rPr>
          <w:t>6</w:t>
        </w:r>
      </w:fldSimple>
      <w:r w:rsidR="008139B9">
        <w:noBreakHyphen/>
      </w:r>
      <w:fldSimple w:instr=" SEQ Table \* ARABIC \s 1 ">
        <w:r w:rsidR="001F391A">
          <w:rPr>
            <w:noProof/>
          </w:rPr>
          <w:t>1</w:t>
        </w:r>
      </w:fldSimple>
      <w:bookmarkEnd w:id="70"/>
      <w:r w:rsidRPr="006B3688">
        <w:t xml:space="preserve">: PG&amp;E Ex Ante Load Impact Estimates (1 to 6 PM) on Monthly Peak Days for May-October 2018 (kW) </w:t>
      </w:r>
      <w:r w:rsidRPr="006B3688">
        <w:br/>
        <w:t xml:space="preserve">Utility Specific Peak </w:t>
      </w:r>
    </w:p>
    <w:tbl>
      <w:tblPr>
        <w:tblW w:w="12435" w:type="dxa"/>
        <w:jc w:val="center"/>
        <w:tblInd w:w="93" w:type="dxa"/>
        <w:tblLayout w:type="fixed"/>
        <w:tblLook w:val="04A0" w:firstRow="1" w:lastRow="0" w:firstColumn="1" w:lastColumn="0" w:noHBand="0" w:noVBand="1"/>
      </w:tblPr>
      <w:tblGrid>
        <w:gridCol w:w="1810"/>
        <w:gridCol w:w="884"/>
        <w:gridCol w:w="885"/>
        <w:gridCol w:w="884"/>
        <w:gridCol w:w="952"/>
        <w:gridCol w:w="817"/>
        <w:gridCol w:w="893"/>
        <w:gridCol w:w="879"/>
        <w:gridCol w:w="885"/>
        <w:gridCol w:w="885"/>
        <w:gridCol w:w="951"/>
        <w:gridCol w:w="819"/>
        <w:gridCol w:w="891"/>
      </w:tblGrid>
      <w:tr w:rsidR="00F1237C" w:rsidRPr="00B828B0" w:rsidTr="0058471F">
        <w:trPr>
          <w:trHeight w:val="300"/>
          <w:jc w:val="center"/>
        </w:trPr>
        <w:tc>
          <w:tcPr>
            <w:tcW w:w="1810" w:type="dxa"/>
            <w:vMerge w:val="restart"/>
            <w:tcBorders>
              <w:top w:val="single" w:sz="4" w:space="0" w:color="000000"/>
              <w:left w:val="single" w:sz="4" w:space="0" w:color="000000"/>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LCA</w:t>
            </w:r>
          </w:p>
        </w:tc>
        <w:tc>
          <w:tcPr>
            <w:tcW w:w="1769"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May</w:t>
            </w:r>
          </w:p>
        </w:tc>
        <w:tc>
          <w:tcPr>
            <w:tcW w:w="1836"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June</w:t>
            </w:r>
          </w:p>
        </w:tc>
        <w:tc>
          <w:tcPr>
            <w:tcW w:w="171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July</w:t>
            </w:r>
          </w:p>
        </w:tc>
        <w:tc>
          <w:tcPr>
            <w:tcW w:w="1764"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August</w:t>
            </w:r>
          </w:p>
        </w:tc>
        <w:tc>
          <w:tcPr>
            <w:tcW w:w="1836"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September</w:t>
            </w:r>
          </w:p>
        </w:tc>
        <w:tc>
          <w:tcPr>
            <w:tcW w:w="171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October</w:t>
            </w:r>
          </w:p>
        </w:tc>
      </w:tr>
      <w:tr w:rsidR="00F1237C" w:rsidRPr="00B828B0" w:rsidTr="0058471F">
        <w:trPr>
          <w:trHeight w:val="300"/>
          <w:jc w:val="center"/>
        </w:trPr>
        <w:tc>
          <w:tcPr>
            <w:tcW w:w="1810" w:type="dxa"/>
            <w:vMerge/>
            <w:tcBorders>
              <w:top w:val="single" w:sz="4" w:space="0" w:color="000000"/>
              <w:left w:val="single" w:sz="4" w:space="0" w:color="000000"/>
              <w:bottom w:val="single" w:sz="4" w:space="0" w:color="000000"/>
              <w:right w:val="single" w:sz="4" w:space="0" w:color="FFFFFF"/>
            </w:tcBorders>
            <w:vAlign w:val="center"/>
            <w:hideMark/>
          </w:tcPr>
          <w:p w:rsidR="00F1237C" w:rsidRPr="00EA44E0" w:rsidRDefault="00F1237C" w:rsidP="0058471F">
            <w:pPr>
              <w:spacing w:after="0" w:line="240" w:lineRule="auto"/>
              <w:rPr>
                <w:rFonts w:ascii="Arial" w:eastAsia="Times New Roman" w:hAnsi="Arial" w:cs="Arial"/>
                <w:b/>
                <w:bCs/>
                <w:color w:val="FFFFFF"/>
                <w:sz w:val="20"/>
                <w:szCs w:val="20"/>
              </w:rPr>
            </w:pPr>
          </w:p>
        </w:tc>
        <w:tc>
          <w:tcPr>
            <w:tcW w:w="884"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84"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952"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17"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93"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79"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951"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19"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91" w:type="dxa"/>
            <w:tcBorders>
              <w:top w:val="nil"/>
              <w:left w:val="nil"/>
              <w:bottom w:val="single" w:sz="4" w:space="0" w:color="000000"/>
              <w:right w:val="single" w:sz="4" w:space="0" w:color="000000"/>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Greater Bay Area</w:t>
            </w:r>
          </w:p>
        </w:tc>
        <w:tc>
          <w:tcPr>
            <w:tcW w:w="884" w:type="dxa"/>
            <w:tcBorders>
              <w:top w:val="nil"/>
              <w:left w:val="nil"/>
              <w:bottom w:val="single" w:sz="4" w:space="0" w:color="000000"/>
              <w:right w:val="single" w:sz="4" w:space="0" w:color="000000"/>
            </w:tcBorders>
            <w:shd w:val="clear" w:color="auto" w:fill="auto"/>
            <w:noWrap/>
            <w:vAlign w:val="bottom"/>
          </w:tcPr>
          <w:p w:rsidR="00F1237C" w:rsidRPr="003379D9" w:rsidRDefault="00F13AE8" w:rsidP="0058471F">
            <w:pPr>
              <w:spacing w:after="0"/>
              <w:jc w:val="center"/>
              <w:rPr>
                <w:rFonts w:ascii="Arial" w:hAnsi="Arial" w:cs="Arial"/>
                <w:color w:val="000000"/>
                <w:sz w:val="20"/>
                <w:szCs w:val="18"/>
              </w:rPr>
            </w:pPr>
            <w:r w:rsidRPr="00541198">
              <w:rPr>
                <w:rFonts w:ascii="Arial" w:hAnsi="Arial" w:cs="Arial"/>
                <w:color w:val="000000"/>
                <w:sz w:val="20"/>
                <w:szCs w:val="18"/>
                <w:highlight w:val="black"/>
              </w:rPr>
              <w:t>XXX</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F13AE8" w:rsidP="0058471F">
            <w:pPr>
              <w:spacing w:after="0"/>
              <w:jc w:val="center"/>
              <w:rPr>
                <w:rFonts w:ascii="Arial" w:hAnsi="Arial" w:cs="Arial"/>
                <w:color w:val="000000"/>
                <w:sz w:val="20"/>
                <w:szCs w:val="18"/>
              </w:rPr>
            </w:pPr>
            <w:r w:rsidRPr="00541198">
              <w:rPr>
                <w:rFonts w:ascii="Arial" w:hAnsi="Arial" w:cs="Arial"/>
                <w:color w:val="000000"/>
                <w:sz w:val="20"/>
                <w:szCs w:val="18"/>
                <w:highlight w:val="black"/>
              </w:rPr>
              <w:t>XXX</w:t>
            </w:r>
          </w:p>
        </w:tc>
        <w:tc>
          <w:tcPr>
            <w:tcW w:w="884" w:type="dxa"/>
            <w:tcBorders>
              <w:top w:val="nil"/>
              <w:left w:val="nil"/>
              <w:bottom w:val="single" w:sz="4" w:space="0" w:color="000000"/>
              <w:right w:val="single" w:sz="4" w:space="0" w:color="000000"/>
            </w:tcBorders>
            <w:shd w:val="clear" w:color="auto" w:fill="auto"/>
            <w:noWrap/>
            <w:vAlign w:val="bottom"/>
          </w:tcPr>
          <w:p w:rsidR="00F1237C" w:rsidRPr="003379D9" w:rsidRDefault="00F13AE8" w:rsidP="0058471F">
            <w:pPr>
              <w:spacing w:after="0"/>
              <w:jc w:val="center"/>
              <w:rPr>
                <w:rFonts w:ascii="Arial" w:hAnsi="Arial" w:cs="Arial"/>
                <w:color w:val="000000"/>
                <w:sz w:val="20"/>
                <w:szCs w:val="18"/>
              </w:rPr>
            </w:pPr>
            <w:r w:rsidRPr="00541198">
              <w:rPr>
                <w:rFonts w:ascii="Arial" w:hAnsi="Arial" w:cs="Arial"/>
                <w:color w:val="000000"/>
                <w:sz w:val="20"/>
                <w:szCs w:val="18"/>
                <w:highlight w:val="black"/>
              </w:rPr>
              <w:t>XXX</w:t>
            </w:r>
          </w:p>
        </w:tc>
        <w:tc>
          <w:tcPr>
            <w:tcW w:w="952" w:type="dxa"/>
            <w:tcBorders>
              <w:top w:val="nil"/>
              <w:left w:val="nil"/>
              <w:bottom w:val="single" w:sz="4" w:space="0" w:color="000000"/>
              <w:right w:val="single" w:sz="4" w:space="0" w:color="000000"/>
            </w:tcBorders>
            <w:shd w:val="clear" w:color="auto" w:fill="auto"/>
            <w:noWrap/>
            <w:vAlign w:val="bottom"/>
          </w:tcPr>
          <w:p w:rsidR="00F1237C" w:rsidRPr="003379D9" w:rsidRDefault="00F13AE8" w:rsidP="0058471F">
            <w:pPr>
              <w:spacing w:after="0"/>
              <w:jc w:val="center"/>
              <w:rPr>
                <w:rFonts w:ascii="Arial" w:hAnsi="Arial" w:cs="Arial"/>
                <w:color w:val="000000"/>
                <w:sz w:val="20"/>
                <w:szCs w:val="18"/>
              </w:rPr>
            </w:pPr>
            <w:r w:rsidRPr="00541198">
              <w:rPr>
                <w:rFonts w:ascii="Arial" w:hAnsi="Arial" w:cs="Arial"/>
                <w:color w:val="000000"/>
                <w:sz w:val="20"/>
                <w:szCs w:val="18"/>
                <w:highlight w:val="black"/>
              </w:rPr>
              <w:t>XXX</w:t>
            </w:r>
          </w:p>
        </w:tc>
        <w:tc>
          <w:tcPr>
            <w:tcW w:w="817" w:type="dxa"/>
            <w:tcBorders>
              <w:top w:val="nil"/>
              <w:left w:val="nil"/>
              <w:bottom w:val="single" w:sz="4" w:space="0" w:color="000000"/>
              <w:right w:val="single" w:sz="4" w:space="0" w:color="000000"/>
            </w:tcBorders>
            <w:shd w:val="clear" w:color="auto" w:fill="auto"/>
            <w:noWrap/>
            <w:vAlign w:val="bottom"/>
          </w:tcPr>
          <w:p w:rsidR="00F1237C" w:rsidRPr="003379D9" w:rsidRDefault="00F13AE8" w:rsidP="0058471F">
            <w:pPr>
              <w:spacing w:after="0"/>
              <w:jc w:val="center"/>
              <w:rPr>
                <w:rFonts w:ascii="Arial" w:hAnsi="Arial" w:cs="Arial"/>
                <w:color w:val="000000"/>
                <w:sz w:val="20"/>
                <w:szCs w:val="18"/>
              </w:rPr>
            </w:pPr>
            <w:r w:rsidRPr="00541198">
              <w:rPr>
                <w:rFonts w:ascii="Arial" w:hAnsi="Arial" w:cs="Arial"/>
                <w:color w:val="000000"/>
                <w:sz w:val="20"/>
                <w:szCs w:val="18"/>
                <w:highlight w:val="black"/>
              </w:rPr>
              <w:t>XXX</w:t>
            </w:r>
          </w:p>
        </w:tc>
        <w:tc>
          <w:tcPr>
            <w:tcW w:w="893" w:type="dxa"/>
            <w:tcBorders>
              <w:top w:val="nil"/>
              <w:left w:val="nil"/>
              <w:bottom w:val="single" w:sz="4" w:space="0" w:color="000000"/>
              <w:right w:val="single" w:sz="4" w:space="0" w:color="000000"/>
            </w:tcBorders>
            <w:shd w:val="clear" w:color="auto" w:fill="auto"/>
            <w:noWrap/>
            <w:vAlign w:val="bottom"/>
          </w:tcPr>
          <w:p w:rsidR="00F1237C" w:rsidRPr="003379D9" w:rsidRDefault="00F13AE8" w:rsidP="0058471F">
            <w:pPr>
              <w:spacing w:after="0"/>
              <w:jc w:val="center"/>
              <w:rPr>
                <w:rFonts w:ascii="Arial" w:hAnsi="Arial" w:cs="Arial"/>
                <w:color w:val="000000"/>
                <w:sz w:val="20"/>
                <w:szCs w:val="18"/>
              </w:rPr>
            </w:pPr>
            <w:r w:rsidRPr="00541198">
              <w:rPr>
                <w:rFonts w:ascii="Arial" w:hAnsi="Arial" w:cs="Arial"/>
                <w:color w:val="000000"/>
                <w:sz w:val="20"/>
                <w:szCs w:val="18"/>
                <w:highlight w:val="black"/>
              </w:rPr>
              <w:t>XXX</w:t>
            </w:r>
          </w:p>
        </w:tc>
        <w:tc>
          <w:tcPr>
            <w:tcW w:w="879" w:type="dxa"/>
            <w:tcBorders>
              <w:top w:val="nil"/>
              <w:left w:val="nil"/>
              <w:bottom w:val="single" w:sz="4" w:space="0" w:color="000000"/>
              <w:right w:val="single" w:sz="4" w:space="0" w:color="000000"/>
            </w:tcBorders>
            <w:shd w:val="clear" w:color="auto" w:fill="auto"/>
            <w:noWrap/>
            <w:vAlign w:val="bottom"/>
          </w:tcPr>
          <w:p w:rsidR="00F1237C" w:rsidRPr="003379D9" w:rsidRDefault="00972D87" w:rsidP="0058471F">
            <w:pPr>
              <w:spacing w:after="0"/>
              <w:jc w:val="center"/>
              <w:rPr>
                <w:rFonts w:ascii="Arial" w:hAnsi="Arial" w:cs="Arial"/>
                <w:color w:val="000000"/>
                <w:sz w:val="20"/>
                <w:szCs w:val="18"/>
              </w:rPr>
            </w:pPr>
            <w:r w:rsidRPr="003379D9">
              <w:rPr>
                <w:rFonts w:ascii="Arial" w:hAnsi="Arial" w:cs="Arial"/>
                <w:color w:val="000000"/>
                <w:sz w:val="20"/>
                <w:szCs w:val="18"/>
              </w:rPr>
              <w:t>2</w:t>
            </w:r>
            <w:r w:rsidR="00047ABA" w:rsidRPr="003379D9">
              <w:rPr>
                <w:rFonts w:ascii="Arial" w:hAnsi="Arial" w:cs="Arial"/>
                <w:color w:val="000000"/>
                <w:sz w:val="20"/>
                <w:szCs w:val="18"/>
              </w:rPr>
              <w:t>,</w:t>
            </w:r>
            <w:r w:rsidRPr="003379D9">
              <w:rPr>
                <w:rFonts w:ascii="Arial" w:hAnsi="Arial" w:cs="Arial"/>
                <w:color w:val="000000"/>
                <w:sz w:val="20"/>
                <w:szCs w:val="18"/>
              </w:rPr>
              <w:t>13</w:t>
            </w:r>
            <w:r w:rsidR="007266FE" w:rsidRPr="003379D9">
              <w:rPr>
                <w:rFonts w:ascii="Arial" w:hAnsi="Arial" w:cs="Arial"/>
                <w:color w:val="000000"/>
                <w:sz w:val="20"/>
                <w:szCs w:val="18"/>
              </w:rPr>
              <w:t>3</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972D87" w:rsidP="0058471F">
            <w:pPr>
              <w:spacing w:after="0"/>
              <w:jc w:val="center"/>
              <w:rPr>
                <w:rFonts w:ascii="Arial" w:hAnsi="Arial" w:cs="Arial"/>
                <w:color w:val="000000"/>
                <w:sz w:val="20"/>
                <w:szCs w:val="18"/>
              </w:rPr>
            </w:pPr>
            <w:r w:rsidRPr="003379D9">
              <w:rPr>
                <w:rFonts w:ascii="Arial" w:hAnsi="Arial" w:cs="Arial"/>
                <w:color w:val="000000"/>
                <w:sz w:val="20"/>
                <w:szCs w:val="18"/>
              </w:rPr>
              <w:t>2</w:t>
            </w:r>
            <w:r w:rsidR="00047ABA" w:rsidRPr="003379D9">
              <w:rPr>
                <w:rFonts w:ascii="Arial" w:hAnsi="Arial" w:cs="Arial"/>
                <w:color w:val="000000"/>
                <w:sz w:val="20"/>
                <w:szCs w:val="18"/>
              </w:rPr>
              <w:t>,</w:t>
            </w:r>
            <w:r w:rsidRPr="003379D9">
              <w:rPr>
                <w:rFonts w:ascii="Arial" w:hAnsi="Arial" w:cs="Arial"/>
                <w:color w:val="000000"/>
                <w:sz w:val="20"/>
                <w:szCs w:val="18"/>
              </w:rPr>
              <w:t>234</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972D87" w:rsidP="0058471F">
            <w:pPr>
              <w:spacing w:after="0"/>
              <w:jc w:val="center"/>
              <w:rPr>
                <w:rFonts w:ascii="Arial" w:hAnsi="Arial" w:cs="Arial"/>
                <w:color w:val="000000"/>
                <w:sz w:val="20"/>
                <w:szCs w:val="18"/>
              </w:rPr>
            </w:pPr>
            <w:r w:rsidRPr="003379D9">
              <w:rPr>
                <w:rFonts w:ascii="Arial" w:hAnsi="Arial" w:cs="Arial"/>
                <w:color w:val="000000"/>
                <w:sz w:val="20"/>
                <w:szCs w:val="18"/>
              </w:rPr>
              <w:t>2</w:t>
            </w:r>
            <w:r w:rsidR="00047ABA" w:rsidRPr="003379D9">
              <w:rPr>
                <w:rFonts w:ascii="Arial" w:hAnsi="Arial" w:cs="Arial"/>
                <w:color w:val="000000"/>
                <w:sz w:val="20"/>
                <w:szCs w:val="18"/>
              </w:rPr>
              <w:t>,</w:t>
            </w:r>
            <w:r w:rsidRPr="003379D9">
              <w:rPr>
                <w:rFonts w:ascii="Arial" w:hAnsi="Arial" w:cs="Arial"/>
                <w:color w:val="000000"/>
                <w:sz w:val="20"/>
                <w:szCs w:val="18"/>
              </w:rPr>
              <w:t>023</w:t>
            </w:r>
          </w:p>
        </w:tc>
        <w:tc>
          <w:tcPr>
            <w:tcW w:w="951" w:type="dxa"/>
            <w:tcBorders>
              <w:top w:val="nil"/>
              <w:left w:val="nil"/>
              <w:bottom w:val="single" w:sz="4" w:space="0" w:color="000000"/>
              <w:right w:val="single" w:sz="4" w:space="0" w:color="000000"/>
            </w:tcBorders>
            <w:shd w:val="clear" w:color="auto" w:fill="auto"/>
            <w:noWrap/>
            <w:vAlign w:val="bottom"/>
          </w:tcPr>
          <w:p w:rsidR="00F1237C" w:rsidRPr="003379D9" w:rsidRDefault="00972D87" w:rsidP="0058471F">
            <w:pPr>
              <w:spacing w:after="0"/>
              <w:jc w:val="center"/>
              <w:rPr>
                <w:rFonts w:ascii="Arial" w:hAnsi="Arial" w:cs="Arial"/>
                <w:color w:val="000000"/>
                <w:sz w:val="20"/>
                <w:szCs w:val="18"/>
              </w:rPr>
            </w:pPr>
            <w:r w:rsidRPr="003379D9">
              <w:rPr>
                <w:rFonts w:ascii="Arial" w:hAnsi="Arial" w:cs="Arial"/>
                <w:color w:val="000000"/>
                <w:sz w:val="20"/>
                <w:szCs w:val="18"/>
              </w:rPr>
              <w:t>2</w:t>
            </w:r>
            <w:r w:rsidR="00047ABA" w:rsidRPr="003379D9">
              <w:rPr>
                <w:rFonts w:ascii="Arial" w:hAnsi="Arial" w:cs="Arial"/>
                <w:color w:val="000000"/>
                <w:sz w:val="20"/>
                <w:szCs w:val="18"/>
              </w:rPr>
              <w:t>,</w:t>
            </w:r>
            <w:r w:rsidRPr="003379D9">
              <w:rPr>
                <w:rFonts w:ascii="Arial" w:hAnsi="Arial" w:cs="Arial"/>
                <w:color w:val="000000"/>
                <w:sz w:val="20"/>
                <w:szCs w:val="18"/>
              </w:rPr>
              <w:t>051</w:t>
            </w:r>
          </w:p>
        </w:tc>
        <w:tc>
          <w:tcPr>
            <w:tcW w:w="819" w:type="dxa"/>
            <w:tcBorders>
              <w:top w:val="nil"/>
              <w:left w:val="nil"/>
              <w:bottom w:val="single" w:sz="4" w:space="0" w:color="000000"/>
              <w:right w:val="single" w:sz="4" w:space="0" w:color="000000"/>
            </w:tcBorders>
            <w:shd w:val="clear" w:color="auto" w:fill="auto"/>
            <w:noWrap/>
            <w:vAlign w:val="bottom"/>
          </w:tcPr>
          <w:p w:rsidR="00F1237C" w:rsidRPr="003379D9" w:rsidRDefault="00972D87" w:rsidP="0058471F">
            <w:pPr>
              <w:spacing w:after="0"/>
              <w:jc w:val="center"/>
              <w:rPr>
                <w:rFonts w:ascii="Arial" w:hAnsi="Arial" w:cs="Arial"/>
                <w:color w:val="000000"/>
                <w:sz w:val="20"/>
                <w:szCs w:val="18"/>
              </w:rPr>
            </w:pPr>
            <w:r w:rsidRPr="003379D9">
              <w:rPr>
                <w:rFonts w:ascii="Arial" w:hAnsi="Arial" w:cs="Arial"/>
                <w:color w:val="000000"/>
                <w:sz w:val="20"/>
                <w:szCs w:val="18"/>
              </w:rPr>
              <w:t>1</w:t>
            </w:r>
            <w:r w:rsidR="00047ABA" w:rsidRPr="003379D9">
              <w:rPr>
                <w:rFonts w:ascii="Arial" w:hAnsi="Arial" w:cs="Arial"/>
                <w:color w:val="000000"/>
                <w:sz w:val="20"/>
                <w:szCs w:val="18"/>
              </w:rPr>
              <w:t>,</w:t>
            </w:r>
            <w:r w:rsidRPr="003379D9">
              <w:rPr>
                <w:rFonts w:ascii="Arial" w:hAnsi="Arial" w:cs="Arial"/>
                <w:color w:val="000000"/>
                <w:sz w:val="20"/>
                <w:szCs w:val="18"/>
              </w:rPr>
              <w:t>830</w:t>
            </w:r>
          </w:p>
        </w:tc>
        <w:tc>
          <w:tcPr>
            <w:tcW w:w="891" w:type="dxa"/>
            <w:tcBorders>
              <w:top w:val="nil"/>
              <w:left w:val="nil"/>
              <w:bottom w:val="single" w:sz="4" w:space="0" w:color="000000"/>
              <w:right w:val="single" w:sz="4" w:space="0" w:color="000000"/>
            </w:tcBorders>
            <w:shd w:val="clear" w:color="auto" w:fill="auto"/>
            <w:noWrap/>
            <w:vAlign w:val="bottom"/>
          </w:tcPr>
          <w:p w:rsidR="00F1237C" w:rsidRPr="003379D9" w:rsidRDefault="00972D87" w:rsidP="0058471F">
            <w:pPr>
              <w:spacing w:after="0"/>
              <w:jc w:val="center"/>
              <w:rPr>
                <w:rFonts w:ascii="Arial" w:hAnsi="Arial" w:cs="Arial"/>
                <w:color w:val="000000"/>
                <w:sz w:val="20"/>
                <w:szCs w:val="18"/>
              </w:rPr>
            </w:pPr>
            <w:r w:rsidRPr="003379D9">
              <w:rPr>
                <w:rFonts w:ascii="Arial" w:hAnsi="Arial" w:cs="Arial"/>
                <w:color w:val="000000"/>
                <w:sz w:val="20"/>
                <w:szCs w:val="18"/>
              </w:rPr>
              <w:t>1</w:t>
            </w:r>
            <w:r w:rsidR="00047ABA" w:rsidRPr="003379D9">
              <w:rPr>
                <w:rFonts w:ascii="Arial" w:hAnsi="Arial" w:cs="Arial"/>
                <w:color w:val="000000"/>
                <w:sz w:val="20"/>
                <w:szCs w:val="18"/>
              </w:rPr>
              <w:t>,</w:t>
            </w:r>
            <w:r w:rsidRPr="003379D9">
              <w:rPr>
                <w:rFonts w:ascii="Arial" w:hAnsi="Arial" w:cs="Arial"/>
                <w:color w:val="000000"/>
                <w:sz w:val="20"/>
                <w:szCs w:val="18"/>
              </w:rPr>
              <w:t>934</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Greater Fresno</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2"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7"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3"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7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Humboldt</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2"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7"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3"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7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Kern</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2"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7"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3"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7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Northern Coast</w:t>
            </w:r>
          </w:p>
        </w:tc>
        <w:tc>
          <w:tcPr>
            <w:tcW w:w="884" w:type="dxa"/>
            <w:tcBorders>
              <w:top w:val="nil"/>
              <w:left w:val="nil"/>
              <w:bottom w:val="single" w:sz="4" w:space="0" w:color="000000"/>
              <w:right w:val="single" w:sz="4" w:space="0" w:color="000000"/>
            </w:tcBorders>
            <w:shd w:val="clear" w:color="auto" w:fill="auto"/>
            <w:noWrap/>
            <w:vAlign w:val="bottom"/>
          </w:tcPr>
          <w:p w:rsidR="00F1237C" w:rsidRPr="00541198" w:rsidRDefault="00F13AE8" w:rsidP="0058471F">
            <w:pPr>
              <w:spacing w:after="0"/>
              <w:jc w:val="center"/>
              <w:rPr>
                <w:rFonts w:ascii="Arial" w:hAnsi="Arial" w:cs="Arial"/>
                <w:color w:val="000000"/>
                <w:sz w:val="20"/>
                <w:szCs w:val="18"/>
                <w:highlight w:val="black"/>
              </w:rPr>
            </w:pPr>
            <w:r w:rsidRPr="00541198">
              <w:rPr>
                <w:rFonts w:ascii="Arial" w:hAnsi="Arial" w:cs="Arial"/>
                <w:color w:val="000000"/>
                <w:sz w:val="20"/>
                <w:szCs w:val="18"/>
                <w:highlight w:val="black"/>
              </w:rPr>
              <w:t>XXX</w:t>
            </w:r>
          </w:p>
        </w:tc>
        <w:tc>
          <w:tcPr>
            <w:tcW w:w="885" w:type="dxa"/>
            <w:tcBorders>
              <w:top w:val="nil"/>
              <w:left w:val="nil"/>
              <w:bottom w:val="single" w:sz="4" w:space="0" w:color="000000"/>
              <w:right w:val="single" w:sz="4" w:space="0" w:color="000000"/>
            </w:tcBorders>
            <w:shd w:val="clear" w:color="auto" w:fill="auto"/>
            <w:noWrap/>
            <w:vAlign w:val="bottom"/>
          </w:tcPr>
          <w:p w:rsidR="00F1237C" w:rsidRPr="00541198" w:rsidRDefault="00541198" w:rsidP="0058471F">
            <w:pPr>
              <w:spacing w:after="0"/>
              <w:jc w:val="center"/>
              <w:rPr>
                <w:rFonts w:ascii="Arial" w:hAnsi="Arial" w:cs="Arial"/>
                <w:color w:val="000000"/>
                <w:sz w:val="20"/>
                <w:szCs w:val="18"/>
                <w:highlight w:val="black"/>
              </w:rPr>
            </w:pPr>
            <w:r w:rsidRPr="00541198">
              <w:rPr>
                <w:rFonts w:ascii="Arial" w:hAnsi="Arial" w:cs="Arial"/>
                <w:color w:val="000000"/>
                <w:sz w:val="20"/>
                <w:szCs w:val="18"/>
                <w:highlight w:val="black"/>
              </w:rPr>
              <w:t>XXX</w:t>
            </w:r>
          </w:p>
        </w:tc>
        <w:tc>
          <w:tcPr>
            <w:tcW w:w="884" w:type="dxa"/>
            <w:tcBorders>
              <w:top w:val="nil"/>
              <w:left w:val="nil"/>
              <w:bottom w:val="single" w:sz="4" w:space="0" w:color="000000"/>
              <w:right w:val="single" w:sz="4" w:space="0" w:color="000000"/>
            </w:tcBorders>
            <w:shd w:val="clear" w:color="auto" w:fill="auto"/>
            <w:noWrap/>
            <w:vAlign w:val="bottom"/>
          </w:tcPr>
          <w:p w:rsidR="00F1237C" w:rsidRPr="00541198" w:rsidRDefault="00541198" w:rsidP="0058471F">
            <w:pPr>
              <w:spacing w:after="0"/>
              <w:jc w:val="center"/>
              <w:rPr>
                <w:rFonts w:ascii="Arial" w:hAnsi="Arial" w:cs="Arial"/>
                <w:color w:val="000000"/>
                <w:sz w:val="20"/>
                <w:szCs w:val="18"/>
                <w:highlight w:val="black"/>
              </w:rPr>
            </w:pPr>
            <w:r w:rsidRPr="00541198">
              <w:rPr>
                <w:rFonts w:ascii="Arial" w:hAnsi="Arial" w:cs="Arial"/>
                <w:color w:val="000000"/>
                <w:sz w:val="20"/>
                <w:szCs w:val="18"/>
                <w:highlight w:val="black"/>
              </w:rPr>
              <w:t>XXX</w:t>
            </w:r>
          </w:p>
        </w:tc>
        <w:tc>
          <w:tcPr>
            <w:tcW w:w="952" w:type="dxa"/>
            <w:tcBorders>
              <w:top w:val="nil"/>
              <w:left w:val="nil"/>
              <w:bottom w:val="single" w:sz="4" w:space="0" w:color="000000"/>
              <w:right w:val="single" w:sz="4" w:space="0" w:color="000000"/>
            </w:tcBorders>
            <w:shd w:val="clear" w:color="auto" w:fill="auto"/>
            <w:noWrap/>
            <w:vAlign w:val="bottom"/>
          </w:tcPr>
          <w:p w:rsidR="00F1237C" w:rsidRPr="00541198" w:rsidRDefault="00541198" w:rsidP="0058471F">
            <w:pPr>
              <w:spacing w:after="0"/>
              <w:jc w:val="center"/>
              <w:rPr>
                <w:rFonts w:ascii="Arial" w:hAnsi="Arial" w:cs="Arial"/>
                <w:color w:val="000000"/>
                <w:sz w:val="20"/>
                <w:szCs w:val="18"/>
                <w:highlight w:val="black"/>
              </w:rPr>
            </w:pPr>
            <w:r w:rsidRPr="00541198">
              <w:rPr>
                <w:rFonts w:ascii="Arial" w:hAnsi="Arial" w:cs="Arial"/>
                <w:color w:val="000000"/>
                <w:sz w:val="20"/>
                <w:szCs w:val="18"/>
                <w:highlight w:val="black"/>
              </w:rPr>
              <w:t>XXX</w:t>
            </w:r>
          </w:p>
        </w:tc>
        <w:tc>
          <w:tcPr>
            <w:tcW w:w="817" w:type="dxa"/>
            <w:tcBorders>
              <w:top w:val="nil"/>
              <w:left w:val="nil"/>
              <w:bottom w:val="single" w:sz="4" w:space="0" w:color="000000"/>
              <w:right w:val="single" w:sz="4" w:space="0" w:color="000000"/>
            </w:tcBorders>
            <w:shd w:val="clear" w:color="auto" w:fill="auto"/>
            <w:noWrap/>
            <w:vAlign w:val="bottom"/>
          </w:tcPr>
          <w:p w:rsidR="00F1237C" w:rsidRPr="00541198" w:rsidRDefault="00541198" w:rsidP="0058471F">
            <w:pPr>
              <w:spacing w:after="0"/>
              <w:jc w:val="center"/>
              <w:rPr>
                <w:rFonts w:ascii="Arial" w:hAnsi="Arial" w:cs="Arial"/>
                <w:color w:val="000000"/>
                <w:sz w:val="20"/>
                <w:szCs w:val="18"/>
                <w:highlight w:val="black"/>
              </w:rPr>
            </w:pPr>
            <w:r w:rsidRPr="00541198">
              <w:rPr>
                <w:rFonts w:ascii="Arial" w:hAnsi="Arial" w:cs="Arial"/>
                <w:color w:val="000000"/>
                <w:sz w:val="20"/>
                <w:szCs w:val="18"/>
              </w:rPr>
              <w:t>116</w:t>
            </w:r>
          </w:p>
        </w:tc>
        <w:tc>
          <w:tcPr>
            <w:tcW w:w="893" w:type="dxa"/>
            <w:tcBorders>
              <w:top w:val="nil"/>
              <w:left w:val="nil"/>
              <w:bottom w:val="single" w:sz="4" w:space="0" w:color="000000"/>
              <w:right w:val="single" w:sz="4" w:space="0" w:color="000000"/>
            </w:tcBorders>
            <w:shd w:val="clear" w:color="auto" w:fill="auto"/>
            <w:noWrap/>
            <w:vAlign w:val="bottom"/>
          </w:tcPr>
          <w:p w:rsidR="00F1237C" w:rsidRPr="003379D9" w:rsidRDefault="00541198" w:rsidP="0058471F">
            <w:pPr>
              <w:spacing w:after="0"/>
              <w:jc w:val="center"/>
              <w:rPr>
                <w:rFonts w:ascii="Arial" w:hAnsi="Arial" w:cs="Arial"/>
                <w:color w:val="000000"/>
                <w:sz w:val="20"/>
                <w:szCs w:val="18"/>
              </w:rPr>
            </w:pPr>
            <w:r>
              <w:rPr>
                <w:rFonts w:ascii="Arial" w:hAnsi="Arial" w:cs="Arial"/>
                <w:color w:val="000000"/>
                <w:sz w:val="20"/>
                <w:szCs w:val="18"/>
              </w:rPr>
              <w:t>119</w:t>
            </w:r>
          </w:p>
        </w:tc>
        <w:tc>
          <w:tcPr>
            <w:tcW w:w="879" w:type="dxa"/>
            <w:tcBorders>
              <w:top w:val="nil"/>
              <w:left w:val="nil"/>
              <w:bottom w:val="single" w:sz="4" w:space="0" w:color="000000"/>
              <w:right w:val="single" w:sz="4" w:space="0" w:color="000000"/>
            </w:tcBorders>
            <w:shd w:val="clear" w:color="auto" w:fill="auto"/>
            <w:noWrap/>
            <w:vAlign w:val="bottom"/>
          </w:tcPr>
          <w:p w:rsidR="00F1237C" w:rsidRPr="003379D9" w:rsidRDefault="00F1237C" w:rsidP="0058471F">
            <w:pPr>
              <w:spacing w:after="0"/>
              <w:jc w:val="center"/>
              <w:rPr>
                <w:rFonts w:ascii="Arial" w:hAnsi="Arial" w:cs="Arial"/>
                <w:color w:val="000000"/>
                <w:sz w:val="20"/>
                <w:szCs w:val="18"/>
              </w:rPr>
            </w:pPr>
            <w:r w:rsidRPr="003379D9">
              <w:rPr>
                <w:rFonts w:ascii="Arial" w:hAnsi="Arial" w:cs="Arial"/>
                <w:color w:val="000000"/>
                <w:sz w:val="20"/>
                <w:szCs w:val="18"/>
              </w:rPr>
              <w:t>111</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F1237C" w:rsidP="0058471F">
            <w:pPr>
              <w:spacing w:after="0"/>
              <w:jc w:val="center"/>
              <w:rPr>
                <w:rFonts w:ascii="Arial" w:hAnsi="Arial" w:cs="Arial"/>
                <w:color w:val="000000"/>
                <w:sz w:val="20"/>
                <w:szCs w:val="18"/>
              </w:rPr>
            </w:pPr>
            <w:r w:rsidRPr="003379D9">
              <w:rPr>
                <w:rFonts w:ascii="Arial" w:hAnsi="Arial" w:cs="Arial"/>
                <w:color w:val="000000"/>
                <w:sz w:val="20"/>
                <w:szCs w:val="18"/>
              </w:rPr>
              <w:t>119</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F1237C" w:rsidP="0058471F">
            <w:pPr>
              <w:spacing w:after="0"/>
              <w:jc w:val="center"/>
              <w:rPr>
                <w:rFonts w:ascii="Arial" w:hAnsi="Arial" w:cs="Arial"/>
                <w:color w:val="000000"/>
                <w:sz w:val="20"/>
                <w:szCs w:val="18"/>
              </w:rPr>
            </w:pPr>
            <w:r w:rsidRPr="003379D9">
              <w:rPr>
                <w:rFonts w:ascii="Arial" w:hAnsi="Arial" w:cs="Arial"/>
                <w:color w:val="000000"/>
                <w:sz w:val="20"/>
                <w:szCs w:val="18"/>
              </w:rPr>
              <w:t>110</w:t>
            </w:r>
          </w:p>
        </w:tc>
        <w:tc>
          <w:tcPr>
            <w:tcW w:w="951" w:type="dxa"/>
            <w:tcBorders>
              <w:top w:val="nil"/>
              <w:left w:val="nil"/>
              <w:bottom w:val="single" w:sz="4" w:space="0" w:color="000000"/>
              <w:right w:val="single" w:sz="4" w:space="0" w:color="000000"/>
            </w:tcBorders>
            <w:shd w:val="clear" w:color="auto" w:fill="auto"/>
            <w:noWrap/>
            <w:vAlign w:val="bottom"/>
          </w:tcPr>
          <w:p w:rsidR="00F1237C" w:rsidRPr="003379D9" w:rsidRDefault="00F1237C" w:rsidP="0058471F">
            <w:pPr>
              <w:spacing w:after="0"/>
              <w:jc w:val="center"/>
              <w:rPr>
                <w:rFonts w:ascii="Arial" w:hAnsi="Arial" w:cs="Arial"/>
                <w:color w:val="000000"/>
                <w:sz w:val="20"/>
                <w:szCs w:val="18"/>
              </w:rPr>
            </w:pPr>
            <w:r w:rsidRPr="003379D9">
              <w:rPr>
                <w:rFonts w:ascii="Arial" w:hAnsi="Arial" w:cs="Arial"/>
                <w:color w:val="000000"/>
                <w:sz w:val="20"/>
                <w:szCs w:val="18"/>
              </w:rPr>
              <w:t>117</w:t>
            </w:r>
          </w:p>
        </w:tc>
        <w:tc>
          <w:tcPr>
            <w:tcW w:w="819" w:type="dxa"/>
            <w:tcBorders>
              <w:top w:val="nil"/>
              <w:left w:val="nil"/>
              <w:bottom w:val="single" w:sz="4" w:space="0" w:color="000000"/>
              <w:right w:val="single" w:sz="4" w:space="0" w:color="000000"/>
            </w:tcBorders>
            <w:shd w:val="clear" w:color="auto" w:fill="auto"/>
            <w:noWrap/>
            <w:vAlign w:val="bottom"/>
          </w:tcPr>
          <w:p w:rsidR="00F1237C" w:rsidRPr="003379D9" w:rsidRDefault="00F1237C" w:rsidP="0058471F">
            <w:pPr>
              <w:spacing w:after="0"/>
              <w:jc w:val="center"/>
              <w:rPr>
                <w:rFonts w:ascii="Arial" w:hAnsi="Arial" w:cs="Arial"/>
                <w:color w:val="000000"/>
                <w:sz w:val="20"/>
                <w:szCs w:val="18"/>
              </w:rPr>
            </w:pPr>
            <w:r w:rsidRPr="003379D9">
              <w:rPr>
                <w:rFonts w:ascii="Arial" w:hAnsi="Arial" w:cs="Arial"/>
                <w:color w:val="000000"/>
                <w:sz w:val="20"/>
                <w:szCs w:val="18"/>
              </w:rPr>
              <w:t>102</w:t>
            </w:r>
          </w:p>
        </w:tc>
        <w:tc>
          <w:tcPr>
            <w:tcW w:w="891" w:type="dxa"/>
            <w:tcBorders>
              <w:top w:val="nil"/>
              <w:left w:val="nil"/>
              <w:bottom w:val="single" w:sz="4" w:space="0" w:color="000000"/>
              <w:right w:val="single" w:sz="4" w:space="0" w:color="000000"/>
            </w:tcBorders>
            <w:shd w:val="clear" w:color="auto" w:fill="auto"/>
            <w:noWrap/>
            <w:vAlign w:val="bottom"/>
          </w:tcPr>
          <w:p w:rsidR="00F1237C" w:rsidRPr="003379D9" w:rsidRDefault="00F1237C" w:rsidP="0058471F">
            <w:pPr>
              <w:spacing w:after="0"/>
              <w:jc w:val="center"/>
              <w:rPr>
                <w:rFonts w:ascii="Arial" w:hAnsi="Arial" w:cs="Arial"/>
                <w:color w:val="000000"/>
                <w:sz w:val="20"/>
                <w:szCs w:val="18"/>
              </w:rPr>
            </w:pPr>
            <w:r w:rsidRPr="003379D9">
              <w:rPr>
                <w:rFonts w:ascii="Arial" w:hAnsi="Arial" w:cs="Arial"/>
                <w:color w:val="000000"/>
                <w:sz w:val="20"/>
                <w:szCs w:val="18"/>
              </w:rPr>
              <w:t>107</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Other</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2"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7"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3"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7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Sierra</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2"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7"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3"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7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Stockton</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4"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2"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7"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3"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7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85"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95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19"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c>
          <w:tcPr>
            <w:tcW w:w="891" w:type="dxa"/>
            <w:tcBorders>
              <w:top w:val="nil"/>
              <w:left w:val="nil"/>
              <w:bottom w:val="single" w:sz="4" w:space="0" w:color="000000"/>
              <w:right w:val="single" w:sz="4" w:space="0" w:color="000000"/>
            </w:tcBorders>
            <w:shd w:val="clear" w:color="auto" w:fill="auto"/>
            <w:noWrap/>
            <w:vAlign w:val="bottom"/>
          </w:tcPr>
          <w:p w:rsidR="00F1237C" w:rsidRPr="00CD3CF2" w:rsidRDefault="00F1237C" w:rsidP="0058471F">
            <w:pPr>
              <w:spacing w:after="0"/>
              <w:jc w:val="center"/>
              <w:rPr>
                <w:rFonts w:ascii="Arial" w:hAnsi="Arial" w:cs="Arial"/>
                <w:color w:val="000000"/>
                <w:sz w:val="20"/>
                <w:szCs w:val="18"/>
              </w:rPr>
            </w:pPr>
            <w:r w:rsidRPr="00CD3CF2">
              <w:rPr>
                <w:rFonts w:ascii="Arial" w:hAnsi="Arial" w:cs="Arial"/>
                <w:color w:val="000000"/>
                <w:sz w:val="20"/>
                <w:szCs w:val="18"/>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b/>
                <w:bCs/>
                <w:color w:val="000000"/>
                <w:sz w:val="20"/>
                <w:szCs w:val="18"/>
              </w:rPr>
            </w:pPr>
            <w:r w:rsidRPr="00CD3CF2">
              <w:rPr>
                <w:rFonts w:ascii="Arial" w:eastAsia="Times New Roman" w:hAnsi="Arial" w:cs="Arial"/>
                <w:b/>
                <w:bCs/>
                <w:color w:val="000000"/>
                <w:sz w:val="20"/>
                <w:szCs w:val="18"/>
              </w:rPr>
              <w:t>Total</w:t>
            </w:r>
          </w:p>
        </w:tc>
        <w:tc>
          <w:tcPr>
            <w:tcW w:w="884" w:type="dxa"/>
            <w:tcBorders>
              <w:top w:val="nil"/>
              <w:left w:val="nil"/>
              <w:bottom w:val="single" w:sz="4" w:space="0" w:color="000000"/>
              <w:right w:val="single" w:sz="4" w:space="0" w:color="000000"/>
            </w:tcBorders>
            <w:shd w:val="clear" w:color="auto" w:fill="auto"/>
            <w:noWrap/>
            <w:vAlign w:val="bottom"/>
          </w:tcPr>
          <w:p w:rsidR="00F1237C" w:rsidRPr="003379D9" w:rsidRDefault="00B1690C" w:rsidP="0058471F">
            <w:pPr>
              <w:spacing w:after="0"/>
              <w:jc w:val="center"/>
              <w:rPr>
                <w:rFonts w:ascii="Arial" w:hAnsi="Arial" w:cs="Arial"/>
                <w:b/>
                <w:color w:val="000000"/>
                <w:sz w:val="20"/>
                <w:szCs w:val="18"/>
              </w:rPr>
            </w:pPr>
            <w:r w:rsidRPr="003379D9">
              <w:rPr>
                <w:rFonts w:ascii="Arial" w:hAnsi="Arial" w:cs="Arial"/>
                <w:b/>
                <w:color w:val="000000"/>
                <w:sz w:val="20"/>
                <w:szCs w:val="18"/>
              </w:rPr>
              <w:t>636</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B1690C" w:rsidP="0058471F">
            <w:pPr>
              <w:spacing w:after="0"/>
              <w:jc w:val="center"/>
              <w:rPr>
                <w:rFonts w:ascii="Arial" w:hAnsi="Arial" w:cs="Arial"/>
                <w:b/>
                <w:color w:val="000000"/>
                <w:sz w:val="20"/>
                <w:szCs w:val="18"/>
              </w:rPr>
            </w:pPr>
            <w:r w:rsidRPr="003379D9">
              <w:rPr>
                <w:rFonts w:ascii="Arial" w:hAnsi="Arial" w:cs="Arial"/>
                <w:b/>
                <w:color w:val="000000"/>
                <w:sz w:val="20"/>
                <w:szCs w:val="18"/>
              </w:rPr>
              <w:t>673</w:t>
            </w:r>
          </w:p>
        </w:tc>
        <w:tc>
          <w:tcPr>
            <w:tcW w:w="884" w:type="dxa"/>
            <w:tcBorders>
              <w:top w:val="nil"/>
              <w:left w:val="nil"/>
              <w:bottom w:val="single" w:sz="4" w:space="0" w:color="000000"/>
              <w:right w:val="single" w:sz="4" w:space="0" w:color="000000"/>
            </w:tcBorders>
            <w:shd w:val="clear" w:color="auto" w:fill="auto"/>
            <w:noWrap/>
            <w:vAlign w:val="bottom"/>
          </w:tcPr>
          <w:p w:rsidR="00F1237C" w:rsidRPr="003379D9" w:rsidRDefault="00B1690C" w:rsidP="0058471F">
            <w:pPr>
              <w:spacing w:after="0"/>
              <w:jc w:val="center"/>
              <w:rPr>
                <w:rFonts w:ascii="Arial" w:hAnsi="Arial" w:cs="Arial"/>
                <w:b/>
                <w:color w:val="000000"/>
                <w:sz w:val="20"/>
                <w:szCs w:val="18"/>
              </w:rPr>
            </w:pPr>
            <w:r w:rsidRPr="003379D9">
              <w:rPr>
                <w:rFonts w:ascii="Arial" w:hAnsi="Arial" w:cs="Arial"/>
                <w:b/>
                <w:color w:val="000000"/>
                <w:sz w:val="20"/>
                <w:szCs w:val="18"/>
              </w:rPr>
              <w:t>687</w:t>
            </w:r>
          </w:p>
        </w:tc>
        <w:tc>
          <w:tcPr>
            <w:tcW w:w="952" w:type="dxa"/>
            <w:tcBorders>
              <w:top w:val="nil"/>
              <w:left w:val="nil"/>
              <w:bottom w:val="single" w:sz="4" w:space="0" w:color="000000"/>
              <w:right w:val="single" w:sz="4" w:space="0" w:color="000000"/>
            </w:tcBorders>
            <w:shd w:val="clear" w:color="auto" w:fill="auto"/>
            <w:noWrap/>
            <w:vAlign w:val="bottom"/>
          </w:tcPr>
          <w:p w:rsidR="00F1237C" w:rsidRPr="003379D9" w:rsidRDefault="00B1690C" w:rsidP="0058471F">
            <w:pPr>
              <w:spacing w:after="0"/>
              <w:jc w:val="center"/>
              <w:rPr>
                <w:rFonts w:ascii="Arial" w:hAnsi="Arial" w:cs="Arial"/>
                <w:b/>
                <w:color w:val="000000"/>
                <w:sz w:val="20"/>
                <w:szCs w:val="18"/>
              </w:rPr>
            </w:pPr>
            <w:r w:rsidRPr="003379D9">
              <w:rPr>
                <w:rFonts w:ascii="Arial" w:hAnsi="Arial" w:cs="Arial"/>
                <w:b/>
                <w:color w:val="000000"/>
                <w:sz w:val="20"/>
                <w:szCs w:val="18"/>
              </w:rPr>
              <w:t>708</w:t>
            </w:r>
          </w:p>
        </w:tc>
        <w:tc>
          <w:tcPr>
            <w:tcW w:w="817" w:type="dxa"/>
            <w:tcBorders>
              <w:top w:val="nil"/>
              <w:left w:val="nil"/>
              <w:bottom w:val="single" w:sz="4" w:space="0" w:color="000000"/>
              <w:right w:val="single" w:sz="4" w:space="0" w:color="000000"/>
            </w:tcBorders>
            <w:shd w:val="clear" w:color="auto" w:fill="auto"/>
            <w:noWrap/>
            <w:vAlign w:val="bottom"/>
          </w:tcPr>
          <w:p w:rsidR="00F1237C" w:rsidRPr="003379D9" w:rsidRDefault="00B1690C" w:rsidP="0058471F">
            <w:pPr>
              <w:spacing w:after="0"/>
              <w:jc w:val="center"/>
              <w:rPr>
                <w:rFonts w:ascii="Arial" w:hAnsi="Arial" w:cs="Arial"/>
                <w:b/>
                <w:color w:val="000000"/>
                <w:sz w:val="20"/>
                <w:szCs w:val="18"/>
              </w:rPr>
            </w:pPr>
            <w:r w:rsidRPr="003379D9">
              <w:rPr>
                <w:rFonts w:ascii="Arial" w:hAnsi="Arial" w:cs="Arial"/>
                <w:b/>
                <w:color w:val="000000"/>
                <w:sz w:val="20"/>
                <w:szCs w:val="18"/>
              </w:rPr>
              <w:t>964</w:t>
            </w:r>
          </w:p>
        </w:tc>
        <w:tc>
          <w:tcPr>
            <w:tcW w:w="893" w:type="dxa"/>
            <w:tcBorders>
              <w:top w:val="nil"/>
              <w:left w:val="nil"/>
              <w:bottom w:val="single" w:sz="4" w:space="0" w:color="000000"/>
              <w:right w:val="single" w:sz="4" w:space="0" w:color="000000"/>
            </w:tcBorders>
            <w:shd w:val="clear" w:color="auto" w:fill="auto"/>
            <w:noWrap/>
            <w:vAlign w:val="bottom"/>
          </w:tcPr>
          <w:p w:rsidR="00F1237C" w:rsidRPr="003379D9" w:rsidRDefault="00B1690C" w:rsidP="0058471F">
            <w:pPr>
              <w:spacing w:after="0"/>
              <w:jc w:val="center"/>
              <w:rPr>
                <w:rFonts w:ascii="Arial" w:hAnsi="Arial" w:cs="Arial"/>
                <w:b/>
                <w:color w:val="000000"/>
                <w:sz w:val="20"/>
                <w:szCs w:val="18"/>
              </w:rPr>
            </w:pPr>
            <w:r w:rsidRPr="003379D9">
              <w:rPr>
                <w:rFonts w:ascii="Arial" w:hAnsi="Arial" w:cs="Arial"/>
                <w:b/>
                <w:color w:val="000000"/>
                <w:sz w:val="20"/>
                <w:szCs w:val="18"/>
              </w:rPr>
              <w:t>991</w:t>
            </w:r>
          </w:p>
        </w:tc>
        <w:tc>
          <w:tcPr>
            <w:tcW w:w="879" w:type="dxa"/>
            <w:tcBorders>
              <w:top w:val="nil"/>
              <w:left w:val="nil"/>
              <w:bottom w:val="single" w:sz="4" w:space="0" w:color="000000"/>
              <w:right w:val="single" w:sz="4" w:space="0" w:color="000000"/>
            </w:tcBorders>
            <w:shd w:val="clear" w:color="auto" w:fill="auto"/>
            <w:noWrap/>
            <w:vAlign w:val="bottom"/>
          </w:tcPr>
          <w:p w:rsidR="00F1237C" w:rsidRPr="003379D9" w:rsidRDefault="00B1690C" w:rsidP="0058471F">
            <w:pPr>
              <w:spacing w:after="0"/>
              <w:jc w:val="center"/>
              <w:rPr>
                <w:rFonts w:ascii="Arial" w:hAnsi="Arial" w:cs="Arial"/>
                <w:b/>
                <w:color w:val="000000"/>
                <w:sz w:val="20"/>
                <w:szCs w:val="18"/>
              </w:rPr>
            </w:pPr>
            <w:r w:rsidRPr="003379D9">
              <w:rPr>
                <w:rFonts w:ascii="Arial" w:hAnsi="Arial" w:cs="Arial"/>
                <w:b/>
                <w:color w:val="000000"/>
                <w:sz w:val="20"/>
                <w:szCs w:val="18"/>
              </w:rPr>
              <w:t>2</w:t>
            </w:r>
            <w:r w:rsidR="00047ABA" w:rsidRPr="003379D9">
              <w:rPr>
                <w:rFonts w:ascii="Arial" w:hAnsi="Arial" w:cs="Arial"/>
                <w:b/>
                <w:color w:val="000000"/>
                <w:sz w:val="20"/>
                <w:szCs w:val="18"/>
              </w:rPr>
              <w:t>,</w:t>
            </w:r>
            <w:r w:rsidRPr="003379D9">
              <w:rPr>
                <w:rFonts w:ascii="Arial" w:hAnsi="Arial" w:cs="Arial"/>
                <w:b/>
                <w:color w:val="000000"/>
                <w:sz w:val="20"/>
                <w:szCs w:val="18"/>
              </w:rPr>
              <w:t>24</w:t>
            </w:r>
            <w:r w:rsidR="007266FE" w:rsidRPr="003379D9">
              <w:rPr>
                <w:rFonts w:ascii="Arial" w:hAnsi="Arial" w:cs="Arial"/>
                <w:b/>
                <w:color w:val="000000"/>
                <w:sz w:val="20"/>
                <w:szCs w:val="18"/>
              </w:rPr>
              <w:t>4</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047ABA" w:rsidP="0058471F">
            <w:pPr>
              <w:spacing w:after="0"/>
              <w:jc w:val="center"/>
              <w:rPr>
                <w:rFonts w:ascii="Arial" w:hAnsi="Arial" w:cs="Arial"/>
                <w:b/>
                <w:color w:val="000000"/>
                <w:sz w:val="20"/>
                <w:szCs w:val="18"/>
              </w:rPr>
            </w:pPr>
            <w:r w:rsidRPr="003379D9">
              <w:rPr>
                <w:rFonts w:ascii="Arial" w:hAnsi="Arial" w:cs="Arial"/>
                <w:b/>
                <w:color w:val="000000"/>
                <w:sz w:val="20"/>
                <w:szCs w:val="18"/>
              </w:rPr>
              <w:t>2,353</w:t>
            </w:r>
          </w:p>
        </w:tc>
        <w:tc>
          <w:tcPr>
            <w:tcW w:w="885" w:type="dxa"/>
            <w:tcBorders>
              <w:top w:val="nil"/>
              <w:left w:val="nil"/>
              <w:bottom w:val="single" w:sz="4" w:space="0" w:color="000000"/>
              <w:right w:val="single" w:sz="4" w:space="0" w:color="000000"/>
            </w:tcBorders>
            <w:shd w:val="clear" w:color="auto" w:fill="auto"/>
            <w:noWrap/>
            <w:vAlign w:val="bottom"/>
          </w:tcPr>
          <w:p w:rsidR="00F1237C" w:rsidRPr="003379D9" w:rsidRDefault="00047ABA" w:rsidP="0058471F">
            <w:pPr>
              <w:spacing w:after="0"/>
              <w:jc w:val="center"/>
              <w:rPr>
                <w:rFonts w:ascii="Arial" w:hAnsi="Arial" w:cs="Arial"/>
                <w:b/>
                <w:color w:val="000000"/>
                <w:sz w:val="20"/>
                <w:szCs w:val="18"/>
              </w:rPr>
            </w:pPr>
            <w:r w:rsidRPr="003379D9">
              <w:rPr>
                <w:rFonts w:ascii="Arial" w:hAnsi="Arial" w:cs="Arial"/>
                <w:b/>
                <w:color w:val="000000"/>
                <w:sz w:val="20"/>
                <w:szCs w:val="18"/>
              </w:rPr>
              <w:t>2,133</w:t>
            </w:r>
          </w:p>
        </w:tc>
        <w:tc>
          <w:tcPr>
            <w:tcW w:w="951" w:type="dxa"/>
            <w:tcBorders>
              <w:top w:val="nil"/>
              <w:left w:val="nil"/>
              <w:bottom w:val="single" w:sz="4" w:space="0" w:color="000000"/>
              <w:right w:val="single" w:sz="4" w:space="0" w:color="000000"/>
            </w:tcBorders>
            <w:shd w:val="clear" w:color="auto" w:fill="auto"/>
            <w:noWrap/>
            <w:vAlign w:val="bottom"/>
          </w:tcPr>
          <w:p w:rsidR="00F1237C" w:rsidRPr="003379D9" w:rsidRDefault="00047ABA" w:rsidP="0058471F">
            <w:pPr>
              <w:spacing w:after="0"/>
              <w:jc w:val="center"/>
              <w:rPr>
                <w:rFonts w:ascii="Arial" w:hAnsi="Arial" w:cs="Arial"/>
                <w:b/>
                <w:color w:val="000000"/>
                <w:sz w:val="20"/>
                <w:szCs w:val="18"/>
              </w:rPr>
            </w:pPr>
            <w:r w:rsidRPr="003379D9">
              <w:rPr>
                <w:rFonts w:ascii="Arial" w:hAnsi="Arial" w:cs="Arial"/>
                <w:b/>
                <w:color w:val="000000"/>
                <w:sz w:val="20"/>
                <w:szCs w:val="18"/>
              </w:rPr>
              <w:t>2,168</w:t>
            </w:r>
          </w:p>
        </w:tc>
        <w:tc>
          <w:tcPr>
            <w:tcW w:w="819" w:type="dxa"/>
            <w:tcBorders>
              <w:top w:val="nil"/>
              <w:left w:val="nil"/>
              <w:bottom w:val="single" w:sz="4" w:space="0" w:color="000000"/>
              <w:right w:val="single" w:sz="4" w:space="0" w:color="000000"/>
            </w:tcBorders>
            <w:shd w:val="clear" w:color="auto" w:fill="auto"/>
            <w:noWrap/>
            <w:vAlign w:val="bottom"/>
          </w:tcPr>
          <w:p w:rsidR="00F1237C" w:rsidRPr="003379D9" w:rsidRDefault="00047ABA" w:rsidP="0058471F">
            <w:pPr>
              <w:spacing w:after="0"/>
              <w:jc w:val="center"/>
              <w:rPr>
                <w:rFonts w:ascii="Arial" w:hAnsi="Arial" w:cs="Arial"/>
                <w:b/>
                <w:color w:val="000000"/>
                <w:sz w:val="20"/>
                <w:szCs w:val="18"/>
              </w:rPr>
            </w:pPr>
            <w:r w:rsidRPr="003379D9">
              <w:rPr>
                <w:rFonts w:ascii="Arial" w:hAnsi="Arial" w:cs="Arial"/>
                <w:b/>
                <w:color w:val="000000"/>
                <w:sz w:val="20"/>
                <w:szCs w:val="18"/>
              </w:rPr>
              <w:t>1,932</w:t>
            </w:r>
          </w:p>
        </w:tc>
        <w:tc>
          <w:tcPr>
            <w:tcW w:w="891" w:type="dxa"/>
            <w:tcBorders>
              <w:top w:val="nil"/>
              <w:left w:val="nil"/>
              <w:bottom w:val="single" w:sz="4" w:space="0" w:color="000000"/>
              <w:right w:val="single" w:sz="4" w:space="0" w:color="000000"/>
            </w:tcBorders>
            <w:shd w:val="clear" w:color="auto" w:fill="auto"/>
            <w:noWrap/>
            <w:vAlign w:val="bottom"/>
          </w:tcPr>
          <w:p w:rsidR="00F1237C" w:rsidRPr="003379D9" w:rsidRDefault="00047ABA" w:rsidP="0058471F">
            <w:pPr>
              <w:spacing w:after="0"/>
              <w:jc w:val="center"/>
              <w:rPr>
                <w:rFonts w:ascii="Arial" w:hAnsi="Arial" w:cs="Arial"/>
                <w:b/>
                <w:color w:val="000000"/>
                <w:sz w:val="20"/>
                <w:szCs w:val="18"/>
              </w:rPr>
            </w:pPr>
            <w:r w:rsidRPr="003379D9">
              <w:rPr>
                <w:rFonts w:ascii="Arial" w:hAnsi="Arial" w:cs="Arial"/>
                <w:b/>
                <w:color w:val="000000"/>
                <w:sz w:val="20"/>
                <w:szCs w:val="18"/>
              </w:rPr>
              <w:t>2,041</w:t>
            </w:r>
          </w:p>
        </w:tc>
      </w:tr>
    </w:tbl>
    <w:p w:rsidR="00F1237C" w:rsidRPr="00C968E1" w:rsidRDefault="00F1237C" w:rsidP="00F1237C">
      <w:pPr>
        <w:pStyle w:val="BodyParagraph"/>
      </w:pPr>
    </w:p>
    <w:p w:rsidR="00F1237C" w:rsidRDefault="00F1237C" w:rsidP="00F1237C">
      <w:pPr>
        <w:pStyle w:val="Caption"/>
      </w:pPr>
      <w:bookmarkStart w:id="71" w:name="_Ref443506733"/>
      <w:r w:rsidRPr="00907DBD">
        <w:t xml:space="preserve">Table </w:t>
      </w:r>
      <w:fldSimple w:instr=" STYLEREF 1 \s ">
        <w:r w:rsidR="001F391A">
          <w:rPr>
            <w:noProof/>
          </w:rPr>
          <w:t>6</w:t>
        </w:r>
      </w:fldSimple>
      <w:r w:rsidR="008139B9">
        <w:noBreakHyphen/>
      </w:r>
      <w:fldSimple w:instr=" SEQ Table \* ARABIC \s 1 ">
        <w:r w:rsidR="001F391A">
          <w:rPr>
            <w:noProof/>
          </w:rPr>
          <w:t>2</w:t>
        </w:r>
      </w:fldSimple>
      <w:bookmarkEnd w:id="71"/>
      <w:r w:rsidRPr="00907DBD">
        <w:t xml:space="preserve">: PG&amp;E Ex Ante Load Impact Estimates (1 to 6 PM) on Monthly Peak Days for May-October 2019 (kW) </w:t>
      </w:r>
      <w:r w:rsidRPr="00907DBD">
        <w:br/>
        <w:t xml:space="preserve">Utility Specific Peak </w:t>
      </w:r>
    </w:p>
    <w:tbl>
      <w:tblPr>
        <w:tblW w:w="12435" w:type="dxa"/>
        <w:jc w:val="center"/>
        <w:tblInd w:w="93" w:type="dxa"/>
        <w:tblLayout w:type="fixed"/>
        <w:tblLook w:val="04A0" w:firstRow="1" w:lastRow="0" w:firstColumn="1" w:lastColumn="0" w:noHBand="0" w:noVBand="1"/>
      </w:tblPr>
      <w:tblGrid>
        <w:gridCol w:w="1810"/>
        <w:gridCol w:w="884"/>
        <w:gridCol w:w="885"/>
        <w:gridCol w:w="884"/>
        <w:gridCol w:w="952"/>
        <w:gridCol w:w="817"/>
        <w:gridCol w:w="893"/>
        <w:gridCol w:w="879"/>
        <w:gridCol w:w="885"/>
        <w:gridCol w:w="885"/>
        <w:gridCol w:w="951"/>
        <w:gridCol w:w="819"/>
        <w:gridCol w:w="891"/>
      </w:tblGrid>
      <w:tr w:rsidR="00F1237C" w:rsidRPr="00B828B0" w:rsidTr="0058471F">
        <w:trPr>
          <w:trHeight w:val="300"/>
          <w:jc w:val="center"/>
        </w:trPr>
        <w:tc>
          <w:tcPr>
            <w:tcW w:w="1810" w:type="dxa"/>
            <w:vMerge w:val="restart"/>
            <w:tcBorders>
              <w:top w:val="single" w:sz="4" w:space="0" w:color="000000"/>
              <w:left w:val="single" w:sz="4" w:space="0" w:color="000000"/>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LCA</w:t>
            </w:r>
          </w:p>
        </w:tc>
        <w:tc>
          <w:tcPr>
            <w:tcW w:w="1769"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May</w:t>
            </w:r>
          </w:p>
        </w:tc>
        <w:tc>
          <w:tcPr>
            <w:tcW w:w="1836"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June</w:t>
            </w:r>
          </w:p>
        </w:tc>
        <w:tc>
          <w:tcPr>
            <w:tcW w:w="171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July</w:t>
            </w:r>
          </w:p>
        </w:tc>
        <w:tc>
          <w:tcPr>
            <w:tcW w:w="1764"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August</w:t>
            </w:r>
          </w:p>
        </w:tc>
        <w:tc>
          <w:tcPr>
            <w:tcW w:w="1836"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September</w:t>
            </w:r>
          </w:p>
        </w:tc>
        <w:tc>
          <w:tcPr>
            <w:tcW w:w="171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October</w:t>
            </w:r>
          </w:p>
        </w:tc>
      </w:tr>
      <w:tr w:rsidR="00F1237C" w:rsidRPr="00B828B0" w:rsidTr="0058471F">
        <w:trPr>
          <w:trHeight w:val="300"/>
          <w:jc w:val="center"/>
        </w:trPr>
        <w:tc>
          <w:tcPr>
            <w:tcW w:w="1810" w:type="dxa"/>
            <w:vMerge/>
            <w:tcBorders>
              <w:top w:val="single" w:sz="4" w:space="0" w:color="000000"/>
              <w:left w:val="single" w:sz="4" w:space="0" w:color="000000"/>
              <w:bottom w:val="single" w:sz="4" w:space="0" w:color="000000"/>
              <w:right w:val="single" w:sz="4" w:space="0" w:color="FFFFFF"/>
            </w:tcBorders>
            <w:vAlign w:val="center"/>
            <w:hideMark/>
          </w:tcPr>
          <w:p w:rsidR="00F1237C" w:rsidRPr="00EA44E0" w:rsidRDefault="00F1237C" w:rsidP="0058471F">
            <w:pPr>
              <w:spacing w:after="0" w:line="240" w:lineRule="auto"/>
              <w:rPr>
                <w:rFonts w:ascii="Arial" w:eastAsia="Times New Roman" w:hAnsi="Arial" w:cs="Arial"/>
                <w:b/>
                <w:bCs/>
                <w:color w:val="FFFFFF"/>
                <w:sz w:val="20"/>
                <w:szCs w:val="20"/>
              </w:rPr>
            </w:pPr>
          </w:p>
        </w:tc>
        <w:tc>
          <w:tcPr>
            <w:tcW w:w="884"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84"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952"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17"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93"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79"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951"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19"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91" w:type="dxa"/>
            <w:tcBorders>
              <w:top w:val="nil"/>
              <w:left w:val="nil"/>
              <w:bottom w:val="single" w:sz="4" w:space="0" w:color="000000"/>
              <w:right w:val="single" w:sz="4" w:space="0" w:color="000000"/>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r>
      <w:tr w:rsidR="00F1237C" w:rsidRPr="003379D9"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Greater Bay Area</w:t>
            </w:r>
          </w:p>
        </w:tc>
        <w:tc>
          <w:tcPr>
            <w:tcW w:w="884"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1,960</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2,156</w:t>
            </w:r>
          </w:p>
        </w:tc>
        <w:tc>
          <w:tcPr>
            <w:tcW w:w="884"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3,336</w:t>
            </w:r>
          </w:p>
        </w:tc>
        <w:tc>
          <w:tcPr>
            <w:tcW w:w="952"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3,564</w:t>
            </w:r>
          </w:p>
        </w:tc>
        <w:tc>
          <w:tcPr>
            <w:tcW w:w="817"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3,651</w:t>
            </w:r>
          </w:p>
        </w:tc>
        <w:tc>
          <w:tcPr>
            <w:tcW w:w="893"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3,862</w:t>
            </w:r>
          </w:p>
        </w:tc>
        <w:tc>
          <w:tcPr>
            <w:tcW w:w="879"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3,577</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3,755</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3,460</w:t>
            </w:r>
          </w:p>
        </w:tc>
        <w:tc>
          <w:tcPr>
            <w:tcW w:w="951"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3,532</w:t>
            </w:r>
          </w:p>
        </w:tc>
        <w:tc>
          <w:tcPr>
            <w:tcW w:w="819"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3,121</w:t>
            </w:r>
          </w:p>
        </w:tc>
        <w:tc>
          <w:tcPr>
            <w:tcW w:w="891" w:type="dxa"/>
            <w:tcBorders>
              <w:top w:val="nil"/>
              <w:left w:val="nil"/>
              <w:bottom w:val="single" w:sz="4" w:space="0" w:color="000000"/>
              <w:right w:val="single" w:sz="4" w:space="0" w:color="000000"/>
            </w:tcBorders>
            <w:shd w:val="clear" w:color="auto" w:fill="auto"/>
            <w:noWrap/>
            <w:vAlign w:val="center"/>
          </w:tcPr>
          <w:p w:rsidR="00F1237C" w:rsidRPr="003379D9" w:rsidRDefault="007266FE"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3,277</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Greater Fresno</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Humboldt</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Kern</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3379D9"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Northern Coast</w:t>
            </w:r>
          </w:p>
        </w:tc>
        <w:tc>
          <w:tcPr>
            <w:tcW w:w="884"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102</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113</w:t>
            </w:r>
          </w:p>
        </w:tc>
        <w:tc>
          <w:tcPr>
            <w:tcW w:w="884"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110</w:t>
            </w:r>
          </w:p>
        </w:tc>
        <w:tc>
          <w:tcPr>
            <w:tcW w:w="952"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122</w:t>
            </w:r>
          </w:p>
        </w:tc>
        <w:tc>
          <w:tcPr>
            <w:tcW w:w="817"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116</w:t>
            </w:r>
          </w:p>
        </w:tc>
        <w:tc>
          <w:tcPr>
            <w:tcW w:w="893"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119</w:t>
            </w:r>
          </w:p>
        </w:tc>
        <w:tc>
          <w:tcPr>
            <w:tcW w:w="879"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111</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119</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110</w:t>
            </w:r>
          </w:p>
        </w:tc>
        <w:tc>
          <w:tcPr>
            <w:tcW w:w="951"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117</w:t>
            </w:r>
          </w:p>
        </w:tc>
        <w:tc>
          <w:tcPr>
            <w:tcW w:w="819"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102</w:t>
            </w:r>
          </w:p>
        </w:tc>
        <w:tc>
          <w:tcPr>
            <w:tcW w:w="891"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color w:val="000000"/>
                <w:sz w:val="20"/>
                <w:szCs w:val="20"/>
              </w:rPr>
            </w:pPr>
            <w:r w:rsidRPr="003379D9">
              <w:rPr>
                <w:rFonts w:ascii="Arial" w:hAnsi="Arial" w:cs="Arial"/>
                <w:color w:val="000000"/>
                <w:sz w:val="20"/>
                <w:szCs w:val="20"/>
              </w:rPr>
              <w:t>107</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Other</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Sierra</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Stockton</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6B3688" w:rsidRDefault="00047ABA"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3379D9"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b/>
                <w:bCs/>
                <w:color w:val="000000"/>
                <w:sz w:val="20"/>
                <w:szCs w:val="18"/>
              </w:rPr>
            </w:pPr>
            <w:r w:rsidRPr="00CD3CF2">
              <w:rPr>
                <w:rFonts w:ascii="Arial" w:eastAsia="Times New Roman" w:hAnsi="Arial" w:cs="Arial"/>
                <w:b/>
                <w:bCs/>
                <w:color w:val="000000"/>
                <w:sz w:val="20"/>
                <w:szCs w:val="18"/>
              </w:rPr>
              <w:t>Total</w:t>
            </w:r>
          </w:p>
        </w:tc>
        <w:tc>
          <w:tcPr>
            <w:tcW w:w="884"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2,062</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2,269</w:t>
            </w:r>
          </w:p>
        </w:tc>
        <w:tc>
          <w:tcPr>
            <w:tcW w:w="884"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3,446</w:t>
            </w:r>
          </w:p>
        </w:tc>
        <w:tc>
          <w:tcPr>
            <w:tcW w:w="952" w:type="dxa"/>
            <w:tcBorders>
              <w:top w:val="nil"/>
              <w:left w:val="nil"/>
              <w:bottom w:val="single" w:sz="4" w:space="0" w:color="000000"/>
              <w:right w:val="single" w:sz="4" w:space="0" w:color="000000"/>
            </w:tcBorders>
            <w:shd w:val="clear" w:color="auto" w:fill="auto"/>
            <w:noWrap/>
            <w:vAlign w:val="center"/>
          </w:tcPr>
          <w:p w:rsidR="00F1237C" w:rsidRPr="003379D9" w:rsidRDefault="00047ABA"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3,686</w:t>
            </w:r>
          </w:p>
        </w:tc>
        <w:tc>
          <w:tcPr>
            <w:tcW w:w="817" w:type="dxa"/>
            <w:tcBorders>
              <w:top w:val="nil"/>
              <w:left w:val="nil"/>
              <w:bottom w:val="single" w:sz="4" w:space="0" w:color="000000"/>
              <w:right w:val="single" w:sz="4" w:space="0" w:color="000000"/>
            </w:tcBorders>
            <w:shd w:val="clear" w:color="auto" w:fill="auto"/>
            <w:noWrap/>
            <w:vAlign w:val="center"/>
          </w:tcPr>
          <w:p w:rsidR="00F1237C" w:rsidRPr="003379D9" w:rsidRDefault="00C3559B" w:rsidP="00C3559B">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3,767</w:t>
            </w:r>
          </w:p>
        </w:tc>
        <w:tc>
          <w:tcPr>
            <w:tcW w:w="893" w:type="dxa"/>
            <w:tcBorders>
              <w:top w:val="nil"/>
              <w:left w:val="nil"/>
              <w:bottom w:val="single" w:sz="4" w:space="0" w:color="000000"/>
              <w:right w:val="single" w:sz="4" w:space="0" w:color="000000"/>
            </w:tcBorders>
            <w:shd w:val="clear" w:color="auto" w:fill="auto"/>
            <w:noWrap/>
            <w:vAlign w:val="center"/>
          </w:tcPr>
          <w:p w:rsidR="00F1237C" w:rsidRPr="003379D9" w:rsidRDefault="00C3559B"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3,981</w:t>
            </w:r>
          </w:p>
        </w:tc>
        <w:tc>
          <w:tcPr>
            <w:tcW w:w="879" w:type="dxa"/>
            <w:tcBorders>
              <w:top w:val="nil"/>
              <w:left w:val="nil"/>
              <w:bottom w:val="single" w:sz="4" w:space="0" w:color="000000"/>
              <w:right w:val="single" w:sz="4" w:space="0" w:color="000000"/>
            </w:tcBorders>
            <w:shd w:val="clear" w:color="auto" w:fill="auto"/>
            <w:noWrap/>
            <w:vAlign w:val="center"/>
          </w:tcPr>
          <w:p w:rsidR="00F1237C" w:rsidRPr="003379D9" w:rsidRDefault="00C3559B"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3,688</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C3559B"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3,874</w:t>
            </w:r>
          </w:p>
        </w:tc>
        <w:tc>
          <w:tcPr>
            <w:tcW w:w="885" w:type="dxa"/>
            <w:tcBorders>
              <w:top w:val="nil"/>
              <w:left w:val="nil"/>
              <w:bottom w:val="single" w:sz="4" w:space="0" w:color="000000"/>
              <w:right w:val="single" w:sz="4" w:space="0" w:color="000000"/>
            </w:tcBorders>
            <w:shd w:val="clear" w:color="auto" w:fill="auto"/>
            <w:noWrap/>
            <w:vAlign w:val="center"/>
          </w:tcPr>
          <w:p w:rsidR="00F1237C" w:rsidRPr="003379D9" w:rsidRDefault="007266FE"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3,570</w:t>
            </w:r>
          </w:p>
        </w:tc>
        <w:tc>
          <w:tcPr>
            <w:tcW w:w="951" w:type="dxa"/>
            <w:tcBorders>
              <w:top w:val="nil"/>
              <w:left w:val="nil"/>
              <w:bottom w:val="single" w:sz="4" w:space="0" w:color="000000"/>
              <w:right w:val="single" w:sz="4" w:space="0" w:color="000000"/>
            </w:tcBorders>
            <w:shd w:val="clear" w:color="auto" w:fill="auto"/>
            <w:noWrap/>
            <w:vAlign w:val="center"/>
          </w:tcPr>
          <w:p w:rsidR="00F1237C" w:rsidRPr="003379D9" w:rsidRDefault="007266FE"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3,649</w:t>
            </w:r>
          </w:p>
        </w:tc>
        <w:tc>
          <w:tcPr>
            <w:tcW w:w="819" w:type="dxa"/>
            <w:tcBorders>
              <w:top w:val="nil"/>
              <w:left w:val="nil"/>
              <w:bottom w:val="single" w:sz="4" w:space="0" w:color="000000"/>
              <w:right w:val="single" w:sz="4" w:space="0" w:color="000000"/>
            </w:tcBorders>
            <w:shd w:val="clear" w:color="auto" w:fill="auto"/>
            <w:noWrap/>
            <w:vAlign w:val="center"/>
          </w:tcPr>
          <w:p w:rsidR="00F1237C" w:rsidRPr="003379D9" w:rsidRDefault="007266FE"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3,223</w:t>
            </w:r>
          </w:p>
        </w:tc>
        <w:tc>
          <w:tcPr>
            <w:tcW w:w="891" w:type="dxa"/>
            <w:tcBorders>
              <w:top w:val="nil"/>
              <w:left w:val="nil"/>
              <w:bottom w:val="single" w:sz="4" w:space="0" w:color="000000"/>
              <w:right w:val="single" w:sz="4" w:space="0" w:color="000000"/>
            </w:tcBorders>
            <w:shd w:val="clear" w:color="auto" w:fill="auto"/>
            <w:noWrap/>
            <w:vAlign w:val="center"/>
          </w:tcPr>
          <w:p w:rsidR="00F1237C" w:rsidRPr="003379D9" w:rsidRDefault="007266FE" w:rsidP="0058471F">
            <w:pPr>
              <w:keepNext/>
              <w:spacing w:after="0" w:line="240" w:lineRule="auto"/>
              <w:jc w:val="center"/>
              <w:rPr>
                <w:rFonts w:ascii="Arial" w:hAnsi="Arial" w:cs="Arial"/>
                <w:b/>
                <w:color w:val="000000"/>
                <w:sz w:val="20"/>
                <w:szCs w:val="20"/>
              </w:rPr>
            </w:pPr>
            <w:r w:rsidRPr="003379D9">
              <w:rPr>
                <w:rFonts w:ascii="Arial" w:hAnsi="Arial" w:cs="Arial"/>
                <w:b/>
                <w:color w:val="000000"/>
                <w:sz w:val="20"/>
                <w:szCs w:val="20"/>
              </w:rPr>
              <w:t>3,384</w:t>
            </w:r>
          </w:p>
        </w:tc>
      </w:tr>
    </w:tbl>
    <w:p w:rsidR="00F1237C" w:rsidRPr="00C968E1" w:rsidRDefault="00F1237C" w:rsidP="00F1237C">
      <w:pPr>
        <w:pStyle w:val="BodyParagraph"/>
        <w:tabs>
          <w:tab w:val="left" w:pos="11710"/>
        </w:tabs>
      </w:pPr>
      <w:r w:rsidRPr="00C968E1">
        <w:tab/>
      </w:r>
    </w:p>
    <w:p w:rsidR="00F1237C" w:rsidRDefault="00F1237C" w:rsidP="00F1237C">
      <w:pPr>
        <w:pStyle w:val="Caption"/>
      </w:pPr>
      <w:bookmarkStart w:id="72" w:name="_Ref443633632"/>
      <w:r w:rsidRPr="004140C0">
        <w:lastRenderedPageBreak/>
        <w:t xml:space="preserve">Table </w:t>
      </w:r>
      <w:fldSimple w:instr=" STYLEREF 1 \s ">
        <w:r w:rsidR="001F391A">
          <w:rPr>
            <w:noProof/>
          </w:rPr>
          <w:t>6</w:t>
        </w:r>
      </w:fldSimple>
      <w:r w:rsidR="008139B9">
        <w:noBreakHyphen/>
      </w:r>
      <w:fldSimple w:instr=" SEQ Table \* ARABIC \s 1 ">
        <w:r w:rsidR="001F391A">
          <w:rPr>
            <w:noProof/>
          </w:rPr>
          <w:t>3</w:t>
        </w:r>
      </w:fldSimple>
      <w:bookmarkEnd w:id="72"/>
      <w:r w:rsidRPr="004140C0">
        <w:t>: PG&amp;E Ex Ante Load Impact Estimates (1 to 6 PM) on Monthly Peak Days for May-October 202</w:t>
      </w:r>
      <w:r w:rsidR="00661DD2">
        <w:t>8</w:t>
      </w:r>
      <w:r w:rsidRPr="004140C0">
        <w:t xml:space="preserve"> (kW) </w:t>
      </w:r>
      <w:r w:rsidRPr="004140C0">
        <w:br/>
        <w:t xml:space="preserve">Utility Specific Peak </w:t>
      </w:r>
    </w:p>
    <w:tbl>
      <w:tblPr>
        <w:tblW w:w="12435" w:type="dxa"/>
        <w:jc w:val="center"/>
        <w:tblInd w:w="93" w:type="dxa"/>
        <w:tblLayout w:type="fixed"/>
        <w:tblLook w:val="04A0" w:firstRow="1" w:lastRow="0" w:firstColumn="1" w:lastColumn="0" w:noHBand="0" w:noVBand="1"/>
      </w:tblPr>
      <w:tblGrid>
        <w:gridCol w:w="1810"/>
        <w:gridCol w:w="884"/>
        <w:gridCol w:w="885"/>
        <w:gridCol w:w="884"/>
        <w:gridCol w:w="952"/>
        <w:gridCol w:w="817"/>
        <w:gridCol w:w="893"/>
        <w:gridCol w:w="879"/>
        <w:gridCol w:w="885"/>
        <w:gridCol w:w="885"/>
        <w:gridCol w:w="951"/>
        <w:gridCol w:w="819"/>
        <w:gridCol w:w="891"/>
      </w:tblGrid>
      <w:tr w:rsidR="00F1237C" w:rsidRPr="00B828B0" w:rsidTr="0058471F">
        <w:trPr>
          <w:trHeight w:val="300"/>
          <w:jc w:val="center"/>
        </w:trPr>
        <w:tc>
          <w:tcPr>
            <w:tcW w:w="1810" w:type="dxa"/>
            <w:vMerge w:val="restart"/>
            <w:tcBorders>
              <w:top w:val="single" w:sz="4" w:space="0" w:color="000000"/>
              <w:left w:val="single" w:sz="4" w:space="0" w:color="000000"/>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LCA</w:t>
            </w:r>
          </w:p>
        </w:tc>
        <w:tc>
          <w:tcPr>
            <w:tcW w:w="1769"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May</w:t>
            </w:r>
          </w:p>
        </w:tc>
        <w:tc>
          <w:tcPr>
            <w:tcW w:w="1836"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June</w:t>
            </w:r>
          </w:p>
        </w:tc>
        <w:tc>
          <w:tcPr>
            <w:tcW w:w="171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July</w:t>
            </w:r>
          </w:p>
        </w:tc>
        <w:tc>
          <w:tcPr>
            <w:tcW w:w="1764"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August</w:t>
            </w:r>
          </w:p>
        </w:tc>
        <w:tc>
          <w:tcPr>
            <w:tcW w:w="1836"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September</w:t>
            </w:r>
          </w:p>
        </w:tc>
        <w:tc>
          <w:tcPr>
            <w:tcW w:w="171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October</w:t>
            </w:r>
          </w:p>
        </w:tc>
      </w:tr>
      <w:tr w:rsidR="00F1237C" w:rsidRPr="00B828B0" w:rsidTr="0058471F">
        <w:trPr>
          <w:trHeight w:val="300"/>
          <w:jc w:val="center"/>
        </w:trPr>
        <w:tc>
          <w:tcPr>
            <w:tcW w:w="1810" w:type="dxa"/>
            <w:vMerge/>
            <w:tcBorders>
              <w:top w:val="single" w:sz="4" w:space="0" w:color="000000"/>
              <w:left w:val="single" w:sz="4" w:space="0" w:color="000000"/>
              <w:bottom w:val="single" w:sz="4" w:space="0" w:color="000000"/>
              <w:right w:val="single" w:sz="4" w:space="0" w:color="FFFFFF"/>
            </w:tcBorders>
            <w:vAlign w:val="center"/>
            <w:hideMark/>
          </w:tcPr>
          <w:p w:rsidR="00F1237C" w:rsidRPr="00EA44E0" w:rsidRDefault="00F1237C" w:rsidP="0058471F">
            <w:pPr>
              <w:spacing w:after="0" w:line="240" w:lineRule="auto"/>
              <w:rPr>
                <w:rFonts w:ascii="Arial" w:eastAsia="Times New Roman" w:hAnsi="Arial" w:cs="Arial"/>
                <w:b/>
                <w:bCs/>
                <w:color w:val="FFFFFF"/>
                <w:sz w:val="20"/>
                <w:szCs w:val="20"/>
              </w:rPr>
            </w:pPr>
          </w:p>
        </w:tc>
        <w:tc>
          <w:tcPr>
            <w:tcW w:w="884"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84"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952"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17"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93"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79"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85"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951"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c>
          <w:tcPr>
            <w:tcW w:w="819" w:type="dxa"/>
            <w:tcBorders>
              <w:top w:val="nil"/>
              <w:left w:val="nil"/>
              <w:bottom w:val="single" w:sz="4" w:space="0" w:color="000000"/>
              <w:right w:val="single" w:sz="4" w:space="0" w:color="FFFFFF"/>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1-in-2</w:t>
            </w:r>
          </w:p>
        </w:tc>
        <w:tc>
          <w:tcPr>
            <w:tcW w:w="891" w:type="dxa"/>
            <w:tcBorders>
              <w:top w:val="nil"/>
              <w:left w:val="nil"/>
              <w:bottom w:val="single" w:sz="4" w:space="0" w:color="000000"/>
              <w:right w:val="single" w:sz="4" w:space="0" w:color="000000"/>
            </w:tcBorders>
            <w:shd w:val="clear" w:color="000000" w:fill="0070CD"/>
            <w:vAlign w:val="center"/>
            <w:hideMark/>
          </w:tcPr>
          <w:p w:rsidR="00F1237C" w:rsidRPr="00EA44E0" w:rsidRDefault="00F1237C" w:rsidP="0058471F">
            <w:pPr>
              <w:spacing w:after="0" w:line="240" w:lineRule="auto"/>
              <w:jc w:val="center"/>
              <w:rPr>
                <w:rFonts w:ascii="Arial" w:eastAsia="Times New Roman" w:hAnsi="Arial" w:cs="Arial"/>
                <w:b/>
                <w:bCs/>
                <w:color w:val="FFFFFF"/>
                <w:sz w:val="20"/>
                <w:szCs w:val="20"/>
              </w:rPr>
            </w:pPr>
            <w:r w:rsidRPr="00EA44E0">
              <w:rPr>
                <w:rFonts w:ascii="Arial" w:eastAsia="Times New Roman" w:hAnsi="Arial" w:cs="Arial"/>
                <w:b/>
                <w:bCs/>
                <w:color w:val="FFFFFF"/>
                <w:sz w:val="20"/>
                <w:szCs w:val="20"/>
              </w:rPr>
              <w:t>1-in-10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Greater Bay Area</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2,793</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3,087</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2,992</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3,194</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3,296</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3,482</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3,227</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3,386</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3,111</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3,172</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2,810</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2,951</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Greater Fresno</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Humboldt</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Kern</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Northern Coast</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87</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97</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95</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105</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100</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102</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96</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103</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94</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101</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88</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92</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Other</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Sierra</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color w:val="000000"/>
                <w:sz w:val="20"/>
                <w:szCs w:val="18"/>
              </w:rPr>
            </w:pPr>
            <w:r w:rsidRPr="00CD3CF2">
              <w:rPr>
                <w:rFonts w:ascii="Arial" w:eastAsia="Times New Roman" w:hAnsi="Arial" w:cs="Arial"/>
                <w:color w:val="000000"/>
                <w:sz w:val="20"/>
                <w:szCs w:val="18"/>
              </w:rPr>
              <w:t>Stockton</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7266FE" w:rsidP="0058471F">
            <w:pPr>
              <w:spacing w:after="0"/>
              <w:jc w:val="center"/>
              <w:rPr>
                <w:rFonts w:ascii="Arial" w:hAnsi="Arial" w:cs="Arial"/>
                <w:color w:val="000000"/>
                <w:sz w:val="20"/>
                <w:szCs w:val="20"/>
              </w:rPr>
            </w:pPr>
            <w:r>
              <w:rPr>
                <w:rFonts w:ascii="Arial" w:hAnsi="Arial" w:cs="Arial"/>
                <w:color w:val="000000"/>
                <w:sz w:val="20"/>
                <w:szCs w:val="20"/>
              </w:rPr>
              <w:t>0</w:t>
            </w:r>
          </w:p>
        </w:tc>
      </w:tr>
      <w:tr w:rsidR="00F1237C" w:rsidRPr="00B828B0" w:rsidTr="0058471F">
        <w:trPr>
          <w:trHeight w:val="300"/>
          <w:jc w:val="center"/>
        </w:trPr>
        <w:tc>
          <w:tcPr>
            <w:tcW w:w="1810" w:type="dxa"/>
            <w:tcBorders>
              <w:top w:val="nil"/>
              <w:left w:val="single" w:sz="4" w:space="0" w:color="000000"/>
              <w:bottom w:val="single" w:sz="4" w:space="0" w:color="000000"/>
              <w:right w:val="single" w:sz="4" w:space="0" w:color="000000"/>
            </w:tcBorders>
            <w:shd w:val="clear" w:color="auto" w:fill="auto"/>
            <w:noWrap/>
            <w:vAlign w:val="center"/>
            <w:hideMark/>
          </w:tcPr>
          <w:p w:rsidR="00F1237C" w:rsidRPr="00CD3CF2" w:rsidRDefault="00F1237C" w:rsidP="0058471F">
            <w:pPr>
              <w:spacing w:after="0" w:line="240" w:lineRule="auto"/>
              <w:jc w:val="center"/>
              <w:rPr>
                <w:rFonts w:ascii="Arial" w:eastAsia="Times New Roman" w:hAnsi="Arial" w:cs="Arial"/>
                <w:b/>
                <w:bCs/>
                <w:color w:val="000000"/>
                <w:sz w:val="20"/>
                <w:szCs w:val="18"/>
              </w:rPr>
            </w:pPr>
            <w:r w:rsidRPr="00CD3CF2">
              <w:rPr>
                <w:rFonts w:ascii="Arial" w:eastAsia="Times New Roman" w:hAnsi="Arial" w:cs="Arial"/>
                <w:b/>
                <w:bCs/>
                <w:color w:val="000000"/>
                <w:sz w:val="20"/>
                <w:szCs w:val="18"/>
              </w:rPr>
              <w:t>Total</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2,880</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3,184</w:t>
            </w:r>
          </w:p>
        </w:tc>
        <w:tc>
          <w:tcPr>
            <w:tcW w:w="884"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3,087</w:t>
            </w:r>
          </w:p>
        </w:tc>
        <w:tc>
          <w:tcPr>
            <w:tcW w:w="952"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3,299</w:t>
            </w:r>
          </w:p>
        </w:tc>
        <w:tc>
          <w:tcPr>
            <w:tcW w:w="817"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3,396</w:t>
            </w:r>
          </w:p>
        </w:tc>
        <w:tc>
          <w:tcPr>
            <w:tcW w:w="893"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3,584</w:t>
            </w:r>
          </w:p>
        </w:tc>
        <w:tc>
          <w:tcPr>
            <w:tcW w:w="879"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3,323</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3,489</w:t>
            </w:r>
          </w:p>
        </w:tc>
        <w:tc>
          <w:tcPr>
            <w:tcW w:w="885"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3,205</w:t>
            </w:r>
          </w:p>
        </w:tc>
        <w:tc>
          <w:tcPr>
            <w:tcW w:w="951"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3,273</w:t>
            </w:r>
          </w:p>
        </w:tc>
        <w:tc>
          <w:tcPr>
            <w:tcW w:w="819"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2,898</w:t>
            </w:r>
          </w:p>
        </w:tc>
        <w:tc>
          <w:tcPr>
            <w:tcW w:w="891" w:type="dxa"/>
            <w:tcBorders>
              <w:top w:val="nil"/>
              <w:left w:val="nil"/>
              <w:bottom w:val="single" w:sz="4" w:space="0" w:color="000000"/>
              <w:right w:val="single" w:sz="4" w:space="0" w:color="000000"/>
            </w:tcBorders>
            <w:shd w:val="clear" w:color="auto" w:fill="auto"/>
            <w:noWrap/>
            <w:vAlign w:val="center"/>
          </w:tcPr>
          <w:p w:rsidR="00F1237C" w:rsidRPr="00907DBD" w:rsidRDefault="005B549B" w:rsidP="0058471F">
            <w:pPr>
              <w:spacing w:after="0"/>
              <w:jc w:val="center"/>
              <w:rPr>
                <w:rFonts w:ascii="Arial" w:hAnsi="Arial" w:cs="Arial"/>
                <w:b/>
                <w:color w:val="000000"/>
                <w:sz w:val="20"/>
                <w:szCs w:val="20"/>
              </w:rPr>
            </w:pPr>
            <w:r>
              <w:rPr>
                <w:rFonts w:ascii="Arial" w:hAnsi="Arial" w:cs="Arial"/>
                <w:b/>
                <w:color w:val="000000"/>
                <w:sz w:val="20"/>
                <w:szCs w:val="20"/>
              </w:rPr>
              <w:t>3,043</w:t>
            </w:r>
          </w:p>
        </w:tc>
      </w:tr>
    </w:tbl>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sectPr w:rsidR="00F1237C" w:rsidRPr="00B828B0" w:rsidSect="000B5B75">
          <w:footerReference w:type="default" r:id="rId52"/>
          <w:pgSz w:w="15840" w:h="12240" w:orient="landscape"/>
          <w:pgMar w:top="1440" w:right="1440" w:bottom="1440" w:left="1440" w:header="720" w:footer="720" w:gutter="0"/>
          <w:cols w:space="720"/>
          <w:docGrid w:linePitch="360"/>
        </w:sectPr>
      </w:pPr>
    </w:p>
    <w:p w:rsidR="00F1237C" w:rsidRPr="00B828B0" w:rsidRDefault="00F1237C" w:rsidP="00F1237C">
      <w:pPr>
        <w:pStyle w:val="BodyParagraph"/>
        <w:rPr>
          <w:highlight w:val="yellow"/>
        </w:rPr>
      </w:pPr>
      <w:r w:rsidRPr="00A742AC">
        <w:lastRenderedPageBreak/>
        <w:fldChar w:fldCharType="begin"/>
      </w:r>
      <w:r w:rsidRPr="00A742AC">
        <w:instrText xml:space="preserve"> REF _Ref443506776 \h  \* MERGEFORMAT </w:instrText>
      </w:r>
      <w:r w:rsidRPr="00A742AC">
        <w:fldChar w:fldCharType="separate"/>
      </w:r>
      <w:r w:rsidR="001F391A" w:rsidRPr="00E405B9">
        <w:t xml:space="preserve">Figure </w:t>
      </w:r>
      <w:r w:rsidR="001F391A" w:rsidRPr="00E405B9">
        <w:rPr>
          <w:noProof/>
        </w:rPr>
        <w:t>6</w:t>
      </w:r>
      <w:r w:rsidR="001F391A" w:rsidRPr="00E405B9">
        <w:rPr>
          <w:noProof/>
        </w:rPr>
        <w:noBreakHyphen/>
        <w:t>1</w:t>
      </w:r>
      <w:r w:rsidRPr="00A742AC">
        <w:fldChar w:fldCharType="end"/>
      </w:r>
      <w:r w:rsidRPr="00A742AC">
        <w:t xml:space="preserve"> illustrates how the July 1-in-10 </w:t>
      </w:r>
      <w:r w:rsidR="00576C27">
        <w:t xml:space="preserve">monthly system peak day </w:t>
      </w:r>
      <w:r w:rsidRPr="00A742AC">
        <w:t xml:space="preserve">load impact estimates vary by forecast </w:t>
      </w:r>
      <w:r w:rsidRPr="009A1E71">
        <w:t xml:space="preserve">year. </w:t>
      </w:r>
      <w:r w:rsidRPr="00FC6435">
        <w:fldChar w:fldCharType="begin"/>
      </w:r>
      <w:r w:rsidRPr="009A1E71">
        <w:instrText xml:space="preserve"> REF _Ref443506786 \h  \* MERGEFORMAT </w:instrText>
      </w:r>
      <w:r w:rsidRPr="00FC6435">
        <w:fldChar w:fldCharType="separate"/>
      </w:r>
      <w:r w:rsidR="001F391A" w:rsidRPr="00E405B9">
        <w:t xml:space="preserve">Figure </w:t>
      </w:r>
      <w:r w:rsidR="001F391A" w:rsidRPr="00E405B9">
        <w:rPr>
          <w:noProof/>
        </w:rPr>
        <w:t>6</w:t>
      </w:r>
      <w:r w:rsidR="001F391A" w:rsidRPr="00E405B9">
        <w:rPr>
          <w:noProof/>
        </w:rPr>
        <w:noBreakHyphen/>
        <w:t>2</w:t>
      </w:r>
      <w:r w:rsidRPr="00FC6435">
        <w:fldChar w:fldCharType="end"/>
      </w:r>
      <w:r w:rsidRPr="009A1E71">
        <w:t xml:space="preserve"> shows the same results for July 1-in-2 weather conditions.</w:t>
      </w:r>
      <w:r w:rsidRPr="00A742AC">
        <w:t xml:space="preserve"> </w:t>
      </w:r>
      <w:r>
        <w:t xml:space="preserve">Across the forecast years and scenarios, the impacts are slightly higher under July 1-in-10 weather </w:t>
      </w:r>
      <w:r w:rsidRPr="00030CCE">
        <w:t>conditions</w:t>
      </w:r>
      <w:r>
        <w:t>,</w:t>
      </w:r>
      <w:r w:rsidRPr="00030CCE">
        <w:t xml:space="preserve"> but the difference is </w:t>
      </w:r>
      <w:r>
        <w:t>about</w:t>
      </w:r>
      <w:r w:rsidRPr="00030CCE">
        <w:t xml:space="preserve"> 0.2 MW</w:t>
      </w:r>
      <w:r>
        <w:t xml:space="preserve"> on average</w:t>
      </w:r>
      <w:r w:rsidRPr="00030CCE">
        <w:t>.</w:t>
      </w:r>
      <w:r>
        <w:t xml:space="preserve"> At the end of the forecast horizon, the program is projected to deliver nearly </w:t>
      </w:r>
      <w:r w:rsidR="003B68AE">
        <w:t>3.6</w:t>
      </w:r>
      <w:r>
        <w:t xml:space="preserve"> MW for the July 1-in-10 peak day. </w:t>
      </w:r>
      <w:r w:rsidR="00576C27">
        <w:t xml:space="preserve">The confidence interval is wider on monthly system peak days compared to average weekdays. This is driven </w:t>
      </w:r>
      <w:r w:rsidR="00BE6F37">
        <w:t xml:space="preserve">in part </w:t>
      </w:r>
      <w:r w:rsidR="00576C27">
        <w:t>by using the ex post analysis as the basis for the ex ante analysis</w:t>
      </w:r>
      <w:r w:rsidR="00BE6F37">
        <w:t>, and by the extremely small number of customers</w:t>
      </w:r>
      <w:r w:rsidR="00576C27">
        <w:t xml:space="preserve">. In the ex post evaluation, there are typically about 20 days that can be used to estimate load impacts for the average weekday in a given month, but there is only a single monthly system peak day. The higher </w:t>
      </w:r>
      <w:r w:rsidR="003379D9">
        <w:t>numbers of observations for the average weekday result</w:t>
      </w:r>
      <w:r w:rsidR="00576C27">
        <w:t xml:space="preserve"> in smaller standard errors, and </w:t>
      </w:r>
      <w:proofErr w:type="gramStart"/>
      <w:r w:rsidR="00576C27">
        <w:t xml:space="preserve">a </w:t>
      </w:r>
      <w:r w:rsidR="003379D9">
        <w:t>narrower</w:t>
      </w:r>
      <w:proofErr w:type="gramEnd"/>
      <w:r w:rsidR="00576C27">
        <w:t xml:space="preserve"> confidence interval</w:t>
      </w:r>
      <w:r w:rsidR="003379D9">
        <w:t>s</w:t>
      </w:r>
      <w:r w:rsidR="00576C27">
        <w:t xml:space="preserve">. In contrast, the monthly system peak day has only a single day per month, and as a result, the standard errors are much larger and the confidence interval is wider. These values pass through to the ex ante estimates as well, and are reflected in the wide confidence intervals </w:t>
      </w:r>
      <w:r w:rsidR="00BE6F37">
        <w:t xml:space="preserve">on monthly system peak days </w:t>
      </w:r>
      <w:r w:rsidR="00576C27">
        <w:t xml:space="preserve">observed below. </w:t>
      </w:r>
    </w:p>
    <w:p w:rsidR="005B549B" w:rsidRDefault="00F1237C" w:rsidP="00F1237C">
      <w:pPr>
        <w:pStyle w:val="Caption"/>
      </w:pPr>
      <w:bookmarkStart w:id="73" w:name="_Ref443506776"/>
      <w:r w:rsidRPr="003379D9">
        <w:t xml:space="preserve">Figure </w:t>
      </w:r>
      <w:fldSimple w:instr=" STYLEREF 1 \s ">
        <w:r w:rsidR="001F391A" w:rsidRPr="003379D9">
          <w:rPr>
            <w:noProof/>
          </w:rPr>
          <w:t>6</w:t>
        </w:r>
      </w:fldSimple>
      <w:r w:rsidRPr="003379D9">
        <w:noBreakHyphen/>
      </w:r>
      <w:fldSimple w:instr=" SEQ Figure \* ARABIC \s 1 ">
        <w:r w:rsidR="001F391A" w:rsidRPr="003379D9">
          <w:rPr>
            <w:noProof/>
          </w:rPr>
          <w:t>1</w:t>
        </w:r>
      </w:fldSimple>
      <w:bookmarkEnd w:id="73"/>
      <w:r w:rsidRPr="003379D9">
        <w:t>: PG&amp;E July 1-in-10 Monthly System Peak Day Load Impacts (1 to 6 PM</w:t>
      </w:r>
      <w:proofErr w:type="gramStart"/>
      <w:r w:rsidRPr="003379D9">
        <w:t>)</w:t>
      </w:r>
      <w:proofErr w:type="gramEnd"/>
      <w:r w:rsidRPr="003379D9">
        <w:br/>
        <w:t xml:space="preserve">by Forecast Year </w:t>
      </w:r>
    </w:p>
    <w:p w:rsidR="00F1237C" w:rsidRPr="000A4436" w:rsidRDefault="008307D9" w:rsidP="00F1237C">
      <w:pPr>
        <w:pStyle w:val="Caption"/>
      </w:pPr>
      <w:r>
        <w:rPr>
          <w:noProof/>
        </w:rPr>
        <w:drawing>
          <wp:inline distT="0" distB="0" distL="0" distR="0" wp14:anchorId="19ACB897" wp14:editId="12324AE8">
            <wp:extent cx="5943600" cy="3188970"/>
            <wp:effectExtent l="0" t="0" r="19050" b="11430"/>
            <wp:docPr id="2059" name="Chart 2059"/>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F1237C" w:rsidRPr="00D41664" w:rsidRDefault="00F1237C" w:rsidP="00F1237C">
      <w:pPr>
        <w:rPr>
          <w:highlight w:val="yellow"/>
        </w:rPr>
      </w:pPr>
    </w:p>
    <w:p w:rsidR="00F1237C" w:rsidRPr="00D41664" w:rsidRDefault="00F1237C" w:rsidP="00F1237C">
      <w:pPr>
        <w:rPr>
          <w:highlight w:val="yellow"/>
        </w:rPr>
      </w:pPr>
    </w:p>
    <w:p w:rsidR="00F1237C" w:rsidRDefault="00F1237C" w:rsidP="00F1237C">
      <w:pPr>
        <w:pStyle w:val="BodyParagraph"/>
        <w:jc w:val="center"/>
        <w:rPr>
          <w:highlight w:val="yellow"/>
        </w:rPr>
      </w:pPr>
    </w:p>
    <w:p w:rsidR="00F1237C" w:rsidRPr="00B828B0" w:rsidRDefault="00F1237C" w:rsidP="00F1237C">
      <w:pPr>
        <w:pStyle w:val="BodyParagraph"/>
        <w:jc w:val="center"/>
        <w:rPr>
          <w:highlight w:val="yellow"/>
        </w:rPr>
      </w:pPr>
    </w:p>
    <w:p w:rsidR="00F1237C" w:rsidRDefault="00F1237C" w:rsidP="00F1237C">
      <w:pPr>
        <w:pStyle w:val="Caption"/>
      </w:pPr>
      <w:bookmarkStart w:id="74" w:name="_Ref443506786"/>
      <w:r w:rsidRPr="003379D9">
        <w:lastRenderedPageBreak/>
        <w:t xml:space="preserve">Figure </w:t>
      </w:r>
      <w:fldSimple w:instr=" STYLEREF 1 \s ">
        <w:r w:rsidR="001F391A" w:rsidRPr="003379D9">
          <w:rPr>
            <w:noProof/>
          </w:rPr>
          <w:t>6</w:t>
        </w:r>
      </w:fldSimple>
      <w:r w:rsidRPr="003379D9">
        <w:noBreakHyphen/>
      </w:r>
      <w:fldSimple w:instr=" SEQ Figure \* ARABIC \s 1 ">
        <w:r w:rsidR="001F391A" w:rsidRPr="003379D9">
          <w:rPr>
            <w:noProof/>
          </w:rPr>
          <w:t>2</w:t>
        </w:r>
      </w:fldSimple>
      <w:bookmarkEnd w:id="74"/>
      <w:r w:rsidRPr="003379D9">
        <w:t>: PG&amp;E July 1-in-2 Monthly System Peak Day Load Impacts (1 to 6 PM</w:t>
      </w:r>
      <w:proofErr w:type="gramStart"/>
      <w:r w:rsidRPr="003379D9">
        <w:t>)</w:t>
      </w:r>
      <w:proofErr w:type="gramEnd"/>
      <w:r w:rsidRPr="003379D9">
        <w:br/>
        <w:t>by Forecast Year and Scenario</w:t>
      </w:r>
    </w:p>
    <w:p w:rsidR="00F1237C" w:rsidRPr="003379D9" w:rsidRDefault="008307D9" w:rsidP="003379D9">
      <w:r w:rsidRPr="00E405B9">
        <w:rPr>
          <w:noProof/>
        </w:rPr>
        <w:drawing>
          <wp:inline distT="0" distB="0" distL="0" distR="0" wp14:anchorId="2E7055CA" wp14:editId="2697E001">
            <wp:extent cx="5943600" cy="2948940"/>
            <wp:effectExtent l="0" t="0" r="19050" b="22860"/>
            <wp:docPr id="2060" name="Chart 2060"/>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F1237C" w:rsidRPr="00B828B0" w:rsidRDefault="00F1237C" w:rsidP="00F1237C">
      <w:pPr>
        <w:pStyle w:val="BodyParaAfterTableFigure"/>
        <w:rPr>
          <w:highlight w:val="yellow"/>
        </w:rPr>
      </w:pPr>
      <w:r w:rsidRPr="007569F2">
        <w:fldChar w:fldCharType="begin"/>
      </w:r>
      <w:r w:rsidRPr="007569F2">
        <w:instrText xml:space="preserve"> REF _Ref443506813 \h  \* MERGEFORMAT </w:instrText>
      </w:r>
      <w:r w:rsidRPr="007569F2">
        <w:fldChar w:fldCharType="separate"/>
      </w:r>
      <w:r w:rsidR="001F391A" w:rsidRPr="009375F0">
        <w:t xml:space="preserve">Table </w:t>
      </w:r>
      <w:r w:rsidR="001F391A">
        <w:rPr>
          <w:noProof/>
        </w:rPr>
        <w:t>6</w:t>
      </w:r>
      <w:r w:rsidR="001F391A">
        <w:rPr>
          <w:noProof/>
        </w:rPr>
        <w:noBreakHyphen/>
        <w:t>4</w:t>
      </w:r>
      <w:r w:rsidRPr="007569F2">
        <w:fldChar w:fldCharType="end"/>
      </w:r>
      <w:r w:rsidRPr="007569F2">
        <w:t xml:space="preserve"> shows the </w:t>
      </w:r>
      <w:r>
        <w:t>projected</w:t>
      </w:r>
      <w:r w:rsidRPr="007569F2">
        <w:t xml:space="preserve"> trajectory of load impacts under July 1-in-10 weather conditions from 201</w:t>
      </w:r>
      <w:r w:rsidR="003B68AE">
        <w:t>8</w:t>
      </w:r>
      <w:r w:rsidRPr="007569F2">
        <w:t xml:space="preserve"> through 202</w:t>
      </w:r>
      <w:r w:rsidR="003B68AE">
        <w:t>8</w:t>
      </w:r>
      <w:r w:rsidRPr="007569F2">
        <w:t xml:space="preserve"> by LCA for both the utility specific and CAISO specific weather conditions. </w:t>
      </w:r>
      <w:r w:rsidRPr="007569F2">
        <w:fldChar w:fldCharType="begin"/>
      </w:r>
      <w:r w:rsidRPr="007569F2">
        <w:instrText xml:space="preserve"> REF _Ref443506825 \h  \* MERGEFORMAT </w:instrText>
      </w:r>
      <w:r w:rsidRPr="007569F2">
        <w:fldChar w:fldCharType="separate"/>
      </w:r>
      <w:r w:rsidR="001F391A" w:rsidRPr="009375F0">
        <w:t xml:space="preserve">Table </w:t>
      </w:r>
      <w:r w:rsidR="001F391A">
        <w:rPr>
          <w:noProof/>
        </w:rPr>
        <w:t>6</w:t>
      </w:r>
      <w:r w:rsidR="001F391A">
        <w:rPr>
          <w:noProof/>
        </w:rPr>
        <w:noBreakHyphen/>
        <w:t>5</w:t>
      </w:r>
      <w:r w:rsidRPr="007569F2">
        <w:fldChar w:fldCharType="end"/>
      </w:r>
      <w:r w:rsidRPr="007569F2">
        <w:t xml:space="preserve"> shows the same results for July 1-in-2 conditions. </w:t>
      </w:r>
      <w:r w:rsidRPr="006F3480">
        <w:t>The Greater Bay Area</w:t>
      </w:r>
      <w:r>
        <w:t> </w:t>
      </w:r>
      <w:r w:rsidRPr="006F3480">
        <w:t>account</w:t>
      </w:r>
      <w:r w:rsidR="003B68AE">
        <w:t>s</w:t>
      </w:r>
      <w:r w:rsidRPr="006F3480">
        <w:t xml:space="preserve"> for a majority of load impacts throughout the forecast horizon under both 1-in-10 and 1-in-2 year weather conditions for both CAISO and utility specific peaks. Outside of the Greater Bay Area LCA, only the </w:t>
      </w:r>
      <w:r w:rsidR="003B68AE">
        <w:t xml:space="preserve">Northern Coast </w:t>
      </w:r>
      <w:r w:rsidRPr="006F3480">
        <w:t xml:space="preserve">LCA </w:t>
      </w:r>
      <w:r w:rsidR="003B68AE">
        <w:t xml:space="preserve">is expected to have </w:t>
      </w:r>
      <w:r w:rsidRPr="006F3480">
        <w:t>load impacts</w:t>
      </w:r>
      <w:r w:rsidR="003B68AE">
        <w:t xml:space="preserve"> from the PLS program</w:t>
      </w:r>
      <w:r w:rsidRPr="006F3480">
        <w:t>.</w:t>
      </w:r>
      <w:r w:rsidR="003B68AE">
        <w:t xml:space="preserve">  As discussed above, the load impacts decrease over time even as enrollment remains steady due to the assumed 2.5% annual degradation in load impacts starting in the fifth year after a project is installed.</w:t>
      </w:r>
      <w:r w:rsidRPr="006F3480">
        <w:t xml:space="preserve"> </w:t>
      </w:r>
    </w:p>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sectPr w:rsidR="00F1237C" w:rsidRPr="00B828B0" w:rsidSect="000B5B75">
          <w:footerReference w:type="default" r:id="rId55"/>
          <w:pgSz w:w="12240" w:h="15840"/>
          <w:pgMar w:top="1440" w:right="1440" w:bottom="1440" w:left="1440" w:header="720" w:footer="720" w:gutter="0"/>
          <w:cols w:space="720"/>
          <w:docGrid w:linePitch="360"/>
        </w:sectPr>
      </w:pPr>
    </w:p>
    <w:p w:rsidR="00F1237C" w:rsidRPr="009375F0" w:rsidRDefault="00F1237C" w:rsidP="00F1237C">
      <w:pPr>
        <w:pStyle w:val="Caption"/>
      </w:pPr>
      <w:bookmarkStart w:id="75" w:name="_Ref443506813"/>
      <w:r w:rsidRPr="009375F0">
        <w:lastRenderedPageBreak/>
        <w:t xml:space="preserve">Table </w:t>
      </w:r>
      <w:fldSimple w:instr=" STYLEREF 1 \s ">
        <w:r w:rsidR="001F391A">
          <w:rPr>
            <w:noProof/>
          </w:rPr>
          <w:t>6</w:t>
        </w:r>
      </w:fldSimple>
      <w:r w:rsidR="008139B9">
        <w:noBreakHyphen/>
      </w:r>
      <w:fldSimple w:instr=" SEQ Table \* ARABIC \s 1 ">
        <w:r w:rsidR="001F391A">
          <w:rPr>
            <w:noProof/>
          </w:rPr>
          <w:t>4</w:t>
        </w:r>
      </w:fldSimple>
      <w:bookmarkEnd w:id="75"/>
      <w:r w:rsidRPr="009375F0">
        <w:t>: PG&amp;E July 1-in-10 Monthly System Peak Day Load Impacts (1</w:t>
      </w:r>
      <w:r>
        <w:t xml:space="preserve"> to </w:t>
      </w:r>
      <w:r w:rsidRPr="009375F0">
        <w:t>6 PM)</w:t>
      </w:r>
      <w:r w:rsidRPr="009375F0">
        <w:br/>
        <w:t xml:space="preserve">by LCA and Forecast Year </w:t>
      </w:r>
      <w:r w:rsidR="00541198">
        <w:t>– (kW)</w:t>
      </w:r>
    </w:p>
    <w:tbl>
      <w:tblPr>
        <w:tblW w:w="12440" w:type="dxa"/>
        <w:tblInd w:w="93" w:type="dxa"/>
        <w:tblLook w:val="04A0" w:firstRow="1" w:lastRow="0" w:firstColumn="1" w:lastColumn="0" w:noHBand="0" w:noVBand="1"/>
      </w:tblPr>
      <w:tblGrid>
        <w:gridCol w:w="1076"/>
        <w:gridCol w:w="1680"/>
        <w:gridCol w:w="880"/>
        <w:gridCol w:w="880"/>
        <w:gridCol w:w="884"/>
        <w:gridCol w:w="880"/>
        <w:gridCol w:w="880"/>
        <w:gridCol w:w="880"/>
        <w:gridCol w:w="880"/>
        <w:gridCol w:w="880"/>
        <w:gridCol w:w="880"/>
        <w:gridCol w:w="880"/>
        <w:gridCol w:w="880"/>
      </w:tblGrid>
      <w:tr w:rsidR="00F1237C" w:rsidRPr="00B828B0" w:rsidTr="005673FD">
        <w:trPr>
          <w:trHeight w:val="510"/>
        </w:trPr>
        <w:tc>
          <w:tcPr>
            <w:tcW w:w="1076" w:type="dxa"/>
            <w:tcBorders>
              <w:top w:val="single" w:sz="4" w:space="0" w:color="000000"/>
              <w:left w:val="single" w:sz="4" w:space="0" w:color="000000"/>
              <w:bottom w:val="nil"/>
              <w:right w:val="single" w:sz="4" w:space="0" w:color="FFFFFF" w:themeColor="background1"/>
            </w:tcBorders>
            <w:shd w:val="clear" w:color="000000" w:fill="0070CD"/>
            <w:vAlign w:val="center"/>
            <w:hideMark/>
          </w:tcPr>
          <w:p w:rsidR="00F1237C" w:rsidRPr="006841F5" w:rsidRDefault="00F1237C" w:rsidP="005673FD">
            <w:pPr>
              <w:spacing w:after="0" w:line="240" w:lineRule="auto"/>
              <w:jc w:val="center"/>
              <w:rPr>
                <w:rFonts w:ascii="Arial" w:eastAsia="Times New Roman" w:hAnsi="Arial" w:cs="Arial"/>
                <w:b/>
                <w:bCs/>
                <w:color w:val="FFFFFF"/>
                <w:sz w:val="20"/>
                <w:szCs w:val="20"/>
              </w:rPr>
            </w:pPr>
            <w:r w:rsidRPr="006841F5">
              <w:rPr>
                <w:rFonts w:ascii="Arial" w:eastAsia="Times New Roman" w:hAnsi="Arial" w:cs="Arial"/>
                <w:b/>
                <w:bCs/>
                <w:color w:val="FFFFFF"/>
                <w:sz w:val="20"/>
                <w:szCs w:val="20"/>
              </w:rPr>
              <w:t>Peak Type</w:t>
            </w:r>
          </w:p>
        </w:tc>
        <w:tc>
          <w:tcPr>
            <w:tcW w:w="1680" w:type="dxa"/>
            <w:tcBorders>
              <w:top w:val="single" w:sz="4" w:space="0" w:color="000000"/>
              <w:left w:val="single" w:sz="4" w:space="0" w:color="FFFFFF" w:themeColor="background1"/>
              <w:bottom w:val="single" w:sz="4" w:space="0" w:color="000000"/>
              <w:right w:val="single" w:sz="4" w:space="0" w:color="FFFFFF"/>
            </w:tcBorders>
            <w:shd w:val="clear" w:color="000000" w:fill="0070CD"/>
            <w:vAlign w:val="center"/>
            <w:hideMark/>
          </w:tcPr>
          <w:p w:rsidR="00F1237C" w:rsidRPr="006841F5" w:rsidRDefault="00F1237C" w:rsidP="005673FD">
            <w:pPr>
              <w:spacing w:after="0" w:line="240" w:lineRule="auto"/>
              <w:jc w:val="center"/>
              <w:rPr>
                <w:rFonts w:ascii="Arial" w:eastAsia="Times New Roman" w:hAnsi="Arial" w:cs="Arial"/>
                <w:b/>
                <w:bCs/>
                <w:color w:val="FFFFFF"/>
                <w:sz w:val="20"/>
                <w:szCs w:val="20"/>
              </w:rPr>
            </w:pPr>
            <w:r w:rsidRPr="006841F5">
              <w:rPr>
                <w:rFonts w:ascii="Arial" w:eastAsia="Times New Roman" w:hAnsi="Arial" w:cs="Arial"/>
                <w:b/>
                <w:bCs/>
                <w:color w:val="FFFFFF"/>
                <w:sz w:val="20"/>
                <w:szCs w:val="20"/>
              </w:rPr>
              <w:t>LCA</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201</w:t>
            </w:r>
            <w:r w:rsidR="00B24642">
              <w:rPr>
                <w:rFonts w:ascii="Arial" w:eastAsia="Times New Roman" w:hAnsi="Arial" w:cs="Arial"/>
                <w:b/>
                <w:bCs/>
                <w:color w:val="FFFFFF"/>
                <w:sz w:val="20"/>
                <w:szCs w:val="20"/>
              </w:rPr>
              <w:t>8</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201</w:t>
            </w:r>
            <w:r w:rsidR="00B24642">
              <w:rPr>
                <w:rFonts w:ascii="Arial" w:eastAsia="Times New Roman" w:hAnsi="Arial" w:cs="Arial"/>
                <w:b/>
                <w:bCs/>
                <w:color w:val="FFFFFF"/>
                <w:sz w:val="20"/>
                <w:szCs w:val="20"/>
              </w:rPr>
              <w:t>9</w:t>
            </w:r>
          </w:p>
        </w:tc>
        <w:tc>
          <w:tcPr>
            <w:tcW w:w="884"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w:t>
            </w:r>
            <w:r w:rsidR="00B24642">
              <w:rPr>
                <w:rFonts w:ascii="Arial" w:eastAsia="Times New Roman" w:hAnsi="Arial" w:cs="Arial"/>
                <w:b/>
                <w:bCs/>
                <w:color w:val="FFFFFF"/>
                <w:sz w:val="20"/>
                <w:szCs w:val="20"/>
              </w:rPr>
              <w:t>20</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w:t>
            </w:r>
            <w:r>
              <w:rPr>
                <w:rFonts w:ascii="Arial" w:eastAsia="Times New Roman" w:hAnsi="Arial" w:cs="Arial"/>
                <w:b/>
                <w:bCs/>
                <w:color w:val="FFFFFF"/>
                <w:sz w:val="20"/>
                <w:szCs w:val="20"/>
              </w:rPr>
              <w:t>2</w:t>
            </w:r>
            <w:r w:rsidR="00B24642">
              <w:rPr>
                <w:rFonts w:ascii="Arial" w:eastAsia="Times New Roman" w:hAnsi="Arial" w:cs="Arial"/>
                <w:b/>
                <w:bCs/>
                <w:color w:val="FFFFFF"/>
                <w:sz w:val="20"/>
                <w:szCs w:val="20"/>
              </w:rPr>
              <w:t>1</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202</w:t>
            </w:r>
            <w:r w:rsidR="00B24642">
              <w:rPr>
                <w:rFonts w:ascii="Arial" w:eastAsia="Times New Roman" w:hAnsi="Arial" w:cs="Arial"/>
                <w:b/>
                <w:bCs/>
                <w:color w:val="FFFFFF"/>
                <w:sz w:val="20"/>
                <w:szCs w:val="20"/>
              </w:rPr>
              <w:t>2</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202</w:t>
            </w:r>
            <w:r w:rsidR="00B24642">
              <w:rPr>
                <w:rFonts w:ascii="Arial" w:eastAsia="Times New Roman" w:hAnsi="Arial" w:cs="Arial"/>
                <w:b/>
                <w:bCs/>
                <w:color w:val="FFFFFF"/>
                <w:sz w:val="20"/>
                <w:szCs w:val="20"/>
              </w:rPr>
              <w:t>3</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202</w:t>
            </w:r>
            <w:r w:rsidR="00B24642">
              <w:rPr>
                <w:rFonts w:ascii="Arial" w:eastAsia="Times New Roman" w:hAnsi="Arial" w:cs="Arial"/>
                <w:b/>
                <w:bCs/>
                <w:color w:val="FFFFFF"/>
                <w:sz w:val="20"/>
                <w:szCs w:val="20"/>
              </w:rPr>
              <w:t>4</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202</w:t>
            </w:r>
            <w:r w:rsidR="00B24642">
              <w:rPr>
                <w:rFonts w:ascii="Arial" w:eastAsia="Times New Roman" w:hAnsi="Arial" w:cs="Arial"/>
                <w:b/>
                <w:bCs/>
                <w:color w:val="FFFFFF"/>
                <w:sz w:val="20"/>
                <w:szCs w:val="20"/>
              </w:rPr>
              <w:t>5</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202</w:t>
            </w:r>
            <w:r w:rsidR="00B24642">
              <w:rPr>
                <w:rFonts w:ascii="Arial" w:eastAsia="Times New Roman" w:hAnsi="Arial" w:cs="Arial"/>
                <w:b/>
                <w:bCs/>
                <w:color w:val="FFFFFF"/>
                <w:sz w:val="20"/>
                <w:szCs w:val="20"/>
              </w:rPr>
              <w:t>6</w:t>
            </w:r>
          </w:p>
        </w:tc>
        <w:tc>
          <w:tcPr>
            <w:tcW w:w="880" w:type="dxa"/>
            <w:tcBorders>
              <w:top w:val="single" w:sz="4" w:space="0" w:color="000000"/>
              <w:left w:val="nil"/>
              <w:bottom w:val="single" w:sz="4" w:space="0" w:color="000000"/>
              <w:right w:val="single" w:sz="4" w:space="0" w:color="FFFFFF"/>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202</w:t>
            </w:r>
            <w:r w:rsidR="00B24642">
              <w:rPr>
                <w:rFonts w:ascii="Arial" w:eastAsia="Times New Roman" w:hAnsi="Arial" w:cs="Arial"/>
                <w:b/>
                <w:bCs/>
                <w:color w:val="FFFFFF"/>
                <w:sz w:val="20"/>
                <w:szCs w:val="20"/>
              </w:rPr>
              <w:t>7</w:t>
            </w:r>
          </w:p>
        </w:tc>
        <w:tc>
          <w:tcPr>
            <w:tcW w:w="880" w:type="dxa"/>
            <w:tcBorders>
              <w:top w:val="single" w:sz="4" w:space="0" w:color="000000"/>
              <w:left w:val="nil"/>
              <w:bottom w:val="single" w:sz="4" w:space="0" w:color="000000"/>
              <w:right w:val="single" w:sz="4" w:space="0" w:color="auto"/>
            </w:tcBorders>
            <w:shd w:val="clear" w:color="000000" w:fill="0070CD"/>
            <w:vAlign w:val="center"/>
            <w:hideMark/>
          </w:tcPr>
          <w:p w:rsidR="00F1237C" w:rsidRPr="00292F0A" w:rsidRDefault="00F1237C" w:rsidP="005673FD">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202</w:t>
            </w:r>
            <w:r w:rsidR="00B24642">
              <w:rPr>
                <w:rFonts w:ascii="Arial" w:eastAsia="Times New Roman" w:hAnsi="Arial" w:cs="Arial"/>
                <w:b/>
                <w:bCs/>
                <w:color w:val="FFFFFF"/>
                <w:sz w:val="20"/>
                <w:szCs w:val="20"/>
              </w:rPr>
              <w:t>8</w:t>
            </w:r>
          </w:p>
        </w:tc>
      </w:tr>
      <w:tr w:rsidR="008307D9" w:rsidRPr="00B828B0" w:rsidTr="005673FD">
        <w:trPr>
          <w:trHeight w:val="300"/>
        </w:trPr>
        <w:tc>
          <w:tcPr>
            <w:tcW w:w="10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r w:rsidRPr="006841F5">
              <w:rPr>
                <w:rFonts w:ascii="Arial" w:eastAsia="Times New Roman" w:hAnsi="Arial" w:cs="Arial"/>
                <w:color w:val="000000"/>
                <w:sz w:val="20"/>
                <w:szCs w:val="20"/>
              </w:rPr>
              <w:t>Utility Specific</w:t>
            </w: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Greater Bay Area</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541198" w:rsidP="005673FD">
            <w:pPr>
              <w:spacing w:after="0"/>
              <w:jc w:val="center"/>
              <w:rPr>
                <w:rFonts w:ascii="Arial" w:hAnsi="Arial" w:cs="Arial"/>
                <w:color w:val="000000"/>
                <w:sz w:val="20"/>
                <w:szCs w:val="20"/>
              </w:rPr>
            </w:pPr>
            <w:r w:rsidRPr="00541198">
              <w:rPr>
                <w:rFonts w:ascii="Arial" w:hAnsi="Arial" w:cs="Arial"/>
                <w:color w:val="000000"/>
                <w:sz w:val="20"/>
                <w:szCs w:val="20"/>
                <w:highlight w:val="black"/>
              </w:rPr>
              <w:t>XXX</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3,862</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3,862</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3,859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3,855</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3,852</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3,774</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3,698</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3,624</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3,552</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3,482</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Greater Fresno</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Humboldt</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Kern</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Northern Coast</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119</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116</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113</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107</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105</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keepNext/>
              <w:spacing w:after="0" w:line="240" w:lineRule="auto"/>
              <w:jc w:val="center"/>
              <w:rPr>
                <w:rFonts w:cstheme="minorHAnsi"/>
                <w:color w:val="000000"/>
                <w:sz w:val="20"/>
                <w:szCs w:val="20"/>
              </w:rPr>
            </w:pPr>
            <w:r w:rsidRPr="005673FD">
              <w:rPr>
                <w:rFonts w:ascii="Arial" w:hAnsi="Arial" w:cs="Arial"/>
                <w:color w:val="000000"/>
                <w:sz w:val="20"/>
                <w:szCs w:val="20"/>
              </w:rPr>
              <w:t>102</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Other</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Sierra</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Stockton</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single" w:sz="4" w:space="0" w:color="auto"/>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b/>
                <w:bCs/>
                <w:color w:val="000000"/>
                <w:sz w:val="20"/>
                <w:szCs w:val="18"/>
              </w:rPr>
            </w:pPr>
            <w:r w:rsidRPr="00116507">
              <w:rPr>
                <w:rFonts w:ascii="Arial" w:eastAsia="Times New Roman" w:hAnsi="Arial" w:cs="Arial"/>
                <w:b/>
                <w:bCs/>
                <w:color w:val="000000"/>
                <w:sz w:val="20"/>
                <w:szCs w:val="18"/>
              </w:rPr>
              <w:t>Total</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991</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3,981</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3,981</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3,978</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3,974</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3,968</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3,887</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3,808</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3,731</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3,657</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3,584</w:t>
            </w:r>
          </w:p>
        </w:tc>
      </w:tr>
      <w:tr w:rsidR="008307D9" w:rsidRPr="00B828B0" w:rsidTr="005673FD">
        <w:trPr>
          <w:trHeight w:val="300"/>
        </w:trPr>
        <w:tc>
          <w:tcPr>
            <w:tcW w:w="1076" w:type="dxa"/>
            <w:vMerge w:val="restart"/>
            <w:tcBorders>
              <w:top w:val="nil"/>
              <w:left w:val="single" w:sz="4" w:space="0" w:color="auto"/>
              <w:bottom w:val="single" w:sz="4" w:space="0" w:color="auto"/>
              <w:right w:val="single" w:sz="4" w:space="0" w:color="auto"/>
            </w:tcBorders>
            <w:shd w:val="clear" w:color="auto" w:fill="auto"/>
            <w:vAlign w:val="center"/>
            <w:hideMark/>
          </w:tcPr>
          <w:p w:rsidR="008307D9" w:rsidRPr="006841F5" w:rsidRDefault="008307D9" w:rsidP="005673FD">
            <w:pPr>
              <w:spacing w:after="0" w:line="240" w:lineRule="auto"/>
              <w:jc w:val="center"/>
              <w:rPr>
                <w:rFonts w:ascii="Arial" w:eastAsia="Times New Roman" w:hAnsi="Arial" w:cs="Arial"/>
                <w:color w:val="000000"/>
                <w:sz w:val="20"/>
                <w:szCs w:val="20"/>
              </w:rPr>
            </w:pPr>
            <w:r w:rsidRPr="006841F5">
              <w:rPr>
                <w:rFonts w:ascii="Arial" w:eastAsia="Times New Roman" w:hAnsi="Arial" w:cs="Arial"/>
                <w:color w:val="000000"/>
                <w:sz w:val="20"/>
                <w:szCs w:val="20"/>
              </w:rPr>
              <w:t>CAISO Specific</w:t>
            </w:r>
          </w:p>
        </w:tc>
        <w:tc>
          <w:tcPr>
            <w:tcW w:w="1680" w:type="dxa"/>
            <w:tcBorders>
              <w:top w:val="nil"/>
              <w:left w:val="nil"/>
              <w:bottom w:val="single" w:sz="4" w:space="0" w:color="auto"/>
              <w:right w:val="single" w:sz="4" w:space="0" w:color="auto"/>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Greater Bay Area</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541198" w:rsidP="005673FD">
            <w:pPr>
              <w:spacing w:after="0"/>
              <w:jc w:val="center"/>
              <w:rPr>
                <w:rFonts w:ascii="Arial" w:hAnsi="Arial" w:cs="Arial"/>
                <w:color w:val="000000"/>
                <w:sz w:val="20"/>
                <w:szCs w:val="20"/>
              </w:rPr>
            </w:pPr>
            <w:r w:rsidRPr="00541198">
              <w:rPr>
                <w:rFonts w:ascii="Arial" w:hAnsi="Arial" w:cs="Arial"/>
                <w:color w:val="000000"/>
                <w:sz w:val="20"/>
                <w:szCs w:val="20"/>
                <w:highlight w:val="black"/>
              </w:rPr>
              <w:t>XXX</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3,846</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3,846</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3,843</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3,839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3,836</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3,759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3,683</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3,609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3,537</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3,466</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Greater Fresno</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Humboldt</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Kern</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Northern Coast</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120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120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120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120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120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117</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114</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112</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109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106</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103</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Other</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Sierra</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color w:val="000000"/>
                <w:sz w:val="20"/>
                <w:szCs w:val="18"/>
              </w:rPr>
            </w:pPr>
            <w:r w:rsidRPr="00116507">
              <w:rPr>
                <w:rFonts w:ascii="Arial" w:eastAsia="Times New Roman" w:hAnsi="Arial" w:cs="Arial"/>
                <w:color w:val="000000"/>
                <w:sz w:val="20"/>
                <w:szCs w:val="18"/>
              </w:rPr>
              <w:t>Stockton</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8307D9" w:rsidRPr="00B828B0" w:rsidTr="005673FD">
        <w:trPr>
          <w:trHeight w:val="300"/>
        </w:trPr>
        <w:tc>
          <w:tcPr>
            <w:tcW w:w="1076" w:type="dxa"/>
            <w:vMerge/>
            <w:tcBorders>
              <w:top w:val="nil"/>
              <w:left w:val="single" w:sz="4" w:space="0" w:color="auto"/>
              <w:bottom w:val="single" w:sz="4" w:space="0" w:color="auto"/>
              <w:right w:val="single" w:sz="4" w:space="0" w:color="auto"/>
            </w:tcBorders>
            <w:vAlign w:val="center"/>
            <w:hideMark/>
          </w:tcPr>
          <w:p w:rsidR="008307D9" w:rsidRPr="006841F5" w:rsidRDefault="008307D9" w:rsidP="005673FD">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307D9" w:rsidRPr="00116507" w:rsidRDefault="008307D9" w:rsidP="005673FD">
            <w:pPr>
              <w:spacing w:after="0" w:line="240" w:lineRule="auto"/>
              <w:jc w:val="center"/>
              <w:rPr>
                <w:rFonts w:ascii="Arial" w:eastAsia="Times New Roman" w:hAnsi="Arial" w:cs="Arial"/>
                <w:b/>
                <w:bCs/>
                <w:color w:val="000000"/>
                <w:sz w:val="20"/>
                <w:szCs w:val="18"/>
              </w:rPr>
            </w:pPr>
            <w:r w:rsidRPr="00116507">
              <w:rPr>
                <w:rFonts w:ascii="Arial" w:eastAsia="Times New Roman" w:hAnsi="Arial" w:cs="Arial"/>
                <w:b/>
                <w:bCs/>
                <w:color w:val="000000"/>
                <w:sz w:val="20"/>
                <w:szCs w:val="18"/>
              </w:rPr>
              <w:t>Total</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982</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3,966</w:t>
            </w:r>
          </w:p>
        </w:tc>
        <w:tc>
          <w:tcPr>
            <w:tcW w:w="884"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3,966</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3,963</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3,959</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3,953</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3,873</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3,795</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3,718</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3,643</w:t>
            </w:r>
          </w:p>
        </w:tc>
        <w:tc>
          <w:tcPr>
            <w:tcW w:w="880" w:type="dxa"/>
            <w:tcBorders>
              <w:top w:val="nil"/>
              <w:left w:val="nil"/>
              <w:bottom w:val="single" w:sz="4" w:space="0" w:color="000000"/>
              <w:right w:val="single" w:sz="4" w:space="0" w:color="000000"/>
            </w:tcBorders>
            <w:shd w:val="clear" w:color="auto" w:fill="auto"/>
            <w:noWrap/>
            <w:vAlign w:val="center"/>
          </w:tcPr>
          <w:p w:rsidR="008307D9" w:rsidRPr="005673FD" w:rsidRDefault="008307D9" w:rsidP="005673FD">
            <w:pPr>
              <w:spacing w:after="0"/>
              <w:jc w:val="center"/>
              <w:rPr>
                <w:rFonts w:ascii="Arial" w:hAnsi="Arial" w:cs="Arial"/>
                <w:b/>
                <w:color w:val="000000"/>
                <w:sz w:val="20"/>
                <w:szCs w:val="20"/>
              </w:rPr>
            </w:pPr>
            <w:r w:rsidRPr="005673FD">
              <w:rPr>
                <w:rFonts w:ascii="Arial" w:hAnsi="Arial" w:cs="Arial"/>
                <w:color w:val="000000"/>
                <w:sz w:val="20"/>
                <w:szCs w:val="20"/>
              </w:rPr>
              <w:t>3,569</w:t>
            </w:r>
          </w:p>
        </w:tc>
      </w:tr>
    </w:tbl>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pPr>
    </w:p>
    <w:p w:rsidR="00F1237C" w:rsidRPr="009375F0" w:rsidRDefault="00F1237C" w:rsidP="00F1237C">
      <w:pPr>
        <w:pStyle w:val="Caption"/>
      </w:pPr>
      <w:bookmarkStart w:id="76" w:name="_Ref443506825"/>
      <w:r w:rsidRPr="009375F0">
        <w:lastRenderedPageBreak/>
        <w:t xml:space="preserve">Table </w:t>
      </w:r>
      <w:fldSimple w:instr=" STYLEREF 1 \s ">
        <w:r w:rsidR="001F391A">
          <w:rPr>
            <w:noProof/>
          </w:rPr>
          <w:t>6</w:t>
        </w:r>
      </w:fldSimple>
      <w:r w:rsidR="008139B9">
        <w:noBreakHyphen/>
      </w:r>
      <w:fldSimple w:instr=" SEQ Table \* ARABIC \s 1 ">
        <w:r w:rsidR="001F391A">
          <w:rPr>
            <w:noProof/>
          </w:rPr>
          <w:t>5</w:t>
        </w:r>
      </w:fldSimple>
      <w:bookmarkEnd w:id="76"/>
      <w:r w:rsidRPr="009375F0">
        <w:t>: PG&amp;E July 1-in-2 Monthly System Peak Day Load Impacts (1</w:t>
      </w:r>
      <w:r>
        <w:t xml:space="preserve"> to </w:t>
      </w:r>
      <w:r w:rsidRPr="009375F0">
        <w:t>6 PM)</w:t>
      </w:r>
      <w:r w:rsidRPr="009375F0">
        <w:br/>
        <w:t>by LCA a</w:t>
      </w:r>
      <w:r w:rsidR="00541198">
        <w:t>nd Forecast Year –</w:t>
      </w:r>
      <w:r w:rsidRPr="009375F0">
        <w:t xml:space="preserve"> (kW)</w:t>
      </w:r>
    </w:p>
    <w:tbl>
      <w:tblPr>
        <w:tblW w:w="12435" w:type="dxa"/>
        <w:tblInd w:w="93" w:type="dxa"/>
        <w:tblLayout w:type="fixed"/>
        <w:tblLook w:val="04A0" w:firstRow="1" w:lastRow="0" w:firstColumn="1" w:lastColumn="0" w:noHBand="0" w:noVBand="1"/>
      </w:tblPr>
      <w:tblGrid>
        <w:gridCol w:w="1095"/>
        <w:gridCol w:w="1710"/>
        <w:gridCol w:w="875"/>
        <w:gridCol w:w="875"/>
        <w:gridCol w:w="876"/>
        <w:gridCol w:w="875"/>
        <w:gridCol w:w="876"/>
        <w:gridCol w:w="875"/>
        <w:gridCol w:w="876"/>
        <w:gridCol w:w="875"/>
        <w:gridCol w:w="876"/>
        <w:gridCol w:w="875"/>
        <w:gridCol w:w="876"/>
      </w:tblGrid>
      <w:tr w:rsidR="00162BB1" w:rsidRPr="00B828B0" w:rsidTr="007B1AEC">
        <w:trPr>
          <w:trHeight w:val="510"/>
        </w:trPr>
        <w:tc>
          <w:tcPr>
            <w:tcW w:w="1095" w:type="dxa"/>
            <w:tcBorders>
              <w:top w:val="single" w:sz="4" w:space="0" w:color="000000"/>
              <w:left w:val="single" w:sz="4" w:space="0" w:color="000000"/>
              <w:bottom w:val="nil"/>
              <w:right w:val="single" w:sz="4" w:space="0" w:color="FFFFFF" w:themeColor="background1"/>
            </w:tcBorders>
            <w:shd w:val="clear" w:color="000000" w:fill="0070CD"/>
            <w:vAlign w:val="center"/>
            <w:hideMark/>
          </w:tcPr>
          <w:p w:rsidR="00D93759" w:rsidRPr="006841F5" w:rsidRDefault="00D93759" w:rsidP="00162BB1">
            <w:pPr>
              <w:spacing w:after="0" w:line="240" w:lineRule="auto"/>
              <w:jc w:val="center"/>
              <w:rPr>
                <w:rFonts w:ascii="Arial" w:eastAsia="Times New Roman" w:hAnsi="Arial" w:cs="Arial"/>
                <w:b/>
                <w:bCs/>
                <w:color w:val="FFFFFF"/>
                <w:sz w:val="20"/>
                <w:szCs w:val="20"/>
              </w:rPr>
            </w:pPr>
            <w:r w:rsidRPr="006841F5">
              <w:rPr>
                <w:rFonts w:ascii="Arial" w:eastAsia="Times New Roman" w:hAnsi="Arial" w:cs="Arial"/>
                <w:b/>
                <w:bCs/>
                <w:color w:val="FFFFFF"/>
                <w:sz w:val="20"/>
                <w:szCs w:val="20"/>
              </w:rPr>
              <w:t>Peak Type</w:t>
            </w:r>
          </w:p>
        </w:tc>
        <w:tc>
          <w:tcPr>
            <w:tcW w:w="1710" w:type="dxa"/>
            <w:tcBorders>
              <w:top w:val="single" w:sz="4" w:space="0" w:color="000000"/>
              <w:left w:val="single" w:sz="4" w:space="0" w:color="FFFFFF" w:themeColor="background1"/>
              <w:bottom w:val="single" w:sz="4" w:space="0" w:color="000000"/>
              <w:right w:val="single" w:sz="4" w:space="0" w:color="FFFFFF"/>
            </w:tcBorders>
            <w:shd w:val="clear" w:color="000000" w:fill="0070CD"/>
            <w:vAlign w:val="center"/>
            <w:hideMark/>
          </w:tcPr>
          <w:p w:rsidR="00D93759" w:rsidRPr="006841F5" w:rsidRDefault="00D93759" w:rsidP="00162BB1">
            <w:pPr>
              <w:spacing w:after="0" w:line="240" w:lineRule="auto"/>
              <w:jc w:val="center"/>
              <w:rPr>
                <w:rFonts w:ascii="Arial" w:eastAsia="Times New Roman" w:hAnsi="Arial" w:cs="Arial"/>
                <w:b/>
                <w:bCs/>
                <w:color w:val="FFFFFF"/>
                <w:sz w:val="20"/>
                <w:szCs w:val="20"/>
              </w:rPr>
            </w:pPr>
            <w:r w:rsidRPr="006841F5">
              <w:rPr>
                <w:rFonts w:ascii="Arial" w:eastAsia="Times New Roman" w:hAnsi="Arial" w:cs="Arial"/>
                <w:b/>
                <w:bCs/>
                <w:color w:val="FFFFFF"/>
                <w:sz w:val="20"/>
                <w:szCs w:val="20"/>
              </w:rPr>
              <w:t>LCA</w:t>
            </w:r>
          </w:p>
        </w:tc>
        <w:tc>
          <w:tcPr>
            <w:tcW w:w="875"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2018</w:t>
            </w:r>
          </w:p>
        </w:tc>
        <w:tc>
          <w:tcPr>
            <w:tcW w:w="875"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2019</w:t>
            </w:r>
          </w:p>
        </w:tc>
        <w:tc>
          <w:tcPr>
            <w:tcW w:w="876"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2020</w:t>
            </w:r>
          </w:p>
        </w:tc>
        <w:tc>
          <w:tcPr>
            <w:tcW w:w="875"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2021</w:t>
            </w:r>
          </w:p>
        </w:tc>
        <w:tc>
          <w:tcPr>
            <w:tcW w:w="876"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2022</w:t>
            </w:r>
          </w:p>
        </w:tc>
        <w:tc>
          <w:tcPr>
            <w:tcW w:w="875"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2023</w:t>
            </w:r>
          </w:p>
        </w:tc>
        <w:tc>
          <w:tcPr>
            <w:tcW w:w="876"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2024</w:t>
            </w:r>
          </w:p>
        </w:tc>
        <w:tc>
          <w:tcPr>
            <w:tcW w:w="875"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2025</w:t>
            </w:r>
          </w:p>
        </w:tc>
        <w:tc>
          <w:tcPr>
            <w:tcW w:w="876" w:type="dxa"/>
            <w:tcBorders>
              <w:top w:val="single" w:sz="4" w:space="0" w:color="000000"/>
              <w:left w:val="nil"/>
              <w:bottom w:val="single" w:sz="4" w:space="0" w:color="000000"/>
              <w:right w:val="single" w:sz="4" w:space="0" w:color="FFFFFF"/>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2026</w:t>
            </w:r>
          </w:p>
        </w:tc>
        <w:tc>
          <w:tcPr>
            <w:tcW w:w="875" w:type="dxa"/>
            <w:tcBorders>
              <w:top w:val="single" w:sz="4" w:space="0" w:color="000000"/>
              <w:left w:val="nil"/>
              <w:bottom w:val="single" w:sz="4" w:space="0" w:color="000000"/>
              <w:right w:val="single" w:sz="4" w:space="0" w:color="FFFFFF" w:themeColor="background1"/>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2027</w:t>
            </w:r>
          </w:p>
        </w:tc>
        <w:tc>
          <w:tcPr>
            <w:tcW w:w="876" w:type="dxa"/>
            <w:tcBorders>
              <w:top w:val="single" w:sz="4" w:space="0" w:color="000000"/>
              <w:left w:val="single" w:sz="4" w:space="0" w:color="FFFFFF" w:themeColor="background1"/>
              <w:bottom w:val="single" w:sz="4" w:space="0" w:color="000000"/>
              <w:right w:val="single" w:sz="4" w:space="0" w:color="auto"/>
            </w:tcBorders>
            <w:shd w:val="clear" w:color="000000" w:fill="0070CD"/>
            <w:vAlign w:val="center"/>
            <w:hideMark/>
          </w:tcPr>
          <w:p w:rsidR="00D93759" w:rsidRPr="005673FD" w:rsidRDefault="00D93759" w:rsidP="00162BB1">
            <w:pPr>
              <w:spacing w:after="0" w:line="240" w:lineRule="auto"/>
              <w:jc w:val="center"/>
              <w:rPr>
                <w:rFonts w:ascii="Arial" w:eastAsia="Times New Roman" w:hAnsi="Arial" w:cs="Arial"/>
                <w:b/>
                <w:bCs/>
                <w:color w:val="FFFFFF" w:themeColor="background1"/>
                <w:sz w:val="20"/>
                <w:szCs w:val="20"/>
              </w:rPr>
            </w:pPr>
            <w:r w:rsidRPr="005673FD">
              <w:rPr>
                <w:rFonts w:ascii="Arial" w:hAnsi="Arial" w:cs="Arial"/>
                <w:b/>
                <w:color w:val="FFFFFF" w:themeColor="background1"/>
                <w:sz w:val="20"/>
                <w:szCs w:val="20"/>
              </w:rPr>
              <w:t>2028</w:t>
            </w:r>
          </w:p>
        </w:tc>
      </w:tr>
      <w:tr w:rsidR="00162BB1" w:rsidRPr="00B828B0" w:rsidTr="007B1AEC">
        <w:trPr>
          <w:trHeight w:val="300"/>
        </w:trPr>
        <w:tc>
          <w:tcPr>
            <w:tcW w:w="10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93759" w:rsidRPr="006841F5" w:rsidRDefault="00D93759" w:rsidP="007B1AEC">
            <w:pPr>
              <w:spacing w:after="0" w:line="240" w:lineRule="auto"/>
              <w:ind w:right="-119"/>
              <w:jc w:val="center"/>
              <w:rPr>
                <w:rFonts w:ascii="Arial" w:eastAsia="Times New Roman" w:hAnsi="Arial" w:cs="Arial"/>
                <w:color w:val="000000"/>
                <w:sz w:val="20"/>
                <w:szCs w:val="20"/>
              </w:rPr>
            </w:pPr>
            <w:r w:rsidRPr="006841F5">
              <w:rPr>
                <w:rFonts w:ascii="Arial" w:eastAsia="Times New Roman" w:hAnsi="Arial" w:cs="Arial"/>
                <w:color w:val="000000"/>
                <w:sz w:val="20"/>
                <w:szCs w:val="20"/>
              </w:rPr>
              <w:t>Utility Specific</w:t>
            </w: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Greater Bay Area</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541198" w:rsidP="00162BB1">
            <w:pPr>
              <w:spacing w:after="0"/>
              <w:jc w:val="center"/>
              <w:rPr>
                <w:rFonts w:ascii="Arial" w:hAnsi="Arial" w:cs="Arial"/>
                <w:color w:val="000000"/>
                <w:sz w:val="20"/>
                <w:szCs w:val="20"/>
              </w:rPr>
            </w:pPr>
            <w:r w:rsidRPr="00541198">
              <w:rPr>
                <w:rFonts w:ascii="Arial" w:hAnsi="Arial" w:cs="Arial"/>
                <w:color w:val="000000"/>
                <w:sz w:val="20"/>
                <w:szCs w:val="20"/>
                <w:highlight w:val="black"/>
              </w:rPr>
              <w:t>XXX</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3,651</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3,651</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3,648</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3,644</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3,641</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3,569</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3,498</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3,429</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3,361</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3,296</w:t>
            </w:r>
          </w:p>
        </w:tc>
      </w:tr>
      <w:tr w:rsidR="00162BB1" w:rsidRPr="00B828B0" w:rsidTr="007B1AEC">
        <w:trPr>
          <w:trHeight w:val="300"/>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Greater Fresno</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Humboldt</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Kern</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Northern Coast</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116</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116</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116</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116</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116</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113</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107</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105</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102</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100</w:t>
            </w:r>
          </w:p>
        </w:tc>
      </w:tr>
      <w:tr w:rsidR="00162BB1" w:rsidRPr="00B828B0" w:rsidTr="007B1AEC">
        <w:trPr>
          <w:trHeight w:val="300"/>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Other</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Sierra</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Stockton</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206"/>
        </w:trPr>
        <w:tc>
          <w:tcPr>
            <w:tcW w:w="1095" w:type="dxa"/>
            <w:vMerge/>
            <w:tcBorders>
              <w:top w:val="single" w:sz="4" w:space="0" w:color="auto"/>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b/>
                <w:bCs/>
                <w:color w:val="000000"/>
                <w:sz w:val="20"/>
                <w:szCs w:val="18"/>
              </w:rPr>
            </w:pPr>
            <w:r w:rsidRPr="00003A25">
              <w:rPr>
                <w:rFonts w:ascii="Arial" w:eastAsia="Times New Roman" w:hAnsi="Arial" w:cs="Arial"/>
                <w:b/>
                <w:bCs/>
                <w:color w:val="000000"/>
                <w:sz w:val="20"/>
                <w:szCs w:val="18"/>
              </w:rPr>
              <w:t>Total</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964</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3,767</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3,767</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3,764</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3,760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3,754</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3,679</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3,605</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3,534</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3,463</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3,396</w:t>
            </w:r>
          </w:p>
        </w:tc>
      </w:tr>
      <w:tr w:rsidR="00162BB1" w:rsidRPr="00B828B0" w:rsidTr="007B1AEC">
        <w:trPr>
          <w:trHeight w:val="300"/>
        </w:trPr>
        <w:tc>
          <w:tcPr>
            <w:tcW w:w="1095" w:type="dxa"/>
            <w:vMerge w:val="restart"/>
            <w:tcBorders>
              <w:top w:val="nil"/>
              <w:left w:val="single" w:sz="4" w:space="0" w:color="auto"/>
              <w:bottom w:val="single" w:sz="4" w:space="0" w:color="auto"/>
              <w:right w:val="single" w:sz="4" w:space="0" w:color="auto"/>
            </w:tcBorders>
            <w:shd w:val="clear" w:color="auto" w:fill="auto"/>
            <w:vAlign w:val="center"/>
            <w:hideMark/>
          </w:tcPr>
          <w:p w:rsidR="00D93759" w:rsidRPr="006841F5" w:rsidRDefault="00D93759" w:rsidP="007B1AEC">
            <w:pPr>
              <w:spacing w:after="0" w:line="240" w:lineRule="auto"/>
              <w:jc w:val="center"/>
              <w:rPr>
                <w:rFonts w:ascii="Arial" w:eastAsia="Times New Roman" w:hAnsi="Arial" w:cs="Arial"/>
                <w:color w:val="000000"/>
                <w:sz w:val="20"/>
                <w:szCs w:val="20"/>
              </w:rPr>
            </w:pPr>
            <w:r w:rsidRPr="006841F5">
              <w:rPr>
                <w:rFonts w:ascii="Arial" w:eastAsia="Times New Roman" w:hAnsi="Arial" w:cs="Arial"/>
                <w:color w:val="000000"/>
                <w:sz w:val="20"/>
                <w:szCs w:val="20"/>
              </w:rPr>
              <w:t>CAISO Specific</w:t>
            </w:r>
          </w:p>
        </w:tc>
        <w:tc>
          <w:tcPr>
            <w:tcW w:w="1710" w:type="dxa"/>
            <w:tcBorders>
              <w:top w:val="nil"/>
              <w:left w:val="nil"/>
              <w:bottom w:val="single" w:sz="4" w:space="0" w:color="auto"/>
              <w:right w:val="single" w:sz="4" w:space="0" w:color="auto"/>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Greater Bay Area</w:t>
            </w:r>
          </w:p>
        </w:tc>
        <w:tc>
          <w:tcPr>
            <w:tcW w:w="875" w:type="dxa"/>
            <w:tcBorders>
              <w:top w:val="nil"/>
              <w:left w:val="nil"/>
              <w:bottom w:val="single" w:sz="4" w:space="0" w:color="auto"/>
              <w:right w:val="single" w:sz="4" w:space="0" w:color="auto"/>
            </w:tcBorders>
            <w:shd w:val="clear" w:color="auto" w:fill="auto"/>
            <w:noWrap/>
            <w:vAlign w:val="center"/>
          </w:tcPr>
          <w:p w:rsidR="00D93759" w:rsidRPr="005673FD" w:rsidRDefault="00541198" w:rsidP="00162BB1">
            <w:pPr>
              <w:spacing w:after="0"/>
              <w:jc w:val="center"/>
              <w:rPr>
                <w:rFonts w:ascii="Arial" w:hAnsi="Arial" w:cs="Arial"/>
                <w:color w:val="000000"/>
                <w:sz w:val="20"/>
                <w:szCs w:val="20"/>
              </w:rPr>
            </w:pPr>
            <w:r w:rsidRPr="00541198">
              <w:rPr>
                <w:rFonts w:ascii="Arial" w:hAnsi="Arial" w:cs="Arial"/>
                <w:color w:val="000000"/>
                <w:sz w:val="20"/>
                <w:szCs w:val="20"/>
                <w:highlight w:val="black"/>
              </w:rPr>
              <w:t>XXX</w:t>
            </w:r>
          </w:p>
        </w:tc>
        <w:tc>
          <w:tcPr>
            <w:tcW w:w="875"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3,512</w:t>
            </w:r>
          </w:p>
        </w:tc>
        <w:tc>
          <w:tcPr>
            <w:tcW w:w="876"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3,512</w:t>
            </w:r>
          </w:p>
        </w:tc>
        <w:tc>
          <w:tcPr>
            <w:tcW w:w="875"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3,509</w:t>
            </w:r>
          </w:p>
        </w:tc>
        <w:tc>
          <w:tcPr>
            <w:tcW w:w="876"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3,506</w:t>
            </w:r>
          </w:p>
        </w:tc>
        <w:tc>
          <w:tcPr>
            <w:tcW w:w="875"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3,503</w:t>
            </w:r>
          </w:p>
        </w:tc>
        <w:tc>
          <w:tcPr>
            <w:tcW w:w="876"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3,433</w:t>
            </w:r>
          </w:p>
        </w:tc>
        <w:tc>
          <w:tcPr>
            <w:tcW w:w="875"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3,364</w:t>
            </w:r>
          </w:p>
        </w:tc>
        <w:tc>
          <w:tcPr>
            <w:tcW w:w="876"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3,297</w:t>
            </w:r>
          </w:p>
        </w:tc>
        <w:tc>
          <w:tcPr>
            <w:tcW w:w="875"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3,231</w:t>
            </w:r>
          </w:p>
        </w:tc>
        <w:tc>
          <w:tcPr>
            <w:tcW w:w="876" w:type="dxa"/>
            <w:tcBorders>
              <w:top w:val="nil"/>
              <w:left w:val="nil"/>
              <w:bottom w:val="single" w:sz="4" w:space="0" w:color="auto"/>
              <w:right w:val="single" w:sz="4" w:space="0" w:color="auto"/>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3,168</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Greater Fresno</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Humboldt</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Kern</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Northern Coast</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111</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111</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111</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111</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111</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108</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106</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103</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100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98</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95</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Other</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Sierra</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color w:val="000000"/>
                <w:sz w:val="20"/>
                <w:szCs w:val="18"/>
              </w:rPr>
            </w:pPr>
            <w:r w:rsidRPr="00003A25">
              <w:rPr>
                <w:rFonts w:ascii="Arial" w:eastAsia="Times New Roman" w:hAnsi="Arial" w:cs="Arial"/>
                <w:color w:val="000000"/>
                <w:sz w:val="20"/>
                <w:szCs w:val="18"/>
              </w:rPr>
              <w:t>Stockton</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jc w:val="center"/>
              <w:rPr>
                <w:rFonts w:ascii="Arial" w:hAnsi="Arial" w:cs="Arial"/>
                <w:color w:val="000000"/>
                <w:sz w:val="20"/>
                <w:szCs w:val="20"/>
              </w:rPr>
            </w:pPr>
            <w:r w:rsidRPr="005673FD">
              <w:rPr>
                <w:rFonts w:ascii="Arial" w:hAnsi="Arial" w:cs="Arial"/>
                <w:color w:val="000000"/>
                <w:sz w:val="20"/>
                <w:szCs w:val="20"/>
              </w:rPr>
              <w:t>0</w:t>
            </w:r>
          </w:p>
        </w:tc>
      </w:tr>
      <w:tr w:rsidR="00162BB1" w:rsidRPr="00B828B0" w:rsidTr="007B1AEC">
        <w:trPr>
          <w:trHeight w:val="300"/>
        </w:trPr>
        <w:tc>
          <w:tcPr>
            <w:tcW w:w="1095" w:type="dxa"/>
            <w:vMerge/>
            <w:tcBorders>
              <w:top w:val="nil"/>
              <w:left w:val="single" w:sz="4" w:space="0" w:color="auto"/>
              <w:bottom w:val="single" w:sz="4" w:space="0" w:color="auto"/>
              <w:right w:val="single" w:sz="4" w:space="0" w:color="auto"/>
            </w:tcBorders>
            <w:vAlign w:val="center"/>
            <w:hideMark/>
          </w:tcPr>
          <w:p w:rsidR="00D93759" w:rsidRPr="006841F5" w:rsidRDefault="00D93759" w:rsidP="007B1AEC">
            <w:pPr>
              <w:spacing w:after="0" w:line="240" w:lineRule="auto"/>
              <w:jc w:val="center"/>
              <w:rPr>
                <w:rFonts w:ascii="Calibri" w:eastAsia="Times New Roman" w:hAnsi="Calibri" w:cs="Times New Roman"/>
                <w:color w:val="000000"/>
              </w:rPr>
            </w:pPr>
          </w:p>
        </w:tc>
        <w:tc>
          <w:tcPr>
            <w:tcW w:w="1710" w:type="dxa"/>
            <w:tcBorders>
              <w:top w:val="nil"/>
              <w:left w:val="nil"/>
              <w:bottom w:val="single" w:sz="4" w:space="0" w:color="000000"/>
              <w:right w:val="single" w:sz="4" w:space="0" w:color="000000"/>
            </w:tcBorders>
            <w:shd w:val="clear" w:color="auto" w:fill="auto"/>
            <w:noWrap/>
            <w:vAlign w:val="center"/>
            <w:hideMark/>
          </w:tcPr>
          <w:p w:rsidR="00D93759" w:rsidRPr="00003A25" w:rsidRDefault="00D93759" w:rsidP="007B1AEC">
            <w:pPr>
              <w:spacing w:after="0" w:line="240" w:lineRule="auto"/>
              <w:jc w:val="center"/>
              <w:rPr>
                <w:rFonts w:ascii="Arial" w:eastAsia="Times New Roman" w:hAnsi="Arial" w:cs="Arial"/>
                <w:b/>
                <w:bCs/>
                <w:color w:val="000000"/>
                <w:sz w:val="20"/>
                <w:szCs w:val="18"/>
              </w:rPr>
            </w:pPr>
            <w:r w:rsidRPr="00003A25">
              <w:rPr>
                <w:rFonts w:ascii="Arial" w:eastAsia="Times New Roman" w:hAnsi="Arial" w:cs="Arial"/>
                <w:b/>
                <w:bCs/>
                <w:color w:val="000000"/>
                <w:sz w:val="20"/>
                <w:szCs w:val="18"/>
              </w:rPr>
              <w:t>Total</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909</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3,623</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3,623</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3,620</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3,617</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3,611</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3,538</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3,467</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3,397</w:t>
            </w:r>
          </w:p>
        </w:tc>
        <w:tc>
          <w:tcPr>
            <w:tcW w:w="875"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3,329</w:t>
            </w:r>
          </w:p>
        </w:tc>
        <w:tc>
          <w:tcPr>
            <w:tcW w:w="876" w:type="dxa"/>
            <w:tcBorders>
              <w:top w:val="nil"/>
              <w:left w:val="nil"/>
              <w:bottom w:val="single" w:sz="4" w:space="0" w:color="000000"/>
              <w:right w:val="single" w:sz="4" w:space="0" w:color="000000"/>
            </w:tcBorders>
            <w:shd w:val="clear" w:color="auto" w:fill="auto"/>
            <w:noWrap/>
            <w:vAlign w:val="center"/>
          </w:tcPr>
          <w:p w:rsidR="00D93759" w:rsidRPr="005673FD" w:rsidRDefault="00D93759" w:rsidP="00162BB1">
            <w:pPr>
              <w:spacing w:after="0" w:line="240" w:lineRule="auto"/>
              <w:jc w:val="center"/>
              <w:rPr>
                <w:rFonts w:ascii="Arial" w:hAnsi="Arial" w:cs="Arial"/>
                <w:b/>
                <w:color w:val="000000"/>
                <w:sz w:val="20"/>
                <w:szCs w:val="20"/>
              </w:rPr>
            </w:pPr>
            <w:r w:rsidRPr="005673FD">
              <w:rPr>
                <w:rFonts w:ascii="Arial" w:hAnsi="Arial" w:cs="Arial"/>
                <w:b/>
                <w:color w:val="000000"/>
                <w:sz w:val="20"/>
                <w:szCs w:val="20"/>
              </w:rPr>
              <w:t>3,263</w:t>
            </w:r>
          </w:p>
        </w:tc>
      </w:tr>
    </w:tbl>
    <w:p w:rsidR="00F1237C" w:rsidRDefault="00F1237C" w:rsidP="00F1237C">
      <w:pPr>
        <w:pStyle w:val="BodyParagraph"/>
        <w:rPr>
          <w:highlight w:val="yellow"/>
        </w:rPr>
      </w:pPr>
    </w:p>
    <w:p w:rsidR="00F1237C" w:rsidRPr="00B828B0" w:rsidRDefault="00F1237C" w:rsidP="00F1237C">
      <w:pPr>
        <w:pStyle w:val="BodyParagraph"/>
        <w:rPr>
          <w:highlight w:val="yellow"/>
        </w:rPr>
        <w:sectPr w:rsidR="00F1237C" w:rsidRPr="00B828B0" w:rsidSect="00B84780">
          <w:footerReference w:type="default" r:id="rId56"/>
          <w:pgSz w:w="15840" w:h="12240" w:orient="landscape"/>
          <w:pgMar w:top="1440" w:right="1440" w:bottom="1440" w:left="1440" w:header="720" w:footer="720" w:gutter="0"/>
          <w:cols w:space="720"/>
          <w:docGrid w:linePitch="360"/>
        </w:sectPr>
      </w:pPr>
    </w:p>
    <w:p w:rsidR="00F1237C" w:rsidRPr="00753468" w:rsidRDefault="00F1237C" w:rsidP="00F1237C">
      <w:pPr>
        <w:pStyle w:val="Heading3"/>
      </w:pPr>
      <w:bookmarkStart w:id="77" w:name="_Toc415494775"/>
      <w:bookmarkStart w:id="78" w:name="_Toc447117299"/>
      <w:bookmarkStart w:id="79" w:name="_Toc507085062"/>
      <w:bookmarkStart w:id="80" w:name="_Toc382926514"/>
      <w:bookmarkStart w:id="81" w:name="_Toc412919725"/>
      <w:r w:rsidRPr="00753468">
        <w:lastRenderedPageBreak/>
        <w:t>Relationship between Ex Post and Ex Ante Estimates</w:t>
      </w:r>
      <w:bookmarkEnd w:id="77"/>
      <w:bookmarkEnd w:id="78"/>
      <w:bookmarkEnd w:id="79"/>
    </w:p>
    <w:p w:rsidR="00F1237C" w:rsidRDefault="00F1237C" w:rsidP="00F1237C">
      <w:pPr>
        <w:pStyle w:val="BodyParagraph"/>
      </w:pPr>
      <w:r>
        <w:fldChar w:fldCharType="begin"/>
      </w:r>
      <w:r>
        <w:instrText xml:space="preserve"> REF _Ref477885658 \h  \* MERGEFORMAT </w:instrText>
      </w:r>
      <w:r>
        <w:fldChar w:fldCharType="separate"/>
      </w:r>
      <w:r w:rsidR="001F391A">
        <w:t xml:space="preserve">Table </w:t>
      </w:r>
      <w:r w:rsidR="001F391A">
        <w:rPr>
          <w:noProof/>
        </w:rPr>
        <w:t>6</w:t>
      </w:r>
      <w:r w:rsidR="001F391A">
        <w:rPr>
          <w:noProof/>
        </w:rPr>
        <w:noBreakHyphen/>
        <w:t>6</w:t>
      </w:r>
      <w:r>
        <w:fldChar w:fldCharType="end"/>
      </w:r>
      <w:r>
        <w:t xml:space="preserve"> compares the </w:t>
      </w:r>
      <w:r w:rsidRPr="001D279F">
        <w:t>current ex post results</w:t>
      </w:r>
      <w:r>
        <w:t xml:space="preserve"> from the 201</w:t>
      </w:r>
      <w:r w:rsidR="003B68AE">
        <w:t>7</w:t>
      </w:r>
      <w:r>
        <w:t xml:space="preserve"> program year evaluation with </w:t>
      </w:r>
      <w:r w:rsidRPr="001D279F">
        <w:t>last</w:t>
      </w:r>
      <w:r>
        <w:t> </w:t>
      </w:r>
      <w:r w:rsidRPr="001D279F">
        <w:t xml:space="preserve">year’s </w:t>
      </w:r>
      <w:r>
        <w:t>201</w:t>
      </w:r>
      <w:r w:rsidR="003B68AE">
        <w:t>6</w:t>
      </w:r>
      <w:r>
        <w:t xml:space="preserve"> program year ex ante </w:t>
      </w:r>
      <w:r w:rsidRPr="001D279F">
        <w:t>forecast</w:t>
      </w:r>
      <w:r>
        <w:t xml:space="preserve"> for 201</w:t>
      </w:r>
      <w:r w:rsidR="003B68AE">
        <w:t>7</w:t>
      </w:r>
      <w:r>
        <w:t>. This comparison shows how similar or different the forecast was from what actually took place. The forecast for 201</w:t>
      </w:r>
      <w:r w:rsidR="003B68AE">
        <w:t>7</w:t>
      </w:r>
      <w:r w:rsidR="007242B1">
        <w:t xml:space="preserve"> did not expect any new programs to become operational, which is consistent with what was observed in the ex post evaluation. </w:t>
      </w:r>
      <w:r w:rsidR="006E5F69">
        <w:t>Since the ex ante was based off of this one installation, the ex post and ex ante estimates are very similar, with any variation explained by variations in temperature for the days being compared.</w:t>
      </w:r>
    </w:p>
    <w:p w:rsidR="001D1C3E" w:rsidRDefault="001D1C3E" w:rsidP="001D1C3E">
      <w:pPr>
        <w:pStyle w:val="Caption"/>
      </w:pPr>
      <w:bookmarkStart w:id="82" w:name="_Ref477885658"/>
      <w:r>
        <w:t xml:space="preserve">Table </w:t>
      </w:r>
      <w:fldSimple w:instr=" STYLEREF 1 \s ">
        <w:r>
          <w:rPr>
            <w:noProof/>
          </w:rPr>
          <w:t>6</w:t>
        </w:r>
      </w:fldSimple>
      <w:r>
        <w:noBreakHyphen/>
      </w:r>
      <w:fldSimple w:instr=" SEQ Table \* ARABIC \s 1 ">
        <w:r>
          <w:rPr>
            <w:noProof/>
          </w:rPr>
          <w:t>6</w:t>
        </w:r>
      </w:fldSimple>
      <w:bookmarkEnd w:id="82"/>
      <w:r w:rsidRPr="00753468">
        <w:t xml:space="preserve">: Comparison of </w:t>
      </w:r>
      <w:r>
        <w:t xml:space="preserve">2017 Ex Post to </w:t>
      </w:r>
      <w:r w:rsidRPr="00753468">
        <w:t xml:space="preserve">Prior Year Ex Ante Estimates </w:t>
      </w:r>
      <w:r>
        <w:br/>
        <w:t>(July Average Weekday – Utility Specific)</w:t>
      </w:r>
    </w:p>
    <w:tbl>
      <w:tblPr>
        <w:tblStyle w:val="TableGrid"/>
        <w:tblW w:w="0" w:type="auto"/>
        <w:tblInd w:w="-162" w:type="dxa"/>
        <w:tblLook w:val="04A0" w:firstRow="1" w:lastRow="0" w:firstColumn="1" w:lastColumn="0" w:noHBand="0" w:noVBand="1"/>
      </w:tblPr>
      <w:tblGrid>
        <w:gridCol w:w="2356"/>
        <w:gridCol w:w="1842"/>
        <w:gridCol w:w="1846"/>
        <w:gridCol w:w="1846"/>
        <w:gridCol w:w="1848"/>
      </w:tblGrid>
      <w:tr w:rsidR="001D1C3E" w:rsidTr="00F13AE8">
        <w:tc>
          <w:tcPr>
            <w:tcW w:w="2356" w:type="dxa"/>
            <w:tcBorders>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Analysis</w:t>
            </w:r>
          </w:p>
        </w:tc>
        <w:tc>
          <w:tcPr>
            <w:tcW w:w="1842" w:type="dxa"/>
            <w:tcBorders>
              <w:left w:val="single" w:sz="4" w:space="0" w:color="FFFFFF" w:themeColor="background1"/>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Accounts</w:t>
            </w:r>
          </w:p>
        </w:tc>
        <w:tc>
          <w:tcPr>
            <w:tcW w:w="1846" w:type="dxa"/>
            <w:tcBorders>
              <w:left w:val="single" w:sz="4" w:space="0" w:color="FFFFFF" w:themeColor="background1"/>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Reference Loads (MW)</w:t>
            </w:r>
          </w:p>
        </w:tc>
        <w:tc>
          <w:tcPr>
            <w:tcW w:w="1846" w:type="dxa"/>
            <w:tcBorders>
              <w:left w:val="single" w:sz="4" w:space="0" w:color="FFFFFF" w:themeColor="background1"/>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074037">
              <w:rPr>
                <w:rFonts w:ascii="Arial" w:eastAsia="Times New Roman" w:hAnsi="Arial" w:cs="Arial"/>
                <w:b/>
                <w:bCs/>
                <w:color w:val="FFFFFF"/>
                <w:sz w:val="20"/>
                <w:szCs w:val="20"/>
              </w:rPr>
              <w:t>Percent Reductions</w:t>
            </w:r>
          </w:p>
        </w:tc>
        <w:tc>
          <w:tcPr>
            <w:tcW w:w="1848" w:type="dxa"/>
            <w:tcBorders>
              <w:lef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Aggregate Impacts (MW)</w:t>
            </w:r>
          </w:p>
        </w:tc>
      </w:tr>
      <w:tr w:rsidR="001D1C3E" w:rsidTr="00F13AE8">
        <w:trPr>
          <w:trHeight w:val="377"/>
        </w:trPr>
        <w:tc>
          <w:tcPr>
            <w:tcW w:w="2356" w:type="dxa"/>
            <w:vAlign w:val="center"/>
          </w:tcPr>
          <w:p w:rsidR="001D1C3E" w:rsidRPr="00CC0B13" w:rsidRDefault="001D1C3E" w:rsidP="00F13AE8">
            <w:pPr>
              <w:pStyle w:val="Bullets"/>
              <w:numPr>
                <w:ilvl w:val="0"/>
                <w:numId w:val="0"/>
              </w:numPr>
            </w:pPr>
            <w:r w:rsidRPr="00CC0B13">
              <w:t>201</w:t>
            </w:r>
            <w:r>
              <w:t>7</w:t>
            </w:r>
            <w:r w:rsidRPr="00CC0B13">
              <w:t xml:space="preserve"> Ex Post</w:t>
            </w:r>
          </w:p>
        </w:tc>
        <w:tc>
          <w:tcPr>
            <w:tcW w:w="1842" w:type="dxa"/>
            <w:vAlign w:val="center"/>
          </w:tcPr>
          <w:p w:rsidR="001D1C3E" w:rsidRPr="00CC0B13" w:rsidRDefault="001D1C3E" w:rsidP="00F13AE8">
            <w:pPr>
              <w:jc w:val="center"/>
              <w:rPr>
                <w:rFonts w:ascii="Arial" w:eastAsia="Times New Roman" w:hAnsi="Arial" w:cs="Arial"/>
                <w:color w:val="000000"/>
                <w:sz w:val="20"/>
                <w:szCs w:val="20"/>
              </w:rPr>
            </w:pPr>
            <w:r w:rsidRPr="00CC0B13">
              <w:rPr>
                <w:rFonts w:ascii="Arial" w:eastAsia="Times New Roman" w:hAnsi="Arial" w:cs="Arial"/>
                <w:color w:val="000000"/>
                <w:sz w:val="20"/>
                <w:szCs w:val="20"/>
              </w:rPr>
              <w:t>1</w:t>
            </w:r>
          </w:p>
        </w:tc>
        <w:tc>
          <w:tcPr>
            <w:tcW w:w="1846"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c>
          <w:tcPr>
            <w:tcW w:w="1846"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c>
          <w:tcPr>
            <w:tcW w:w="1848"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r>
      <w:tr w:rsidR="001D1C3E" w:rsidTr="00F13AE8">
        <w:trPr>
          <w:trHeight w:val="377"/>
        </w:trPr>
        <w:tc>
          <w:tcPr>
            <w:tcW w:w="2356" w:type="dxa"/>
            <w:vAlign w:val="center"/>
          </w:tcPr>
          <w:p w:rsidR="001D1C3E" w:rsidRPr="00CC0B13" w:rsidRDefault="001D1C3E" w:rsidP="00F13AE8">
            <w:pPr>
              <w:pStyle w:val="Bullets"/>
              <w:numPr>
                <w:ilvl w:val="0"/>
                <w:numId w:val="0"/>
              </w:numPr>
            </w:pPr>
            <w:r w:rsidRPr="00CC0B13">
              <w:t>201</w:t>
            </w:r>
            <w:r>
              <w:t>7</w:t>
            </w:r>
            <w:r w:rsidRPr="00CC0B13">
              <w:t xml:space="preserve"> Ex Ante 1-in-2</w:t>
            </w:r>
          </w:p>
        </w:tc>
        <w:tc>
          <w:tcPr>
            <w:tcW w:w="1842" w:type="dxa"/>
            <w:vAlign w:val="center"/>
          </w:tcPr>
          <w:p w:rsidR="001D1C3E" w:rsidRPr="00CC0B13" w:rsidRDefault="001D1C3E" w:rsidP="00F13AE8">
            <w:pPr>
              <w:jc w:val="center"/>
              <w:rPr>
                <w:rFonts w:ascii="Arial" w:eastAsia="Times New Roman" w:hAnsi="Arial" w:cs="Arial"/>
                <w:color w:val="000000"/>
                <w:sz w:val="20"/>
                <w:szCs w:val="20"/>
              </w:rPr>
            </w:pPr>
            <w:r>
              <w:rPr>
                <w:rFonts w:ascii="Arial" w:eastAsia="Times New Roman" w:hAnsi="Arial" w:cs="Arial"/>
                <w:color w:val="000000"/>
                <w:sz w:val="20"/>
                <w:szCs w:val="20"/>
              </w:rPr>
              <w:t>1</w:t>
            </w:r>
          </w:p>
        </w:tc>
        <w:tc>
          <w:tcPr>
            <w:tcW w:w="1846"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c>
          <w:tcPr>
            <w:tcW w:w="1846"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c>
          <w:tcPr>
            <w:tcW w:w="1848"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r>
      <w:tr w:rsidR="001D1C3E" w:rsidTr="00F13AE8">
        <w:trPr>
          <w:trHeight w:val="377"/>
        </w:trPr>
        <w:tc>
          <w:tcPr>
            <w:tcW w:w="2356" w:type="dxa"/>
            <w:vAlign w:val="center"/>
          </w:tcPr>
          <w:p w:rsidR="001D1C3E" w:rsidRPr="00CC0B13" w:rsidRDefault="001D1C3E" w:rsidP="00F13AE8">
            <w:pPr>
              <w:pStyle w:val="Bullets"/>
              <w:numPr>
                <w:ilvl w:val="0"/>
                <w:numId w:val="0"/>
              </w:numPr>
            </w:pPr>
            <w:r w:rsidRPr="00CC0B13">
              <w:t>201</w:t>
            </w:r>
            <w:r>
              <w:t>7</w:t>
            </w:r>
            <w:r w:rsidRPr="00CC0B13">
              <w:t xml:space="preserve"> Ex Ante 1-in-10</w:t>
            </w:r>
          </w:p>
        </w:tc>
        <w:tc>
          <w:tcPr>
            <w:tcW w:w="1842" w:type="dxa"/>
            <w:vAlign w:val="center"/>
          </w:tcPr>
          <w:p w:rsidR="001D1C3E" w:rsidRPr="00CC0B13" w:rsidRDefault="001D1C3E" w:rsidP="00F13AE8">
            <w:pPr>
              <w:jc w:val="center"/>
              <w:rPr>
                <w:rFonts w:ascii="Arial" w:eastAsia="Times New Roman" w:hAnsi="Arial" w:cs="Arial"/>
                <w:color w:val="000000"/>
                <w:sz w:val="20"/>
                <w:szCs w:val="20"/>
              </w:rPr>
            </w:pPr>
            <w:r>
              <w:rPr>
                <w:rFonts w:ascii="Arial" w:eastAsia="Times New Roman" w:hAnsi="Arial" w:cs="Arial"/>
                <w:color w:val="000000"/>
                <w:sz w:val="20"/>
                <w:szCs w:val="20"/>
              </w:rPr>
              <w:t>1</w:t>
            </w:r>
          </w:p>
        </w:tc>
        <w:tc>
          <w:tcPr>
            <w:tcW w:w="1846"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c>
          <w:tcPr>
            <w:tcW w:w="1846"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c>
          <w:tcPr>
            <w:tcW w:w="1848" w:type="dxa"/>
            <w:vAlign w:val="center"/>
          </w:tcPr>
          <w:p w:rsidR="001D1C3E" w:rsidRPr="009F447F" w:rsidRDefault="001D1C3E" w:rsidP="00F13AE8">
            <w:pPr>
              <w:jc w:val="center"/>
              <w:rPr>
                <w:rFonts w:ascii="Arial" w:eastAsia="Times New Roman" w:hAnsi="Arial" w:cs="Arial"/>
                <w:color w:val="000000"/>
                <w:sz w:val="20"/>
                <w:szCs w:val="20"/>
                <w:highlight w:val="black"/>
              </w:rPr>
            </w:pPr>
            <w:r w:rsidRPr="009F447F">
              <w:rPr>
                <w:rFonts w:ascii="Arial" w:eastAsia="Times New Roman" w:hAnsi="Arial" w:cs="Arial"/>
                <w:color w:val="000000"/>
                <w:sz w:val="20"/>
                <w:szCs w:val="20"/>
                <w:highlight w:val="black"/>
              </w:rPr>
              <w:t>XXX</w:t>
            </w:r>
          </w:p>
        </w:tc>
      </w:tr>
    </w:tbl>
    <w:p w:rsidR="00F1237C" w:rsidRPr="004955A9" w:rsidRDefault="00F1237C" w:rsidP="00F1237C">
      <w:pPr>
        <w:pStyle w:val="BodyParaAfterTableFigure"/>
        <w:sectPr w:rsidR="00F1237C" w:rsidRPr="004955A9" w:rsidSect="00B84780">
          <w:footerReference w:type="default" r:id="rId57"/>
          <w:pgSz w:w="12240" w:h="15840"/>
          <w:pgMar w:top="1440" w:right="1440" w:bottom="1440" w:left="1440" w:header="720" w:footer="720" w:gutter="0"/>
          <w:cols w:space="720"/>
          <w:docGrid w:linePitch="360"/>
        </w:sectPr>
      </w:pPr>
      <w:r>
        <w:fldChar w:fldCharType="begin"/>
      </w:r>
      <w:r>
        <w:instrText xml:space="preserve"> REF _Ref477886991 \h  \* MERGEFORMAT </w:instrText>
      </w:r>
      <w:r>
        <w:fldChar w:fldCharType="separate"/>
      </w:r>
      <w:r w:rsidR="001F391A">
        <w:t xml:space="preserve">Table </w:t>
      </w:r>
      <w:r w:rsidR="001F391A">
        <w:rPr>
          <w:noProof/>
        </w:rPr>
        <w:t>6</w:t>
      </w:r>
      <w:r w:rsidR="001F391A">
        <w:rPr>
          <w:noProof/>
        </w:rPr>
        <w:noBreakHyphen/>
        <w:t>7</w:t>
      </w:r>
      <w:r>
        <w:fldChar w:fldCharType="end"/>
      </w:r>
      <w:r>
        <w:t xml:space="preserve"> provides an analysis of h</w:t>
      </w:r>
      <w:r w:rsidRPr="001D279F">
        <w:t>ow the current ex ante results differ from the current ex post</w:t>
      </w:r>
      <w:r>
        <w:t> </w:t>
      </w:r>
      <w:r w:rsidRPr="001D279F">
        <w:t>results</w:t>
      </w:r>
      <w:r>
        <w:t xml:space="preserve">. Four key factors contribute to the differences between the ex post and the ex ante forecast. The weather and event window provide small differences. However, the enrollment and methodology are interrelated and provide more significant differences. Given PLS is a growing program with low enrollment rates, yet a large impact per customer, very small changes to the enrollment forecast can have a large influence on program MW. </w:t>
      </w:r>
      <w:r w:rsidR="00A84E60">
        <w:t>T</w:t>
      </w:r>
      <w:r>
        <w:t xml:space="preserve">he program enrollment is projected to expand further in 2018 and </w:t>
      </w:r>
      <w:r w:rsidR="00A84E60">
        <w:t>2019</w:t>
      </w:r>
      <w:r>
        <w:t>. After that point, there is expected to be significant departure from the ex post results observed this year. The other factor related to the methodology is the specific analysis method used for the estimation of load impacts. In 201</w:t>
      </w:r>
      <w:r w:rsidR="00A84E60">
        <w:t>7</w:t>
      </w:r>
      <w:r>
        <w:t xml:space="preserve"> ex post data was available for the single operational customer; however, no such data exists for the projects projected to come online in the future. To address this, generalizable building simulation models and assumptions about the number and size of future projects are necessary. This is meant to represent the best estimate from program staff, but also involves a significant amount of uncertainty. </w:t>
      </w:r>
    </w:p>
    <w:p w:rsidR="00F1237C" w:rsidRPr="00753468" w:rsidRDefault="00F1237C" w:rsidP="00F1237C">
      <w:pPr>
        <w:pStyle w:val="Caption"/>
      </w:pPr>
      <w:bookmarkStart w:id="83" w:name="_Ref477886991"/>
      <w:r>
        <w:lastRenderedPageBreak/>
        <w:t xml:space="preserve">Table </w:t>
      </w:r>
      <w:fldSimple w:instr=" STYLEREF 1 \s ">
        <w:r w:rsidR="001F391A">
          <w:rPr>
            <w:noProof/>
          </w:rPr>
          <w:t>6</w:t>
        </w:r>
      </w:fldSimple>
      <w:r w:rsidR="008139B9">
        <w:noBreakHyphen/>
      </w:r>
      <w:fldSimple w:instr=" SEQ Table \* ARABIC \s 1 ">
        <w:r w:rsidR="001F391A">
          <w:rPr>
            <w:noProof/>
          </w:rPr>
          <w:t>7</w:t>
        </w:r>
      </w:fldSimple>
      <w:bookmarkEnd w:id="83"/>
      <w:r w:rsidRPr="00753468">
        <w:t>:</w:t>
      </w:r>
      <w:r>
        <w:t xml:space="preserve"> </w:t>
      </w:r>
      <w:r w:rsidRPr="00753468">
        <w:t xml:space="preserve">Summary of Factors Underlying Differences between </w:t>
      </w:r>
      <w:r>
        <w:t>201</w:t>
      </w:r>
      <w:r w:rsidR="009633FE">
        <w:t>7</w:t>
      </w:r>
      <w:r>
        <w:t xml:space="preserve"> </w:t>
      </w:r>
      <w:r w:rsidRPr="00753468">
        <w:t xml:space="preserve">Ex Post and </w:t>
      </w:r>
      <w:r>
        <w:t>201</w:t>
      </w:r>
      <w:r w:rsidR="009633FE">
        <w:t>8</w:t>
      </w:r>
      <w:r>
        <w:t xml:space="preserve"> </w:t>
      </w:r>
      <w:r w:rsidRPr="00753468">
        <w:t xml:space="preserve">Ex Ante Impacts </w:t>
      </w:r>
      <w:r>
        <w:br/>
        <w:t>(July</w:t>
      </w:r>
      <w:r w:rsidRPr="00753468">
        <w:t xml:space="preserve"> </w:t>
      </w:r>
      <w:r>
        <w:t>Average Weekday – Utility Specific)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70CD"/>
        <w:tblLayout w:type="fixed"/>
        <w:tblLook w:val="04A0" w:firstRow="1" w:lastRow="0" w:firstColumn="1" w:lastColumn="0" w:noHBand="0" w:noVBand="1"/>
      </w:tblPr>
      <w:tblGrid>
        <w:gridCol w:w="1458"/>
        <w:gridCol w:w="3330"/>
        <w:gridCol w:w="4950"/>
        <w:gridCol w:w="3330"/>
      </w:tblGrid>
      <w:tr w:rsidR="00F1237C" w:rsidRPr="00753468" w:rsidTr="0058471F">
        <w:trPr>
          <w:trHeight w:val="525"/>
        </w:trPr>
        <w:tc>
          <w:tcPr>
            <w:tcW w:w="1458" w:type="dxa"/>
            <w:tcBorders>
              <w:bottom w:val="single" w:sz="4" w:space="0" w:color="auto"/>
              <w:right w:val="single" w:sz="4" w:space="0" w:color="FFFFFF" w:themeColor="background1"/>
            </w:tcBorders>
            <w:shd w:val="clear" w:color="auto" w:fill="0070CD"/>
            <w:vAlign w:val="center"/>
            <w:hideMark/>
          </w:tcPr>
          <w:p w:rsidR="00F1237C" w:rsidRPr="00753468" w:rsidRDefault="00F1237C" w:rsidP="0058471F">
            <w:pPr>
              <w:pStyle w:val="TableHeader"/>
              <w:rPr>
                <w:rFonts w:cs="Arial"/>
              </w:rPr>
            </w:pPr>
            <w:r w:rsidRPr="00753468">
              <w:rPr>
                <w:rFonts w:cs="Arial"/>
              </w:rPr>
              <w:t>Factor</w:t>
            </w:r>
          </w:p>
        </w:tc>
        <w:tc>
          <w:tcPr>
            <w:tcW w:w="333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F1237C" w:rsidRPr="00753468" w:rsidRDefault="00F1237C" w:rsidP="0058471F">
            <w:pPr>
              <w:pStyle w:val="TableHeader"/>
              <w:rPr>
                <w:rFonts w:cs="Arial"/>
              </w:rPr>
            </w:pPr>
            <w:r w:rsidRPr="00753468">
              <w:rPr>
                <w:rFonts w:cs="Arial"/>
              </w:rPr>
              <w:t>Ex Post</w:t>
            </w:r>
          </w:p>
        </w:tc>
        <w:tc>
          <w:tcPr>
            <w:tcW w:w="495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F1237C" w:rsidRPr="00753468" w:rsidRDefault="00F1237C" w:rsidP="0058471F">
            <w:pPr>
              <w:pStyle w:val="TableHeader"/>
              <w:rPr>
                <w:rFonts w:cs="Arial"/>
              </w:rPr>
            </w:pPr>
            <w:r w:rsidRPr="00753468">
              <w:rPr>
                <w:rFonts w:cs="Arial"/>
              </w:rPr>
              <w:t>Ex Ante</w:t>
            </w:r>
          </w:p>
        </w:tc>
        <w:tc>
          <w:tcPr>
            <w:tcW w:w="3330" w:type="dxa"/>
            <w:tcBorders>
              <w:left w:val="single" w:sz="4" w:space="0" w:color="FFFFFF" w:themeColor="background1"/>
              <w:bottom w:val="single" w:sz="4" w:space="0" w:color="auto"/>
            </w:tcBorders>
            <w:shd w:val="clear" w:color="auto" w:fill="0070CD"/>
            <w:vAlign w:val="center"/>
            <w:hideMark/>
          </w:tcPr>
          <w:p w:rsidR="00F1237C" w:rsidRPr="00753468" w:rsidRDefault="00F1237C" w:rsidP="0058471F">
            <w:pPr>
              <w:pStyle w:val="TableHeader"/>
              <w:rPr>
                <w:rFonts w:cs="Arial"/>
              </w:rPr>
            </w:pPr>
            <w:r w:rsidRPr="00753468">
              <w:rPr>
                <w:rFonts w:cs="Arial"/>
              </w:rPr>
              <w:t>Expected Impact</w:t>
            </w:r>
          </w:p>
        </w:tc>
      </w:tr>
      <w:tr w:rsidR="00F1237C" w:rsidRPr="00753468" w:rsidTr="0058471F">
        <w:trPr>
          <w:trHeight w:val="1824"/>
        </w:trPr>
        <w:tc>
          <w:tcPr>
            <w:tcW w:w="1458" w:type="dxa"/>
            <w:shd w:val="clear" w:color="auto" w:fill="FFFFFF" w:themeFill="background1"/>
            <w:noWrap/>
            <w:vAlign w:val="center"/>
            <w:hideMark/>
          </w:tcPr>
          <w:p w:rsidR="00F1237C" w:rsidRPr="00753468" w:rsidRDefault="00F1237C" w:rsidP="0058471F">
            <w:pPr>
              <w:pStyle w:val="TableText"/>
              <w:spacing w:before="100" w:after="100"/>
              <w:contextualSpacing/>
              <w:rPr>
                <w:rFonts w:cs="Arial"/>
              </w:rPr>
            </w:pPr>
            <w:r w:rsidRPr="00753468">
              <w:rPr>
                <w:rFonts w:cs="Arial"/>
              </w:rPr>
              <w:t>Weather</w:t>
            </w:r>
          </w:p>
        </w:tc>
        <w:tc>
          <w:tcPr>
            <w:tcW w:w="3330" w:type="dxa"/>
            <w:shd w:val="clear" w:color="auto" w:fill="FFFFFF" w:themeFill="background1"/>
            <w:noWrap/>
            <w:vAlign w:val="center"/>
            <w:hideMark/>
          </w:tcPr>
          <w:p w:rsidR="00F1237C" w:rsidRPr="00753468" w:rsidRDefault="00F1237C" w:rsidP="0058471F">
            <w:pPr>
              <w:pStyle w:val="TableText"/>
              <w:spacing w:before="100" w:after="100"/>
              <w:contextualSpacing/>
              <w:jc w:val="left"/>
              <w:rPr>
                <w:rFonts w:cs="Arial"/>
              </w:rPr>
            </w:pPr>
            <w:r>
              <w:rPr>
                <w:rFonts w:cs="Arial"/>
              </w:rPr>
              <w:t>Average weekday Mean17 = 6</w:t>
            </w:r>
            <w:r w:rsidR="00C80A60">
              <w:rPr>
                <w:rFonts w:cs="Arial"/>
              </w:rPr>
              <w:t>8</w:t>
            </w:r>
          </w:p>
          <w:p w:rsidR="00F1237C" w:rsidRDefault="00F1237C" w:rsidP="0058471F">
            <w:pPr>
              <w:pStyle w:val="TableText"/>
              <w:spacing w:before="100" w:after="100"/>
              <w:contextualSpacing/>
              <w:jc w:val="left"/>
              <w:rPr>
                <w:rFonts w:cs="Arial"/>
              </w:rPr>
            </w:pPr>
          </w:p>
          <w:p w:rsidR="00F1237C" w:rsidRPr="00846B8E" w:rsidRDefault="00F1237C" w:rsidP="0058471F">
            <w:pPr>
              <w:pStyle w:val="TableText"/>
              <w:spacing w:before="100" w:after="100"/>
              <w:contextualSpacing/>
              <w:jc w:val="left"/>
              <w:rPr>
                <w:rFonts w:cs="Arial"/>
                <w:sz w:val="16"/>
                <w:szCs w:val="16"/>
              </w:rPr>
            </w:pPr>
            <w:r w:rsidRPr="00846B8E">
              <w:rPr>
                <w:rFonts w:cs="Arial"/>
                <w:sz w:val="16"/>
                <w:szCs w:val="16"/>
              </w:rPr>
              <w:t>Note: Mean17 is the average temperature between midnight and 5pm (hour ending 17). This metric helps to account for heat buildup during the day, which can affect cooling load.</w:t>
            </w:r>
          </w:p>
        </w:tc>
        <w:tc>
          <w:tcPr>
            <w:tcW w:w="4950" w:type="dxa"/>
            <w:shd w:val="clear" w:color="auto" w:fill="FFFFFF" w:themeFill="background1"/>
            <w:vAlign w:val="center"/>
            <w:hideMark/>
          </w:tcPr>
          <w:p w:rsidR="00F1237C" w:rsidRDefault="00F1237C" w:rsidP="0058471F">
            <w:pPr>
              <w:pStyle w:val="TableText"/>
              <w:spacing w:before="100" w:after="100"/>
              <w:contextualSpacing/>
              <w:jc w:val="left"/>
              <w:rPr>
                <w:rFonts w:cs="Arial"/>
              </w:rPr>
            </w:pPr>
            <w:r w:rsidRPr="00753468">
              <w:rPr>
                <w:rFonts w:cs="Arial"/>
              </w:rPr>
              <w:t xml:space="preserve">Program specific </w:t>
            </w:r>
            <w:r>
              <w:rPr>
                <w:rFonts w:cs="Arial"/>
              </w:rPr>
              <w:t>M</w:t>
            </w:r>
            <w:r w:rsidRPr="00753468">
              <w:rPr>
                <w:rFonts w:cs="Arial"/>
              </w:rPr>
              <w:t xml:space="preserve">ean17 for 1-in-2 </w:t>
            </w:r>
            <w:r>
              <w:rPr>
                <w:rFonts w:cs="Arial"/>
              </w:rPr>
              <w:t>average weekday = 6</w:t>
            </w:r>
            <w:r w:rsidR="00C80A60">
              <w:rPr>
                <w:rFonts w:cs="Arial"/>
              </w:rPr>
              <w:t>7</w:t>
            </w:r>
            <w:r>
              <w:rPr>
                <w:rFonts w:cs="Arial"/>
              </w:rPr>
              <w:t xml:space="preserve"> and </w:t>
            </w:r>
            <w:r w:rsidR="00C80A60">
              <w:rPr>
                <w:rFonts w:cs="Arial"/>
              </w:rPr>
              <w:t>70</w:t>
            </w:r>
            <w:r w:rsidRPr="00753468">
              <w:rPr>
                <w:rFonts w:cs="Arial"/>
              </w:rPr>
              <w:t xml:space="preserve"> for PG&amp;E and CAISO weather, respectively</w:t>
            </w:r>
          </w:p>
          <w:p w:rsidR="00F1237C" w:rsidRPr="00753468" w:rsidRDefault="00F1237C" w:rsidP="0058471F">
            <w:pPr>
              <w:pStyle w:val="TableText"/>
              <w:spacing w:before="100" w:after="100"/>
              <w:contextualSpacing/>
              <w:jc w:val="left"/>
              <w:rPr>
                <w:rFonts w:cs="Arial"/>
              </w:rPr>
            </w:pPr>
          </w:p>
          <w:p w:rsidR="00F1237C" w:rsidRPr="00753468" w:rsidRDefault="00F1237C" w:rsidP="0058471F">
            <w:pPr>
              <w:pStyle w:val="TableText"/>
              <w:spacing w:before="100" w:after="100"/>
              <w:contextualSpacing/>
              <w:jc w:val="left"/>
              <w:rPr>
                <w:rFonts w:cs="Arial"/>
              </w:rPr>
            </w:pPr>
            <w:r w:rsidRPr="00753468">
              <w:rPr>
                <w:rFonts w:cs="Arial"/>
              </w:rPr>
              <w:t xml:space="preserve">Program specific mean17 for </w:t>
            </w:r>
            <w:r>
              <w:rPr>
                <w:rFonts w:cs="Arial"/>
              </w:rPr>
              <w:t>1-in-10 average weekday = 6</w:t>
            </w:r>
            <w:r w:rsidR="00C80A60">
              <w:rPr>
                <w:rFonts w:cs="Arial"/>
              </w:rPr>
              <w:t>8</w:t>
            </w:r>
            <w:r>
              <w:rPr>
                <w:rFonts w:cs="Arial"/>
              </w:rPr>
              <w:t xml:space="preserve"> and 67</w:t>
            </w:r>
            <w:r w:rsidRPr="00753468">
              <w:rPr>
                <w:rFonts w:cs="Arial"/>
              </w:rPr>
              <w:t xml:space="preserve"> for PG&amp;E and CAISO weather, respectively</w:t>
            </w:r>
          </w:p>
        </w:tc>
        <w:tc>
          <w:tcPr>
            <w:tcW w:w="3330" w:type="dxa"/>
            <w:shd w:val="clear" w:color="auto" w:fill="FFFFFF" w:themeFill="background1"/>
            <w:vAlign w:val="center"/>
            <w:hideMark/>
          </w:tcPr>
          <w:p w:rsidR="00F1237C" w:rsidRPr="00753468" w:rsidRDefault="00F1237C" w:rsidP="00010199">
            <w:pPr>
              <w:pStyle w:val="TableText"/>
              <w:spacing w:before="100" w:after="100"/>
              <w:contextualSpacing/>
              <w:jc w:val="left"/>
              <w:rPr>
                <w:rFonts w:cs="Arial"/>
              </w:rPr>
            </w:pPr>
            <w:r w:rsidRPr="00753468">
              <w:rPr>
                <w:rFonts w:cs="Arial"/>
              </w:rPr>
              <w:t xml:space="preserve">Ex ante estimates </w:t>
            </w:r>
            <w:r>
              <w:rPr>
                <w:rFonts w:cs="Arial"/>
              </w:rPr>
              <w:t>are sensitive to temperature</w:t>
            </w:r>
            <w:r w:rsidRPr="00753468">
              <w:rPr>
                <w:rFonts w:cs="Arial"/>
              </w:rPr>
              <w:t xml:space="preserve">– impacts </w:t>
            </w:r>
            <w:r>
              <w:rPr>
                <w:rFonts w:cs="Arial"/>
              </w:rPr>
              <w:t xml:space="preserve">will be </w:t>
            </w:r>
            <w:r w:rsidR="00010199">
              <w:rPr>
                <w:rFonts w:cs="Arial"/>
              </w:rPr>
              <w:t>lower</w:t>
            </w:r>
            <w:r>
              <w:rPr>
                <w:rFonts w:cs="Arial"/>
              </w:rPr>
              <w:t xml:space="preserve"> based on 1-in-2 PG&amp;E weather and </w:t>
            </w:r>
            <w:r w:rsidR="00010199">
              <w:rPr>
                <w:rFonts w:cs="Arial"/>
              </w:rPr>
              <w:t>similar</w:t>
            </w:r>
            <w:r w:rsidRPr="00753468">
              <w:rPr>
                <w:rFonts w:cs="Arial"/>
              </w:rPr>
              <w:t xml:space="preserve"> based on </w:t>
            </w:r>
            <w:r>
              <w:rPr>
                <w:rFonts w:cs="Arial"/>
              </w:rPr>
              <w:t xml:space="preserve">1-in-10 PG&amp;E weather and </w:t>
            </w:r>
            <w:r w:rsidRPr="00753468">
              <w:rPr>
                <w:rFonts w:cs="Arial"/>
              </w:rPr>
              <w:t>CAISO weather</w:t>
            </w:r>
          </w:p>
        </w:tc>
      </w:tr>
      <w:tr w:rsidR="00F1237C" w:rsidRPr="00753468" w:rsidTr="0058471F">
        <w:trPr>
          <w:trHeight w:val="1150"/>
        </w:trPr>
        <w:tc>
          <w:tcPr>
            <w:tcW w:w="1458" w:type="dxa"/>
            <w:shd w:val="clear" w:color="auto" w:fill="FFFFFF" w:themeFill="background1"/>
            <w:noWrap/>
            <w:vAlign w:val="center"/>
            <w:hideMark/>
          </w:tcPr>
          <w:p w:rsidR="00F1237C" w:rsidRPr="00753468" w:rsidRDefault="00F1237C" w:rsidP="0058471F">
            <w:pPr>
              <w:pStyle w:val="TableText"/>
              <w:spacing w:before="100" w:after="100"/>
              <w:contextualSpacing/>
              <w:rPr>
                <w:rFonts w:cs="Arial"/>
              </w:rPr>
            </w:pPr>
            <w:r w:rsidRPr="00753468">
              <w:rPr>
                <w:rFonts w:cs="Arial"/>
              </w:rPr>
              <w:t>Event window</w:t>
            </w:r>
          </w:p>
        </w:tc>
        <w:tc>
          <w:tcPr>
            <w:tcW w:w="3330" w:type="dxa"/>
            <w:shd w:val="clear" w:color="auto" w:fill="FFFFFF" w:themeFill="background1"/>
            <w:noWrap/>
            <w:vAlign w:val="center"/>
            <w:hideMark/>
          </w:tcPr>
          <w:p w:rsidR="00F1237C" w:rsidRPr="00753468" w:rsidRDefault="00F1237C" w:rsidP="0058471F">
            <w:pPr>
              <w:pStyle w:val="TableText"/>
              <w:spacing w:before="100" w:after="100"/>
              <w:contextualSpacing/>
              <w:jc w:val="left"/>
              <w:rPr>
                <w:rFonts w:cs="Arial"/>
              </w:rPr>
            </w:pPr>
            <w:r>
              <w:rPr>
                <w:rFonts w:cs="Arial"/>
              </w:rPr>
              <w:t>Program hours from 12</w:t>
            </w:r>
            <w:r w:rsidRPr="00753468">
              <w:rPr>
                <w:rFonts w:cs="Arial"/>
              </w:rPr>
              <w:t xml:space="preserve"> to 6 PM</w:t>
            </w:r>
          </w:p>
        </w:tc>
        <w:tc>
          <w:tcPr>
            <w:tcW w:w="4950" w:type="dxa"/>
            <w:shd w:val="clear" w:color="auto" w:fill="FFFFFF" w:themeFill="background1"/>
            <w:vAlign w:val="center"/>
            <w:hideMark/>
          </w:tcPr>
          <w:p w:rsidR="00F1237C" w:rsidRPr="00753468" w:rsidRDefault="00F1237C" w:rsidP="0058471F">
            <w:pPr>
              <w:pStyle w:val="TableText"/>
              <w:spacing w:before="100" w:after="100"/>
              <w:contextualSpacing/>
              <w:jc w:val="left"/>
              <w:rPr>
                <w:rFonts w:cs="Arial"/>
              </w:rPr>
            </w:pPr>
            <w:r w:rsidRPr="00753468">
              <w:rPr>
                <w:rFonts w:cs="Arial"/>
              </w:rPr>
              <w:t>Resource adequacy win</w:t>
            </w:r>
            <w:r>
              <w:rPr>
                <w:rFonts w:cs="Arial"/>
              </w:rPr>
              <w:t>dow is from 1 to 6 PM</w:t>
            </w:r>
          </w:p>
        </w:tc>
        <w:tc>
          <w:tcPr>
            <w:tcW w:w="3330" w:type="dxa"/>
            <w:shd w:val="clear" w:color="auto" w:fill="FFFFFF" w:themeFill="background1"/>
            <w:vAlign w:val="center"/>
            <w:hideMark/>
          </w:tcPr>
          <w:p w:rsidR="00F1237C" w:rsidRPr="00753468" w:rsidRDefault="00F1237C" w:rsidP="0058471F">
            <w:pPr>
              <w:pStyle w:val="TableText"/>
              <w:spacing w:before="100" w:after="100"/>
              <w:contextualSpacing/>
              <w:jc w:val="left"/>
              <w:rPr>
                <w:rFonts w:cs="Arial"/>
              </w:rPr>
            </w:pPr>
            <w:r>
              <w:rPr>
                <w:rFonts w:cs="Arial"/>
              </w:rPr>
              <w:t>In some cases a</w:t>
            </w:r>
            <w:r w:rsidRPr="00753468">
              <w:rPr>
                <w:rFonts w:cs="Arial"/>
              </w:rPr>
              <w:t>verage ex ante impacts will be lower</w:t>
            </w:r>
            <w:r>
              <w:rPr>
                <w:rFonts w:cs="Arial"/>
              </w:rPr>
              <w:t xml:space="preserve"> because in many cases the impacts are largest in the 12-1 PM hour that isn’t included</w:t>
            </w:r>
          </w:p>
        </w:tc>
      </w:tr>
      <w:tr w:rsidR="00F1237C" w:rsidRPr="00753468" w:rsidTr="0058471F">
        <w:trPr>
          <w:trHeight w:val="1151"/>
        </w:trPr>
        <w:tc>
          <w:tcPr>
            <w:tcW w:w="1458" w:type="dxa"/>
            <w:shd w:val="clear" w:color="auto" w:fill="FFFFFF" w:themeFill="background1"/>
            <w:noWrap/>
            <w:vAlign w:val="center"/>
            <w:hideMark/>
          </w:tcPr>
          <w:p w:rsidR="00F1237C" w:rsidRPr="00753468" w:rsidRDefault="00F1237C" w:rsidP="0058471F">
            <w:pPr>
              <w:pStyle w:val="TableText"/>
              <w:spacing w:before="100" w:after="100"/>
              <w:contextualSpacing/>
              <w:rPr>
                <w:rFonts w:cs="Arial"/>
              </w:rPr>
            </w:pPr>
            <w:r w:rsidRPr="00753468">
              <w:rPr>
                <w:rFonts w:cs="Arial"/>
              </w:rPr>
              <w:t>Enrollment</w:t>
            </w:r>
          </w:p>
        </w:tc>
        <w:tc>
          <w:tcPr>
            <w:tcW w:w="3330" w:type="dxa"/>
            <w:shd w:val="clear" w:color="auto" w:fill="FFFFFF" w:themeFill="background1"/>
            <w:noWrap/>
            <w:vAlign w:val="center"/>
            <w:hideMark/>
          </w:tcPr>
          <w:p w:rsidR="00F1237C" w:rsidRPr="00753468" w:rsidRDefault="00F1237C" w:rsidP="0058471F">
            <w:pPr>
              <w:pStyle w:val="TableText"/>
              <w:spacing w:before="100" w:after="100"/>
              <w:contextualSpacing/>
              <w:jc w:val="left"/>
              <w:rPr>
                <w:rFonts w:cs="Arial"/>
              </w:rPr>
            </w:pPr>
            <w:r>
              <w:rPr>
                <w:rFonts w:cs="Arial"/>
              </w:rPr>
              <w:t>Single customer</w:t>
            </w:r>
          </w:p>
        </w:tc>
        <w:tc>
          <w:tcPr>
            <w:tcW w:w="4950" w:type="dxa"/>
            <w:shd w:val="clear" w:color="auto" w:fill="FFFFFF" w:themeFill="background1"/>
            <w:vAlign w:val="center"/>
            <w:hideMark/>
          </w:tcPr>
          <w:p w:rsidR="00F1237C" w:rsidRPr="007C49B4" w:rsidRDefault="00F1237C" w:rsidP="005673FD">
            <w:pPr>
              <w:pStyle w:val="TableText"/>
              <w:spacing w:before="100" w:after="100"/>
              <w:contextualSpacing/>
              <w:jc w:val="left"/>
              <w:rPr>
                <w:rFonts w:eastAsia="Times New Roman" w:cs="Arial"/>
                <w:color w:val="0070CD" w:themeColor="text2"/>
              </w:rPr>
            </w:pPr>
            <w:r>
              <w:rPr>
                <w:rFonts w:cs="Arial"/>
              </w:rPr>
              <w:t xml:space="preserve">2018+ includes additional identified customers </w:t>
            </w:r>
          </w:p>
        </w:tc>
        <w:tc>
          <w:tcPr>
            <w:tcW w:w="3330" w:type="dxa"/>
            <w:shd w:val="clear" w:color="auto" w:fill="FFFFFF" w:themeFill="background1"/>
            <w:vAlign w:val="center"/>
            <w:hideMark/>
          </w:tcPr>
          <w:p w:rsidR="00F1237C" w:rsidRPr="007C49B4" w:rsidRDefault="00F1237C" w:rsidP="00010199">
            <w:pPr>
              <w:pStyle w:val="TableText"/>
              <w:spacing w:before="100" w:after="100"/>
              <w:contextualSpacing/>
              <w:jc w:val="left"/>
              <w:rPr>
                <w:rFonts w:cs="Arial"/>
              </w:rPr>
            </w:pPr>
            <w:r w:rsidRPr="007C49B4">
              <w:rPr>
                <w:rFonts w:cs="Arial"/>
              </w:rPr>
              <w:t xml:space="preserve">Ex ante estimates will </w:t>
            </w:r>
            <w:r>
              <w:rPr>
                <w:rFonts w:cs="Arial"/>
              </w:rPr>
              <w:t>start to increase in 2018+ as the program is projected to grow</w:t>
            </w:r>
          </w:p>
        </w:tc>
      </w:tr>
      <w:tr w:rsidR="00F1237C" w:rsidRPr="00753468" w:rsidTr="0058471F">
        <w:trPr>
          <w:trHeight w:val="1718"/>
        </w:trPr>
        <w:tc>
          <w:tcPr>
            <w:tcW w:w="1458" w:type="dxa"/>
            <w:shd w:val="clear" w:color="auto" w:fill="FFFFFF" w:themeFill="background1"/>
            <w:noWrap/>
            <w:vAlign w:val="center"/>
            <w:hideMark/>
          </w:tcPr>
          <w:p w:rsidR="00F1237C" w:rsidRPr="00753468" w:rsidRDefault="00F1237C" w:rsidP="0058471F">
            <w:pPr>
              <w:pStyle w:val="TableText"/>
              <w:spacing w:before="100" w:after="100"/>
              <w:contextualSpacing/>
              <w:rPr>
                <w:rFonts w:cs="Arial"/>
              </w:rPr>
            </w:pPr>
            <w:r w:rsidRPr="00753468">
              <w:rPr>
                <w:rFonts w:cs="Arial"/>
              </w:rPr>
              <w:t>Methodology</w:t>
            </w:r>
          </w:p>
        </w:tc>
        <w:tc>
          <w:tcPr>
            <w:tcW w:w="3330" w:type="dxa"/>
            <w:shd w:val="clear" w:color="auto" w:fill="FFFFFF" w:themeFill="background1"/>
            <w:vAlign w:val="center"/>
            <w:hideMark/>
          </w:tcPr>
          <w:p w:rsidR="00F1237C" w:rsidRPr="00753468" w:rsidRDefault="00F1237C" w:rsidP="009633FE">
            <w:pPr>
              <w:pStyle w:val="TableText"/>
              <w:spacing w:before="100" w:after="100"/>
              <w:contextualSpacing/>
              <w:jc w:val="left"/>
              <w:rPr>
                <w:rFonts w:cs="Arial"/>
              </w:rPr>
            </w:pPr>
            <w:r>
              <w:rPr>
                <w:rFonts w:cs="Arial"/>
              </w:rPr>
              <w:t>201</w:t>
            </w:r>
            <w:r w:rsidR="009633FE">
              <w:rPr>
                <w:rFonts w:cs="Arial"/>
              </w:rPr>
              <w:t>7</w:t>
            </w:r>
            <w:r w:rsidRPr="00753468">
              <w:rPr>
                <w:rFonts w:cs="Arial"/>
              </w:rPr>
              <w:t xml:space="preserve"> impacts based on </w:t>
            </w:r>
            <w:r>
              <w:rPr>
                <w:rFonts w:cs="Arial"/>
              </w:rPr>
              <w:t>operational data of single customer</w:t>
            </w:r>
          </w:p>
        </w:tc>
        <w:tc>
          <w:tcPr>
            <w:tcW w:w="4950" w:type="dxa"/>
            <w:shd w:val="clear" w:color="auto" w:fill="FFFFFF" w:themeFill="background1"/>
            <w:vAlign w:val="center"/>
            <w:hideMark/>
          </w:tcPr>
          <w:p w:rsidR="00F1237C" w:rsidRPr="00753468" w:rsidRDefault="00F1237C" w:rsidP="0058471F">
            <w:pPr>
              <w:pStyle w:val="TableText"/>
              <w:spacing w:before="100" w:after="100"/>
              <w:contextualSpacing/>
              <w:jc w:val="left"/>
              <w:rPr>
                <w:rFonts w:cs="Arial"/>
              </w:rPr>
            </w:pPr>
            <w:r>
              <w:rPr>
                <w:rFonts w:cs="Arial"/>
              </w:rPr>
              <w:t xml:space="preserve">2018+ combines impacts based on operational data and building simulations for identified and unidentified customers </w:t>
            </w:r>
          </w:p>
        </w:tc>
        <w:tc>
          <w:tcPr>
            <w:tcW w:w="3330" w:type="dxa"/>
            <w:shd w:val="clear" w:color="auto" w:fill="FFFFFF" w:themeFill="background1"/>
            <w:vAlign w:val="center"/>
            <w:hideMark/>
          </w:tcPr>
          <w:p w:rsidR="00F1237C" w:rsidRPr="00753468" w:rsidRDefault="00F1237C" w:rsidP="0058471F">
            <w:pPr>
              <w:pStyle w:val="TableText"/>
              <w:spacing w:before="100" w:after="100"/>
              <w:contextualSpacing/>
              <w:jc w:val="left"/>
              <w:rPr>
                <w:rFonts w:cs="Arial"/>
              </w:rPr>
            </w:pPr>
            <w:r>
              <w:rPr>
                <w:rFonts w:cs="Arial"/>
              </w:rPr>
              <w:t xml:space="preserve">2018+ rely on a variety of assumptions and a different approach. Results are not directly comparable </w:t>
            </w:r>
          </w:p>
        </w:tc>
      </w:tr>
    </w:tbl>
    <w:p w:rsidR="00F1237C" w:rsidRDefault="00F1237C" w:rsidP="00F1237C">
      <w:pPr>
        <w:pStyle w:val="BodyParagraph"/>
      </w:pPr>
    </w:p>
    <w:p w:rsidR="00F1237C" w:rsidRPr="00753468" w:rsidRDefault="00F1237C" w:rsidP="00F1237C">
      <w:pPr>
        <w:pStyle w:val="BodyParagraph"/>
        <w:sectPr w:rsidR="00F1237C" w:rsidRPr="00753468" w:rsidSect="00DD2F2D">
          <w:footerReference w:type="default" r:id="rId58"/>
          <w:pgSz w:w="15840" w:h="12240" w:orient="landscape"/>
          <w:pgMar w:top="1440" w:right="1440" w:bottom="1440" w:left="1440" w:header="720" w:footer="720" w:gutter="0"/>
          <w:cols w:space="720"/>
          <w:docGrid w:linePitch="360"/>
        </w:sectPr>
      </w:pPr>
    </w:p>
    <w:p w:rsidR="00F1237C" w:rsidRPr="00753468" w:rsidRDefault="00F1237C" w:rsidP="00F1237C">
      <w:pPr>
        <w:pStyle w:val="Heading3"/>
        <w:spacing w:before="360"/>
      </w:pPr>
      <w:bookmarkStart w:id="84" w:name="_Toc507085063"/>
      <w:r>
        <w:lastRenderedPageBreak/>
        <w:t>Comparison of 201</w:t>
      </w:r>
      <w:r w:rsidR="00AE0D77">
        <w:t>6</w:t>
      </w:r>
      <w:r>
        <w:t xml:space="preserve"> and 201</w:t>
      </w:r>
      <w:r w:rsidR="00AE0D77">
        <w:t>7</w:t>
      </w:r>
      <w:r w:rsidRPr="00753468">
        <w:t xml:space="preserve"> Ex Ante Estimates</w:t>
      </w:r>
      <w:bookmarkEnd w:id="84"/>
    </w:p>
    <w:p w:rsidR="00F1237C" w:rsidRDefault="00F1237C" w:rsidP="00F1237C">
      <w:pPr>
        <w:pStyle w:val="BodyBeforeBullet"/>
        <w:spacing w:after="240"/>
      </w:pPr>
      <w:r>
        <w:fldChar w:fldCharType="begin"/>
      </w:r>
      <w:r>
        <w:instrText xml:space="preserve"> REF _Ref477888289 \h  \* MERGEFORMAT </w:instrText>
      </w:r>
      <w:r>
        <w:fldChar w:fldCharType="separate"/>
      </w:r>
      <w:r w:rsidR="001F391A">
        <w:t xml:space="preserve">Table </w:t>
      </w:r>
      <w:r w:rsidR="001F391A">
        <w:rPr>
          <w:noProof/>
        </w:rPr>
        <w:t>6</w:t>
      </w:r>
      <w:r w:rsidR="001F391A">
        <w:rPr>
          <w:noProof/>
        </w:rPr>
        <w:noBreakHyphen/>
        <w:t>8</w:t>
      </w:r>
      <w:r>
        <w:fldChar w:fldCharType="end"/>
      </w:r>
      <w:r>
        <w:t xml:space="preserve"> provides a comparison of h</w:t>
      </w:r>
      <w:r w:rsidRPr="001D279F">
        <w:t>ow the current ex ante results</w:t>
      </w:r>
      <w:r>
        <w:t xml:space="preserve"> from the 201</w:t>
      </w:r>
      <w:r w:rsidR="00C80A60">
        <w:t>7</w:t>
      </w:r>
      <w:r>
        <w:t xml:space="preserve"> program year evaluation </w:t>
      </w:r>
      <w:r w:rsidRPr="001D279F">
        <w:t xml:space="preserve">differ from last year’s </w:t>
      </w:r>
      <w:r>
        <w:t xml:space="preserve">ex ante </w:t>
      </w:r>
      <w:r w:rsidRPr="001D279F">
        <w:t>forecast</w:t>
      </w:r>
      <w:r>
        <w:t>. The three years in the table were selected because 201</w:t>
      </w:r>
      <w:r w:rsidR="00CA0DA9">
        <w:t>8</w:t>
      </w:r>
      <w:r>
        <w:t xml:space="preserve"> and 2019 represent </w:t>
      </w:r>
      <w:r w:rsidR="00CA0DA9">
        <w:t xml:space="preserve">the years when enrollment is still expected to change for the program </w:t>
      </w:r>
      <w:r>
        <w:t>and 202</w:t>
      </w:r>
      <w:r w:rsidR="00CA0DA9">
        <w:t>7</w:t>
      </w:r>
      <w:r>
        <w:t xml:space="preserve"> is the last year common to both forecasts. In this year’s ex ante forecast for 201</w:t>
      </w:r>
      <w:r w:rsidR="00CA0DA9">
        <w:t>8</w:t>
      </w:r>
      <w:r>
        <w:t xml:space="preserve">, </w:t>
      </w:r>
      <w:r w:rsidR="00865ED6">
        <w:t xml:space="preserve">three customers are expected to be enrolled in the program for both 2016 and 2017 estimates, and as such the expected impacts of the program in 2018 are relatively similar. In 2019, an additional project is expected to come online for the 2017 forecast, so the impacts are higher for the 2017 forecast than the 2016 forecast. In 2027 the 2016 forecasted impact is more than twice the 2017 expected impact. This difference is due to the fact that in 2016 the program was still expecting new customers to apply and enroll in the program and included impacts from unidentified projects. Since the program is now closed to future applicants, 2017 estimates only include impacts from identified projects. The 2017 enrollment forecast for 2027 is therefore less than half of the number of customers from the 2016 forecast.  Had the 2016 predictions only included identified projects, the ex ante estimates would be much more similar in 2027. </w:t>
      </w:r>
    </w:p>
    <w:p w:rsidR="00F1237C" w:rsidRPr="00753468" w:rsidRDefault="00F1237C" w:rsidP="00F1237C">
      <w:pPr>
        <w:pStyle w:val="Caption"/>
      </w:pPr>
      <w:bookmarkStart w:id="85" w:name="_Ref477888289"/>
      <w:r>
        <w:t xml:space="preserve">Table </w:t>
      </w:r>
      <w:fldSimple w:instr=" STYLEREF 1 \s ">
        <w:r w:rsidR="001F391A">
          <w:rPr>
            <w:noProof/>
          </w:rPr>
          <w:t>6</w:t>
        </w:r>
      </w:fldSimple>
      <w:r w:rsidR="008139B9">
        <w:noBreakHyphen/>
      </w:r>
      <w:fldSimple w:instr=" SEQ Table \* ARABIC \s 1 ">
        <w:r w:rsidR="001F391A">
          <w:rPr>
            <w:noProof/>
          </w:rPr>
          <w:t>8</w:t>
        </w:r>
      </w:fldSimple>
      <w:bookmarkEnd w:id="85"/>
      <w:r w:rsidRPr="00753468">
        <w:t xml:space="preserve">: Comparison of </w:t>
      </w:r>
      <w:r>
        <w:t xml:space="preserve">Current </w:t>
      </w:r>
      <w:r w:rsidRPr="00753468">
        <w:t xml:space="preserve">Ex Ante Estimates to Prior Year Estimates </w:t>
      </w:r>
      <w:r>
        <w:br/>
        <w:t>(July Average Weekday – Utility Specific)</w:t>
      </w:r>
    </w:p>
    <w:tbl>
      <w:tblPr>
        <w:tblW w:w="10408" w:type="dxa"/>
        <w:jc w:val="center"/>
        <w:tblInd w:w="93" w:type="dxa"/>
        <w:tblLook w:val="04A0" w:firstRow="1" w:lastRow="0" w:firstColumn="1" w:lastColumn="0" w:noHBand="0" w:noVBand="1"/>
      </w:tblPr>
      <w:tblGrid>
        <w:gridCol w:w="1006"/>
        <w:gridCol w:w="1119"/>
        <w:gridCol w:w="1161"/>
        <w:gridCol w:w="1161"/>
        <w:gridCol w:w="1161"/>
        <w:gridCol w:w="1161"/>
        <w:gridCol w:w="1161"/>
        <w:gridCol w:w="1161"/>
        <w:gridCol w:w="980"/>
        <w:gridCol w:w="980"/>
      </w:tblGrid>
      <w:tr w:rsidR="00F1237C" w:rsidRPr="008C521A" w:rsidTr="0058471F">
        <w:trPr>
          <w:trHeight w:val="510"/>
          <w:jc w:val="center"/>
        </w:trPr>
        <w:tc>
          <w:tcPr>
            <w:tcW w:w="927" w:type="dxa"/>
            <w:vMerge w:val="restart"/>
            <w:tcBorders>
              <w:top w:val="single" w:sz="4" w:space="0" w:color="000000"/>
              <w:left w:val="single" w:sz="4" w:space="0" w:color="000000"/>
              <w:bottom w:val="single" w:sz="4" w:space="0" w:color="000000"/>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Weather Year</w:t>
            </w:r>
          </w:p>
        </w:tc>
        <w:tc>
          <w:tcPr>
            <w:tcW w:w="1119" w:type="dxa"/>
            <w:vMerge w:val="restart"/>
            <w:tcBorders>
              <w:top w:val="single" w:sz="4" w:space="0" w:color="000000"/>
              <w:left w:val="single" w:sz="4" w:space="0" w:color="FFFFFF"/>
              <w:bottom w:val="single" w:sz="4" w:space="0" w:color="000000"/>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Year</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Accounts</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Reference Loads (MW)</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Percent Reductions</w:t>
            </w:r>
          </w:p>
        </w:tc>
        <w:tc>
          <w:tcPr>
            <w:tcW w:w="1960" w:type="dxa"/>
            <w:gridSpan w:val="2"/>
            <w:tcBorders>
              <w:top w:val="single" w:sz="4" w:space="0" w:color="000000"/>
              <w:left w:val="nil"/>
              <w:bottom w:val="single" w:sz="4" w:space="0" w:color="FFFFFF"/>
              <w:right w:val="single" w:sz="4" w:space="0" w:color="000000"/>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Aggregate Impacts (MW)</w:t>
            </w:r>
          </w:p>
        </w:tc>
      </w:tr>
      <w:tr w:rsidR="00F1237C" w:rsidRPr="008C521A" w:rsidTr="0058471F">
        <w:trPr>
          <w:trHeight w:val="960"/>
          <w:jc w:val="center"/>
        </w:trPr>
        <w:tc>
          <w:tcPr>
            <w:tcW w:w="927" w:type="dxa"/>
            <w:vMerge/>
            <w:tcBorders>
              <w:top w:val="single" w:sz="4" w:space="0" w:color="000000"/>
              <w:left w:val="single" w:sz="4" w:space="0" w:color="000000"/>
              <w:bottom w:val="single" w:sz="4" w:space="0" w:color="000000"/>
              <w:right w:val="single" w:sz="4" w:space="0" w:color="FFFFFF"/>
            </w:tcBorders>
            <w:vAlign w:val="center"/>
            <w:hideMark/>
          </w:tcPr>
          <w:p w:rsidR="00F1237C" w:rsidRPr="009361AB" w:rsidRDefault="00F1237C" w:rsidP="0058471F">
            <w:pPr>
              <w:spacing w:after="0" w:line="240" w:lineRule="auto"/>
              <w:rPr>
                <w:rFonts w:ascii="Arial" w:eastAsia="Times New Roman" w:hAnsi="Arial" w:cs="Arial"/>
                <w:b/>
                <w:bCs/>
                <w:color w:val="FFFFFF"/>
                <w:sz w:val="20"/>
                <w:szCs w:val="20"/>
              </w:rPr>
            </w:pPr>
          </w:p>
        </w:tc>
        <w:tc>
          <w:tcPr>
            <w:tcW w:w="1119" w:type="dxa"/>
            <w:vMerge/>
            <w:tcBorders>
              <w:top w:val="single" w:sz="4" w:space="0" w:color="000000"/>
              <w:left w:val="single" w:sz="4" w:space="0" w:color="FFFFFF"/>
              <w:bottom w:val="single" w:sz="4" w:space="0" w:color="000000"/>
              <w:right w:val="single" w:sz="4" w:space="0" w:color="FFFFFF"/>
            </w:tcBorders>
            <w:vAlign w:val="center"/>
            <w:hideMark/>
          </w:tcPr>
          <w:p w:rsidR="00F1237C" w:rsidRPr="009361AB" w:rsidRDefault="00F1237C" w:rsidP="0058471F">
            <w:pPr>
              <w:spacing w:after="0" w:line="240" w:lineRule="auto"/>
              <w:rPr>
                <w:rFonts w:ascii="Arial" w:eastAsia="Times New Roman" w:hAnsi="Arial" w:cs="Arial"/>
                <w:b/>
                <w:bCs/>
                <w:color w:val="FFFFFF"/>
                <w:sz w:val="20"/>
                <w:szCs w:val="20"/>
              </w:rPr>
            </w:pPr>
          </w:p>
        </w:tc>
        <w:tc>
          <w:tcPr>
            <w:tcW w:w="1067" w:type="dxa"/>
            <w:tcBorders>
              <w:top w:val="nil"/>
              <w:left w:val="nil"/>
              <w:bottom w:val="single" w:sz="4" w:space="0" w:color="auto"/>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Estimates</w:t>
            </w:r>
          </w:p>
        </w:tc>
        <w:tc>
          <w:tcPr>
            <w:tcW w:w="1067" w:type="dxa"/>
            <w:tcBorders>
              <w:top w:val="nil"/>
              <w:left w:val="nil"/>
              <w:bottom w:val="single" w:sz="4" w:space="0" w:color="auto"/>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Estimates</w:t>
            </w:r>
          </w:p>
        </w:tc>
        <w:tc>
          <w:tcPr>
            <w:tcW w:w="1067" w:type="dxa"/>
            <w:tcBorders>
              <w:top w:val="nil"/>
              <w:left w:val="nil"/>
              <w:bottom w:val="single" w:sz="4" w:space="0" w:color="auto"/>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Estimates</w:t>
            </w:r>
          </w:p>
        </w:tc>
        <w:tc>
          <w:tcPr>
            <w:tcW w:w="1067" w:type="dxa"/>
            <w:tcBorders>
              <w:top w:val="nil"/>
              <w:left w:val="nil"/>
              <w:bottom w:val="single" w:sz="4" w:space="0" w:color="auto"/>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Estimates</w:t>
            </w:r>
          </w:p>
        </w:tc>
        <w:tc>
          <w:tcPr>
            <w:tcW w:w="1067" w:type="dxa"/>
            <w:tcBorders>
              <w:top w:val="nil"/>
              <w:left w:val="nil"/>
              <w:bottom w:val="single" w:sz="4" w:space="0" w:color="auto"/>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Estimates</w:t>
            </w:r>
          </w:p>
        </w:tc>
        <w:tc>
          <w:tcPr>
            <w:tcW w:w="1067" w:type="dxa"/>
            <w:tcBorders>
              <w:top w:val="nil"/>
              <w:left w:val="nil"/>
              <w:bottom w:val="single" w:sz="4" w:space="0" w:color="auto"/>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Estimates</w:t>
            </w:r>
          </w:p>
        </w:tc>
        <w:tc>
          <w:tcPr>
            <w:tcW w:w="980" w:type="dxa"/>
            <w:tcBorders>
              <w:top w:val="nil"/>
              <w:left w:val="nil"/>
              <w:bottom w:val="single" w:sz="4" w:space="0" w:color="auto"/>
              <w:right w:val="single" w:sz="4" w:space="0" w:color="FFFFFF"/>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Load Impact (MW)</w:t>
            </w:r>
          </w:p>
        </w:tc>
        <w:tc>
          <w:tcPr>
            <w:tcW w:w="980" w:type="dxa"/>
            <w:tcBorders>
              <w:top w:val="nil"/>
              <w:left w:val="nil"/>
              <w:bottom w:val="single" w:sz="4" w:space="0" w:color="auto"/>
              <w:right w:val="single" w:sz="4" w:space="0" w:color="000000"/>
            </w:tcBorders>
            <w:shd w:val="clear" w:color="000000" w:fill="0070D0"/>
            <w:vAlign w:val="center"/>
            <w:hideMark/>
          </w:tcPr>
          <w:p w:rsidR="00F1237C" w:rsidRPr="009361AB" w:rsidRDefault="00F1237C" w:rsidP="0058471F">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sidR="00CA0DA9">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Load Impact (MW)</w:t>
            </w:r>
          </w:p>
        </w:tc>
      </w:tr>
      <w:tr w:rsidR="00F1237C" w:rsidRPr="008C521A" w:rsidTr="0058471F">
        <w:trPr>
          <w:trHeight w:val="360"/>
          <w:jc w:val="center"/>
        </w:trPr>
        <w:tc>
          <w:tcPr>
            <w:tcW w:w="927" w:type="dxa"/>
            <w:vMerge w:val="restart"/>
            <w:tcBorders>
              <w:top w:val="nil"/>
              <w:left w:val="single" w:sz="4" w:space="0" w:color="auto"/>
              <w:bottom w:val="nil"/>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1-in-2</w:t>
            </w:r>
          </w:p>
        </w:tc>
        <w:tc>
          <w:tcPr>
            <w:tcW w:w="1119" w:type="dxa"/>
            <w:tcBorders>
              <w:top w:val="nil"/>
              <w:left w:val="nil"/>
              <w:bottom w:val="single" w:sz="4" w:space="0" w:color="auto"/>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201</w:t>
            </w:r>
            <w:r w:rsidR="00CA0DA9">
              <w:rPr>
                <w:rFonts w:ascii="Arial" w:eastAsia="Times New Roman" w:hAnsi="Arial" w:cs="Arial"/>
                <w:color w:val="000000"/>
                <w:sz w:val="20"/>
                <w:szCs w:val="20"/>
              </w:rPr>
              <w:t>8</w:t>
            </w:r>
          </w:p>
        </w:tc>
        <w:tc>
          <w:tcPr>
            <w:tcW w:w="1067" w:type="dxa"/>
            <w:tcBorders>
              <w:top w:val="nil"/>
              <w:left w:val="nil"/>
              <w:bottom w:val="single" w:sz="4" w:space="0" w:color="auto"/>
              <w:right w:val="single" w:sz="4" w:space="0" w:color="auto"/>
            </w:tcBorders>
            <w:shd w:val="clear" w:color="auto" w:fill="auto"/>
            <w:noWrap/>
            <w:vAlign w:val="center"/>
          </w:tcPr>
          <w:p w:rsidR="00F1237C" w:rsidRPr="009361AB" w:rsidRDefault="00CA0DA9" w:rsidP="0058471F">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3</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1.01</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0.97</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87</w:t>
            </w:r>
            <w:r w:rsidR="00F1237C" w:rsidRPr="005673FD">
              <w:rPr>
                <w:rFonts w:ascii="Arial" w:eastAsia="Times New Roman" w:hAnsi="Arial" w:cs="Arial"/>
                <w:color w:val="000000"/>
                <w:sz w:val="20"/>
                <w:szCs w:val="20"/>
              </w:rPr>
              <w:t>%</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88</w:t>
            </w:r>
            <w:r w:rsidR="00F1237C" w:rsidRPr="005673FD">
              <w:rPr>
                <w:rFonts w:ascii="Arial" w:eastAsia="Times New Roman" w:hAnsi="Arial" w:cs="Arial"/>
                <w:color w:val="000000"/>
                <w:sz w:val="20"/>
                <w:szCs w:val="20"/>
              </w:rPr>
              <w:t>%</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0.88</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0.86</w:t>
            </w:r>
          </w:p>
        </w:tc>
      </w:tr>
      <w:tr w:rsidR="00F1237C" w:rsidRPr="008C521A" w:rsidTr="0058471F">
        <w:trPr>
          <w:trHeight w:val="360"/>
          <w:jc w:val="center"/>
        </w:trPr>
        <w:tc>
          <w:tcPr>
            <w:tcW w:w="927" w:type="dxa"/>
            <w:vMerge/>
            <w:tcBorders>
              <w:top w:val="nil"/>
              <w:left w:val="single" w:sz="4" w:space="0" w:color="auto"/>
              <w:bottom w:val="nil"/>
              <w:right w:val="single" w:sz="4" w:space="0" w:color="auto"/>
            </w:tcBorders>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2019</w:t>
            </w:r>
          </w:p>
        </w:tc>
        <w:tc>
          <w:tcPr>
            <w:tcW w:w="1067" w:type="dxa"/>
            <w:tcBorders>
              <w:top w:val="nil"/>
              <w:left w:val="nil"/>
              <w:bottom w:val="single" w:sz="4" w:space="0" w:color="auto"/>
              <w:right w:val="single" w:sz="4" w:space="0" w:color="auto"/>
            </w:tcBorders>
            <w:shd w:val="clear" w:color="auto" w:fill="auto"/>
            <w:noWrap/>
            <w:vAlign w:val="center"/>
          </w:tcPr>
          <w:p w:rsidR="00F1237C" w:rsidRPr="009361AB" w:rsidRDefault="00CA0DA9" w:rsidP="0058471F">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5</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6</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2.90</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3.56</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95</w:t>
            </w:r>
            <w:r w:rsidR="00F1237C" w:rsidRPr="005673FD">
              <w:rPr>
                <w:rFonts w:ascii="Arial" w:eastAsia="Times New Roman" w:hAnsi="Arial" w:cs="Arial"/>
                <w:color w:val="000000"/>
                <w:sz w:val="20"/>
                <w:szCs w:val="20"/>
              </w:rPr>
              <w:t>%</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97</w:t>
            </w:r>
            <w:r w:rsidR="00F1237C" w:rsidRPr="005673FD">
              <w:rPr>
                <w:rFonts w:ascii="Arial" w:eastAsia="Times New Roman" w:hAnsi="Arial" w:cs="Arial"/>
                <w:color w:val="000000"/>
                <w:sz w:val="20"/>
                <w:szCs w:val="20"/>
              </w:rPr>
              <w:t>%</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402CD7" w:rsidP="005673FD">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2.77</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3.44</w:t>
            </w:r>
          </w:p>
        </w:tc>
      </w:tr>
      <w:tr w:rsidR="00F1237C" w:rsidRPr="008C521A" w:rsidTr="0058471F">
        <w:trPr>
          <w:trHeight w:val="360"/>
          <w:jc w:val="center"/>
        </w:trPr>
        <w:tc>
          <w:tcPr>
            <w:tcW w:w="927" w:type="dxa"/>
            <w:vMerge/>
            <w:tcBorders>
              <w:top w:val="nil"/>
              <w:left w:val="single" w:sz="4" w:space="0" w:color="auto"/>
              <w:bottom w:val="nil"/>
              <w:right w:val="single" w:sz="4" w:space="0" w:color="auto"/>
            </w:tcBorders>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202</w:t>
            </w:r>
            <w:r w:rsidR="00CA0DA9">
              <w:rPr>
                <w:rFonts w:ascii="Arial" w:eastAsia="Times New Roman" w:hAnsi="Arial" w:cs="Arial"/>
                <w:color w:val="000000"/>
                <w:sz w:val="20"/>
                <w:szCs w:val="20"/>
              </w:rPr>
              <w:t>7</w:t>
            </w:r>
          </w:p>
        </w:tc>
        <w:tc>
          <w:tcPr>
            <w:tcW w:w="1067" w:type="dxa"/>
            <w:tcBorders>
              <w:top w:val="nil"/>
              <w:left w:val="nil"/>
              <w:bottom w:val="single" w:sz="4" w:space="0" w:color="auto"/>
              <w:right w:val="single" w:sz="4" w:space="0" w:color="auto"/>
            </w:tcBorders>
            <w:shd w:val="clear" w:color="auto" w:fill="auto"/>
            <w:noWrap/>
            <w:vAlign w:val="center"/>
          </w:tcPr>
          <w:p w:rsidR="00F1237C" w:rsidRPr="009361AB" w:rsidRDefault="00CA0DA9" w:rsidP="0058471F">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13</w:t>
            </w:r>
          </w:p>
        </w:tc>
        <w:tc>
          <w:tcPr>
            <w:tcW w:w="1067" w:type="dxa"/>
            <w:tcBorders>
              <w:top w:val="nil"/>
              <w:left w:val="nil"/>
              <w:bottom w:val="single" w:sz="4" w:space="0" w:color="auto"/>
              <w:right w:val="single" w:sz="4" w:space="0" w:color="auto"/>
            </w:tcBorders>
            <w:shd w:val="clear" w:color="auto" w:fill="auto"/>
            <w:noWrap/>
            <w:vAlign w:val="center"/>
          </w:tcPr>
          <w:p w:rsidR="003C6DFF" w:rsidRPr="005673FD" w:rsidRDefault="003C6DFF" w:rsidP="003C6DFF">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6</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673FD">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8.53</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3.56</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95</w:t>
            </w:r>
            <w:r w:rsidR="00F1237C" w:rsidRPr="005673FD">
              <w:rPr>
                <w:rFonts w:ascii="Arial" w:eastAsia="Times New Roman" w:hAnsi="Arial" w:cs="Arial"/>
                <w:color w:val="000000"/>
                <w:sz w:val="20"/>
                <w:szCs w:val="20"/>
              </w:rPr>
              <w:t>%</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89</w:t>
            </w:r>
            <w:r w:rsidR="00F1237C" w:rsidRPr="005673FD">
              <w:rPr>
                <w:rFonts w:ascii="Arial" w:eastAsia="Times New Roman" w:hAnsi="Arial" w:cs="Arial"/>
                <w:color w:val="000000"/>
                <w:sz w:val="20"/>
                <w:szCs w:val="20"/>
              </w:rPr>
              <w:t>%</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8.09</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3.16</w:t>
            </w:r>
          </w:p>
        </w:tc>
      </w:tr>
      <w:tr w:rsidR="00F1237C" w:rsidRPr="008C521A" w:rsidTr="0058471F">
        <w:trPr>
          <w:trHeight w:val="360"/>
          <w:jc w:val="center"/>
        </w:trPr>
        <w:tc>
          <w:tcPr>
            <w:tcW w:w="92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1-in-10</w:t>
            </w:r>
          </w:p>
        </w:tc>
        <w:tc>
          <w:tcPr>
            <w:tcW w:w="1119" w:type="dxa"/>
            <w:tcBorders>
              <w:top w:val="nil"/>
              <w:left w:val="nil"/>
              <w:bottom w:val="single" w:sz="4" w:space="0" w:color="auto"/>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201</w:t>
            </w:r>
            <w:r w:rsidR="00CA0DA9">
              <w:rPr>
                <w:rFonts w:ascii="Arial" w:eastAsia="Times New Roman" w:hAnsi="Arial" w:cs="Arial"/>
                <w:color w:val="000000"/>
                <w:sz w:val="20"/>
                <w:szCs w:val="20"/>
              </w:rPr>
              <w:t>8</w:t>
            </w:r>
          </w:p>
        </w:tc>
        <w:tc>
          <w:tcPr>
            <w:tcW w:w="1067" w:type="dxa"/>
            <w:tcBorders>
              <w:top w:val="nil"/>
              <w:left w:val="nil"/>
              <w:bottom w:val="single" w:sz="4" w:space="0" w:color="auto"/>
              <w:right w:val="single" w:sz="4" w:space="0" w:color="auto"/>
            </w:tcBorders>
            <w:shd w:val="clear" w:color="auto" w:fill="auto"/>
            <w:noWrap/>
            <w:vAlign w:val="center"/>
          </w:tcPr>
          <w:p w:rsidR="00F1237C" w:rsidRPr="009361AB" w:rsidRDefault="00402CD7" w:rsidP="0058471F">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3</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1.05</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1.01</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88</w:t>
            </w:r>
            <w:r w:rsidR="00F1237C" w:rsidRPr="005673FD">
              <w:rPr>
                <w:rFonts w:ascii="Arial" w:eastAsia="Times New Roman" w:hAnsi="Arial" w:cs="Arial"/>
                <w:color w:val="000000"/>
                <w:sz w:val="20"/>
                <w:szCs w:val="20"/>
              </w:rPr>
              <w:t>%</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88</w:t>
            </w:r>
            <w:r w:rsidR="00F1237C" w:rsidRPr="005673FD">
              <w:rPr>
                <w:rFonts w:ascii="Arial" w:eastAsia="Times New Roman" w:hAnsi="Arial" w:cs="Arial"/>
                <w:color w:val="000000"/>
                <w:sz w:val="20"/>
                <w:szCs w:val="20"/>
              </w:rPr>
              <w:t>%</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0.92</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0.89</w:t>
            </w:r>
          </w:p>
        </w:tc>
      </w:tr>
      <w:tr w:rsidR="00F1237C" w:rsidRPr="008C521A" w:rsidTr="0058471F">
        <w:trPr>
          <w:trHeight w:val="360"/>
          <w:jc w:val="center"/>
        </w:trPr>
        <w:tc>
          <w:tcPr>
            <w:tcW w:w="927" w:type="dxa"/>
            <w:vMerge/>
            <w:tcBorders>
              <w:top w:val="single" w:sz="4" w:space="0" w:color="auto"/>
              <w:left w:val="single" w:sz="4" w:space="0" w:color="auto"/>
              <w:bottom w:val="single" w:sz="4" w:space="0" w:color="000000"/>
              <w:right w:val="single" w:sz="4" w:space="0" w:color="auto"/>
            </w:tcBorders>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2019</w:t>
            </w:r>
          </w:p>
        </w:tc>
        <w:tc>
          <w:tcPr>
            <w:tcW w:w="1067" w:type="dxa"/>
            <w:tcBorders>
              <w:top w:val="nil"/>
              <w:left w:val="nil"/>
              <w:bottom w:val="single" w:sz="4" w:space="0" w:color="auto"/>
              <w:right w:val="single" w:sz="4" w:space="0" w:color="auto"/>
            </w:tcBorders>
            <w:shd w:val="clear" w:color="auto" w:fill="auto"/>
            <w:noWrap/>
            <w:vAlign w:val="center"/>
          </w:tcPr>
          <w:p w:rsidR="00F1237C" w:rsidRPr="009361AB" w:rsidRDefault="00402CD7" w:rsidP="0058471F">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5</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6</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673FD">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3.04</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3.72</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96</w:t>
            </w:r>
            <w:r w:rsidR="00F1237C" w:rsidRPr="005673FD">
              <w:rPr>
                <w:rFonts w:ascii="Arial" w:eastAsia="Times New Roman" w:hAnsi="Arial" w:cs="Arial"/>
                <w:color w:val="000000"/>
                <w:sz w:val="20"/>
                <w:szCs w:val="20"/>
              </w:rPr>
              <w:t>%</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97</w:t>
            </w:r>
            <w:r w:rsidR="00F1237C" w:rsidRPr="005673FD">
              <w:rPr>
                <w:rFonts w:ascii="Arial" w:eastAsia="Times New Roman" w:hAnsi="Arial" w:cs="Arial"/>
                <w:color w:val="000000"/>
                <w:sz w:val="20"/>
                <w:szCs w:val="20"/>
              </w:rPr>
              <w:t>%</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2.91</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3.60</w:t>
            </w:r>
          </w:p>
        </w:tc>
      </w:tr>
      <w:tr w:rsidR="00F1237C" w:rsidRPr="008C521A" w:rsidTr="0058471F">
        <w:trPr>
          <w:trHeight w:val="360"/>
          <w:jc w:val="center"/>
        </w:trPr>
        <w:tc>
          <w:tcPr>
            <w:tcW w:w="927" w:type="dxa"/>
            <w:vMerge/>
            <w:tcBorders>
              <w:top w:val="single" w:sz="4" w:space="0" w:color="auto"/>
              <w:left w:val="single" w:sz="4" w:space="0" w:color="auto"/>
              <w:bottom w:val="single" w:sz="4" w:space="0" w:color="000000"/>
              <w:right w:val="single" w:sz="4" w:space="0" w:color="auto"/>
            </w:tcBorders>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F1237C" w:rsidRPr="009361AB" w:rsidRDefault="00F1237C" w:rsidP="0058471F">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202</w:t>
            </w:r>
            <w:r w:rsidR="00CA0DA9">
              <w:rPr>
                <w:rFonts w:ascii="Arial" w:eastAsia="Times New Roman" w:hAnsi="Arial" w:cs="Arial"/>
                <w:color w:val="000000"/>
                <w:sz w:val="20"/>
                <w:szCs w:val="20"/>
              </w:rPr>
              <w:t>7</w:t>
            </w:r>
          </w:p>
        </w:tc>
        <w:tc>
          <w:tcPr>
            <w:tcW w:w="1067" w:type="dxa"/>
            <w:tcBorders>
              <w:top w:val="nil"/>
              <w:left w:val="nil"/>
              <w:bottom w:val="single" w:sz="4" w:space="0" w:color="auto"/>
              <w:right w:val="single" w:sz="4" w:space="0" w:color="auto"/>
            </w:tcBorders>
            <w:shd w:val="clear" w:color="auto" w:fill="auto"/>
            <w:noWrap/>
            <w:vAlign w:val="center"/>
          </w:tcPr>
          <w:p w:rsidR="00F1237C" w:rsidRPr="009361AB" w:rsidRDefault="00402CD7" w:rsidP="0058471F">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13</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6</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8.98</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3.72</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402CD7"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95</w:t>
            </w:r>
            <w:r w:rsidR="00F1237C" w:rsidRPr="005673FD">
              <w:rPr>
                <w:rFonts w:ascii="Arial" w:eastAsia="Times New Roman" w:hAnsi="Arial" w:cs="Arial"/>
                <w:color w:val="000000"/>
                <w:sz w:val="20"/>
                <w:szCs w:val="20"/>
              </w:rPr>
              <w:t>%</w:t>
            </w:r>
          </w:p>
        </w:tc>
        <w:tc>
          <w:tcPr>
            <w:tcW w:w="1067"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89</w:t>
            </w:r>
            <w:r w:rsidR="00F1237C" w:rsidRPr="005673FD">
              <w:rPr>
                <w:rFonts w:ascii="Arial" w:eastAsia="Times New Roman" w:hAnsi="Arial" w:cs="Arial"/>
                <w:color w:val="000000"/>
                <w:sz w:val="20"/>
                <w:szCs w:val="20"/>
              </w:rPr>
              <w:t>%</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402CD7" w:rsidP="005673FD">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8.52</w:t>
            </w:r>
          </w:p>
        </w:tc>
        <w:tc>
          <w:tcPr>
            <w:tcW w:w="980" w:type="dxa"/>
            <w:tcBorders>
              <w:top w:val="nil"/>
              <w:left w:val="nil"/>
              <w:bottom w:val="single" w:sz="4" w:space="0" w:color="auto"/>
              <w:right w:val="single" w:sz="4" w:space="0" w:color="auto"/>
            </w:tcBorders>
            <w:shd w:val="clear" w:color="auto" w:fill="auto"/>
            <w:noWrap/>
            <w:vAlign w:val="center"/>
          </w:tcPr>
          <w:p w:rsidR="00F1237C" w:rsidRPr="005673FD" w:rsidRDefault="00865ED6" w:rsidP="0058471F">
            <w:pPr>
              <w:spacing w:after="0" w:line="240" w:lineRule="auto"/>
              <w:jc w:val="center"/>
              <w:rPr>
                <w:rFonts w:ascii="Arial" w:eastAsia="Times New Roman" w:hAnsi="Arial" w:cs="Arial"/>
                <w:color w:val="000000"/>
                <w:sz w:val="20"/>
                <w:szCs w:val="20"/>
              </w:rPr>
            </w:pPr>
            <w:r w:rsidRPr="005673FD">
              <w:rPr>
                <w:rFonts w:ascii="Arial" w:eastAsia="Times New Roman" w:hAnsi="Arial" w:cs="Arial"/>
                <w:color w:val="000000"/>
                <w:sz w:val="20"/>
                <w:szCs w:val="20"/>
              </w:rPr>
              <w:t>3.30</w:t>
            </w:r>
          </w:p>
        </w:tc>
      </w:tr>
    </w:tbl>
    <w:p w:rsidR="00F1237C" w:rsidRDefault="00F1237C" w:rsidP="00F1237C">
      <w:pPr>
        <w:rPr>
          <w:rFonts w:ascii="Arial" w:eastAsiaTheme="majorEastAsia" w:hAnsi="Arial" w:cstheme="majorBidi"/>
          <w:b/>
          <w:bCs/>
          <w:color w:val="0070CD"/>
          <w:sz w:val="26"/>
          <w:szCs w:val="26"/>
        </w:rPr>
      </w:pPr>
      <w:r>
        <w:br w:type="page"/>
      </w:r>
    </w:p>
    <w:p w:rsidR="00F1237C" w:rsidRPr="00A83207" w:rsidRDefault="00F1237C" w:rsidP="00F1237C">
      <w:pPr>
        <w:pStyle w:val="Heading2"/>
        <w:spacing w:before="360"/>
      </w:pPr>
      <w:bookmarkStart w:id="86" w:name="_Toc507085064"/>
      <w:r w:rsidRPr="00A83207">
        <w:lastRenderedPageBreak/>
        <w:t>SCE Results</w:t>
      </w:r>
      <w:bookmarkEnd w:id="80"/>
      <w:bookmarkEnd w:id="81"/>
      <w:bookmarkEnd w:id="86"/>
    </w:p>
    <w:p w:rsidR="001D1C3E" w:rsidRPr="00B828B0" w:rsidRDefault="001D1C3E" w:rsidP="001D1C3E">
      <w:pPr>
        <w:pStyle w:val="BodyParagraph"/>
        <w:rPr>
          <w:highlight w:val="yellow"/>
        </w:rPr>
      </w:pPr>
      <w:r w:rsidRPr="00A83207">
        <w:fldChar w:fldCharType="begin"/>
      </w:r>
      <w:r w:rsidRPr="00A83207">
        <w:instrText xml:space="preserve"> REF _Ref443506893 \h  \* MERGEFORMAT </w:instrText>
      </w:r>
      <w:r w:rsidRPr="00A83207">
        <w:fldChar w:fldCharType="separate"/>
      </w:r>
      <w:r w:rsidRPr="00362037">
        <w:t xml:space="preserve">Table </w:t>
      </w:r>
      <w:r>
        <w:rPr>
          <w:noProof/>
        </w:rPr>
        <w:t>6</w:t>
      </w:r>
      <w:r>
        <w:rPr>
          <w:noProof/>
        </w:rPr>
        <w:noBreakHyphen/>
        <w:t>9</w:t>
      </w:r>
      <w:r w:rsidRPr="00A83207">
        <w:fldChar w:fldCharType="end"/>
      </w:r>
      <w:r w:rsidRPr="00A83207">
        <w:t xml:space="preserve"> provides the ex ante load impact estimates for monthly system peak days in </w:t>
      </w:r>
      <w:r>
        <w:t>June through September of 2018</w:t>
      </w:r>
      <w:r>
        <w:rPr>
          <w:rStyle w:val="FootnoteReference"/>
        </w:rPr>
        <w:footnoteReference w:id="29"/>
      </w:r>
      <w:r w:rsidRPr="00A83207">
        <w:t xml:space="preserve">, under SCE-specific, 1-in-2 and 1-in-10 year weather conditions for the base scenario. </w:t>
      </w:r>
      <w:r w:rsidRPr="00A83207">
        <w:fldChar w:fldCharType="begin"/>
      </w:r>
      <w:r w:rsidRPr="00A83207">
        <w:instrText xml:space="preserve"> REF _Ref443506908 \h  \* MERGEFORMAT </w:instrText>
      </w:r>
      <w:r w:rsidRPr="00A83207">
        <w:fldChar w:fldCharType="separate"/>
      </w:r>
      <w:r w:rsidRPr="00362037">
        <w:t xml:space="preserve">Table </w:t>
      </w:r>
      <w:r>
        <w:rPr>
          <w:noProof/>
        </w:rPr>
        <w:t>6</w:t>
      </w:r>
      <w:r>
        <w:rPr>
          <w:noProof/>
        </w:rPr>
        <w:noBreakHyphen/>
        <w:t>10</w:t>
      </w:r>
      <w:r w:rsidRPr="00A83207">
        <w:fldChar w:fldCharType="end"/>
      </w:r>
      <w:r w:rsidRPr="00A83207">
        <w:t xml:space="preserve"> and </w:t>
      </w:r>
      <w:r>
        <w:fldChar w:fldCharType="begin"/>
      </w:r>
      <w:r>
        <w:instrText xml:space="preserve"> REF _Ref477849244 \h </w:instrText>
      </w:r>
      <w:r>
        <w:fldChar w:fldCharType="separate"/>
      </w:r>
      <w:r w:rsidRPr="0074679D">
        <w:t xml:space="preserve">Table </w:t>
      </w:r>
      <w:r>
        <w:rPr>
          <w:noProof/>
        </w:rPr>
        <w:t>6</w:t>
      </w:r>
      <w:r>
        <w:noBreakHyphen/>
      </w:r>
      <w:r>
        <w:rPr>
          <w:noProof/>
        </w:rPr>
        <w:t>11</w:t>
      </w:r>
      <w:r>
        <w:fldChar w:fldCharType="end"/>
      </w:r>
      <w:r>
        <w:t xml:space="preserve"> </w:t>
      </w:r>
      <w:r w:rsidRPr="00A83207">
        <w:t>provide results for 20</w:t>
      </w:r>
      <w:r>
        <w:t>20</w:t>
      </w:r>
      <w:r w:rsidRPr="00A83207">
        <w:t xml:space="preserve"> and 202</w:t>
      </w:r>
      <w:r>
        <w:t>8</w:t>
      </w:r>
      <w:r w:rsidRPr="00A83207">
        <w:t>, respectively. SCE had one project become operational in 2015</w:t>
      </w:r>
      <w:r>
        <w:t>, one project become operational in 2016, and one project become operational in 2017</w:t>
      </w:r>
      <w:r w:rsidRPr="00A83207">
        <w:t xml:space="preserve">. </w:t>
      </w:r>
      <w:r>
        <w:t>Three</w:t>
      </w:r>
      <w:r w:rsidRPr="00A83207">
        <w:t xml:space="preserve"> identified projects are expected to come online in </w:t>
      </w:r>
      <w:r>
        <w:t>2018</w:t>
      </w:r>
      <w:r w:rsidRPr="00A83207">
        <w:t>,</w:t>
      </w:r>
      <w:r>
        <w:t xml:space="preserve"> one identified project is expected to come online in 2019, and two projects are expected to come online in 2020</w:t>
      </w:r>
      <w:r w:rsidRPr="00A83207">
        <w:t xml:space="preserve">. </w:t>
      </w:r>
      <w:r>
        <w:t xml:space="preserve"> After all of the identified projects have been installed the total enrollment will be 9 customers and the peak load shift is expected to be </w:t>
      </w:r>
      <w:r w:rsidRPr="003B6CFD">
        <w:rPr>
          <w:highlight w:val="black"/>
        </w:rPr>
        <w:t>XX</w:t>
      </w:r>
      <w:r>
        <w:t xml:space="preserve"> MW under SCE-Specific, September 1-in-10 monthly peak conditions.</w:t>
      </w:r>
    </w:p>
    <w:p w:rsidR="001D1C3E" w:rsidRPr="00B828B0" w:rsidRDefault="001D1C3E" w:rsidP="001D1C3E">
      <w:pPr>
        <w:pStyle w:val="BodyParagraph"/>
        <w:rPr>
          <w:highlight w:val="yellow"/>
        </w:rPr>
      </w:pPr>
      <w:r w:rsidRPr="00A00608">
        <w:t xml:space="preserve">All of the currently identified applications are located within the LA Basin LCA. </w:t>
      </w:r>
      <w:r>
        <w:t xml:space="preserve">All of the </w:t>
      </w:r>
      <w:r w:rsidRPr="00A00608">
        <w:t>future applications and related impacts are also remain in the LA Basin LCA</w:t>
      </w:r>
      <w:r w:rsidRPr="00CD3CF2">
        <w:t xml:space="preserve">. Impacts are also reported at the South Orange County and South of Lugo regions. </w:t>
      </w:r>
      <w:r w:rsidRPr="00A00608">
        <w:t xml:space="preserve">These regions within the LA Basin LCA are required to be reported separately as they are constrained circuits in the area affected by the closure of the San </w:t>
      </w:r>
      <w:proofErr w:type="spellStart"/>
      <w:r w:rsidRPr="00A00608">
        <w:t>Onofre</w:t>
      </w:r>
      <w:proofErr w:type="spellEnd"/>
      <w:r w:rsidRPr="00A00608">
        <w:t xml:space="preserve"> Nuclear Generating Station (SONGS). </w:t>
      </w:r>
      <w:r w:rsidRPr="00CD3CF2">
        <w:t>In 201</w:t>
      </w:r>
      <w:r>
        <w:t>8</w:t>
      </w:r>
      <w:r w:rsidRPr="00CD3CF2">
        <w:t xml:space="preserve">, under SCE-specific September 1-in-10 year conditions, the </w:t>
      </w:r>
      <w:r>
        <w:t>projected</w:t>
      </w:r>
      <w:r w:rsidRPr="00CD3CF2">
        <w:t xml:space="preserve"> impacts for the constrained circuits are </w:t>
      </w:r>
      <w:r w:rsidRPr="003B6CFD">
        <w:rPr>
          <w:highlight w:val="black"/>
        </w:rPr>
        <w:t>XX</w:t>
      </w:r>
      <w:r w:rsidRPr="00CD3CF2">
        <w:t xml:space="preserve"> MW and </w:t>
      </w:r>
      <w:r w:rsidRPr="003B6CFD">
        <w:rPr>
          <w:highlight w:val="black"/>
        </w:rPr>
        <w:t>XX</w:t>
      </w:r>
      <w:r w:rsidRPr="00CD3CF2">
        <w:t xml:space="preserve"> MW for South Orange County and South of Lugo, respectively. </w:t>
      </w:r>
      <w:r w:rsidRPr="00591FF4">
        <w:t xml:space="preserve">The South of Lugo impact is significant, as the region contributes more than </w:t>
      </w:r>
      <w:r>
        <w:t>86</w:t>
      </w:r>
      <w:r w:rsidRPr="00591FF4">
        <w:t>% of SCE’s aggregate load impact under the</w:t>
      </w:r>
      <w:r>
        <w:t> </w:t>
      </w:r>
      <w:r w:rsidRPr="00591FF4">
        <w:t>201</w:t>
      </w:r>
      <w:r>
        <w:t>8</w:t>
      </w:r>
      <w:r w:rsidRPr="00591FF4">
        <w:t xml:space="preserve"> SCE September 1-in-10 weather conditions.</w:t>
      </w:r>
    </w:p>
    <w:p w:rsidR="00F1237C" w:rsidRPr="00B828B0" w:rsidRDefault="001D1C3E" w:rsidP="001D1C3E">
      <w:pPr>
        <w:pStyle w:val="BodyParagraph"/>
        <w:rPr>
          <w:highlight w:val="yellow"/>
        </w:rPr>
        <w:sectPr w:rsidR="00F1237C" w:rsidRPr="00B828B0" w:rsidSect="00060B2F">
          <w:footerReference w:type="default" r:id="rId59"/>
          <w:pgSz w:w="12240" w:h="15840"/>
          <w:pgMar w:top="1440" w:right="1440" w:bottom="1440" w:left="1440" w:header="720" w:footer="720" w:gutter="0"/>
          <w:cols w:space="720"/>
          <w:docGrid w:linePitch="360"/>
        </w:sectPr>
      </w:pPr>
      <w:r w:rsidRPr="00825038">
        <w:t>CAISO specific impacts are covered in greater detail below. For comparison purposes, the CAISO impact for 202</w:t>
      </w:r>
      <w:r>
        <w:t>8</w:t>
      </w:r>
      <w:r w:rsidRPr="00825038">
        <w:t xml:space="preserve"> September 1-in-10 monthly peak </w:t>
      </w:r>
      <w:r w:rsidRPr="00ED1433">
        <w:t xml:space="preserve">conditions is </w:t>
      </w:r>
      <w:r w:rsidRPr="003B6CFD">
        <w:rPr>
          <w:highlight w:val="black"/>
        </w:rPr>
        <w:t>XX</w:t>
      </w:r>
      <w:r w:rsidRPr="00ED1433">
        <w:t xml:space="preserve"> MW, which</w:t>
      </w:r>
      <w:r w:rsidRPr="00825038">
        <w:t xml:space="preserve"> is less</w:t>
      </w:r>
      <w:r>
        <w:t> </w:t>
      </w:r>
      <w:r w:rsidRPr="00825038">
        <w:t xml:space="preserve">than </w:t>
      </w:r>
      <w:r w:rsidRPr="00EB3E51">
        <w:t>1%</w:t>
      </w:r>
      <w:r w:rsidRPr="00825038">
        <w:t xml:space="preserve"> </w:t>
      </w:r>
      <w:r>
        <w:t>higher</w:t>
      </w:r>
      <w:r w:rsidRPr="00825038">
        <w:t xml:space="preserve"> than the comparable utility specific monthly peak. As detailed in the 2015 evaluation report,</w:t>
      </w:r>
      <w:r w:rsidRPr="00825038">
        <w:rPr>
          <w:rStyle w:val="FootnoteReference"/>
        </w:rPr>
        <w:footnoteReference w:id="30"/>
      </w:r>
      <w:r w:rsidRPr="00825038">
        <w:t xml:space="preserve"> the CAISO and SCE utility specific peaks have the highest correlation among the three IOUs.</w:t>
      </w:r>
    </w:p>
    <w:p w:rsidR="001D1C3E" w:rsidRPr="00362037" w:rsidRDefault="001D1C3E" w:rsidP="001D1C3E">
      <w:pPr>
        <w:pStyle w:val="TableFigureCaption"/>
        <w:spacing w:after="200"/>
      </w:pPr>
      <w:bookmarkStart w:id="87" w:name="_Ref443506893"/>
      <w:r w:rsidRPr="00362037">
        <w:lastRenderedPageBreak/>
        <w:t xml:space="preserve">Table </w:t>
      </w:r>
      <w:fldSimple w:instr=" STYLEREF 1 \s ">
        <w:r>
          <w:rPr>
            <w:noProof/>
          </w:rPr>
          <w:t>6</w:t>
        </w:r>
      </w:fldSimple>
      <w:r>
        <w:noBreakHyphen/>
      </w:r>
      <w:fldSimple w:instr=" SEQ Table \* ARABIC \s 1 ">
        <w:r>
          <w:rPr>
            <w:noProof/>
          </w:rPr>
          <w:t>9</w:t>
        </w:r>
      </w:fldSimple>
      <w:bookmarkEnd w:id="87"/>
      <w:r w:rsidRPr="00362037">
        <w:t xml:space="preserve">: SCE </w:t>
      </w:r>
      <w:proofErr w:type="gramStart"/>
      <w:r w:rsidRPr="00362037">
        <w:t>Ex</w:t>
      </w:r>
      <w:proofErr w:type="gramEnd"/>
      <w:r w:rsidRPr="00362037">
        <w:t xml:space="preserve"> Ante Load Impact Estimates (1</w:t>
      </w:r>
      <w:r>
        <w:rPr>
          <w:rFonts w:cs="Arial"/>
        </w:rPr>
        <w:t xml:space="preserve"> to </w:t>
      </w:r>
      <w:r w:rsidRPr="00362037">
        <w:t xml:space="preserve">6 PM) on Monthly Peak Days </w:t>
      </w:r>
      <w:r>
        <w:br/>
        <w:t xml:space="preserve">for June – September </w:t>
      </w:r>
      <w:r w:rsidRPr="00362037">
        <w:t>201</w:t>
      </w:r>
      <w:r>
        <w:t>8</w:t>
      </w:r>
      <w:r w:rsidRPr="00362037">
        <w:t xml:space="preserve"> (kW)</w:t>
      </w:r>
      <w:r>
        <w:rPr>
          <w:rStyle w:val="FootnoteReference"/>
        </w:rPr>
        <w:footnoteReference w:id="31"/>
      </w:r>
      <w:r w:rsidRPr="00362037">
        <w:t xml:space="preserve"> </w:t>
      </w:r>
    </w:p>
    <w:tbl>
      <w:tblPr>
        <w:tblW w:w="10335" w:type="dxa"/>
        <w:jc w:val="center"/>
        <w:tblInd w:w="-162" w:type="dxa"/>
        <w:tblLook w:val="04A0" w:firstRow="1" w:lastRow="0" w:firstColumn="1" w:lastColumn="0" w:noHBand="0" w:noVBand="1"/>
      </w:tblPr>
      <w:tblGrid>
        <w:gridCol w:w="3295"/>
        <w:gridCol w:w="880"/>
        <w:gridCol w:w="880"/>
        <w:gridCol w:w="880"/>
        <w:gridCol w:w="880"/>
        <w:gridCol w:w="880"/>
        <w:gridCol w:w="880"/>
        <w:gridCol w:w="880"/>
        <w:gridCol w:w="880"/>
      </w:tblGrid>
      <w:tr w:rsidR="001D1C3E" w:rsidRPr="00B828B0" w:rsidTr="00F13AE8">
        <w:trPr>
          <w:trHeight w:val="300"/>
          <w:jc w:val="center"/>
        </w:trPr>
        <w:tc>
          <w:tcPr>
            <w:tcW w:w="3295" w:type="dxa"/>
            <w:vMerge w:val="restart"/>
            <w:tcBorders>
              <w:top w:val="single" w:sz="4" w:space="0" w:color="000000"/>
              <w:left w:val="single" w:sz="4" w:space="0" w:color="000000"/>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LCA</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June</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July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August</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September</w:t>
            </w:r>
          </w:p>
        </w:tc>
      </w:tr>
      <w:tr w:rsidR="001D1C3E" w:rsidRPr="00B828B0" w:rsidTr="00F13AE8">
        <w:trPr>
          <w:trHeight w:val="300"/>
          <w:jc w:val="center"/>
        </w:trPr>
        <w:tc>
          <w:tcPr>
            <w:tcW w:w="3295" w:type="dxa"/>
            <w:vMerge/>
            <w:tcBorders>
              <w:top w:val="single" w:sz="4" w:space="0" w:color="000000"/>
              <w:left w:val="single" w:sz="4" w:space="0" w:color="000000"/>
              <w:bottom w:val="single" w:sz="4" w:space="0" w:color="FFFFFF"/>
              <w:right w:val="single" w:sz="4" w:space="0" w:color="FFFFFF"/>
            </w:tcBorders>
            <w:vAlign w:val="center"/>
            <w:hideMark/>
          </w:tcPr>
          <w:p w:rsidR="001D1C3E" w:rsidRPr="00292F0A" w:rsidRDefault="001D1C3E" w:rsidP="00F13AE8">
            <w:pPr>
              <w:pStyle w:val="TableHeader"/>
              <w:spacing w:before="0" w:after="0"/>
              <w:contextualSpacing/>
              <w:rPr>
                <w:rFonts w:eastAsia="Times New Roman"/>
              </w:rPr>
            </w:pP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pStyle w:val="TableText"/>
              <w:spacing w:before="0" w:after="0"/>
              <w:contextualSpacing/>
              <w:jc w:val="left"/>
              <w:rPr>
                <w:rFonts w:eastAsia="Times New Roman"/>
              </w:rPr>
            </w:pPr>
            <w:r w:rsidRPr="00292F0A">
              <w:rPr>
                <w:rFonts w:eastAsia="Times New Roman"/>
              </w:rPr>
              <w:t>LCA - LA Basin</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color w:val="000000"/>
                <w:sz w:val="20"/>
                <w:szCs w:val="20"/>
                <w:highlight w:val="black"/>
              </w:rPr>
            </w:pPr>
            <w:r w:rsidRPr="003B6CFD">
              <w:rPr>
                <w:rFonts w:ascii="Arial" w:hAnsi="Arial" w:cs="Arial"/>
                <w:color w:val="000000"/>
                <w:sz w:val="20"/>
                <w:szCs w:val="20"/>
                <w:highlight w:val="black"/>
              </w:rPr>
              <w:t xml:space="preserve">        XXXX </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1C3E" w:rsidRPr="00DC18EA" w:rsidRDefault="001D1C3E" w:rsidP="00F13AE8">
            <w:pPr>
              <w:spacing w:after="0" w:line="240" w:lineRule="auto"/>
              <w:ind w:firstLineChars="100" w:firstLine="200"/>
              <w:rPr>
                <w:rFonts w:ascii="Arial" w:eastAsia="Times New Roman" w:hAnsi="Arial" w:cs="Arial"/>
                <w:color w:val="000000"/>
                <w:sz w:val="20"/>
                <w:szCs w:val="20"/>
              </w:rPr>
            </w:pPr>
            <w:r w:rsidRPr="00DC18EA">
              <w:rPr>
                <w:rFonts w:ascii="Arial" w:eastAsia="Times New Roman" w:hAnsi="Arial" w:cs="Arial"/>
                <w:color w:val="000000"/>
                <w:sz w:val="20"/>
                <w:szCs w:val="20"/>
              </w:rPr>
              <w:t>Region - South Orange County</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1C3E" w:rsidRPr="00DC18EA" w:rsidRDefault="001D1C3E" w:rsidP="00F13AE8">
            <w:pPr>
              <w:spacing w:after="0" w:line="240" w:lineRule="auto"/>
              <w:ind w:firstLineChars="100" w:firstLine="200"/>
              <w:rPr>
                <w:rFonts w:ascii="Arial" w:eastAsia="Times New Roman" w:hAnsi="Arial" w:cs="Arial"/>
                <w:color w:val="000000"/>
                <w:sz w:val="20"/>
                <w:szCs w:val="20"/>
              </w:rPr>
            </w:pPr>
            <w:r w:rsidRPr="00DC18EA">
              <w:rPr>
                <w:rFonts w:ascii="Arial" w:eastAsia="Times New Roman" w:hAnsi="Arial" w:cs="Arial"/>
                <w:color w:val="000000"/>
                <w:sz w:val="20"/>
                <w:szCs w:val="20"/>
              </w:rPr>
              <w:t>Region - South of Lugo</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r>
      <w:tr w:rsidR="001D1C3E" w:rsidRPr="00B828B0" w:rsidTr="00F13AE8">
        <w:trPr>
          <w:trHeight w:val="300"/>
          <w:jc w:val="center"/>
        </w:trPr>
        <w:tc>
          <w:tcPr>
            <w:tcW w:w="3295" w:type="dxa"/>
            <w:tcBorders>
              <w:top w:val="nil"/>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pStyle w:val="TableText"/>
              <w:spacing w:before="0" w:after="0"/>
              <w:contextualSpacing/>
              <w:jc w:val="left"/>
              <w:rPr>
                <w:rFonts w:eastAsia="Times New Roman"/>
              </w:rPr>
            </w:pPr>
            <w:r w:rsidRPr="00292F0A">
              <w:rPr>
                <w:rFonts w:eastAsia="Times New Roman"/>
              </w:rPr>
              <w:t>LCA - Outside LA Basin</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B828B0" w:rsidTr="00F13AE8">
        <w:trPr>
          <w:trHeight w:val="300"/>
          <w:jc w:val="center"/>
        </w:trPr>
        <w:tc>
          <w:tcPr>
            <w:tcW w:w="3295" w:type="dxa"/>
            <w:tcBorders>
              <w:top w:val="nil"/>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pStyle w:val="TableText"/>
              <w:spacing w:before="0" w:after="0"/>
              <w:contextualSpacing/>
              <w:jc w:val="left"/>
              <w:rPr>
                <w:rFonts w:eastAsia="Times New Roman"/>
              </w:rPr>
            </w:pPr>
            <w:r w:rsidRPr="00292F0A">
              <w:rPr>
                <w:rFonts w:eastAsia="Times New Roman"/>
              </w:rPr>
              <w:t>LCA - Ventura</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B828B0" w:rsidTr="00F13AE8">
        <w:trPr>
          <w:trHeight w:val="300"/>
          <w:jc w:val="center"/>
        </w:trPr>
        <w:tc>
          <w:tcPr>
            <w:tcW w:w="3295" w:type="dxa"/>
            <w:tcBorders>
              <w:top w:val="nil"/>
              <w:left w:val="single" w:sz="4" w:space="0" w:color="000000"/>
              <w:bottom w:val="single" w:sz="4" w:space="0" w:color="000000"/>
              <w:right w:val="single" w:sz="4" w:space="0" w:color="000000"/>
            </w:tcBorders>
            <w:shd w:val="clear" w:color="auto" w:fill="auto"/>
            <w:noWrap/>
            <w:vAlign w:val="center"/>
            <w:hideMark/>
          </w:tcPr>
          <w:p w:rsidR="001D1C3E" w:rsidRPr="00292F0A" w:rsidRDefault="001D1C3E" w:rsidP="00F13AE8">
            <w:pPr>
              <w:pStyle w:val="TableText"/>
              <w:spacing w:before="0" w:after="0"/>
              <w:contextualSpacing/>
              <w:rPr>
                <w:rFonts w:eastAsia="Times New Roman" w:cs="Arial"/>
                <w:b/>
                <w:bCs/>
                <w:sz w:val="18"/>
                <w:szCs w:val="18"/>
              </w:rPr>
            </w:pPr>
            <w:r w:rsidRPr="00CD3CF2">
              <w:rPr>
                <w:rFonts w:eastAsia="Times New Roman" w:cs="Arial"/>
                <w:b/>
                <w:bCs/>
                <w:szCs w:val="18"/>
              </w:rPr>
              <w:t>Total</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spacing w:after="0"/>
              <w:jc w:val="center"/>
              <w:rPr>
                <w:rFonts w:ascii="Arial" w:hAnsi="Arial" w:cs="Arial"/>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r w:rsidRPr="003B6CFD">
              <w:rPr>
                <w:rFonts w:ascii="Arial" w:hAnsi="Arial" w:cs="Arial"/>
                <w:b/>
                <w:color w:val="000000"/>
                <w:sz w:val="20"/>
                <w:szCs w:val="20"/>
                <w:highlight w:val="black"/>
              </w:rPr>
              <w:t xml:space="preserve"> </w:t>
            </w:r>
          </w:p>
        </w:tc>
      </w:tr>
    </w:tbl>
    <w:p w:rsidR="001D1C3E" w:rsidRPr="00362037" w:rsidRDefault="001D1C3E" w:rsidP="001D1C3E">
      <w:pPr>
        <w:pStyle w:val="TableFigureCaption"/>
        <w:spacing w:before="240" w:after="200"/>
      </w:pPr>
      <w:bookmarkStart w:id="88" w:name="_Ref443506908"/>
      <w:r w:rsidRPr="00362037">
        <w:t xml:space="preserve">Table </w:t>
      </w:r>
      <w:fldSimple w:instr=" STYLEREF 1 \s ">
        <w:r>
          <w:rPr>
            <w:noProof/>
          </w:rPr>
          <w:t>6</w:t>
        </w:r>
      </w:fldSimple>
      <w:r>
        <w:noBreakHyphen/>
      </w:r>
      <w:fldSimple w:instr=" SEQ Table \* ARABIC \s 1 ">
        <w:r>
          <w:rPr>
            <w:noProof/>
          </w:rPr>
          <w:t>10</w:t>
        </w:r>
      </w:fldSimple>
      <w:bookmarkEnd w:id="88"/>
      <w:r w:rsidRPr="00362037">
        <w:t xml:space="preserve">: SCE </w:t>
      </w:r>
      <w:proofErr w:type="gramStart"/>
      <w:r w:rsidRPr="00362037">
        <w:t>Ex</w:t>
      </w:r>
      <w:proofErr w:type="gramEnd"/>
      <w:r w:rsidRPr="00362037">
        <w:t xml:space="preserve"> Ante Load Impact Estimates (1</w:t>
      </w:r>
      <w:r>
        <w:rPr>
          <w:rFonts w:cs="Arial"/>
        </w:rPr>
        <w:t xml:space="preserve"> to </w:t>
      </w:r>
      <w:r w:rsidRPr="00362037">
        <w:t xml:space="preserve">6 PM) on Monthly Peak Days </w:t>
      </w:r>
      <w:r>
        <w:br/>
      </w:r>
      <w:r w:rsidRPr="00362037">
        <w:t xml:space="preserve">for </w:t>
      </w:r>
      <w:r>
        <w:t>June-September</w:t>
      </w:r>
      <w:r w:rsidRPr="00362037">
        <w:t xml:space="preserve"> 20</w:t>
      </w:r>
      <w:r>
        <w:t>20</w:t>
      </w:r>
      <w:r w:rsidRPr="00362037">
        <w:t xml:space="preserve"> (kW) </w:t>
      </w:r>
    </w:p>
    <w:tbl>
      <w:tblPr>
        <w:tblW w:w="10335" w:type="dxa"/>
        <w:jc w:val="center"/>
        <w:tblInd w:w="-162" w:type="dxa"/>
        <w:tblLook w:val="04A0" w:firstRow="1" w:lastRow="0" w:firstColumn="1" w:lastColumn="0" w:noHBand="0" w:noVBand="1"/>
      </w:tblPr>
      <w:tblGrid>
        <w:gridCol w:w="3295"/>
        <w:gridCol w:w="880"/>
        <w:gridCol w:w="880"/>
        <w:gridCol w:w="880"/>
        <w:gridCol w:w="880"/>
        <w:gridCol w:w="880"/>
        <w:gridCol w:w="880"/>
        <w:gridCol w:w="880"/>
        <w:gridCol w:w="880"/>
      </w:tblGrid>
      <w:tr w:rsidR="001D1C3E" w:rsidRPr="00B828B0" w:rsidTr="00F13AE8">
        <w:trPr>
          <w:trHeight w:val="300"/>
          <w:jc w:val="center"/>
        </w:trPr>
        <w:tc>
          <w:tcPr>
            <w:tcW w:w="3295" w:type="dxa"/>
            <w:vMerge w:val="restart"/>
            <w:tcBorders>
              <w:top w:val="single" w:sz="4" w:space="0" w:color="000000"/>
              <w:left w:val="single" w:sz="4" w:space="0" w:color="000000"/>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LCA</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June</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July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August</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September</w:t>
            </w:r>
          </w:p>
        </w:tc>
      </w:tr>
      <w:tr w:rsidR="001D1C3E" w:rsidRPr="00B828B0" w:rsidTr="00F13AE8">
        <w:trPr>
          <w:trHeight w:val="300"/>
          <w:jc w:val="center"/>
        </w:trPr>
        <w:tc>
          <w:tcPr>
            <w:tcW w:w="3295" w:type="dxa"/>
            <w:vMerge/>
            <w:tcBorders>
              <w:top w:val="single" w:sz="4" w:space="0" w:color="000000"/>
              <w:left w:val="single" w:sz="4" w:space="0" w:color="000000"/>
              <w:bottom w:val="single" w:sz="4" w:space="0" w:color="FFFFFF"/>
              <w:right w:val="single" w:sz="4" w:space="0" w:color="FFFFFF"/>
            </w:tcBorders>
            <w:vAlign w:val="center"/>
            <w:hideMark/>
          </w:tcPr>
          <w:p w:rsidR="001D1C3E" w:rsidRPr="00292F0A" w:rsidRDefault="001D1C3E" w:rsidP="00F13AE8">
            <w:pPr>
              <w:pStyle w:val="TableHeader"/>
              <w:spacing w:before="0" w:after="0"/>
              <w:contextualSpacing/>
              <w:rPr>
                <w:rFonts w:eastAsia="Times New Roman"/>
              </w:rPr>
            </w:pP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pStyle w:val="TableHeader"/>
              <w:spacing w:before="0" w:after="0"/>
              <w:contextualSpacing/>
              <w:rPr>
                <w:rFonts w:eastAsia="Times New Roman"/>
              </w:rPr>
            </w:pPr>
            <w:r w:rsidRPr="00292F0A">
              <w:rPr>
                <w:rFonts w:eastAsia="Times New Roman"/>
              </w:rPr>
              <w:t>1-in-10</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pStyle w:val="TableText"/>
              <w:spacing w:before="0" w:after="0"/>
              <w:contextualSpacing/>
              <w:jc w:val="left"/>
              <w:rPr>
                <w:rFonts w:eastAsia="Times New Roman"/>
              </w:rPr>
            </w:pPr>
            <w:r w:rsidRPr="00292F0A">
              <w:rPr>
                <w:rFonts w:eastAsia="Times New Roman"/>
              </w:rPr>
              <w:t>LCA - LA Basin</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color w:val="000000"/>
                <w:sz w:val="20"/>
                <w:szCs w:val="20"/>
                <w:highlight w:val="black"/>
              </w:rPr>
            </w:pPr>
            <w:r w:rsidRPr="003B6CFD">
              <w:rPr>
                <w:rFonts w:ascii="Arial" w:hAnsi="Arial" w:cs="Arial"/>
                <w:color w:val="000000"/>
                <w:sz w:val="20"/>
                <w:szCs w:val="20"/>
                <w:highlight w:val="black"/>
              </w:rPr>
              <w:t xml:space="preserve">        XXXX</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1C3E" w:rsidRPr="00DC18EA" w:rsidRDefault="001D1C3E" w:rsidP="00F13AE8">
            <w:pPr>
              <w:spacing w:after="0" w:line="240" w:lineRule="auto"/>
              <w:ind w:firstLineChars="100" w:firstLine="200"/>
              <w:rPr>
                <w:rFonts w:ascii="Arial" w:eastAsia="Times New Roman" w:hAnsi="Arial" w:cs="Arial"/>
                <w:color w:val="000000"/>
                <w:sz w:val="20"/>
                <w:szCs w:val="20"/>
              </w:rPr>
            </w:pPr>
            <w:r w:rsidRPr="00DC18EA">
              <w:rPr>
                <w:rFonts w:ascii="Arial" w:eastAsia="Times New Roman" w:hAnsi="Arial" w:cs="Arial"/>
                <w:color w:val="000000"/>
                <w:sz w:val="20"/>
                <w:szCs w:val="20"/>
              </w:rPr>
              <w:t>Region - South Orange County</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 </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1C3E" w:rsidRPr="00DC18EA" w:rsidRDefault="001D1C3E" w:rsidP="00F13AE8">
            <w:pPr>
              <w:spacing w:after="0" w:line="240" w:lineRule="auto"/>
              <w:ind w:firstLineChars="100" w:firstLine="200"/>
              <w:rPr>
                <w:rFonts w:ascii="Arial" w:eastAsia="Times New Roman" w:hAnsi="Arial" w:cs="Arial"/>
                <w:color w:val="000000"/>
                <w:sz w:val="20"/>
                <w:szCs w:val="20"/>
              </w:rPr>
            </w:pPr>
            <w:r w:rsidRPr="00DC18EA">
              <w:rPr>
                <w:rFonts w:ascii="Arial" w:eastAsia="Times New Roman" w:hAnsi="Arial" w:cs="Arial"/>
                <w:color w:val="000000"/>
                <w:sz w:val="20"/>
                <w:szCs w:val="20"/>
              </w:rPr>
              <w:t>Region - South of Lugo</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pStyle w:val="BodyParagraph"/>
              <w:keepNext/>
              <w:spacing w:after="0"/>
              <w:jc w:val="center"/>
              <w:rPr>
                <w:sz w:val="20"/>
                <w:szCs w:val="20"/>
                <w:highlight w:val="black"/>
              </w:rPr>
            </w:pPr>
            <w:r w:rsidRPr="003B6CFD">
              <w:rPr>
                <w:rFonts w:cs="Arial"/>
                <w:color w:val="000000"/>
                <w:sz w:val="20"/>
                <w:szCs w:val="20"/>
                <w:highlight w:val="black"/>
              </w:rPr>
              <w:t xml:space="preserve">        XXXX</w:t>
            </w:r>
          </w:p>
        </w:tc>
      </w:tr>
      <w:tr w:rsidR="001D1C3E" w:rsidRPr="00B828B0" w:rsidTr="00F13AE8">
        <w:trPr>
          <w:trHeight w:val="300"/>
          <w:jc w:val="center"/>
        </w:trPr>
        <w:tc>
          <w:tcPr>
            <w:tcW w:w="3295" w:type="dxa"/>
            <w:tcBorders>
              <w:top w:val="nil"/>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pStyle w:val="TableText"/>
              <w:spacing w:before="0" w:after="0"/>
              <w:contextualSpacing/>
              <w:jc w:val="left"/>
              <w:rPr>
                <w:rFonts w:eastAsia="Times New Roman"/>
              </w:rPr>
            </w:pPr>
            <w:r w:rsidRPr="00292F0A">
              <w:rPr>
                <w:rFonts w:eastAsia="Times New Roman"/>
              </w:rPr>
              <w:t>LCA - Outside LA Basin</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r>
      <w:tr w:rsidR="001D1C3E" w:rsidRPr="00B828B0" w:rsidTr="00F13AE8">
        <w:trPr>
          <w:trHeight w:val="300"/>
          <w:jc w:val="center"/>
        </w:trPr>
        <w:tc>
          <w:tcPr>
            <w:tcW w:w="3295" w:type="dxa"/>
            <w:tcBorders>
              <w:top w:val="nil"/>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pStyle w:val="TableText"/>
              <w:spacing w:before="0" w:after="0"/>
              <w:contextualSpacing/>
              <w:jc w:val="left"/>
              <w:rPr>
                <w:rFonts w:eastAsia="Times New Roman"/>
              </w:rPr>
            </w:pPr>
            <w:r w:rsidRPr="00292F0A">
              <w:rPr>
                <w:rFonts w:eastAsia="Times New Roman"/>
              </w:rPr>
              <w:t>LCA - Ventura</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cstheme="minorHAnsi"/>
                <w:color w:val="000000"/>
                <w:sz w:val="20"/>
                <w:szCs w:val="20"/>
              </w:rPr>
            </w:pPr>
            <w:r w:rsidRPr="005E735C">
              <w:rPr>
                <w:rFonts w:ascii="Arial" w:hAnsi="Arial" w:cs="Arial"/>
                <w:color w:val="000000"/>
                <w:sz w:val="20"/>
                <w:szCs w:val="20"/>
              </w:rPr>
              <w:t>0</w:t>
            </w:r>
          </w:p>
        </w:tc>
      </w:tr>
      <w:tr w:rsidR="001D1C3E" w:rsidRPr="003B6CFD" w:rsidTr="00F13AE8">
        <w:trPr>
          <w:trHeight w:val="300"/>
          <w:jc w:val="center"/>
        </w:trPr>
        <w:tc>
          <w:tcPr>
            <w:tcW w:w="3295" w:type="dxa"/>
            <w:tcBorders>
              <w:top w:val="nil"/>
              <w:left w:val="single" w:sz="4" w:space="0" w:color="000000"/>
              <w:bottom w:val="single" w:sz="4" w:space="0" w:color="000000"/>
              <w:right w:val="single" w:sz="4" w:space="0" w:color="000000"/>
            </w:tcBorders>
            <w:shd w:val="clear" w:color="auto" w:fill="auto"/>
            <w:noWrap/>
            <w:vAlign w:val="center"/>
            <w:hideMark/>
          </w:tcPr>
          <w:p w:rsidR="001D1C3E" w:rsidRPr="00292F0A" w:rsidRDefault="001D1C3E" w:rsidP="00F13AE8">
            <w:pPr>
              <w:pStyle w:val="TableText"/>
              <w:spacing w:before="0" w:after="0"/>
              <w:contextualSpacing/>
              <w:rPr>
                <w:rFonts w:eastAsia="Times New Roman" w:cs="Arial"/>
                <w:b/>
                <w:bCs/>
                <w:sz w:val="18"/>
                <w:szCs w:val="18"/>
              </w:rPr>
            </w:pPr>
            <w:r w:rsidRPr="00CD3CF2">
              <w:rPr>
                <w:rFonts w:eastAsia="Times New Roman" w:cs="Arial"/>
                <w:b/>
                <w:bCs/>
                <w:szCs w:val="18"/>
              </w:rPr>
              <w:t>Total</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3B6CFD" w:rsidRDefault="001D1C3E" w:rsidP="00F13AE8">
            <w:pPr>
              <w:keepNext/>
              <w:spacing w:after="0" w:line="240" w:lineRule="auto"/>
              <w:jc w:val="center"/>
              <w:rPr>
                <w:rFonts w:cstheme="minorHAnsi"/>
                <w:b/>
                <w:color w:val="000000"/>
                <w:sz w:val="20"/>
                <w:szCs w:val="20"/>
                <w:highlight w:val="black"/>
              </w:rPr>
            </w:pPr>
            <w:r w:rsidRPr="003B6CFD">
              <w:rPr>
                <w:rFonts w:ascii="Arial" w:hAnsi="Arial" w:cs="Arial"/>
                <w:b/>
                <w:color w:val="000000"/>
                <w:sz w:val="20"/>
                <w:szCs w:val="20"/>
                <w:highlight w:val="black"/>
              </w:rPr>
              <w:t xml:space="preserve">        </w:t>
            </w:r>
            <w:r w:rsidRPr="003B6CFD">
              <w:rPr>
                <w:rFonts w:ascii="Arial" w:hAnsi="Arial" w:cs="Arial"/>
                <w:color w:val="000000"/>
                <w:sz w:val="20"/>
                <w:szCs w:val="20"/>
                <w:highlight w:val="black"/>
              </w:rPr>
              <w:t>XXXX</w:t>
            </w:r>
          </w:p>
        </w:tc>
      </w:tr>
    </w:tbl>
    <w:p w:rsidR="001D1C3E" w:rsidRDefault="001D1C3E" w:rsidP="001D1C3E">
      <w:pPr>
        <w:pStyle w:val="TableFigureCaption"/>
        <w:spacing w:before="120"/>
        <w:rPr>
          <w:highlight w:val="yellow"/>
        </w:rPr>
      </w:pPr>
      <w:bookmarkStart w:id="89" w:name="_Ref443506915"/>
    </w:p>
    <w:p w:rsidR="001D1C3E" w:rsidRPr="0074679D" w:rsidRDefault="001D1C3E" w:rsidP="001D1C3E">
      <w:pPr>
        <w:pStyle w:val="TableFigureCaption"/>
        <w:spacing w:before="120" w:after="200"/>
      </w:pPr>
      <w:bookmarkStart w:id="90" w:name="_Ref477849244"/>
      <w:r w:rsidRPr="0074679D">
        <w:t xml:space="preserve">Table </w:t>
      </w:r>
      <w:fldSimple w:instr=" STYLEREF 1 \s ">
        <w:r>
          <w:rPr>
            <w:noProof/>
          </w:rPr>
          <w:t>6</w:t>
        </w:r>
      </w:fldSimple>
      <w:r>
        <w:noBreakHyphen/>
      </w:r>
      <w:fldSimple w:instr=" SEQ Table \* ARABIC \s 1 ">
        <w:r>
          <w:rPr>
            <w:noProof/>
          </w:rPr>
          <w:t>11</w:t>
        </w:r>
      </w:fldSimple>
      <w:bookmarkEnd w:id="89"/>
      <w:bookmarkEnd w:id="90"/>
      <w:r w:rsidRPr="0074679D">
        <w:t xml:space="preserve">: SCE </w:t>
      </w:r>
      <w:proofErr w:type="gramStart"/>
      <w:r w:rsidRPr="0074679D">
        <w:t>Ex</w:t>
      </w:r>
      <w:proofErr w:type="gramEnd"/>
      <w:r w:rsidRPr="0074679D">
        <w:t xml:space="preserve"> Ante Load Impact Estimates (1</w:t>
      </w:r>
      <w:r>
        <w:rPr>
          <w:rFonts w:cs="Arial"/>
        </w:rPr>
        <w:t xml:space="preserve"> to </w:t>
      </w:r>
      <w:r w:rsidRPr="0074679D">
        <w:t xml:space="preserve">6 PM) on Monthly Peak Days </w:t>
      </w:r>
      <w:r>
        <w:br/>
      </w:r>
      <w:r w:rsidRPr="0074679D">
        <w:t xml:space="preserve">for </w:t>
      </w:r>
      <w:r>
        <w:t>June-September</w:t>
      </w:r>
      <w:r w:rsidRPr="0074679D">
        <w:t xml:space="preserve"> 202</w:t>
      </w:r>
      <w:r>
        <w:t>8</w:t>
      </w:r>
      <w:r w:rsidRPr="0074679D">
        <w:t xml:space="preserve"> (kW) </w:t>
      </w:r>
    </w:p>
    <w:tbl>
      <w:tblPr>
        <w:tblW w:w="10335" w:type="dxa"/>
        <w:jc w:val="center"/>
        <w:tblInd w:w="-162" w:type="dxa"/>
        <w:tblLook w:val="04A0" w:firstRow="1" w:lastRow="0" w:firstColumn="1" w:lastColumn="0" w:noHBand="0" w:noVBand="1"/>
      </w:tblPr>
      <w:tblGrid>
        <w:gridCol w:w="3295"/>
        <w:gridCol w:w="880"/>
        <w:gridCol w:w="880"/>
        <w:gridCol w:w="880"/>
        <w:gridCol w:w="880"/>
        <w:gridCol w:w="880"/>
        <w:gridCol w:w="880"/>
        <w:gridCol w:w="880"/>
        <w:gridCol w:w="880"/>
      </w:tblGrid>
      <w:tr w:rsidR="001D1C3E" w:rsidRPr="00B828B0" w:rsidTr="00F13AE8">
        <w:trPr>
          <w:trHeight w:val="300"/>
          <w:jc w:val="center"/>
        </w:trPr>
        <w:tc>
          <w:tcPr>
            <w:tcW w:w="3295" w:type="dxa"/>
            <w:vMerge w:val="restart"/>
            <w:tcBorders>
              <w:top w:val="single" w:sz="4" w:space="0" w:color="000000"/>
              <w:left w:val="single" w:sz="4" w:space="0" w:color="000000"/>
              <w:bottom w:val="single" w:sz="4" w:space="0" w:color="FFFFFF"/>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LCA</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June</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July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August</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September</w:t>
            </w:r>
          </w:p>
        </w:tc>
      </w:tr>
      <w:tr w:rsidR="001D1C3E" w:rsidRPr="00B828B0" w:rsidTr="00F13AE8">
        <w:trPr>
          <w:trHeight w:val="300"/>
          <w:jc w:val="center"/>
        </w:trPr>
        <w:tc>
          <w:tcPr>
            <w:tcW w:w="3295" w:type="dxa"/>
            <w:vMerge/>
            <w:tcBorders>
              <w:top w:val="single" w:sz="4" w:space="0" w:color="000000"/>
              <w:left w:val="single" w:sz="4" w:space="0" w:color="000000"/>
              <w:bottom w:val="single" w:sz="4" w:space="0" w:color="FFFFFF"/>
              <w:right w:val="single" w:sz="4" w:space="0" w:color="FFFFFF"/>
            </w:tcBorders>
            <w:vAlign w:val="center"/>
            <w:hideMark/>
          </w:tcPr>
          <w:p w:rsidR="001D1C3E" w:rsidRPr="00292F0A" w:rsidRDefault="001D1C3E" w:rsidP="00F13AE8">
            <w:pPr>
              <w:spacing w:after="0" w:line="240" w:lineRule="auto"/>
              <w:contextualSpacing/>
              <w:rPr>
                <w:rFonts w:ascii="Arial" w:eastAsia="Times New Roman" w:hAnsi="Arial" w:cs="Arial"/>
                <w:b/>
                <w:bCs/>
                <w:color w:val="FFFFFF"/>
                <w:sz w:val="20"/>
                <w:szCs w:val="20"/>
              </w:rPr>
            </w:pP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1D1C3E" w:rsidRPr="00292F0A" w:rsidRDefault="001D1C3E" w:rsidP="00F13AE8">
            <w:pPr>
              <w:spacing w:after="0" w:line="240" w:lineRule="auto"/>
              <w:contextualSpacing/>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1-in-10</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contextualSpacing/>
              <w:rPr>
                <w:rFonts w:ascii="Arial" w:eastAsia="Times New Roman" w:hAnsi="Arial" w:cs="Arial"/>
                <w:color w:val="000000"/>
                <w:sz w:val="20"/>
                <w:szCs w:val="20"/>
              </w:rPr>
            </w:pPr>
            <w:r w:rsidRPr="00292F0A">
              <w:rPr>
                <w:rFonts w:ascii="Arial" w:eastAsia="Times New Roman" w:hAnsi="Arial" w:cs="Arial"/>
                <w:color w:val="000000"/>
                <w:sz w:val="20"/>
                <w:szCs w:val="20"/>
              </w:rPr>
              <w:t>LCA - LA Basin</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1C3E" w:rsidRPr="00DC18EA" w:rsidRDefault="001D1C3E" w:rsidP="00F13AE8">
            <w:pPr>
              <w:spacing w:after="0" w:line="240" w:lineRule="auto"/>
              <w:ind w:firstLineChars="100" w:firstLine="200"/>
              <w:rPr>
                <w:rFonts w:ascii="Arial" w:eastAsia="Times New Roman" w:hAnsi="Arial" w:cs="Arial"/>
                <w:color w:val="000000"/>
                <w:sz w:val="20"/>
                <w:szCs w:val="20"/>
              </w:rPr>
            </w:pPr>
            <w:r w:rsidRPr="00DC18EA">
              <w:rPr>
                <w:rFonts w:ascii="Arial" w:eastAsia="Times New Roman" w:hAnsi="Arial" w:cs="Arial"/>
                <w:color w:val="000000"/>
                <w:sz w:val="20"/>
                <w:szCs w:val="20"/>
              </w:rPr>
              <w:t>Region - South Orange County</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r>
      <w:tr w:rsidR="001D1C3E" w:rsidRPr="00B828B0" w:rsidTr="00F13AE8">
        <w:trPr>
          <w:trHeight w:val="300"/>
          <w:jc w:val="center"/>
        </w:trPr>
        <w:tc>
          <w:tcPr>
            <w:tcW w:w="3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1C3E" w:rsidRPr="00DC18EA" w:rsidRDefault="001D1C3E" w:rsidP="00F13AE8">
            <w:pPr>
              <w:spacing w:after="0" w:line="240" w:lineRule="auto"/>
              <w:ind w:firstLineChars="100" w:firstLine="200"/>
              <w:rPr>
                <w:rFonts w:ascii="Arial" w:eastAsia="Times New Roman" w:hAnsi="Arial" w:cs="Arial"/>
                <w:color w:val="000000"/>
                <w:sz w:val="20"/>
                <w:szCs w:val="20"/>
              </w:rPr>
            </w:pPr>
            <w:r w:rsidRPr="00DC18EA">
              <w:rPr>
                <w:rFonts w:ascii="Arial" w:eastAsia="Times New Roman" w:hAnsi="Arial" w:cs="Arial"/>
                <w:color w:val="000000"/>
                <w:sz w:val="20"/>
                <w:szCs w:val="20"/>
              </w:rPr>
              <w:t>Region - South of Lugo</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color w:val="000000"/>
                <w:sz w:val="20"/>
                <w:szCs w:val="20"/>
                <w:highlight w:val="black"/>
              </w:rPr>
            </w:pPr>
            <w:r w:rsidRPr="009D1F52">
              <w:rPr>
                <w:rFonts w:ascii="Arial" w:hAnsi="Arial" w:cs="Arial"/>
                <w:color w:val="000000"/>
                <w:sz w:val="20"/>
                <w:szCs w:val="20"/>
                <w:highlight w:val="black"/>
              </w:rPr>
              <w:t xml:space="preserve">        XXXX</w:t>
            </w:r>
          </w:p>
        </w:tc>
      </w:tr>
      <w:tr w:rsidR="001D1C3E" w:rsidRPr="00B828B0" w:rsidTr="00F13AE8">
        <w:trPr>
          <w:trHeight w:val="300"/>
          <w:jc w:val="center"/>
        </w:trPr>
        <w:tc>
          <w:tcPr>
            <w:tcW w:w="3295" w:type="dxa"/>
            <w:tcBorders>
              <w:top w:val="nil"/>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contextualSpacing/>
              <w:rPr>
                <w:rFonts w:ascii="Arial" w:eastAsia="Times New Roman" w:hAnsi="Arial" w:cs="Arial"/>
                <w:color w:val="000000"/>
                <w:sz w:val="20"/>
                <w:szCs w:val="20"/>
              </w:rPr>
            </w:pPr>
            <w:r w:rsidRPr="00292F0A">
              <w:rPr>
                <w:rFonts w:ascii="Arial" w:eastAsia="Times New Roman" w:hAnsi="Arial" w:cs="Arial"/>
                <w:color w:val="000000"/>
                <w:sz w:val="20"/>
                <w:szCs w:val="20"/>
              </w:rPr>
              <w:t>LCA - Outside LA Basin</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B828B0" w:rsidTr="00F13AE8">
        <w:trPr>
          <w:trHeight w:val="300"/>
          <w:jc w:val="center"/>
        </w:trPr>
        <w:tc>
          <w:tcPr>
            <w:tcW w:w="3295" w:type="dxa"/>
            <w:tcBorders>
              <w:top w:val="nil"/>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contextualSpacing/>
              <w:rPr>
                <w:rFonts w:ascii="Arial" w:eastAsia="Times New Roman" w:hAnsi="Arial" w:cs="Arial"/>
                <w:color w:val="000000"/>
                <w:sz w:val="20"/>
                <w:szCs w:val="20"/>
              </w:rPr>
            </w:pPr>
            <w:r w:rsidRPr="00292F0A">
              <w:rPr>
                <w:rFonts w:ascii="Arial" w:eastAsia="Times New Roman" w:hAnsi="Arial" w:cs="Arial"/>
                <w:color w:val="000000"/>
                <w:sz w:val="20"/>
                <w:szCs w:val="20"/>
              </w:rPr>
              <w:t>LCA - Ventura</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880" w:type="dxa"/>
            <w:tcBorders>
              <w:top w:val="nil"/>
              <w:left w:val="nil"/>
              <w:bottom w:val="single" w:sz="4" w:space="0" w:color="000000"/>
              <w:right w:val="single" w:sz="4" w:space="0" w:color="000000"/>
            </w:tcBorders>
            <w:shd w:val="clear" w:color="auto" w:fill="auto"/>
            <w:noWrap/>
            <w:vAlign w:val="bottom"/>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B828B0" w:rsidTr="00F13AE8">
        <w:trPr>
          <w:trHeight w:val="300"/>
          <w:jc w:val="center"/>
        </w:trPr>
        <w:tc>
          <w:tcPr>
            <w:tcW w:w="3295" w:type="dxa"/>
            <w:tcBorders>
              <w:top w:val="nil"/>
              <w:left w:val="single" w:sz="4" w:space="0" w:color="000000"/>
              <w:bottom w:val="single" w:sz="4" w:space="0" w:color="000000"/>
              <w:right w:val="single" w:sz="4" w:space="0" w:color="000000"/>
            </w:tcBorders>
            <w:shd w:val="clear" w:color="auto" w:fill="auto"/>
            <w:noWrap/>
            <w:vAlign w:val="center"/>
            <w:hideMark/>
          </w:tcPr>
          <w:p w:rsidR="001D1C3E" w:rsidRPr="00292F0A" w:rsidRDefault="001D1C3E" w:rsidP="00F13AE8">
            <w:pPr>
              <w:spacing w:after="0" w:line="240" w:lineRule="auto"/>
              <w:contextualSpacing/>
              <w:jc w:val="center"/>
              <w:rPr>
                <w:rFonts w:ascii="Arial" w:eastAsia="Times New Roman" w:hAnsi="Arial" w:cs="Arial"/>
                <w:b/>
                <w:bCs/>
                <w:color w:val="000000"/>
                <w:sz w:val="20"/>
                <w:szCs w:val="20"/>
              </w:rPr>
            </w:pPr>
            <w:r w:rsidRPr="00292F0A">
              <w:rPr>
                <w:rFonts w:ascii="Arial" w:eastAsia="Times New Roman" w:hAnsi="Arial" w:cs="Arial"/>
                <w:b/>
                <w:bCs/>
                <w:color w:val="000000"/>
                <w:sz w:val="20"/>
                <w:szCs w:val="20"/>
              </w:rPr>
              <w:t>Total</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r w:rsidRPr="009D1F52">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r w:rsidRPr="009D1F52">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r w:rsidRPr="009D1F52">
              <w:rPr>
                <w:rFonts w:ascii="Arial" w:hAnsi="Arial" w:cs="Arial"/>
                <w:b/>
                <w:color w:val="000000"/>
                <w:sz w:val="20"/>
                <w:szCs w:val="20"/>
                <w:highlight w:val="black"/>
              </w:rPr>
              <w:t xml:space="preserve"> </w:t>
            </w:r>
          </w:p>
        </w:tc>
        <w:tc>
          <w:tcPr>
            <w:tcW w:w="880"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keepNext/>
              <w:spacing w:after="0" w:line="240" w:lineRule="auto"/>
              <w:jc w:val="center"/>
              <w:rPr>
                <w:rFonts w:ascii="Arial" w:hAnsi="Arial" w:cs="Arial"/>
                <w:b/>
                <w:color w:val="000000"/>
                <w:sz w:val="20"/>
                <w:szCs w:val="20"/>
                <w:highlight w:val="black"/>
              </w:rPr>
            </w:pPr>
            <w:r w:rsidRPr="009D1F52">
              <w:rPr>
                <w:rFonts w:ascii="Arial" w:hAnsi="Arial" w:cs="Arial"/>
                <w:b/>
                <w:color w:val="000000"/>
                <w:sz w:val="20"/>
                <w:szCs w:val="20"/>
                <w:highlight w:val="black"/>
              </w:rPr>
              <w:t xml:space="preserve">        </w:t>
            </w:r>
            <w:r w:rsidRPr="009D1F52">
              <w:rPr>
                <w:rFonts w:ascii="Arial" w:hAnsi="Arial" w:cs="Arial"/>
                <w:color w:val="000000"/>
                <w:sz w:val="20"/>
                <w:szCs w:val="20"/>
                <w:highlight w:val="black"/>
              </w:rPr>
              <w:t>XXXX</w:t>
            </w:r>
          </w:p>
        </w:tc>
      </w:tr>
    </w:tbl>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sectPr w:rsidR="00F1237C" w:rsidRPr="00B828B0" w:rsidSect="005F1A34">
          <w:footerReference w:type="default" r:id="rId60"/>
          <w:pgSz w:w="15840" w:h="12240" w:orient="landscape"/>
          <w:pgMar w:top="1440" w:right="1440" w:bottom="1440" w:left="1440" w:header="720" w:footer="720" w:gutter="0"/>
          <w:cols w:space="720"/>
          <w:docGrid w:linePitch="360"/>
        </w:sectPr>
      </w:pPr>
    </w:p>
    <w:p w:rsidR="001D1C3E" w:rsidRPr="00D84A09" w:rsidRDefault="001D1C3E" w:rsidP="001D1C3E">
      <w:pPr>
        <w:pStyle w:val="BodyParagraph"/>
      </w:pPr>
      <w:r w:rsidRPr="00E500F1">
        <w:lastRenderedPageBreak/>
        <w:fldChar w:fldCharType="begin"/>
      </w:r>
      <w:r w:rsidRPr="00E500F1">
        <w:instrText xml:space="preserve"> REF _Ref443506952 \h  \* MERGEFORMAT </w:instrText>
      </w:r>
      <w:r w:rsidRPr="00E500F1">
        <w:fldChar w:fldCharType="separate"/>
      </w:r>
      <w:r w:rsidRPr="00E44362">
        <w:t xml:space="preserve">Figure </w:t>
      </w:r>
      <w:r w:rsidRPr="00E44362">
        <w:rPr>
          <w:noProof/>
        </w:rPr>
        <w:t>6</w:t>
      </w:r>
      <w:r w:rsidRPr="00E44362">
        <w:rPr>
          <w:noProof/>
        </w:rPr>
        <w:noBreakHyphen/>
        <w:t>3</w:t>
      </w:r>
      <w:r w:rsidRPr="00E500F1">
        <w:fldChar w:fldCharType="end"/>
      </w:r>
      <w:r w:rsidRPr="00E500F1">
        <w:t xml:space="preserve"> illustrates how the September 1-in-10 year load impact estimates vary by forecast year and scenario. </w:t>
      </w:r>
      <w:r w:rsidRPr="00E500F1">
        <w:fldChar w:fldCharType="begin"/>
      </w:r>
      <w:r w:rsidRPr="00E500F1">
        <w:instrText xml:space="preserve"> REF _Ref443506961 \h  \* MERGEFORMAT </w:instrText>
      </w:r>
      <w:r w:rsidRPr="00E500F1">
        <w:fldChar w:fldCharType="separate"/>
      </w:r>
      <w:r w:rsidRPr="005E735C">
        <w:t xml:space="preserve">Figure </w:t>
      </w:r>
      <w:r w:rsidRPr="005E735C">
        <w:rPr>
          <w:noProof/>
        </w:rPr>
        <w:t>6</w:t>
      </w:r>
      <w:r w:rsidRPr="005E735C">
        <w:rPr>
          <w:noProof/>
        </w:rPr>
        <w:noBreakHyphen/>
        <w:t>4</w:t>
      </w:r>
      <w:r w:rsidRPr="00E500F1">
        <w:fldChar w:fldCharType="end"/>
      </w:r>
      <w:r w:rsidRPr="00E500F1">
        <w:t xml:space="preserve"> shows the same results for September 1-in-2 year weather conditions. </w:t>
      </w:r>
      <w:r w:rsidRPr="00753CD4">
        <w:t>Across the forecast years, the impacts are approximately 8% higher under September 1-in-10 year weather conditions.</w:t>
      </w:r>
      <w:r w:rsidRPr="00E500F1">
        <w:t xml:space="preserve"> </w:t>
      </w:r>
      <w:r>
        <w:t xml:space="preserve">When all of the projects are installed by 2020 the program is expected to deliver up to </w:t>
      </w:r>
      <w:r w:rsidRPr="009D1F52">
        <w:rPr>
          <w:highlight w:val="black"/>
        </w:rPr>
        <w:t>XX</w:t>
      </w:r>
      <w:r>
        <w:t xml:space="preserve"> MW. By 2028 this impact is expected to drop to </w:t>
      </w:r>
      <w:r w:rsidRPr="009D1F52">
        <w:rPr>
          <w:highlight w:val="black"/>
        </w:rPr>
        <w:t>XX</w:t>
      </w:r>
      <w:r>
        <w:t xml:space="preserve"> MW due to the annual 2.5% degradation. The confidence interval is wider on monthly system peak days compared to average weekdays. This is driven in part by using the ex post analysis as the basis for the ex ante analysis, and by the extremely small number of customers. In the ex post evaluation, there are typically about 20 days that can be used to estimate load impacts for the average weekday in a given month, but there is only a single monthly system peak day. The higher </w:t>
      </w:r>
      <w:proofErr w:type="gramStart"/>
      <w:r>
        <w:t>number of observations for the average weekday result</w:t>
      </w:r>
      <w:proofErr w:type="gramEnd"/>
      <w:r>
        <w:t xml:space="preserve"> in smaller standard errors, and a more narrow confidence interval. In contrast, the monthly system peak day has only a single day per month, and as a result, the standard errors are much larger and the confidence interval is wider. These values pass through to the ex ante estimates as well, and are reflected in the wide confidence intervals on monthly system peak days observed below. One customer in particular had very inconsistent load and load impacts in the ex post analysis. This high level of variation also passed through to the ex ante and contributed to the level of uncertainty of the load impacts.</w:t>
      </w:r>
    </w:p>
    <w:p w:rsidR="001D1C3E" w:rsidRDefault="001D1C3E" w:rsidP="001D1C3E">
      <w:pPr>
        <w:pStyle w:val="Caption"/>
      </w:pPr>
      <w:bookmarkStart w:id="91" w:name="_Ref443506952"/>
      <w:r w:rsidRPr="009D1F52">
        <w:t xml:space="preserve">Figure </w:t>
      </w:r>
      <w:fldSimple w:instr=" STYLEREF 1 \s ">
        <w:r w:rsidRPr="009D1F52">
          <w:rPr>
            <w:noProof/>
          </w:rPr>
          <w:t>6</w:t>
        </w:r>
      </w:fldSimple>
      <w:r w:rsidRPr="009D1F52">
        <w:noBreakHyphen/>
      </w:r>
      <w:fldSimple w:instr=" SEQ Figure \* ARABIC \s 1 ">
        <w:r w:rsidRPr="009D1F52">
          <w:rPr>
            <w:noProof/>
          </w:rPr>
          <w:t>3</w:t>
        </w:r>
      </w:fldSimple>
      <w:bookmarkEnd w:id="91"/>
      <w:r w:rsidRPr="009D1F52">
        <w:t>: SCE September 1-in-10 Monthly System Peak Day Load Impacts (1 to 6 PM</w:t>
      </w:r>
      <w:proofErr w:type="gramStart"/>
      <w:r w:rsidRPr="009D1F52">
        <w:t>)</w:t>
      </w:r>
      <w:proofErr w:type="gramEnd"/>
      <w:r w:rsidRPr="009D1F52">
        <w:br/>
        <w:t xml:space="preserve">by Forecast Year </w:t>
      </w:r>
    </w:p>
    <w:p w:rsidR="001D1C3E" w:rsidRPr="00096204" w:rsidRDefault="001D1C3E" w:rsidP="001D1C3E">
      <w:pPr>
        <w:jc w:val="center"/>
      </w:pPr>
      <w:r w:rsidRPr="006C2F88">
        <w:rPr>
          <w:noProof/>
        </w:rPr>
        <w:drawing>
          <wp:inline distT="0" distB="0" distL="0" distR="0" wp14:anchorId="0814D188" wp14:editId="21B70CF9">
            <wp:extent cx="5486400"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86400" cy="2743200"/>
                    </a:xfrm>
                    <a:prstGeom prst="rect">
                      <a:avLst/>
                    </a:prstGeom>
                    <a:noFill/>
                    <a:ln>
                      <a:noFill/>
                    </a:ln>
                  </pic:spPr>
                </pic:pic>
              </a:graphicData>
            </a:graphic>
          </wp:inline>
        </w:drawing>
      </w:r>
    </w:p>
    <w:p w:rsidR="001D1C3E" w:rsidRPr="00244AC9" w:rsidRDefault="001D1C3E" w:rsidP="001D1C3E">
      <w:pPr>
        <w:rPr>
          <w:highlight w:val="yellow"/>
        </w:rPr>
      </w:pPr>
    </w:p>
    <w:p w:rsidR="001D1C3E" w:rsidRPr="00244AC9" w:rsidRDefault="001D1C3E" w:rsidP="001D1C3E">
      <w:pPr>
        <w:rPr>
          <w:highlight w:val="yellow"/>
        </w:rPr>
      </w:pPr>
    </w:p>
    <w:p w:rsidR="00F1237C" w:rsidRPr="00B828B0" w:rsidRDefault="00F1237C" w:rsidP="00F1237C">
      <w:pPr>
        <w:pStyle w:val="BodyParagraph"/>
        <w:jc w:val="center"/>
        <w:rPr>
          <w:highlight w:val="yellow"/>
        </w:rPr>
      </w:pPr>
    </w:p>
    <w:p w:rsidR="001D1C3E" w:rsidRDefault="001D1C3E" w:rsidP="001D1C3E">
      <w:pPr>
        <w:pStyle w:val="Caption"/>
      </w:pPr>
      <w:bookmarkStart w:id="92" w:name="_Ref443506961"/>
      <w:r w:rsidRPr="009D1F52">
        <w:lastRenderedPageBreak/>
        <w:t xml:space="preserve">Figure </w:t>
      </w:r>
      <w:fldSimple w:instr=" STYLEREF 1 \s ">
        <w:r w:rsidRPr="009D1F52">
          <w:rPr>
            <w:noProof/>
          </w:rPr>
          <w:t>6</w:t>
        </w:r>
      </w:fldSimple>
      <w:r w:rsidRPr="009D1F52">
        <w:noBreakHyphen/>
      </w:r>
      <w:fldSimple w:instr=" SEQ Figure \* ARABIC \s 1 ">
        <w:r w:rsidRPr="009D1F52">
          <w:rPr>
            <w:noProof/>
          </w:rPr>
          <w:t>4</w:t>
        </w:r>
      </w:fldSimple>
      <w:bookmarkEnd w:id="92"/>
      <w:r w:rsidRPr="009D1F52">
        <w:t>: SCE September 1-in-2 Monthly System Peak Day Load Impacts (1 to 6 PM</w:t>
      </w:r>
      <w:proofErr w:type="gramStart"/>
      <w:r w:rsidRPr="009D1F52">
        <w:t>)</w:t>
      </w:r>
      <w:proofErr w:type="gramEnd"/>
      <w:r w:rsidRPr="009D1F52">
        <w:br/>
        <w:t>by Forecast Year and Scenario</w:t>
      </w:r>
    </w:p>
    <w:p w:rsidR="001D1C3E" w:rsidRPr="00EB3E51" w:rsidRDefault="001D1C3E" w:rsidP="001D1C3E">
      <w:pPr>
        <w:jc w:val="center"/>
      </w:pPr>
      <w:r w:rsidRPr="006C2F88">
        <w:rPr>
          <w:noProof/>
        </w:rPr>
        <w:drawing>
          <wp:inline distT="0" distB="0" distL="0" distR="0" wp14:anchorId="2DB53009" wp14:editId="1B008B5C">
            <wp:extent cx="5486400" cy="2743200"/>
            <wp:effectExtent l="0" t="0" r="0" b="0"/>
            <wp:docPr id="3090" name="Picture 3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86400" cy="2743200"/>
                    </a:xfrm>
                    <a:prstGeom prst="rect">
                      <a:avLst/>
                    </a:prstGeom>
                    <a:noFill/>
                    <a:ln>
                      <a:noFill/>
                    </a:ln>
                  </pic:spPr>
                </pic:pic>
              </a:graphicData>
            </a:graphic>
          </wp:inline>
        </w:drawing>
      </w:r>
    </w:p>
    <w:p w:rsidR="001D1C3E" w:rsidRPr="007A46F6" w:rsidRDefault="001D1C3E" w:rsidP="001D1C3E">
      <w:pPr>
        <w:pStyle w:val="BodyParaAfterTableFigure"/>
      </w:pPr>
      <w:r w:rsidRPr="00461D17">
        <w:fldChar w:fldCharType="begin"/>
      </w:r>
      <w:r w:rsidRPr="00461D17">
        <w:instrText xml:space="preserve"> REF _Ref443506985 \h  \* MERGEFORMAT </w:instrText>
      </w:r>
      <w:r w:rsidRPr="00461D17">
        <w:fldChar w:fldCharType="separate"/>
      </w:r>
      <w:r w:rsidRPr="00461D17">
        <w:t xml:space="preserve">Table </w:t>
      </w:r>
      <w:r>
        <w:rPr>
          <w:noProof/>
        </w:rPr>
        <w:t>6</w:t>
      </w:r>
      <w:r>
        <w:rPr>
          <w:noProof/>
        </w:rPr>
        <w:noBreakHyphen/>
        <w:t>12</w:t>
      </w:r>
      <w:r w:rsidRPr="00461D17">
        <w:fldChar w:fldCharType="end"/>
      </w:r>
      <w:r w:rsidRPr="00461D17">
        <w:t xml:space="preserve"> shows the </w:t>
      </w:r>
      <w:r>
        <w:t>projected</w:t>
      </w:r>
      <w:r w:rsidRPr="00461D17">
        <w:t xml:space="preserve"> trajectory of load impacts under September 1-in-10 year weather conditions from 201</w:t>
      </w:r>
      <w:r>
        <w:t>8</w:t>
      </w:r>
      <w:r w:rsidRPr="00461D17">
        <w:t xml:space="preserve"> through 202</w:t>
      </w:r>
      <w:r>
        <w:t>8</w:t>
      </w:r>
      <w:r w:rsidRPr="00461D17">
        <w:t xml:space="preserve"> by LCA for the utility and CAISO specific peaks. </w:t>
      </w:r>
      <w:r>
        <w:t xml:space="preserve"> </w:t>
      </w:r>
      <w:r w:rsidRPr="00461D17">
        <w:fldChar w:fldCharType="begin"/>
      </w:r>
      <w:r w:rsidRPr="00461D17">
        <w:instrText xml:space="preserve"> REF _Ref443507083 \h  \* MERGEFORMAT </w:instrText>
      </w:r>
      <w:r w:rsidRPr="00461D17">
        <w:fldChar w:fldCharType="separate"/>
      </w:r>
      <w:r w:rsidRPr="0023302A">
        <w:t xml:space="preserve">Table </w:t>
      </w:r>
      <w:r>
        <w:rPr>
          <w:noProof/>
        </w:rPr>
        <w:t>6</w:t>
      </w:r>
      <w:r>
        <w:noBreakHyphen/>
      </w:r>
      <w:r>
        <w:rPr>
          <w:noProof/>
        </w:rPr>
        <w:t>13</w:t>
      </w:r>
      <w:r w:rsidRPr="00461D17">
        <w:fldChar w:fldCharType="end"/>
      </w:r>
      <w:r w:rsidRPr="00461D17">
        <w:t xml:space="preserve"> shows the same results for </w:t>
      </w:r>
      <w:r w:rsidRPr="00813757">
        <w:t xml:space="preserve">September 1-in-2 conditions. </w:t>
      </w:r>
      <w:r>
        <w:t>As mentioned above, t</w:t>
      </w:r>
      <w:r w:rsidRPr="00813757">
        <w:t xml:space="preserve">he LA Basin LCA accounts for </w:t>
      </w:r>
      <w:r>
        <w:t>100</w:t>
      </w:r>
      <w:r w:rsidRPr="00813757">
        <w:t xml:space="preserve">% of load impacts over the forecast horizon under both 1-in-10 and 1-in-2 year weather conditions. As a result of the assumed 2.5% annual degradation in load impacts after year five, the aggregate load reduction decreases from around </w:t>
      </w:r>
      <w:r w:rsidRPr="009D1F52">
        <w:rPr>
          <w:highlight w:val="black"/>
        </w:rPr>
        <w:t>XX</w:t>
      </w:r>
      <w:r>
        <w:t xml:space="preserve"> </w:t>
      </w:r>
      <w:r w:rsidRPr="00813757">
        <w:t>MW in 20</w:t>
      </w:r>
      <w:r>
        <w:t>20</w:t>
      </w:r>
      <w:r w:rsidRPr="00813757">
        <w:t xml:space="preserve"> under 1-in-10 year weather conditions to </w:t>
      </w:r>
      <w:r w:rsidRPr="009D1F52">
        <w:rPr>
          <w:highlight w:val="black"/>
        </w:rPr>
        <w:t>XX</w:t>
      </w:r>
      <w:r w:rsidRPr="00813757">
        <w:t xml:space="preserve"> MW in 202</w:t>
      </w:r>
      <w:r>
        <w:t>8</w:t>
      </w:r>
      <w:r w:rsidRPr="00813757">
        <w:t>. As mentioned above, the CAISO-specific peak is very similar to the SCE utility specific peak and maintains a consistent relationship across all of the years in the forecast. The difference between the utility specific and the CAISO specific peak is less than 1% under 1-in-10 conditions, and approximately 2% under 1-in-2 conditions, with the utility peak being higher under the 1-in-10 conditions and lower under 1-in-2 conditions.</w:t>
      </w:r>
    </w:p>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sectPr w:rsidR="00F1237C" w:rsidRPr="00B828B0" w:rsidSect="005F1A34">
          <w:footerReference w:type="default" r:id="rId61"/>
          <w:pgSz w:w="12240" w:h="15840"/>
          <w:pgMar w:top="1440" w:right="1440" w:bottom="1440" w:left="1440" w:header="720" w:footer="720" w:gutter="0"/>
          <w:cols w:space="720"/>
          <w:docGrid w:linePitch="360"/>
        </w:sectPr>
      </w:pPr>
    </w:p>
    <w:p w:rsidR="001D1C3E" w:rsidRPr="00461D17" w:rsidRDefault="001D1C3E" w:rsidP="001D1C3E">
      <w:pPr>
        <w:pStyle w:val="Caption"/>
        <w:spacing w:before="120" w:after="120"/>
      </w:pPr>
      <w:bookmarkStart w:id="93" w:name="_Ref443506985"/>
      <w:bookmarkStart w:id="94" w:name="_Ref443507083"/>
      <w:r w:rsidRPr="00461D17">
        <w:lastRenderedPageBreak/>
        <w:t xml:space="preserve">Table </w:t>
      </w:r>
      <w:fldSimple w:instr=" STYLEREF 1 \s ">
        <w:r>
          <w:rPr>
            <w:noProof/>
          </w:rPr>
          <w:t>6</w:t>
        </w:r>
      </w:fldSimple>
      <w:r>
        <w:noBreakHyphen/>
      </w:r>
      <w:fldSimple w:instr=" SEQ Table \* ARABIC \s 1 ">
        <w:r>
          <w:rPr>
            <w:noProof/>
          </w:rPr>
          <w:t>12</w:t>
        </w:r>
      </w:fldSimple>
      <w:bookmarkEnd w:id="93"/>
      <w:r w:rsidRPr="00461D17">
        <w:t>: SCE September 1-in-10 Monthly System Peak Day Load Impacts (1</w:t>
      </w:r>
      <w:r>
        <w:t xml:space="preserve"> to </w:t>
      </w:r>
      <w:r w:rsidRPr="00461D17">
        <w:t xml:space="preserve">6 PM) </w:t>
      </w:r>
      <w:r>
        <w:br/>
      </w:r>
      <w:r w:rsidRPr="00461D17">
        <w:t>by LCA and Forecast Year – Base Scenario</w:t>
      </w:r>
    </w:p>
    <w:tbl>
      <w:tblPr>
        <w:tblW w:w="15330" w:type="dxa"/>
        <w:jc w:val="center"/>
        <w:tblInd w:w="-252" w:type="dxa"/>
        <w:tblLayout w:type="fixed"/>
        <w:tblLook w:val="04A0" w:firstRow="1" w:lastRow="0" w:firstColumn="1" w:lastColumn="0" w:noHBand="0" w:noVBand="1"/>
      </w:tblPr>
      <w:tblGrid>
        <w:gridCol w:w="917"/>
        <w:gridCol w:w="3175"/>
        <w:gridCol w:w="1021"/>
        <w:gridCol w:w="1022"/>
        <w:gridCol w:w="1021"/>
        <w:gridCol w:w="1022"/>
        <w:gridCol w:w="1022"/>
        <w:gridCol w:w="1021"/>
        <w:gridCol w:w="1022"/>
        <w:gridCol w:w="1022"/>
        <w:gridCol w:w="1021"/>
        <w:gridCol w:w="1022"/>
        <w:gridCol w:w="1022"/>
      </w:tblGrid>
      <w:tr w:rsidR="001D1C3E" w:rsidRPr="00B828B0" w:rsidTr="00F13AE8">
        <w:trPr>
          <w:trHeight w:val="510"/>
          <w:jc w:val="center"/>
        </w:trPr>
        <w:tc>
          <w:tcPr>
            <w:tcW w:w="917" w:type="dxa"/>
            <w:tcBorders>
              <w:top w:val="single" w:sz="4" w:space="0" w:color="000000"/>
              <w:left w:val="single" w:sz="4" w:space="0" w:color="000000"/>
              <w:bottom w:val="nil"/>
              <w:right w:val="single" w:sz="4" w:space="0" w:color="FFFFFF" w:themeColor="background1"/>
            </w:tcBorders>
            <w:shd w:val="clear" w:color="000000" w:fill="0070CD"/>
            <w:vAlign w:val="center"/>
            <w:hideMark/>
          </w:tcPr>
          <w:p w:rsidR="001D1C3E" w:rsidRPr="00292F0A" w:rsidRDefault="001D1C3E" w:rsidP="00F13AE8">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Peak Type</w:t>
            </w:r>
          </w:p>
        </w:tc>
        <w:tc>
          <w:tcPr>
            <w:tcW w:w="3175" w:type="dxa"/>
            <w:tcBorders>
              <w:top w:val="single" w:sz="4" w:space="0" w:color="000000"/>
              <w:left w:val="single" w:sz="4" w:space="0" w:color="FFFFFF" w:themeColor="background1"/>
              <w:bottom w:val="nil"/>
              <w:right w:val="single" w:sz="4" w:space="0" w:color="FFFFFF"/>
            </w:tcBorders>
            <w:shd w:val="clear" w:color="000000" w:fill="0070CD"/>
            <w:vAlign w:val="center"/>
            <w:hideMark/>
          </w:tcPr>
          <w:p w:rsidR="001D1C3E" w:rsidRPr="00292F0A" w:rsidRDefault="001D1C3E" w:rsidP="00F13AE8">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LCA</w:t>
            </w:r>
          </w:p>
        </w:tc>
        <w:tc>
          <w:tcPr>
            <w:tcW w:w="1021"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2018</w:t>
            </w:r>
          </w:p>
        </w:tc>
        <w:tc>
          <w:tcPr>
            <w:tcW w:w="1022"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2019</w:t>
            </w:r>
          </w:p>
        </w:tc>
        <w:tc>
          <w:tcPr>
            <w:tcW w:w="1021"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2020</w:t>
            </w:r>
          </w:p>
        </w:tc>
        <w:tc>
          <w:tcPr>
            <w:tcW w:w="1022"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2021</w:t>
            </w:r>
          </w:p>
        </w:tc>
        <w:tc>
          <w:tcPr>
            <w:tcW w:w="1022"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2022</w:t>
            </w:r>
          </w:p>
        </w:tc>
        <w:tc>
          <w:tcPr>
            <w:tcW w:w="1021"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2023</w:t>
            </w:r>
          </w:p>
        </w:tc>
        <w:tc>
          <w:tcPr>
            <w:tcW w:w="1022"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2024</w:t>
            </w:r>
          </w:p>
        </w:tc>
        <w:tc>
          <w:tcPr>
            <w:tcW w:w="1022"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2025</w:t>
            </w:r>
          </w:p>
        </w:tc>
        <w:tc>
          <w:tcPr>
            <w:tcW w:w="1021" w:type="dxa"/>
            <w:tcBorders>
              <w:top w:val="single" w:sz="4" w:space="0" w:color="000000"/>
              <w:left w:val="nil"/>
              <w:bottom w:val="single" w:sz="4" w:space="0" w:color="000000"/>
              <w:right w:val="single" w:sz="4" w:space="0" w:color="FFFFFF"/>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2026</w:t>
            </w:r>
          </w:p>
        </w:tc>
        <w:tc>
          <w:tcPr>
            <w:tcW w:w="1022" w:type="dxa"/>
            <w:tcBorders>
              <w:top w:val="single" w:sz="4" w:space="0" w:color="000000"/>
              <w:left w:val="nil"/>
              <w:bottom w:val="single" w:sz="4" w:space="0" w:color="000000"/>
              <w:right w:val="single" w:sz="4" w:space="0" w:color="FFFFFF" w:themeColor="background1"/>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2027</w:t>
            </w:r>
          </w:p>
        </w:tc>
        <w:tc>
          <w:tcPr>
            <w:tcW w:w="1022" w:type="dxa"/>
            <w:tcBorders>
              <w:top w:val="single" w:sz="4" w:space="0" w:color="000000"/>
              <w:left w:val="single" w:sz="4" w:space="0" w:color="FFFFFF" w:themeColor="background1"/>
              <w:bottom w:val="single" w:sz="4" w:space="0" w:color="000000"/>
              <w:right w:val="single" w:sz="4" w:space="0" w:color="auto"/>
            </w:tcBorders>
            <w:shd w:val="clear" w:color="000000" w:fill="0070CD"/>
            <w:vAlign w:val="bottom"/>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2028</w:t>
            </w:r>
          </w:p>
        </w:tc>
      </w:tr>
      <w:tr w:rsidR="001D1C3E" w:rsidRPr="00017A29" w:rsidTr="00F13AE8">
        <w:trPr>
          <w:trHeight w:val="300"/>
          <w:jc w:val="center"/>
        </w:trPr>
        <w:tc>
          <w:tcPr>
            <w:tcW w:w="917" w:type="dxa"/>
            <w:vMerge w:val="restart"/>
            <w:tcBorders>
              <w:top w:val="single" w:sz="4" w:space="0" w:color="auto"/>
              <w:left w:val="single" w:sz="4" w:space="0" w:color="auto"/>
              <w:bottom w:val="nil"/>
              <w:right w:val="nil"/>
            </w:tcBorders>
            <w:shd w:val="clear" w:color="auto" w:fill="auto"/>
            <w:vAlign w:val="center"/>
            <w:hideMark/>
          </w:tcPr>
          <w:p w:rsidR="001D1C3E" w:rsidRPr="00292F0A" w:rsidRDefault="001D1C3E" w:rsidP="00F13AE8">
            <w:pPr>
              <w:spacing w:after="0" w:line="240" w:lineRule="auto"/>
              <w:jc w:val="center"/>
              <w:rPr>
                <w:rFonts w:ascii="Arial" w:eastAsia="Times New Roman" w:hAnsi="Arial" w:cs="Arial"/>
                <w:color w:val="000000"/>
                <w:sz w:val="20"/>
                <w:szCs w:val="20"/>
              </w:rPr>
            </w:pPr>
            <w:r w:rsidRPr="00292F0A">
              <w:rPr>
                <w:rFonts w:ascii="Arial" w:eastAsia="Times New Roman" w:hAnsi="Arial" w:cs="Arial"/>
                <w:color w:val="000000"/>
                <w:sz w:val="20"/>
                <w:szCs w:val="20"/>
              </w:rPr>
              <w:t>Utility Specific</w:t>
            </w:r>
          </w:p>
        </w:tc>
        <w:tc>
          <w:tcPr>
            <w:tcW w:w="31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rPr>
                <w:rFonts w:ascii="Arial" w:eastAsia="Times New Roman" w:hAnsi="Arial" w:cs="Arial"/>
                <w:color w:val="000000"/>
                <w:sz w:val="20"/>
                <w:szCs w:val="20"/>
              </w:rPr>
            </w:pPr>
            <w:r w:rsidRPr="00292F0A">
              <w:rPr>
                <w:rFonts w:ascii="Arial" w:eastAsia="Times New Roman" w:hAnsi="Arial" w:cs="Arial"/>
                <w:color w:val="000000"/>
                <w:sz w:val="20"/>
                <w:szCs w:val="20"/>
              </w:rPr>
              <w:t>LCA - LA Basin</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r w:rsidR="001D1C3E" w:rsidRPr="00017A29" w:rsidTr="00F13AE8">
        <w:trPr>
          <w:trHeight w:val="300"/>
          <w:jc w:val="center"/>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150BD4" w:rsidRDefault="001D1C3E" w:rsidP="00F13AE8">
            <w:pPr>
              <w:spacing w:after="0" w:line="240" w:lineRule="auto"/>
              <w:ind w:firstLineChars="100" w:firstLine="200"/>
              <w:rPr>
                <w:rFonts w:ascii="Arial" w:eastAsia="Times New Roman" w:hAnsi="Arial" w:cs="Arial"/>
                <w:color w:val="000000"/>
                <w:sz w:val="20"/>
                <w:szCs w:val="20"/>
              </w:rPr>
            </w:pPr>
            <w:r w:rsidRPr="00150BD4">
              <w:rPr>
                <w:rFonts w:ascii="Arial" w:eastAsia="Times New Roman" w:hAnsi="Arial" w:cs="Arial"/>
                <w:color w:val="000000"/>
                <w:sz w:val="20"/>
                <w:szCs w:val="20"/>
              </w:rPr>
              <w:t>Region - South Orange County</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r w:rsidR="001D1C3E" w:rsidRPr="00017A29" w:rsidTr="00F13AE8">
        <w:trPr>
          <w:trHeight w:val="300"/>
          <w:jc w:val="center"/>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150BD4" w:rsidRDefault="001D1C3E" w:rsidP="00F13AE8">
            <w:pPr>
              <w:spacing w:after="0" w:line="240" w:lineRule="auto"/>
              <w:ind w:firstLineChars="100" w:firstLine="200"/>
              <w:rPr>
                <w:rFonts w:ascii="Arial" w:eastAsia="Times New Roman" w:hAnsi="Arial" w:cs="Arial"/>
                <w:color w:val="000000"/>
                <w:sz w:val="20"/>
                <w:szCs w:val="20"/>
              </w:rPr>
            </w:pPr>
            <w:r w:rsidRPr="00150BD4">
              <w:rPr>
                <w:rFonts w:ascii="Arial" w:eastAsia="Times New Roman" w:hAnsi="Arial" w:cs="Arial"/>
                <w:color w:val="000000"/>
                <w:sz w:val="20"/>
                <w:szCs w:val="20"/>
              </w:rPr>
              <w:t>Region - South of Lugo</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r w:rsidR="001D1C3E" w:rsidRPr="00017A29" w:rsidTr="00F13AE8">
        <w:trPr>
          <w:trHeight w:val="300"/>
          <w:jc w:val="center"/>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150BD4" w:rsidRDefault="001D1C3E" w:rsidP="00F13AE8">
            <w:pPr>
              <w:spacing w:after="0" w:line="240" w:lineRule="auto"/>
              <w:rPr>
                <w:rFonts w:ascii="Arial" w:eastAsia="Times New Roman" w:hAnsi="Arial" w:cs="Arial"/>
                <w:color w:val="000000"/>
                <w:sz w:val="20"/>
                <w:szCs w:val="20"/>
              </w:rPr>
            </w:pPr>
            <w:r w:rsidRPr="00150BD4">
              <w:rPr>
                <w:rFonts w:ascii="Arial" w:eastAsia="Times New Roman" w:hAnsi="Arial" w:cs="Arial"/>
                <w:color w:val="000000"/>
                <w:sz w:val="20"/>
                <w:szCs w:val="20"/>
              </w:rPr>
              <w:t>LCA - Outside LA Basin</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spacing w:after="0"/>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017A29" w:rsidTr="00F13AE8">
        <w:trPr>
          <w:trHeight w:val="300"/>
          <w:jc w:val="center"/>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150BD4" w:rsidRDefault="001D1C3E" w:rsidP="00F13AE8">
            <w:pPr>
              <w:spacing w:after="0" w:line="240" w:lineRule="auto"/>
              <w:rPr>
                <w:rFonts w:ascii="Arial" w:eastAsia="Times New Roman" w:hAnsi="Arial" w:cs="Arial"/>
                <w:color w:val="000000"/>
                <w:sz w:val="20"/>
                <w:szCs w:val="20"/>
              </w:rPr>
            </w:pPr>
            <w:r w:rsidRPr="00150BD4">
              <w:rPr>
                <w:rFonts w:ascii="Arial" w:eastAsia="Times New Roman" w:hAnsi="Arial" w:cs="Arial"/>
                <w:color w:val="000000"/>
                <w:sz w:val="20"/>
                <w:szCs w:val="20"/>
              </w:rPr>
              <w:t>LCA – Ventura</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017A29" w:rsidTr="00F13AE8">
        <w:trPr>
          <w:trHeight w:val="300"/>
          <w:jc w:val="center"/>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000000"/>
              <w:bottom w:val="single" w:sz="4" w:space="0" w:color="000000"/>
              <w:right w:val="single" w:sz="4" w:space="0" w:color="000000"/>
            </w:tcBorders>
            <w:shd w:val="clear" w:color="auto" w:fill="auto"/>
            <w:noWrap/>
            <w:vAlign w:val="center"/>
            <w:hideMark/>
          </w:tcPr>
          <w:p w:rsidR="001D1C3E" w:rsidRPr="00150BD4" w:rsidRDefault="001D1C3E" w:rsidP="00F13AE8">
            <w:pPr>
              <w:spacing w:after="0" w:line="240" w:lineRule="auto"/>
              <w:jc w:val="center"/>
              <w:rPr>
                <w:rFonts w:ascii="Arial" w:eastAsia="Times New Roman" w:hAnsi="Arial" w:cs="Arial"/>
                <w:b/>
                <w:bCs/>
                <w:color w:val="000000"/>
                <w:sz w:val="20"/>
                <w:szCs w:val="20"/>
              </w:rPr>
            </w:pPr>
            <w:r w:rsidRPr="00150BD4">
              <w:rPr>
                <w:rFonts w:ascii="Arial" w:eastAsia="Times New Roman" w:hAnsi="Arial" w:cs="Arial"/>
                <w:b/>
                <w:bCs/>
                <w:color w:val="000000"/>
                <w:sz w:val="20"/>
                <w:szCs w:val="20"/>
              </w:rPr>
              <w:t>Total</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r w:rsidR="001D1C3E" w:rsidRPr="00017A29" w:rsidTr="00F13AE8">
        <w:trPr>
          <w:trHeight w:val="300"/>
          <w:jc w:val="center"/>
        </w:trPr>
        <w:tc>
          <w:tcPr>
            <w:tcW w:w="9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D1C3E" w:rsidRPr="00292F0A" w:rsidRDefault="001D1C3E" w:rsidP="00F13AE8">
            <w:pPr>
              <w:spacing w:after="0" w:line="240" w:lineRule="auto"/>
              <w:jc w:val="center"/>
              <w:rPr>
                <w:rFonts w:ascii="Arial" w:eastAsia="Times New Roman" w:hAnsi="Arial" w:cs="Arial"/>
                <w:color w:val="000000"/>
                <w:sz w:val="20"/>
                <w:szCs w:val="20"/>
              </w:rPr>
            </w:pPr>
            <w:r w:rsidRPr="00292F0A">
              <w:rPr>
                <w:rFonts w:ascii="Arial" w:eastAsia="Times New Roman" w:hAnsi="Arial" w:cs="Arial"/>
                <w:color w:val="000000"/>
                <w:sz w:val="20"/>
                <w:szCs w:val="20"/>
              </w:rPr>
              <w:t>CAISO Specific</w:t>
            </w: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150BD4" w:rsidRDefault="001D1C3E" w:rsidP="00F13AE8">
            <w:pPr>
              <w:spacing w:after="0" w:line="240" w:lineRule="auto"/>
              <w:rPr>
                <w:rFonts w:ascii="Arial" w:eastAsia="Times New Roman" w:hAnsi="Arial" w:cs="Arial"/>
                <w:color w:val="000000"/>
                <w:sz w:val="20"/>
                <w:szCs w:val="20"/>
              </w:rPr>
            </w:pPr>
            <w:r w:rsidRPr="00150BD4">
              <w:rPr>
                <w:rFonts w:ascii="Arial" w:eastAsia="Times New Roman" w:hAnsi="Arial" w:cs="Arial"/>
                <w:color w:val="000000"/>
                <w:sz w:val="20"/>
                <w:szCs w:val="20"/>
              </w:rPr>
              <w:t>LCA - LA Basin</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r w:rsidR="001D1C3E" w:rsidRPr="00017A29" w:rsidTr="00F13AE8">
        <w:trPr>
          <w:trHeight w:val="300"/>
          <w:jc w:val="center"/>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150BD4" w:rsidRDefault="001D1C3E" w:rsidP="00F13AE8">
            <w:pPr>
              <w:spacing w:after="0" w:line="240" w:lineRule="auto"/>
              <w:ind w:firstLineChars="100" w:firstLine="200"/>
              <w:rPr>
                <w:rFonts w:ascii="Arial" w:eastAsia="Times New Roman" w:hAnsi="Arial" w:cs="Arial"/>
                <w:color w:val="000000"/>
                <w:sz w:val="20"/>
                <w:szCs w:val="20"/>
              </w:rPr>
            </w:pPr>
            <w:r w:rsidRPr="00150BD4">
              <w:rPr>
                <w:rFonts w:ascii="Arial" w:eastAsia="Times New Roman" w:hAnsi="Arial" w:cs="Arial"/>
                <w:color w:val="000000"/>
                <w:sz w:val="20"/>
                <w:szCs w:val="20"/>
              </w:rPr>
              <w:t>Region - South Orange County</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r w:rsidR="001D1C3E" w:rsidRPr="00017A29" w:rsidTr="00F13AE8">
        <w:trPr>
          <w:trHeight w:val="300"/>
          <w:jc w:val="center"/>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150BD4" w:rsidRDefault="001D1C3E" w:rsidP="00F13AE8">
            <w:pPr>
              <w:spacing w:after="0" w:line="240" w:lineRule="auto"/>
              <w:ind w:firstLineChars="100" w:firstLine="200"/>
              <w:rPr>
                <w:rFonts w:ascii="Arial" w:eastAsia="Times New Roman" w:hAnsi="Arial" w:cs="Arial"/>
                <w:color w:val="000000"/>
                <w:sz w:val="20"/>
                <w:szCs w:val="20"/>
              </w:rPr>
            </w:pPr>
            <w:r w:rsidRPr="00150BD4">
              <w:rPr>
                <w:rFonts w:ascii="Arial" w:eastAsia="Times New Roman" w:hAnsi="Arial" w:cs="Arial"/>
                <w:color w:val="000000"/>
                <w:sz w:val="20"/>
                <w:szCs w:val="20"/>
              </w:rPr>
              <w:t>Region - South of Lugo</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r w:rsidR="001D1C3E" w:rsidRPr="00017A29" w:rsidTr="00F13AE8">
        <w:trPr>
          <w:trHeight w:val="300"/>
          <w:jc w:val="center"/>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rPr>
                <w:rFonts w:ascii="Arial" w:eastAsia="Times New Roman" w:hAnsi="Arial" w:cs="Arial"/>
                <w:color w:val="000000"/>
                <w:sz w:val="20"/>
                <w:szCs w:val="20"/>
              </w:rPr>
            </w:pPr>
            <w:r w:rsidRPr="00292F0A">
              <w:rPr>
                <w:rFonts w:ascii="Arial" w:eastAsia="Times New Roman" w:hAnsi="Arial" w:cs="Arial"/>
                <w:color w:val="000000"/>
                <w:sz w:val="20"/>
                <w:szCs w:val="20"/>
              </w:rPr>
              <w:t>LCA - Outside LA Basin</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017A29" w:rsidTr="00F13AE8">
        <w:trPr>
          <w:trHeight w:val="300"/>
          <w:jc w:val="center"/>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rPr>
                <w:rFonts w:ascii="Arial" w:eastAsia="Times New Roman" w:hAnsi="Arial" w:cs="Arial"/>
                <w:color w:val="000000"/>
                <w:sz w:val="20"/>
                <w:szCs w:val="20"/>
              </w:rPr>
            </w:pPr>
            <w:r w:rsidRPr="00292F0A">
              <w:rPr>
                <w:rFonts w:ascii="Arial" w:eastAsia="Times New Roman" w:hAnsi="Arial" w:cs="Arial"/>
                <w:color w:val="000000"/>
                <w:sz w:val="20"/>
                <w:szCs w:val="20"/>
              </w:rPr>
              <w:t>LCA – Ventura</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1"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1022"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9D1F52" w:rsidTr="00F13AE8">
        <w:trPr>
          <w:trHeight w:val="300"/>
          <w:jc w:val="center"/>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000000"/>
              <w:right w:val="single" w:sz="4" w:space="0" w:color="000000"/>
            </w:tcBorders>
            <w:shd w:val="clear" w:color="auto" w:fill="auto"/>
            <w:noWrap/>
            <w:vAlign w:val="center"/>
            <w:hideMark/>
          </w:tcPr>
          <w:p w:rsidR="001D1C3E" w:rsidRPr="00292F0A" w:rsidRDefault="001D1C3E" w:rsidP="00F13AE8">
            <w:pPr>
              <w:spacing w:after="0" w:line="240" w:lineRule="auto"/>
              <w:jc w:val="center"/>
              <w:rPr>
                <w:rFonts w:ascii="Arial" w:eastAsia="Times New Roman" w:hAnsi="Arial" w:cs="Arial"/>
                <w:b/>
                <w:bCs/>
                <w:color w:val="000000"/>
                <w:sz w:val="20"/>
                <w:szCs w:val="20"/>
              </w:rPr>
            </w:pPr>
            <w:r w:rsidRPr="00292F0A">
              <w:rPr>
                <w:rFonts w:ascii="Arial" w:eastAsia="Times New Roman" w:hAnsi="Arial" w:cs="Arial"/>
                <w:b/>
                <w:bCs/>
                <w:color w:val="000000"/>
                <w:sz w:val="20"/>
                <w:szCs w:val="20"/>
              </w:rPr>
              <w:t>Total</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1"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c>
          <w:tcPr>
            <w:tcW w:w="1022" w:type="dxa"/>
            <w:tcBorders>
              <w:top w:val="nil"/>
              <w:left w:val="nil"/>
              <w:bottom w:val="single" w:sz="4" w:space="0" w:color="000000"/>
              <w:right w:val="single" w:sz="4" w:space="0" w:color="000000"/>
            </w:tcBorders>
            <w:shd w:val="clear" w:color="auto" w:fill="auto"/>
            <w:noWrap/>
            <w:vAlign w:val="bottom"/>
          </w:tcPr>
          <w:p w:rsidR="001D1C3E" w:rsidRPr="009D1F52" w:rsidRDefault="001D1C3E" w:rsidP="00F13AE8">
            <w:pPr>
              <w:spacing w:after="0"/>
              <w:jc w:val="center"/>
              <w:rPr>
                <w:rFonts w:ascii="Arial" w:hAnsi="Arial" w:cs="Arial"/>
                <w:color w:val="000000"/>
                <w:sz w:val="20"/>
                <w:szCs w:val="20"/>
                <w:highlight w:val="black"/>
              </w:rPr>
            </w:pPr>
            <w:r w:rsidRPr="009D1F52">
              <w:rPr>
                <w:rFonts w:ascii="Arial" w:hAnsi="Arial" w:cs="Arial"/>
                <w:color w:val="000000"/>
                <w:sz w:val="20"/>
                <w:szCs w:val="20"/>
                <w:highlight w:val="black"/>
              </w:rPr>
              <w:t>XXXX</w:t>
            </w:r>
          </w:p>
        </w:tc>
      </w:tr>
    </w:tbl>
    <w:p w:rsidR="001D1C3E" w:rsidRDefault="001D1C3E" w:rsidP="001D1C3E">
      <w:pPr>
        <w:pStyle w:val="Caption"/>
        <w:spacing w:before="120" w:after="120"/>
        <w:rPr>
          <w:highlight w:val="yellow"/>
        </w:rPr>
      </w:pPr>
    </w:p>
    <w:p w:rsidR="00F1237C" w:rsidRDefault="00F1237C" w:rsidP="00F1237C">
      <w:pPr>
        <w:rPr>
          <w:rFonts w:ascii="Arial" w:hAnsi="Arial"/>
          <w:highlight w:val="yellow"/>
        </w:rPr>
      </w:pPr>
      <w:r>
        <w:rPr>
          <w:highlight w:val="yellow"/>
        </w:rPr>
        <w:br w:type="page"/>
      </w:r>
    </w:p>
    <w:bookmarkEnd w:id="94"/>
    <w:p w:rsidR="001D1C3E" w:rsidRPr="0023302A" w:rsidRDefault="001D1C3E" w:rsidP="001D1C3E">
      <w:pPr>
        <w:pStyle w:val="Caption"/>
        <w:spacing w:before="120" w:after="120"/>
      </w:pPr>
      <w:r w:rsidRPr="0023302A">
        <w:lastRenderedPageBreak/>
        <w:t xml:space="preserve">Table </w:t>
      </w:r>
      <w:fldSimple w:instr=" STYLEREF 1 \s ">
        <w:r>
          <w:rPr>
            <w:noProof/>
          </w:rPr>
          <w:t>6</w:t>
        </w:r>
      </w:fldSimple>
      <w:r>
        <w:noBreakHyphen/>
      </w:r>
      <w:fldSimple w:instr=" SEQ Table \* ARABIC \s 1 ">
        <w:r>
          <w:rPr>
            <w:noProof/>
          </w:rPr>
          <w:t>13</w:t>
        </w:r>
      </w:fldSimple>
      <w:r w:rsidRPr="0023302A">
        <w:t>: SCE September 1-in-2 Monthly System Peak Day Load Impacts (1</w:t>
      </w:r>
      <w:r>
        <w:t xml:space="preserve"> to </w:t>
      </w:r>
      <w:r w:rsidRPr="0023302A">
        <w:t xml:space="preserve">6 PM) </w:t>
      </w:r>
      <w:r>
        <w:br/>
      </w:r>
      <w:r w:rsidRPr="0023302A">
        <w:t>by LCA and Forecast Year – Base Scenario</w:t>
      </w:r>
    </w:p>
    <w:tbl>
      <w:tblPr>
        <w:tblW w:w="14844" w:type="dxa"/>
        <w:tblInd w:w="-933" w:type="dxa"/>
        <w:tblLayout w:type="fixed"/>
        <w:tblLook w:val="04A0" w:firstRow="1" w:lastRow="0" w:firstColumn="1" w:lastColumn="0" w:noHBand="0" w:noVBand="1"/>
      </w:tblPr>
      <w:tblGrid>
        <w:gridCol w:w="917"/>
        <w:gridCol w:w="3175"/>
        <w:gridCol w:w="977"/>
        <w:gridCol w:w="977"/>
        <w:gridCol w:w="978"/>
        <w:gridCol w:w="977"/>
        <w:gridCol w:w="978"/>
        <w:gridCol w:w="977"/>
        <w:gridCol w:w="978"/>
        <w:gridCol w:w="977"/>
        <w:gridCol w:w="978"/>
        <w:gridCol w:w="977"/>
        <w:gridCol w:w="978"/>
      </w:tblGrid>
      <w:tr w:rsidR="001D1C3E" w:rsidRPr="00B828B0" w:rsidTr="00F13AE8">
        <w:trPr>
          <w:trHeight w:val="510"/>
        </w:trPr>
        <w:tc>
          <w:tcPr>
            <w:tcW w:w="917" w:type="dxa"/>
            <w:tcBorders>
              <w:top w:val="single" w:sz="4" w:space="0" w:color="000000"/>
              <w:left w:val="single" w:sz="4" w:space="0" w:color="000000"/>
              <w:bottom w:val="nil"/>
              <w:right w:val="single" w:sz="4" w:space="0" w:color="FFFFFF" w:themeColor="background1"/>
            </w:tcBorders>
            <w:shd w:val="clear" w:color="000000" w:fill="0070CD"/>
            <w:vAlign w:val="center"/>
            <w:hideMark/>
          </w:tcPr>
          <w:p w:rsidR="001D1C3E" w:rsidRPr="00292F0A" w:rsidRDefault="001D1C3E" w:rsidP="00F13AE8">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Peak Type</w:t>
            </w:r>
          </w:p>
        </w:tc>
        <w:tc>
          <w:tcPr>
            <w:tcW w:w="3175" w:type="dxa"/>
            <w:tcBorders>
              <w:top w:val="single" w:sz="4" w:space="0" w:color="000000"/>
              <w:left w:val="single" w:sz="4" w:space="0" w:color="FFFFFF" w:themeColor="background1"/>
              <w:bottom w:val="nil"/>
              <w:right w:val="single" w:sz="4" w:space="0" w:color="FFFFFF"/>
            </w:tcBorders>
            <w:shd w:val="clear" w:color="000000" w:fill="0070CD"/>
            <w:vAlign w:val="center"/>
            <w:hideMark/>
          </w:tcPr>
          <w:p w:rsidR="001D1C3E" w:rsidRPr="00292F0A" w:rsidRDefault="001D1C3E" w:rsidP="00F13AE8">
            <w:pPr>
              <w:spacing w:after="0" w:line="240" w:lineRule="auto"/>
              <w:jc w:val="center"/>
              <w:rPr>
                <w:rFonts w:ascii="Arial" w:eastAsia="Times New Roman" w:hAnsi="Arial" w:cs="Arial"/>
                <w:b/>
                <w:bCs/>
                <w:color w:val="FFFFFF"/>
                <w:sz w:val="20"/>
                <w:szCs w:val="20"/>
              </w:rPr>
            </w:pPr>
            <w:r w:rsidRPr="00292F0A">
              <w:rPr>
                <w:rFonts w:ascii="Arial" w:eastAsia="Times New Roman" w:hAnsi="Arial" w:cs="Arial"/>
                <w:b/>
                <w:bCs/>
                <w:color w:val="FFFFFF"/>
                <w:sz w:val="20"/>
                <w:szCs w:val="20"/>
              </w:rPr>
              <w:t>LCA</w:t>
            </w:r>
          </w:p>
        </w:tc>
        <w:tc>
          <w:tcPr>
            <w:tcW w:w="977"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2018</w:t>
            </w:r>
          </w:p>
        </w:tc>
        <w:tc>
          <w:tcPr>
            <w:tcW w:w="977"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2019</w:t>
            </w:r>
          </w:p>
        </w:tc>
        <w:tc>
          <w:tcPr>
            <w:tcW w:w="978"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2020</w:t>
            </w:r>
          </w:p>
        </w:tc>
        <w:tc>
          <w:tcPr>
            <w:tcW w:w="977"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2021</w:t>
            </w:r>
          </w:p>
        </w:tc>
        <w:tc>
          <w:tcPr>
            <w:tcW w:w="978"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2022</w:t>
            </w:r>
          </w:p>
        </w:tc>
        <w:tc>
          <w:tcPr>
            <w:tcW w:w="977"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2023</w:t>
            </w:r>
          </w:p>
        </w:tc>
        <w:tc>
          <w:tcPr>
            <w:tcW w:w="978"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2024</w:t>
            </w:r>
          </w:p>
        </w:tc>
        <w:tc>
          <w:tcPr>
            <w:tcW w:w="977"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2025</w:t>
            </w:r>
          </w:p>
        </w:tc>
        <w:tc>
          <w:tcPr>
            <w:tcW w:w="978" w:type="dxa"/>
            <w:tcBorders>
              <w:top w:val="single" w:sz="4" w:space="0" w:color="000000"/>
              <w:left w:val="nil"/>
              <w:bottom w:val="single" w:sz="4" w:space="0" w:color="000000"/>
              <w:right w:val="single" w:sz="4" w:space="0" w:color="FFFFFF"/>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2026</w:t>
            </w:r>
          </w:p>
        </w:tc>
        <w:tc>
          <w:tcPr>
            <w:tcW w:w="977" w:type="dxa"/>
            <w:tcBorders>
              <w:top w:val="single" w:sz="4" w:space="0" w:color="000000"/>
              <w:left w:val="nil"/>
              <w:bottom w:val="single" w:sz="4" w:space="0" w:color="000000"/>
              <w:right w:val="single" w:sz="4" w:space="0" w:color="FFFFFF" w:themeColor="background1"/>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2027</w:t>
            </w:r>
          </w:p>
        </w:tc>
        <w:tc>
          <w:tcPr>
            <w:tcW w:w="978" w:type="dxa"/>
            <w:tcBorders>
              <w:top w:val="single" w:sz="4" w:space="0" w:color="000000"/>
              <w:left w:val="single" w:sz="4" w:space="0" w:color="FFFFFF" w:themeColor="background1"/>
              <w:bottom w:val="single" w:sz="4" w:space="0" w:color="000000"/>
              <w:right w:val="single" w:sz="4" w:space="0" w:color="000000"/>
            </w:tcBorders>
            <w:shd w:val="clear" w:color="000000" w:fill="0070CD"/>
            <w:vAlign w:val="center"/>
            <w:hideMark/>
          </w:tcPr>
          <w:p w:rsidR="001D1C3E" w:rsidRPr="00E44362" w:rsidRDefault="001D1C3E" w:rsidP="00F13AE8">
            <w:pPr>
              <w:spacing w:after="0" w:line="240" w:lineRule="auto"/>
              <w:jc w:val="center"/>
              <w:rPr>
                <w:rFonts w:ascii="Arial" w:eastAsia="Times New Roman" w:hAnsi="Arial" w:cs="Arial"/>
                <w:b/>
                <w:bCs/>
                <w:color w:val="FFFFFF" w:themeColor="background1"/>
                <w:sz w:val="20"/>
                <w:szCs w:val="20"/>
              </w:rPr>
            </w:pPr>
            <w:r w:rsidRPr="00E44362">
              <w:rPr>
                <w:rFonts w:ascii="Arial" w:hAnsi="Arial" w:cs="Arial"/>
                <w:b/>
                <w:color w:val="FFFFFF" w:themeColor="background1"/>
                <w:sz w:val="20"/>
                <w:szCs w:val="20"/>
              </w:rPr>
              <w:t>2028</w:t>
            </w:r>
          </w:p>
        </w:tc>
      </w:tr>
      <w:tr w:rsidR="001D1C3E" w:rsidRPr="00B828B0" w:rsidTr="00F13AE8">
        <w:trPr>
          <w:trHeight w:val="300"/>
        </w:trPr>
        <w:tc>
          <w:tcPr>
            <w:tcW w:w="917" w:type="dxa"/>
            <w:vMerge w:val="restart"/>
            <w:tcBorders>
              <w:top w:val="single" w:sz="4" w:space="0" w:color="auto"/>
              <w:left w:val="single" w:sz="4" w:space="0" w:color="auto"/>
              <w:bottom w:val="nil"/>
              <w:right w:val="nil"/>
            </w:tcBorders>
            <w:shd w:val="clear" w:color="auto" w:fill="auto"/>
            <w:vAlign w:val="center"/>
            <w:hideMark/>
          </w:tcPr>
          <w:p w:rsidR="001D1C3E" w:rsidRPr="00292F0A" w:rsidRDefault="001D1C3E" w:rsidP="00F13AE8">
            <w:pPr>
              <w:spacing w:after="0" w:line="240" w:lineRule="auto"/>
              <w:jc w:val="center"/>
              <w:rPr>
                <w:rFonts w:ascii="Arial" w:eastAsia="Times New Roman" w:hAnsi="Arial" w:cs="Arial"/>
                <w:color w:val="000000"/>
                <w:sz w:val="20"/>
                <w:szCs w:val="20"/>
              </w:rPr>
            </w:pPr>
            <w:r w:rsidRPr="00292F0A">
              <w:rPr>
                <w:rFonts w:ascii="Arial" w:eastAsia="Times New Roman" w:hAnsi="Arial" w:cs="Arial"/>
                <w:color w:val="000000"/>
                <w:sz w:val="20"/>
                <w:szCs w:val="20"/>
              </w:rPr>
              <w:t>Utility Specific</w:t>
            </w:r>
          </w:p>
        </w:tc>
        <w:tc>
          <w:tcPr>
            <w:tcW w:w="31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rPr>
                <w:rFonts w:ascii="Arial" w:eastAsia="Times New Roman" w:hAnsi="Arial" w:cs="Arial"/>
                <w:color w:val="000000"/>
                <w:sz w:val="20"/>
                <w:szCs w:val="20"/>
              </w:rPr>
            </w:pPr>
            <w:r w:rsidRPr="00292F0A">
              <w:rPr>
                <w:rFonts w:ascii="Arial" w:eastAsia="Times New Roman" w:hAnsi="Arial" w:cs="Arial"/>
                <w:color w:val="000000"/>
                <w:sz w:val="20"/>
                <w:szCs w:val="20"/>
              </w:rPr>
              <w:t>LCA - LA Basin</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B828B0" w:rsidTr="00F13AE8">
        <w:trPr>
          <w:trHeight w:val="300"/>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CD32A6" w:rsidRDefault="001D1C3E" w:rsidP="00F13AE8">
            <w:pPr>
              <w:spacing w:after="0" w:line="240" w:lineRule="auto"/>
              <w:ind w:firstLineChars="100" w:firstLine="200"/>
              <w:rPr>
                <w:rFonts w:ascii="Arial" w:eastAsia="Times New Roman" w:hAnsi="Arial" w:cs="Arial"/>
                <w:color w:val="000000"/>
                <w:sz w:val="20"/>
                <w:szCs w:val="20"/>
              </w:rPr>
            </w:pPr>
            <w:r w:rsidRPr="00CD32A6">
              <w:rPr>
                <w:rFonts w:ascii="Arial" w:eastAsia="Times New Roman" w:hAnsi="Arial" w:cs="Arial"/>
                <w:color w:val="000000"/>
                <w:sz w:val="20"/>
                <w:szCs w:val="20"/>
              </w:rPr>
              <w:t>Region - South Orange County</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B828B0" w:rsidTr="00F13AE8">
        <w:trPr>
          <w:trHeight w:val="300"/>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CD32A6" w:rsidRDefault="001D1C3E" w:rsidP="00F13AE8">
            <w:pPr>
              <w:spacing w:after="0" w:line="240" w:lineRule="auto"/>
              <w:ind w:firstLineChars="100" w:firstLine="200"/>
              <w:rPr>
                <w:rFonts w:ascii="Arial" w:eastAsia="Times New Roman" w:hAnsi="Arial" w:cs="Arial"/>
                <w:color w:val="000000"/>
                <w:sz w:val="20"/>
                <w:szCs w:val="20"/>
              </w:rPr>
            </w:pPr>
            <w:r w:rsidRPr="00CD32A6">
              <w:rPr>
                <w:rFonts w:ascii="Arial" w:eastAsia="Times New Roman" w:hAnsi="Arial" w:cs="Arial"/>
                <w:color w:val="000000"/>
                <w:sz w:val="20"/>
                <w:szCs w:val="20"/>
              </w:rPr>
              <w:t>Region - South of Lugo</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B828B0" w:rsidTr="00F13AE8">
        <w:trPr>
          <w:trHeight w:val="300"/>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CD32A6" w:rsidRDefault="001D1C3E" w:rsidP="00F13AE8">
            <w:pPr>
              <w:spacing w:after="0" w:line="240" w:lineRule="auto"/>
              <w:rPr>
                <w:rFonts w:ascii="Arial" w:eastAsia="Times New Roman" w:hAnsi="Arial" w:cs="Arial"/>
                <w:color w:val="000000"/>
                <w:sz w:val="20"/>
                <w:szCs w:val="20"/>
              </w:rPr>
            </w:pPr>
            <w:r w:rsidRPr="00CD32A6">
              <w:rPr>
                <w:rFonts w:ascii="Arial" w:eastAsia="Times New Roman" w:hAnsi="Arial" w:cs="Arial"/>
                <w:color w:val="000000"/>
                <w:sz w:val="20"/>
                <w:szCs w:val="20"/>
              </w:rPr>
              <w:t>LCA - Outside LA Basin</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B828B0" w:rsidTr="00F13AE8">
        <w:trPr>
          <w:trHeight w:val="300"/>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auto"/>
              <w:bottom w:val="single" w:sz="4" w:space="0" w:color="auto"/>
              <w:right w:val="single" w:sz="4" w:space="0" w:color="auto"/>
            </w:tcBorders>
            <w:shd w:val="clear" w:color="auto" w:fill="auto"/>
            <w:noWrap/>
            <w:vAlign w:val="bottom"/>
            <w:hideMark/>
          </w:tcPr>
          <w:p w:rsidR="001D1C3E" w:rsidRPr="00CD32A6" w:rsidRDefault="001D1C3E" w:rsidP="00F13AE8">
            <w:pPr>
              <w:spacing w:after="0" w:line="240" w:lineRule="auto"/>
              <w:rPr>
                <w:rFonts w:ascii="Arial" w:eastAsia="Times New Roman" w:hAnsi="Arial" w:cs="Arial"/>
                <w:color w:val="000000"/>
                <w:sz w:val="20"/>
                <w:szCs w:val="20"/>
              </w:rPr>
            </w:pPr>
            <w:r w:rsidRPr="00CD32A6">
              <w:rPr>
                <w:rFonts w:ascii="Arial" w:eastAsia="Times New Roman" w:hAnsi="Arial" w:cs="Arial"/>
                <w:color w:val="000000"/>
                <w:sz w:val="20"/>
                <w:szCs w:val="20"/>
              </w:rPr>
              <w:t>LCA – Ventura</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B828B0" w:rsidTr="00F13AE8">
        <w:trPr>
          <w:trHeight w:val="300"/>
        </w:trPr>
        <w:tc>
          <w:tcPr>
            <w:tcW w:w="917" w:type="dxa"/>
            <w:vMerge/>
            <w:tcBorders>
              <w:top w:val="single" w:sz="4" w:space="0" w:color="auto"/>
              <w:left w:val="single" w:sz="4" w:space="0" w:color="auto"/>
              <w:bottom w:val="nil"/>
              <w:right w:val="nil"/>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single" w:sz="4" w:space="0" w:color="000000"/>
              <w:bottom w:val="single" w:sz="4" w:space="0" w:color="000000"/>
              <w:right w:val="single" w:sz="4" w:space="0" w:color="000000"/>
            </w:tcBorders>
            <w:shd w:val="clear" w:color="auto" w:fill="auto"/>
            <w:noWrap/>
            <w:vAlign w:val="center"/>
            <w:hideMark/>
          </w:tcPr>
          <w:p w:rsidR="001D1C3E" w:rsidRPr="00CD32A6" w:rsidRDefault="001D1C3E" w:rsidP="00F13AE8">
            <w:pPr>
              <w:spacing w:after="0" w:line="240" w:lineRule="auto"/>
              <w:jc w:val="center"/>
              <w:rPr>
                <w:rFonts w:ascii="Arial" w:eastAsia="Times New Roman" w:hAnsi="Arial" w:cs="Arial"/>
                <w:b/>
                <w:bCs/>
                <w:color w:val="000000"/>
                <w:sz w:val="20"/>
                <w:szCs w:val="20"/>
              </w:rPr>
            </w:pPr>
            <w:r w:rsidRPr="00CD32A6">
              <w:rPr>
                <w:rFonts w:ascii="Arial" w:eastAsia="Times New Roman" w:hAnsi="Arial" w:cs="Arial"/>
                <w:b/>
                <w:bCs/>
                <w:color w:val="000000"/>
                <w:sz w:val="20"/>
                <w:szCs w:val="20"/>
              </w:rPr>
              <w:t>Total</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B828B0" w:rsidTr="00F13AE8">
        <w:trPr>
          <w:trHeight w:val="300"/>
        </w:trPr>
        <w:tc>
          <w:tcPr>
            <w:tcW w:w="9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D1C3E" w:rsidRPr="00292F0A" w:rsidRDefault="001D1C3E" w:rsidP="00F13AE8">
            <w:pPr>
              <w:spacing w:after="0" w:line="240" w:lineRule="auto"/>
              <w:jc w:val="center"/>
              <w:rPr>
                <w:rFonts w:ascii="Arial" w:eastAsia="Times New Roman" w:hAnsi="Arial" w:cs="Arial"/>
                <w:color w:val="000000"/>
                <w:sz w:val="20"/>
                <w:szCs w:val="20"/>
              </w:rPr>
            </w:pPr>
            <w:r w:rsidRPr="00292F0A">
              <w:rPr>
                <w:rFonts w:ascii="Arial" w:eastAsia="Times New Roman" w:hAnsi="Arial" w:cs="Arial"/>
                <w:color w:val="000000"/>
                <w:sz w:val="20"/>
                <w:szCs w:val="20"/>
              </w:rPr>
              <w:t>CAISO Specific</w:t>
            </w: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CD32A6" w:rsidRDefault="001D1C3E" w:rsidP="00F13AE8">
            <w:pPr>
              <w:spacing w:after="0" w:line="240" w:lineRule="auto"/>
              <w:rPr>
                <w:rFonts w:ascii="Arial" w:eastAsia="Times New Roman" w:hAnsi="Arial" w:cs="Arial"/>
                <w:color w:val="000000"/>
                <w:sz w:val="20"/>
                <w:szCs w:val="20"/>
              </w:rPr>
            </w:pPr>
            <w:r w:rsidRPr="00CD32A6">
              <w:rPr>
                <w:rFonts w:ascii="Arial" w:eastAsia="Times New Roman" w:hAnsi="Arial" w:cs="Arial"/>
                <w:color w:val="000000"/>
                <w:sz w:val="20"/>
                <w:szCs w:val="20"/>
              </w:rPr>
              <w:t>LCA - LA Basin</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B828B0" w:rsidTr="00F13AE8">
        <w:trPr>
          <w:trHeight w:val="300"/>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CD32A6" w:rsidRDefault="001D1C3E" w:rsidP="00F13AE8">
            <w:pPr>
              <w:spacing w:after="0" w:line="240" w:lineRule="auto"/>
              <w:ind w:firstLineChars="100" w:firstLine="200"/>
              <w:rPr>
                <w:rFonts w:ascii="Arial" w:eastAsia="Times New Roman" w:hAnsi="Arial" w:cs="Arial"/>
                <w:color w:val="000000"/>
                <w:sz w:val="20"/>
                <w:szCs w:val="20"/>
              </w:rPr>
            </w:pPr>
            <w:r w:rsidRPr="00CD32A6">
              <w:rPr>
                <w:rFonts w:ascii="Arial" w:eastAsia="Times New Roman" w:hAnsi="Arial" w:cs="Arial"/>
                <w:color w:val="000000"/>
                <w:sz w:val="20"/>
                <w:szCs w:val="20"/>
              </w:rPr>
              <w:t>Region - South Orange County</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B828B0" w:rsidTr="00F13AE8">
        <w:trPr>
          <w:trHeight w:val="300"/>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CD32A6" w:rsidRDefault="001D1C3E" w:rsidP="00F13AE8">
            <w:pPr>
              <w:spacing w:after="0" w:line="240" w:lineRule="auto"/>
              <w:ind w:firstLineChars="100" w:firstLine="200"/>
              <w:rPr>
                <w:rFonts w:ascii="Arial" w:eastAsia="Times New Roman" w:hAnsi="Arial" w:cs="Arial"/>
                <w:color w:val="000000"/>
                <w:sz w:val="20"/>
                <w:szCs w:val="20"/>
              </w:rPr>
            </w:pPr>
            <w:r w:rsidRPr="00CD32A6">
              <w:rPr>
                <w:rFonts w:ascii="Arial" w:eastAsia="Times New Roman" w:hAnsi="Arial" w:cs="Arial"/>
                <w:color w:val="000000"/>
                <w:sz w:val="20"/>
                <w:szCs w:val="20"/>
              </w:rPr>
              <w:t>Region - South of Lugo</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B828B0" w:rsidTr="00F13AE8">
        <w:trPr>
          <w:trHeight w:val="300"/>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rPr>
                <w:rFonts w:ascii="Arial" w:eastAsia="Times New Roman" w:hAnsi="Arial" w:cs="Arial"/>
                <w:color w:val="000000"/>
                <w:sz w:val="20"/>
                <w:szCs w:val="20"/>
              </w:rPr>
            </w:pPr>
            <w:r w:rsidRPr="00292F0A">
              <w:rPr>
                <w:rFonts w:ascii="Arial" w:eastAsia="Times New Roman" w:hAnsi="Arial" w:cs="Arial"/>
                <w:color w:val="000000"/>
                <w:sz w:val="20"/>
                <w:szCs w:val="20"/>
              </w:rPr>
              <w:t>LCA - Outside LA Basin</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B828B0" w:rsidTr="00F13AE8">
        <w:trPr>
          <w:trHeight w:val="300"/>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auto"/>
              <w:right w:val="single" w:sz="4" w:space="0" w:color="auto"/>
            </w:tcBorders>
            <w:shd w:val="clear" w:color="auto" w:fill="auto"/>
            <w:noWrap/>
            <w:vAlign w:val="bottom"/>
            <w:hideMark/>
          </w:tcPr>
          <w:p w:rsidR="001D1C3E" w:rsidRPr="00292F0A" w:rsidRDefault="001D1C3E" w:rsidP="00F13AE8">
            <w:pPr>
              <w:spacing w:after="0" w:line="240" w:lineRule="auto"/>
              <w:rPr>
                <w:rFonts w:ascii="Arial" w:eastAsia="Times New Roman" w:hAnsi="Arial" w:cs="Arial"/>
                <w:color w:val="000000"/>
                <w:sz w:val="20"/>
                <w:szCs w:val="20"/>
              </w:rPr>
            </w:pPr>
            <w:r w:rsidRPr="00292F0A">
              <w:rPr>
                <w:rFonts w:ascii="Arial" w:eastAsia="Times New Roman" w:hAnsi="Arial" w:cs="Arial"/>
                <w:color w:val="000000"/>
                <w:sz w:val="20"/>
                <w:szCs w:val="20"/>
              </w:rPr>
              <w:t>LCA – Ventura</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7"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c>
          <w:tcPr>
            <w:tcW w:w="978" w:type="dxa"/>
            <w:tcBorders>
              <w:top w:val="nil"/>
              <w:left w:val="nil"/>
              <w:bottom w:val="single" w:sz="4" w:space="0" w:color="000000"/>
              <w:right w:val="single" w:sz="4" w:space="0" w:color="000000"/>
            </w:tcBorders>
            <w:shd w:val="clear" w:color="auto" w:fill="auto"/>
            <w:noWrap/>
            <w:vAlign w:val="center"/>
          </w:tcPr>
          <w:p w:rsidR="001D1C3E" w:rsidRPr="005E735C" w:rsidRDefault="001D1C3E" w:rsidP="00F13AE8">
            <w:pPr>
              <w:keepNext/>
              <w:spacing w:after="0" w:line="240" w:lineRule="auto"/>
              <w:jc w:val="center"/>
              <w:rPr>
                <w:rFonts w:ascii="Arial" w:hAnsi="Arial" w:cs="Arial"/>
                <w:color w:val="000000"/>
                <w:sz w:val="20"/>
                <w:szCs w:val="20"/>
              </w:rPr>
            </w:pPr>
            <w:r w:rsidRPr="005E735C">
              <w:rPr>
                <w:rFonts w:ascii="Arial" w:hAnsi="Arial" w:cs="Arial"/>
                <w:color w:val="000000"/>
                <w:sz w:val="20"/>
                <w:szCs w:val="20"/>
              </w:rPr>
              <w:t>0</w:t>
            </w:r>
          </w:p>
        </w:tc>
      </w:tr>
      <w:tr w:rsidR="001D1C3E" w:rsidRPr="00017A29" w:rsidTr="00F13AE8">
        <w:trPr>
          <w:trHeight w:val="300"/>
        </w:trPr>
        <w:tc>
          <w:tcPr>
            <w:tcW w:w="917" w:type="dxa"/>
            <w:vMerge/>
            <w:tcBorders>
              <w:top w:val="single" w:sz="4" w:space="0" w:color="auto"/>
              <w:left w:val="single" w:sz="4" w:space="0" w:color="auto"/>
              <w:bottom w:val="single" w:sz="4" w:space="0" w:color="auto"/>
              <w:right w:val="single" w:sz="4" w:space="0" w:color="auto"/>
            </w:tcBorders>
            <w:vAlign w:val="center"/>
            <w:hideMark/>
          </w:tcPr>
          <w:p w:rsidR="001D1C3E" w:rsidRPr="00292F0A" w:rsidRDefault="001D1C3E" w:rsidP="00F13AE8">
            <w:pPr>
              <w:spacing w:after="0" w:line="240" w:lineRule="auto"/>
              <w:rPr>
                <w:rFonts w:ascii="Arial" w:eastAsia="Times New Roman" w:hAnsi="Arial" w:cs="Arial"/>
                <w:color w:val="000000"/>
                <w:sz w:val="20"/>
                <w:szCs w:val="20"/>
              </w:rPr>
            </w:pPr>
          </w:p>
        </w:tc>
        <w:tc>
          <w:tcPr>
            <w:tcW w:w="3175" w:type="dxa"/>
            <w:tcBorders>
              <w:top w:val="nil"/>
              <w:left w:val="nil"/>
              <w:bottom w:val="single" w:sz="4" w:space="0" w:color="000000"/>
              <w:right w:val="single" w:sz="4" w:space="0" w:color="000000"/>
            </w:tcBorders>
            <w:shd w:val="clear" w:color="auto" w:fill="auto"/>
            <w:noWrap/>
            <w:vAlign w:val="center"/>
            <w:hideMark/>
          </w:tcPr>
          <w:p w:rsidR="001D1C3E" w:rsidRPr="00292F0A" w:rsidRDefault="001D1C3E" w:rsidP="00F13AE8">
            <w:pPr>
              <w:spacing w:after="0" w:line="240" w:lineRule="auto"/>
              <w:jc w:val="center"/>
              <w:rPr>
                <w:rFonts w:ascii="Arial" w:eastAsia="Times New Roman" w:hAnsi="Arial" w:cs="Arial"/>
                <w:b/>
                <w:bCs/>
                <w:color w:val="000000"/>
                <w:sz w:val="20"/>
                <w:szCs w:val="20"/>
              </w:rPr>
            </w:pPr>
            <w:r w:rsidRPr="00292F0A">
              <w:rPr>
                <w:rFonts w:ascii="Arial" w:eastAsia="Times New Roman" w:hAnsi="Arial" w:cs="Arial"/>
                <w:b/>
                <w:bCs/>
                <w:color w:val="000000"/>
                <w:sz w:val="20"/>
                <w:szCs w:val="20"/>
              </w:rPr>
              <w:t>Total</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7"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78" w:type="dxa"/>
            <w:tcBorders>
              <w:top w:val="nil"/>
              <w:left w:val="nil"/>
              <w:bottom w:val="single" w:sz="4" w:space="0" w:color="000000"/>
              <w:right w:val="single" w:sz="4" w:space="0" w:color="000000"/>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bl>
    <w:p w:rsidR="00F2076C" w:rsidRDefault="00F2076C" w:rsidP="00F1237C">
      <w:pPr>
        <w:pStyle w:val="BodyParagraph"/>
        <w:rPr>
          <w:highlight w:val="yellow"/>
        </w:rPr>
        <w:sectPr w:rsidR="00F2076C" w:rsidSect="00F2076C">
          <w:footerReference w:type="default" r:id="rId62"/>
          <w:pgSz w:w="15840" w:h="12240" w:orient="landscape"/>
          <w:pgMar w:top="1440" w:right="1440" w:bottom="1440" w:left="1440" w:header="720" w:footer="720" w:gutter="0"/>
          <w:cols w:space="720"/>
          <w:docGrid w:linePitch="360"/>
        </w:sectPr>
      </w:pPr>
    </w:p>
    <w:p w:rsidR="00F1237C" w:rsidRPr="00DE4FB2" w:rsidRDefault="00AE0D77" w:rsidP="00E44362">
      <w:pPr>
        <w:pStyle w:val="Heading3"/>
      </w:pPr>
      <w:bookmarkStart w:id="95" w:name="_Toc507085065"/>
      <w:r w:rsidRPr="00DE4FB2">
        <w:lastRenderedPageBreak/>
        <w:t>Relationship between Ex Post and Ex Ante Estimates</w:t>
      </w:r>
      <w:bookmarkEnd w:id="95"/>
    </w:p>
    <w:p w:rsidR="00C8641C" w:rsidRDefault="001F391A" w:rsidP="00C8641C">
      <w:pPr>
        <w:pStyle w:val="BodyParagraph"/>
      </w:pPr>
      <w:r>
        <w:fldChar w:fldCharType="begin"/>
      </w:r>
      <w:r>
        <w:instrText xml:space="preserve"> REF _Ref506900462 \h </w:instrText>
      </w:r>
      <w:r>
        <w:fldChar w:fldCharType="separate"/>
      </w:r>
      <w:r>
        <w:t xml:space="preserve">Table </w:t>
      </w:r>
      <w:r>
        <w:rPr>
          <w:noProof/>
        </w:rPr>
        <w:t>6</w:t>
      </w:r>
      <w:r>
        <w:noBreakHyphen/>
      </w:r>
      <w:r>
        <w:rPr>
          <w:noProof/>
        </w:rPr>
        <w:t>14</w:t>
      </w:r>
      <w:r>
        <w:fldChar w:fldCharType="end"/>
      </w:r>
      <w:r w:rsidR="00C8641C">
        <w:t xml:space="preserve"> compares the </w:t>
      </w:r>
      <w:r w:rsidR="00C8641C" w:rsidRPr="001D279F">
        <w:t>current ex post results</w:t>
      </w:r>
      <w:r w:rsidR="00C8641C">
        <w:t xml:space="preserve"> from the 2017 program year evaluation with </w:t>
      </w:r>
      <w:r w:rsidR="00C8641C" w:rsidRPr="001D279F">
        <w:t>last</w:t>
      </w:r>
      <w:r w:rsidR="00C8641C">
        <w:t> </w:t>
      </w:r>
      <w:r w:rsidR="00C8641C" w:rsidRPr="001D279F">
        <w:t xml:space="preserve">year’s </w:t>
      </w:r>
      <w:r w:rsidR="00C8641C">
        <w:t xml:space="preserve">2016 program year ex ante </w:t>
      </w:r>
      <w:r w:rsidR="00C8641C" w:rsidRPr="001D279F">
        <w:t>forecast</w:t>
      </w:r>
      <w:r w:rsidR="00C8641C">
        <w:t xml:space="preserve"> for 2017. This comparison shows how similar or different the forecast was from what actually took place. The forecast for 2017</w:t>
      </w:r>
      <w:r w:rsidR="00A84E60">
        <w:t xml:space="preserve"> expected three additional projects to come online, however only two additional projects were added to the program.</w:t>
      </w:r>
      <w:r w:rsidR="00C8641C">
        <w:t xml:space="preserve"> </w:t>
      </w:r>
      <w:r w:rsidR="00A84E60">
        <w:t xml:space="preserve">Most of the differences observed between the 2017 forecast and the 2017 ex post evaluation are due to the differences in evaluation methodology. For the ex post evaluation, Nexant evaluated load impacts based on premise-level data. The ex ante estimates on the other hand, were based off of a combination of premise-level data and building simulations for identified projects, which are discussed further below.  </w:t>
      </w:r>
    </w:p>
    <w:p w:rsidR="001D1C3E" w:rsidRDefault="001D1C3E" w:rsidP="001D1C3E">
      <w:pPr>
        <w:pStyle w:val="Caption"/>
      </w:pPr>
      <w:bookmarkStart w:id="96" w:name="_Ref506900462"/>
      <w:r>
        <w:t xml:space="preserve">Table </w:t>
      </w:r>
      <w:fldSimple w:instr=" STYLEREF 1 \s ">
        <w:r>
          <w:rPr>
            <w:noProof/>
          </w:rPr>
          <w:t>6</w:t>
        </w:r>
      </w:fldSimple>
      <w:r>
        <w:noBreakHyphen/>
      </w:r>
      <w:fldSimple w:instr=" SEQ Table \* ARABIC \s 1 ">
        <w:r>
          <w:rPr>
            <w:noProof/>
          </w:rPr>
          <w:t>14</w:t>
        </w:r>
      </w:fldSimple>
      <w:bookmarkEnd w:id="96"/>
      <w:r w:rsidRPr="00753468">
        <w:t xml:space="preserve">: Comparison of </w:t>
      </w:r>
      <w:r>
        <w:t xml:space="preserve">2017 Ex Post to </w:t>
      </w:r>
      <w:r w:rsidRPr="00753468">
        <w:t xml:space="preserve">Prior Year Ex Ante Estimates </w:t>
      </w:r>
      <w:r>
        <w:br/>
        <w:t>(July Average Weekday – Utility Specific)</w:t>
      </w:r>
    </w:p>
    <w:tbl>
      <w:tblPr>
        <w:tblStyle w:val="TableGrid"/>
        <w:tblW w:w="0" w:type="auto"/>
        <w:tblInd w:w="-162" w:type="dxa"/>
        <w:tblLook w:val="04A0" w:firstRow="1" w:lastRow="0" w:firstColumn="1" w:lastColumn="0" w:noHBand="0" w:noVBand="1"/>
      </w:tblPr>
      <w:tblGrid>
        <w:gridCol w:w="2356"/>
        <w:gridCol w:w="1842"/>
        <w:gridCol w:w="1846"/>
        <w:gridCol w:w="1846"/>
        <w:gridCol w:w="1848"/>
      </w:tblGrid>
      <w:tr w:rsidR="001D1C3E" w:rsidTr="00F13AE8">
        <w:tc>
          <w:tcPr>
            <w:tcW w:w="2356" w:type="dxa"/>
            <w:tcBorders>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Analysis</w:t>
            </w:r>
          </w:p>
        </w:tc>
        <w:tc>
          <w:tcPr>
            <w:tcW w:w="1842" w:type="dxa"/>
            <w:tcBorders>
              <w:left w:val="single" w:sz="4" w:space="0" w:color="FFFFFF" w:themeColor="background1"/>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Accounts</w:t>
            </w:r>
          </w:p>
        </w:tc>
        <w:tc>
          <w:tcPr>
            <w:tcW w:w="1846" w:type="dxa"/>
            <w:tcBorders>
              <w:left w:val="single" w:sz="4" w:space="0" w:color="FFFFFF" w:themeColor="background1"/>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Reference Loads (MW)</w:t>
            </w:r>
          </w:p>
        </w:tc>
        <w:tc>
          <w:tcPr>
            <w:tcW w:w="1846" w:type="dxa"/>
            <w:tcBorders>
              <w:left w:val="single" w:sz="4" w:space="0" w:color="FFFFFF" w:themeColor="background1"/>
              <w:righ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074037">
              <w:rPr>
                <w:rFonts w:ascii="Arial" w:eastAsia="Times New Roman" w:hAnsi="Arial" w:cs="Arial"/>
                <w:b/>
                <w:bCs/>
                <w:color w:val="FFFFFF"/>
                <w:sz w:val="20"/>
                <w:szCs w:val="20"/>
              </w:rPr>
              <w:t>Percent Reductions</w:t>
            </w:r>
          </w:p>
        </w:tc>
        <w:tc>
          <w:tcPr>
            <w:tcW w:w="1848" w:type="dxa"/>
            <w:tcBorders>
              <w:left w:val="single" w:sz="4" w:space="0" w:color="FFFFFF" w:themeColor="background1"/>
            </w:tcBorders>
            <w:shd w:val="clear" w:color="auto" w:fill="0070CD" w:themeFill="text2"/>
            <w:vAlign w:val="center"/>
          </w:tcPr>
          <w:p w:rsidR="001D1C3E" w:rsidRPr="00CC0B13" w:rsidRDefault="001D1C3E" w:rsidP="00F13AE8">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Aggregate Impacts (MW)</w:t>
            </w:r>
          </w:p>
        </w:tc>
      </w:tr>
      <w:tr w:rsidR="001D1C3E" w:rsidTr="00F13AE8">
        <w:trPr>
          <w:trHeight w:val="377"/>
        </w:trPr>
        <w:tc>
          <w:tcPr>
            <w:tcW w:w="2356" w:type="dxa"/>
            <w:vAlign w:val="center"/>
          </w:tcPr>
          <w:p w:rsidR="001D1C3E" w:rsidRPr="00CC0B13" w:rsidRDefault="001D1C3E" w:rsidP="00F13AE8">
            <w:pPr>
              <w:pStyle w:val="Bullets"/>
              <w:numPr>
                <w:ilvl w:val="0"/>
                <w:numId w:val="0"/>
              </w:numPr>
            </w:pPr>
            <w:r w:rsidRPr="00CC0B13">
              <w:t>201</w:t>
            </w:r>
            <w:r>
              <w:t>7</w:t>
            </w:r>
            <w:r w:rsidRPr="00CC0B13">
              <w:t xml:space="preserve"> Ex Post</w:t>
            </w:r>
          </w:p>
        </w:tc>
        <w:tc>
          <w:tcPr>
            <w:tcW w:w="1842" w:type="dxa"/>
            <w:vAlign w:val="center"/>
          </w:tcPr>
          <w:p w:rsidR="001D1C3E" w:rsidRPr="00CC0B13" w:rsidRDefault="001D1C3E" w:rsidP="00F13AE8">
            <w:pPr>
              <w:jc w:val="center"/>
              <w:rPr>
                <w:rFonts w:ascii="Arial" w:eastAsia="Times New Roman" w:hAnsi="Arial" w:cs="Arial"/>
                <w:color w:val="000000"/>
                <w:sz w:val="20"/>
                <w:szCs w:val="20"/>
              </w:rPr>
            </w:pPr>
            <w:r>
              <w:rPr>
                <w:rFonts w:ascii="Arial" w:eastAsia="Times New Roman" w:hAnsi="Arial" w:cs="Arial"/>
                <w:color w:val="000000"/>
                <w:sz w:val="20"/>
                <w:szCs w:val="20"/>
              </w:rPr>
              <w:t>3</w:t>
            </w:r>
          </w:p>
        </w:tc>
        <w:tc>
          <w:tcPr>
            <w:tcW w:w="1846"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846"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848"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Tr="00F13AE8">
        <w:trPr>
          <w:trHeight w:val="377"/>
        </w:trPr>
        <w:tc>
          <w:tcPr>
            <w:tcW w:w="2356" w:type="dxa"/>
            <w:vAlign w:val="center"/>
          </w:tcPr>
          <w:p w:rsidR="001D1C3E" w:rsidRPr="00CC0B13" w:rsidRDefault="001D1C3E" w:rsidP="00F13AE8">
            <w:pPr>
              <w:pStyle w:val="Bullets"/>
              <w:numPr>
                <w:ilvl w:val="0"/>
                <w:numId w:val="0"/>
              </w:numPr>
            </w:pPr>
            <w:r w:rsidRPr="00CC0B13">
              <w:t>201</w:t>
            </w:r>
            <w:r>
              <w:t>7</w:t>
            </w:r>
            <w:r w:rsidRPr="00CC0B13">
              <w:t xml:space="preserve"> Ex Ante 1-in-2</w:t>
            </w:r>
          </w:p>
        </w:tc>
        <w:tc>
          <w:tcPr>
            <w:tcW w:w="1842" w:type="dxa"/>
            <w:vAlign w:val="center"/>
          </w:tcPr>
          <w:p w:rsidR="001D1C3E" w:rsidRPr="00CC0B13" w:rsidRDefault="001D1C3E" w:rsidP="00F13AE8">
            <w:pPr>
              <w:jc w:val="center"/>
              <w:rPr>
                <w:rFonts w:ascii="Arial" w:eastAsia="Times New Roman" w:hAnsi="Arial" w:cs="Arial"/>
                <w:color w:val="000000"/>
                <w:sz w:val="20"/>
                <w:szCs w:val="20"/>
              </w:rPr>
            </w:pPr>
            <w:r>
              <w:rPr>
                <w:rFonts w:ascii="Arial" w:eastAsia="Times New Roman" w:hAnsi="Arial" w:cs="Arial"/>
                <w:color w:val="000000"/>
                <w:sz w:val="20"/>
                <w:szCs w:val="20"/>
              </w:rPr>
              <w:t>5</w:t>
            </w:r>
          </w:p>
        </w:tc>
        <w:tc>
          <w:tcPr>
            <w:tcW w:w="1846"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846"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848"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Tr="00F13AE8">
        <w:trPr>
          <w:trHeight w:val="377"/>
        </w:trPr>
        <w:tc>
          <w:tcPr>
            <w:tcW w:w="2356" w:type="dxa"/>
            <w:vAlign w:val="center"/>
          </w:tcPr>
          <w:p w:rsidR="001D1C3E" w:rsidRPr="00CC0B13" w:rsidRDefault="001D1C3E" w:rsidP="00F13AE8">
            <w:pPr>
              <w:pStyle w:val="Bullets"/>
              <w:numPr>
                <w:ilvl w:val="0"/>
                <w:numId w:val="0"/>
              </w:numPr>
            </w:pPr>
            <w:r w:rsidRPr="00CC0B13">
              <w:t>201</w:t>
            </w:r>
            <w:r>
              <w:t>7</w:t>
            </w:r>
            <w:r w:rsidRPr="00CC0B13">
              <w:t xml:space="preserve"> Ex Ante 1-in-10</w:t>
            </w:r>
          </w:p>
        </w:tc>
        <w:tc>
          <w:tcPr>
            <w:tcW w:w="1842" w:type="dxa"/>
            <w:vAlign w:val="center"/>
          </w:tcPr>
          <w:p w:rsidR="001D1C3E" w:rsidRPr="00CC0B13" w:rsidRDefault="001D1C3E" w:rsidP="00F13AE8">
            <w:pPr>
              <w:jc w:val="center"/>
              <w:rPr>
                <w:rFonts w:ascii="Arial" w:eastAsia="Times New Roman" w:hAnsi="Arial" w:cs="Arial"/>
                <w:color w:val="000000"/>
                <w:sz w:val="20"/>
                <w:szCs w:val="20"/>
              </w:rPr>
            </w:pPr>
            <w:r>
              <w:rPr>
                <w:rFonts w:ascii="Arial" w:eastAsia="Times New Roman" w:hAnsi="Arial" w:cs="Arial"/>
                <w:color w:val="000000"/>
                <w:sz w:val="20"/>
                <w:szCs w:val="20"/>
              </w:rPr>
              <w:t>5</w:t>
            </w:r>
          </w:p>
        </w:tc>
        <w:tc>
          <w:tcPr>
            <w:tcW w:w="1846"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846"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848" w:type="dxa"/>
            <w:vAlign w:val="center"/>
          </w:tcPr>
          <w:p w:rsidR="001D1C3E" w:rsidRPr="00952E1D" w:rsidRDefault="001D1C3E" w:rsidP="00F13AE8">
            <w:pPr>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bl>
    <w:p w:rsidR="00C8641C" w:rsidRPr="004955A9" w:rsidRDefault="00C8641C" w:rsidP="00C8641C">
      <w:pPr>
        <w:pStyle w:val="BodyParaAfterTableFigure"/>
        <w:sectPr w:rsidR="00C8641C" w:rsidRPr="004955A9" w:rsidSect="00B84780">
          <w:pgSz w:w="12240" w:h="15840"/>
          <w:pgMar w:top="1440" w:right="1440" w:bottom="1440" w:left="1440" w:header="720" w:footer="720" w:gutter="0"/>
          <w:cols w:space="720"/>
          <w:docGrid w:linePitch="360"/>
        </w:sectPr>
      </w:pPr>
      <w:r>
        <w:fldChar w:fldCharType="begin"/>
      </w:r>
      <w:r>
        <w:instrText xml:space="preserve"> REF _Ref477886991 \h  \* MERGEFORMAT </w:instrText>
      </w:r>
      <w:r>
        <w:fldChar w:fldCharType="separate"/>
      </w:r>
      <w:r w:rsidR="001F391A">
        <w:t xml:space="preserve">Table </w:t>
      </w:r>
      <w:r w:rsidR="001F391A">
        <w:rPr>
          <w:noProof/>
        </w:rPr>
        <w:t>6</w:t>
      </w:r>
      <w:r w:rsidR="001F391A">
        <w:rPr>
          <w:noProof/>
        </w:rPr>
        <w:noBreakHyphen/>
        <w:t>15</w:t>
      </w:r>
      <w:r>
        <w:fldChar w:fldCharType="end"/>
      </w:r>
      <w:r>
        <w:t xml:space="preserve"> provides an analysis of h</w:t>
      </w:r>
      <w:r w:rsidRPr="001D279F">
        <w:t>ow the current ex ante results differ from the current ex post</w:t>
      </w:r>
      <w:r>
        <w:t> </w:t>
      </w:r>
      <w:r w:rsidRPr="001D279F">
        <w:t>results</w:t>
      </w:r>
      <w:r>
        <w:t xml:space="preserve">. Four key factors contribute to the differences between the ex post and the ex ante forecast. The weather and event window provide small differences. However, the enrollment and methodology are interrelated and provide more significant differences. Technically, the enrollment forecast is a function of the methodology for forecasting program growth based on anticipated utilization of available budgets. Given PLS is a growing program with low enrollment rates, yet a large impact per customer, very small changes to the enrollment forecast can have a large influence on program MW. </w:t>
      </w:r>
      <w:r w:rsidR="00A84E60">
        <w:t>T</w:t>
      </w:r>
      <w:r>
        <w:t xml:space="preserve">he program enrollment is projected to expand further in 2018 </w:t>
      </w:r>
      <w:r w:rsidR="00A84E60">
        <w:t>through 2020</w:t>
      </w:r>
      <w:r>
        <w:t>. After that point, there is expected to be significant departure from the ex post results observed this year. The other factor related to the methodology is the specific analysis method used for the est</w:t>
      </w:r>
      <w:r w:rsidR="00A84E60">
        <w:t>imation of load impacts. In 2017</w:t>
      </w:r>
      <w:r>
        <w:t xml:space="preserve"> ex post data was available for the </w:t>
      </w:r>
      <w:r w:rsidR="00A84E60">
        <w:t xml:space="preserve">three </w:t>
      </w:r>
      <w:r>
        <w:t>operational customer</w:t>
      </w:r>
      <w:r w:rsidR="00A84E60">
        <w:t>s</w:t>
      </w:r>
      <w:r>
        <w:t xml:space="preserve">; however, no such data exists for the projects projected to come online in the future. To address this, generalizable building simulation models and assumptions about the number and size of future projects are necessary. This is meant to represent the best estimate from program staff, but also involves a significant amount of uncertainty. </w:t>
      </w:r>
    </w:p>
    <w:p w:rsidR="00C8641C" w:rsidRPr="00753468" w:rsidRDefault="00C8641C" w:rsidP="00C8641C">
      <w:pPr>
        <w:pStyle w:val="Caption"/>
      </w:pPr>
      <w:r>
        <w:lastRenderedPageBreak/>
        <w:t xml:space="preserve">Table </w:t>
      </w:r>
      <w:fldSimple w:instr=" STYLEREF 1 \s ">
        <w:r w:rsidR="001F391A">
          <w:rPr>
            <w:noProof/>
          </w:rPr>
          <w:t>6</w:t>
        </w:r>
      </w:fldSimple>
      <w:r w:rsidR="008139B9">
        <w:noBreakHyphen/>
      </w:r>
      <w:fldSimple w:instr=" SEQ Table \* ARABIC \s 1 ">
        <w:r w:rsidR="001F391A">
          <w:rPr>
            <w:noProof/>
          </w:rPr>
          <w:t>15</w:t>
        </w:r>
      </w:fldSimple>
      <w:r w:rsidRPr="00753468">
        <w:t>:</w:t>
      </w:r>
      <w:r>
        <w:t xml:space="preserve"> </w:t>
      </w:r>
      <w:r w:rsidRPr="00753468">
        <w:t xml:space="preserve">Summary of Factors Underlying Differences between </w:t>
      </w:r>
      <w:r w:rsidR="003C6DFF">
        <w:t>2017</w:t>
      </w:r>
      <w:r>
        <w:t xml:space="preserve"> </w:t>
      </w:r>
      <w:r w:rsidRPr="00753468">
        <w:t xml:space="preserve">Ex Post and </w:t>
      </w:r>
      <w:r w:rsidR="003C6DFF">
        <w:t>2018</w:t>
      </w:r>
      <w:r>
        <w:t xml:space="preserve"> </w:t>
      </w:r>
      <w:r w:rsidRPr="00753468">
        <w:t xml:space="preserve">Ex Ante Impacts </w:t>
      </w:r>
      <w:r>
        <w:br/>
        <w:t>(July</w:t>
      </w:r>
      <w:r w:rsidRPr="00753468">
        <w:t xml:space="preserve"> </w:t>
      </w:r>
      <w:r>
        <w:t>Average Weekday – Utility Specific)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70CD"/>
        <w:tblLayout w:type="fixed"/>
        <w:tblLook w:val="04A0" w:firstRow="1" w:lastRow="0" w:firstColumn="1" w:lastColumn="0" w:noHBand="0" w:noVBand="1"/>
      </w:tblPr>
      <w:tblGrid>
        <w:gridCol w:w="1458"/>
        <w:gridCol w:w="3330"/>
        <w:gridCol w:w="4950"/>
        <w:gridCol w:w="3330"/>
      </w:tblGrid>
      <w:tr w:rsidR="00C8641C" w:rsidRPr="00753468" w:rsidTr="00C8641C">
        <w:trPr>
          <w:trHeight w:val="525"/>
        </w:trPr>
        <w:tc>
          <w:tcPr>
            <w:tcW w:w="1458" w:type="dxa"/>
            <w:tcBorders>
              <w:bottom w:val="single" w:sz="4" w:space="0" w:color="auto"/>
              <w:right w:val="single" w:sz="4" w:space="0" w:color="FFFFFF" w:themeColor="background1"/>
            </w:tcBorders>
            <w:shd w:val="clear" w:color="auto" w:fill="0070CD"/>
            <w:vAlign w:val="center"/>
            <w:hideMark/>
          </w:tcPr>
          <w:p w:rsidR="00C8641C" w:rsidRPr="00753468" w:rsidRDefault="00C8641C" w:rsidP="00C8641C">
            <w:pPr>
              <w:pStyle w:val="TableHeader"/>
              <w:rPr>
                <w:rFonts w:cs="Arial"/>
              </w:rPr>
            </w:pPr>
            <w:r w:rsidRPr="00753468">
              <w:rPr>
                <w:rFonts w:cs="Arial"/>
              </w:rPr>
              <w:t>Factor</w:t>
            </w:r>
          </w:p>
        </w:tc>
        <w:tc>
          <w:tcPr>
            <w:tcW w:w="333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C8641C" w:rsidRPr="00753468" w:rsidRDefault="00C8641C" w:rsidP="00C8641C">
            <w:pPr>
              <w:pStyle w:val="TableHeader"/>
              <w:rPr>
                <w:rFonts w:cs="Arial"/>
              </w:rPr>
            </w:pPr>
            <w:r w:rsidRPr="00753468">
              <w:rPr>
                <w:rFonts w:cs="Arial"/>
              </w:rPr>
              <w:t>Ex Post</w:t>
            </w:r>
          </w:p>
        </w:tc>
        <w:tc>
          <w:tcPr>
            <w:tcW w:w="495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C8641C" w:rsidRPr="00753468" w:rsidRDefault="00C8641C" w:rsidP="00C8641C">
            <w:pPr>
              <w:pStyle w:val="TableHeader"/>
              <w:rPr>
                <w:rFonts w:cs="Arial"/>
              </w:rPr>
            </w:pPr>
            <w:r w:rsidRPr="00753468">
              <w:rPr>
                <w:rFonts w:cs="Arial"/>
              </w:rPr>
              <w:t>Ex Ante</w:t>
            </w:r>
          </w:p>
        </w:tc>
        <w:tc>
          <w:tcPr>
            <w:tcW w:w="3330" w:type="dxa"/>
            <w:tcBorders>
              <w:left w:val="single" w:sz="4" w:space="0" w:color="FFFFFF" w:themeColor="background1"/>
              <w:bottom w:val="single" w:sz="4" w:space="0" w:color="auto"/>
            </w:tcBorders>
            <w:shd w:val="clear" w:color="auto" w:fill="0070CD"/>
            <w:vAlign w:val="center"/>
            <w:hideMark/>
          </w:tcPr>
          <w:p w:rsidR="00C8641C" w:rsidRPr="00753468" w:rsidRDefault="00C8641C" w:rsidP="00C8641C">
            <w:pPr>
              <w:pStyle w:val="TableHeader"/>
              <w:rPr>
                <w:rFonts w:cs="Arial"/>
              </w:rPr>
            </w:pPr>
            <w:r w:rsidRPr="00753468">
              <w:rPr>
                <w:rFonts w:cs="Arial"/>
              </w:rPr>
              <w:t>Expected Impact</w:t>
            </w:r>
          </w:p>
        </w:tc>
      </w:tr>
      <w:tr w:rsidR="00C8641C" w:rsidRPr="00753468" w:rsidTr="00C8641C">
        <w:trPr>
          <w:trHeight w:val="1824"/>
        </w:trPr>
        <w:tc>
          <w:tcPr>
            <w:tcW w:w="1458" w:type="dxa"/>
            <w:shd w:val="clear" w:color="auto" w:fill="FFFFFF" w:themeFill="background1"/>
            <w:noWrap/>
            <w:vAlign w:val="center"/>
            <w:hideMark/>
          </w:tcPr>
          <w:p w:rsidR="00C8641C" w:rsidRPr="00753468" w:rsidRDefault="00C8641C" w:rsidP="00C8641C">
            <w:pPr>
              <w:pStyle w:val="TableText"/>
              <w:spacing w:before="100" w:after="100"/>
              <w:contextualSpacing/>
              <w:rPr>
                <w:rFonts w:cs="Arial"/>
              </w:rPr>
            </w:pPr>
            <w:r w:rsidRPr="00753468">
              <w:rPr>
                <w:rFonts w:cs="Arial"/>
              </w:rPr>
              <w:t>Weather</w:t>
            </w:r>
          </w:p>
        </w:tc>
        <w:tc>
          <w:tcPr>
            <w:tcW w:w="3330" w:type="dxa"/>
            <w:shd w:val="clear" w:color="auto" w:fill="FFFFFF" w:themeFill="background1"/>
            <w:noWrap/>
            <w:vAlign w:val="center"/>
            <w:hideMark/>
          </w:tcPr>
          <w:p w:rsidR="00C8641C" w:rsidRPr="00753468" w:rsidRDefault="003C6DFF" w:rsidP="00C8641C">
            <w:pPr>
              <w:pStyle w:val="TableText"/>
              <w:spacing w:before="100" w:after="100"/>
              <w:contextualSpacing/>
              <w:jc w:val="left"/>
              <w:rPr>
                <w:rFonts w:cs="Arial"/>
              </w:rPr>
            </w:pPr>
            <w:r>
              <w:rPr>
                <w:rFonts w:cs="Arial"/>
              </w:rPr>
              <w:t>Average weekday Mean17 = 76</w:t>
            </w:r>
          </w:p>
          <w:p w:rsidR="00C8641C" w:rsidRDefault="00C8641C" w:rsidP="00C8641C">
            <w:pPr>
              <w:pStyle w:val="TableText"/>
              <w:spacing w:before="100" w:after="100"/>
              <w:contextualSpacing/>
              <w:jc w:val="left"/>
              <w:rPr>
                <w:rFonts w:cs="Arial"/>
              </w:rPr>
            </w:pPr>
          </w:p>
          <w:p w:rsidR="00C8641C" w:rsidRPr="00846B8E" w:rsidRDefault="00C8641C" w:rsidP="00C8641C">
            <w:pPr>
              <w:pStyle w:val="TableText"/>
              <w:spacing w:before="100" w:after="100"/>
              <w:contextualSpacing/>
              <w:jc w:val="left"/>
              <w:rPr>
                <w:rFonts w:cs="Arial"/>
                <w:sz w:val="16"/>
                <w:szCs w:val="16"/>
              </w:rPr>
            </w:pPr>
            <w:r w:rsidRPr="00846B8E">
              <w:rPr>
                <w:rFonts w:cs="Arial"/>
                <w:sz w:val="16"/>
                <w:szCs w:val="16"/>
              </w:rPr>
              <w:t>Note: Mean17 is the average temperature between midnight and 5pm (hour ending 17). This metric helps to account for heat buildup during the day, which can affect cooling load.</w:t>
            </w:r>
          </w:p>
        </w:tc>
        <w:tc>
          <w:tcPr>
            <w:tcW w:w="4950" w:type="dxa"/>
            <w:shd w:val="clear" w:color="auto" w:fill="FFFFFF" w:themeFill="background1"/>
            <w:vAlign w:val="center"/>
            <w:hideMark/>
          </w:tcPr>
          <w:p w:rsidR="00C8641C" w:rsidRDefault="00C8641C" w:rsidP="00C8641C">
            <w:pPr>
              <w:pStyle w:val="TableText"/>
              <w:spacing w:before="100" w:after="100"/>
              <w:contextualSpacing/>
              <w:jc w:val="left"/>
              <w:rPr>
                <w:rFonts w:cs="Arial"/>
              </w:rPr>
            </w:pPr>
            <w:r w:rsidRPr="00753468">
              <w:rPr>
                <w:rFonts w:cs="Arial"/>
              </w:rPr>
              <w:t xml:space="preserve">Program specific </w:t>
            </w:r>
            <w:r>
              <w:rPr>
                <w:rFonts w:cs="Arial"/>
              </w:rPr>
              <w:t>M</w:t>
            </w:r>
            <w:r w:rsidRPr="00753468">
              <w:rPr>
                <w:rFonts w:cs="Arial"/>
              </w:rPr>
              <w:t xml:space="preserve">ean17 for 1-in-2 </w:t>
            </w:r>
            <w:r>
              <w:rPr>
                <w:rFonts w:cs="Arial"/>
              </w:rPr>
              <w:t xml:space="preserve">average weekday = </w:t>
            </w:r>
            <w:r w:rsidR="003C6DFF">
              <w:rPr>
                <w:rFonts w:cs="Arial"/>
              </w:rPr>
              <w:t>69</w:t>
            </w:r>
            <w:r>
              <w:rPr>
                <w:rFonts w:cs="Arial"/>
              </w:rPr>
              <w:t xml:space="preserve"> and </w:t>
            </w:r>
            <w:r w:rsidR="003C6DFF">
              <w:rPr>
                <w:rFonts w:cs="Arial"/>
              </w:rPr>
              <w:t>71</w:t>
            </w:r>
            <w:r w:rsidRPr="00753468">
              <w:rPr>
                <w:rFonts w:cs="Arial"/>
              </w:rPr>
              <w:t xml:space="preserve"> for </w:t>
            </w:r>
            <w:r w:rsidR="008716A0">
              <w:rPr>
                <w:rFonts w:cs="Arial"/>
              </w:rPr>
              <w:t>SC</w:t>
            </w:r>
            <w:r w:rsidRPr="00753468">
              <w:rPr>
                <w:rFonts w:cs="Arial"/>
              </w:rPr>
              <w:t>E and CAISO weather, respectively</w:t>
            </w:r>
          </w:p>
          <w:p w:rsidR="00C8641C" w:rsidRPr="00753468" w:rsidRDefault="00C8641C" w:rsidP="00C8641C">
            <w:pPr>
              <w:pStyle w:val="TableText"/>
              <w:spacing w:before="100" w:after="100"/>
              <w:contextualSpacing/>
              <w:jc w:val="left"/>
              <w:rPr>
                <w:rFonts w:cs="Arial"/>
              </w:rPr>
            </w:pPr>
          </w:p>
          <w:p w:rsidR="00C8641C" w:rsidRPr="00753468" w:rsidRDefault="00C8641C" w:rsidP="008716A0">
            <w:pPr>
              <w:pStyle w:val="TableText"/>
              <w:spacing w:before="100" w:after="100"/>
              <w:contextualSpacing/>
              <w:jc w:val="left"/>
              <w:rPr>
                <w:rFonts w:cs="Arial"/>
              </w:rPr>
            </w:pPr>
            <w:r w:rsidRPr="00753468">
              <w:rPr>
                <w:rFonts w:cs="Arial"/>
              </w:rPr>
              <w:t xml:space="preserve">Program specific mean17 for </w:t>
            </w:r>
            <w:r w:rsidR="003C6DFF">
              <w:rPr>
                <w:rFonts w:cs="Arial"/>
              </w:rPr>
              <w:t>1-in-10 average weekday = 70 and 70</w:t>
            </w:r>
            <w:r w:rsidRPr="00753468">
              <w:rPr>
                <w:rFonts w:cs="Arial"/>
              </w:rPr>
              <w:t xml:space="preserve"> for </w:t>
            </w:r>
            <w:r w:rsidR="008716A0">
              <w:rPr>
                <w:rFonts w:cs="Arial"/>
              </w:rPr>
              <w:t>SC</w:t>
            </w:r>
            <w:r w:rsidRPr="00753468">
              <w:rPr>
                <w:rFonts w:cs="Arial"/>
              </w:rPr>
              <w:t>E and CAISO weather, respectively</w:t>
            </w:r>
          </w:p>
        </w:tc>
        <w:tc>
          <w:tcPr>
            <w:tcW w:w="3330" w:type="dxa"/>
            <w:shd w:val="clear" w:color="auto" w:fill="FFFFFF" w:themeFill="background1"/>
            <w:vAlign w:val="center"/>
            <w:hideMark/>
          </w:tcPr>
          <w:p w:rsidR="00C8641C" w:rsidRPr="00753468" w:rsidRDefault="00C8641C" w:rsidP="008716A0">
            <w:pPr>
              <w:pStyle w:val="TableText"/>
              <w:spacing w:before="100" w:after="100"/>
              <w:contextualSpacing/>
              <w:jc w:val="left"/>
              <w:rPr>
                <w:rFonts w:cs="Arial"/>
              </w:rPr>
            </w:pPr>
            <w:r w:rsidRPr="00753468">
              <w:rPr>
                <w:rFonts w:cs="Arial"/>
              </w:rPr>
              <w:t xml:space="preserve">Ex ante estimates </w:t>
            </w:r>
            <w:r>
              <w:rPr>
                <w:rFonts w:cs="Arial"/>
              </w:rPr>
              <w:t>are sensitive to temperature</w:t>
            </w:r>
            <w:r w:rsidRPr="00753468">
              <w:rPr>
                <w:rFonts w:cs="Arial"/>
              </w:rPr>
              <w:t xml:space="preserve">– impacts </w:t>
            </w:r>
            <w:r>
              <w:rPr>
                <w:rFonts w:cs="Arial"/>
              </w:rPr>
              <w:t xml:space="preserve">will be </w:t>
            </w:r>
            <w:r w:rsidR="003C6DFF">
              <w:rPr>
                <w:rFonts w:cs="Arial"/>
              </w:rPr>
              <w:t xml:space="preserve">lower </w:t>
            </w:r>
            <w:r>
              <w:rPr>
                <w:rFonts w:cs="Arial"/>
              </w:rPr>
              <w:t xml:space="preserve">based on </w:t>
            </w:r>
            <w:r w:rsidR="003C6DFF">
              <w:rPr>
                <w:rFonts w:cs="Arial"/>
              </w:rPr>
              <w:t xml:space="preserve">both </w:t>
            </w:r>
            <w:r>
              <w:rPr>
                <w:rFonts w:cs="Arial"/>
              </w:rPr>
              <w:t xml:space="preserve">1-in-2 </w:t>
            </w:r>
            <w:r w:rsidR="003C6DFF">
              <w:rPr>
                <w:rFonts w:cs="Arial"/>
              </w:rPr>
              <w:t>and</w:t>
            </w:r>
            <w:r w:rsidRPr="00753468">
              <w:rPr>
                <w:rFonts w:cs="Arial"/>
              </w:rPr>
              <w:t xml:space="preserve"> </w:t>
            </w:r>
            <w:r>
              <w:rPr>
                <w:rFonts w:cs="Arial"/>
              </w:rPr>
              <w:t xml:space="preserve">1-in-10 </w:t>
            </w:r>
            <w:r w:rsidR="008716A0">
              <w:rPr>
                <w:rFonts w:cs="Arial"/>
              </w:rPr>
              <w:t>SC</w:t>
            </w:r>
            <w:r>
              <w:rPr>
                <w:rFonts w:cs="Arial"/>
              </w:rPr>
              <w:t xml:space="preserve">E weather and </w:t>
            </w:r>
            <w:r w:rsidRPr="00753468">
              <w:rPr>
                <w:rFonts w:cs="Arial"/>
              </w:rPr>
              <w:t>CAISO weather</w:t>
            </w:r>
          </w:p>
        </w:tc>
      </w:tr>
      <w:tr w:rsidR="00C8641C" w:rsidRPr="00753468" w:rsidTr="00C8641C">
        <w:trPr>
          <w:trHeight w:val="1150"/>
        </w:trPr>
        <w:tc>
          <w:tcPr>
            <w:tcW w:w="1458" w:type="dxa"/>
            <w:shd w:val="clear" w:color="auto" w:fill="FFFFFF" w:themeFill="background1"/>
            <w:noWrap/>
            <w:vAlign w:val="center"/>
            <w:hideMark/>
          </w:tcPr>
          <w:p w:rsidR="00C8641C" w:rsidRPr="00753468" w:rsidRDefault="00C8641C" w:rsidP="00C8641C">
            <w:pPr>
              <w:pStyle w:val="TableText"/>
              <w:spacing w:before="100" w:after="100"/>
              <w:contextualSpacing/>
              <w:rPr>
                <w:rFonts w:cs="Arial"/>
              </w:rPr>
            </w:pPr>
            <w:r w:rsidRPr="00753468">
              <w:rPr>
                <w:rFonts w:cs="Arial"/>
              </w:rPr>
              <w:t>Event window</w:t>
            </w:r>
          </w:p>
        </w:tc>
        <w:tc>
          <w:tcPr>
            <w:tcW w:w="3330" w:type="dxa"/>
            <w:shd w:val="clear" w:color="auto" w:fill="FFFFFF" w:themeFill="background1"/>
            <w:noWrap/>
            <w:vAlign w:val="center"/>
            <w:hideMark/>
          </w:tcPr>
          <w:p w:rsidR="00C8641C" w:rsidRPr="00753468" w:rsidRDefault="00C8641C" w:rsidP="00C8641C">
            <w:pPr>
              <w:pStyle w:val="TableText"/>
              <w:spacing w:before="100" w:after="100"/>
              <w:contextualSpacing/>
              <w:jc w:val="left"/>
              <w:rPr>
                <w:rFonts w:cs="Arial"/>
              </w:rPr>
            </w:pPr>
            <w:r>
              <w:rPr>
                <w:rFonts w:cs="Arial"/>
              </w:rPr>
              <w:t>Program hours from 12</w:t>
            </w:r>
            <w:r w:rsidRPr="00753468">
              <w:rPr>
                <w:rFonts w:cs="Arial"/>
              </w:rPr>
              <w:t xml:space="preserve"> to 6 PM</w:t>
            </w:r>
          </w:p>
        </w:tc>
        <w:tc>
          <w:tcPr>
            <w:tcW w:w="4950" w:type="dxa"/>
            <w:shd w:val="clear" w:color="auto" w:fill="FFFFFF" w:themeFill="background1"/>
            <w:vAlign w:val="center"/>
            <w:hideMark/>
          </w:tcPr>
          <w:p w:rsidR="00C8641C" w:rsidRPr="00753468" w:rsidRDefault="00C8641C" w:rsidP="00C8641C">
            <w:pPr>
              <w:pStyle w:val="TableText"/>
              <w:spacing w:before="100" w:after="100"/>
              <w:contextualSpacing/>
              <w:jc w:val="left"/>
              <w:rPr>
                <w:rFonts w:cs="Arial"/>
              </w:rPr>
            </w:pPr>
            <w:r w:rsidRPr="00753468">
              <w:rPr>
                <w:rFonts w:cs="Arial"/>
              </w:rPr>
              <w:t>Resource adequacy win</w:t>
            </w:r>
            <w:r>
              <w:rPr>
                <w:rFonts w:cs="Arial"/>
              </w:rPr>
              <w:t>dow is from 1 to 6 PM</w:t>
            </w:r>
          </w:p>
        </w:tc>
        <w:tc>
          <w:tcPr>
            <w:tcW w:w="3330" w:type="dxa"/>
            <w:shd w:val="clear" w:color="auto" w:fill="FFFFFF" w:themeFill="background1"/>
            <w:vAlign w:val="center"/>
            <w:hideMark/>
          </w:tcPr>
          <w:p w:rsidR="00C8641C" w:rsidRPr="00753468" w:rsidRDefault="00C8641C" w:rsidP="00C8641C">
            <w:pPr>
              <w:pStyle w:val="TableText"/>
              <w:spacing w:before="100" w:after="100"/>
              <w:contextualSpacing/>
              <w:jc w:val="left"/>
              <w:rPr>
                <w:rFonts w:cs="Arial"/>
              </w:rPr>
            </w:pPr>
            <w:r>
              <w:rPr>
                <w:rFonts w:cs="Arial"/>
              </w:rPr>
              <w:t>In some cases a</w:t>
            </w:r>
            <w:r w:rsidRPr="00753468">
              <w:rPr>
                <w:rFonts w:cs="Arial"/>
              </w:rPr>
              <w:t>verage ex ante impacts will be lower</w:t>
            </w:r>
            <w:r>
              <w:rPr>
                <w:rFonts w:cs="Arial"/>
              </w:rPr>
              <w:t xml:space="preserve"> because in many cases the impacts are largest in the 12-1 PM hour that isn’t included</w:t>
            </w:r>
          </w:p>
        </w:tc>
      </w:tr>
      <w:tr w:rsidR="00C8641C" w:rsidRPr="00753468" w:rsidTr="00C8641C">
        <w:trPr>
          <w:trHeight w:val="1151"/>
        </w:trPr>
        <w:tc>
          <w:tcPr>
            <w:tcW w:w="1458" w:type="dxa"/>
            <w:shd w:val="clear" w:color="auto" w:fill="FFFFFF" w:themeFill="background1"/>
            <w:noWrap/>
            <w:vAlign w:val="center"/>
            <w:hideMark/>
          </w:tcPr>
          <w:p w:rsidR="00C8641C" w:rsidRPr="00753468" w:rsidRDefault="00C8641C" w:rsidP="00C8641C">
            <w:pPr>
              <w:pStyle w:val="TableText"/>
              <w:spacing w:before="100" w:after="100"/>
              <w:contextualSpacing/>
              <w:rPr>
                <w:rFonts w:cs="Arial"/>
              </w:rPr>
            </w:pPr>
            <w:r w:rsidRPr="00753468">
              <w:rPr>
                <w:rFonts w:cs="Arial"/>
              </w:rPr>
              <w:t>Enrollment</w:t>
            </w:r>
          </w:p>
        </w:tc>
        <w:tc>
          <w:tcPr>
            <w:tcW w:w="3330" w:type="dxa"/>
            <w:shd w:val="clear" w:color="auto" w:fill="FFFFFF" w:themeFill="background1"/>
            <w:noWrap/>
            <w:vAlign w:val="center"/>
            <w:hideMark/>
          </w:tcPr>
          <w:p w:rsidR="00C8641C" w:rsidRPr="00753468" w:rsidRDefault="00A84E60" w:rsidP="00C8641C">
            <w:pPr>
              <w:pStyle w:val="TableText"/>
              <w:spacing w:before="100" w:after="100"/>
              <w:contextualSpacing/>
              <w:jc w:val="left"/>
              <w:rPr>
                <w:rFonts w:cs="Arial"/>
              </w:rPr>
            </w:pPr>
            <w:r>
              <w:rPr>
                <w:rFonts w:cs="Arial"/>
              </w:rPr>
              <w:t>Three customers</w:t>
            </w:r>
          </w:p>
        </w:tc>
        <w:tc>
          <w:tcPr>
            <w:tcW w:w="4950" w:type="dxa"/>
            <w:shd w:val="clear" w:color="auto" w:fill="FFFFFF" w:themeFill="background1"/>
            <w:vAlign w:val="center"/>
            <w:hideMark/>
          </w:tcPr>
          <w:p w:rsidR="00C8641C" w:rsidRPr="007C49B4" w:rsidRDefault="00C8641C" w:rsidP="00C8641C">
            <w:pPr>
              <w:pStyle w:val="TableText"/>
              <w:spacing w:before="100" w:after="100"/>
              <w:contextualSpacing/>
              <w:jc w:val="left"/>
              <w:rPr>
                <w:rFonts w:cs="Arial"/>
              </w:rPr>
            </w:pPr>
            <w:r>
              <w:rPr>
                <w:rFonts w:cs="Arial"/>
              </w:rPr>
              <w:t xml:space="preserve">2018+ includes additional identified customers </w:t>
            </w:r>
          </w:p>
        </w:tc>
        <w:tc>
          <w:tcPr>
            <w:tcW w:w="3330" w:type="dxa"/>
            <w:shd w:val="clear" w:color="auto" w:fill="FFFFFF" w:themeFill="background1"/>
            <w:vAlign w:val="center"/>
            <w:hideMark/>
          </w:tcPr>
          <w:p w:rsidR="00C8641C" w:rsidRPr="007C49B4" w:rsidRDefault="00C8641C" w:rsidP="00E44362">
            <w:pPr>
              <w:pStyle w:val="TableText"/>
              <w:spacing w:before="100" w:after="100"/>
              <w:contextualSpacing/>
              <w:jc w:val="left"/>
              <w:rPr>
                <w:rFonts w:eastAsia="Times New Roman" w:cs="Arial"/>
                <w:color w:val="0070CD" w:themeColor="text2"/>
              </w:rPr>
            </w:pPr>
            <w:r w:rsidRPr="007C49B4">
              <w:rPr>
                <w:rFonts w:cs="Arial"/>
              </w:rPr>
              <w:t xml:space="preserve">Ex ante estimates will </w:t>
            </w:r>
            <w:r>
              <w:rPr>
                <w:rFonts w:cs="Arial"/>
              </w:rPr>
              <w:t>increase significantly in 2018+ as the program is projected to grow</w:t>
            </w:r>
          </w:p>
        </w:tc>
      </w:tr>
      <w:tr w:rsidR="00C8641C" w:rsidRPr="00753468" w:rsidTr="00C8641C">
        <w:trPr>
          <w:trHeight w:val="1718"/>
        </w:trPr>
        <w:tc>
          <w:tcPr>
            <w:tcW w:w="1458" w:type="dxa"/>
            <w:shd w:val="clear" w:color="auto" w:fill="FFFFFF" w:themeFill="background1"/>
            <w:noWrap/>
            <w:vAlign w:val="center"/>
            <w:hideMark/>
          </w:tcPr>
          <w:p w:rsidR="00C8641C" w:rsidRPr="00753468" w:rsidRDefault="00C8641C" w:rsidP="00C8641C">
            <w:pPr>
              <w:pStyle w:val="TableText"/>
              <w:spacing w:before="100" w:after="100"/>
              <w:contextualSpacing/>
              <w:rPr>
                <w:rFonts w:cs="Arial"/>
              </w:rPr>
            </w:pPr>
            <w:r w:rsidRPr="00753468">
              <w:rPr>
                <w:rFonts w:cs="Arial"/>
              </w:rPr>
              <w:t>Methodology</w:t>
            </w:r>
          </w:p>
        </w:tc>
        <w:tc>
          <w:tcPr>
            <w:tcW w:w="3330" w:type="dxa"/>
            <w:shd w:val="clear" w:color="auto" w:fill="FFFFFF" w:themeFill="background1"/>
            <w:vAlign w:val="center"/>
            <w:hideMark/>
          </w:tcPr>
          <w:p w:rsidR="00C8641C" w:rsidRPr="00753468" w:rsidRDefault="00A84E60" w:rsidP="00E44362">
            <w:pPr>
              <w:pStyle w:val="TableText"/>
              <w:spacing w:before="100" w:after="100"/>
              <w:contextualSpacing/>
              <w:jc w:val="left"/>
              <w:rPr>
                <w:rFonts w:eastAsia="Times New Roman" w:cs="Arial"/>
                <w:color w:val="0070CD" w:themeColor="text2"/>
              </w:rPr>
            </w:pPr>
            <w:r>
              <w:rPr>
                <w:rFonts w:cs="Arial"/>
              </w:rPr>
              <w:t>2017</w:t>
            </w:r>
            <w:r w:rsidR="00C8641C" w:rsidRPr="00753468">
              <w:rPr>
                <w:rFonts w:cs="Arial"/>
              </w:rPr>
              <w:t xml:space="preserve"> impacts based on </w:t>
            </w:r>
            <w:r>
              <w:rPr>
                <w:rFonts w:cs="Arial"/>
              </w:rPr>
              <w:t>premise-level data for three customers</w:t>
            </w:r>
          </w:p>
        </w:tc>
        <w:tc>
          <w:tcPr>
            <w:tcW w:w="4950" w:type="dxa"/>
            <w:shd w:val="clear" w:color="auto" w:fill="FFFFFF" w:themeFill="background1"/>
            <w:vAlign w:val="center"/>
            <w:hideMark/>
          </w:tcPr>
          <w:p w:rsidR="00C8641C" w:rsidRPr="00753468" w:rsidRDefault="00C8641C" w:rsidP="00E44362">
            <w:pPr>
              <w:pStyle w:val="TableText"/>
              <w:spacing w:before="100" w:after="100"/>
              <w:contextualSpacing/>
              <w:jc w:val="left"/>
              <w:rPr>
                <w:rFonts w:eastAsia="Times New Roman" w:cs="Arial"/>
                <w:color w:val="0070CD" w:themeColor="text2"/>
              </w:rPr>
            </w:pPr>
            <w:r>
              <w:rPr>
                <w:rFonts w:cs="Arial"/>
              </w:rPr>
              <w:t xml:space="preserve">2018+ combines impacts based on </w:t>
            </w:r>
            <w:r w:rsidR="00A84E60">
              <w:rPr>
                <w:rFonts w:cs="Arial"/>
              </w:rPr>
              <w:t>premise-level</w:t>
            </w:r>
            <w:r>
              <w:rPr>
                <w:rFonts w:cs="Arial"/>
              </w:rPr>
              <w:t xml:space="preserve"> data and building simulations for identified and unidentified customers </w:t>
            </w:r>
          </w:p>
        </w:tc>
        <w:tc>
          <w:tcPr>
            <w:tcW w:w="3330" w:type="dxa"/>
            <w:shd w:val="clear" w:color="auto" w:fill="FFFFFF" w:themeFill="background1"/>
            <w:vAlign w:val="center"/>
            <w:hideMark/>
          </w:tcPr>
          <w:p w:rsidR="00C8641C" w:rsidRPr="00753468" w:rsidRDefault="00C8641C" w:rsidP="00C8641C">
            <w:pPr>
              <w:pStyle w:val="TableText"/>
              <w:spacing w:before="100" w:after="100"/>
              <w:contextualSpacing/>
              <w:jc w:val="left"/>
              <w:rPr>
                <w:rFonts w:cs="Arial"/>
              </w:rPr>
            </w:pPr>
            <w:r>
              <w:rPr>
                <w:rFonts w:cs="Arial"/>
              </w:rPr>
              <w:t xml:space="preserve">2018+ rely on a variety of assumptions and a different approach. Results are not directly comparable </w:t>
            </w:r>
          </w:p>
        </w:tc>
      </w:tr>
    </w:tbl>
    <w:p w:rsidR="00C8641C" w:rsidRDefault="00C8641C" w:rsidP="00C8641C">
      <w:pPr>
        <w:pStyle w:val="BodyParagraph"/>
      </w:pPr>
    </w:p>
    <w:p w:rsidR="00C8641C" w:rsidRPr="00753468" w:rsidRDefault="00C8641C" w:rsidP="00C8641C">
      <w:pPr>
        <w:pStyle w:val="BodyParagraph"/>
        <w:sectPr w:rsidR="00C8641C" w:rsidRPr="00753468" w:rsidSect="00DD2F2D">
          <w:footerReference w:type="default" r:id="rId63"/>
          <w:pgSz w:w="15840" w:h="12240" w:orient="landscape"/>
          <w:pgMar w:top="1440" w:right="1440" w:bottom="1440" w:left="1440" w:header="720" w:footer="720" w:gutter="0"/>
          <w:cols w:space="720"/>
          <w:docGrid w:linePitch="360"/>
        </w:sectPr>
      </w:pPr>
    </w:p>
    <w:p w:rsidR="00AE0D77" w:rsidRDefault="00AE0D77">
      <w:pPr>
        <w:pStyle w:val="BodyParagraph"/>
        <w:rPr>
          <w:highlight w:val="yellow"/>
        </w:rPr>
      </w:pPr>
    </w:p>
    <w:p w:rsidR="00C8641C" w:rsidRPr="003C6DFF" w:rsidRDefault="00AE0D77" w:rsidP="00E44362">
      <w:pPr>
        <w:pStyle w:val="Heading3"/>
      </w:pPr>
      <w:bookmarkStart w:id="97" w:name="_Toc507085066"/>
      <w:r w:rsidRPr="003C6DFF">
        <w:t>Comparison of 2016 and 2017 Ex Ante Estimates</w:t>
      </w:r>
      <w:bookmarkEnd w:id="97"/>
    </w:p>
    <w:p w:rsidR="00C8641C" w:rsidRDefault="00C8641C" w:rsidP="00C8641C">
      <w:pPr>
        <w:pStyle w:val="BodyBeforeBullet"/>
        <w:spacing w:after="240"/>
      </w:pPr>
      <w:r>
        <w:fldChar w:fldCharType="begin"/>
      </w:r>
      <w:r>
        <w:instrText xml:space="preserve"> REF _Ref477888289 \h  \* MERGEFORMAT </w:instrText>
      </w:r>
      <w:r>
        <w:fldChar w:fldCharType="separate"/>
      </w:r>
      <w:r w:rsidR="001F391A">
        <w:t xml:space="preserve">Table </w:t>
      </w:r>
      <w:r w:rsidR="001F391A">
        <w:rPr>
          <w:noProof/>
        </w:rPr>
        <w:t>6</w:t>
      </w:r>
      <w:r w:rsidR="001F391A">
        <w:rPr>
          <w:noProof/>
        </w:rPr>
        <w:noBreakHyphen/>
        <w:t>16</w:t>
      </w:r>
      <w:r>
        <w:fldChar w:fldCharType="end"/>
      </w:r>
      <w:r>
        <w:t xml:space="preserve"> provides a comparison of h</w:t>
      </w:r>
      <w:r w:rsidRPr="001D279F">
        <w:t>ow the current ex ante results</w:t>
      </w:r>
      <w:r>
        <w:t xml:space="preserve"> from the 2017 program year evaluation </w:t>
      </w:r>
      <w:r w:rsidRPr="001D279F">
        <w:t xml:space="preserve">differ from last year’s </w:t>
      </w:r>
      <w:r>
        <w:t xml:space="preserve">ex ante </w:t>
      </w:r>
      <w:r w:rsidRPr="001D279F">
        <w:t>forecast</w:t>
      </w:r>
      <w:r>
        <w:t>. The three years in the table were</w:t>
      </w:r>
      <w:r w:rsidR="00E269D0">
        <w:t xml:space="preserve"> selected because 2018 and 2020 </w:t>
      </w:r>
      <w:r>
        <w:t xml:space="preserve">represent the years when enrollment is still expected to change for the program and 2027 is the last year common to both forecasts. In </w:t>
      </w:r>
      <w:r w:rsidR="008716A0">
        <w:t>the</w:t>
      </w:r>
      <w:r>
        <w:t xml:space="preserve"> ex ante forecast for 2018, </w:t>
      </w:r>
      <w:r w:rsidR="00E269D0">
        <w:t xml:space="preserve">6.4 </w:t>
      </w:r>
      <w:r>
        <w:t xml:space="preserve">customers </w:t>
      </w:r>
      <w:r w:rsidR="008716A0">
        <w:t>were</w:t>
      </w:r>
      <w:r>
        <w:t xml:space="preserve"> expected to be </w:t>
      </w:r>
      <w:r w:rsidR="00E269D0">
        <w:t>enrolled in the program for</w:t>
      </w:r>
      <w:r>
        <w:t xml:space="preserve"> </w:t>
      </w:r>
      <w:r w:rsidR="008716A0">
        <w:t>PY</w:t>
      </w:r>
      <w:r>
        <w:t>2016</w:t>
      </w:r>
      <w:r w:rsidR="00E269D0">
        <w:t xml:space="preserve"> estimates and 6 customers are expected to be enrolled in the program for</w:t>
      </w:r>
      <w:r>
        <w:t xml:space="preserve"> </w:t>
      </w:r>
      <w:r w:rsidR="008716A0">
        <w:t>PY</w:t>
      </w:r>
      <w:r>
        <w:t>2017 estimates</w:t>
      </w:r>
      <w:r w:rsidR="00E269D0">
        <w:t>.  However, as the forecasts are based off of different assumptions for each customer for each estimate there is a difference between estimated impacts and reference loads. By 2020</w:t>
      </w:r>
      <w:r>
        <w:t>,</w:t>
      </w:r>
      <w:r w:rsidR="00E269D0">
        <w:t xml:space="preserve"> nine customers are forecasted to be enrolled for both estimates, but again because of the different assumptions there is a difference in both estimated impacts and reference loads.</w:t>
      </w:r>
      <w:r>
        <w:t xml:space="preserve"> </w:t>
      </w:r>
      <w:r w:rsidR="00E269D0">
        <w:t>By 2027, the 2016 forecast predicted that 11.8 customers would be enrolled in the program.  This year’s forecast predicts that the number of customers enrolled in the program will not change after 2020.  Therefore, the assumed 2.5% degradation is not offset by new customers enrolling in the program in the 2017 forecast.  The impacts are therefore much smaller for the 2017 forecast than for the 2016 forecast.</w:t>
      </w:r>
      <w:r>
        <w:t xml:space="preserve"> </w:t>
      </w:r>
    </w:p>
    <w:p w:rsidR="001D1C3E" w:rsidRPr="00753468" w:rsidRDefault="001D1C3E" w:rsidP="001D1C3E">
      <w:pPr>
        <w:pStyle w:val="Caption"/>
      </w:pPr>
      <w:r>
        <w:t xml:space="preserve">Table </w:t>
      </w:r>
      <w:fldSimple w:instr=" STYLEREF 1 \s ">
        <w:r>
          <w:rPr>
            <w:noProof/>
          </w:rPr>
          <w:t>6</w:t>
        </w:r>
      </w:fldSimple>
      <w:r>
        <w:noBreakHyphen/>
      </w:r>
      <w:fldSimple w:instr=" SEQ Table \* ARABIC \s 1 ">
        <w:r>
          <w:rPr>
            <w:noProof/>
          </w:rPr>
          <w:t>16</w:t>
        </w:r>
      </w:fldSimple>
      <w:r w:rsidRPr="00753468">
        <w:t xml:space="preserve">: Comparison of </w:t>
      </w:r>
      <w:r>
        <w:t xml:space="preserve">Current </w:t>
      </w:r>
      <w:r w:rsidRPr="00753468">
        <w:t xml:space="preserve">Ex Ante Estimates to Prior Year Estimates </w:t>
      </w:r>
      <w:r>
        <w:br/>
        <w:t>(July Average Weekday – Utility Specific)</w:t>
      </w:r>
    </w:p>
    <w:tbl>
      <w:tblPr>
        <w:tblW w:w="11051" w:type="dxa"/>
        <w:jc w:val="center"/>
        <w:tblInd w:w="93" w:type="dxa"/>
        <w:tblLook w:val="04A0" w:firstRow="1" w:lastRow="0" w:firstColumn="1" w:lastColumn="0" w:noHBand="0" w:noVBand="1"/>
      </w:tblPr>
      <w:tblGrid>
        <w:gridCol w:w="1006"/>
        <w:gridCol w:w="1119"/>
        <w:gridCol w:w="1161"/>
        <w:gridCol w:w="1161"/>
        <w:gridCol w:w="1161"/>
        <w:gridCol w:w="1161"/>
        <w:gridCol w:w="1161"/>
        <w:gridCol w:w="1161"/>
        <w:gridCol w:w="980"/>
        <w:gridCol w:w="980"/>
      </w:tblGrid>
      <w:tr w:rsidR="001D1C3E" w:rsidRPr="008C521A" w:rsidTr="00F13AE8">
        <w:trPr>
          <w:trHeight w:val="510"/>
          <w:jc w:val="center"/>
        </w:trPr>
        <w:tc>
          <w:tcPr>
            <w:tcW w:w="1006" w:type="dxa"/>
            <w:vMerge w:val="restart"/>
            <w:tcBorders>
              <w:top w:val="single" w:sz="4" w:space="0" w:color="000000"/>
              <w:left w:val="single" w:sz="4" w:space="0" w:color="000000"/>
              <w:bottom w:val="single" w:sz="4" w:space="0" w:color="000000"/>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Weather Year</w:t>
            </w:r>
          </w:p>
        </w:tc>
        <w:tc>
          <w:tcPr>
            <w:tcW w:w="1119" w:type="dxa"/>
            <w:vMerge w:val="restart"/>
            <w:tcBorders>
              <w:top w:val="single" w:sz="4" w:space="0" w:color="000000"/>
              <w:left w:val="single" w:sz="4" w:space="0" w:color="FFFFFF"/>
              <w:bottom w:val="single" w:sz="4" w:space="0" w:color="000000"/>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Year</w:t>
            </w:r>
          </w:p>
        </w:tc>
        <w:tc>
          <w:tcPr>
            <w:tcW w:w="2322" w:type="dxa"/>
            <w:gridSpan w:val="2"/>
            <w:tcBorders>
              <w:top w:val="single" w:sz="4" w:space="0" w:color="000000"/>
              <w:left w:val="nil"/>
              <w:bottom w:val="single" w:sz="4" w:space="0" w:color="FFFFFF"/>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Accounts</w:t>
            </w:r>
          </w:p>
        </w:tc>
        <w:tc>
          <w:tcPr>
            <w:tcW w:w="2322" w:type="dxa"/>
            <w:gridSpan w:val="2"/>
            <w:tcBorders>
              <w:top w:val="single" w:sz="4" w:space="0" w:color="000000"/>
              <w:left w:val="nil"/>
              <w:bottom w:val="single" w:sz="4" w:space="0" w:color="FFFFFF"/>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Reference Loads (MW)</w:t>
            </w:r>
          </w:p>
        </w:tc>
        <w:tc>
          <w:tcPr>
            <w:tcW w:w="2322" w:type="dxa"/>
            <w:gridSpan w:val="2"/>
            <w:tcBorders>
              <w:top w:val="single" w:sz="4" w:space="0" w:color="000000"/>
              <w:left w:val="nil"/>
              <w:bottom w:val="single" w:sz="4" w:space="0" w:color="FFFFFF"/>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Percent Reductions</w:t>
            </w:r>
          </w:p>
        </w:tc>
        <w:tc>
          <w:tcPr>
            <w:tcW w:w="1960" w:type="dxa"/>
            <w:gridSpan w:val="2"/>
            <w:tcBorders>
              <w:top w:val="single" w:sz="4" w:space="0" w:color="000000"/>
              <w:left w:val="nil"/>
              <w:bottom w:val="single" w:sz="4" w:space="0" w:color="FFFFFF"/>
              <w:right w:val="single" w:sz="4" w:space="0" w:color="000000"/>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Aggregate Impacts (MW)</w:t>
            </w:r>
          </w:p>
        </w:tc>
      </w:tr>
      <w:tr w:rsidR="001D1C3E" w:rsidRPr="008C521A" w:rsidTr="00F13AE8">
        <w:trPr>
          <w:trHeight w:val="960"/>
          <w:jc w:val="center"/>
        </w:trPr>
        <w:tc>
          <w:tcPr>
            <w:tcW w:w="1006" w:type="dxa"/>
            <w:vMerge/>
            <w:tcBorders>
              <w:top w:val="single" w:sz="4" w:space="0" w:color="000000"/>
              <w:left w:val="single" w:sz="4" w:space="0" w:color="000000"/>
              <w:bottom w:val="single" w:sz="4" w:space="0" w:color="000000"/>
              <w:right w:val="single" w:sz="4" w:space="0" w:color="FFFFFF"/>
            </w:tcBorders>
            <w:vAlign w:val="center"/>
            <w:hideMark/>
          </w:tcPr>
          <w:p w:rsidR="001D1C3E" w:rsidRPr="009361AB" w:rsidRDefault="001D1C3E" w:rsidP="00F13AE8">
            <w:pPr>
              <w:spacing w:after="0" w:line="240" w:lineRule="auto"/>
              <w:rPr>
                <w:rFonts w:ascii="Arial" w:eastAsia="Times New Roman" w:hAnsi="Arial" w:cs="Arial"/>
                <w:b/>
                <w:bCs/>
                <w:color w:val="FFFFFF"/>
                <w:sz w:val="20"/>
                <w:szCs w:val="20"/>
              </w:rPr>
            </w:pPr>
          </w:p>
        </w:tc>
        <w:tc>
          <w:tcPr>
            <w:tcW w:w="1119" w:type="dxa"/>
            <w:vMerge/>
            <w:tcBorders>
              <w:top w:val="single" w:sz="4" w:space="0" w:color="000000"/>
              <w:left w:val="single" w:sz="4" w:space="0" w:color="FFFFFF"/>
              <w:bottom w:val="single" w:sz="4" w:space="0" w:color="000000"/>
              <w:right w:val="single" w:sz="4" w:space="0" w:color="FFFFFF"/>
            </w:tcBorders>
            <w:vAlign w:val="center"/>
            <w:hideMark/>
          </w:tcPr>
          <w:p w:rsidR="001D1C3E" w:rsidRPr="009361AB" w:rsidRDefault="001D1C3E" w:rsidP="00F13AE8">
            <w:pPr>
              <w:spacing w:after="0" w:line="240" w:lineRule="auto"/>
              <w:rPr>
                <w:rFonts w:ascii="Arial" w:eastAsia="Times New Roman" w:hAnsi="Arial" w:cs="Arial"/>
                <w:b/>
                <w:bCs/>
                <w:color w:val="FFFFFF"/>
                <w:sz w:val="20"/>
                <w:szCs w:val="20"/>
              </w:rPr>
            </w:pPr>
          </w:p>
        </w:tc>
        <w:tc>
          <w:tcPr>
            <w:tcW w:w="1161" w:type="dxa"/>
            <w:tcBorders>
              <w:top w:val="nil"/>
              <w:left w:val="nil"/>
              <w:bottom w:val="single" w:sz="4" w:space="0" w:color="auto"/>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Estimates</w:t>
            </w:r>
          </w:p>
        </w:tc>
        <w:tc>
          <w:tcPr>
            <w:tcW w:w="1161" w:type="dxa"/>
            <w:tcBorders>
              <w:top w:val="nil"/>
              <w:left w:val="nil"/>
              <w:bottom w:val="single" w:sz="4" w:space="0" w:color="auto"/>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Estimates</w:t>
            </w:r>
          </w:p>
        </w:tc>
        <w:tc>
          <w:tcPr>
            <w:tcW w:w="1161" w:type="dxa"/>
            <w:tcBorders>
              <w:top w:val="nil"/>
              <w:left w:val="nil"/>
              <w:bottom w:val="single" w:sz="4" w:space="0" w:color="auto"/>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Estimates</w:t>
            </w:r>
          </w:p>
        </w:tc>
        <w:tc>
          <w:tcPr>
            <w:tcW w:w="1161" w:type="dxa"/>
            <w:tcBorders>
              <w:top w:val="nil"/>
              <w:left w:val="nil"/>
              <w:bottom w:val="single" w:sz="4" w:space="0" w:color="auto"/>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Estimates</w:t>
            </w:r>
          </w:p>
        </w:tc>
        <w:tc>
          <w:tcPr>
            <w:tcW w:w="1161" w:type="dxa"/>
            <w:tcBorders>
              <w:top w:val="nil"/>
              <w:left w:val="nil"/>
              <w:bottom w:val="single" w:sz="4" w:space="0" w:color="auto"/>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Estimates</w:t>
            </w:r>
          </w:p>
        </w:tc>
        <w:tc>
          <w:tcPr>
            <w:tcW w:w="1161" w:type="dxa"/>
            <w:tcBorders>
              <w:top w:val="nil"/>
              <w:left w:val="nil"/>
              <w:bottom w:val="single" w:sz="4" w:space="0" w:color="auto"/>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Estimates</w:t>
            </w:r>
          </w:p>
        </w:tc>
        <w:tc>
          <w:tcPr>
            <w:tcW w:w="980" w:type="dxa"/>
            <w:tcBorders>
              <w:top w:val="nil"/>
              <w:left w:val="nil"/>
              <w:bottom w:val="single" w:sz="4" w:space="0" w:color="auto"/>
              <w:right w:val="single" w:sz="4" w:space="0" w:color="FFFFFF"/>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6</w:t>
            </w:r>
            <w:r w:rsidRPr="009361AB">
              <w:rPr>
                <w:rFonts w:ascii="Arial" w:eastAsia="Times New Roman" w:hAnsi="Arial" w:cs="Arial"/>
                <w:b/>
                <w:bCs/>
                <w:color w:val="FFFFFF"/>
                <w:sz w:val="20"/>
                <w:szCs w:val="20"/>
              </w:rPr>
              <w:t xml:space="preserve"> Load Impact (MW)</w:t>
            </w:r>
          </w:p>
        </w:tc>
        <w:tc>
          <w:tcPr>
            <w:tcW w:w="980" w:type="dxa"/>
            <w:tcBorders>
              <w:top w:val="nil"/>
              <w:left w:val="nil"/>
              <w:bottom w:val="single" w:sz="4" w:space="0" w:color="auto"/>
              <w:right w:val="single" w:sz="4" w:space="0" w:color="000000"/>
            </w:tcBorders>
            <w:shd w:val="clear" w:color="000000" w:fill="0070D0"/>
            <w:vAlign w:val="center"/>
            <w:hideMark/>
          </w:tcPr>
          <w:p w:rsidR="001D1C3E" w:rsidRPr="009361AB" w:rsidRDefault="001D1C3E" w:rsidP="00F13AE8">
            <w:pPr>
              <w:spacing w:after="0" w:line="240" w:lineRule="auto"/>
              <w:jc w:val="center"/>
              <w:rPr>
                <w:rFonts w:ascii="Arial" w:eastAsia="Times New Roman" w:hAnsi="Arial" w:cs="Arial"/>
                <w:b/>
                <w:bCs/>
                <w:color w:val="FFFFFF"/>
                <w:sz w:val="20"/>
                <w:szCs w:val="20"/>
              </w:rPr>
            </w:pPr>
            <w:r w:rsidRPr="009361AB">
              <w:rPr>
                <w:rFonts w:ascii="Arial" w:eastAsia="Times New Roman" w:hAnsi="Arial" w:cs="Arial"/>
                <w:b/>
                <w:bCs/>
                <w:color w:val="FFFFFF"/>
                <w:sz w:val="20"/>
                <w:szCs w:val="20"/>
              </w:rPr>
              <w:t>201</w:t>
            </w:r>
            <w:r>
              <w:rPr>
                <w:rFonts w:ascii="Arial" w:eastAsia="Times New Roman" w:hAnsi="Arial" w:cs="Arial"/>
                <w:b/>
                <w:bCs/>
                <w:color w:val="FFFFFF"/>
                <w:sz w:val="20"/>
                <w:szCs w:val="20"/>
              </w:rPr>
              <w:t>7</w:t>
            </w:r>
            <w:r w:rsidRPr="009361AB">
              <w:rPr>
                <w:rFonts w:ascii="Arial" w:eastAsia="Times New Roman" w:hAnsi="Arial" w:cs="Arial"/>
                <w:b/>
                <w:bCs/>
                <w:color w:val="FFFFFF"/>
                <w:sz w:val="20"/>
                <w:szCs w:val="20"/>
              </w:rPr>
              <w:t xml:space="preserve"> Load Impact (MW)</w:t>
            </w:r>
          </w:p>
        </w:tc>
      </w:tr>
      <w:tr w:rsidR="001D1C3E" w:rsidRPr="008C521A" w:rsidTr="00F13AE8">
        <w:trPr>
          <w:trHeight w:val="360"/>
          <w:jc w:val="center"/>
        </w:trPr>
        <w:tc>
          <w:tcPr>
            <w:tcW w:w="1006" w:type="dxa"/>
            <w:vMerge w:val="restart"/>
            <w:tcBorders>
              <w:top w:val="nil"/>
              <w:left w:val="single" w:sz="4" w:space="0" w:color="auto"/>
              <w:bottom w:val="nil"/>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1-in-2</w:t>
            </w:r>
          </w:p>
        </w:tc>
        <w:tc>
          <w:tcPr>
            <w:tcW w:w="1119" w:type="dxa"/>
            <w:tcBorders>
              <w:top w:val="nil"/>
              <w:left w:val="nil"/>
              <w:bottom w:val="single" w:sz="4" w:space="0" w:color="auto"/>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201</w:t>
            </w:r>
            <w:r>
              <w:rPr>
                <w:rFonts w:ascii="Arial" w:eastAsia="Times New Roman" w:hAnsi="Arial" w:cs="Arial"/>
                <w:color w:val="000000"/>
                <w:sz w:val="20"/>
                <w:szCs w:val="20"/>
              </w:rPr>
              <w:t>8</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6.4</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6</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8C521A" w:rsidTr="00F13AE8">
        <w:trPr>
          <w:trHeight w:val="360"/>
          <w:jc w:val="center"/>
        </w:trPr>
        <w:tc>
          <w:tcPr>
            <w:tcW w:w="1006" w:type="dxa"/>
            <w:vMerge/>
            <w:tcBorders>
              <w:top w:val="nil"/>
              <w:left w:val="single" w:sz="4" w:space="0" w:color="auto"/>
              <w:bottom w:val="nil"/>
              <w:right w:val="single" w:sz="4" w:space="0" w:color="auto"/>
            </w:tcBorders>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2020</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9</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9</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8C521A" w:rsidTr="00F13AE8">
        <w:trPr>
          <w:trHeight w:val="360"/>
          <w:jc w:val="center"/>
        </w:trPr>
        <w:tc>
          <w:tcPr>
            <w:tcW w:w="1006" w:type="dxa"/>
            <w:vMerge/>
            <w:tcBorders>
              <w:top w:val="nil"/>
              <w:left w:val="single" w:sz="4" w:space="0" w:color="auto"/>
              <w:bottom w:val="nil"/>
              <w:right w:val="single" w:sz="4" w:space="0" w:color="auto"/>
            </w:tcBorders>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202</w:t>
            </w:r>
            <w:r>
              <w:rPr>
                <w:rFonts w:ascii="Arial" w:eastAsia="Times New Roman" w:hAnsi="Arial" w:cs="Arial"/>
                <w:color w:val="000000"/>
                <w:sz w:val="20"/>
                <w:szCs w:val="20"/>
              </w:rPr>
              <w:t>7</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11.8</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9</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8C521A" w:rsidTr="00F13AE8">
        <w:trPr>
          <w:trHeight w:val="360"/>
          <w:jc w:val="center"/>
        </w:trPr>
        <w:tc>
          <w:tcPr>
            <w:tcW w:w="100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1-in-10</w:t>
            </w:r>
          </w:p>
        </w:tc>
        <w:tc>
          <w:tcPr>
            <w:tcW w:w="1119" w:type="dxa"/>
            <w:tcBorders>
              <w:top w:val="nil"/>
              <w:left w:val="nil"/>
              <w:bottom w:val="single" w:sz="4" w:space="0" w:color="auto"/>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201</w:t>
            </w:r>
            <w:r>
              <w:rPr>
                <w:rFonts w:ascii="Arial" w:eastAsia="Times New Roman" w:hAnsi="Arial" w:cs="Arial"/>
                <w:color w:val="000000"/>
                <w:sz w:val="20"/>
                <w:szCs w:val="20"/>
              </w:rPr>
              <w:t>8</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6.4</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6</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8C521A" w:rsidTr="00F13AE8">
        <w:trPr>
          <w:trHeight w:val="360"/>
          <w:jc w:val="center"/>
        </w:trPr>
        <w:tc>
          <w:tcPr>
            <w:tcW w:w="1006" w:type="dxa"/>
            <w:vMerge/>
            <w:tcBorders>
              <w:top w:val="single" w:sz="4" w:space="0" w:color="auto"/>
              <w:left w:val="single" w:sz="4" w:space="0" w:color="auto"/>
              <w:bottom w:val="single" w:sz="4" w:space="0" w:color="000000"/>
              <w:right w:val="single" w:sz="4" w:space="0" w:color="auto"/>
            </w:tcBorders>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2020</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9</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9</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r w:rsidR="001D1C3E" w:rsidRPr="008C521A" w:rsidTr="00F13AE8">
        <w:trPr>
          <w:trHeight w:val="360"/>
          <w:jc w:val="center"/>
        </w:trPr>
        <w:tc>
          <w:tcPr>
            <w:tcW w:w="1006" w:type="dxa"/>
            <w:vMerge/>
            <w:tcBorders>
              <w:top w:val="single" w:sz="4" w:space="0" w:color="auto"/>
              <w:left w:val="single" w:sz="4" w:space="0" w:color="auto"/>
              <w:bottom w:val="single" w:sz="4" w:space="0" w:color="000000"/>
              <w:right w:val="single" w:sz="4" w:space="0" w:color="auto"/>
            </w:tcBorders>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p>
        </w:tc>
        <w:tc>
          <w:tcPr>
            <w:tcW w:w="1119" w:type="dxa"/>
            <w:tcBorders>
              <w:top w:val="nil"/>
              <w:left w:val="nil"/>
              <w:bottom w:val="single" w:sz="4" w:space="0" w:color="auto"/>
              <w:right w:val="single" w:sz="4" w:space="0" w:color="auto"/>
            </w:tcBorders>
            <w:shd w:val="clear" w:color="auto" w:fill="auto"/>
            <w:noWrap/>
            <w:vAlign w:val="center"/>
            <w:hideMark/>
          </w:tcPr>
          <w:p w:rsidR="001D1C3E" w:rsidRPr="009361AB" w:rsidRDefault="001D1C3E" w:rsidP="00F13AE8">
            <w:pPr>
              <w:spacing w:after="0" w:line="240" w:lineRule="auto"/>
              <w:jc w:val="center"/>
              <w:rPr>
                <w:rFonts w:ascii="Arial" w:eastAsia="Times New Roman" w:hAnsi="Arial" w:cs="Arial"/>
                <w:color w:val="000000"/>
                <w:sz w:val="20"/>
                <w:szCs w:val="20"/>
              </w:rPr>
            </w:pPr>
            <w:r w:rsidRPr="009361AB">
              <w:rPr>
                <w:rFonts w:ascii="Arial" w:eastAsia="Times New Roman" w:hAnsi="Arial" w:cs="Arial"/>
                <w:color w:val="000000"/>
                <w:sz w:val="20"/>
                <w:szCs w:val="20"/>
              </w:rPr>
              <w:t>202</w:t>
            </w:r>
            <w:r>
              <w:rPr>
                <w:rFonts w:ascii="Arial" w:eastAsia="Times New Roman" w:hAnsi="Arial" w:cs="Arial"/>
                <w:color w:val="000000"/>
                <w:sz w:val="20"/>
                <w:szCs w:val="20"/>
              </w:rPr>
              <w:t>7</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11.8</w:t>
            </w:r>
          </w:p>
        </w:tc>
        <w:tc>
          <w:tcPr>
            <w:tcW w:w="1161" w:type="dxa"/>
            <w:tcBorders>
              <w:top w:val="nil"/>
              <w:left w:val="nil"/>
              <w:bottom w:val="single" w:sz="4" w:space="0" w:color="auto"/>
              <w:right w:val="single" w:sz="4" w:space="0" w:color="auto"/>
            </w:tcBorders>
            <w:shd w:val="clear" w:color="auto" w:fill="auto"/>
            <w:noWrap/>
            <w:vAlign w:val="center"/>
          </w:tcPr>
          <w:p w:rsidR="001D1C3E" w:rsidRPr="009361AB" w:rsidRDefault="001D1C3E" w:rsidP="00F13AE8">
            <w:pPr>
              <w:spacing w:after="0" w:line="240" w:lineRule="auto"/>
              <w:jc w:val="center"/>
              <w:rPr>
                <w:rFonts w:ascii="Arial" w:eastAsia="Times New Roman" w:hAnsi="Arial" w:cs="Arial"/>
                <w:color w:val="000000"/>
                <w:sz w:val="20"/>
                <w:szCs w:val="20"/>
              </w:rPr>
            </w:pPr>
            <w:r>
              <w:rPr>
                <w:rFonts w:ascii="Arial" w:eastAsia="Times New Roman" w:hAnsi="Arial" w:cs="Arial"/>
                <w:color w:val="000000"/>
                <w:sz w:val="20"/>
                <w:szCs w:val="20"/>
              </w:rPr>
              <w:t>9</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1161"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c>
          <w:tcPr>
            <w:tcW w:w="980" w:type="dxa"/>
            <w:tcBorders>
              <w:top w:val="nil"/>
              <w:left w:val="nil"/>
              <w:bottom w:val="single" w:sz="4" w:space="0" w:color="auto"/>
              <w:right w:val="single" w:sz="4" w:space="0" w:color="auto"/>
            </w:tcBorders>
            <w:shd w:val="clear" w:color="auto" w:fill="auto"/>
            <w:noWrap/>
            <w:vAlign w:val="bottom"/>
          </w:tcPr>
          <w:p w:rsidR="001D1C3E" w:rsidRPr="00952E1D" w:rsidRDefault="001D1C3E" w:rsidP="00F13AE8">
            <w:pPr>
              <w:spacing w:after="0"/>
              <w:jc w:val="center"/>
              <w:rPr>
                <w:rFonts w:ascii="Arial" w:hAnsi="Arial" w:cs="Arial"/>
                <w:color w:val="000000"/>
                <w:sz w:val="20"/>
                <w:szCs w:val="20"/>
                <w:highlight w:val="black"/>
              </w:rPr>
            </w:pPr>
            <w:r w:rsidRPr="00952E1D">
              <w:rPr>
                <w:rFonts w:ascii="Arial" w:hAnsi="Arial" w:cs="Arial"/>
                <w:color w:val="000000"/>
                <w:sz w:val="20"/>
                <w:szCs w:val="20"/>
                <w:highlight w:val="black"/>
              </w:rPr>
              <w:t>XXXX</w:t>
            </w:r>
          </w:p>
        </w:tc>
      </w:tr>
    </w:tbl>
    <w:p w:rsidR="007F76B8" w:rsidRDefault="007F76B8">
      <w:pPr>
        <w:pStyle w:val="BodyParagraph"/>
        <w:rPr>
          <w:highlight w:val="yellow"/>
        </w:rPr>
        <w:sectPr w:rsidR="007F76B8" w:rsidSect="00F3034B">
          <w:footerReference w:type="default" r:id="rId64"/>
          <w:pgSz w:w="15840" w:h="12240" w:orient="landscape"/>
          <w:pgMar w:top="720" w:right="1440" w:bottom="1080" w:left="1440" w:header="720" w:footer="720" w:gutter="0"/>
          <w:cols w:space="720"/>
          <w:docGrid w:linePitch="360"/>
        </w:sectPr>
      </w:pPr>
    </w:p>
    <w:p w:rsidR="00F1237C" w:rsidRPr="00E42E43" w:rsidRDefault="00F1237C" w:rsidP="00F1237C">
      <w:pPr>
        <w:pStyle w:val="Heading2"/>
        <w:spacing w:before="360"/>
      </w:pPr>
      <w:bookmarkStart w:id="98" w:name="_Toc382926515"/>
      <w:bookmarkStart w:id="99" w:name="_Toc412919726"/>
      <w:bookmarkStart w:id="100" w:name="_Toc507085067"/>
      <w:r w:rsidRPr="00E42E43">
        <w:lastRenderedPageBreak/>
        <w:t>SDG&amp;E Results</w:t>
      </w:r>
      <w:bookmarkEnd w:id="98"/>
      <w:bookmarkEnd w:id="99"/>
      <w:bookmarkEnd w:id="100"/>
    </w:p>
    <w:p w:rsidR="00F1237C" w:rsidRPr="00A966E1" w:rsidRDefault="00F1237C" w:rsidP="00F1237C">
      <w:pPr>
        <w:pStyle w:val="BodyParagraph"/>
      </w:pPr>
      <w:r w:rsidRPr="00E42E43">
        <w:t xml:space="preserve">SDG&amp;E’s service territory only has one LCA so the results are not divided geographically. </w:t>
      </w:r>
      <w:r>
        <w:rPr>
          <w:highlight w:val="yellow"/>
        </w:rPr>
        <w:fldChar w:fldCharType="begin"/>
      </w:r>
      <w:r>
        <w:instrText xml:space="preserve"> REF _Ref477846760 \h </w:instrText>
      </w:r>
      <w:r>
        <w:rPr>
          <w:highlight w:val="yellow"/>
        </w:rPr>
      </w:r>
      <w:r>
        <w:rPr>
          <w:highlight w:val="yellow"/>
        </w:rPr>
        <w:fldChar w:fldCharType="separate"/>
      </w:r>
      <w:r w:rsidR="001F391A">
        <w:t xml:space="preserve">Table </w:t>
      </w:r>
      <w:r w:rsidR="001F391A">
        <w:rPr>
          <w:noProof/>
        </w:rPr>
        <w:t>6</w:t>
      </w:r>
      <w:r w:rsidR="001F391A">
        <w:noBreakHyphen/>
      </w:r>
      <w:r w:rsidR="001F391A">
        <w:rPr>
          <w:noProof/>
        </w:rPr>
        <w:t>17</w:t>
      </w:r>
      <w:r>
        <w:rPr>
          <w:highlight w:val="yellow"/>
        </w:rPr>
        <w:fldChar w:fldCharType="end"/>
      </w:r>
      <w:r w:rsidRPr="00A83207">
        <w:t xml:space="preserve"> provides the ex ante load impact estimates for monthly system peak days in May through October of 201</w:t>
      </w:r>
      <w:r w:rsidR="003C7DFB">
        <w:t>8</w:t>
      </w:r>
      <w:r w:rsidRPr="00A83207">
        <w:t xml:space="preserve">, under </w:t>
      </w:r>
      <w:r>
        <w:t>SDG&amp;E</w:t>
      </w:r>
      <w:r w:rsidRPr="00A83207">
        <w:t xml:space="preserve">-specific, 1-in-2 and 1-in-10 year weather conditions for the base scenario. </w:t>
      </w:r>
      <w:r>
        <w:fldChar w:fldCharType="begin"/>
      </w:r>
      <w:r>
        <w:instrText xml:space="preserve"> REF _Ref477846938 \h </w:instrText>
      </w:r>
      <w:r>
        <w:fldChar w:fldCharType="separate"/>
      </w:r>
      <w:r w:rsidR="001F391A">
        <w:t xml:space="preserve">Table </w:t>
      </w:r>
      <w:r w:rsidR="001F391A">
        <w:rPr>
          <w:noProof/>
        </w:rPr>
        <w:t>6</w:t>
      </w:r>
      <w:r w:rsidR="001F391A">
        <w:noBreakHyphen/>
      </w:r>
      <w:r w:rsidR="001F391A">
        <w:rPr>
          <w:noProof/>
        </w:rPr>
        <w:t>18</w:t>
      </w:r>
      <w:r>
        <w:fldChar w:fldCharType="end"/>
      </w:r>
      <w:r>
        <w:t xml:space="preserve"> and </w:t>
      </w:r>
      <w:r>
        <w:fldChar w:fldCharType="begin"/>
      </w:r>
      <w:r>
        <w:instrText xml:space="preserve"> REF _Ref477846878 \h </w:instrText>
      </w:r>
      <w:r>
        <w:fldChar w:fldCharType="separate"/>
      </w:r>
      <w:r w:rsidR="001F391A">
        <w:t xml:space="preserve">Table </w:t>
      </w:r>
      <w:r w:rsidR="001F391A">
        <w:rPr>
          <w:noProof/>
        </w:rPr>
        <w:t>6</w:t>
      </w:r>
      <w:r w:rsidR="001F391A">
        <w:noBreakHyphen/>
      </w:r>
      <w:r w:rsidR="001F391A">
        <w:rPr>
          <w:noProof/>
        </w:rPr>
        <w:t>19</w:t>
      </w:r>
      <w:r>
        <w:fldChar w:fldCharType="end"/>
      </w:r>
      <w:r>
        <w:t xml:space="preserve"> </w:t>
      </w:r>
      <w:r w:rsidRPr="00A83207">
        <w:t>provide results for 201</w:t>
      </w:r>
      <w:r w:rsidR="003C7DFB">
        <w:t>9</w:t>
      </w:r>
      <w:r w:rsidRPr="00A83207">
        <w:t xml:space="preserve"> and 202</w:t>
      </w:r>
      <w:r w:rsidR="003C7DFB">
        <w:t>8</w:t>
      </w:r>
      <w:r w:rsidRPr="00A83207">
        <w:t xml:space="preserve">, respectively. </w:t>
      </w:r>
      <w:r>
        <w:t xml:space="preserve">SDG&amp;E has </w:t>
      </w:r>
      <w:r w:rsidR="003C7DFB">
        <w:t>three</w:t>
      </w:r>
      <w:r w:rsidR="008716A0">
        <w:t xml:space="preserve"> </w:t>
      </w:r>
      <w:r>
        <w:t>operational project</w:t>
      </w:r>
      <w:r w:rsidR="003C7DFB">
        <w:t>s</w:t>
      </w:r>
      <w:r>
        <w:t>. The remaining</w:t>
      </w:r>
      <w:r w:rsidR="003C7DFB">
        <w:t xml:space="preserve"> two</w:t>
      </w:r>
      <w:r>
        <w:t xml:space="preserve"> identified projects are expected to become operational in 201</w:t>
      </w:r>
      <w:r w:rsidR="003C7DFB">
        <w:t>8</w:t>
      </w:r>
      <w:r>
        <w:t>.</w:t>
      </w:r>
      <w:r w:rsidRPr="007A46F6">
        <w:t xml:space="preserve"> </w:t>
      </w:r>
      <w:r w:rsidR="00A23D26">
        <w:t>Once the remaining identified projects are installed SDG&amp;E is projected to have a 2.3 MW load shift under SDG&amp;E specific, September 1-in-10 monthly peak conditions</w:t>
      </w:r>
    </w:p>
    <w:p w:rsidR="00F1237C" w:rsidRPr="00B828B0" w:rsidRDefault="00F1237C" w:rsidP="00F1237C">
      <w:pPr>
        <w:pStyle w:val="BodyParagraph"/>
        <w:rPr>
          <w:highlight w:val="yellow"/>
        </w:rPr>
        <w:sectPr w:rsidR="00F1237C" w:rsidRPr="00B828B0" w:rsidSect="00935A04">
          <w:footerReference w:type="default" r:id="rId65"/>
          <w:pgSz w:w="12240" w:h="15840"/>
          <w:pgMar w:top="1440" w:right="1440" w:bottom="1440" w:left="1440" w:header="720" w:footer="720" w:gutter="0"/>
          <w:cols w:space="720"/>
          <w:docGrid w:linePitch="360"/>
        </w:sectPr>
      </w:pPr>
      <w:r w:rsidRPr="00825038">
        <w:t xml:space="preserve">CAISO specific impacts are covered in greater detail below. For comparison purposes, the </w:t>
      </w:r>
      <w:r w:rsidRPr="00DA3863">
        <w:t xml:space="preserve">CAISO impact for the 2024 September 1-in-10 monthly peak conditions is </w:t>
      </w:r>
      <w:r w:rsidR="00A23D26">
        <w:t>2.</w:t>
      </w:r>
      <w:r w:rsidR="0097513D">
        <w:t>1</w:t>
      </w:r>
      <w:r w:rsidRPr="00DA3863">
        <w:t xml:space="preserve"> MW,</w:t>
      </w:r>
      <w:r w:rsidRPr="00825038">
        <w:t xml:space="preserve"> which is </w:t>
      </w:r>
      <w:r>
        <w:t>about</w:t>
      </w:r>
      <w:r w:rsidRPr="00825038">
        <w:t xml:space="preserve"> </w:t>
      </w:r>
      <w:r w:rsidR="00A23D26">
        <w:t>5</w:t>
      </w:r>
      <w:r w:rsidRPr="00825038">
        <w:t xml:space="preserve">% lower than the comparable utility specific monthly peak. </w:t>
      </w:r>
    </w:p>
    <w:p w:rsidR="00F1237C" w:rsidRDefault="00F1237C" w:rsidP="00F1237C">
      <w:pPr>
        <w:pStyle w:val="TableFigureCaption"/>
        <w:spacing w:before="240" w:after="200"/>
      </w:pPr>
      <w:bookmarkStart w:id="101" w:name="_Ref477846760"/>
      <w:r>
        <w:lastRenderedPageBreak/>
        <w:t xml:space="preserve">Table </w:t>
      </w:r>
      <w:fldSimple w:instr=" STYLEREF 1 \s ">
        <w:r w:rsidR="001F391A">
          <w:rPr>
            <w:noProof/>
          </w:rPr>
          <w:t>6</w:t>
        </w:r>
      </w:fldSimple>
      <w:r w:rsidR="008139B9">
        <w:noBreakHyphen/>
      </w:r>
      <w:fldSimple w:instr=" SEQ Table \* ARABIC \s 1 ">
        <w:r w:rsidR="001F391A">
          <w:rPr>
            <w:noProof/>
          </w:rPr>
          <w:t>17</w:t>
        </w:r>
      </w:fldSimple>
      <w:bookmarkEnd w:id="101"/>
      <w:r>
        <w:t xml:space="preserve">: </w:t>
      </w:r>
      <w:r w:rsidRPr="00362037">
        <w:t>S</w:t>
      </w:r>
      <w:r>
        <w:t>DG&amp;E</w:t>
      </w:r>
      <w:r w:rsidRPr="00362037">
        <w:t xml:space="preserve"> Ex Ante Load Impact Estimates (1</w:t>
      </w:r>
      <w:r>
        <w:rPr>
          <w:rFonts w:cs="Arial"/>
        </w:rPr>
        <w:t xml:space="preserve"> to </w:t>
      </w:r>
      <w:r w:rsidRPr="00362037">
        <w:t xml:space="preserve">6 PM) on Monthly Peak Days </w:t>
      </w:r>
      <w:r>
        <w:br/>
      </w:r>
      <w:r w:rsidRPr="00362037">
        <w:t>for May–October 201</w:t>
      </w:r>
      <w:r w:rsidR="00ED5526">
        <w:t>8</w:t>
      </w:r>
      <w:r w:rsidRPr="00362037">
        <w:t xml:space="preserve"> (kW) </w:t>
      </w:r>
    </w:p>
    <w:tbl>
      <w:tblPr>
        <w:tblW w:w="13855" w:type="dxa"/>
        <w:jc w:val="center"/>
        <w:tblInd w:w="-162" w:type="dxa"/>
        <w:tblLook w:val="04A0" w:firstRow="1" w:lastRow="0" w:firstColumn="1" w:lastColumn="0" w:noHBand="0" w:noVBand="1"/>
      </w:tblPr>
      <w:tblGrid>
        <w:gridCol w:w="3295"/>
        <w:gridCol w:w="880"/>
        <w:gridCol w:w="880"/>
        <w:gridCol w:w="880"/>
        <w:gridCol w:w="880"/>
        <w:gridCol w:w="880"/>
        <w:gridCol w:w="880"/>
        <w:gridCol w:w="880"/>
        <w:gridCol w:w="880"/>
        <w:gridCol w:w="880"/>
        <w:gridCol w:w="880"/>
        <w:gridCol w:w="880"/>
        <w:gridCol w:w="880"/>
      </w:tblGrid>
      <w:tr w:rsidR="00F1237C" w:rsidRPr="00292F0A" w:rsidTr="0058471F">
        <w:trPr>
          <w:trHeight w:val="300"/>
          <w:jc w:val="center"/>
        </w:trPr>
        <w:tc>
          <w:tcPr>
            <w:tcW w:w="3295" w:type="dxa"/>
            <w:vMerge w:val="restart"/>
            <w:tcBorders>
              <w:top w:val="single" w:sz="4" w:space="0" w:color="000000"/>
              <w:left w:val="single" w:sz="4" w:space="0" w:color="000000"/>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LCA</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May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June</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July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August</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September</w:t>
            </w:r>
          </w:p>
        </w:tc>
        <w:tc>
          <w:tcPr>
            <w:tcW w:w="176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October</w:t>
            </w:r>
          </w:p>
        </w:tc>
      </w:tr>
      <w:tr w:rsidR="00F1237C" w:rsidRPr="00292F0A" w:rsidTr="0058471F">
        <w:trPr>
          <w:trHeight w:val="300"/>
          <w:jc w:val="center"/>
        </w:trPr>
        <w:tc>
          <w:tcPr>
            <w:tcW w:w="3295" w:type="dxa"/>
            <w:vMerge/>
            <w:tcBorders>
              <w:top w:val="single" w:sz="4" w:space="0" w:color="000000"/>
              <w:left w:val="single" w:sz="4" w:space="0" w:color="000000"/>
              <w:bottom w:val="single" w:sz="4" w:space="0" w:color="FFFFFF"/>
              <w:right w:val="single" w:sz="4" w:space="0" w:color="FFFFFF"/>
            </w:tcBorders>
            <w:vAlign w:val="center"/>
            <w:hideMark/>
          </w:tcPr>
          <w:p w:rsidR="00F1237C" w:rsidRPr="00292F0A" w:rsidRDefault="00F1237C" w:rsidP="0058471F">
            <w:pPr>
              <w:pStyle w:val="TableHeader"/>
              <w:spacing w:before="0" w:after="0"/>
              <w:contextualSpacing/>
              <w:rPr>
                <w:rFonts w:eastAsia="Times New Roman"/>
              </w:rPr>
            </w:pP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000000"/>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r>
      <w:tr w:rsidR="00ED5526" w:rsidRPr="00362037" w:rsidTr="0097513D">
        <w:trPr>
          <w:trHeight w:val="300"/>
          <w:jc w:val="center"/>
        </w:trPr>
        <w:tc>
          <w:tcPr>
            <w:tcW w:w="3295" w:type="dxa"/>
            <w:tcBorders>
              <w:top w:val="nil"/>
              <w:left w:val="single" w:sz="4" w:space="0" w:color="000000"/>
              <w:bottom w:val="single" w:sz="4" w:space="0" w:color="000000"/>
              <w:right w:val="single" w:sz="4" w:space="0" w:color="000000"/>
            </w:tcBorders>
            <w:shd w:val="clear" w:color="auto" w:fill="auto"/>
            <w:noWrap/>
            <w:vAlign w:val="center"/>
            <w:hideMark/>
          </w:tcPr>
          <w:p w:rsidR="00ED5526" w:rsidRPr="00E42E43" w:rsidRDefault="00ED5526" w:rsidP="0097513D">
            <w:pPr>
              <w:pStyle w:val="TableText"/>
              <w:spacing w:before="0" w:after="0"/>
              <w:contextualSpacing/>
              <w:rPr>
                <w:rFonts w:eastAsia="Times New Roman" w:cs="Arial"/>
                <w:bCs/>
                <w:sz w:val="18"/>
                <w:szCs w:val="18"/>
              </w:rPr>
            </w:pPr>
            <w:r w:rsidRPr="00E42E43">
              <w:rPr>
                <w:rFonts w:eastAsia="Times New Roman" w:cs="Arial"/>
                <w:bCs/>
                <w:szCs w:val="18"/>
              </w:rPr>
              <w:t>SDG&amp;E (Total)</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1,082</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1,337</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989</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1,343</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1,677</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1,971</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1,863</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2,092</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2,049</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2,305</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1,902</w:t>
            </w:r>
          </w:p>
        </w:tc>
        <w:tc>
          <w:tcPr>
            <w:tcW w:w="880" w:type="dxa"/>
            <w:tcBorders>
              <w:top w:val="nil"/>
              <w:left w:val="nil"/>
              <w:bottom w:val="single" w:sz="4" w:space="0" w:color="000000"/>
              <w:right w:val="single" w:sz="4" w:space="0" w:color="000000"/>
            </w:tcBorders>
            <w:shd w:val="clear" w:color="auto" w:fill="auto"/>
            <w:noWrap/>
            <w:vAlign w:val="center"/>
          </w:tcPr>
          <w:p w:rsidR="00ED5526" w:rsidRPr="00722025" w:rsidRDefault="00ED5526" w:rsidP="0097513D">
            <w:pPr>
              <w:spacing w:after="0"/>
              <w:jc w:val="center"/>
              <w:rPr>
                <w:rFonts w:cstheme="minorHAnsi"/>
                <w:color w:val="000000"/>
                <w:sz w:val="20"/>
                <w:szCs w:val="20"/>
                <w:highlight w:val="lightGray"/>
              </w:rPr>
            </w:pPr>
            <w:r>
              <w:rPr>
                <w:rFonts w:ascii="Arial" w:hAnsi="Arial" w:cs="Arial"/>
                <w:color w:val="000000"/>
                <w:sz w:val="20"/>
                <w:szCs w:val="20"/>
              </w:rPr>
              <w:t>2,035</w:t>
            </w:r>
          </w:p>
        </w:tc>
      </w:tr>
    </w:tbl>
    <w:p w:rsidR="00F1237C" w:rsidRDefault="00F1237C" w:rsidP="00F1237C">
      <w:pPr>
        <w:pStyle w:val="TableFigureCaption"/>
        <w:spacing w:before="240" w:after="200"/>
      </w:pPr>
      <w:bookmarkStart w:id="102" w:name="_Ref477846938"/>
      <w:r>
        <w:t xml:space="preserve">Table </w:t>
      </w:r>
      <w:fldSimple w:instr=" STYLEREF 1 \s ">
        <w:r w:rsidR="001F391A">
          <w:rPr>
            <w:noProof/>
          </w:rPr>
          <w:t>6</w:t>
        </w:r>
      </w:fldSimple>
      <w:r w:rsidR="008139B9">
        <w:noBreakHyphen/>
      </w:r>
      <w:fldSimple w:instr=" SEQ Table \* ARABIC \s 1 ">
        <w:r w:rsidR="001F391A">
          <w:rPr>
            <w:noProof/>
          </w:rPr>
          <w:t>18</w:t>
        </w:r>
      </w:fldSimple>
      <w:bookmarkEnd w:id="102"/>
      <w:r>
        <w:t xml:space="preserve">: </w:t>
      </w:r>
      <w:r w:rsidRPr="00362037">
        <w:t>S</w:t>
      </w:r>
      <w:r>
        <w:t>DG&amp;E</w:t>
      </w:r>
      <w:r w:rsidRPr="00362037">
        <w:t xml:space="preserve"> Ex Ante Load Impact Estimates (1</w:t>
      </w:r>
      <w:r>
        <w:t xml:space="preserve"> </w:t>
      </w:r>
      <w:r>
        <w:rPr>
          <w:rFonts w:cs="Arial"/>
        </w:rPr>
        <w:t xml:space="preserve">to </w:t>
      </w:r>
      <w:r w:rsidRPr="00362037">
        <w:t xml:space="preserve">6 PM) on Monthly Peak Days </w:t>
      </w:r>
      <w:r>
        <w:br/>
      </w:r>
      <w:r w:rsidRPr="00362037">
        <w:t>for May–October 201</w:t>
      </w:r>
      <w:r w:rsidR="00ED5526">
        <w:t>9</w:t>
      </w:r>
      <w:r w:rsidRPr="00362037">
        <w:t xml:space="preserve"> (kW) </w:t>
      </w:r>
    </w:p>
    <w:tbl>
      <w:tblPr>
        <w:tblW w:w="13855" w:type="dxa"/>
        <w:jc w:val="center"/>
        <w:tblInd w:w="-162" w:type="dxa"/>
        <w:tblLook w:val="04A0" w:firstRow="1" w:lastRow="0" w:firstColumn="1" w:lastColumn="0" w:noHBand="0" w:noVBand="1"/>
      </w:tblPr>
      <w:tblGrid>
        <w:gridCol w:w="3295"/>
        <w:gridCol w:w="880"/>
        <w:gridCol w:w="880"/>
        <w:gridCol w:w="880"/>
        <w:gridCol w:w="880"/>
        <w:gridCol w:w="880"/>
        <w:gridCol w:w="880"/>
        <w:gridCol w:w="880"/>
        <w:gridCol w:w="880"/>
        <w:gridCol w:w="880"/>
        <w:gridCol w:w="880"/>
        <w:gridCol w:w="880"/>
        <w:gridCol w:w="880"/>
      </w:tblGrid>
      <w:tr w:rsidR="00F1237C" w:rsidRPr="00292F0A" w:rsidTr="0058471F">
        <w:trPr>
          <w:trHeight w:val="300"/>
          <w:jc w:val="center"/>
        </w:trPr>
        <w:tc>
          <w:tcPr>
            <w:tcW w:w="3295" w:type="dxa"/>
            <w:vMerge w:val="restart"/>
            <w:tcBorders>
              <w:top w:val="single" w:sz="4" w:space="0" w:color="000000"/>
              <w:left w:val="single" w:sz="4" w:space="0" w:color="000000"/>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LCA</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May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June</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July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August</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September</w:t>
            </w:r>
          </w:p>
        </w:tc>
        <w:tc>
          <w:tcPr>
            <w:tcW w:w="176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October</w:t>
            </w:r>
          </w:p>
        </w:tc>
      </w:tr>
      <w:tr w:rsidR="00F1237C" w:rsidRPr="00292F0A" w:rsidTr="0058471F">
        <w:trPr>
          <w:trHeight w:val="300"/>
          <w:jc w:val="center"/>
        </w:trPr>
        <w:tc>
          <w:tcPr>
            <w:tcW w:w="3295" w:type="dxa"/>
            <w:vMerge/>
            <w:tcBorders>
              <w:top w:val="single" w:sz="4" w:space="0" w:color="000000"/>
              <w:left w:val="single" w:sz="4" w:space="0" w:color="000000"/>
              <w:bottom w:val="single" w:sz="4" w:space="0" w:color="FFFFFF"/>
              <w:right w:val="single" w:sz="4" w:space="0" w:color="FFFFFF"/>
            </w:tcBorders>
            <w:vAlign w:val="center"/>
            <w:hideMark/>
          </w:tcPr>
          <w:p w:rsidR="00F1237C" w:rsidRPr="00292F0A" w:rsidRDefault="00F1237C" w:rsidP="0058471F">
            <w:pPr>
              <w:pStyle w:val="TableHeader"/>
              <w:spacing w:before="0" w:after="0"/>
              <w:contextualSpacing/>
              <w:rPr>
                <w:rFonts w:eastAsia="Times New Roman"/>
              </w:rPr>
            </w:pP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000000"/>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r>
      <w:tr w:rsidR="00ED5526" w:rsidRPr="00E42E43" w:rsidTr="0097513D">
        <w:trPr>
          <w:trHeight w:val="300"/>
          <w:jc w:val="center"/>
        </w:trPr>
        <w:tc>
          <w:tcPr>
            <w:tcW w:w="3295" w:type="dxa"/>
            <w:tcBorders>
              <w:top w:val="nil"/>
              <w:left w:val="single" w:sz="4" w:space="0" w:color="000000"/>
              <w:bottom w:val="single" w:sz="4" w:space="0" w:color="000000"/>
              <w:right w:val="single" w:sz="4" w:space="0" w:color="000000"/>
            </w:tcBorders>
            <w:shd w:val="clear" w:color="auto" w:fill="auto"/>
            <w:noWrap/>
            <w:vAlign w:val="center"/>
            <w:hideMark/>
          </w:tcPr>
          <w:p w:rsidR="00ED5526" w:rsidRPr="00E42E43" w:rsidRDefault="00ED5526" w:rsidP="0097513D">
            <w:pPr>
              <w:pStyle w:val="TableText"/>
              <w:spacing w:before="0" w:after="0"/>
              <w:contextualSpacing/>
              <w:rPr>
                <w:rFonts w:eastAsia="Times New Roman" w:cs="Arial"/>
                <w:bCs/>
                <w:sz w:val="18"/>
                <w:szCs w:val="18"/>
              </w:rPr>
            </w:pPr>
            <w:r w:rsidRPr="00E42E43">
              <w:rPr>
                <w:rFonts w:eastAsia="Times New Roman" w:cs="Arial"/>
                <w:bCs/>
                <w:szCs w:val="18"/>
              </w:rPr>
              <w:t>SDG&amp;E (Total)</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1,528</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1,846</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1,451</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1,843</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1,677</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1,971</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1,863</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2,092</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2,049</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2,305</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1,902</w:t>
            </w:r>
          </w:p>
        </w:tc>
        <w:tc>
          <w:tcPr>
            <w:tcW w:w="880" w:type="dxa"/>
            <w:tcBorders>
              <w:top w:val="nil"/>
              <w:left w:val="nil"/>
              <w:bottom w:val="single" w:sz="4" w:space="0" w:color="000000"/>
              <w:right w:val="single" w:sz="4" w:space="0" w:color="000000"/>
            </w:tcBorders>
            <w:shd w:val="clear" w:color="auto" w:fill="auto"/>
            <w:noWrap/>
            <w:vAlign w:val="center"/>
          </w:tcPr>
          <w:p w:rsidR="00ED5526" w:rsidRPr="00E42E43" w:rsidRDefault="00ED5526" w:rsidP="0097513D">
            <w:pPr>
              <w:spacing w:after="0"/>
              <w:jc w:val="center"/>
              <w:rPr>
                <w:rFonts w:cstheme="minorHAnsi"/>
                <w:color w:val="000000"/>
                <w:sz w:val="20"/>
                <w:szCs w:val="20"/>
              </w:rPr>
            </w:pPr>
            <w:r>
              <w:rPr>
                <w:rFonts w:ascii="Arial" w:hAnsi="Arial" w:cs="Arial"/>
                <w:color w:val="000000"/>
                <w:sz w:val="20"/>
                <w:szCs w:val="20"/>
              </w:rPr>
              <w:t>2,035</w:t>
            </w:r>
          </w:p>
        </w:tc>
      </w:tr>
    </w:tbl>
    <w:p w:rsidR="00F1237C" w:rsidRPr="00362037" w:rsidRDefault="00F1237C" w:rsidP="00F1237C">
      <w:pPr>
        <w:pStyle w:val="TableFigureCaption"/>
        <w:spacing w:before="240" w:after="200"/>
      </w:pPr>
      <w:bookmarkStart w:id="103" w:name="_Ref477846878"/>
      <w:r>
        <w:t xml:space="preserve">Table </w:t>
      </w:r>
      <w:fldSimple w:instr=" STYLEREF 1 \s ">
        <w:r w:rsidR="001F391A">
          <w:rPr>
            <w:noProof/>
          </w:rPr>
          <w:t>6</w:t>
        </w:r>
      </w:fldSimple>
      <w:r w:rsidR="008139B9">
        <w:noBreakHyphen/>
      </w:r>
      <w:fldSimple w:instr=" SEQ Table \* ARABIC \s 1 ">
        <w:r w:rsidR="001F391A">
          <w:rPr>
            <w:noProof/>
          </w:rPr>
          <w:t>19</w:t>
        </w:r>
      </w:fldSimple>
      <w:bookmarkEnd w:id="103"/>
      <w:r>
        <w:t xml:space="preserve">: </w:t>
      </w:r>
      <w:r w:rsidRPr="00362037">
        <w:t>S</w:t>
      </w:r>
      <w:r>
        <w:t>DG&amp;E</w:t>
      </w:r>
      <w:r w:rsidRPr="00362037">
        <w:t xml:space="preserve"> Ex Ante Load Impact Estimates (1</w:t>
      </w:r>
      <w:r>
        <w:rPr>
          <w:rFonts w:cs="Arial"/>
        </w:rPr>
        <w:t xml:space="preserve"> to </w:t>
      </w:r>
      <w:r w:rsidRPr="00362037">
        <w:t>6 PM) on Month</w:t>
      </w:r>
      <w:r>
        <w:t xml:space="preserve">ly Peak Days </w:t>
      </w:r>
      <w:r>
        <w:br/>
        <w:t>for May–October 20</w:t>
      </w:r>
      <w:r w:rsidR="00ED5526">
        <w:t>28</w:t>
      </w:r>
      <w:r w:rsidRPr="00362037">
        <w:t xml:space="preserve"> (kW) </w:t>
      </w:r>
    </w:p>
    <w:tbl>
      <w:tblPr>
        <w:tblW w:w="13855" w:type="dxa"/>
        <w:jc w:val="center"/>
        <w:tblInd w:w="-162" w:type="dxa"/>
        <w:tblLook w:val="04A0" w:firstRow="1" w:lastRow="0" w:firstColumn="1" w:lastColumn="0" w:noHBand="0" w:noVBand="1"/>
      </w:tblPr>
      <w:tblGrid>
        <w:gridCol w:w="3295"/>
        <w:gridCol w:w="880"/>
        <w:gridCol w:w="880"/>
        <w:gridCol w:w="880"/>
        <w:gridCol w:w="880"/>
        <w:gridCol w:w="880"/>
        <w:gridCol w:w="880"/>
        <w:gridCol w:w="880"/>
        <w:gridCol w:w="880"/>
        <w:gridCol w:w="880"/>
        <w:gridCol w:w="880"/>
        <w:gridCol w:w="880"/>
        <w:gridCol w:w="880"/>
      </w:tblGrid>
      <w:tr w:rsidR="00F1237C" w:rsidRPr="00292F0A" w:rsidTr="0058471F">
        <w:trPr>
          <w:trHeight w:val="300"/>
          <w:jc w:val="center"/>
        </w:trPr>
        <w:tc>
          <w:tcPr>
            <w:tcW w:w="3295" w:type="dxa"/>
            <w:vMerge w:val="restart"/>
            <w:tcBorders>
              <w:top w:val="single" w:sz="4" w:space="0" w:color="000000"/>
              <w:left w:val="single" w:sz="4" w:space="0" w:color="000000"/>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LCA</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May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June</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July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August</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September</w:t>
            </w:r>
          </w:p>
        </w:tc>
        <w:tc>
          <w:tcPr>
            <w:tcW w:w="176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October</w:t>
            </w:r>
          </w:p>
        </w:tc>
      </w:tr>
      <w:tr w:rsidR="00F1237C" w:rsidRPr="00292F0A" w:rsidTr="0058471F">
        <w:trPr>
          <w:trHeight w:val="300"/>
          <w:jc w:val="center"/>
        </w:trPr>
        <w:tc>
          <w:tcPr>
            <w:tcW w:w="3295" w:type="dxa"/>
            <w:vMerge/>
            <w:tcBorders>
              <w:top w:val="single" w:sz="4" w:space="0" w:color="000000"/>
              <w:left w:val="single" w:sz="4" w:space="0" w:color="000000"/>
              <w:bottom w:val="single" w:sz="4" w:space="0" w:color="FFFFFF"/>
              <w:right w:val="single" w:sz="4" w:space="0" w:color="FFFFFF"/>
            </w:tcBorders>
            <w:vAlign w:val="center"/>
            <w:hideMark/>
          </w:tcPr>
          <w:p w:rsidR="00F1237C" w:rsidRPr="00292F0A" w:rsidRDefault="00F1237C" w:rsidP="0058471F">
            <w:pPr>
              <w:pStyle w:val="TableHeader"/>
              <w:spacing w:before="0" w:after="0"/>
              <w:contextualSpacing/>
              <w:rPr>
                <w:rFonts w:eastAsia="Times New Roman"/>
              </w:rPr>
            </w:pP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1-in-2</w:t>
            </w:r>
          </w:p>
        </w:tc>
        <w:tc>
          <w:tcPr>
            <w:tcW w:w="880" w:type="dxa"/>
            <w:tcBorders>
              <w:top w:val="nil"/>
              <w:left w:val="nil"/>
              <w:bottom w:val="single" w:sz="4" w:space="0" w:color="000000"/>
              <w:right w:val="single" w:sz="4" w:space="0" w:color="000000"/>
            </w:tcBorders>
            <w:shd w:val="clear" w:color="000000" w:fill="0070CD"/>
            <w:vAlign w:val="center"/>
            <w:hideMark/>
          </w:tcPr>
          <w:p w:rsidR="00F1237C" w:rsidRPr="00292F0A" w:rsidRDefault="00F1237C" w:rsidP="0058471F">
            <w:pPr>
              <w:pStyle w:val="TableHeader"/>
              <w:spacing w:before="0" w:after="0"/>
              <w:contextualSpacing/>
              <w:rPr>
                <w:rFonts w:eastAsia="Times New Roman"/>
              </w:rPr>
            </w:pPr>
            <w:r w:rsidRPr="00292F0A">
              <w:rPr>
                <w:rFonts w:eastAsia="Times New Roman"/>
              </w:rPr>
              <w:t>1-in-10</w:t>
            </w:r>
          </w:p>
        </w:tc>
      </w:tr>
      <w:tr w:rsidR="00ED5526" w:rsidRPr="00E42E43" w:rsidTr="0097513D">
        <w:trPr>
          <w:trHeight w:val="300"/>
          <w:jc w:val="center"/>
        </w:trPr>
        <w:tc>
          <w:tcPr>
            <w:tcW w:w="3295" w:type="dxa"/>
            <w:tcBorders>
              <w:top w:val="nil"/>
              <w:left w:val="single" w:sz="4" w:space="0" w:color="000000"/>
              <w:bottom w:val="single" w:sz="4" w:space="0" w:color="000000"/>
              <w:right w:val="single" w:sz="4" w:space="0" w:color="000000"/>
            </w:tcBorders>
            <w:shd w:val="clear" w:color="auto" w:fill="auto"/>
            <w:noWrap/>
            <w:vAlign w:val="center"/>
            <w:hideMark/>
          </w:tcPr>
          <w:p w:rsidR="00ED5526" w:rsidRPr="00E42E43" w:rsidRDefault="00ED5526" w:rsidP="0097513D">
            <w:pPr>
              <w:pStyle w:val="TableText"/>
              <w:spacing w:before="0" w:after="0"/>
              <w:contextualSpacing/>
              <w:rPr>
                <w:rFonts w:eastAsia="Times New Roman" w:cs="Arial"/>
                <w:bCs/>
                <w:sz w:val="18"/>
                <w:szCs w:val="18"/>
              </w:rPr>
            </w:pPr>
            <w:r w:rsidRPr="00E42E43">
              <w:rPr>
                <w:rFonts w:eastAsia="Times New Roman" w:cs="Arial"/>
                <w:bCs/>
                <w:szCs w:val="18"/>
              </w:rPr>
              <w:t>SDG&amp;E (Total)</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1,368</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1,637</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1,288</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1,624</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1,471</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1,732</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1,631</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1,831</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1,806</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2,025</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1,698</w:t>
            </w:r>
          </w:p>
        </w:tc>
        <w:tc>
          <w:tcPr>
            <w:tcW w:w="880" w:type="dxa"/>
            <w:tcBorders>
              <w:top w:val="nil"/>
              <w:left w:val="nil"/>
              <w:bottom w:val="single" w:sz="4" w:space="0" w:color="000000"/>
              <w:right w:val="single" w:sz="4" w:space="0" w:color="000000"/>
            </w:tcBorders>
            <w:shd w:val="clear" w:color="auto" w:fill="auto"/>
            <w:noWrap/>
            <w:vAlign w:val="center"/>
          </w:tcPr>
          <w:p w:rsidR="00ED5526" w:rsidRPr="006B2DFA" w:rsidRDefault="00ED5526" w:rsidP="0097513D">
            <w:pPr>
              <w:spacing w:after="0" w:line="240" w:lineRule="auto"/>
              <w:jc w:val="center"/>
              <w:rPr>
                <w:rFonts w:cstheme="minorHAnsi"/>
                <w:color w:val="000000"/>
                <w:sz w:val="20"/>
                <w:szCs w:val="20"/>
              </w:rPr>
            </w:pPr>
            <w:r>
              <w:rPr>
                <w:rFonts w:ascii="Arial" w:hAnsi="Arial" w:cs="Arial"/>
                <w:color w:val="000000"/>
                <w:sz w:val="20"/>
                <w:szCs w:val="20"/>
              </w:rPr>
              <w:t>1,809</w:t>
            </w:r>
          </w:p>
        </w:tc>
      </w:tr>
    </w:tbl>
    <w:p w:rsidR="00F1237C" w:rsidRPr="00DD2F2D" w:rsidRDefault="00F1237C" w:rsidP="00F1237C">
      <w:pPr>
        <w:pStyle w:val="BodyParaAfterTableFigure"/>
      </w:pPr>
    </w:p>
    <w:p w:rsidR="00F1237C" w:rsidRDefault="00F1237C" w:rsidP="00F1237C">
      <w:pPr>
        <w:pStyle w:val="Caption"/>
        <w:rPr>
          <w:highlight w:val="yellow"/>
        </w:rPr>
      </w:pPr>
    </w:p>
    <w:p w:rsidR="00F1237C" w:rsidRDefault="00F1237C" w:rsidP="00F1237C">
      <w:pPr>
        <w:pStyle w:val="Caption"/>
        <w:rPr>
          <w:highlight w:val="yellow"/>
        </w:rPr>
      </w:pPr>
      <w:bookmarkStart w:id="104" w:name="_Ref443507144"/>
    </w:p>
    <w:p w:rsidR="00F1237C" w:rsidRDefault="00F1237C" w:rsidP="00F1237C">
      <w:pPr>
        <w:pStyle w:val="Caption"/>
        <w:rPr>
          <w:highlight w:val="yellow"/>
        </w:rPr>
      </w:pPr>
    </w:p>
    <w:p w:rsidR="00F1237C" w:rsidRDefault="00F1237C" w:rsidP="00F1237C">
      <w:pPr>
        <w:rPr>
          <w:rFonts w:ascii="Arial" w:hAnsi="Arial"/>
          <w:b/>
          <w:highlight w:val="yellow"/>
        </w:rPr>
      </w:pPr>
      <w:r>
        <w:rPr>
          <w:highlight w:val="yellow"/>
        </w:rPr>
        <w:br w:type="page"/>
      </w:r>
    </w:p>
    <w:bookmarkEnd w:id="104"/>
    <w:p w:rsidR="00F1237C" w:rsidRPr="00DD2F2D" w:rsidRDefault="00F1237C" w:rsidP="00F1237C">
      <w:pPr>
        <w:rPr>
          <w:highlight w:val="yellow"/>
        </w:rPr>
        <w:sectPr w:rsidR="00F1237C" w:rsidRPr="00DD2F2D" w:rsidSect="00245A15">
          <w:footerReference w:type="default" r:id="rId66"/>
          <w:pgSz w:w="15840" w:h="12240" w:orient="landscape"/>
          <w:pgMar w:top="1440" w:right="1440" w:bottom="1440" w:left="1440" w:header="720" w:footer="720" w:gutter="0"/>
          <w:cols w:space="720"/>
          <w:docGrid w:linePitch="360"/>
        </w:sectPr>
      </w:pPr>
    </w:p>
    <w:p w:rsidR="00F1237C" w:rsidRPr="00D84A09" w:rsidRDefault="00F1237C" w:rsidP="00F1237C">
      <w:pPr>
        <w:pStyle w:val="BodyParagraph"/>
      </w:pPr>
      <w:r w:rsidRPr="002B4D4B">
        <w:lastRenderedPageBreak/>
        <w:fldChar w:fldCharType="begin"/>
      </w:r>
      <w:r w:rsidRPr="002B4D4B">
        <w:instrText xml:space="preserve"> REF _Ref443507183 \h  \* MERGEFORMAT </w:instrText>
      </w:r>
      <w:r w:rsidRPr="002B4D4B">
        <w:fldChar w:fldCharType="separate"/>
      </w:r>
      <w:r w:rsidR="001F391A" w:rsidRPr="00E44362">
        <w:t xml:space="preserve">Figure </w:t>
      </w:r>
      <w:r w:rsidR="001F391A" w:rsidRPr="00E44362">
        <w:rPr>
          <w:noProof/>
        </w:rPr>
        <w:t>6</w:t>
      </w:r>
      <w:r w:rsidR="001F391A" w:rsidRPr="00E44362">
        <w:rPr>
          <w:noProof/>
        </w:rPr>
        <w:noBreakHyphen/>
        <w:t>5</w:t>
      </w:r>
      <w:r w:rsidRPr="002B4D4B">
        <w:fldChar w:fldCharType="end"/>
      </w:r>
      <w:r w:rsidRPr="002B4D4B">
        <w:t xml:space="preserve"> illustrates how the September 1-in-10 year load impact estimates vary by forecast year. </w:t>
      </w:r>
      <w:r w:rsidRPr="002B4D4B">
        <w:fldChar w:fldCharType="begin"/>
      </w:r>
      <w:r w:rsidRPr="002B4D4B">
        <w:instrText xml:space="preserve"> REF _Ref443507194 \h  \* MERGEFORMAT </w:instrText>
      </w:r>
      <w:r w:rsidRPr="002B4D4B">
        <w:fldChar w:fldCharType="separate"/>
      </w:r>
      <w:r w:rsidR="001F391A" w:rsidRPr="00E44362">
        <w:t xml:space="preserve">Figure </w:t>
      </w:r>
      <w:r w:rsidR="001F391A" w:rsidRPr="00E44362">
        <w:rPr>
          <w:noProof/>
        </w:rPr>
        <w:t>6</w:t>
      </w:r>
      <w:r w:rsidR="001F391A" w:rsidRPr="00E44362">
        <w:rPr>
          <w:noProof/>
        </w:rPr>
        <w:noBreakHyphen/>
        <w:t>6</w:t>
      </w:r>
      <w:r w:rsidRPr="002B4D4B">
        <w:fldChar w:fldCharType="end"/>
      </w:r>
      <w:r w:rsidRPr="002B4D4B">
        <w:t xml:space="preserve"> show</w:t>
      </w:r>
      <w:r w:rsidRPr="00E500F1">
        <w:t>s the same results for September 1-in-2 year weather condition</w:t>
      </w:r>
      <w:r w:rsidRPr="00A91A80">
        <w:t xml:space="preserve">s. Across the forecast years, the impacts are approximately </w:t>
      </w:r>
      <w:r w:rsidR="00C715FE">
        <w:t>11</w:t>
      </w:r>
      <w:r w:rsidRPr="00A91A80">
        <w:t>% higher</w:t>
      </w:r>
      <w:r>
        <w:t> </w:t>
      </w:r>
      <w:r w:rsidRPr="00A91A80">
        <w:t>under September 1-in-10 year weather conditions.</w:t>
      </w:r>
      <w:r w:rsidRPr="00EC4404">
        <w:t xml:space="preserve"> </w:t>
      </w:r>
      <w:r w:rsidR="00C715FE">
        <w:t>In 2019 the program is expected to deliver a 2.3 MW shift.  By 2028, the assumed 2.5% annual degradation is expected to reduce that shift to 2 MW with the same number of customers still enrolled in the program.</w:t>
      </w:r>
      <w:r w:rsidR="00BE6F37">
        <w:t xml:space="preserve"> The confidence interval is wider on monthly system peak days compared to average weekdays. This is driven in part by using the ex post analysis as the basis for the ex ante analysis, and by the extremely small number of customers. In the ex post evaluation, there are typically about 20 days that can be used to estimate load impacts for the average weekday in a given month, but there is only a single monthly system peak day. The higher </w:t>
      </w:r>
      <w:r w:rsidR="00EB3E51">
        <w:t>numbers of observations for the average weekday result</w:t>
      </w:r>
      <w:r w:rsidR="00BE6F37">
        <w:t xml:space="preserve"> in smaller standard errors, and a </w:t>
      </w:r>
      <w:proofErr w:type="gramStart"/>
      <w:r w:rsidR="00BE6F37">
        <w:t>more narrow</w:t>
      </w:r>
      <w:proofErr w:type="gramEnd"/>
      <w:r w:rsidR="00BE6F37">
        <w:t xml:space="preserve"> confidence interval. In contrast, the monthly system peak day has only a single day per month, and as a result, the standard errors are much larger and the confidence interval is wider. These values pass through to the ex ante estimates as well, and are reflected in the wide confidence intervals on monthly system peak days observed below.</w:t>
      </w:r>
    </w:p>
    <w:p w:rsidR="00F1237C" w:rsidRPr="0003461A" w:rsidRDefault="00F1237C" w:rsidP="00F1237C">
      <w:pPr>
        <w:pStyle w:val="Caption"/>
        <w:contextualSpacing/>
      </w:pPr>
      <w:bookmarkStart w:id="105" w:name="_Ref443507183"/>
      <w:r w:rsidRPr="0003461A">
        <w:t xml:space="preserve">Figure </w:t>
      </w:r>
      <w:fldSimple w:instr=" STYLEREF 1 \s ">
        <w:r w:rsidR="001F391A" w:rsidRPr="0003461A">
          <w:rPr>
            <w:noProof/>
          </w:rPr>
          <w:t>6</w:t>
        </w:r>
      </w:fldSimple>
      <w:r w:rsidRPr="0003461A">
        <w:noBreakHyphen/>
      </w:r>
      <w:fldSimple w:instr=" SEQ Figure \* ARABIC \s 1 ">
        <w:r w:rsidR="001F391A" w:rsidRPr="0003461A">
          <w:rPr>
            <w:noProof/>
          </w:rPr>
          <w:t>5</w:t>
        </w:r>
      </w:fldSimple>
      <w:bookmarkEnd w:id="105"/>
      <w:r w:rsidRPr="0003461A">
        <w:t xml:space="preserve">: SDG&amp;E September 1-in-10 Monthly System Peak Day Load Impacts </w:t>
      </w:r>
    </w:p>
    <w:p w:rsidR="00F1237C" w:rsidRDefault="00F1237C" w:rsidP="00F1237C">
      <w:pPr>
        <w:pStyle w:val="Caption"/>
        <w:contextualSpacing/>
      </w:pPr>
      <w:r w:rsidRPr="0003461A">
        <w:t xml:space="preserve">(1 to 6 PM) by Forecast Year </w:t>
      </w:r>
    </w:p>
    <w:p w:rsidR="00ED5526" w:rsidRPr="00FC6435" w:rsidRDefault="00ED5526" w:rsidP="00E44362">
      <w:r w:rsidRPr="00E405B9">
        <w:rPr>
          <w:noProof/>
        </w:rPr>
        <w:drawing>
          <wp:inline distT="0" distB="0" distL="0" distR="0" wp14:anchorId="7EF5F365" wp14:editId="3C876AB8">
            <wp:extent cx="5943600" cy="3188970"/>
            <wp:effectExtent l="0" t="0" r="19050" b="11430"/>
            <wp:docPr id="2063" name="Chart 2063"/>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pPr>
    </w:p>
    <w:p w:rsidR="00F1237C" w:rsidRPr="00B828B0" w:rsidRDefault="00F1237C" w:rsidP="00F1237C">
      <w:pPr>
        <w:pStyle w:val="BodyParagraph"/>
        <w:rPr>
          <w:highlight w:val="yellow"/>
        </w:rPr>
      </w:pPr>
    </w:p>
    <w:p w:rsidR="00F1237C" w:rsidRDefault="00F1237C" w:rsidP="00F1237C">
      <w:pPr>
        <w:pStyle w:val="Caption"/>
      </w:pPr>
      <w:bookmarkStart w:id="106" w:name="_Ref443507194"/>
      <w:r w:rsidRPr="0003461A">
        <w:lastRenderedPageBreak/>
        <w:t xml:space="preserve">Figure </w:t>
      </w:r>
      <w:fldSimple w:instr=" STYLEREF 1 \s ">
        <w:r w:rsidR="001F391A" w:rsidRPr="0003461A">
          <w:rPr>
            <w:noProof/>
          </w:rPr>
          <w:t>6</w:t>
        </w:r>
      </w:fldSimple>
      <w:r w:rsidRPr="0003461A">
        <w:noBreakHyphen/>
      </w:r>
      <w:fldSimple w:instr=" SEQ Figure \* ARABIC \s 1 ">
        <w:r w:rsidR="001F391A" w:rsidRPr="0003461A">
          <w:rPr>
            <w:noProof/>
          </w:rPr>
          <w:t>6</w:t>
        </w:r>
      </w:fldSimple>
      <w:bookmarkEnd w:id="106"/>
      <w:r w:rsidRPr="0003461A">
        <w:t>: SDG&amp;E September 1-in-2 Monthly System Peak Day Load Impacts (1 to 6 PM</w:t>
      </w:r>
      <w:proofErr w:type="gramStart"/>
      <w:r w:rsidRPr="0003461A">
        <w:t>)</w:t>
      </w:r>
      <w:proofErr w:type="gramEnd"/>
      <w:r w:rsidRPr="0003461A">
        <w:br/>
        <w:t xml:space="preserve">by Forecast Year </w:t>
      </w:r>
    </w:p>
    <w:p w:rsidR="00F1237C" w:rsidRPr="00EB3E51" w:rsidRDefault="00ED5526" w:rsidP="00EB3E51">
      <w:r w:rsidRPr="00E405B9">
        <w:rPr>
          <w:noProof/>
        </w:rPr>
        <w:drawing>
          <wp:inline distT="0" distB="0" distL="0" distR="0" wp14:anchorId="3215E671" wp14:editId="0D364F7A">
            <wp:extent cx="5943600" cy="3195320"/>
            <wp:effectExtent l="0" t="0" r="19050" b="24130"/>
            <wp:docPr id="2064" name="Chart 2064"/>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bookmarkStart w:id="107" w:name="_Toc382926516"/>
    <w:p w:rsidR="00AA4AC2" w:rsidRDefault="00F1237C" w:rsidP="00F1237C">
      <w:r w:rsidRPr="005350C9">
        <w:fldChar w:fldCharType="begin"/>
      </w:r>
      <w:r w:rsidRPr="005350C9">
        <w:instrText xml:space="preserve"> REF _Ref477856420 \h </w:instrText>
      </w:r>
      <w:r>
        <w:instrText xml:space="preserve"> \* MERGEFORMAT </w:instrText>
      </w:r>
      <w:r w:rsidRPr="005350C9">
        <w:fldChar w:fldCharType="separate"/>
      </w:r>
      <w:r w:rsidR="001F391A" w:rsidRPr="00514B8E">
        <w:t xml:space="preserve">Table </w:t>
      </w:r>
      <w:r w:rsidR="001F391A">
        <w:rPr>
          <w:noProof/>
        </w:rPr>
        <w:t>6</w:t>
      </w:r>
      <w:r w:rsidR="001F391A">
        <w:rPr>
          <w:noProof/>
        </w:rPr>
        <w:noBreakHyphen/>
        <w:t>20</w:t>
      </w:r>
      <w:r w:rsidRPr="005350C9">
        <w:fldChar w:fldCharType="end"/>
      </w:r>
      <w:r w:rsidRPr="005350C9">
        <w:t xml:space="preserve"> shows the impacts for the 1-in-2 and 1-in-10 utility-specific and CAISO weather conditions for the May thr</w:t>
      </w:r>
      <w:r>
        <w:t xml:space="preserve">ough October system peak days. </w:t>
      </w:r>
      <w:r w:rsidRPr="00CD28E2">
        <w:t>The difference between utility specific and CAISO peaks tend to vary by month. Impacts range from the CAISO-specific, September 1-in-2 monthly peak day in 2018 being 9% greater than the utility specific comparable peak at 2.</w:t>
      </w:r>
      <w:r w:rsidR="00F14817">
        <w:t>2</w:t>
      </w:r>
      <w:r w:rsidRPr="00CD28E2">
        <w:t xml:space="preserve"> MW and 2.0 MW, respectively, to the utility specific July 1-in-10 monthly peak day in 2018 being </w:t>
      </w:r>
      <w:r w:rsidR="00F14817">
        <w:t>10</w:t>
      </w:r>
      <w:r w:rsidRPr="00CD28E2">
        <w:t>% greater than the CAISO specific comparable peak at 2.</w:t>
      </w:r>
      <w:r w:rsidR="00F14817">
        <w:t>0</w:t>
      </w:r>
      <w:r w:rsidRPr="00CD28E2">
        <w:t xml:space="preserve"> MW and</w:t>
      </w:r>
      <w:r>
        <w:t> </w:t>
      </w:r>
      <w:r w:rsidRPr="00CD28E2">
        <w:t>1.</w:t>
      </w:r>
      <w:r w:rsidR="00F14817">
        <w:t>8</w:t>
      </w:r>
      <w:r w:rsidRPr="00CD28E2">
        <w:t xml:space="preserve"> MW, respectively. </w:t>
      </w:r>
      <w:r w:rsidRPr="005350C9">
        <w:t>Year</w:t>
      </w:r>
      <w:r>
        <w:t>-</w:t>
      </w:r>
      <w:r w:rsidRPr="005350C9">
        <w:t>over</w:t>
      </w:r>
      <w:r>
        <w:t>-</w:t>
      </w:r>
      <w:r w:rsidRPr="005350C9">
        <w:t xml:space="preserve">year, the difference between the utility specific peak and the CAISO peak appears to remain fairly constant. For example, the utility specific September 1-in-10 monthly peak load impact is typically around </w:t>
      </w:r>
      <w:r w:rsidR="00F14817">
        <w:t>4</w:t>
      </w:r>
      <w:r w:rsidRPr="005350C9">
        <w:t>% higher than the comparable CAISO specific impact.</w:t>
      </w:r>
    </w:p>
    <w:p w:rsidR="00AA4AC2" w:rsidRDefault="00AA4AC2" w:rsidP="00F1237C"/>
    <w:p w:rsidR="00AA4AC2" w:rsidRDefault="00AA4AC2" w:rsidP="00F1237C">
      <w:pPr>
        <w:sectPr w:rsidR="00AA4AC2" w:rsidSect="00245A15">
          <w:footerReference w:type="default" r:id="rId69"/>
          <w:pgSz w:w="12240" w:h="15840"/>
          <w:pgMar w:top="1440" w:right="1440" w:bottom="1440" w:left="1440" w:header="720" w:footer="720" w:gutter="0"/>
          <w:cols w:space="720"/>
          <w:docGrid w:linePitch="360"/>
        </w:sectPr>
      </w:pPr>
    </w:p>
    <w:p w:rsidR="00F1237C" w:rsidRPr="00514B8E" w:rsidRDefault="00F1237C" w:rsidP="00F1237C">
      <w:pPr>
        <w:pStyle w:val="Caption"/>
      </w:pPr>
      <w:bookmarkStart w:id="108" w:name="_Ref477856420"/>
      <w:r w:rsidRPr="00514B8E">
        <w:lastRenderedPageBreak/>
        <w:t xml:space="preserve">Table </w:t>
      </w:r>
      <w:fldSimple w:instr=" STYLEREF 1 \s ">
        <w:r w:rsidR="001F391A">
          <w:rPr>
            <w:noProof/>
          </w:rPr>
          <w:t>6</w:t>
        </w:r>
      </w:fldSimple>
      <w:r w:rsidR="008139B9">
        <w:noBreakHyphen/>
      </w:r>
      <w:fldSimple w:instr=" SEQ Table \* ARABIC \s 1 ">
        <w:r w:rsidR="001F391A">
          <w:rPr>
            <w:noProof/>
          </w:rPr>
          <w:t>20</w:t>
        </w:r>
      </w:fldSimple>
      <w:bookmarkEnd w:id="108"/>
      <w:r w:rsidRPr="00514B8E">
        <w:t xml:space="preserve">: SDG&amp;E Ex Ante Load Impact Estimates (1 to 6 PM) </w:t>
      </w:r>
      <w:r w:rsidRPr="00514B8E">
        <w:br/>
        <w:t>on Monthly Peak Days for May</w:t>
      </w:r>
      <w:r>
        <w:t>–</w:t>
      </w:r>
      <w:r w:rsidRPr="00514B8E">
        <w:t>October 2017</w:t>
      </w:r>
      <w:r>
        <w:t>–</w:t>
      </w:r>
      <w:r w:rsidRPr="00514B8E">
        <w:t>2027 (kW) – Base Scenario</w:t>
      </w:r>
    </w:p>
    <w:tbl>
      <w:tblPr>
        <w:tblW w:w="13200" w:type="dxa"/>
        <w:tblInd w:w="93" w:type="dxa"/>
        <w:tblLook w:val="04A0" w:firstRow="1" w:lastRow="0" w:firstColumn="1" w:lastColumn="0" w:noHBand="0" w:noVBand="1"/>
      </w:tblPr>
      <w:tblGrid>
        <w:gridCol w:w="960"/>
        <w:gridCol w:w="1680"/>
        <w:gridCol w:w="880"/>
        <w:gridCol w:w="880"/>
        <w:gridCol w:w="880"/>
        <w:gridCol w:w="880"/>
        <w:gridCol w:w="880"/>
        <w:gridCol w:w="880"/>
        <w:gridCol w:w="880"/>
        <w:gridCol w:w="880"/>
        <w:gridCol w:w="880"/>
        <w:gridCol w:w="880"/>
        <w:gridCol w:w="880"/>
        <w:gridCol w:w="880"/>
      </w:tblGrid>
      <w:tr w:rsidR="00F1237C" w:rsidRPr="00B828B0" w:rsidTr="00AA4AC2">
        <w:trPr>
          <w:trHeight w:val="300"/>
        </w:trPr>
        <w:tc>
          <w:tcPr>
            <w:tcW w:w="960" w:type="dxa"/>
            <w:vMerge w:val="restart"/>
            <w:tcBorders>
              <w:top w:val="single" w:sz="4" w:space="0" w:color="000000"/>
              <w:left w:val="single" w:sz="4" w:space="0" w:color="000000"/>
              <w:bottom w:val="single" w:sz="4" w:space="0" w:color="FFFFFF"/>
              <w:right w:val="single" w:sz="4" w:space="0" w:color="FFFFFF" w:themeColor="background1"/>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Peak Type</w:t>
            </w:r>
          </w:p>
        </w:tc>
        <w:tc>
          <w:tcPr>
            <w:tcW w:w="1680" w:type="dxa"/>
            <w:vMerge w:val="restart"/>
            <w:tcBorders>
              <w:top w:val="single" w:sz="4" w:space="0" w:color="000000"/>
              <w:left w:val="single" w:sz="4" w:space="0" w:color="FFFFFF" w:themeColor="background1"/>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Forecast Year</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May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June</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July</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August</w:t>
            </w:r>
          </w:p>
        </w:tc>
        <w:tc>
          <w:tcPr>
            <w:tcW w:w="176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September</w:t>
            </w:r>
          </w:p>
        </w:tc>
        <w:tc>
          <w:tcPr>
            <w:tcW w:w="176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October</w:t>
            </w:r>
          </w:p>
        </w:tc>
      </w:tr>
      <w:tr w:rsidR="00F1237C" w:rsidRPr="00B828B0" w:rsidTr="00AA4AC2">
        <w:trPr>
          <w:trHeight w:val="300"/>
        </w:trPr>
        <w:tc>
          <w:tcPr>
            <w:tcW w:w="960" w:type="dxa"/>
            <w:vMerge/>
            <w:tcBorders>
              <w:top w:val="single" w:sz="4" w:space="0" w:color="000000"/>
              <w:left w:val="single" w:sz="4" w:space="0" w:color="000000"/>
              <w:bottom w:val="single" w:sz="4" w:space="0" w:color="FFFFFF"/>
              <w:right w:val="single" w:sz="4" w:space="0" w:color="FFFFFF" w:themeColor="background1"/>
            </w:tcBorders>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p>
        </w:tc>
        <w:tc>
          <w:tcPr>
            <w:tcW w:w="1680" w:type="dxa"/>
            <w:vMerge/>
            <w:tcBorders>
              <w:top w:val="single" w:sz="4" w:space="0" w:color="000000"/>
              <w:left w:val="single" w:sz="4" w:space="0" w:color="FFFFFF" w:themeColor="background1"/>
              <w:bottom w:val="single" w:sz="4" w:space="0" w:color="000000"/>
              <w:right w:val="single" w:sz="4" w:space="0" w:color="FFFFFF"/>
            </w:tcBorders>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1-in-10</w:t>
            </w:r>
          </w:p>
        </w:tc>
        <w:tc>
          <w:tcPr>
            <w:tcW w:w="880" w:type="dxa"/>
            <w:tcBorders>
              <w:top w:val="nil"/>
              <w:left w:val="nil"/>
              <w:bottom w:val="single" w:sz="4" w:space="0" w:color="000000"/>
              <w:right w:val="single" w:sz="4" w:space="0" w:color="FFFFFF"/>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1-in-2</w:t>
            </w:r>
          </w:p>
        </w:tc>
        <w:tc>
          <w:tcPr>
            <w:tcW w:w="880" w:type="dxa"/>
            <w:tcBorders>
              <w:top w:val="nil"/>
              <w:left w:val="nil"/>
              <w:bottom w:val="single" w:sz="4" w:space="0" w:color="000000"/>
              <w:right w:val="single" w:sz="4" w:space="0" w:color="000000"/>
            </w:tcBorders>
            <w:shd w:val="clear" w:color="000000" w:fill="0070CD"/>
            <w:vAlign w:val="center"/>
            <w:hideMark/>
          </w:tcPr>
          <w:p w:rsidR="00F1237C" w:rsidRPr="00D753CC" w:rsidRDefault="00F1237C" w:rsidP="00AA4AC2">
            <w:pPr>
              <w:spacing w:after="0" w:line="240" w:lineRule="auto"/>
              <w:jc w:val="center"/>
              <w:rPr>
                <w:rFonts w:ascii="Arial" w:eastAsia="Times New Roman" w:hAnsi="Arial" w:cs="Arial"/>
                <w:b/>
                <w:bCs/>
                <w:color w:val="FFFFFF"/>
                <w:sz w:val="20"/>
                <w:szCs w:val="20"/>
              </w:rPr>
            </w:pPr>
            <w:r w:rsidRPr="00D753CC">
              <w:rPr>
                <w:rFonts w:ascii="Arial" w:eastAsia="Times New Roman" w:hAnsi="Arial" w:cs="Arial"/>
                <w:b/>
                <w:bCs/>
                <w:color w:val="FFFFFF"/>
                <w:sz w:val="20"/>
                <w:szCs w:val="20"/>
              </w:rPr>
              <w:t>1-in-10</w:t>
            </w:r>
          </w:p>
        </w:tc>
      </w:tr>
      <w:tr w:rsidR="008C5F1C" w:rsidRPr="00B828B0" w:rsidTr="00AA4AC2">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sidRPr="00D753CC">
              <w:rPr>
                <w:rFonts w:ascii="Arial" w:eastAsia="Times New Roman" w:hAnsi="Arial" w:cs="Arial"/>
                <w:color w:val="000000"/>
                <w:sz w:val="18"/>
                <w:szCs w:val="18"/>
              </w:rPr>
              <w:t>Utility Specific</w:t>
            </w: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2018</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1,082</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1,337</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989</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1,343</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1,677</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1,971</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1,863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2,092</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2,049</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2,305</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1,902</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2,035</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2019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1,528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1,451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1,677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1,971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2,092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2,049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2,305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2,035</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1,528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1,451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1,677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1,971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2,092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2,049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2,305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2,035</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1,523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1,836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1,446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1,832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1,665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1,960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1,850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2,077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2,033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2,289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1,893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2,023</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1,512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1,436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1,815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1,649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1,943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1,832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2,056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2,013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2,266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1,878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2,006</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1,487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1,788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1,410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1,781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1,618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1,796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2,016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1,976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2,223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1,971</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1,462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1,756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1,384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1,748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1,587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1,761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1,977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1,940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2,182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1,815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1,937</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1,438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1,725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1,359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1,716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1,557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1,834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1,727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1,939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2,141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1,785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1,904</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1,414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1,695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1,335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1,685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1,527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1,799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1,694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1,871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2,101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1,755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1,871</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1,391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1,666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1,311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1,654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1,499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1,765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1,662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1,838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1,726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1,840</w:t>
            </w:r>
          </w:p>
        </w:tc>
      </w:tr>
      <w:tr w:rsidR="008C5F1C" w:rsidRPr="00B828B0" w:rsidTr="00AA4AC2">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1,368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1,637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1,288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1,624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1,471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1,732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1,631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1,831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1,806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2,025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1,698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1,809</w:t>
            </w:r>
          </w:p>
        </w:tc>
      </w:tr>
      <w:tr w:rsidR="008C5F1C" w:rsidRPr="00B828B0" w:rsidTr="00AA4AC2">
        <w:trPr>
          <w:trHeight w:val="300"/>
        </w:trPr>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sidRPr="00D753CC">
              <w:rPr>
                <w:rFonts w:ascii="Arial" w:eastAsia="Times New Roman" w:hAnsi="Arial" w:cs="Arial"/>
                <w:color w:val="000000"/>
                <w:sz w:val="18"/>
                <w:szCs w:val="18"/>
              </w:rPr>
              <w:t>CAISO Specific</w:t>
            </w: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2018</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931</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1,335</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953</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1,423</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1,621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1,763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1,934</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1,984</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2,211</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2,196</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1,676</w:t>
            </w:r>
          </w:p>
        </w:tc>
        <w:tc>
          <w:tcPr>
            <w:tcW w:w="880" w:type="dxa"/>
            <w:tcBorders>
              <w:top w:val="nil"/>
              <w:left w:val="nil"/>
              <w:bottom w:val="single" w:sz="4" w:space="0" w:color="000000"/>
              <w:right w:val="single" w:sz="4" w:space="0" w:color="000000"/>
            </w:tcBorders>
            <w:shd w:val="clear" w:color="auto" w:fill="auto"/>
            <w:noWrap/>
            <w:vAlign w:val="center"/>
          </w:tcPr>
          <w:p w:rsidR="008C5F1C" w:rsidRPr="00722025" w:rsidRDefault="008C5F1C" w:rsidP="00AA4AC2">
            <w:pPr>
              <w:spacing w:after="0"/>
              <w:jc w:val="center"/>
              <w:rPr>
                <w:rFonts w:ascii="Arial" w:hAnsi="Arial" w:cs="Arial"/>
                <w:color w:val="000000"/>
                <w:sz w:val="18"/>
                <w:szCs w:val="18"/>
                <w:highlight w:val="lightGray"/>
              </w:rPr>
            </w:pPr>
            <w:r>
              <w:rPr>
                <w:rFonts w:ascii="Arial" w:hAnsi="Arial" w:cs="Arial"/>
                <w:color w:val="000000"/>
                <w:sz w:val="18"/>
                <w:szCs w:val="18"/>
              </w:rPr>
              <w:t>1,959</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2019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1,386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1,933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1,934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1,984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2,211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2,196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1,676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1,959</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1,386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1,933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1,934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1,984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2,211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2,196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1,676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1,959</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1,315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1,855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1,380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1,921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1,611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1,751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1,920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1,971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2,196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2,180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1,668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1,947</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1,305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1,370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1,596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1,735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1,900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1,951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2,174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2,157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1,655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1,930</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1,282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1,809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1,345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1,564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1,702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1,914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2,133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2,114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1,626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1,895</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1,259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1,778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1,320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1,834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1,533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1,670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1,826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1,877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2,093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2,072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1,599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1,860</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1,237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1,747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1,297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1,800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1,502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1,638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1,791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1,841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2,054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2,031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1,571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1,827</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1,215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1,718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1,273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1,768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1,472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1,608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1,757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1,807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2,016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1,991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1,545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1,794</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hideMark/>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2027</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1,194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1,689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1,251</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1,736</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1,444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1,578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1,723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1,773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1,978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1,952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1,519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1,762</w:t>
            </w:r>
          </w:p>
        </w:tc>
      </w:tr>
      <w:tr w:rsidR="008C5F1C" w:rsidRPr="00B828B0" w:rsidTr="00AA4AC2">
        <w:trPr>
          <w:trHeight w:val="300"/>
        </w:trPr>
        <w:tc>
          <w:tcPr>
            <w:tcW w:w="960" w:type="dxa"/>
            <w:vMerge/>
            <w:tcBorders>
              <w:top w:val="nil"/>
              <w:left w:val="single" w:sz="4" w:space="0" w:color="auto"/>
              <w:bottom w:val="single" w:sz="4" w:space="0" w:color="auto"/>
              <w:right w:val="single" w:sz="4" w:space="0" w:color="auto"/>
            </w:tcBorders>
            <w:vAlign w:val="center"/>
            <w:hideMark/>
          </w:tcPr>
          <w:p w:rsidR="008C5F1C" w:rsidRPr="00D753CC" w:rsidRDefault="008C5F1C" w:rsidP="00AA4AC2">
            <w:pPr>
              <w:spacing w:after="0" w:line="240" w:lineRule="auto"/>
              <w:jc w:val="center"/>
              <w:rPr>
                <w:rFonts w:ascii="Calibri" w:eastAsia="Times New Roman" w:hAnsi="Calibri" w:cs="Times New Roman"/>
                <w:color w:val="000000"/>
              </w:rPr>
            </w:pPr>
          </w:p>
        </w:tc>
        <w:tc>
          <w:tcPr>
            <w:tcW w:w="1680" w:type="dxa"/>
            <w:tcBorders>
              <w:top w:val="nil"/>
              <w:left w:val="nil"/>
              <w:bottom w:val="single" w:sz="4" w:space="0" w:color="000000"/>
              <w:right w:val="single" w:sz="4" w:space="0" w:color="000000"/>
            </w:tcBorders>
            <w:shd w:val="clear" w:color="auto" w:fill="auto"/>
            <w:noWrap/>
            <w:vAlign w:val="center"/>
          </w:tcPr>
          <w:p w:rsidR="008C5F1C" w:rsidRPr="00D753CC" w:rsidRDefault="008C5F1C" w:rsidP="00AA4AC2">
            <w:pPr>
              <w:spacing w:after="0" w:line="240" w:lineRule="auto"/>
              <w:jc w:val="center"/>
              <w:rPr>
                <w:rFonts w:ascii="Arial" w:eastAsia="Times New Roman" w:hAnsi="Arial" w:cs="Arial"/>
                <w:color w:val="000000"/>
                <w:sz w:val="18"/>
                <w:szCs w:val="18"/>
              </w:rPr>
            </w:pPr>
            <w:r>
              <w:rPr>
                <w:rFonts w:ascii="Arial" w:hAnsi="Arial" w:cs="Arial"/>
                <w:color w:val="000000"/>
                <w:sz w:val="18"/>
                <w:szCs w:val="18"/>
              </w:rPr>
              <w:t>2028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1,173</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1,660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1,228</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1,705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1,415</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1,549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1,690</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1,739</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1,942</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1,914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1,494</w:t>
            </w:r>
          </w:p>
        </w:tc>
        <w:tc>
          <w:tcPr>
            <w:tcW w:w="880" w:type="dxa"/>
            <w:tcBorders>
              <w:top w:val="nil"/>
              <w:left w:val="nil"/>
              <w:bottom w:val="single" w:sz="4" w:space="0" w:color="000000"/>
              <w:right w:val="single" w:sz="4" w:space="0" w:color="000000"/>
            </w:tcBorders>
            <w:shd w:val="clear" w:color="auto" w:fill="auto"/>
            <w:noWrap/>
            <w:vAlign w:val="center"/>
          </w:tcPr>
          <w:p w:rsidR="008C5F1C" w:rsidRPr="006740A0" w:rsidRDefault="008C5F1C" w:rsidP="00AA4AC2">
            <w:pPr>
              <w:spacing w:after="0"/>
              <w:jc w:val="center"/>
              <w:rPr>
                <w:rFonts w:ascii="Arial" w:hAnsi="Arial" w:cs="Arial"/>
                <w:color w:val="000000"/>
                <w:sz w:val="18"/>
                <w:szCs w:val="18"/>
              </w:rPr>
            </w:pPr>
            <w:r>
              <w:rPr>
                <w:rFonts w:ascii="Arial" w:hAnsi="Arial" w:cs="Arial"/>
                <w:color w:val="000000"/>
                <w:sz w:val="18"/>
                <w:szCs w:val="18"/>
              </w:rPr>
              <w:t>1,731</w:t>
            </w:r>
          </w:p>
        </w:tc>
      </w:tr>
    </w:tbl>
    <w:p w:rsidR="00AA4AC2" w:rsidRDefault="00AA4AC2" w:rsidP="00E44362">
      <w:pPr>
        <w:pStyle w:val="BodyBeforeBullet"/>
        <w:sectPr w:rsidR="00AA4AC2" w:rsidSect="00AA4AC2">
          <w:footerReference w:type="default" r:id="rId70"/>
          <w:pgSz w:w="15840" w:h="12240" w:orient="landscape"/>
          <w:pgMar w:top="1440" w:right="1440" w:bottom="1440" w:left="1440" w:header="720" w:footer="720" w:gutter="0"/>
          <w:cols w:space="720"/>
          <w:docGrid w:linePitch="360"/>
        </w:sectPr>
      </w:pPr>
    </w:p>
    <w:p w:rsidR="00F826B0" w:rsidRDefault="00AE0D77" w:rsidP="00E44362">
      <w:pPr>
        <w:pStyle w:val="Heading3"/>
      </w:pPr>
      <w:bookmarkStart w:id="109" w:name="_Toc507085068"/>
      <w:r>
        <w:lastRenderedPageBreak/>
        <w:t>Relationship between Ex Post and Ex Ante Estimates</w:t>
      </w:r>
      <w:bookmarkEnd w:id="109"/>
    </w:p>
    <w:p w:rsidR="00F826B0" w:rsidRDefault="00F826B0">
      <w:pPr>
        <w:pStyle w:val="BodyParagraph"/>
      </w:pPr>
      <w:r>
        <w:fldChar w:fldCharType="begin"/>
      </w:r>
      <w:r>
        <w:instrText xml:space="preserve"> REF _Ref477885658 \h  \* MERGEFORMAT </w:instrText>
      </w:r>
      <w:r>
        <w:fldChar w:fldCharType="separate"/>
      </w:r>
      <w:r w:rsidR="001F391A">
        <w:t xml:space="preserve">Table </w:t>
      </w:r>
      <w:r w:rsidR="001F391A">
        <w:rPr>
          <w:noProof/>
        </w:rPr>
        <w:t>6</w:t>
      </w:r>
      <w:r w:rsidR="001F391A">
        <w:rPr>
          <w:noProof/>
        </w:rPr>
        <w:noBreakHyphen/>
        <w:t>21</w:t>
      </w:r>
      <w:r>
        <w:fldChar w:fldCharType="end"/>
      </w:r>
      <w:r>
        <w:t xml:space="preserve"> compares the </w:t>
      </w:r>
      <w:r w:rsidRPr="001D279F">
        <w:t>current ex post results</w:t>
      </w:r>
      <w:r>
        <w:t xml:space="preserve"> from the 2017 program year evaluation with </w:t>
      </w:r>
      <w:r w:rsidRPr="001D279F">
        <w:t>last</w:t>
      </w:r>
      <w:r>
        <w:t> </w:t>
      </w:r>
      <w:r w:rsidRPr="001D279F">
        <w:t xml:space="preserve">year’s </w:t>
      </w:r>
      <w:r>
        <w:t xml:space="preserve">2016 program year ex ante </w:t>
      </w:r>
      <w:r w:rsidRPr="001D279F">
        <w:t>forecast</w:t>
      </w:r>
      <w:r>
        <w:t xml:space="preserve"> for 2017. This comparison shows how similar or different the forecast was from what actually took place. </w:t>
      </w:r>
      <w:r w:rsidR="008E1BCE">
        <w:t>Most of the differences observed between the 2017 forecast and the</w:t>
      </w:r>
      <w:r w:rsidR="00A84E60">
        <w:t xml:space="preserve"> 2017 ex post evaluation are</w:t>
      </w:r>
      <w:r w:rsidR="008E1BCE">
        <w:t xml:space="preserve"> due to the differences in evaluation methodology. For the ex post evaluation, Nexant was not able to evaluate the full load impact for one of the customers due to a lack of available data. The unavailable data accounts for a large amount of the difference observed between the ex post and ex ante estimates. Additionally, ex ante estimates were based off of premise-level data and building simulations for identified projects, and so there was a large amount of uncertainty around the actual load shift that would be observed in 2017, as discussed further below.  </w:t>
      </w:r>
    </w:p>
    <w:p w:rsidR="00F826B0" w:rsidRDefault="00F826B0" w:rsidP="00F826B0">
      <w:pPr>
        <w:pStyle w:val="Caption"/>
      </w:pPr>
      <w:r>
        <w:t xml:space="preserve">Table </w:t>
      </w:r>
      <w:fldSimple w:instr=" STYLEREF 1 \s ">
        <w:r w:rsidR="001F391A">
          <w:rPr>
            <w:noProof/>
          </w:rPr>
          <w:t>6</w:t>
        </w:r>
      </w:fldSimple>
      <w:r w:rsidR="008139B9">
        <w:noBreakHyphen/>
      </w:r>
      <w:fldSimple w:instr=" SEQ Table \* ARABIC \s 1 ">
        <w:r w:rsidR="001F391A">
          <w:rPr>
            <w:noProof/>
          </w:rPr>
          <w:t>21</w:t>
        </w:r>
      </w:fldSimple>
      <w:r w:rsidRPr="00753468">
        <w:t xml:space="preserve">: Comparison of </w:t>
      </w:r>
      <w:r>
        <w:t xml:space="preserve">2017 </w:t>
      </w:r>
      <w:proofErr w:type="gramStart"/>
      <w:r>
        <w:t>Ex</w:t>
      </w:r>
      <w:proofErr w:type="gramEnd"/>
      <w:r>
        <w:t xml:space="preserve"> Post to </w:t>
      </w:r>
      <w:r w:rsidRPr="00753468">
        <w:t xml:space="preserve">Prior Year Ex Ante Estimates </w:t>
      </w:r>
      <w:r>
        <w:br/>
        <w:t>(</w:t>
      </w:r>
      <w:r w:rsidR="00727D59">
        <w:t>June</w:t>
      </w:r>
      <w:r>
        <w:t xml:space="preserve"> Average Weekday – Utility Specific)</w:t>
      </w:r>
    </w:p>
    <w:tbl>
      <w:tblPr>
        <w:tblStyle w:val="TableGrid"/>
        <w:tblW w:w="0" w:type="auto"/>
        <w:jc w:val="center"/>
        <w:tblInd w:w="-162" w:type="dxa"/>
        <w:tblLook w:val="04A0" w:firstRow="1" w:lastRow="0" w:firstColumn="1" w:lastColumn="0" w:noHBand="0" w:noVBand="1"/>
      </w:tblPr>
      <w:tblGrid>
        <w:gridCol w:w="2356"/>
        <w:gridCol w:w="1842"/>
        <w:gridCol w:w="1846"/>
        <w:gridCol w:w="1846"/>
        <w:gridCol w:w="1848"/>
      </w:tblGrid>
      <w:tr w:rsidR="00F826B0" w:rsidTr="00E44362">
        <w:trPr>
          <w:jc w:val="center"/>
        </w:trPr>
        <w:tc>
          <w:tcPr>
            <w:tcW w:w="2356" w:type="dxa"/>
            <w:tcBorders>
              <w:right w:val="single" w:sz="4" w:space="0" w:color="FFFFFF" w:themeColor="background1"/>
            </w:tcBorders>
            <w:shd w:val="clear" w:color="auto" w:fill="0070CD" w:themeFill="text2"/>
            <w:vAlign w:val="center"/>
          </w:tcPr>
          <w:p w:rsidR="00F826B0" w:rsidRPr="00CC0B13" w:rsidRDefault="00F826B0" w:rsidP="00C8641C">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Analysis</w:t>
            </w:r>
          </w:p>
        </w:tc>
        <w:tc>
          <w:tcPr>
            <w:tcW w:w="1842" w:type="dxa"/>
            <w:tcBorders>
              <w:left w:val="single" w:sz="4" w:space="0" w:color="FFFFFF" w:themeColor="background1"/>
              <w:right w:val="single" w:sz="4" w:space="0" w:color="FFFFFF" w:themeColor="background1"/>
            </w:tcBorders>
            <w:shd w:val="clear" w:color="auto" w:fill="0070CD" w:themeFill="text2"/>
            <w:vAlign w:val="center"/>
          </w:tcPr>
          <w:p w:rsidR="00F826B0" w:rsidRPr="00CC0B13" w:rsidRDefault="00F826B0" w:rsidP="00C8641C">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Accounts</w:t>
            </w:r>
          </w:p>
        </w:tc>
        <w:tc>
          <w:tcPr>
            <w:tcW w:w="1846" w:type="dxa"/>
            <w:tcBorders>
              <w:left w:val="single" w:sz="4" w:space="0" w:color="FFFFFF" w:themeColor="background1"/>
              <w:right w:val="single" w:sz="4" w:space="0" w:color="FFFFFF" w:themeColor="background1"/>
            </w:tcBorders>
            <w:shd w:val="clear" w:color="auto" w:fill="0070CD" w:themeFill="text2"/>
            <w:vAlign w:val="center"/>
          </w:tcPr>
          <w:p w:rsidR="00F826B0" w:rsidRPr="00CC0B13" w:rsidRDefault="00F826B0" w:rsidP="00C8641C">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Reference Loads (MW)</w:t>
            </w:r>
          </w:p>
        </w:tc>
        <w:tc>
          <w:tcPr>
            <w:tcW w:w="1846" w:type="dxa"/>
            <w:tcBorders>
              <w:left w:val="single" w:sz="4" w:space="0" w:color="FFFFFF" w:themeColor="background1"/>
              <w:right w:val="single" w:sz="4" w:space="0" w:color="FFFFFF" w:themeColor="background1"/>
            </w:tcBorders>
            <w:shd w:val="clear" w:color="auto" w:fill="0070CD" w:themeFill="text2"/>
            <w:vAlign w:val="center"/>
          </w:tcPr>
          <w:p w:rsidR="00F826B0" w:rsidRPr="00CC0B13" w:rsidRDefault="00F826B0" w:rsidP="00C8641C">
            <w:pPr>
              <w:jc w:val="center"/>
              <w:rPr>
                <w:rFonts w:ascii="Arial" w:eastAsia="Times New Roman" w:hAnsi="Arial" w:cs="Arial"/>
                <w:b/>
                <w:bCs/>
                <w:color w:val="FFFFFF"/>
                <w:sz w:val="20"/>
                <w:szCs w:val="20"/>
              </w:rPr>
            </w:pPr>
            <w:r w:rsidRPr="00074037">
              <w:rPr>
                <w:rFonts w:ascii="Arial" w:eastAsia="Times New Roman" w:hAnsi="Arial" w:cs="Arial"/>
                <w:b/>
                <w:bCs/>
                <w:color w:val="FFFFFF"/>
                <w:sz w:val="20"/>
                <w:szCs w:val="20"/>
              </w:rPr>
              <w:t>Percent Reductions</w:t>
            </w:r>
          </w:p>
        </w:tc>
        <w:tc>
          <w:tcPr>
            <w:tcW w:w="1848" w:type="dxa"/>
            <w:tcBorders>
              <w:left w:val="single" w:sz="4" w:space="0" w:color="FFFFFF" w:themeColor="background1"/>
            </w:tcBorders>
            <w:shd w:val="clear" w:color="auto" w:fill="0070CD" w:themeFill="text2"/>
            <w:vAlign w:val="center"/>
          </w:tcPr>
          <w:p w:rsidR="00F826B0" w:rsidRPr="00CC0B13" w:rsidRDefault="00F826B0" w:rsidP="00C8641C">
            <w:pPr>
              <w:jc w:val="center"/>
              <w:rPr>
                <w:rFonts w:ascii="Arial" w:eastAsia="Times New Roman" w:hAnsi="Arial" w:cs="Arial"/>
                <w:b/>
                <w:bCs/>
                <w:color w:val="FFFFFF"/>
                <w:sz w:val="20"/>
                <w:szCs w:val="20"/>
              </w:rPr>
            </w:pPr>
            <w:r w:rsidRPr="00CC0B13">
              <w:rPr>
                <w:rFonts w:ascii="Arial" w:eastAsia="Times New Roman" w:hAnsi="Arial" w:cs="Arial"/>
                <w:b/>
                <w:bCs/>
                <w:color w:val="FFFFFF"/>
                <w:sz w:val="20"/>
                <w:szCs w:val="20"/>
              </w:rPr>
              <w:t>Aggregate Impacts (MW)</w:t>
            </w:r>
          </w:p>
        </w:tc>
      </w:tr>
      <w:tr w:rsidR="00F826B0" w:rsidTr="00E44362">
        <w:trPr>
          <w:trHeight w:val="377"/>
          <w:jc w:val="center"/>
        </w:trPr>
        <w:tc>
          <w:tcPr>
            <w:tcW w:w="2356" w:type="dxa"/>
            <w:vAlign w:val="center"/>
          </w:tcPr>
          <w:p w:rsidR="00F826B0" w:rsidRPr="00CC0B13" w:rsidRDefault="00F826B0" w:rsidP="00C8641C">
            <w:pPr>
              <w:pStyle w:val="Bullets"/>
              <w:numPr>
                <w:ilvl w:val="0"/>
                <w:numId w:val="0"/>
              </w:numPr>
            </w:pPr>
            <w:r w:rsidRPr="00CC0B13">
              <w:t>201</w:t>
            </w:r>
            <w:r>
              <w:t>7</w:t>
            </w:r>
            <w:r w:rsidRPr="00CC0B13">
              <w:t xml:space="preserve"> Ex Post</w:t>
            </w:r>
          </w:p>
        </w:tc>
        <w:tc>
          <w:tcPr>
            <w:tcW w:w="1842" w:type="dxa"/>
            <w:vAlign w:val="center"/>
          </w:tcPr>
          <w:p w:rsidR="00F826B0" w:rsidRPr="00CC0B13" w:rsidRDefault="00727D59" w:rsidP="00C8641C">
            <w:pPr>
              <w:jc w:val="center"/>
              <w:rPr>
                <w:rFonts w:ascii="Arial" w:eastAsia="Times New Roman" w:hAnsi="Arial" w:cs="Arial"/>
                <w:color w:val="000000"/>
                <w:sz w:val="20"/>
                <w:szCs w:val="20"/>
              </w:rPr>
            </w:pPr>
            <w:r>
              <w:rPr>
                <w:rFonts w:ascii="Arial" w:eastAsia="Times New Roman" w:hAnsi="Arial" w:cs="Arial"/>
                <w:color w:val="000000"/>
                <w:sz w:val="20"/>
                <w:szCs w:val="20"/>
              </w:rPr>
              <w:t>3</w:t>
            </w:r>
          </w:p>
        </w:tc>
        <w:tc>
          <w:tcPr>
            <w:tcW w:w="1846"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1.89</w:t>
            </w:r>
          </w:p>
        </w:tc>
        <w:tc>
          <w:tcPr>
            <w:tcW w:w="1846"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4</w:t>
            </w:r>
            <w:r w:rsidR="00F826B0" w:rsidRPr="0003461A">
              <w:rPr>
                <w:rFonts w:ascii="Arial" w:eastAsia="Times New Roman" w:hAnsi="Arial" w:cs="Arial"/>
                <w:color w:val="000000"/>
                <w:sz w:val="20"/>
                <w:szCs w:val="20"/>
              </w:rPr>
              <w:t>8%</w:t>
            </w:r>
          </w:p>
        </w:tc>
        <w:tc>
          <w:tcPr>
            <w:tcW w:w="1848" w:type="dxa"/>
            <w:vAlign w:val="center"/>
          </w:tcPr>
          <w:p w:rsidR="00F826B0" w:rsidRPr="0003461A" w:rsidRDefault="008E1BCE"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0.90</w:t>
            </w:r>
          </w:p>
        </w:tc>
      </w:tr>
      <w:tr w:rsidR="00F826B0" w:rsidTr="00E44362">
        <w:trPr>
          <w:trHeight w:val="377"/>
          <w:jc w:val="center"/>
        </w:trPr>
        <w:tc>
          <w:tcPr>
            <w:tcW w:w="2356" w:type="dxa"/>
            <w:vAlign w:val="center"/>
          </w:tcPr>
          <w:p w:rsidR="00F826B0" w:rsidRPr="00CC0B13" w:rsidRDefault="00F826B0" w:rsidP="00C8641C">
            <w:pPr>
              <w:pStyle w:val="Bullets"/>
              <w:numPr>
                <w:ilvl w:val="0"/>
                <w:numId w:val="0"/>
              </w:numPr>
            </w:pPr>
            <w:r w:rsidRPr="00CC0B13">
              <w:t>201</w:t>
            </w:r>
            <w:r>
              <w:t>7</w:t>
            </w:r>
            <w:r w:rsidRPr="00CC0B13">
              <w:t xml:space="preserve"> Ex Ante 1-in-2</w:t>
            </w:r>
          </w:p>
        </w:tc>
        <w:tc>
          <w:tcPr>
            <w:tcW w:w="1842" w:type="dxa"/>
            <w:vAlign w:val="center"/>
          </w:tcPr>
          <w:p w:rsidR="00F826B0" w:rsidRPr="00CC0B13" w:rsidRDefault="00727D59" w:rsidP="00C8641C">
            <w:pPr>
              <w:jc w:val="center"/>
              <w:rPr>
                <w:rFonts w:ascii="Arial" w:eastAsia="Times New Roman" w:hAnsi="Arial" w:cs="Arial"/>
                <w:color w:val="000000"/>
                <w:sz w:val="20"/>
                <w:szCs w:val="20"/>
              </w:rPr>
            </w:pPr>
            <w:r>
              <w:rPr>
                <w:rFonts w:ascii="Arial" w:eastAsia="Times New Roman" w:hAnsi="Arial" w:cs="Arial"/>
                <w:color w:val="000000"/>
                <w:sz w:val="20"/>
                <w:szCs w:val="20"/>
              </w:rPr>
              <w:t>3</w:t>
            </w:r>
          </w:p>
        </w:tc>
        <w:tc>
          <w:tcPr>
            <w:tcW w:w="1846"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1.85</w:t>
            </w:r>
          </w:p>
        </w:tc>
        <w:tc>
          <w:tcPr>
            <w:tcW w:w="1846"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91</w:t>
            </w:r>
            <w:r w:rsidR="00F826B0" w:rsidRPr="0003461A">
              <w:rPr>
                <w:rFonts w:ascii="Arial" w:eastAsia="Times New Roman" w:hAnsi="Arial" w:cs="Arial"/>
                <w:color w:val="000000"/>
                <w:sz w:val="20"/>
                <w:szCs w:val="20"/>
              </w:rPr>
              <w:t>%</w:t>
            </w:r>
          </w:p>
        </w:tc>
        <w:tc>
          <w:tcPr>
            <w:tcW w:w="1848"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1.69</w:t>
            </w:r>
          </w:p>
        </w:tc>
      </w:tr>
      <w:tr w:rsidR="00F826B0" w:rsidTr="00E44362">
        <w:trPr>
          <w:trHeight w:val="377"/>
          <w:jc w:val="center"/>
        </w:trPr>
        <w:tc>
          <w:tcPr>
            <w:tcW w:w="2356" w:type="dxa"/>
            <w:vAlign w:val="center"/>
          </w:tcPr>
          <w:p w:rsidR="00F826B0" w:rsidRPr="00CC0B13" w:rsidRDefault="00F826B0" w:rsidP="00C8641C">
            <w:pPr>
              <w:pStyle w:val="Bullets"/>
              <w:numPr>
                <w:ilvl w:val="0"/>
                <w:numId w:val="0"/>
              </w:numPr>
            </w:pPr>
            <w:r w:rsidRPr="00CC0B13">
              <w:t>201</w:t>
            </w:r>
            <w:r>
              <w:t>7</w:t>
            </w:r>
            <w:r w:rsidRPr="00CC0B13">
              <w:t xml:space="preserve"> Ex Ante 1-in-10</w:t>
            </w:r>
          </w:p>
        </w:tc>
        <w:tc>
          <w:tcPr>
            <w:tcW w:w="1842" w:type="dxa"/>
            <w:vAlign w:val="center"/>
          </w:tcPr>
          <w:p w:rsidR="00F826B0" w:rsidRPr="00CC0B13" w:rsidRDefault="00727D59" w:rsidP="00C8641C">
            <w:pPr>
              <w:jc w:val="center"/>
              <w:rPr>
                <w:rFonts w:ascii="Arial" w:eastAsia="Times New Roman" w:hAnsi="Arial" w:cs="Arial"/>
                <w:color w:val="000000"/>
                <w:sz w:val="20"/>
                <w:szCs w:val="20"/>
              </w:rPr>
            </w:pPr>
            <w:r>
              <w:rPr>
                <w:rFonts w:ascii="Arial" w:eastAsia="Times New Roman" w:hAnsi="Arial" w:cs="Arial"/>
                <w:color w:val="000000"/>
                <w:sz w:val="20"/>
                <w:szCs w:val="20"/>
              </w:rPr>
              <w:t>3</w:t>
            </w:r>
          </w:p>
        </w:tc>
        <w:tc>
          <w:tcPr>
            <w:tcW w:w="1846"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1.94</w:t>
            </w:r>
          </w:p>
        </w:tc>
        <w:tc>
          <w:tcPr>
            <w:tcW w:w="1846"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90</w:t>
            </w:r>
            <w:r w:rsidR="00F826B0" w:rsidRPr="0003461A">
              <w:rPr>
                <w:rFonts w:ascii="Arial" w:eastAsia="Times New Roman" w:hAnsi="Arial" w:cs="Arial"/>
                <w:color w:val="000000"/>
                <w:sz w:val="20"/>
                <w:szCs w:val="20"/>
              </w:rPr>
              <w:t>%</w:t>
            </w:r>
          </w:p>
        </w:tc>
        <w:tc>
          <w:tcPr>
            <w:tcW w:w="1848" w:type="dxa"/>
            <w:vAlign w:val="center"/>
          </w:tcPr>
          <w:p w:rsidR="00F826B0" w:rsidRPr="0003461A" w:rsidRDefault="00727D59" w:rsidP="00C8641C">
            <w:pPr>
              <w:jc w:val="center"/>
              <w:rPr>
                <w:rFonts w:ascii="Arial" w:eastAsia="Times New Roman" w:hAnsi="Arial" w:cs="Arial"/>
                <w:color w:val="000000"/>
                <w:sz w:val="20"/>
                <w:szCs w:val="20"/>
              </w:rPr>
            </w:pPr>
            <w:r w:rsidRPr="0003461A">
              <w:rPr>
                <w:rFonts w:ascii="Arial" w:eastAsia="Times New Roman" w:hAnsi="Arial" w:cs="Arial"/>
                <w:color w:val="000000"/>
                <w:sz w:val="20"/>
                <w:szCs w:val="20"/>
              </w:rPr>
              <w:t>1.75</w:t>
            </w:r>
          </w:p>
        </w:tc>
      </w:tr>
    </w:tbl>
    <w:p w:rsidR="00F826B0" w:rsidRPr="004955A9" w:rsidRDefault="00F826B0" w:rsidP="00F826B0">
      <w:pPr>
        <w:pStyle w:val="BodyParaAfterTableFigure"/>
        <w:sectPr w:rsidR="00F826B0" w:rsidRPr="004955A9" w:rsidSect="00B84780">
          <w:pgSz w:w="12240" w:h="15840"/>
          <w:pgMar w:top="1440" w:right="1440" w:bottom="1440" w:left="1440" w:header="720" w:footer="720" w:gutter="0"/>
          <w:cols w:space="720"/>
          <w:docGrid w:linePitch="360"/>
        </w:sectPr>
      </w:pPr>
      <w:r>
        <w:fldChar w:fldCharType="begin"/>
      </w:r>
      <w:r>
        <w:instrText xml:space="preserve"> REF _Ref477886991 \h  \* MERGEFORMAT </w:instrText>
      </w:r>
      <w:r>
        <w:fldChar w:fldCharType="separate"/>
      </w:r>
      <w:r w:rsidR="001F391A">
        <w:t xml:space="preserve">Table </w:t>
      </w:r>
      <w:r w:rsidR="001F391A">
        <w:rPr>
          <w:noProof/>
        </w:rPr>
        <w:t>6</w:t>
      </w:r>
      <w:r w:rsidR="001F391A">
        <w:rPr>
          <w:noProof/>
        </w:rPr>
        <w:noBreakHyphen/>
        <w:t>22</w:t>
      </w:r>
      <w:r>
        <w:fldChar w:fldCharType="end"/>
      </w:r>
      <w:r>
        <w:t xml:space="preserve"> provides an analysis of h</w:t>
      </w:r>
      <w:r w:rsidRPr="001D279F">
        <w:t>ow the current ex ante results differ from the current ex post</w:t>
      </w:r>
      <w:r>
        <w:t> </w:t>
      </w:r>
      <w:r w:rsidRPr="001D279F">
        <w:t>results</w:t>
      </w:r>
      <w:r>
        <w:t>. Four key factors contribute to the differences between the ex post and the ex ante forecast. The weather and event window provide small differences. However, the enrollment and methodology are interrelated and provide more significant differences. Technically, the enrollment forecast is a function of the methodology for forecasting program growth based on anticipated utilization of available budgets. Given PLS is a growing program with low enrollment rates, yet a large impact per customer, very small changes to the enrollment forecast can have a large influence on program MW.</w:t>
      </w:r>
      <w:r w:rsidR="008E1BCE">
        <w:t xml:space="preserve"> In 2018, two more customers are expected to enroll in the program</w:t>
      </w:r>
      <w:r>
        <w:t>. After that point, there is expected to be significant departure from the ex post results observed this year. The other factor related to the methodology is the specific analysis method used for the est</w:t>
      </w:r>
      <w:r w:rsidR="008E1BCE">
        <w:t>imation of load impacts. In 2017</w:t>
      </w:r>
      <w:r>
        <w:t xml:space="preserve"> ex post data was available for the </w:t>
      </w:r>
      <w:r w:rsidR="008E1BCE">
        <w:t>three</w:t>
      </w:r>
      <w:r>
        <w:t xml:space="preserve"> operational customer</w:t>
      </w:r>
      <w:r w:rsidR="008E1BCE">
        <w:t>s</w:t>
      </w:r>
      <w:r>
        <w:t xml:space="preserve">; however, no such data exists for the projects projected to come online in the future. To address this, generalizable building simulation models and assumptions about the number and size of future projects are necessary. This is meant to represent the best estimate from program staff, but also involves a significant amount of uncertainty. </w:t>
      </w:r>
    </w:p>
    <w:p w:rsidR="00F826B0" w:rsidRPr="00753468" w:rsidRDefault="00F826B0" w:rsidP="00F826B0">
      <w:pPr>
        <w:pStyle w:val="Caption"/>
      </w:pPr>
      <w:r>
        <w:lastRenderedPageBreak/>
        <w:t xml:space="preserve">Table </w:t>
      </w:r>
      <w:fldSimple w:instr=" STYLEREF 1 \s ">
        <w:r w:rsidR="001F391A">
          <w:rPr>
            <w:noProof/>
          </w:rPr>
          <w:t>6</w:t>
        </w:r>
      </w:fldSimple>
      <w:r w:rsidR="008139B9">
        <w:noBreakHyphen/>
      </w:r>
      <w:fldSimple w:instr=" SEQ Table \* ARABIC \s 1 ">
        <w:r w:rsidR="001F391A">
          <w:rPr>
            <w:noProof/>
          </w:rPr>
          <w:t>22</w:t>
        </w:r>
      </w:fldSimple>
      <w:r w:rsidRPr="00753468">
        <w:t>:</w:t>
      </w:r>
      <w:r>
        <w:t xml:space="preserve"> </w:t>
      </w:r>
      <w:r w:rsidRPr="00753468">
        <w:t xml:space="preserve">Summary of Factors Underlying Differences between </w:t>
      </w:r>
      <w:r w:rsidR="003C6DFF">
        <w:t>2017</w:t>
      </w:r>
      <w:r>
        <w:t xml:space="preserve"> </w:t>
      </w:r>
      <w:proofErr w:type="gramStart"/>
      <w:r w:rsidRPr="00753468">
        <w:t>Ex</w:t>
      </w:r>
      <w:proofErr w:type="gramEnd"/>
      <w:r w:rsidRPr="00753468">
        <w:t xml:space="preserve"> Post and </w:t>
      </w:r>
      <w:r w:rsidR="003C6DFF">
        <w:t>2018</w:t>
      </w:r>
      <w:r>
        <w:t xml:space="preserve"> </w:t>
      </w:r>
      <w:r w:rsidRPr="00753468">
        <w:t xml:space="preserve">Ex Ante Impacts </w:t>
      </w:r>
      <w:r>
        <w:br/>
        <w:t>(June</w:t>
      </w:r>
      <w:r w:rsidRPr="00753468">
        <w:t xml:space="preserve"> </w:t>
      </w:r>
      <w:r>
        <w:t>Average Weekday – Utility Specific)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70CD"/>
        <w:tblLayout w:type="fixed"/>
        <w:tblLook w:val="04A0" w:firstRow="1" w:lastRow="0" w:firstColumn="1" w:lastColumn="0" w:noHBand="0" w:noVBand="1"/>
      </w:tblPr>
      <w:tblGrid>
        <w:gridCol w:w="1458"/>
        <w:gridCol w:w="3330"/>
        <w:gridCol w:w="4950"/>
        <w:gridCol w:w="3330"/>
      </w:tblGrid>
      <w:tr w:rsidR="00F826B0" w:rsidRPr="00753468" w:rsidTr="00C8641C">
        <w:trPr>
          <w:trHeight w:val="525"/>
        </w:trPr>
        <w:tc>
          <w:tcPr>
            <w:tcW w:w="1458" w:type="dxa"/>
            <w:tcBorders>
              <w:bottom w:val="single" w:sz="4" w:space="0" w:color="auto"/>
              <w:right w:val="single" w:sz="4" w:space="0" w:color="FFFFFF" w:themeColor="background1"/>
            </w:tcBorders>
            <w:shd w:val="clear" w:color="auto" w:fill="0070CD"/>
            <w:vAlign w:val="center"/>
            <w:hideMark/>
          </w:tcPr>
          <w:p w:rsidR="00F826B0" w:rsidRPr="00753468" w:rsidRDefault="00F826B0" w:rsidP="00C8641C">
            <w:pPr>
              <w:pStyle w:val="TableHeader"/>
              <w:rPr>
                <w:rFonts w:cs="Arial"/>
              </w:rPr>
            </w:pPr>
            <w:r w:rsidRPr="00753468">
              <w:rPr>
                <w:rFonts w:cs="Arial"/>
              </w:rPr>
              <w:t>Factor</w:t>
            </w:r>
          </w:p>
        </w:tc>
        <w:tc>
          <w:tcPr>
            <w:tcW w:w="333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F826B0" w:rsidRPr="00753468" w:rsidRDefault="00F826B0" w:rsidP="00C8641C">
            <w:pPr>
              <w:pStyle w:val="TableHeader"/>
              <w:rPr>
                <w:rFonts w:cs="Arial"/>
              </w:rPr>
            </w:pPr>
            <w:r w:rsidRPr="00753468">
              <w:rPr>
                <w:rFonts w:cs="Arial"/>
              </w:rPr>
              <w:t>Ex Post</w:t>
            </w:r>
          </w:p>
        </w:tc>
        <w:tc>
          <w:tcPr>
            <w:tcW w:w="495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F826B0" w:rsidRPr="00753468" w:rsidRDefault="00F826B0" w:rsidP="00C8641C">
            <w:pPr>
              <w:pStyle w:val="TableHeader"/>
              <w:rPr>
                <w:rFonts w:cs="Arial"/>
              </w:rPr>
            </w:pPr>
            <w:r w:rsidRPr="00753468">
              <w:rPr>
                <w:rFonts w:cs="Arial"/>
              </w:rPr>
              <w:t>Ex Ante</w:t>
            </w:r>
          </w:p>
        </w:tc>
        <w:tc>
          <w:tcPr>
            <w:tcW w:w="3330" w:type="dxa"/>
            <w:tcBorders>
              <w:left w:val="single" w:sz="4" w:space="0" w:color="FFFFFF" w:themeColor="background1"/>
              <w:bottom w:val="single" w:sz="4" w:space="0" w:color="auto"/>
            </w:tcBorders>
            <w:shd w:val="clear" w:color="auto" w:fill="0070CD"/>
            <w:vAlign w:val="center"/>
            <w:hideMark/>
          </w:tcPr>
          <w:p w:rsidR="00F826B0" w:rsidRPr="00753468" w:rsidRDefault="00F826B0" w:rsidP="00C8641C">
            <w:pPr>
              <w:pStyle w:val="TableHeader"/>
              <w:rPr>
                <w:rFonts w:cs="Arial"/>
              </w:rPr>
            </w:pPr>
            <w:r w:rsidRPr="00753468">
              <w:rPr>
                <w:rFonts w:cs="Arial"/>
              </w:rPr>
              <w:t>Expected Impact</w:t>
            </w:r>
          </w:p>
        </w:tc>
      </w:tr>
      <w:tr w:rsidR="00F826B0" w:rsidRPr="00753468" w:rsidTr="00C8641C">
        <w:trPr>
          <w:trHeight w:val="1824"/>
        </w:trPr>
        <w:tc>
          <w:tcPr>
            <w:tcW w:w="1458" w:type="dxa"/>
            <w:shd w:val="clear" w:color="auto" w:fill="FFFFFF" w:themeFill="background1"/>
            <w:noWrap/>
            <w:vAlign w:val="center"/>
            <w:hideMark/>
          </w:tcPr>
          <w:p w:rsidR="00F826B0" w:rsidRPr="00753468" w:rsidRDefault="00F826B0" w:rsidP="00C8641C">
            <w:pPr>
              <w:pStyle w:val="TableText"/>
              <w:spacing w:before="100" w:after="100"/>
              <w:contextualSpacing/>
              <w:rPr>
                <w:rFonts w:cs="Arial"/>
              </w:rPr>
            </w:pPr>
            <w:r w:rsidRPr="00753468">
              <w:rPr>
                <w:rFonts w:cs="Arial"/>
              </w:rPr>
              <w:t>Weather</w:t>
            </w:r>
          </w:p>
        </w:tc>
        <w:tc>
          <w:tcPr>
            <w:tcW w:w="3330" w:type="dxa"/>
            <w:shd w:val="clear" w:color="auto" w:fill="FFFFFF" w:themeFill="background1"/>
            <w:noWrap/>
            <w:vAlign w:val="center"/>
            <w:hideMark/>
          </w:tcPr>
          <w:p w:rsidR="00F826B0" w:rsidRPr="00753468" w:rsidRDefault="00F826B0" w:rsidP="00C8641C">
            <w:pPr>
              <w:pStyle w:val="TableText"/>
              <w:spacing w:before="100" w:after="100"/>
              <w:contextualSpacing/>
              <w:jc w:val="left"/>
              <w:rPr>
                <w:rFonts w:cs="Arial"/>
              </w:rPr>
            </w:pPr>
            <w:r>
              <w:rPr>
                <w:rFonts w:cs="Arial"/>
              </w:rPr>
              <w:t xml:space="preserve">Average weekday Mean17 = </w:t>
            </w:r>
            <w:r w:rsidR="00727D59">
              <w:rPr>
                <w:rFonts w:cs="Arial"/>
              </w:rPr>
              <w:t>6</w:t>
            </w:r>
            <w:r>
              <w:rPr>
                <w:rFonts w:cs="Arial"/>
              </w:rPr>
              <w:t>8</w:t>
            </w:r>
          </w:p>
          <w:p w:rsidR="00F826B0" w:rsidRDefault="00F826B0" w:rsidP="00C8641C">
            <w:pPr>
              <w:pStyle w:val="TableText"/>
              <w:spacing w:before="100" w:after="100"/>
              <w:contextualSpacing/>
              <w:jc w:val="left"/>
              <w:rPr>
                <w:rFonts w:cs="Arial"/>
              </w:rPr>
            </w:pPr>
          </w:p>
          <w:p w:rsidR="00F826B0" w:rsidRPr="00846B8E" w:rsidRDefault="00F826B0" w:rsidP="00C8641C">
            <w:pPr>
              <w:pStyle w:val="TableText"/>
              <w:spacing w:before="100" w:after="100"/>
              <w:contextualSpacing/>
              <w:jc w:val="left"/>
              <w:rPr>
                <w:rFonts w:cs="Arial"/>
                <w:sz w:val="16"/>
                <w:szCs w:val="16"/>
              </w:rPr>
            </w:pPr>
            <w:r w:rsidRPr="00846B8E">
              <w:rPr>
                <w:rFonts w:cs="Arial"/>
                <w:sz w:val="16"/>
                <w:szCs w:val="16"/>
              </w:rPr>
              <w:t>Note: Mean17 is the average temperature between midnight and 5pm (hour ending 17). This metric helps to account for heat buildup during the day, which can affect cooling load.</w:t>
            </w:r>
          </w:p>
        </w:tc>
        <w:tc>
          <w:tcPr>
            <w:tcW w:w="4950" w:type="dxa"/>
            <w:shd w:val="clear" w:color="auto" w:fill="FFFFFF" w:themeFill="background1"/>
            <w:vAlign w:val="center"/>
            <w:hideMark/>
          </w:tcPr>
          <w:p w:rsidR="00F826B0" w:rsidRDefault="00F826B0" w:rsidP="00C8641C">
            <w:pPr>
              <w:pStyle w:val="TableText"/>
              <w:spacing w:before="100" w:after="100"/>
              <w:contextualSpacing/>
              <w:jc w:val="left"/>
              <w:rPr>
                <w:rFonts w:cs="Arial"/>
              </w:rPr>
            </w:pPr>
            <w:r w:rsidRPr="00753468">
              <w:rPr>
                <w:rFonts w:cs="Arial"/>
              </w:rPr>
              <w:t xml:space="preserve">Program specific </w:t>
            </w:r>
            <w:r>
              <w:rPr>
                <w:rFonts w:cs="Arial"/>
              </w:rPr>
              <w:t>M</w:t>
            </w:r>
            <w:r w:rsidRPr="00753468">
              <w:rPr>
                <w:rFonts w:cs="Arial"/>
              </w:rPr>
              <w:t xml:space="preserve">ean17 for 1-in-2 </w:t>
            </w:r>
            <w:r w:rsidR="00727D59">
              <w:rPr>
                <w:rFonts w:cs="Arial"/>
              </w:rPr>
              <w:t>average weekday = 64</w:t>
            </w:r>
            <w:r>
              <w:rPr>
                <w:rFonts w:cs="Arial"/>
              </w:rPr>
              <w:t xml:space="preserve"> and </w:t>
            </w:r>
            <w:r w:rsidR="00DE4FB2">
              <w:rPr>
                <w:rFonts w:cs="Arial"/>
              </w:rPr>
              <w:t>63</w:t>
            </w:r>
            <w:r>
              <w:rPr>
                <w:rFonts w:cs="Arial"/>
              </w:rPr>
              <w:t xml:space="preserve"> for SD</w:t>
            </w:r>
            <w:r w:rsidRPr="00753468">
              <w:rPr>
                <w:rFonts w:cs="Arial"/>
              </w:rPr>
              <w:t>G&amp;E and CAISO weather, respectively</w:t>
            </w:r>
          </w:p>
          <w:p w:rsidR="00F826B0" w:rsidRPr="00753468" w:rsidRDefault="00F826B0" w:rsidP="00C8641C">
            <w:pPr>
              <w:pStyle w:val="TableText"/>
              <w:spacing w:before="100" w:after="100"/>
              <w:contextualSpacing/>
              <w:jc w:val="left"/>
              <w:rPr>
                <w:rFonts w:cs="Arial"/>
              </w:rPr>
            </w:pPr>
          </w:p>
          <w:p w:rsidR="00F826B0" w:rsidRPr="00753468" w:rsidRDefault="00F826B0" w:rsidP="00C8641C">
            <w:pPr>
              <w:pStyle w:val="TableText"/>
              <w:spacing w:before="100" w:after="100"/>
              <w:contextualSpacing/>
              <w:jc w:val="left"/>
              <w:rPr>
                <w:rFonts w:cs="Arial"/>
              </w:rPr>
            </w:pPr>
            <w:r w:rsidRPr="00753468">
              <w:rPr>
                <w:rFonts w:cs="Arial"/>
              </w:rPr>
              <w:t xml:space="preserve">Program specific mean17 for </w:t>
            </w:r>
            <w:r>
              <w:rPr>
                <w:rFonts w:cs="Arial"/>
              </w:rPr>
              <w:t>1-in-10 average weekday = 6</w:t>
            </w:r>
            <w:r w:rsidR="00727D59">
              <w:rPr>
                <w:rFonts w:cs="Arial"/>
              </w:rPr>
              <w:t>7 and 66</w:t>
            </w:r>
            <w:r>
              <w:rPr>
                <w:rFonts w:cs="Arial"/>
              </w:rPr>
              <w:t xml:space="preserve"> for SD</w:t>
            </w:r>
            <w:r w:rsidRPr="00753468">
              <w:rPr>
                <w:rFonts w:cs="Arial"/>
              </w:rPr>
              <w:t>G&amp;E and CAISO weather, respectively</w:t>
            </w:r>
          </w:p>
        </w:tc>
        <w:tc>
          <w:tcPr>
            <w:tcW w:w="3330" w:type="dxa"/>
            <w:shd w:val="clear" w:color="auto" w:fill="FFFFFF" w:themeFill="background1"/>
            <w:vAlign w:val="center"/>
            <w:hideMark/>
          </w:tcPr>
          <w:p w:rsidR="00F826B0" w:rsidRPr="00753468" w:rsidRDefault="00F826B0" w:rsidP="00DE4FB2">
            <w:pPr>
              <w:pStyle w:val="TableText"/>
              <w:spacing w:before="100" w:after="100"/>
              <w:contextualSpacing/>
              <w:jc w:val="left"/>
              <w:rPr>
                <w:rFonts w:cs="Arial"/>
              </w:rPr>
            </w:pPr>
            <w:r w:rsidRPr="00753468">
              <w:rPr>
                <w:rFonts w:cs="Arial"/>
              </w:rPr>
              <w:t xml:space="preserve">Ex ante estimates </w:t>
            </w:r>
            <w:r>
              <w:rPr>
                <w:rFonts w:cs="Arial"/>
              </w:rPr>
              <w:t>are sensitive to temperature</w:t>
            </w:r>
            <w:r w:rsidRPr="00753468">
              <w:rPr>
                <w:rFonts w:cs="Arial"/>
              </w:rPr>
              <w:t xml:space="preserve">– impacts </w:t>
            </w:r>
            <w:r w:rsidR="00DE4FB2">
              <w:rPr>
                <w:rFonts w:cs="Arial"/>
              </w:rPr>
              <w:t>will be lowe</w:t>
            </w:r>
            <w:r>
              <w:rPr>
                <w:rFonts w:cs="Arial"/>
              </w:rPr>
              <w:t xml:space="preserve">r based on 1-in-2 SDG&amp;E weather and </w:t>
            </w:r>
            <w:r w:rsidR="00DE4FB2">
              <w:rPr>
                <w:rFonts w:cs="Arial"/>
              </w:rPr>
              <w:t>more similar</w:t>
            </w:r>
            <w:r w:rsidRPr="00753468">
              <w:rPr>
                <w:rFonts w:cs="Arial"/>
              </w:rPr>
              <w:t xml:space="preserve"> based on </w:t>
            </w:r>
            <w:r>
              <w:rPr>
                <w:rFonts w:cs="Arial"/>
              </w:rPr>
              <w:t xml:space="preserve">1-in-10 PG&amp;E weather and </w:t>
            </w:r>
            <w:r w:rsidRPr="00753468">
              <w:rPr>
                <w:rFonts w:cs="Arial"/>
              </w:rPr>
              <w:t>CAISO weather</w:t>
            </w:r>
          </w:p>
        </w:tc>
      </w:tr>
      <w:tr w:rsidR="00F826B0" w:rsidRPr="00753468" w:rsidTr="00C8641C">
        <w:trPr>
          <w:trHeight w:val="1150"/>
        </w:trPr>
        <w:tc>
          <w:tcPr>
            <w:tcW w:w="1458" w:type="dxa"/>
            <w:shd w:val="clear" w:color="auto" w:fill="FFFFFF" w:themeFill="background1"/>
            <w:noWrap/>
            <w:vAlign w:val="center"/>
            <w:hideMark/>
          </w:tcPr>
          <w:p w:rsidR="00F826B0" w:rsidRPr="00753468" w:rsidRDefault="00F826B0" w:rsidP="00C8641C">
            <w:pPr>
              <w:pStyle w:val="TableText"/>
              <w:spacing w:before="100" w:after="100"/>
              <w:contextualSpacing/>
              <w:rPr>
                <w:rFonts w:cs="Arial"/>
              </w:rPr>
            </w:pPr>
            <w:r w:rsidRPr="00753468">
              <w:rPr>
                <w:rFonts w:cs="Arial"/>
              </w:rPr>
              <w:t>Event window</w:t>
            </w:r>
          </w:p>
        </w:tc>
        <w:tc>
          <w:tcPr>
            <w:tcW w:w="3330" w:type="dxa"/>
            <w:shd w:val="clear" w:color="auto" w:fill="FFFFFF" w:themeFill="background1"/>
            <w:noWrap/>
            <w:vAlign w:val="center"/>
            <w:hideMark/>
          </w:tcPr>
          <w:p w:rsidR="00F826B0" w:rsidRPr="00753468" w:rsidRDefault="00727D59" w:rsidP="00C8641C">
            <w:pPr>
              <w:pStyle w:val="TableText"/>
              <w:spacing w:before="100" w:after="100"/>
              <w:contextualSpacing/>
              <w:jc w:val="left"/>
              <w:rPr>
                <w:rFonts w:cs="Arial"/>
              </w:rPr>
            </w:pPr>
            <w:r>
              <w:rPr>
                <w:rFonts w:cs="Arial"/>
              </w:rPr>
              <w:t>Program hours from 11 AM</w:t>
            </w:r>
            <w:r w:rsidR="00F826B0" w:rsidRPr="00753468">
              <w:rPr>
                <w:rFonts w:cs="Arial"/>
              </w:rPr>
              <w:t xml:space="preserve"> to 6 PM</w:t>
            </w:r>
          </w:p>
        </w:tc>
        <w:tc>
          <w:tcPr>
            <w:tcW w:w="4950" w:type="dxa"/>
            <w:shd w:val="clear" w:color="auto" w:fill="FFFFFF" w:themeFill="background1"/>
            <w:vAlign w:val="center"/>
            <w:hideMark/>
          </w:tcPr>
          <w:p w:rsidR="00F826B0" w:rsidRPr="00753468" w:rsidRDefault="00F826B0" w:rsidP="00C8641C">
            <w:pPr>
              <w:pStyle w:val="TableText"/>
              <w:spacing w:before="100" w:after="100"/>
              <w:contextualSpacing/>
              <w:jc w:val="left"/>
              <w:rPr>
                <w:rFonts w:cs="Arial"/>
              </w:rPr>
            </w:pPr>
            <w:r w:rsidRPr="00753468">
              <w:rPr>
                <w:rFonts w:cs="Arial"/>
              </w:rPr>
              <w:t>Resource adequacy win</w:t>
            </w:r>
            <w:r>
              <w:rPr>
                <w:rFonts w:cs="Arial"/>
              </w:rPr>
              <w:t>dow is from 1 to 6 PM</w:t>
            </w:r>
          </w:p>
        </w:tc>
        <w:tc>
          <w:tcPr>
            <w:tcW w:w="3330" w:type="dxa"/>
            <w:shd w:val="clear" w:color="auto" w:fill="FFFFFF" w:themeFill="background1"/>
            <w:vAlign w:val="center"/>
            <w:hideMark/>
          </w:tcPr>
          <w:p w:rsidR="00F826B0" w:rsidRPr="00753468" w:rsidRDefault="00F826B0" w:rsidP="00C8641C">
            <w:pPr>
              <w:pStyle w:val="TableText"/>
              <w:spacing w:before="100" w:after="100"/>
              <w:contextualSpacing/>
              <w:jc w:val="left"/>
              <w:rPr>
                <w:rFonts w:cs="Arial"/>
              </w:rPr>
            </w:pPr>
            <w:r>
              <w:rPr>
                <w:rFonts w:cs="Arial"/>
              </w:rPr>
              <w:t>In some cases a</w:t>
            </w:r>
            <w:r w:rsidRPr="00753468">
              <w:rPr>
                <w:rFonts w:cs="Arial"/>
              </w:rPr>
              <w:t>verage ex ante impacts will be lower</w:t>
            </w:r>
            <w:r>
              <w:rPr>
                <w:rFonts w:cs="Arial"/>
              </w:rPr>
              <w:t xml:space="preserve"> because in many cases t</w:t>
            </w:r>
            <w:r w:rsidR="003C6DFF">
              <w:rPr>
                <w:rFonts w:cs="Arial"/>
              </w:rPr>
              <w:t>he impacts are largest in the 12</w:t>
            </w:r>
            <w:r>
              <w:rPr>
                <w:rFonts w:cs="Arial"/>
              </w:rPr>
              <w:t>-1 PM hour that isn’t included</w:t>
            </w:r>
          </w:p>
        </w:tc>
      </w:tr>
      <w:tr w:rsidR="00F826B0" w:rsidRPr="00753468" w:rsidTr="00C8641C">
        <w:trPr>
          <w:trHeight w:val="1151"/>
        </w:trPr>
        <w:tc>
          <w:tcPr>
            <w:tcW w:w="1458" w:type="dxa"/>
            <w:shd w:val="clear" w:color="auto" w:fill="FFFFFF" w:themeFill="background1"/>
            <w:noWrap/>
            <w:vAlign w:val="center"/>
            <w:hideMark/>
          </w:tcPr>
          <w:p w:rsidR="00F826B0" w:rsidRPr="00753468" w:rsidRDefault="00F826B0" w:rsidP="00C8641C">
            <w:pPr>
              <w:pStyle w:val="TableText"/>
              <w:spacing w:before="100" w:after="100"/>
              <w:contextualSpacing/>
              <w:rPr>
                <w:rFonts w:cs="Arial"/>
              </w:rPr>
            </w:pPr>
            <w:r w:rsidRPr="00753468">
              <w:rPr>
                <w:rFonts w:cs="Arial"/>
              </w:rPr>
              <w:t>Enrollment</w:t>
            </w:r>
          </w:p>
        </w:tc>
        <w:tc>
          <w:tcPr>
            <w:tcW w:w="3330" w:type="dxa"/>
            <w:shd w:val="clear" w:color="auto" w:fill="FFFFFF" w:themeFill="background1"/>
            <w:noWrap/>
            <w:vAlign w:val="center"/>
            <w:hideMark/>
          </w:tcPr>
          <w:p w:rsidR="00F826B0" w:rsidRPr="00753468" w:rsidRDefault="00727D59" w:rsidP="00C8641C">
            <w:pPr>
              <w:pStyle w:val="TableText"/>
              <w:spacing w:before="100" w:after="100"/>
              <w:contextualSpacing/>
              <w:jc w:val="left"/>
              <w:rPr>
                <w:rFonts w:cs="Arial"/>
              </w:rPr>
            </w:pPr>
            <w:r>
              <w:rPr>
                <w:rFonts w:cs="Arial"/>
              </w:rPr>
              <w:t>Three customers</w:t>
            </w:r>
          </w:p>
        </w:tc>
        <w:tc>
          <w:tcPr>
            <w:tcW w:w="4950" w:type="dxa"/>
            <w:shd w:val="clear" w:color="auto" w:fill="FFFFFF" w:themeFill="background1"/>
            <w:vAlign w:val="center"/>
            <w:hideMark/>
          </w:tcPr>
          <w:p w:rsidR="00F826B0" w:rsidRPr="007C49B4" w:rsidRDefault="00F826B0" w:rsidP="00E44362">
            <w:pPr>
              <w:pStyle w:val="TableText"/>
              <w:spacing w:before="100" w:after="100"/>
              <w:contextualSpacing/>
              <w:jc w:val="left"/>
              <w:rPr>
                <w:rFonts w:eastAsia="Times New Roman" w:cs="Arial"/>
                <w:color w:val="0070CD" w:themeColor="text2"/>
              </w:rPr>
            </w:pPr>
            <w:r>
              <w:rPr>
                <w:rFonts w:cs="Arial"/>
              </w:rPr>
              <w:t xml:space="preserve">2018+ includes additional identified </w:t>
            </w:r>
            <w:r w:rsidR="008E1BCE">
              <w:rPr>
                <w:rFonts w:cs="Arial"/>
              </w:rPr>
              <w:t>customers</w:t>
            </w:r>
          </w:p>
        </w:tc>
        <w:tc>
          <w:tcPr>
            <w:tcW w:w="3330" w:type="dxa"/>
            <w:shd w:val="clear" w:color="auto" w:fill="FFFFFF" w:themeFill="background1"/>
            <w:vAlign w:val="center"/>
            <w:hideMark/>
          </w:tcPr>
          <w:p w:rsidR="00F826B0" w:rsidRPr="007C49B4" w:rsidRDefault="00F826B0" w:rsidP="00E44362">
            <w:pPr>
              <w:pStyle w:val="TableText"/>
              <w:spacing w:before="100" w:after="100"/>
              <w:contextualSpacing/>
              <w:jc w:val="left"/>
              <w:rPr>
                <w:rFonts w:eastAsia="Times New Roman" w:cs="Arial"/>
                <w:color w:val="0070CD" w:themeColor="text2"/>
              </w:rPr>
            </w:pPr>
            <w:r w:rsidRPr="007C49B4">
              <w:rPr>
                <w:rFonts w:cs="Arial"/>
              </w:rPr>
              <w:t>Ex ante estimates will</w:t>
            </w:r>
            <w:r>
              <w:rPr>
                <w:rFonts w:cs="Arial"/>
              </w:rPr>
              <w:t xml:space="preserve"> start to increase significantly in 2018+ as the program is projected to grow</w:t>
            </w:r>
          </w:p>
        </w:tc>
      </w:tr>
      <w:tr w:rsidR="00F826B0" w:rsidRPr="00753468" w:rsidTr="00C8641C">
        <w:trPr>
          <w:trHeight w:val="1718"/>
        </w:trPr>
        <w:tc>
          <w:tcPr>
            <w:tcW w:w="1458" w:type="dxa"/>
            <w:shd w:val="clear" w:color="auto" w:fill="FFFFFF" w:themeFill="background1"/>
            <w:noWrap/>
            <w:vAlign w:val="center"/>
            <w:hideMark/>
          </w:tcPr>
          <w:p w:rsidR="00F826B0" w:rsidRPr="00753468" w:rsidRDefault="00F826B0" w:rsidP="00C8641C">
            <w:pPr>
              <w:pStyle w:val="TableText"/>
              <w:spacing w:before="100" w:after="100"/>
              <w:contextualSpacing/>
              <w:rPr>
                <w:rFonts w:cs="Arial"/>
              </w:rPr>
            </w:pPr>
            <w:r w:rsidRPr="00753468">
              <w:rPr>
                <w:rFonts w:cs="Arial"/>
              </w:rPr>
              <w:t>Methodology</w:t>
            </w:r>
          </w:p>
        </w:tc>
        <w:tc>
          <w:tcPr>
            <w:tcW w:w="3330" w:type="dxa"/>
            <w:shd w:val="clear" w:color="auto" w:fill="FFFFFF" w:themeFill="background1"/>
            <w:vAlign w:val="center"/>
            <w:hideMark/>
          </w:tcPr>
          <w:p w:rsidR="00F826B0" w:rsidRPr="00753468" w:rsidRDefault="003C6DFF" w:rsidP="00C8641C">
            <w:pPr>
              <w:pStyle w:val="TableText"/>
              <w:spacing w:before="100" w:after="100"/>
              <w:contextualSpacing/>
              <w:jc w:val="left"/>
              <w:rPr>
                <w:rFonts w:cs="Arial"/>
              </w:rPr>
            </w:pPr>
            <w:r>
              <w:rPr>
                <w:rFonts w:cs="Arial"/>
              </w:rPr>
              <w:t>2017</w:t>
            </w:r>
            <w:r w:rsidR="00F826B0" w:rsidRPr="00753468">
              <w:rPr>
                <w:rFonts w:cs="Arial"/>
              </w:rPr>
              <w:t xml:space="preserve"> impacts based on </w:t>
            </w:r>
            <w:r w:rsidR="00727D59">
              <w:rPr>
                <w:rFonts w:cs="Arial"/>
              </w:rPr>
              <w:t xml:space="preserve">partial </w:t>
            </w:r>
            <w:r w:rsidR="00F826B0">
              <w:rPr>
                <w:rFonts w:cs="Arial"/>
              </w:rPr>
              <w:t>ope</w:t>
            </w:r>
            <w:r w:rsidR="00727D59">
              <w:rPr>
                <w:rFonts w:cs="Arial"/>
              </w:rPr>
              <w:t>rational data for one customer and premise-level data for the other two customers</w:t>
            </w:r>
          </w:p>
        </w:tc>
        <w:tc>
          <w:tcPr>
            <w:tcW w:w="4950" w:type="dxa"/>
            <w:shd w:val="clear" w:color="auto" w:fill="FFFFFF" w:themeFill="background1"/>
            <w:vAlign w:val="center"/>
            <w:hideMark/>
          </w:tcPr>
          <w:p w:rsidR="00F826B0" w:rsidRPr="00753468" w:rsidRDefault="003C6DFF" w:rsidP="00C8641C">
            <w:pPr>
              <w:pStyle w:val="TableText"/>
              <w:spacing w:before="100" w:after="100"/>
              <w:contextualSpacing/>
              <w:jc w:val="left"/>
              <w:rPr>
                <w:rFonts w:cs="Arial"/>
              </w:rPr>
            </w:pPr>
            <w:r>
              <w:rPr>
                <w:rFonts w:cs="Arial"/>
              </w:rPr>
              <w:t>2018</w:t>
            </w:r>
            <w:r w:rsidR="00F826B0">
              <w:rPr>
                <w:rFonts w:cs="Arial"/>
              </w:rPr>
              <w:t xml:space="preserve">+ combines impacts based on operational data and building simulations for identified and unidentified customers </w:t>
            </w:r>
          </w:p>
        </w:tc>
        <w:tc>
          <w:tcPr>
            <w:tcW w:w="3330" w:type="dxa"/>
            <w:shd w:val="clear" w:color="auto" w:fill="FFFFFF" w:themeFill="background1"/>
            <w:vAlign w:val="center"/>
            <w:hideMark/>
          </w:tcPr>
          <w:p w:rsidR="00F826B0" w:rsidRPr="00753468" w:rsidRDefault="003C6DFF" w:rsidP="00C8641C">
            <w:pPr>
              <w:pStyle w:val="TableText"/>
              <w:spacing w:before="100" w:after="100"/>
              <w:contextualSpacing/>
              <w:jc w:val="left"/>
              <w:rPr>
                <w:rFonts w:cs="Arial"/>
              </w:rPr>
            </w:pPr>
            <w:r>
              <w:rPr>
                <w:rFonts w:cs="Arial"/>
              </w:rPr>
              <w:t>2018</w:t>
            </w:r>
            <w:r w:rsidR="00F826B0">
              <w:rPr>
                <w:rFonts w:cs="Arial"/>
              </w:rPr>
              <w:t xml:space="preserve">+ rely on a variety of assumptions and a different approach. Results are not directly comparable </w:t>
            </w:r>
          </w:p>
        </w:tc>
      </w:tr>
    </w:tbl>
    <w:p w:rsidR="008340D4" w:rsidRDefault="00F1237C" w:rsidP="00E44362">
      <w:pPr>
        <w:pStyle w:val="BodyBeforeBullet"/>
        <w:sectPr w:rsidR="008340D4" w:rsidSect="008F306F">
          <w:footerReference w:type="default" r:id="rId71"/>
          <w:pgSz w:w="15840" w:h="12240" w:orient="landscape"/>
          <w:pgMar w:top="1440" w:right="1440" w:bottom="1440" w:left="1440" w:header="720" w:footer="720" w:gutter="0"/>
          <w:cols w:space="720"/>
          <w:docGrid w:linePitch="360"/>
        </w:sectPr>
      </w:pPr>
      <w:r w:rsidRPr="008F306F">
        <w:tab/>
      </w:r>
    </w:p>
    <w:p w:rsidR="00AE0D77" w:rsidRDefault="00AE0D77" w:rsidP="00E44362">
      <w:pPr>
        <w:pStyle w:val="Heading3"/>
      </w:pPr>
      <w:bookmarkStart w:id="110" w:name="_Toc507085069"/>
      <w:r>
        <w:lastRenderedPageBreak/>
        <w:t>Comparison of 2016 and 2017 Ex Ante Estimates</w:t>
      </w:r>
      <w:bookmarkEnd w:id="110"/>
    </w:p>
    <w:p w:rsidR="00AE0D77" w:rsidRPr="00E44362" w:rsidRDefault="00DE4FB2" w:rsidP="00E44362">
      <w:pPr>
        <w:pStyle w:val="BodyParaAfterTableFigure"/>
      </w:pPr>
      <w:r>
        <w:t>Figure 6-7</w:t>
      </w:r>
      <w:r w:rsidR="00AE0D77" w:rsidRPr="009272B8">
        <w:fldChar w:fldCharType="begin"/>
      </w:r>
      <w:r w:rsidR="00AE0D77" w:rsidRPr="009272B8">
        <w:instrText xml:space="preserve"> REF _Ref443507203 \h  \* MERGEFORMAT </w:instrText>
      </w:r>
      <w:r w:rsidR="00AE0D77" w:rsidRPr="009272B8">
        <w:fldChar w:fldCharType="end"/>
      </w:r>
      <w:r w:rsidR="00AE0D77" w:rsidRPr="009272B8">
        <w:t xml:space="preserve"> compares the </w:t>
      </w:r>
      <w:r w:rsidR="00AE0D77">
        <w:t xml:space="preserve">ex </w:t>
      </w:r>
      <w:r w:rsidR="00AE0D77" w:rsidRPr="009272B8">
        <w:t xml:space="preserve">ante load impact estimates from this evaluation to those from last year’s PLS program evaluation, for the September 1-in-10 monthly system peak </w:t>
      </w:r>
      <w:proofErr w:type="gramStart"/>
      <w:r w:rsidR="00AE0D77" w:rsidRPr="009272B8">
        <w:t>day</w:t>
      </w:r>
      <w:proofErr w:type="gramEnd"/>
      <w:r w:rsidR="00AE0D77" w:rsidRPr="009272B8">
        <w:t>.</w:t>
      </w:r>
      <w:r w:rsidR="00AE0D77">
        <w:t xml:space="preserve"> In last year’s evaluation,</w:t>
      </w:r>
      <w:r w:rsidR="00B73D6A">
        <w:t xml:space="preserve"> there were no additional identified projects other than the projects evaluated in the 2017 ex post.</w:t>
      </w:r>
      <w:r w:rsidR="008E6B39">
        <w:t xml:space="preserve"> However, there were several unidentified projects expected to come online through 2024.</w:t>
      </w:r>
      <w:r w:rsidR="00B73D6A">
        <w:t xml:space="preserve"> This year, two additional identified projects are expected to come online in 2018, but there are no additional unidentified projects since the program has been cancelled. Therefore, last year’s predictions are much higher compared to this year after 2018 because of the additional unidentified customers that were expected to come online.</w:t>
      </w:r>
    </w:p>
    <w:p w:rsidR="00AE0D77" w:rsidRDefault="00AE0D77" w:rsidP="00AE0D77">
      <w:pPr>
        <w:pStyle w:val="Caption"/>
      </w:pPr>
      <w:r w:rsidRPr="0003461A">
        <w:t xml:space="preserve">Figure </w:t>
      </w:r>
      <w:fldSimple w:instr=" STYLEREF 1 \s ">
        <w:r w:rsidR="001F391A" w:rsidRPr="0003461A">
          <w:rPr>
            <w:noProof/>
          </w:rPr>
          <w:t>6</w:t>
        </w:r>
      </w:fldSimple>
      <w:r w:rsidRPr="0003461A">
        <w:noBreakHyphen/>
      </w:r>
      <w:fldSimple w:instr=" SEQ Figure \* ARABIC \s 1 ">
        <w:r w:rsidR="001F391A" w:rsidRPr="0003461A">
          <w:rPr>
            <w:noProof/>
          </w:rPr>
          <w:t>7</w:t>
        </w:r>
      </w:fldSimple>
      <w:r w:rsidRPr="0003461A">
        <w:t>: SDG&amp;E Comparison of September 1-in-10 Monthly System Peak Day Load Impacts (1 to 6 PM) to Base Scenario from Last Year’s PLS Program Evaluation</w:t>
      </w:r>
    </w:p>
    <w:p w:rsidR="00AE0D77" w:rsidRPr="00A82717" w:rsidRDefault="00AE0D77" w:rsidP="00DE4FB2">
      <w:pPr>
        <w:jc w:val="center"/>
      </w:pPr>
      <w:r w:rsidRPr="00E44362">
        <w:rPr>
          <w:noProof/>
        </w:rPr>
        <w:drawing>
          <wp:inline distT="0" distB="0" distL="0" distR="0" wp14:anchorId="49476476" wp14:editId="52E5D729">
            <wp:extent cx="5943600" cy="3195320"/>
            <wp:effectExtent l="0" t="0" r="19050" b="24130"/>
            <wp:docPr id="2070" name="Chart 2070"/>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AE0D77" w:rsidRPr="00B828B0" w:rsidRDefault="00AE0D77" w:rsidP="00AE0D77">
      <w:pPr>
        <w:pStyle w:val="BodyParagraph"/>
        <w:rPr>
          <w:highlight w:val="yellow"/>
        </w:rPr>
      </w:pPr>
    </w:p>
    <w:p w:rsidR="00AE0D77" w:rsidRPr="00B828B0" w:rsidRDefault="00AE0D77" w:rsidP="00AE0D77">
      <w:pPr>
        <w:pStyle w:val="BodyParagraph"/>
        <w:rPr>
          <w:highlight w:val="yellow"/>
        </w:rPr>
      </w:pPr>
    </w:p>
    <w:p w:rsidR="00F1237C" w:rsidRPr="001D5759" w:rsidRDefault="00F1237C" w:rsidP="00F1237C">
      <w:pPr>
        <w:pStyle w:val="Heading1"/>
      </w:pPr>
      <w:bookmarkStart w:id="111" w:name="_Ref443495265"/>
      <w:bookmarkStart w:id="112" w:name="_Toc507085070"/>
      <w:r w:rsidRPr="001D5759">
        <w:t>Recommendations</w:t>
      </w:r>
      <w:bookmarkEnd w:id="107"/>
      <w:bookmarkEnd w:id="111"/>
      <w:bookmarkEnd w:id="112"/>
    </w:p>
    <w:p w:rsidR="00E269D0" w:rsidRDefault="00E269D0" w:rsidP="00F1237C">
      <w:pPr>
        <w:pStyle w:val="BodyParagraph"/>
      </w:pPr>
      <w:r>
        <w:t>The PLS program is now closed and will not accept any new applications in the future. Additionally, this is the last year that the impacts of the program will be evaluated. As such, Nexant does not have any further recommendations for the program moving forward.</w:t>
      </w:r>
    </w:p>
    <w:p w:rsidR="00F1237C" w:rsidRPr="00B828B0" w:rsidRDefault="00F1237C" w:rsidP="00F1237C">
      <w:pPr>
        <w:pStyle w:val="BodyParagraph"/>
        <w:rPr>
          <w:highlight w:val="yellow"/>
        </w:rPr>
      </w:pPr>
    </w:p>
    <w:p w:rsidR="00F1237C" w:rsidRPr="00B828B0" w:rsidRDefault="00F1237C" w:rsidP="00F1237C">
      <w:pPr>
        <w:rPr>
          <w:highlight w:val="yellow"/>
        </w:rPr>
      </w:pPr>
    </w:p>
    <w:p w:rsidR="00F1237C" w:rsidRPr="00B828B0" w:rsidRDefault="00F1237C" w:rsidP="00F1237C">
      <w:pPr>
        <w:rPr>
          <w:highlight w:val="yellow"/>
        </w:rPr>
      </w:pPr>
    </w:p>
    <w:p w:rsidR="00355BC6" w:rsidRPr="00B828B0" w:rsidRDefault="00355BC6">
      <w:pPr>
        <w:rPr>
          <w:highlight w:val="yellow"/>
        </w:rPr>
        <w:sectPr w:rsidR="00355BC6" w:rsidRPr="00B828B0" w:rsidSect="00245A15">
          <w:footerReference w:type="default" r:id="rId73"/>
          <w:pgSz w:w="12240" w:h="15840"/>
          <w:pgMar w:top="1440" w:right="1440" w:bottom="1440" w:left="1440" w:header="720" w:footer="720" w:gutter="0"/>
          <w:cols w:space="720"/>
          <w:docGrid w:linePitch="360"/>
        </w:sectPr>
      </w:pPr>
    </w:p>
    <w:p w:rsidR="00A43683" w:rsidRDefault="00A43683" w:rsidP="00A43683">
      <w:pPr>
        <w:pStyle w:val="AppendixHeading"/>
        <w:ind w:left="2160" w:hanging="2160"/>
      </w:pPr>
      <w:bookmarkStart w:id="113" w:name="_Toc507085071"/>
      <w:r>
        <w:lastRenderedPageBreak/>
        <w:t>Customer Regression Models for Ex Post Analysis</w:t>
      </w:r>
      <w:bookmarkEnd w:id="113"/>
    </w:p>
    <w:p w:rsidR="00A43683" w:rsidRDefault="00A43683" w:rsidP="00A43683">
      <w:pPr>
        <w:pStyle w:val="AppendixHeading2"/>
      </w:pPr>
      <w:bookmarkStart w:id="114" w:name="_Toc507085072"/>
      <w:r>
        <w:t>PG&amp;E</w:t>
      </w:r>
      <w:bookmarkEnd w:id="114"/>
    </w:p>
    <w:p w:rsidR="00A43683" w:rsidRDefault="00A43683" w:rsidP="00A43683">
      <w:pPr>
        <w:pStyle w:val="AppendixHeading4"/>
      </w:pPr>
      <w:r>
        <w:t>Site 1</w:t>
      </w:r>
    </w:p>
    <w:p w:rsidR="00A43683" w:rsidRPr="00095491" w:rsidRDefault="003A34B9" w:rsidP="00A43683">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COP</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cs="Arial"/>
                      <w:sz w:val="24"/>
                      <w:szCs w:val="24"/>
                    </w:rPr>
                    <m:t>12</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Month</m:t>
                      </m:r>
                    </m:e>
                    <m:sub>
                      <m:r>
                        <w:rPr>
                          <w:rFonts w:ascii="Cambria Math" w:hAnsi="Cambria Math" w:cs="Arial"/>
                          <w:sz w:val="24"/>
                          <w:szCs w:val="24"/>
                        </w:rPr>
                        <m:t>j</m:t>
                      </m:r>
                    </m:sub>
                  </m:sSub>
                </m:e>
              </m:nary>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oMath>
      </m:oMathPara>
    </w:p>
    <w:p w:rsidR="00A43683" w:rsidRPr="00C32205" w:rsidRDefault="00A43683" w:rsidP="00A43683">
      <w:pPr>
        <w:pStyle w:val="BodyParagraph"/>
        <w:tabs>
          <w:tab w:val="left" w:pos="1620"/>
        </w:tabs>
        <w:spacing w:after="100" w:afterAutospacing="1"/>
        <w:rPr>
          <w:rFonts w:cs="Arial"/>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Mean17</m:t>
                  </m:r>
                </m:e>
                <m:sub>
                  <m:r>
                    <w:rPr>
                      <w:rFonts w:ascii="Cambria Math" w:hAnsi="Cambria Math" w:cs="Arial"/>
                      <w:sz w:val="24"/>
                      <w:szCs w:val="24"/>
                    </w:rPr>
                    <m:t>t</m:t>
                  </m:r>
                </m:sub>
              </m:sSub>
            </m:e>
          </m:nary>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A43683" w:rsidRPr="00095491" w:rsidRDefault="00A43683" w:rsidP="00A43683">
      <w:pPr>
        <w:pStyle w:val="TableFigureCaption"/>
      </w:pPr>
      <w:r>
        <w:t>Table A</w:t>
      </w:r>
      <w:r w:rsidRPr="00095491">
        <w:t>-</w:t>
      </w:r>
      <w:r>
        <w:t>1</w:t>
      </w:r>
      <w:r w:rsidRPr="00095491">
        <w:t>: Description of Regression Model Variables</w:t>
      </w:r>
    </w:p>
    <w:tbl>
      <w:tblPr>
        <w:tblStyle w:val="TableGrid"/>
        <w:tblW w:w="0" w:type="auto"/>
        <w:tblLook w:val="04A0" w:firstRow="1" w:lastRow="0" w:firstColumn="1" w:lastColumn="0" w:noHBand="0" w:noVBand="1"/>
      </w:tblPr>
      <w:tblGrid>
        <w:gridCol w:w="1539"/>
        <w:gridCol w:w="8037"/>
      </w:tblGrid>
      <w:tr w:rsidR="00A43683" w:rsidRPr="00095491" w:rsidTr="008F5C8C">
        <w:trPr>
          <w:trHeight w:val="557"/>
          <w:tblHeader/>
        </w:trPr>
        <w:tc>
          <w:tcPr>
            <w:tcW w:w="1539" w:type="dxa"/>
            <w:tcBorders>
              <w:top w:val="single" w:sz="8" w:space="0" w:color="auto"/>
              <w:left w:val="single" w:sz="8" w:space="0" w:color="auto"/>
              <w:bottom w:val="single" w:sz="4" w:space="0" w:color="auto"/>
              <w:right w:val="single" w:sz="4" w:space="0" w:color="FFFFFF" w:themeColor="background1"/>
            </w:tcBorders>
            <w:shd w:val="clear" w:color="auto" w:fill="0070C0"/>
            <w:vAlign w:val="center"/>
          </w:tcPr>
          <w:p w:rsidR="00A43683" w:rsidRPr="00095491" w:rsidRDefault="00A43683" w:rsidP="008F5C8C">
            <w:pPr>
              <w:pStyle w:val="TableHeader"/>
              <w:keepNext/>
            </w:pPr>
            <w:r w:rsidRPr="00095491">
              <w:t>Variable</w:t>
            </w:r>
          </w:p>
        </w:tc>
        <w:tc>
          <w:tcPr>
            <w:tcW w:w="8037" w:type="dxa"/>
            <w:tcBorders>
              <w:top w:val="single" w:sz="8" w:space="0" w:color="auto"/>
              <w:left w:val="single" w:sz="4" w:space="0" w:color="FFFFFF" w:themeColor="background1"/>
              <w:bottom w:val="single" w:sz="4" w:space="0" w:color="auto"/>
              <w:right w:val="single" w:sz="8" w:space="0" w:color="auto"/>
            </w:tcBorders>
            <w:shd w:val="clear" w:color="auto" w:fill="0070C0"/>
            <w:vAlign w:val="center"/>
          </w:tcPr>
          <w:p w:rsidR="00A43683" w:rsidRPr="00095491" w:rsidRDefault="00A43683" w:rsidP="008F5C8C">
            <w:pPr>
              <w:pStyle w:val="TableHeader"/>
              <w:keepNext/>
            </w:pPr>
            <w:r w:rsidRPr="00095491">
              <w:t>Definition</w:t>
            </w:r>
          </w:p>
        </w:tc>
      </w:tr>
      <w:tr w:rsidR="00A43683" w:rsidRPr="00095491" w:rsidTr="008F5C8C">
        <w:tc>
          <w:tcPr>
            <w:tcW w:w="1539" w:type="dxa"/>
            <w:tcBorders>
              <w:top w:val="single" w:sz="4" w:space="0" w:color="auto"/>
            </w:tcBorders>
            <w:vAlign w:val="center"/>
          </w:tcPr>
          <w:p w:rsidR="00A43683" w:rsidRPr="00095491" w:rsidRDefault="00A43683" w:rsidP="008F5C8C">
            <w:pPr>
              <w:pStyle w:val="TableText"/>
              <w:keepNext/>
            </w:pPr>
            <w:proofErr w:type="spellStart"/>
            <w:r w:rsidRPr="00095491">
              <w:t>kW</w:t>
            </w:r>
            <w:r w:rsidRPr="00095491">
              <w:rPr>
                <w:vertAlign w:val="subscript"/>
              </w:rPr>
              <w:t>t</w:t>
            </w:r>
            <w:proofErr w:type="spellEnd"/>
          </w:p>
        </w:tc>
        <w:tc>
          <w:tcPr>
            <w:tcW w:w="8037" w:type="dxa"/>
            <w:tcBorders>
              <w:top w:val="single" w:sz="4" w:space="0" w:color="auto"/>
            </w:tcBorders>
          </w:tcPr>
          <w:p w:rsidR="00A43683" w:rsidRPr="00095491" w:rsidRDefault="00A43683" w:rsidP="008F5C8C">
            <w:pPr>
              <w:pStyle w:val="TableText"/>
              <w:keepNext/>
              <w:jc w:val="left"/>
            </w:pPr>
            <w:r w:rsidRPr="00095491">
              <w:t>Average hourly demand (kW) for each time period</w:t>
            </w:r>
          </w:p>
        </w:tc>
      </w:tr>
      <w:tr w:rsidR="00A43683" w:rsidRPr="00095491" w:rsidTr="008F5C8C">
        <w:tc>
          <w:tcPr>
            <w:tcW w:w="1539" w:type="dxa"/>
            <w:vAlign w:val="center"/>
          </w:tcPr>
          <w:p w:rsidR="00A43683" w:rsidRPr="00095491" w:rsidRDefault="00A43683" w:rsidP="008F5C8C">
            <w:pPr>
              <w:pStyle w:val="TableText"/>
              <w:keepNext/>
            </w:pPr>
            <w:r w:rsidRPr="00095491">
              <w:t>A</w:t>
            </w:r>
          </w:p>
        </w:tc>
        <w:tc>
          <w:tcPr>
            <w:tcW w:w="8037" w:type="dxa"/>
          </w:tcPr>
          <w:p w:rsidR="00A43683" w:rsidRPr="00095491" w:rsidRDefault="00A43683" w:rsidP="008F5C8C">
            <w:pPr>
              <w:pStyle w:val="TableText"/>
              <w:keepNext/>
              <w:tabs>
                <w:tab w:val="left" w:pos="2557"/>
              </w:tabs>
              <w:jc w:val="left"/>
            </w:pPr>
            <w:r w:rsidRPr="00095491">
              <w:t>Estimated constant term</w:t>
            </w:r>
            <w:r w:rsidRPr="00095491">
              <w:tab/>
            </w:r>
          </w:p>
        </w:tc>
      </w:tr>
      <w:tr w:rsidR="00A43683" w:rsidRPr="00095491" w:rsidTr="008F5C8C">
        <w:tc>
          <w:tcPr>
            <w:tcW w:w="1539" w:type="dxa"/>
            <w:vAlign w:val="center"/>
          </w:tcPr>
          <w:p w:rsidR="00A43683" w:rsidRPr="00095491" w:rsidRDefault="00A43683" w:rsidP="008F5C8C">
            <w:pPr>
              <w:pStyle w:val="TableText"/>
              <w:keepNext/>
              <w:rPr>
                <w:vertAlign w:val="subscript"/>
              </w:rPr>
            </w:pPr>
            <w:proofErr w:type="spellStart"/>
            <w:r w:rsidRPr="00095491">
              <w:t>B</w:t>
            </w:r>
            <w:r w:rsidRPr="00095491">
              <w:rPr>
                <w:vertAlign w:val="subscript"/>
              </w:rPr>
              <w:t>ij</w:t>
            </w:r>
            <w:proofErr w:type="spellEnd"/>
            <w:r w:rsidRPr="00095491">
              <w:t xml:space="preserve"> through </w:t>
            </w:r>
            <w:r>
              <w:t>D</w:t>
            </w:r>
            <w:r w:rsidRPr="00095491">
              <w:rPr>
                <w:vertAlign w:val="subscript"/>
              </w:rPr>
              <w:t>i</w:t>
            </w:r>
          </w:p>
        </w:tc>
        <w:tc>
          <w:tcPr>
            <w:tcW w:w="8037" w:type="dxa"/>
          </w:tcPr>
          <w:p w:rsidR="00A43683" w:rsidRPr="00095491" w:rsidRDefault="00A43683" w:rsidP="008F5C8C">
            <w:pPr>
              <w:pStyle w:val="TableText"/>
              <w:keepNext/>
              <w:jc w:val="left"/>
            </w:pPr>
            <w:r w:rsidRPr="00095491">
              <w:t>Regression model parameters</w:t>
            </w:r>
          </w:p>
        </w:tc>
      </w:tr>
      <w:tr w:rsidR="00A43683" w:rsidRPr="00095491" w:rsidTr="008F5C8C">
        <w:tc>
          <w:tcPr>
            <w:tcW w:w="1539" w:type="dxa"/>
            <w:vAlign w:val="center"/>
          </w:tcPr>
          <w:p w:rsidR="00A43683" w:rsidRPr="00095491" w:rsidRDefault="00A43683" w:rsidP="008F5C8C">
            <w:pPr>
              <w:pStyle w:val="TableText"/>
              <w:keepNext/>
            </w:pPr>
            <w:proofErr w:type="spellStart"/>
            <w:r w:rsidRPr="00095491">
              <w:t>Hour</w:t>
            </w:r>
            <w:r w:rsidRPr="00095491">
              <w:rPr>
                <w:vertAlign w:val="subscript"/>
              </w:rPr>
              <w:t>i</w:t>
            </w:r>
            <w:proofErr w:type="spellEnd"/>
          </w:p>
        </w:tc>
        <w:tc>
          <w:tcPr>
            <w:tcW w:w="8037" w:type="dxa"/>
          </w:tcPr>
          <w:p w:rsidR="00A43683" w:rsidRPr="00095491" w:rsidRDefault="00A43683" w:rsidP="008F5C8C">
            <w:pPr>
              <w:pStyle w:val="TableText"/>
              <w:keepNext/>
              <w:jc w:val="left"/>
            </w:pPr>
            <w:r w:rsidRPr="00095491">
              <w:t>Series of binary variables for each hour, which account for the basic hourly load shape of the customer after other factors such as weather are accounted for</w:t>
            </w:r>
          </w:p>
        </w:tc>
      </w:tr>
      <w:tr w:rsidR="00A43683" w:rsidRPr="00095491" w:rsidTr="008F5C8C">
        <w:tc>
          <w:tcPr>
            <w:tcW w:w="1539" w:type="dxa"/>
            <w:vAlign w:val="center"/>
          </w:tcPr>
          <w:p w:rsidR="00A43683" w:rsidRPr="00095491" w:rsidRDefault="00A43683" w:rsidP="008F5C8C">
            <w:pPr>
              <w:pStyle w:val="TableText"/>
              <w:keepNext/>
            </w:pPr>
            <w:proofErr w:type="spellStart"/>
            <w:r w:rsidRPr="00095491">
              <w:t>DOW</w:t>
            </w:r>
            <w:r w:rsidRPr="00095491">
              <w:rPr>
                <w:vertAlign w:val="subscript"/>
              </w:rPr>
              <w:t>j</w:t>
            </w:r>
            <w:proofErr w:type="spellEnd"/>
          </w:p>
        </w:tc>
        <w:tc>
          <w:tcPr>
            <w:tcW w:w="8037" w:type="dxa"/>
          </w:tcPr>
          <w:p w:rsidR="00A43683" w:rsidRPr="00095491" w:rsidRDefault="00A43683" w:rsidP="008F5C8C">
            <w:pPr>
              <w:pStyle w:val="TableText"/>
              <w:keepNext/>
              <w:jc w:val="left"/>
            </w:pPr>
            <w:r w:rsidRPr="00095491">
              <w:t>Series of binary variables representing weekday</w:t>
            </w:r>
            <w:r>
              <w:t xml:space="preserve">s </w:t>
            </w:r>
            <w:r w:rsidRPr="00095491">
              <w:t>(Mon-Fri); weekends and holidays are excluded from the model</w:t>
            </w:r>
          </w:p>
        </w:tc>
      </w:tr>
      <w:tr w:rsidR="00A43683" w:rsidRPr="00095491" w:rsidTr="008F5C8C">
        <w:tc>
          <w:tcPr>
            <w:tcW w:w="1539" w:type="dxa"/>
            <w:vAlign w:val="center"/>
          </w:tcPr>
          <w:p w:rsidR="00A43683" w:rsidRPr="00095491" w:rsidRDefault="00A43683" w:rsidP="008F5C8C">
            <w:pPr>
              <w:pStyle w:val="TableText"/>
              <w:keepNext/>
            </w:pPr>
            <w:proofErr w:type="spellStart"/>
            <w:r w:rsidRPr="00095491">
              <w:t>Month</w:t>
            </w:r>
            <w:r w:rsidRPr="00095491">
              <w:rPr>
                <w:vertAlign w:val="subscript"/>
              </w:rPr>
              <w:t>j</w:t>
            </w:r>
            <w:proofErr w:type="spellEnd"/>
          </w:p>
        </w:tc>
        <w:tc>
          <w:tcPr>
            <w:tcW w:w="8037" w:type="dxa"/>
          </w:tcPr>
          <w:p w:rsidR="00A43683" w:rsidRPr="00095491" w:rsidRDefault="00A43683" w:rsidP="008F5C8C">
            <w:pPr>
              <w:pStyle w:val="TableText"/>
              <w:keepNext/>
              <w:jc w:val="left"/>
            </w:pPr>
            <w:r w:rsidRPr="00095491">
              <w:t>Series of binary variables for each month designed to reflect seasonality in loads</w:t>
            </w:r>
          </w:p>
        </w:tc>
      </w:tr>
      <w:tr w:rsidR="00A43683" w:rsidRPr="00095491" w:rsidTr="008F5C8C">
        <w:tc>
          <w:tcPr>
            <w:tcW w:w="1539" w:type="dxa"/>
            <w:vAlign w:val="center"/>
          </w:tcPr>
          <w:p w:rsidR="00A43683" w:rsidRPr="00095491" w:rsidRDefault="00A43683" w:rsidP="008F5C8C">
            <w:pPr>
              <w:pStyle w:val="TableText"/>
              <w:spacing w:line="276" w:lineRule="auto"/>
              <w:rPr>
                <w:rFonts w:cs="Arial"/>
              </w:rPr>
            </w:pPr>
            <w:r>
              <w:rPr>
                <w:rFonts w:cs="Arial"/>
              </w:rPr>
              <w:t>Mean17</w:t>
            </w:r>
            <w:r w:rsidRPr="00095491">
              <w:rPr>
                <w:rFonts w:cs="Arial"/>
                <w:vertAlign w:val="subscript"/>
              </w:rPr>
              <w:t>t</w:t>
            </w:r>
          </w:p>
        </w:tc>
        <w:tc>
          <w:tcPr>
            <w:tcW w:w="8037" w:type="dxa"/>
            <w:vAlign w:val="center"/>
          </w:tcPr>
          <w:p w:rsidR="00A43683" w:rsidRPr="00095491" w:rsidRDefault="00A43683" w:rsidP="008F5C8C">
            <w:pPr>
              <w:pStyle w:val="TableText"/>
              <w:spacing w:line="276" w:lineRule="auto"/>
              <w:jc w:val="left"/>
              <w:rPr>
                <w:rFonts w:eastAsia="Calibri" w:cs="Times New Roman"/>
              </w:rPr>
            </w:pPr>
            <w:r>
              <w:t>Mean17</w:t>
            </w:r>
            <w:r w:rsidRPr="00095491">
              <w:rPr>
                <w:rFonts w:cs="Arial"/>
              </w:rPr>
              <w:t>—</w:t>
            </w:r>
            <w:r w:rsidRPr="00095491">
              <w:t xml:space="preserve">the </w:t>
            </w:r>
            <w:r>
              <w:t>average temperature between midnight to 5 PM</w:t>
            </w:r>
          </w:p>
        </w:tc>
      </w:tr>
      <w:tr w:rsidR="00A43683" w:rsidRPr="00B828B0" w:rsidTr="008F5C8C">
        <w:tc>
          <w:tcPr>
            <w:tcW w:w="1539" w:type="dxa"/>
            <w:vAlign w:val="center"/>
          </w:tcPr>
          <w:p w:rsidR="00A43683" w:rsidRPr="00095491" w:rsidRDefault="00A43683" w:rsidP="008F5C8C">
            <w:pPr>
              <w:pStyle w:val="TableText"/>
              <w:keepNext/>
            </w:pPr>
            <w:r w:rsidRPr="00095491">
              <w:t>e</w:t>
            </w:r>
            <w:r w:rsidRPr="00095491">
              <w:rPr>
                <w:vertAlign w:val="subscript"/>
              </w:rPr>
              <w:t>t</w:t>
            </w:r>
          </w:p>
        </w:tc>
        <w:tc>
          <w:tcPr>
            <w:tcW w:w="8037" w:type="dxa"/>
          </w:tcPr>
          <w:p w:rsidR="00A43683" w:rsidRPr="00095491" w:rsidRDefault="00A43683" w:rsidP="008F5C8C">
            <w:pPr>
              <w:pStyle w:val="TableText"/>
              <w:keepNext/>
              <w:jc w:val="left"/>
            </w:pPr>
            <w:r w:rsidRPr="00095491">
              <w:t>Error term</w:t>
            </w:r>
          </w:p>
        </w:tc>
      </w:tr>
    </w:tbl>
    <w:p w:rsidR="00A43683" w:rsidRPr="009F767C" w:rsidRDefault="00A43683" w:rsidP="00A43683">
      <w:pPr>
        <w:pStyle w:val="BodyParagraph"/>
      </w:pPr>
    </w:p>
    <w:p w:rsidR="00A43683" w:rsidRDefault="00A43683" w:rsidP="00A43683">
      <w:pPr>
        <w:pStyle w:val="AppendixHeading2"/>
      </w:pPr>
      <w:bookmarkStart w:id="115" w:name="_Toc507085073"/>
      <w:r>
        <w:t>SCE</w:t>
      </w:r>
      <w:bookmarkEnd w:id="115"/>
    </w:p>
    <w:p w:rsidR="00A43683" w:rsidRDefault="00A43683" w:rsidP="00A43683">
      <w:pPr>
        <w:pStyle w:val="AppendixHeading4"/>
      </w:pPr>
      <w:r>
        <w:t>Site 1</w:t>
      </w:r>
    </w:p>
    <w:p w:rsidR="00A43683" w:rsidRPr="009F767C" w:rsidRDefault="00A43683" w:rsidP="00A43683">
      <w:r w:rsidRPr="009F767C">
        <w:t>Customer Regression Model:</w:t>
      </w:r>
    </w:p>
    <w:p w:rsidR="00A43683" w:rsidRPr="00095491" w:rsidRDefault="003A34B9" w:rsidP="00A43683">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kW</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cs="Arial"/>
                      <w:sz w:val="24"/>
                      <w:szCs w:val="24"/>
                    </w:rPr>
                    <m:t>12</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Mont</m:t>
                      </m:r>
                      <m:r>
                        <w:rPr>
                          <w:rFonts w:hAnsi="Cambria Math" w:cs="Arial"/>
                          <w:sz w:val="24"/>
                          <w:szCs w:val="24"/>
                        </w:rPr>
                        <m:t>h</m:t>
                      </m:r>
                    </m:e>
                    <m:sub>
                      <m:r>
                        <w:rPr>
                          <w:rFonts w:ascii="Cambria Math" w:hAnsi="Cambria Math" w:cs="Arial"/>
                          <w:sz w:val="24"/>
                          <w:szCs w:val="24"/>
                        </w:rPr>
                        <m:t>j</m:t>
                      </m:r>
                    </m:sub>
                  </m:sSub>
                </m:e>
              </m:nary>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oMath>
      </m:oMathPara>
    </w:p>
    <w:p w:rsidR="00A43683" w:rsidRPr="009F033B" w:rsidRDefault="00A43683" w:rsidP="00A43683">
      <w:pPr>
        <w:pStyle w:val="BodyParagraph"/>
        <w:tabs>
          <w:tab w:val="left" w:pos="1620"/>
        </w:tabs>
        <w:spacing w:after="100" w:afterAutospacing="1"/>
        <w:rPr>
          <w:rFonts w:cs="Arial"/>
          <w:sz w:val="24"/>
          <w:szCs w:val="24"/>
        </w:rPr>
      </w:pPr>
      <m:oMathPara>
        <m:oMath>
          <m:r>
            <w:rPr>
              <w:rFonts w:ascii="Cambria Math" w:cs="Arial"/>
              <w:sz w:val="24"/>
              <w:szCs w:val="24"/>
            </w:rPr>
            <w:lastRenderedPageBreak/>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CDD</m:t>
                  </m:r>
                </m:e>
                <m:sub>
                  <m:r>
                    <w:rPr>
                      <w:rFonts w:ascii="Cambria Math" w:hAnsi="Cambria Math" w:cs="Arial"/>
                      <w:sz w:val="24"/>
                      <w:szCs w:val="24"/>
                    </w:rPr>
                    <m:t>t</m:t>
                  </m:r>
                </m:sub>
              </m:sSub>
            </m:e>
          </m:nary>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E</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CDDsqr</m:t>
                  </m:r>
                </m:e>
                <m:sub>
                  <m:r>
                    <w:rPr>
                      <w:rFonts w:ascii="Cambria Math" w:hAnsi="Cambria Math" w:cs="Arial"/>
                      <w:sz w:val="24"/>
                      <w:szCs w:val="24"/>
                    </w:rPr>
                    <m:t>t</m:t>
                  </m:r>
                </m:sub>
              </m:sSub>
            </m:e>
          </m:nary>
          <m:r>
            <w:rPr>
              <w:rFonts w:ascii="Cambria Math" w:hAnsi="Cambria Math"/>
              <w:sz w:val="24"/>
              <w:szCs w:val="24"/>
            </w:rPr>
            <m:t xml:space="preserve">+ </m:t>
          </m:r>
          <m:r>
            <m:rPr>
              <m:sty m:val="p"/>
            </m:rPr>
            <w:rPr>
              <w:rFonts w:cs="Arial"/>
              <w:sz w:val="24"/>
              <w:szCs w:val="24"/>
            </w:rPr>
            <w:br/>
          </m:r>
        </m:oMath>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F</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m:t>
                  </m:r>
                </m:e>
                <m:sub>
                  <m:r>
                    <w:rPr>
                      <w:rFonts w:ascii="Cambria Math" w:hAnsi="Cambria Math" w:cs="Arial"/>
                      <w:sz w:val="24"/>
                      <w:szCs w:val="24"/>
                    </w:rPr>
                    <m:t>t</m:t>
                  </m:r>
                </m:sub>
              </m:sSub>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G</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CDHsqr</m:t>
                  </m:r>
                </m:e>
                <m:sub>
                  <m:r>
                    <w:rPr>
                      <w:rFonts w:ascii="Cambria Math" w:hAnsi="Cambria Math" w:cs="Arial"/>
                      <w:sz w:val="24"/>
                      <w:szCs w:val="24"/>
                    </w:rPr>
                    <m:t>t</m:t>
                  </m:r>
                </m:sub>
              </m:sSub>
            </m:e>
          </m:nary>
          <m:r>
            <m:rPr>
              <m:sty m:val="p"/>
            </m:rPr>
            <w:rPr>
              <w:rFonts w:ascii="Cambria Math" w:cs="Arial"/>
              <w:sz w:val="24"/>
              <w:szCs w:val="24"/>
            </w:rPr>
            <m:t xml:space="preserve">+ </m:t>
          </m:r>
          <m:r>
            <m:rPr>
              <m:sty m:val="p"/>
            </m:rPr>
            <w:rPr>
              <w:rFonts w:ascii="Cambria Math" w:cs="Arial"/>
              <w:sz w:val="24"/>
              <w:szCs w:val="24"/>
            </w:rPr>
            <w:br/>
          </m:r>
        </m:oMath>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i=1</m:t>
              </m:r>
            </m:sub>
            <m:sup>
              <m:r>
                <w:rPr>
                  <w:rFonts w:ascii="Cambria Math" w:hAnsi="Cambria Math" w:cs="Arial"/>
                  <w:sz w:val="24"/>
                  <w:szCs w:val="24"/>
                </w:rPr>
                <m:t>24</m:t>
              </m:r>
            </m:sup>
            <m:e>
              <m:sSub>
                <m:sSubPr>
                  <m:ctrlPr>
                    <w:rPr>
                      <w:rFonts w:ascii="Cambria Math" w:hAnsi="Cambria Math" w:cs="Arial"/>
                      <w:i/>
                      <w:sz w:val="24"/>
                      <w:szCs w:val="24"/>
                    </w:rPr>
                  </m:ctrlPr>
                </m:sSubPr>
                <m:e>
                  <m:r>
                    <w:rPr>
                      <w:rFonts w:ascii="Cambria Math" w:cs="Arial"/>
                      <w:sz w:val="24"/>
                      <w:szCs w:val="24"/>
                    </w:rPr>
                    <m:t>H</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r>
                <w:rPr>
                  <w:rFonts w:ascii="Cambria Math" w:hAnsi="Cambria Math" w:cs="Arial"/>
                  <w:sz w:val="24"/>
                  <w:szCs w:val="24"/>
                </w:rPr>
                <m:t>Summer</m:t>
              </m:r>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3</m:t>
              </m:r>
            </m:sup>
            <m:e>
              <m:sSub>
                <m:sSubPr>
                  <m:ctrlPr>
                    <w:rPr>
                      <w:rFonts w:ascii="Cambria Math" w:hAnsi="Cambria Math" w:cs="Arial"/>
                      <w:i/>
                      <w:sz w:val="24"/>
                      <w:szCs w:val="24"/>
                    </w:rPr>
                  </m:ctrlPr>
                </m:sSubPr>
                <m:e>
                  <m:r>
                    <w:rPr>
                      <w:rFonts w:ascii="Cambria Math" w:hAnsi="Cambria Math" w:cs="Arial"/>
                      <w:sz w:val="24"/>
                      <w:szCs w:val="24"/>
                    </w:rPr>
                    <m:t>I</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Year</m:t>
                  </m:r>
                </m:e>
                <m:sub>
                  <m:r>
                    <w:rPr>
                      <w:rFonts w:ascii="Cambria Math" w:hAnsi="Cambria Math" w:cs="Arial"/>
                      <w:sz w:val="24"/>
                      <w:szCs w:val="24"/>
                    </w:rPr>
                    <m:t>it</m:t>
                  </m:r>
                </m:sub>
              </m:sSub>
            </m:e>
          </m:nary>
          <m:r>
            <w:rPr>
              <w:rFonts w:ascii="Cambria Math" w:hAnsi="Cambria Math" w:cs="Arial"/>
              <w:sz w:val="24"/>
              <w:szCs w:val="24"/>
            </w:rPr>
            <m:t xml:space="preserve">+ </m:t>
          </m:r>
          <m:r>
            <m:rPr>
              <m:sty m:val="p"/>
            </m:rPr>
            <w:rPr>
              <w:rFonts w:ascii="Cambria Math" w:hAnsi="Cambria Math" w:cs="Arial"/>
              <w:sz w:val="24"/>
              <w:szCs w:val="24"/>
            </w:rPr>
            <w:br/>
          </m:r>
        </m:oMath>
        <m:oMath>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cs="Arial"/>
                  <w:sz w:val="24"/>
                  <w:szCs w:val="24"/>
                </w:rPr>
                <m:t>J</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PLS</m:t>
              </m:r>
            </m:e>
            <m:sub>
              <m:r>
                <w:rPr>
                  <w:rFonts w:ascii="Cambria Math" w:hAnsi="Cambria Math" w:cs="Arial"/>
                  <w:sz w:val="24"/>
                  <w:szCs w:val="24"/>
                </w:rPr>
                <m:t>t</m:t>
              </m:r>
            </m:sub>
          </m:sSub>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A43683" w:rsidRDefault="00A43683" w:rsidP="00A43683">
      <w:pPr>
        <w:pStyle w:val="AppendixHeading4"/>
      </w:pPr>
      <w:r>
        <w:t>Site 2</w:t>
      </w:r>
    </w:p>
    <w:p w:rsidR="00A43683" w:rsidRDefault="00A43683" w:rsidP="00A43683">
      <w:pPr>
        <w:pStyle w:val="BodyParagraph"/>
        <w:ind w:left="360"/>
      </w:pPr>
      <w:r>
        <w:t>Customer Regression Model:</w:t>
      </w:r>
    </w:p>
    <w:p w:rsidR="00A43683" w:rsidRPr="00095491" w:rsidRDefault="003A34B9" w:rsidP="00A43683">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kW</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cs="Arial"/>
                      <w:sz w:val="24"/>
                      <w:szCs w:val="24"/>
                    </w:rPr>
                    <m:t>12</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Mont</m:t>
                      </m:r>
                      <m:r>
                        <w:rPr>
                          <w:rFonts w:hAnsi="Cambria Math" w:cs="Arial"/>
                          <w:sz w:val="24"/>
                          <w:szCs w:val="24"/>
                        </w:rPr>
                        <m:t>h</m:t>
                      </m:r>
                    </m:e>
                    <m:sub>
                      <m:r>
                        <w:rPr>
                          <w:rFonts w:ascii="Cambria Math" w:hAnsi="Cambria Math" w:cs="Arial"/>
                          <w:sz w:val="24"/>
                          <w:szCs w:val="24"/>
                        </w:rPr>
                        <m:t>j</m:t>
                      </m:r>
                    </m:sub>
                  </m:sSub>
                </m:e>
              </m:nary>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oMath>
      </m:oMathPara>
    </w:p>
    <w:p w:rsidR="00A43683" w:rsidRPr="009F033B" w:rsidRDefault="00A43683" w:rsidP="00A43683">
      <w:pPr>
        <w:pStyle w:val="BodyParagraph"/>
        <w:tabs>
          <w:tab w:val="left" w:pos="1620"/>
        </w:tabs>
        <w:spacing w:after="100" w:afterAutospacing="1"/>
        <w:rPr>
          <w:rFonts w:cs="Arial"/>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OvernightCDH</m:t>
                  </m:r>
                </m:e>
                <m:sub>
                  <m:r>
                    <w:rPr>
                      <w:rFonts w:ascii="Cambria Math" w:hAnsi="Cambria Math" w:cs="Arial"/>
                      <w:sz w:val="24"/>
                      <w:szCs w:val="24"/>
                    </w:rPr>
                    <m:t>t</m:t>
                  </m:r>
                </m:sub>
              </m:sSub>
            </m:e>
          </m:nary>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E</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m:t>
                  </m:r>
                </m:e>
                <m:sub>
                  <m:r>
                    <w:rPr>
                      <w:rFonts w:ascii="Cambria Math" w:hAnsi="Cambria Math" w:cs="Arial"/>
                      <w:sz w:val="24"/>
                      <w:szCs w:val="24"/>
                    </w:rPr>
                    <m:t>t</m:t>
                  </m:r>
                </m:sub>
              </m:sSub>
            </m:e>
          </m:nary>
          <m:r>
            <w:rPr>
              <w:rFonts w:ascii="Cambria Math" w:hAnsi="Cambria Math"/>
              <w:sz w:val="24"/>
              <w:szCs w:val="24"/>
            </w:rPr>
            <m:t xml:space="preserve">+ </m:t>
          </m:r>
          <m:r>
            <m:rPr>
              <m:sty m:val="p"/>
            </m:rPr>
            <w:rPr>
              <w:rFonts w:cs="Arial"/>
              <w:sz w:val="24"/>
              <w:szCs w:val="24"/>
            </w:rPr>
            <w:br/>
          </m:r>
        </m:oMath>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i=1</m:t>
              </m:r>
            </m:sub>
            <m:sup>
              <m:r>
                <w:rPr>
                  <w:rFonts w:ascii="Cambria Math" w:hAnsi="Cambria Math" w:cs="Arial"/>
                  <w:sz w:val="24"/>
                  <w:szCs w:val="24"/>
                </w:rPr>
                <m:t>24</m:t>
              </m:r>
            </m:sup>
            <m:e>
              <m:sSub>
                <m:sSubPr>
                  <m:ctrlPr>
                    <w:rPr>
                      <w:rFonts w:ascii="Cambria Math" w:hAnsi="Cambria Math" w:cs="Arial"/>
                      <w:i/>
                      <w:sz w:val="24"/>
                      <w:szCs w:val="24"/>
                    </w:rPr>
                  </m:ctrlPr>
                </m:sSubPr>
                <m:e>
                  <m:r>
                    <w:rPr>
                      <w:rFonts w:ascii="Cambria Math" w:cs="Arial"/>
                      <w:sz w:val="24"/>
                      <w:szCs w:val="24"/>
                    </w:rPr>
                    <m:t>F</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r>
                <w:rPr>
                  <w:rFonts w:ascii="Cambria Math" w:hAnsi="Cambria Math" w:cs="Arial"/>
                  <w:sz w:val="24"/>
                  <w:szCs w:val="24"/>
                </w:rPr>
                <m:t>Summer</m:t>
              </m:r>
            </m:e>
          </m:nary>
          <m:r>
            <w:rPr>
              <w:rFonts w:ascii="Cambria Math" w:cs="Arial"/>
              <w:sz w:val="24"/>
              <w:szCs w:val="24"/>
            </w:rPr>
            <m:t>+</m:t>
          </m:r>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cs="Arial"/>
                  <w:sz w:val="24"/>
                  <w:szCs w:val="24"/>
                </w:rPr>
                <m:t>G</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PLS</m:t>
              </m:r>
            </m:e>
            <m:sub>
              <m:r>
                <w:rPr>
                  <w:rFonts w:ascii="Cambria Math" w:hAnsi="Cambria Math" w:cs="Arial"/>
                  <w:sz w:val="24"/>
                  <w:szCs w:val="24"/>
                </w:rPr>
                <m:t>t</m:t>
              </m:r>
            </m:sub>
          </m:sSub>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A43683" w:rsidRPr="009F767C" w:rsidRDefault="00A43683" w:rsidP="00A43683">
      <w:pPr>
        <w:pStyle w:val="BodyParagraph"/>
        <w:ind w:left="360"/>
      </w:pPr>
    </w:p>
    <w:p w:rsidR="00A43683" w:rsidRDefault="00A43683" w:rsidP="00A43683">
      <w:pPr>
        <w:pStyle w:val="AppendixHeading4"/>
      </w:pPr>
      <w:r>
        <w:t>Site 3</w:t>
      </w:r>
    </w:p>
    <w:p w:rsidR="00A43683" w:rsidRPr="009F767C" w:rsidRDefault="00A43683" w:rsidP="00A43683">
      <w:pPr>
        <w:ind w:left="360"/>
      </w:pPr>
      <w:r w:rsidRPr="009F767C">
        <w:t>Customer Regression Model:</w:t>
      </w:r>
    </w:p>
    <w:p w:rsidR="00A43683" w:rsidRPr="00095491" w:rsidRDefault="003A34B9" w:rsidP="00A43683">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kW</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cs="Arial"/>
                      <w:sz w:val="24"/>
                      <w:szCs w:val="24"/>
                    </w:rPr>
                    <m:t>12</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Mont</m:t>
                      </m:r>
                      <m:r>
                        <w:rPr>
                          <w:rFonts w:hAnsi="Cambria Math" w:cs="Arial"/>
                          <w:sz w:val="24"/>
                          <w:szCs w:val="24"/>
                        </w:rPr>
                        <m:t>h</m:t>
                      </m:r>
                    </m:e>
                    <m:sub>
                      <m:r>
                        <w:rPr>
                          <w:rFonts w:ascii="Cambria Math" w:hAnsi="Cambria Math" w:cs="Arial"/>
                          <w:sz w:val="24"/>
                          <w:szCs w:val="24"/>
                        </w:rPr>
                        <m:t>j</m:t>
                      </m:r>
                    </m:sub>
                  </m:sSub>
                </m:e>
              </m:nary>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oMath>
      </m:oMathPara>
    </w:p>
    <w:p w:rsidR="00A43683" w:rsidRPr="009F033B" w:rsidRDefault="00A43683" w:rsidP="00A43683">
      <w:pPr>
        <w:pStyle w:val="BodyParagraph"/>
        <w:tabs>
          <w:tab w:val="left" w:pos="1620"/>
        </w:tabs>
        <w:spacing w:after="100" w:afterAutospacing="1"/>
        <w:rPr>
          <w:rFonts w:cs="Arial"/>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CDD</m:t>
                  </m:r>
                </m:e>
                <m:sub>
                  <m:r>
                    <w:rPr>
                      <w:rFonts w:ascii="Cambria Math" w:hAnsi="Cambria Math" w:cs="Arial"/>
                      <w:sz w:val="24"/>
                      <w:szCs w:val="24"/>
                    </w:rPr>
                    <m:t>t</m:t>
                  </m:r>
                </m:sub>
              </m:sSub>
            </m:e>
          </m:nary>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E</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m:t>
                  </m:r>
                </m:e>
                <m:sub>
                  <m:r>
                    <w:rPr>
                      <w:rFonts w:ascii="Cambria Math" w:hAnsi="Cambria Math" w:cs="Arial"/>
                      <w:sz w:val="24"/>
                      <w:szCs w:val="24"/>
                    </w:rPr>
                    <m:t>t</m:t>
                  </m:r>
                </m:sub>
              </m:sSub>
            </m:e>
          </m:nary>
          <m:r>
            <w:rPr>
              <w:rFonts w:ascii="Cambria Math" w:hAnsi="Cambria Math"/>
              <w:sz w:val="24"/>
              <w:szCs w:val="24"/>
            </w:rPr>
            <m:t xml:space="preserve">+ </m:t>
          </m:r>
          <m:r>
            <m:rPr>
              <m:sty m:val="p"/>
            </m:rPr>
            <w:rPr>
              <w:rFonts w:cs="Arial"/>
              <w:sz w:val="24"/>
              <w:szCs w:val="24"/>
            </w:rPr>
            <w:br/>
          </m:r>
        </m:oMath>
        <m:oMath>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cs="Arial"/>
                  <w:sz w:val="24"/>
                  <w:szCs w:val="24"/>
                </w:rPr>
                <m:t>F</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PLS</m:t>
              </m:r>
            </m:e>
            <m:sub>
              <m:r>
                <w:rPr>
                  <w:rFonts w:ascii="Cambria Math" w:hAnsi="Cambria Math" w:cs="Arial"/>
                  <w:sz w:val="24"/>
                  <w:szCs w:val="24"/>
                </w:rPr>
                <m:t>t</m:t>
              </m:r>
            </m:sub>
          </m:sSub>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A43683" w:rsidRPr="006B3BF4" w:rsidRDefault="00A43683" w:rsidP="00A43683">
      <w:pPr>
        <w:pStyle w:val="BodyParagraph"/>
      </w:pPr>
    </w:p>
    <w:p w:rsidR="00A43683" w:rsidRDefault="00A43683" w:rsidP="00A43683">
      <w:pPr>
        <w:pStyle w:val="TableFigureCaption"/>
      </w:pPr>
    </w:p>
    <w:p w:rsidR="00A43683" w:rsidRPr="00095491" w:rsidRDefault="00A43683" w:rsidP="00A43683">
      <w:pPr>
        <w:pStyle w:val="TableFigureCaption"/>
      </w:pPr>
      <w:r>
        <w:t>Table A-2</w:t>
      </w:r>
      <w:r w:rsidRPr="00095491">
        <w:t>: Description of Regression Model Variables</w:t>
      </w:r>
    </w:p>
    <w:tbl>
      <w:tblPr>
        <w:tblStyle w:val="TableGrid"/>
        <w:tblW w:w="0" w:type="auto"/>
        <w:tblLook w:val="04A0" w:firstRow="1" w:lastRow="0" w:firstColumn="1" w:lastColumn="0" w:noHBand="0" w:noVBand="1"/>
      </w:tblPr>
      <w:tblGrid>
        <w:gridCol w:w="1553"/>
        <w:gridCol w:w="8023"/>
      </w:tblGrid>
      <w:tr w:rsidR="00A43683" w:rsidRPr="00095491" w:rsidTr="008F5C8C">
        <w:trPr>
          <w:trHeight w:val="557"/>
          <w:tblHeader/>
        </w:trPr>
        <w:tc>
          <w:tcPr>
            <w:tcW w:w="1539" w:type="dxa"/>
            <w:tcBorders>
              <w:top w:val="single" w:sz="8" w:space="0" w:color="auto"/>
              <w:left w:val="single" w:sz="8" w:space="0" w:color="auto"/>
              <w:bottom w:val="single" w:sz="4" w:space="0" w:color="auto"/>
              <w:right w:val="single" w:sz="4" w:space="0" w:color="FFFFFF" w:themeColor="background1"/>
            </w:tcBorders>
            <w:shd w:val="clear" w:color="auto" w:fill="0070C0"/>
            <w:vAlign w:val="center"/>
          </w:tcPr>
          <w:p w:rsidR="00A43683" w:rsidRPr="00095491" w:rsidRDefault="00A43683" w:rsidP="008F5C8C">
            <w:pPr>
              <w:pStyle w:val="TableHeader"/>
              <w:keepNext/>
            </w:pPr>
            <w:r w:rsidRPr="00095491">
              <w:t>Variable</w:t>
            </w:r>
          </w:p>
        </w:tc>
        <w:tc>
          <w:tcPr>
            <w:tcW w:w="8037" w:type="dxa"/>
            <w:tcBorders>
              <w:top w:val="single" w:sz="8" w:space="0" w:color="auto"/>
              <w:left w:val="single" w:sz="4" w:space="0" w:color="FFFFFF" w:themeColor="background1"/>
              <w:bottom w:val="single" w:sz="4" w:space="0" w:color="auto"/>
              <w:right w:val="single" w:sz="8" w:space="0" w:color="auto"/>
            </w:tcBorders>
            <w:shd w:val="clear" w:color="auto" w:fill="0070C0"/>
            <w:vAlign w:val="center"/>
          </w:tcPr>
          <w:p w:rsidR="00A43683" w:rsidRPr="00095491" w:rsidRDefault="00A43683" w:rsidP="008F5C8C">
            <w:pPr>
              <w:pStyle w:val="TableHeader"/>
              <w:keepNext/>
            </w:pPr>
            <w:r w:rsidRPr="00095491">
              <w:t>Definition</w:t>
            </w:r>
          </w:p>
        </w:tc>
      </w:tr>
      <w:tr w:rsidR="00A43683" w:rsidRPr="00095491" w:rsidTr="008F5C8C">
        <w:tc>
          <w:tcPr>
            <w:tcW w:w="1539" w:type="dxa"/>
            <w:tcBorders>
              <w:top w:val="single" w:sz="4" w:space="0" w:color="auto"/>
            </w:tcBorders>
            <w:vAlign w:val="center"/>
          </w:tcPr>
          <w:p w:rsidR="00A43683" w:rsidRPr="00095491" w:rsidRDefault="00A43683" w:rsidP="008F5C8C">
            <w:pPr>
              <w:pStyle w:val="TableText"/>
              <w:keepNext/>
            </w:pPr>
            <w:proofErr w:type="spellStart"/>
            <w:r w:rsidRPr="00095491">
              <w:t>kW</w:t>
            </w:r>
            <w:r w:rsidRPr="00095491">
              <w:rPr>
                <w:vertAlign w:val="subscript"/>
              </w:rPr>
              <w:t>t</w:t>
            </w:r>
            <w:proofErr w:type="spellEnd"/>
          </w:p>
        </w:tc>
        <w:tc>
          <w:tcPr>
            <w:tcW w:w="8037" w:type="dxa"/>
            <w:tcBorders>
              <w:top w:val="single" w:sz="4" w:space="0" w:color="auto"/>
            </w:tcBorders>
          </w:tcPr>
          <w:p w:rsidR="00A43683" w:rsidRPr="00095491" w:rsidRDefault="00A43683" w:rsidP="008F5C8C">
            <w:pPr>
              <w:pStyle w:val="TableText"/>
              <w:keepNext/>
              <w:jc w:val="left"/>
            </w:pPr>
            <w:r w:rsidRPr="00095491">
              <w:t>Average hourly demand (kW) for each time period</w:t>
            </w:r>
          </w:p>
        </w:tc>
      </w:tr>
      <w:tr w:rsidR="00A43683" w:rsidRPr="00095491" w:rsidTr="008F5C8C">
        <w:tc>
          <w:tcPr>
            <w:tcW w:w="1539" w:type="dxa"/>
            <w:vAlign w:val="center"/>
          </w:tcPr>
          <w:p w:rsidR="00A43683" w:rsidRPr="00095491" w:rsidRDefault="00A43683" w:rsidP="008F5C8C">
            <w:pPr>
              <w:pStyle w:val="TableText"/>
              <w:keepNext/>
            </w:pPr>
            <w:r w:rsidRPr="00095491">
              <w:t>A</w:t>
            </w:r>
          </w:p>
        </w:tc>
        <w:tc>
          <w:tcPr>
            <w:tcW w:w="8037" w:type="dxa"/>
          </w:tcPr>
          <w:p w:rsidR="00A43683" w:rsidRPr="00095491" w:rsidRDefault="00A43683" w:rsidP="008F5C8C">
            <w:pPr>
              <w:pStyle w:val="TableText"/>
              <w:keepNext/>
              <w:tabs>
                <w:tab w:val="left" w:pos="2557"/>
              </w:tabs>
              <w:jc w:val="left"/>
            </w:pPr>
            <w:r w:rsidRPr="00095491">
              <w:t>Estimated constant term</w:t>
            </w:r>
            <w:r w:rsidRPr="00095491">
              <w:tab/>
            </w:r>
          </w:p>
        </w:tc>
      </w:tr>
      <w:tr w:rsidR="00A43683" w:rsidRPr="00095491" w:rsidTr="008F5C8C">
        <w:tc>
          <w:tcPr>
            <w:tcW w:w="1539" w:type="dxa"/>
            <w:vAlign w:val="center"/>
          </w:tcPr>
          <w:p w:rsidR="00A43683" w:rsidRPr="00095491" w:rsidRDefault="00A43683" w:rsidP="008F5C8C">
            <w:pPr>
              <w:pStyle w:val="TableText"/>
              <w:keepNext/>
              <w:rPr>
                <w:vertAlign w:val="subscript"/>
              </w:rPr>
            </w:pPr>
            <w:proofErr w:type="spellStart"/>
            <w:r w:rsidRPr="00095491">
              <w:t>B</w:t>
            </w:r>
            <w:r w:rsidRPr="00095491">
              <w:rPr>
                <w:vertAlign w:val="subscript"/>
              </w:rPr>
              <w:t>ij</w:t>
            </w:r>
            <w:proofErr w:type="spellEnd"/>
            <w:r w:rsidRPr="00095491">
              <w:t xml:space="preserve"> through </w:t>
            </w:r>
            <w:proofErr w:type="spellStart"/>
            <w:r w:rsidRPr="00095491">
              <w:t>J</w:t>
            </w:r>
            <w:r w:rsidRPr="00095491">
              <w:rPr>
                <w:vertAlign w:val="subscript"/>
              </w:rPr>
              <w:t>i</w:t>
            </w:r>
            <w:proofErr w:type="spellEnd"/>
          </w:p>
        </w:tc>
        <w:tc>
          <w:tcPr>
            <w:tcW w:w="8037" w:type="dxa"/>
          </w:tcPr>
          <w:p w:rsidR="00A43683" w:rsidRPr="00095491" w:rsidRDefault="00A43683" w:rsidP="008F5C8C">
            <w:pPr>
              <w:pStyle w:val="TableText"/>
              <w:keepNext/>
              <w:jc w:val="left"/>
            </w:pPr>
            <w:r w:rsidRPr="00095491">
              <w:t>Regression model parameters</w:t>
            </w:r>
          </w:p>
        </w:tc>
      </w:tr>
      <w:tr w:rsidR="00A43683" w:rsidRPr="00095491" w:rsidTr="008F5C8C">
        <w:tc>
          <w:tcPr>
            <w:tcW w:w="1539" w:type="dxa"/>
            <w:vAlign w:val="center"/>
          </w:tcPr>
          <w:p w:rsidR="00A43683" w:rsidRPr="00095491" w:rsidRDefault="00A43683" w:rsidP="008F5C8C">
            <w:pPr>
              <w:pStyle w:val="TableText"/>
              <w:keepNext/>
            </w:pPr>
            <w:proofErr w:type="spellStart"/>
            <w:r w:rsidRPr="00095491">
              <w:t>Hour</w:t>
            </w:r>
            <w:r w:rsidRPr="00095491">
              <w:rPr>
                <w:vertAlign w:val="subscript"/>
              </w:rPr>
              <w:t>i</w:t>
            </w:r>
            <w:proofErr w:type="spellEnd"/>
          </w:p>
        </w:tc>
        <w:tc>
          <w:tcPr>
            <w:tcW w:w="8037" w:type="dxa"/>
          </w:tcPr>
          <w:p w:rsidR="00A43683" w:rsidRPr="00095491" w:rsidRDefault="00A43683" w:rsidP="008F5C8C">
            <w:pPr>
              <w:pStyle w:val="TableText"/>
              <w:keepNext/>
              <w:jc w:val="left"/>
            </w:pPr>
            <w:r w:rsidRPr="00095491">
              <w:t>Series of binary variables for each hour, which account for the basic hourly load shape of the customer after other factors such as weather are accounted for</w:t>
            </w:r>
          </w:p>
        </w:tc>
      </w:tr>
      <w:tr w:rsidR="00A43683" w:rsidRPr="00095491" w:rsidTr="008F5C8C">
        <w:trPr>
          <w:trHeight w:val="58"/>
        </w:trPr>
        <w:tc>
          <w:tcPr>
            <w:tcW w:w="1539" w:type="dxa"/>
            <w:vAlign w:val="center"/>
          </w:tcPr>
          <w:p w:rsidR="00A43683" w:rsidRPr="00095491" w:rsidRDefault="00A43683" w:rsidP="008F5C8C">
            <w:pPr>
              <w:pStyle w:val="TableText"/>
              <w:keepNext/>
            </w:pPr>
            <w:proofErr w:type="spellStart"/>
            <w:r w:rsidRPr="00095491">
              <w:t>DOW</w:t>
            </w:r>
            <w:r w:rsidRPr="00095491">
              <w:rPr>
                <w:vertAlign w:val="subscript"/>
              </w:rPr>
              <w:t>j</w:t>
            </w:r>
            <w:proofErr w:type="spellEnd"/>
          </w:p>
        </w:tc>
        <w:tc>
          <w:tcPr>
            <w:tcW w:w="8037" w:type="dxa"/>
          </w:tcPr>
          <w:p w:rsidR="00A43683" w:rsidRPr="00095491" w:rsidRDefault="00A43683" w:rsidP="008F5C8C">
            <w:pPr>
              <w:pStyle w:val="TableText"/>
              <w:keepNext/>
              <w:jc w:val="left"/>
            </w:pPr>
            <w:r w:rsidRPr="00095491">
              <w:t>Series of binary variables representing weekday</w:t>
            </w:r>
            <w:r>
              <w:t xml:space="preserve">s </w:t>
            </w:r>
            <w:r w:rsidRPr="00095491">
              <w:t>(Mon</w:t>
            </w:r>
            <w:r>
              <w:t>-</w:t>
            </w:r>
            <w:r w:rsidRPr="00095491">
              <w:t>Fri); weekends and holidays are excluded from the model</w:t>
            </w:r>
            <w:r>
              <w:t>. Energy use immediately before or after a weekend may be different compared to load in the middle of the week</w:t>
            </w:r>
          </w:p>
        </w:tc>
      </w:tr>
      <w:tr w:rsidR="00A43683" w:rsidRPr="00095491" w:rsidTr="008F5C8C">
        <w:tc>
          <w:tcPr>
            <w:tcW w:w="1539" w:type="dxa"/>
            <w:vAlign w:val="center"/>
          </w:tcPr>
          <w:p w:rsidR="00A43683" w:rsidRPr="00095491" w:rsidRDefault="00A43683" w:rsidP="008F5C8C">
            <w:pPr>
              <w:pStyle w:val="TableText"/>
              <w:keepNext/>
            </w:pPr>
            <w:proofErr w:type="spellStart"/>
            <w:r w:rsidRPr="00095491">
              <w:t>Month</w:t>
            </w:r>
            <w:r w:rsidRPr="00095491">
              <w:rPr>
                <w:vertAlign w:val="subscript"/>
              </w:rPr>
              <w:t>j</w:t>
            </w:r>
            <w:proofErr w:type="spellEnd"/>
          </w:p>
        </w:tc>
        <w:tc>
          <w:tcPr>
            <w:tcW w:w="8037" w:type="dxa"/>
          </w:tcPr>
          <w:p w:rsidR="00A43683" w:rsidRPr="00095491" w:rsidRDefault="00A43683" w:rsidP="008F5C8C">
            <w:pPr>
              <w:pStyle w:val="TableText"/>
              <w:keepNext/>
              <w:jc w:val="left"/>
            </w:pPr>
            <w:r w:rsidRPr="00095491">
              <w:t>Series of binary variables for each month designed to reflect seasonality in loads</w:t>
            </w:r>
          </w:p>
        </w:tc>
      </w:tr>
      <w:tr w:rsidR="00A43683" w:rsidRPr="00095491" w:rsidTr="008F5C8C">
        <w:tc>
          <w:tcPr>
            <w:tcW w:w="1539" w:type="dxa"/>
            <w:vAlign w:val="center"/>
          </w:tcPr>
          <w:p w:rsidR="00A43683" w:rsidRPr="00095491" w:rsidRDefault="00A43683" w:rsidP="008F5C8C">
            <w:pPr>
              <w:pStyle w:val="TableText"/>
              <w:spacing w:line="276" w:lineRule="auto"/>
              <w:rPr>
                <w:rFonts w:cs="Arial"/>
              </w:rPr>
            </w:pPr>
            <w:proofErr w:type="spellStart"/>
            <w:r w:rsidRPr="00095491">
              <w:rPr>
                <w:rFonts w:cs="Arial"/>
              </w:rPr>
              <w:t>CDD</w:t>
            </w:r>
            <w:r w:rsidRPr="00095491">
              <w:rPr>
                <w:rFonts w:cs="Arial"/>
                <w:vertAlign w:val="subscript"/>
              </w:rPr>
              <w:t>t</w:t>
            </w:r>
            <w:proofErr w:type="spellEnd"/>
          </w:p>
        </w:tc>
        <w:tc>
          <w:tcPr>
            <w:tcW w:w="8037" w:type="dxa"/>
            <w:vAlign w:val="center"/>
          </w:tcPr>
          <w:p w:rsidR="00A43683" w:rsidRPr="00095491" w:rsidRDefault="00A43683" w:rsidP="008F5C8C">
            <w:pPr>
              <w:pStyle w:val="TableText"/>
              <w:spacing w:line="276" w:lineRule="auto"/>
              <w:jc w:val="left"/>
              <w:rPr>
                <w:rFonts w:eastAsia="Calibri" w:cs="Times New Roman"/>
              </w:rPr>
            </w:pPr>
            <w:r w:rsidRPr="00095491">
              <w:t>Cooling Degree Day</w:t>
            </w:r>
            <w:r w:rsidRPr="00095491">
              <w:rPr>
                <w:rFonts w:cs="Arial"/>
              </w:rPr>
              <w:t>—</w:t>
            </w:r>
            <w:r w:rsidRPr="00095491">
              <w:t>the max of zero and the mean temperature of the day of the hourly observation less a base value of 60°F</w:t>
            </w:r>
          </w:p>
        </w:tc>
      </w:tr>
      <w:tr w:rsidR="00A43683" w:rsidRPr="00095491" w:rsidTr="008F5C8C">
        <w:tc>
          <w:tcPr>
            <w:tcW w:w="1539" w:type="dxa"/>
            <w:vAlign w:val="center"/>
          </w:tcPr>
          <w:p w:rsidR="00A43683" w:rsidRPr="00095491" w:rsidRDefault="00A43683" w:rsidP="008F5C8C">
            <w:pPr>
              <w:pStyle w:val="TableText"/>
              <w:spacing w:line="276" w:lineRule="auto"/>
              <w:rPr>
                <w:rFonts w:cs="Arial"/>
              </w:rPr>
            </w:pPr>
            <w:proofErr w:type="spellStart"/>
            <w:r w:rsidRPr="00095491">
              <w:rPr>
                <w:rFonts w:cs="Arial"/>
              </w:rPr>
              <w:t>CDDsqr</w:t>
            </w:r>
            <w:r w:rsidRPr="00095491">
              <w:rPr>
                <w:rFonts w:cs="Arial"/>
                <w:vertAlign w:val="subscript"/>
              </w:rPr>
              <w:t>t</w:t>
            </w:r>
            <w:proofErr w:type="spellEnd"/>
          </w:p>
        </w:tc>
        <w:tc>
          <w:tcPr>
            <w:tcW w:w="8037" w:type="dxa"/>
            <w:vAlign w:val="center"/>
          </w:tcPr>
          <w:p w:rsidR="00A43683" w:rsidRPr="00095491" w:rsidRDefault="00A43683" w:rsidP="008F5C8C">
            <w:pPr>
              <w:pStyle w:val="TableText"/>
              <w:spacing w:line="276" w:lineRule="auto"/>
              <w:jc w:val="left"/>
              <w:rPr>
                <w:rFonts w:eastAsia="Calibri" w:cs="Times New Roman"/>
              </w:rPr>
            </w:pPr>
            <w:r w:rsidRPr="00095491">
              <w:t>The square of Cooling Degree Day</w:t>
            </w:r>
          </w:p>
        </w:tc>
      </w:tr>
      <w:tr w:rsidR="00A43683" w:rsidRPr="00095491" w:rsidTr="008F5C8C">
        <w:tc>
          <w:tcPr>
            <w:tcW w:w="1539" w:type="dxa"/>
            <w:vAlign w:val="center"/>
          </w:tcPr>
          <w:p w:rsidR="00A43683" w:rsidRPr="00095491" w:rsidRDefault="00A43683" w:rsidP="008F5C8C">
            <w:pPr>
              <w:pStyle w:val="TableText"/>
              <w:spacing w:line="276" w:lineRule="auto"/>
              <w:rPr>
                <w:rFonts w:cs="Arial"/>
              </w:rPr>
            </w:pPr>
            <w:proofErr w:type="spellStart"/>
            <w:r w:rsidRPr="00095491">
              <w:rPr>
                <w:rFonts w:cs="Arial"/>
              </w:rPr>
              <w:t>CDH</w:t>
            </w:r>
            <w:r w:rsidRPr="00095491">
              <w:rPr>
                <w:rFonts w:cs="Arial"/>
                <w:vertAlign w:val="subscript"/>
              </w:rPr>
              <w:t>t</w:t>
            </w:r>
            <w:proofErr w:type="spellEnd"/>
          </w:p>
        </w:tc>
        <w:tc>
          <w:tcPr>
            <w:tcW w:w="8037" w:type="dxa"/>
            <w:vAlign w:val="center"/>
          </w:tcPr>
          <w:p w:rsidR="00A43683" w:rsidRPr="00095491" w:rsidRDefault="00A43683" w:rsidP="008F5C8C">
            <w:pPr>
              <w:pStyle w:val="TableText"/>
              <w:spacing w:line="276" w:lineRule="auto"/>
              <w:jc w:val="left"/>
              <w:rPr>
                <w:rFonts w:eastAsia="Calibri" w:cs="Times New Roman"/>
              </w:rPr>
            </w:pPr>
            <w:r w:rsidRPr="00095491">
              <w:t>Cooling Degree Hour</w:t>
            </w:r>
            <w:r w:rsidRPr="00095491">
              <w:rPr>
                <w:rFonts w:cs="Arial"/>
              </w:rPr>
              <w:t>—</w:t>
            </w:r>
            <w:r w:rsidRPr="00095491">
              <w:t>the max of zero and the hourly temperature value less a base value of 60°F</w:t>
            </w:r>
          </w:p>
        </w:tc>
      </w:tr>
      <w:tr w:rsidR="00A43683" w:rsidRPr="00095491" w:rsidTr="008F5C8C">
        <w:tc>
          <w:tcPr>
            <w:tcW w:w="1539" w:type="dxa"/>
            <w:vAlign w:val="center"/>
          </w:tcPr>
          <w:p w:rsidR="00A43683" w:rsidRPr="00095491" w:rsidRDefault="00A43683" w:rsidP="008F5C8C">
            <w:pPr>
              <w:pStyle w:val="TableText"/>
              <w:spacing w:line="276" w:lineRule="auto"/>
              <w:rPr>
                <w:rFonts w:cs="Arial"/>
              </w:rPr>
            </w:pPr>
            <w:proofErr w:type="spellStart"/>
            <w:r w:rsidRPr="00095491">
              <w:rPr>
                <w:rFonts w:cs="Arial"/>
              </w:rPr>
              <w:t>CDHsqr</w:t>
            </w:r>
            <w:r w:rsidRPr="00095491">
              <w:rPr>
                <w:rFonts w:cs="Arial"/>
                <w:vertAlign w:val="subscript"/>
              </w:rPr>
              <w:t>t</w:t>
            </w:r>
            <w:proofErr w:type="spellEnd"/>
          </w:p>
        </w:tc>
        <w:tc>
          <w:tcPr>
            <w:tcW w:w="8037" w:type="dxa"/>
            <w:vAlign w:val="center"/>
          </w:tcPr>
          <w:p w:rsidR="00A43683" w:rsidRPr="00095491" w:rsidRDefault="00A43683" w:rsidP="008F5C8C">
            <w:pPr>
              <w:pStyle w:val="TableText"/>
              <w:spacing w:line="276" w:lineRule="auto"/>
              <w:jc w:val="left"/>
              <w:rPr>
                <w:rFonts w:eastAsia="Calibri" w:cs="Times New Roman"/>
              </w:rPr>
            </w:pPr>
            <w:r w:rsidRPr="00095491">
              <w:t>The square of Cooling Degree Hour</w:t>
            </w:r>
          </w:p>
        </w:tc>
      </w:tr>
      <w:tr w:rsidR="00A43683" w:rsidRPr="00095491" w:rsidTr="008F5C8C">
        <w:tc>
          <w:tcPr>
            <w:tcW w:w="1539" w:type="dxa"/>
            <w:vAlign w:val="center"/>
          </w:tcPr>
          <w:p w:rsidR="00A43683" w:rsidRPr="00095491" w:rsidRDefault="00A43683" w:rsidP="008F5C8C">
            <w:pPr>
              <w:pStyle w:val="TableText"/>
              <w:spacing w:line="276" w:lineRule="auto"/>
              <w:rPr>
                <w:rFonts w:cs="Arial"/>
              </w:rPr>
            </w:pPr>
            <w:proofErr w:type="spellStart"/>
            <w:r>
              <w:rPr>
                <w:rFonts w:cs="Arial"/>
              </w:rPr>
              <w:t>Overnight</w:t>
            </w:r>
            <w:r w:rsidRPr="00095491">
              <w:rPr>
                <w:rFonts w:cs="Arial"/>
              </w:rPr>
              <w:t>CDH</w:t>
            </w:r>
            <w:r w:rsidRPr="00095491">
              <w:rPr>
                <w:rFonts w:cs="Arial"/>
                <w:vertAlign w:val="subscript"/>
              </w:rPr>
              <w:t>t</w:t>
            </w:r>
            <w:proofErr w:type="spellEnd"/>
          </w:p>
        </w:tc>
        <w:tc>
          <w:tcPr>
            <w:tcW w:w="8037" w:type="dxa"/>
            <w:vAlign w:val="center"/>
          </w:tcPr>
          <w:p w:rsidR="00A43683" w:rsidRPr="00095491" w:rsidRDefault="00A43683" w:rsidP="008F5C8C">
            <w:pPr>
              <w:pStyle w:val="TableText"/>
              <w:spacing w:line="276" w:lineRule="auto"/>
              <w:jc w:val="left"/>
            </w:pPr>
            <w:r>
              <w:t>The average cooling degree hour between the hours of 12:00 am and 9:00 am</w:t>
            </w:r>
          </w:p>
        </w:tc>
      </w:tr>
      <w:tr w:rsidR="00A43683" w:rsidRPr="00095491" w:rsidTr="008F5C8C">
        <w:tc>
          <w:tcPr>
            <w:tcW w:w="1539" w:type="dxa"/>
            <w:vAlign w:val="center"/>
          </w:tcPr>
          <w:p w:rsidR="00A43683" w:rsidRPr="00095491" w:rsidRDefault="00A43683" w:rsidP="008F5C8C">
            <w:pPr>
              <w:pStyle w:val="TableText"/>
              <w:keepNext/>
            </w:pPr>
            <w:proofErr w:type="spellStart"/>
            <w:r w:rsidRPr="00095491">
              <w:t>Summer</w:t>
            </w:r>
            <w:r w:rsidRPr="00095491">
              <w:rPr>
                <w:vertAlign w:val="subscript"/>
              </w:rPr>
              <w:t>t</w:t>
            </w:r>
            <w:proofErr w:type="spellEnd"/>
          </w:p>
        </w:tc>
        <w:tc>
          <w:tcPr>
            <w:tcW w:w="8037" w:type="dxa"/>
          </w:tcPr>
          <w:p w:rsidR="00A43683" w:rsidRPr="00095491" w:rsidRDefault="00A43683" w:rsidP="008F5C8C">
            <w:pPr>
              <w:pStyle w:val="TableText"/>
              <w:keepNext/>
              <w:jc w:val="left"/>
            </w:pPr>
            <w:r w:rsidRPr="00095491">
              <w:t>Binary variable reflecting the summer months of July through October</w:t>
            </w:r>
          </w:p>
        </w:tc>
      </w:tr>
      <w:tr w:rsidR="00A43683" w:rsidRPr="00095491" w:rsidTr="008F5C8C">
        <w:tc>
          <w:tcPr>
            <w:tcW w:w="1539" w:type="dxa"/>
            <w:vAlign w:val="center"/>
          </w:tcPr>
          <w:p w:rsidR="00A43683" w:rsidRPr="00095491" w:rsidRDefault="00A43683" w:rsidP="008F5C8C">
            <w:pPr>
              <w:pStyle w:val="TableText"/>
              <w:keepNext/>
            </w:pPr>
            <w:proofErr w:type="spellStart"/>
            <w:r w:rsidRPr="00095491">
              <w:t>PLS</w:t>
            </w:r>
            <w:r w:rsidRPr="00095491">
              <w:rPr>
                <w:vertAlign w:val="subscript"/>
              </w:rPr>
              <w:t>t</w:t>
            </w:r>
            <w:proofErr w:type="spellEnd"/>
          </w:p>
        </w:tc>
        <w:tc>
          <w:tcPr>
            <w:tcW w:w="8037" w:type="dxa"/>
          </w:tcPr>
          <w:p w:rsidR="00A43683" w:rsidRPr="00095491" w:rsidRDefault="00A43683" w:rsidP="008F5C8C">
            <w:pPr>
              <w:pStyle w:val="TableText"/>
              <w:keepNext/>
              <w:jc w:val="left"/>
            </w:pPr>
            <w:r w:rsidRPr="00095491">
              <w:t>Binary variable reflecting when the TES system is operational</w:t>
            </w:r>
          </w:p>
        </w:tc>
      </w:tr>
      <w:tr w:rsidR="00A43683" w:rsidRPr="00B828B0" w:rsidTr="008F5C8C">
        <w:tc>
          <w:tcPr>
            <w:tcW w:w="1539" w:type="dxa"/>
            <w:vAlign w:val="center"/>
          </w:tcPr>
          <w:p w:rsidR="00A43683" w:rsidRPr="00095491" w:rsidRDefault="00A43683" w:rsidP="008F5C8C">
            <w:pPr>
              <w:pStyle w:val="TableText"/>
              <w:keepNext/>
            </w:pPr>
            <w:r w:rsidRPr="00095491">
              <w:t>e</w:t>
            </w:r>
            <w:r w:rsidRPr="00095491">
              <w:rPr>
                <w:vertAlign w:val="subscript"/>
              </w:rPr>
              <w:t>t</w:t>
            </w:r>
          </w:p>
        </w:tc>
        <w:tc>
          <w:tcPr>
            <w:tcW w:w="8037" w:type="dxa"/>
          </w:tcPr>
          <w:p w:rsidR="00A43683" w:rsidRPr="00095491" w:rsidRDefault="00A43683" w:rsidP="008F5C8C">
            <w:pPr>
              <w:pStyle w:val="TableText"/>
              <w:keepNext/>
              <w:jc w:val="left"/>
            </w:pPr>
            <w:r w:rsidRPr="00095491">
              <w:t>Error term</w:t>
            </w:r>
          </w:p>
        </w:tc>
      </w:tr>
    </w:tbl>
    <w:p w:rsidR="00A43683" w:rsidRPr="009F767C" w:rsidRDefault="00A43683" w:rsidP="00A43683">
      <w:pPr>
        <w:pStyle w:val="BodyParagraph"/>
      </w:pPr>
    </w:p>
    <w:p w:rsidR="00A43683" w:rsidRDefault="00A43683" w:rsidP="00A43683">
      <w:pPr>
        <w:pStyle w:val="AppendixHeading2"/>
      </w:pPr>
      <w:bookmarkStart w:id="116" w:name="_Toc507085074"/>
      <w:r>
        <w:t>SDG&amp;E</w:t>
      </w:r>
      <w:bookmarkEnd w:id="116"/>
    </w:p>
    <w:p w:rsidR="00A43683" w:rsidRDefault="00A43683" w:rsidP="00A43683">
      <w:pPr>
        <w:pStyle w:val="AppendixHeading4"/>
      </w:pPr>
      <w:r>
        <w:t>Site 1</w:t>
      </w:r>
    </w:p>
    <w:p w:rsidR="00A43683" w:rsidRPr="009F767C" w:rsidRDefault="00121357" w:rsidP="00CD6133">
      <w:pPr>
        <w:pStyle w:val="BodyParagraph"/>
        <w:ind w:left="360"/>
      </w:pPr>
      <w:r w:rsidRPr="00CD6133">
        <w:t>No Regression Model</w:t>
      </w:r>
    </w:p>
    <w:p w:rsidR="00A43683" w:rsidRDefault="00A43683" w:rsidP="00A43683">
      <w:pPr>
        <w:pStyle w:val="AppendixHeading4"/>
      </w:pPr>
      <w:r>
        <w:t>Site 2</w:t>
      </w:r>
    </w:p>
    <w:p w:rsidR="008F5C8C" w:rsidRDefault="008F5C8C" w:rsidP="00CD6133">
      <w:pPr>
        <w:pStyle w:val="BodyParagraph"/>
      </w:pPr>
      <w:r>
        <w:tab/>
        <w:t>Customer Regression Model:</w:t>
      </w:r>
    </w:p>
    <w:p w:rsidR="008F5C8C" w:rsidRPr="00095491" w:rsidRDefault="003A34B9" w:rsidP="008F5C8C">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kW</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cs="Arial"/>
                      <w:sz w:val="24"/>
                      <w:szCs w:val="24"/>
                    </w:rPr>
                    <m:t>12</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Mont</m:t>
                      </m:r>
                      <m:r>
                        <w:rPr>
                          <w:rFonts w:hAnsi="Cambria Math" w:cs="Arial"/>
                          <w:sz w:val="24"/>
                          <w:szCs w:val="24"/>
                        </w:rPr>
                        <m:t>h</m:t>
                      </m:r>
                    </m:e>
                    <m:sub>
                      <m:r>
                        <w:rPr>
                          <w:rFonts w:ascii="Cambria Math" w:hAnsi="Cambria Math" w:cs="Arial"/>
                          <w:sz w:val="24"/>
                          <w:szCs w:val="24"/>
                        </w:rPr>
                        <m:t>j</m:t>
                      </m:r>
                    </m:sub>
                  </m:sSub>
                </m:e>
              </m:nary>
            </m:e>
          </m:nary>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oMath>
      </m:oMathPara>
    </w:p>
    <w:p w:rsidR="008F5C8C" w:rsidRPr="009F033B" w:rsidRDefault="008F5C8C" w:rsidP="008F5C8C">
      <w:pPr>
        <w:pStyle w:val="BodyParagraph"/>
        <w:tabs>
          <w:tab w:val="left" w:pos="1620"/>
        </w:tabs>
        <w:spacing w:after="100" w:afterAutospacing="1"/>
        <w:rPr>
          <w:rFonts w:cs="Arial"/>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OvernightCDH</m:t>
                  </m:r>
                </m:e>
                <m:sub>
                  <m:r>
                    <w:rPr>
                      <w:rFonts w:ascii="Cambria Math" w:hAnsi="Cambria Math" w:cs="Arial"/>
                      <w:sz w:val="24"/>
                      <w:szCs w:val="24"/>
                    </w:rPr>
                    <m:t>t</m:t>
                  </m:r>
                </m:sub>
              </m:sSub>
            </m:e>
          </m:nary>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E</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m:t>
                  </m:r>
                </m:e>
                <m:sub>
                  <m:r>
                    <w:rPr>
                      <w:rFonts w:ascii="Cambria Math" w:hAnsi="Cambria Math" w:cs="Arial"/>
                      <w:sz w:val="24"/>
                      <w:szCs w:val="24"/>
                    </w:rPr>
                    <m:t>t</m:t>
                  </m:r>
                </m:sub>
              </m:sSub>
            </m:e>
          </m:nary>
          <m:r>
            <w:rPr>
              <w:rFonts w:ascii="Cambria Math" w:hAnsi="Cambria Math"/>
              <w:sz w:val="24"/>
              <w:szCs w:val="24"/>
            </w:rPr>
            <m:t xml:space="preserve">+ </m:t>
          </m:r>
          <m:r>
            <m:rPr>
              <m:sty m:val="p"/>
            </m:rPr>
            <w:rPr>
              <w:rFonts w:cs="Arial"/>
              <w:sz w:val="24"/>
              <w:szCs w:val="24"/>
            </w:rPr>
            <w:br/>
          </m:r>
        </m:oMath>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i=1</m:t>
              </m:r>
            </m:sub>
            <m:sup>
              <m:r>
                <w:rPr>
                  <w:rFonts w:ascii="Cambria Math" w:hAnsi="Cambria Math" w:cs="Arial"/>
                  <w:sz w:val="24"/>
                  <w:szCs w:val="24"/>
                </w:rPr>
                <m:t>24</m:t>
              </m:r>
            </m:sup>
            <m:e>
              <m:sSub>
                <m:sSubPr>
                  <m:ctrlPr>
                    <w:rPr>
                      <w:rFonts w:ascii="Cambria Math" w:hAnsi="Cambria Math" w:cs="Arial"/>
                      <w:i/>
                      <w:sz w:val="24"/>
                      <w:szCs w:val="24"/>
                    </w:rPr>
                  </m:ctrlPr>
                </m:sSubPr>
                <m:e>
                  <m:r>
                    <w:rPr>
                      <w:rFonts w:ascii="Cambria Math" w:cs="Arial"/>
                      <w:sz w:val="24"/>
                      <w:szCs w:val="24"/>
                    </w:rPr>
                    <m:t>F</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r>
                <w:rPr>
                  <w:rFonts w:ascii="Cambria Math" w:hAnsi="Cambria Math" w:cs="Arial"/>
                  <w:sz w:val="24"/>
                  <w:szCs w:val="24"/>
                </w:rPr>
                <m:t>Summer</m:t>
              </m:r>
            </m:e>
          </m:nary>
          <m:r>
            <w:rPr>
              <w:rFonts w:ascii="Cambria Math" w:cs="Arial"/>
              <w:sz w:val="24"/>
              <w:szCs w:val="24"/>
            </w:rPr>
            <m:t>+</m:t>
          </m:r>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cs="Arial"/>
                  <w:sz w:val="24"/>
                  <w:szCs w:val="24"/>
                </w:rPr>
                <m:t>G</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PLS</m:t>
              </m:r>
            </m:e>
            <m:sub>
              <m:r>
                <w:rPr>
                  <w:rFonts w:ascii="Cambria Math" w:hAnsi="Cambria Math" w:cs="Arial"/>
                  <w:sz w:val="24"/>
                  <w:szCs w:val="24"/>
                </w:rPr>
                <m:t>t</m:t>
              </m:r>
            </m:sub>
          </m:sSub>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8F5C8C" w:rsidRPr="008F5C8C" w:rsidRDefault="008F5C8C" w:rsidP="00CD6133">
      <w:pPr>
        <w:pStyle w:val="BodyParagraph"/>
      </w:pPr>
    </w:p>
    <w:p w:rsidR="00A43683" w:rsidRDefault="00A43683" w:rsidP="00CD6133">
      <w:pPr>
        <w:pStyle w:val="AppendixHeading4"/>
        <w:tabs>
          <w:tab w:val="left" w:pos="360"/>
        </w:tabs>
        <w:ind w:firstLine="0"/>
      </w:pPr>
      <w:r>
        <w:t>Site 3</w:t>
      </w:r>
    </w:p>
    <w:p w:rsidR="008F5C8C" w:rsidRDefault="008F5C8C" w:rsidP="00CD6133">
      <w:pPr>
        <w:pStyle w:val="BodyParagraph"/>
      </w:pPr>
      <w:r>
        <w:t>Customer Regression Model:</w:t>
      </w:r>
    </w:p>
    <w:p w:rsidR="0006042F" w:rsidRPr="00095491" w:rsidRDefault="003A34B9" w:rsidP="0006042F">
      <w:pPr>
        <w:pStyle w:val="BodyParagraph"/>
        <w:rPr>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kW</m:t>
              </m:r>
            </m:e>
            <m:sub>
              <m:r>
                <w:rPr>
                  <w:rFonts w:ascii="Cambria Math" w:hAnsi="Cambria Math" w:cs="Arial"/>
                  <w:sz w:val="24"/>
                  <w:szCs w:val="24"/>
                </w:rPr>
                <m:t>t</m:t>
              </m:r>
            </m:sub>
          </m:sSub>
          <m:r>
            <w:rPr>
              <w:rFonts w:ascii="Cambria Math" w:cs="Arial"/>
              <w:sz w:val="24"/>
              <w:szCs w:val="24"/>
            </w:rPr>
            <m:t>=</m:t>
          </m:r>
          <m:r>
            <w:rPr>
              <w:rFonts w:ascii="Cambria Math" w:hAnsi="Cambria Math" w:cs="Arial"/>
              <w:sz w:val="24"/>
              <w:szCs w:val="24"/>
            </w:rPr>
            <m:t>A</m:t>
          </m:r>
          <m:r>
            <w:rPr>
              <w:rFonts w:ascii="Cambria Math" w:cs="Arial"/>
              <w:sz w:val="24"/>
              <w:szCs w:val="24"/>
            </w:rPr>
            <m:t>+</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nary>
                <m:naryPr>
                  <m:chr m:val="∑"/>
                  <m:limLoc m:val="undOvr"/>
                  <m:ctrlPr>
                    <w:rPr>
                      <w:rFonts w:ascii="Cambria Math" w:hAnsi="Cambria Math" w:cs="Arial"/>
                      <w:i/>
                      <w:sz w:val="24"/>
                      <w:szCs w:val="24"/>
                    </w:rPr>
                  </m:ctrlPr>
                </m:naryPr>
                <m:sub>
                  <m:r>
                    <w:rPr>
                      <w:rFonts w:ascii="Cambria Math" w:hAnsi="Cambria Math" w:cs="Arial"/>
                      <w:sz w:val="24"/>
                      <w:szCs w:val="24"/>
                    </w:rPr>
                    <m:t>j</m:t>
                  </m:r>
                  <m:r>
                    <w:rPr>
                      <w:rFonts w:ascii="Cambria Math" w:cs="Arial"/>
                      <w:sz w:val="24"/>
                      <w:szCs w:val="24"/>
                    </w:rPr>
                    <m:t>=1</m:t>
                  </m:r>
                </m:sub>
                <m:sup>
                  <m:r>
                    <w:rPr>
                      <w:rFonts w:ascii="Cambria Math" w:hAnsi="Cambria Math" w:cs="Arial"/>
                      <w:sz w:val="24"/>
                      <w:szCs w:val="24"/>
                    </w:rPr>
                    <m:t>5</m:t>
                  </m:r>
                </m:sup>
                <m:e>
                  <m:sSub>
                    <m:sSubPr>
                      <m:ctrlPr>
                        <w:rPr>
                          <w:rFonts w:ascii="Cambria Math" w:hAnsi="Cambria Math" w:cs="Arial"/>
                          <w:i/>
                          <w:sz w:val="24"/>
                          <w:szCs w:val="24"/>
                        </w:rPr>
                      </m:ctrlPr>
                    </m:sSubPr>
                    <m:e>
                      <m:r>
                        <w:rPr>
                          <w:rFonts w:ascii="Cambria Math" w:hAnsi="Cambria Math" w:cs="Arial"/>
                          <w:sz w:val="24"/>
                          <w:szCs w:val="24"/>
                        </w:rPr>
                        <m:t>B</m:t>
                      </m:r>
                    </m:e>
                    <m:sub>
                      <m:r>
                        <w:rPr>
                          <w:rFonts w:ascii="Cambria Math" w:hAnsi="Cambria Math" w:cs="Arial"/>
                          <w:sz w:val="24"/>
                          <w:szCs w:val="24"/>
                        </w:rPr>
                        <m:t>ij</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DOW</m:t>
                      </m:r>
                    </m:e>
                    <m:sub>
                      <m:r>
                        <w:rPr>
                          <w:rFonts w:ascii="Cambria Math" w:hAnsi="Cambria Math" w:cs="Arial"/>
                          <w:sz w:val="24"/>
                          <w:szCs w:val="24"/>
                        </w:rPr>
                        <m:t>j</m:t>
                      </m:r>
                    </m:sub>
                  </m:sSub>
                  <m:r>
                    <w:rPr>
                      <w:rFonts w:ascii="Cambria Math" w:hAnsi="Cambria Math" w:cs="Arial"/>
                      <w:sz w:val="24"/>
                      <w:szCs w:val="24"/>
                    </w:rPr>
                    <m:t>+</m:t>
                  </m:r>
                </m:e>
              </m:nary>
            </m:e>
          </m:nary>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CDH</m:t>
                  </m:r>
                </m:e>
                <m:sub>
                  <m:r>
                    <w:rPr>
                      <w:rFonts w:ascii="Cambria Math" w:hAnsi="Cambria Math" w:cs="Arial"/>
                      <w:sz w:val="24"/>
                      <w:szCs w:val="24"/>
                    </w:rPr>
                    <m:t>t</m:t>
                  </m:r>
                </m:sub>
              </m:sSub>
            </m:e>
          </m:nary>
          <m:r>
            <w:rPr>
              <w:rFonts w:ascii="Cambria Math" w:hAnsi="Cambria Math"/>
              <w:sz w:val="24"/>
              <w:szCs w:val="24"/>
            </w:rPr>
            <m:t>+</m:t>
          </m:r>
        </m:oMath>
      </m:oMathPara>
    </w:p>
    <w:p w:rsidR="0006042F" w:rsidRPr="009F033B" w:rsidRDefault="0006042F" w:rsidP="0006042F">
      <w:pPr>
        <w:pStyle w:val="BodyParagraph"/>
        <w:tabs>
          <w:tab w:val="left" w:pos="1620"/>
        </w:tabs>
        <w:spacing w:after="100" w:afterAutospacing="1"/>
        <w:rPr>
          <w:rFonts w:cs="Arial"/>
          <w:sz w:val="24"/>
          <w:szCs w:val="24"/>
        </w:rPr>
      </w:pPr>
      <m:oMathPara>
        <m:oMath>
          <m:r>
            <w:rPr>
              <w:rFonts w:ascii="Cambria Math" w:cs="Arial"/>
              <w:sz w:val="24"/>
              <w:szCs w:val="24"/>
            </w:rPr>
            <m:t xml:space="preserve">       </m:t>
          </m:r>
          <m:nary>
            <m:naryPr>
              <m:chr m:val="∑"/>
              <m:limLoc m:val="undOvr"/>
              <m:ctrlPr>
                <w:rPr>
                  <w:rFonts w:ascii="Cambria Math" w:hAnsi="Cambria Math" w:cs="Arial"/>
                  <w:i/>
                  <w:sz w:val="24"/>
                  <w:szCs w:val="24"/>
                </w:rPr>
              </m:ctrlPr>
            </m:naryPr>
            <m:sub>
              <m:r>
                <w:rPr>
                  <w:rFonts w:ascii="Cambria Math" w:hAnsi="Cambria Math" w:cs="Arial"/>
                  <w:sz w:val="24"/>
                  <w:szCs w:val="24"/>
                </w:rPr>
                <m:t>i</m:t>
              </m:r>
              <m:r>
                <w:rPr>
                  <w:rFonts w:ascii="Cambria Math" w:cs="Arial"/>
                  <w:sz w:val="24"/>
                  <w:szCs w:val="24"/>
                </w:rPr>
                <m:t>=1</m:t>
              </m:r>
            </m:sub>
            <m:sup>
              <m:r>
                <w:rPr>
                  <w:rFonts w:ascii="Cambria Math" w:cs="Arial"/>
                  <w:sz w:val="24"/>
                  <w:szCs w:val="24"/>
                </w:rPr>
                <m:t>24</m:t>
              </m:r>
            </m:sup>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Hour</m:t>
                  </m:r>
                </m:e>
                <m:sub>
                  <m:r>
                    <w:rPr>
                      <w:rFonts w:ascii="Cambria Math" w:hAns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OvernightCDH</m:t>
                  </m:r>
                </m:e>
                <m:sub>
                  <m:r>
                    <w:rPr>
                      <w:rFonts w:ascii="Cambria Math" w:hAnsi="Cambria Math" w:cs="Arial"/>
                      <w:sz w:val="24"/>
                      <w:szCs w:val="24"/>
                    </w:rPr>
                    <m:t>t</m:t>
                  </m:r>
                </m:sub>
              </m:sSub>
            </m:e>
          </m:nary>
          <m:r>
            <w:rPr>
              <w:rFonts w:ascii="Cambria Math" w:cs="Arial"/>
              <w:sz w:val="24"/>
              <w:szCs w:val="24"/>
            </w:rPr>
            <m:t xml:space="preserve">+  </m:t>
          </m:r>
          <m:sSub>
            <m:sSubPr>
              <m:ctrlPr>
                <w:rPr>
                  <w:rFonts w:ascii="Cambria Math" w:hAnsi="Cambria Math" w:cs="Arial"/>
                  <w:i/>
                  <w:sz w:val="24"/>
                  <w:szCs w:val="24"/>
                </w:rPr>
              </m:ctrlPr>
            </m:sSubPr>
            <m:e>
              <m:r>
                <w:rPr>
                  <w:rFonts w:ascii="Cambria Math" w:cs="Arial"/>
                  <w:sz w:val="24"/>
                  <w:szCs w:val="24"/>
                </w:rPr>
                <m:t>D</m:t>
              </m:r>
            </m:e>
            <m:sub>
              <m:r>
                <w:rPr>
                  <w:rFonts w:ascii="Cambria Math" w:cs="Arial"/>
                  <w:sz w:val="24"/>
                  <w:szCs w:val="24"/>
                </w:rPr>
                <m:t>i</m:t>
              </m:r>
            </m:sub>
          </m:sSub>
          <m:r>
            <w:rPr>
              <w:rFonts w:asci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PLS</m:t>
              </m:r>
            </m:e>
            <m:sub>
              <m:r>
                <w:rPr>
                  <w:rFonts w:ascii="Cambria Math" w:hAnsi="Cambria Math" w:cs="Arial"/>
                  <w:sz w:val="24"/>
                  <w:szCs w:val="24"/>
                </w:rPr>
                <m:t>t</m:t>
              </m:r>
            </m:sub>
          </m:sSub>
          <m:r>
            <w:rPr>
              <w:rFonts w:ascii="Cambria Math" w:hAnsi="Cambria Math" w:cs="Arial"/>
              <w:sz w:val="24"/>
              <w:szCs w:val="24"/>
            </w:rPr>
            <m:t xml:space="preserve"> </m:t>
          </m:r>
          <m:r>
            <w:rPr>
              <w:rFonts w:asci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m:oMathPara>
    </w:p>
    <w:p w:rsidR="0006042F" w:rsidRPr="00095491" w:rsidRDefault="00CD0B84" w:rsidP="0006042F">
      <w:pPr>
        <w:pStyle w:val="TableFigureCaption"/>
      </w:pPr>
      <w:r>
        <w:t>Table A-3</w:t>
      </w:r>
      <w:r w:rsidR="0006042F" w:rsidRPr="00095491">
        <w:t>: Description of Regression Model Variables</w:t>
      </w:r>
    </w:p>
    <w:tbl>
      <w:tblPr>
        <w:tblStyle w:val="TableGrid"/>
        <w:tblW w:w="0" w:type="auto"/>
        <w:tblLook w:val="04A0" w:firstRow="1" w:lastRow="0" w:firstColumn="1" w:lastColumn="0" w:noHBand="0" w:noVBand="1"/>
      </w:tblPr>
      <w:tblGrid>
        <w:gridCol w:w="1553"/>
        <w:gridCol w:w="8023"/>
      </w:tblGrid>
      <w:tr w:rsidR="0006042F" w:rsidRPr="00095491" w:rsidTr="00CD6133">
        <w:trPr>
          <w:trHeight w:val="557"/>
          <w:tblHeader/>
        </w:trPr>
        <w:tc>
          <w:tcPr>
            <w:tcW w:w="1553" w:type="dxa"/>
            <w:tcBorders>
              <w:top w:val="single" w:sz="8" w:space="0" w:color="auto"/>
              <w:left w:val="single" w:sz="8" w:space="0" w:color="auto"/>
              <w:bottom w:val="single" w:sz="4" w:space="0" w:color="auto"/>
              <w:right w:val="single" w:sz="4" w:space="0" w:color="FFFFFF" w:themeColor="background1"/>
            </w:tcBorders>
            <w:shd w:val="clear" w:color="auto" w:fill="0070C0"/>
            <w:vAlign w:val="center"/>
          </w:tcPr>
          <w:p w:rsidR="0006042F" w:rsidRPr="00095491" w:rsidRDefault="0006042F" w:rsidP="00533ADF">
            <w:pPr>
              <w:pStyle w:val="TableHeader"/>
              <w:keepNext/>
            </w:pPr>
            <w:r w:rsidRPr="00095491">
              <w:t>Variable</w:t>
            </w:r>
          </w:p>
        </w:tc>
        <w:tc>
          <w:tcPr>
            <w:tcW w:w="8023" w:type="dxa"/>
            <w:tcBorders>
              <w:top w:val="single" w:sz="8" w:space="0" w:color="auto"/>
              <w:left w:val="single" w:sz="4" w:space="0" w:color="FFFFFF" w:themeColor="background1"/>
              <w:bottom w:val="single" w:sz="4" w:space="0" w:color="auto"/>
              <w:right w:val="single" w:sz="8" w:space="0" w:color="auto"/>
            </w:tcBorders>
            <w:shd w:val="clear" w:color="auto" w:fill="0070C0"/>
            <w:vAlign w:val="center"/>
          </w:tcPr>
          <w:p w:rsidR="0006042F" w:rsidRPr="00095491" w:rsidRDefault="0006042F" w:rsidP="00533ADF">
            <w:pPr>
              <w:pStyle w:val="TableHeader"/>
              <w:keepNext/>
            </w:pPr>
            <w:r w:rsidRPr="00095491">
              <w:t>Definition</w:t>
            </w:r>
          </w:p>
        </w:tc>
      </w:tr>
      <w:tr w:rsidR="0006042F" w:rsidRPr="00095491" w:rsidTr="00CD6133">
        <w:tc>
          <w:tcPr>
            <w:tcW w:w="1553" w:type="dxa"/>
            <w:tcBorders>
              <w:top w:val="single" w:sz="4" w:space="0" w:color="auto"/>
            </w:tcBorders>
            <w:vAlign w:val="center"/>
          </w:tcPr>
          <w:p w:rsidR="0006042F" w:rsidRPr="00095491" w:rsidRDefault="0006042F" w:rsidP="00533ADF">
            <w:pPr>
              <w:pStyle w:val="TableText"/>
              <w:keepNext/>
            </w:pPr>
            <w:proofErr w:type="spellStart"/>
            <w:r w:rsidRPr="00095491">
              <w:t>kW</w:t>
            </w:r>
            <w:r w:rsidRPr="00095491">
              <w:rPr>
                <w:vertAlign w:val="subscript"/>
              </w:rPr>
              <w:t>t</w:t>
            </w:r>
            <w:proofErr w:type="spellEnd"/>
          </w:p>
        </w:tc>
        <w:tc>
          <w:tcPr>
            <w:tcW w:w="8023" w:type="dxa"/>
            <w:tcBorders>
              <w:top w:val="single" w:sz="4" w:space="0" w:color="auto"/>
            </w:tcBorders>
          </w:tcPr>
          <w:p w:rsidR="0006042F" w:rsidRPr="00095491" w:rsidRDefault="0006042F" w:rsidP="00533ADF">
            <w:pPr>
              <w:pStyle w:val="TableText"/>
              <w:keepNext/>
              <w:jc w:val="left"/>
            </w:pPr>
            <w:r w:rsidRPr="00095491">
              <w:t>Average hourly demand (kW) for each time period</w:t>
            </w:r>
          </w:p>
        </w:tc>
      </w:tr>
      <w:tr w:rsidR="0006042F" w:rsidRPr="00095491" w:rsidTr="00CD6133">
        <w:tc>
          <w:tcPr>
            <w:tcW w:w="1553" w:type="dxa"/>
            <w:vAlign w:val="center"/>
          </w:tcPr>
          <w:p w:rsidR="0006042F" w:rsidRPr="00095491" w:rsidRDefault="0006042F" w:rsidP="00533ADF">
            <w:pPr>
              <w:pStyle w:val="TableText"/>
              <w:keepNext/>
            </w:pPr>
            <w:r w:rsidRPr="00095491">
              <w:t>A</w:t>
            </w:r>
          </w:p>
        </w:tc>
        <w:tc>
          <w:tcPr>
            <w:tcW w:w="8023" w:type="dxa"/>
          </w:tcPr>
          <w:p w:rsidR="0006042F" w:rsidRPr="00095491" w:rsidRDefault="0006042F" w:rsidP="00533ADF">
            <w:pPr>
              <w:pStyle w:val="TableText"/>
              <w:keepNext/>
              <w:tabs>
                <w:tab w:val="left" w:pos="2557"/>
              </w:tabs>
              <w:jc w:val="left"/>
            </w:pPr>
            <w:r w:rsidRPr="00095491">
              <w:t>Estimated constant term</w:t>
            </w:r>
            <w:r w:rsidRPr="00095491">
              <w:tab/>
            </w:r>
          </w:p>
        </w:tc>
      </w:tr>
      <w:tr w:rsidR="0006042F" w:rsidRPr="00095491" w:rsidTr="00CD6133">
        <w:tc>
          <w:tcPr>
            <w:tcW w:w="1553" w:type="dxa"/>
            <w:vAlign w:val="center"/>
          </w:tcPr>
          <w:p w:rsidR="0006042F" w:rsidRPr="00095491" w:rsidRDefault="0006042F" w:rsidP="00533ADF">
            <w:pPr>
              <w:pStyle w:val="TableText"/>
              <w:keepNext/>
              <w:rPr>
                <w:vertAlign w:val="subscript"/>
              </w:rPr>
            </w:pPr>
            <w:proofErr w:type="spellStart"/>
            <w:r w:rsidRPr="00095491">
              <w:t>B</w:t>
            </w:r>
            <w:r w:rsidRPr="00095491">
              <w:rPr>
                <w:vertAlign w:val="subscript"/>
              </w:rPr>
              <w:t>ij</w:t>
            </w:r>
            <w:proofErr w:type="spellEnd"/>
            <w:r>
              <w:t xml:space="preserve"> through </w:t>
            </w:r>
            <w:proofErr w:type="spellStart"/>
            <w:r>
              <w:t>G</w:t>
            </w:r>
            <w:r w:rsidRPr="00095491">
              <w:rPr>
                <w:vertAlign w:val="subscript"/>
              </w:rPr>
              <w:t>i</w:t>
            </w:r>
            <w:proofErr w:type="spellEnd"/>
          </w:p>
        </w:tc>
        <w:tc>
          <w:tcPr>
            <w:tcW w:w="8023" w:type="dxa"/>
          </w:tcPr>
          <w:p w:rsidR="0006042F" w:rsidRPr="00095491" w:rsidRDefault="0006042F" w:rsidP="00533ADF">
            <w:pPr>
              <w:pStyle w:val="TableText"/>
              <w:keepNext/>
              <w:jc w:val="left"/>
            </w:pPr>
            <w:r w:rsidRPr="00095491">
              <w:t>Regression model parameters</w:t>
            </w:r>
          </w:p>
        </w:tc>
      </w:tr>
      <w:tr w:rsidR="0006042F" w:rsidRPr="00095491" w:rsidTr="00CD6133">
        <w:tc>
          <w:tcPr>
            <w:tcW w:w="1553" w:type="dxa"/>
            <w:vAlign w:val="center"/>
          </w:tcPr>
          <w:p w:rsidR="0006042F" w:rsidRPr="00095491" w:rsidRDefault="0006042F" w:rsidP="00533ADF">
            <w:pPr>
              <w:pStyle w:val="TableText"/>
              <w:keepNext/>
            </w:pPr>
            <w:proofErr w:type="spellStart"/>
            <w:r w:rsidRPr="00095491">
              <w:t>Hour</w:t>
            </w:r>
            <w:r w:rsidRPr="00095491">
              <w:rPr>
                <w:vertAlign w:val="subscript"/>
              </w:rPr>
              <w:t>i</w:t>
            </w:r>
            <w:proofErr w:type="spellEnd"/>
          </w:p>
        </w:tc>
        <w:tc>
          <w:tcPr>
            <w:tcW w:w="8023" w:type="dxa"/>
          </w:tcPr>
          <w:p w:rsidR="0006042F" w:rsidRPr="00095491" w:rsidRDefault="0006042F" w:rsidP="00533ADF">
            <w:pPr>
              <w:pStyle w:val="TableText"/>
              <w:keepNext/>
              <w:jc w:val="left"/>
            </w:pPr>
            <w:r w:rsidRPr="00095491">
              <w:t>Series of binary variables for each hour, which account for the basic hourly load shape of the customer after other factors such as weather are accounted for</w:t>
            </w:r>
          </w:p>
        </w:tc>
      </w:tr>
      <w:tr w:rsidR="0006042F" w:rsidRPr="00095491" w:rsidTr="00CD6133">
        <w:trPr>
          <w:trHeight w:val="58"/>
        </w:trPr>
        <w:tc>
          <w:tcPr>
            <w:tcW w:w="1553" w:type="dxa"/>
            <w:vAlign w:val="center"/>
          </w:tcPr>
          <w:p w:rsidR="0006042F" w:rsidRPr="00095491" w:rsidRDefault="0006042F" w:rsidP="00533ADF">
            <w:pPr>
              <w:pStyle w:val="TableText"/>
              <w:keepNext/>
            </w:pPr>
            <w:proofErr w:type="spellStart"/>
            <w:r w:rsidRPr="00095491">
              <w:t>DOW</w:t>
            </w:r>
            <w:r w:rsidRPr="00095491">
              <w:rPr>
                <w:vertAlign w:val="subscript"/>
              </w:rPr>
              <w:t>j</w:t>
            </w:r>
            <w:proofErr w:type="spellEnd"/>
          </w:p>
        </w:tc>
        <w:tc>
          <w:tcPr>
            <w:tcW w:w="8023" w:type="dxa"/>
          </w:tcPr>
          <w:p w:rsidR="0006042F" w:rsidRPr="00095491" w:rsidRDefault="0006042F" w:rsidP="00533ADF">
            <w:pPr>
              <w:pStyle w:val="TableText"/>
              <w:keepNext/>
              <w:jc w:val="left"/>
            </w:pPr>
            <w:r w:rsidRPr="00095491">
              <w:t>Series of binary variables representing weekday</w:t>
            </w:r>
            <w:r>
              <w:t xml:space="preserve">s </w:t>
            </w:r>
            <w:r w:rsidRPr="00095491">
              <w:t>(Mon</w:t>
            </w:r>
            <w:r>
              <w:t>-</w:t>
            </w:r>
            <w:r w:rsidRPr="00095491">
              <w:t>Fri); weekends and holidays are excluded from the model</w:t>
            </w:r>
            <w:r>
              <w:t>. Energy use immediately before or after a weekend may be different compared to load in the middle of the week</w:t>
            </w:r>
          </w:p>
        </w:tc>
      </w:tr>
      <w:tr w:rsidR="0006042F" w:rsidRPr="00095491" w:rsidTr="00CD6133">
        <w:tc>
          <w:tcPr>
            <w:tcW w:w="1553" w:type="dxa"/>
            <w:vAlign w:val="center"/>
          </w:tcPr>
          <w:p w:rsidR="0006042F" w:rsidRPr="00095491" w:rsidRDefault="0006042F" w:rsidP="00533ADF">
            <w:pPr>
              <w:pStyle w:val="TableText"/>
              <w:keepNext/>
            </w:pPr>
            <w:proofErr w:type="spellStart"/>
            <w:r w:rsidRPr="00095491">
              <w:t>Month</w:t>
            </w:r>
            <w:r w:rsidRPr="00095491">
              <w:rPr>
                <w:vertAlign w:val="subscript"/>
              </w:rPr>
              <w:t>j</w:t>
            </w:r>
            <w:proofErr w:type="spellEnd"/>
          </w:p>
        </w:tc>
        <w:tc>
          <w:tcPr>
            <w:tcW w:w="8023" w:type="dxa"/>
          </w:tcPr>
          <w:p w:rsidR="0006042F" w:rsidRPr="00095491" w:rsidRDefault="0006042F" w:rsidP="00533ADF">
            <w:pPr>
              <w:pStyle w:val="TableText"/>
              <w:keepNext/>
              <w:jc w:val="left"/>
            </w:pPr>
            <w:r w:rsidRPr="00095491">
              <w:t>Series of binary variables for each month designed to reflect seasonality in loads</w:t>
            </w:r>
          </w:p>
        </w:tc>
      </w:tr>
      <w:tr w:rsidR="0006042F" w:rsidRPr="00095491" w:rsidTr="00CD6133">
        <w:tc>
          <w:tcPr>
            <w:tcW w:w="1553" w:type="dxa"/>
            <w:vAlign w:val="center"/>
          </w:tcPr>
          <w:p w:rsidR="0006042F" w:rsidRPr="00095491" w:rsidRDefault="0006042F" w:rsidP="00533ADF">
            <w:pPr>
              <w:pStyle w:val="TableText"/>
              <w:spacing w:line="276" w:lineRule="auto"/>
              <w:rPr>
                <w:rFonts w:cs="Arial"/>
              </w:rPr>
            </w:pPr>
            <w:proofErr w:type="spellStart"/>
            <w:r w:rsidRPr="00095491">
              <w:rPr>
                <w:rFonts w:cs="Arial"/>
              </w:rPr>
              <w:t>CDH</w:t>
            </w:r>
            <w:r w:rsidRPr="00095491">
              <w:rPr>
                <w:rFonts w:cs="Arial"/>
                <w:vertAlign w:val="subscript"/>
              </w:rPr>
              <w:t>t</w:t>
            </w:r>
            <w:proofErr w:type="spellEnd"/>
          </w:p>
        </w:tc>
        <w:tc>
          <w:tcPr>
            <w:tcW w:w="8023" w:type="dxa"/>
            <w:vAlign w:val="center"/>
          </w:tcPr>
          <w:p w:rsidR="0006042F" w:rsidRPr="00095491" w:rsidRDefault="0006042F" w:rsidP="00533ADF">
            <w:pPr>
              <w:pStyle w:val="TableText"/>
              <w:spacing w:line="276" w:lineRule="auto"/>
              <w:jc w:val="left"/>
              <w:rPr>
                <w:rFonts w:eastAsia="Calibri" w:cs="Times New Roman"/>
              </w:rPr>
            </w:pPr>
            <w:r w:rsidRPr="00095491">
              <w:t>Cooling Degree Hour</w:t>
            </w:r>
            <w:r w:rsidRPr="00095491">
              <w:rPr>
                <w:rFonts w:cs="Arial"/>
              </w:rPr>
              <w:t>—</w:t>
            </w:r>
            <w:r w:rsidRPr="00095491">
              <w:t>the max of zero and the hourly temperature value less a base value of 60°F</w:t>
            </w:r>
          </w:p>
        </w:tc>
      </w:tr>
      <w:tr w:rsidR="0006042F" w:rsidRPr="00095491" w:rsidTr="00CD6133">
        <w:tc>
          <w:tcPr>
            <w:tcW w:w="1553" w:type="dxa"/>
            <w:vAlign w:val="center"/>
          </w:tcPr>
          <w:p w:rsidR="0006042F" w:rsidRPr="00095491" w:rsidRDefault="0006042F" w:rsidP="00533ADF">
            <w:pPr>
              <w:pStyle w:val="TableText"/>
              <w:spacing w:line="276" w:lineRule="auto"/>
              <w:rPr>
                <w:rFonts w:cs="Arial"/>
              </w:rPr>
            </w:pPr>
            <w:proofErr w:type="spellStart"/>
            <w:r>
              <w:rPr>
                <w:rFonts w:cs="Arial"/>
              </w:rPr>
              <w:t>Overnight</w:t>
            </w:r>
            <w:r w:rsidRPr="00095491">
              <w:rPr>
                <w:rFonts w:cs="Arial"/>
              </w:rPr>
              <w:t>CDH</w:t>
            </w:r>
            <w:r w:rsidRPr="00095491">
              <w:rPr>
                <w:rFonts w:cs="Arial"/>
                <w:vertAlign w:val="subscript"/>
              </w:rPr>
              <w:t>t</w:t>
            </w:r>
            <w:proofErr w:type="spellEnd"/>
          </w:p>
        </w:tc>
        <w:tc>
          <w:tcPr>
            <w:tcW w:w="8023" w:type="dxa"/>
            <w:vAlign w:val="center"/>
          </w:tcPr>
          <w:p w:rsidR="0006042F" w:rsidRPr="00095491" w:rsidRDefault="0006042F" w:rsidP="00533ADF">
            <w:pPr>
              <w:pStyle w:val="TableText"/>
              <w:spacing w:line="276" w:lineRule="auto"/>
              <w:jc w:val="left"/>
            </w:pPr>
            <w:r>
              <w:t>The average cooling degree hour between the hours of 12:00 am and 9:00 am</w:t>
            </w:r>
          </w:p>
        </w:tc>
      </w:tr>
      <w:tr w:rsidR="0006042F" w:rsidRPr="00095491" w:rsidTr="00CD6133">
        <w:tc>
          <w:tcPr>
            <w:tcW w:w="1553" w:type="dxa"/>
            <w:vAlign w:val="center"/>
          </w:tcPr>
          <w:p w:rsidR="0006042F" w:rsidRPr="00095491" w:rsidRDefault="0006042F" w:rsidP="00533ADF">
            <w:pPr>
              <w:pStyle w:val="TableText"/>
              <w:keepNext/>
            </w:pPr>
            <w:proofErr w:type="spellStart"/>
            <w:r w:rsidRPr="00095491">
              <w:t>Summer</w:t>
            </w:r>
            <w:r w:rsidRPr="00095491">
              <w:rPr>
                <w:vertAlign w:val="subscript"/>
              </w:rPr>
              <w:t>t</w:t>
            </w:r>
            <w:proofErr w:type="spellEnd"/>
          </w:p>
        </w:tc>
        <w:tc>
          <w:tcPr>
            <w:tcW w:w="8023" w:type="dxa"/>
          </w:tcPr>
          <w:p w:rsidR="0006042F" w:rsidRPr="00095491" w:rsidRDefault="0006042F" w:rsidP="00533ADF">
            <w:pPr>
              <w:pStyle w:val="TableText"/>
              <w:keepNext/>
              <w:jc w:val="left"/>
            </w:pPr>
            <w:r w:rsidRPr="00095491">
              <w:t>Binary variable reflecting the summer months of July through October</w:t>
            </w:r>
          </w:p>
        </w:tc>
      </w:tr>
      <w:tr w:rsidR="0006042F" w:rsidRPr="00095491" w:rsidTr="00CD6133">
        <w:tc>
          <w:tcPr>
            <w:tcW w:w="1553" w:type="dxa"/>
            <w:vAlign w:val="center"/>
          </w:tcPr>
          <w:p w:rsidR="0006042F" w:rsidRPr="00095491" w:rsidRDefault="0006042F" w:rsidP="00533ADF">
            <w:pPr>
              <w:pStyle w:val="TableText"/>
              <w:keepNext/>
            </w:pPr>
            <w:proofErr w:type="spellStart"/>
            <w:r w:rsidRPr="00095491">
              <w:t>PLS</w:t>
            </w:r>
            <w:r w:rsidRPr="00095491">
              <w:rPr>
                <w:vertAlign w:val="subscript"/>
              </w:rPr>
              <w:t>t</w:t>
            </w:r>
            <w:proofErr w:type="spellEnd"/>
          </w:p>
        </w:tc>
        <w:tc>
          <w:tcPr>
            <w:tcW w:w="8023" w:type="dxa"/>
          </w:tcPr>
          <w:p w:rsidR="0006042F" w:rsidRPr="00095491" w:rsidRDefault="0006042F" w:rsidP="00533ADF">
            <w:pPr>
              <w:pStyle w:val="TableText"/>
              <w:keepNext/>
              <w:jc w:val="left"/>
            </w:pPr>
            <w:r w:rsidRPr="00095491">
              <w:t>Binary variable reflecting when the TES system is operational</w:t>
            </w:r>
          </w:p>
        </w:tc>
      </w:tr>
      <w:tr w:rsidR="0006042F" w:rsidRPr="00B828B0" w:rsidTr="00CD6133">
        <w:tc>
          <w:tcPr>
            <w:tcW w:w="1553" w:type="dxa"/>
            <w:vAlign w:val="center"/>
          </w:tcPr>
          <w:p w:rsidR="0006042F" w:rsidRPr="00095491" w:rsidRDefault="0006042F" w:rsidP="00533ADF">
            <w:pPr>
              <w:pStyle w:val="TableText"/>
              <w:keepNext/>
            </w:pPr>
            <w:r w:rsidRPr="00095491">
              <w:t>e</w:t>
            </w:r>
            <w:r w:rsidRPr="00095491">
              <w:rPr>
                <w:vertAlign w:val="subscript"/>
              </w:rPr>
              <w:t>t</w:t>
            </w:r>
          </w:p>
        </w:tc>
        <w:tc>
          <w:tcPr>
            <w:tcW w:w="8023" w:type="dxa"/>
          </w:tcPr>
          <w:p w:rsidR="0006042F" w:rsidRPr="00095491" w:rsidRDefault="0006042F" w:rsidP="00533ADF">
            <w:pPr>
              <w:pStyle w:val="TableText"/>
              <w:keepNext/>
              <w:jc w:val="left"/>
            </w:pPr>
            <w:r w:rsidRPr="00095491">
              <w:t>Error term</w:t>
            </w:r>
          </w:p>
        </w:tc>
      </w:tr>
    </w:tbl>
    <w:p w:rsidR="0006042F" w:rsidRPr="009F033B" w:rsidRDefault="0006042F" w:rsidP="0006042F">
      <w:pPr>
        <w:pStyle w:val="BodyParagraph"/>
        <w:tabs>
          <w:tab w:val="left" w:pos="1620"/>
        </w:tabs>
        <w:spacing w:after="100" w:afterAutospacing="1"/>
        <w:rPr>
          <w:rFonts w:cs="Arial"/>
          <w:sz w:val="24"/>
          <w:szCs w:val="24"/>
        </w:rPr>
      </w:pPr>
    </w:p>
    <w:p w:rsidR="0006042F" w:rsidRPr="008F5C8C" w:rsidRDefault="0006042F" w:rsidP="00CD6133">
      <w:pPr>
        <w:pStyle w:val="BodyParagraph"/>
      </w:pPr>
    </w:p>
    <w:p w:rsidR="00832B87" w:rsidRPr="004B0378" w:rsidRDefault="00964B84" w:rsidP="000A1E2A">
      <w:pPr>
        <w:pStyle w:val="AppendixHeading"/>
        <w:ind w:left="2160" w:hanging="2160"/>
      </w:pPr>
      <w:bookmarkStart w:id="117" w:name="_Toc507085075"/>
      <w:r w:rsidRPr="004B0378">
        <w:t>Methodology for Developing Ex Ante Conversion</w:t>
      </w:r>
      <w:r w:rsidR="00D14940" w:rsidRPr="004B0378">
        <w:t> </w:t>
      </w:r>
      <w:r w:rsidRPr="004B0378">
        <w:t>Factors</w:t>
      </w:r>
      <w:bookmarkEnd w:id="117"/>
    </w:p>
    <w:p w:rsidR="00E50899" w:rsidRPr="004B0378" w:rsidRDefault="00E50899" w:rsidP="00E50899">
      <w:pPr>
        <w:pStyle w:val="BodyParagraph"/>
      </w:pPr>
      <w:r w:rsidRPr="004B0378">
        <w:t xml:space="preserve">As described in Section </w:t>
      </w:r>
      <w:r w:rsidR="00CC08F4" w:rsidRPr="004B0378">
        <w:fldChar w:fldCharType="begin"/>
      </w:r>
      <w:r w:rsidR="00CC08F4" w:rsidRPr="004B0378">
        <w:instrText xml:space="preserve"> REF _Ref443494848 \r \h </w:instrText>
      </w:r>
      <w:r w:rsidR="00B828B0" w:rsidRPr="004B0378">
        <w:instrText xml:space="preserve"> \* MERGEFORMAT </w:instrText>
      </w:r>
      <w:r w:rsidR="00CC08F4" w:rsidRPr="004B0378">
        <w:fldChar w:fldCharType="separate"/>
      </w:r>
      <w:r w:rsidR="001F391A">
        <w:t>1.1</w:t>
      </w:r>
      <w:r w:rsidR="00CC08F4" w:rsidRPr="004B0378">
        <w:fldChar w:fldCharType="end"/>
      </w:r>
      <w:r w:rsidRPr="004B0378">
        <w:t>, the PLS program kW load shift amount for incentive calculations for</w:t>
      </w:r>
      <w:r w:rsidR="00D14940" w:rsidRPr="004B0378">
        <w:t> </w:t>
      </w:r>
      <w:r w:rsidRPr="004B0378">
        <w:t>identified projects represents the peak load shift that can be expected under 1-in-10 year peak weather conditions.</w:t>
      </w:r>
      <w:r w:rsidR="00DC539B" w:rsidRPr="004B0378">
        <w:t xml:space="preserve"> </w:t>
      </w:r>
      <w:r w:rsidRPr="004B0378">
        <w:t>In order to comply with the California DR Load Impact Protocols, this evaluation must convert the forecasted load shift under 1-in-10 peak weather conditions to the ex ante load impact estimates for monthly system peak days and average weekdays under 1-in-2 and 1-in-10 year weather conditions.</w:t>
      </w:r>
      <w:r w:rsidR="00DC539B" w:rsidRPr="004B0378">
        <w:t xml:space="preserve"> </w:t>
      </w:r>
    </w:p>
    <w:p w:rsidR="00964B84" w:rsidRPr="004B0378" w:rsidRDefault="00E50899" w:rsidP="00E50899">
      <w:pPr>
        <w:pStyle w:val="BodyParagraph"/>
      </w:pPr>
      <w:r w:rsidRPr="004B0378">
        <w:lastRenderedPageBreak/>
        <w:t>At a high level, this is accomplished by 1) developing new generalized building simulation models calibrated to the weather conditions in each LCA; 2) applying updated localized ex ante</w:t>
      </w:r>
      <w:r w:rsidR="00AF27B3" w:rsidRPr="004B0378">
        <w:t> </w:t>
      </w:r>
      <w:r w:rsidRPr="004B0378">
        <w:t>weather data to the models; and 3) calculating the conversion factors based on the building simulation model output for each LCA from the ratio between chiller load under ex ante weather conditions to peak chiller load under the weather conditions used to calculate the program incentive.</w:t>
      </w:r>
      <w:r w:rsidR="00DC539B" w:rsidRPr="004B0378">
        <w:t xml:space="preserve"> </w:t>
      </w:r>
      <w:r w:rsidRPr="004B0378">
        <w:t>The following sections discuss each of the steps in further detail and document the</w:t>
      </w:r>
      <w:r w:rsidR="00D14940" w:rsidRPr="004B0378">
        <w:t> </w:t>
      </w:r>
      <w:r w:rsidRPr="004B0378">
        <w:t>key assumptions and challenges associated with the exercise</w:t>
      </w:r>
      <w:r w:rsidR="000A1E2A" w:rsidRPr="004B0378">
        <w:t>.</w:t>
      </w:r>
    </w:p>
    <w:p w:rsidR="0032034D" w:rsidRPr="004B0378" w:rsidRDefault="000A1E2A" w:rsidP="000A1E2A">
      <w:pPr>
        <w:pStyle w:val="AppendixHeading2"/>
      </w:pPr>
      <w:bookmarkStart w:id="118" w:name="_Toc412919729"/>
      <w:bookmarkStart w:id="119" w:name="_Toc412931256"/>
      <w:bookmarkStart w:id="120" w:name="_Toc507085076"/>
      <w:r w:rsidRPr="004B0378">
        <w:t>Development of New Building Simulation Models</w:t>
      </w:r>
      <w:bookmarkEnd w:id="118"/>
      <w:bookmarkEnd w:id="119"/>
      <w:bookmarkEnd w:id="120"/>
    </w:p>
    <w:p w:rsidR="0032034D" w:rsidRPr="004B0378" w:rsidRDefault="00E50899" w:rsidP="00D53A09">
      <w:pPr>
        <w:pStyle w:val="BodyParagraph"/>
      </w:pPr>
      <w:r w:rsidRPr="004B0378">
        <w:t>Due to new evaluation requirements to report load impacts by CAISO system peak in addition to the utility system peak, Nexant and the IOUs determined the best approach would be to</w:t>
      </w:r>
      <w:r w:rsidR="00AF27B3" w:rsidRPr="004B0378">
        <w:t> </w:t>
      </w:r>
      <w:r w:rsidRPr="004B0378">
        <w:t>use</w:t>
      </w:r>
      <w:r w:rsidR="00AF27B3" w:rsidRPr="004B0378">
        <w:t> </w:t>
      </w:r>
      <w:r w:rsidRPr="004B0378">
        <w:t>new building simulation model runs to develop updated conversion factors.</w:t>
      </w:r>
      <w:r w:rsidR="00DC539B" w:rsidRPr="004B0378">
        <w:t xml:space="preserve"> </w:t>
      </w:r>
      <w:r w:rsidRPr="004B0378">
        <w:t xml:space="preserve">For this building simulation modeling </w:t>
      </w:r>
      <w:r w:rsidR="00AF27B3" w:rsidRPr="004B0378">
        <w:t xml:space="preserve">to </w:t>
      </w:r>
      <w:r w:rsidRPr="004B0378">
        <w:t>work, the evaluation team used the Quick Energy Simulation Tool (</w:t>
      </w:r>
      <w:proofErr w:type="spellStart"/>
      <w:r w:rsidRPr="004B0378">
        <w:t>eQUEST</w:t>
      </w:r>
      <w:proofErr w:type="spellEnd"/>
      <w:r w:rsidRPr="004B0378">
        <w:t>), which is a software package designed in collaboration with the Department of</w:t>
      </w:r>
      <w:r w:rsidR="00AF27B3" w:rsidRPr="004B0378">
        <w:t> </w:t>
      </w:r>
      <w:r w:rsidRPr="004B0378">
        <w:t>Energy (DOE) and Lawrence Berkeley National Laboratory (LBNL).</w:t>
      </w:r>
      <w:r w:rsidRPr="004B0378">
        <w:rPr>
          <w:vertAlign w:val="superscript"/>
        </w:rPr>
        <w:footnoteReference w:id="32"/>
      </w:r>
      <w:r w:rsidR="00DC539B" w:rsidRPr="004B0378">
        <w:t xml:space="preserve"> </w:t>
      </w:r>
      <w:r w:rsidRPr="004B0378">
        <w:t>This software is used</w:t>
      </w:r>
      <w:r w:rsidR="00AF27B3" w:rsidRPr="004B0378">
        <w:t> </w:t>
      </w:r>
      <w:r w:rsidRPr="004B0378">
        <w:t>extensively throughout the industry to simulate building energy use for a wide variety of</w:t>
      </w:r>
      <w:r w:rsidR="00AF27B3" w:rsidRPr="004B0378">
        <w:t> </w:t>
      </w:r>
      <w:r w:rsidRPr="004B0378">
        <w:t>climates, building types</w:t>
      </w:r>
      <w:r w:rsidR="00AF27B3" w:rsidRPr="004B0378">
        <w:t>,</w:t>
      </w:r>
      <w:r w:rsidRPr="004B0378">
        <w:t xml:space="preserve"> and cooling technologies</w:t>
      </w:r>
      <w:r w:rsidR="00AF27B3" w:rsidRPr="004B0378">
        <w:rPr>
          <w:rFonts w:cs="Arial"/>
        </w:rPr>
        <w:t>—</w:t>
      </w:r>
      <w:r w:rsidRPr="004B0378">
        <w:t>including various TES designs</w:t>
      </w:r>
      <w:r w:rsidR="000A1E2A" w:rsidRPr="004B0378">
        <w:t>.</w:t>
      </w:r>
      <w:r w:rsidR="00DC539B" w:rsidRPr="004B0378">
        <w:t xml:space="preserve"> </w:t>
      </w:r>
    </w:p>
    <w:p w:rsidR="000A1E2A" w:rsidRPr="004B0378" w:rsidRDefault="000A1E2A" w:rsidP="000A1E2A">
      <w:pPr>
        <w:pStyle w:val="AppendixHeading3"/>
      </w:pPr>
      <w:bookmarkStart w:id="121" w:name="_Toc412919730"/>
      <w:bookmarkStart w:id="122" w:name="_Toc412931257"/>
      <w:bookmarkStart w:id="123" w:name="_Toc507085077"/>
      <w:r w:rsidRPr="004B0378">
        <w:t xml:space="preserve">Building </w:t>
      </w:r>
      <w:r w:rsidR="00C616C4" w:rsidRPr="004B0378">
        <w:t>S</w:t>
      </w:r>
      <w:r w:rsidRPr="004B0378">
        <w:t>pecifications</w:t>
      </w:r>
      <w:bookmarkEnd w:id="121"/>
      <w:bookmarkEnd w:id="122"/>
      <w:bookmarkEnd w:id="123"/>
    </w:p>
    <w:p w:rsidR="000A1E2A" w:rsidRPr="004B0378" w:rsidRDefault="00E50899" w:rsidP="000A1E2A">
      <w:pPr>
        <w:pStyle w:val="BodyParagraph"/>
      </w:pPr>
      <w:r w:rsidRPr="004B0378">
        <w:t>A single, 2008 vintage Title 24 compliant building simulation model was developed to represent large C&amp;I customers in California.</w:t>
      </w:r>
      <w:r w:rsidR="00DC539B" w:rsidRPr="004B0378">
        <w:t xml:space="preserve"> </w:t>
      </w:r>
      <w:r w:rsidRPr="004B0378">
        <w:t>Based on analysis of the applications received to date, the initial model was designed to represent a 3-story commercial office building sized at 500,000 square feet.</w:t>
      </w:r>
      <w:r w:rsidR="00DC539B" w:rsidRPr="004B0378">
        <w:t xml:space="preserve"> </w:t>
      </w:r>
      <w:r w:rsidRPr="004B0378">
        <w:t>As is discussed later in this section, the specific characteristics of the initial building model are not critical.</w:t>
      </w:r>
      <w:r w:rsidR="00DC539B" w:rsidRPr="004B0378">
        <w:t xml:space="preserve"> </w:t>
      </w:r>
      <w:r w:rsidRPr="004B0378">
        <w:t>The model was calibrated such that the cooling load for the building simulation was appropriately sized for the climatic conditions in each of the 12 LCAs across the</w:t>
      </w:r>
      <w:r w:rsidR="00AF27B3" w:rsidRPr="004B0378">
        <w:t> </w:t>
      </w:r>
      <w:r w:rsidRPr="004B0378">
        <w:t>three IOUs.</w:t>
      </w:r>
      <w:r w:rsidR="00DC539B" w:rsidRPr="004B0378">
        <w:t xml:space="preserve"> </w:t>
      </w:r>
      <w:r w:rsidRPr="004B0378">
        <w:t xml:space="preserve">The </w:t>
      </w:r>
      <w:proofErr w:type="spellStart"/>
      <w:r w:rsidRPr="004B0378">
        <w:t>eQUEST</w:t>
      </w:r>
      <w:proofErr w:type="spellEnd"/>
      <w:r w:rsidRPr="004B0378">
        <w:t xml:space="preserve"> software allows </w:t>
      </w:r>
      <w:proofErr w:type="spellStart"/>
      <w:r w:rsidRPr="004B0378">
        <w:t>Nexant</w:t>
      </w:r>
      <w:proofErr w:type="spellEnd"/>
      <w:r w:rsidRPr="004B0378">
        <w:t xml:space="preserve"> to predict total building cooling load for a</w:t>
      </w:r>
      <w:r w:rsidR="00AF27B3" w:rsidRPr="004B0378">
        <w:t> </w:t>
      </w:r>
      <w:r w:rsidRPr="004B0378">
        <w:t>chilled water system</w:t>
      </w:r>
      <w:r w:rsidR="00AF27B3" w:rsidRPr="004B0378">
        <w:rPr>
          <w:rFonts w:cs="Arial"/>
        </w:rPr>
        <w:t>—</w:t>
      </w:r>
      <w:r w:rsidRPr="004B0378">
        <w:t>including both chiller and fan</w:t>
      </w:r>
      <w:r w:rsidR="00AF27B3" w:rsidRPr="004B0378">
        <w:rPr>
          <w:rFonts w:cs="Arial"/>
        </w:rPr>
        <w:t>—</w:t>
      </w:r>
      <w:r w:rsidRPr="004B0378">
        <w:t>based on specified weather conditions, building size, number of stories, orientation</w:t>
      </w:r>
      <w:r w:rsidR="00AF27B3" w:rsidRPr="004B0378">
        <w:rPr>
          <w:rFonts w:cs="Arial"/>
        </w:rPr>
        <w:t>—</w:t>
      </w:r>
      <w:r w:rsidRPr="004B0378">
        <w:t>North, South, etc.</w:t>
      </w:r>
      <w:r w:rsidR="00AF27B3" w:rsidRPr="004B0378">
        <w:rPr>
          <w:rFonts w:cs="Arial"/>
        </w:rPr>
        <w:t>—</w:t>
      </w:r>
      <w:r w:rsidRPr="004B0378">
        <w:t>the amount of glazing and</w:t>
      </w:r>
      <w:r w:rsidR="00AF27B3" w:rsidRPr="004B0378">
        <w:t> </w:t>
      </w:r>
      <w:r w:rsidRPr="004B0378">
        <w:t>location</w:t>
      </w:r>
      <w:r w:rsidR="000A1E2A" w:rsidRPr="004B0378">
        <w:t>.</w:t>
      </w:r>
      <w:r w:rsidR="00DC539B" w:rsidRPr="004B0378">
        <w:t xml:space="preserve"> </w:t>
      </w:r>
    </w:p>
    <w:p w:rsidR="000A1E2A" w:rsidRPr="004B0378" w:rsidRDefault="00E50899" w:rsidP="000A1E2A">
      <w:pPr>
        <w:pStyle w:val="BodyParagraph"/>
      </w:pPr>
      <w:r w:rsidRPr="004B0378">
        <w:t>Fortunately, not knowing specific building characteristics does not affect the accuracy of the load impact estimates by noting that the designed peak shift values, not the raw building simulation model output, were used as the main anchor for load impacts.</w:t>
      </w:r>
      <w:r w:rsidR="00DC539B" w:rsidRPr="004B0378">
        <w:t xml:space="preserve"> </w:t>
      </w:r>
      <w:r w:rsidRPr="004B0378">
        <w:t>Nexant only used the simulation software to determine what the ratios were between the cooling load under conditions used to determine the incentive payment, and under the ex ante weather conditions for a given building.</w:t>
      </w:r>
      <w:r w:rsidR="00DC539B" w:rsidRPr="004B0378">
        <w:t xml:space="preserve"> </w:t>
      </w:r>
      <w:r w:rsidRPr="004B0378">
        <w:t>At no point in the analysis did Nexant directly use simulation software to estimate the overall level of demand shifting at a given site</w:t>
      </w:r>
      <w:r w:rsidR="00C55195">
        <w:t>.</w:t>
      </w:r>
      <w:r w:rsidR="002A6F33">
        <w:rPr>
          <w:rStyle w:val="FootnoteReference"/>
        </w:rPr>
        <w:footnoteReference w:id="33"/>
      </w:r>
      <w:r w:rsidR="00DC539B" w:rsidRPr="004B0378">
        <w:t xml:space="preserve"> </w:t>
      </w:r>
      <w:r w:rsidR="002A6F33">
        <w:t xml:space="preserve">This was due to the need for a generalizable solution, rather than focusing on the outputs from a specific model that didn’t align with an actual project. </w:t>
      </w:r>
      <w:r w:rsidRPr="004B0378">
        <w:t>These values were assumed in the enrollment forecast.</w:t>
      </w:r>
      <w:r w:rsidR="00DC539B" w:rsidRPr="004B0378">
        <w:t xml:space="preserve"> </w:t>
      </w:r>
      <w:r w:rsidRPr="004B0378">
        <w:t>The simulation software was only used to answer questions such as, “</w:t>
      </w:r>
      <w:r w:rsidR="00C55195">
        <w:t>I</w:t>
      </w:r>
      <w:r w:rsidR="00C55195" w:rsidRPr="004B0378">
        <w:t xml:space="preserve">f </w:t>
      </w:r>
      <w:r w:rsidRPr="004B0378">
        <w:t>I have a site that provides 100 kW of shifting under the incentive payment calculation conditions, then how much does the same site provide under July 1-in-2 conditions?”</w:t>
      </w:r>
      <w:r w:rsidR="00DC539B" w:rsidRPr="004B0378">
        <w:t xml:space="preserve"> </w:t>
      </w:r>
      <w:r w:rsidRPr="004B0378">
        <w:t>The ex ante conversion factors answered this question</w:t>
      </w:r>
      <w:r w:rsidR="000A1E2A" w:rsidRPr="004B0378">
        <w:t>.</w:t>
      </w:r>
    </w:p>
    <w:p w:rsidR="000A1E2A" w:rsidRPr="004B0378" w:rsidRDefault="00E50899" w:rsidP="000A1E2A">
      <w:pPr>
        <w:pStyle w:val="BodyParagraph"/>
      </w:pPr>
      <w:r w:rsidRPr="004B0378">
        <w:lastRenderedPageBreak/>
        <w:t>Nexant provides evidence that it is not necessary to know the specific building characteristics in Table A-1, which shows that relative usage values across different weather conditions are basically insensitive to building characteristics.</w:t>
      </w:r>
      <w:r w:rsidR="00DC539B" w:rsidRPr="004B0378">
        <w:t xml:space="preserve"> </w:t>
      </w:r>
      <w:r w:rsidRPr="004B0378">
        <w:t>The table shows the ratio of average chiller load from 1 to 6 PM between the indicated temperature profile and August 1-in-10 peak conditions for a variety of building characteristics</w:t>
      </w:r>
      <w:r w:rsidR="007565EF" w:rsidRPr="004B0378">
        <w:rPr>
          <w:rFonts w:cs="Arial"/>
        </w:rPr>
        <w:t>—</w:t>
      </w:r>
      <w:r w:rsidRPr="004B0378">
        <w:t>which are provided in more detail in Table A-2.</w:t>
      </w:r>
      <w:r w:rsidR="00DC539B" w:rsidRPr="004B0378">
        <w:t xml:space="preserve"> </w:t>
      </w:r>
      <w:r w:rsidRPr="004B0378">
        <w:t>The point of Table A-1 is that the ratio for a given ex ante condition hardly changes as the building characteristics vary substantially.</w:t>
      </w:r>
      <w:r w:rsidR="00DC539B" w:rsidRPr="004B0378">
        <w:t xml:space="preserve"> </w:t>
      </w:r>
      <w:r w:rsidRPr="004B0378">
        <w:t>For example, the ratio of the average chiller load under September 1-in-10 conditions to the average chiller load under August 1-in-10 conditions only</w:t>
      </w:r>
      <w:r w:rsidR="007565EF" w:rsidRPr="004B0378">
        <w:t> </w:t>
      </w:r>
      <w:r w:rsidRPr="004B0378">
        <w:t>varies from 0.89 to 0.91, depending on whether the building is half its original size or twice</w:t>
      </w:r>
      <w:r w:rsidR="007565EF" w:rsidRPr="004B0378">
        <w:t> </w:t>
      </w:r>
      <w:r w:rsidRPr="004B0378">
        <w:t>its original size, whether it has its original window-to-wall ratio or twice that ratio, or whether it has one story versus four stories.</w:t>
      </w:r>
      <w:r w:rsidR="00DC539B" w:rsidRPr="004B0378">
        <w:t xml:space="preserve"> </w:t>
      </w:r>
      <w:r w:rsidRPr="004B0378">
        <w:t>This suggests that relative usage levels in the tool</w:t>
      </w:r>
      <w:r w:rsidR="007565EF" w:rsidRPr="004B0378">
        <w:t> </w:t>
      </w:r>
      <w:r w:rsidRPr="004B0378">
        <w:t>are determined primarily by temperature conditions, with the building characteristics driving the overall level of usage.</w:t>
      </w:r>
      <w:r w:rsidR="00DC539B" w:rsidRPr="004B0378">
        <w:t xml:space="preserve"> </w:t>
      </w:r>
      <w:r w:rsidRPr="004B0378">
        <w:t>There is only one major deviation from this pattern, under May 1-in-2 conditions, where the values vary from 0.82 to 0.70.</w:t>
      </w:r>
      <w:r w:rsidR="00DC539B" w:rsidRPr="004B0378">
        <w:t xml:space="preserve"> </w:t>
      </w:r>
      <w:r w:rsidRPr="004B0378">
        <w:t>Given the uncertainty associated with the other inputs into the estimates, this small inconsistency seems minor</w:t>
      </w:r>
      <w:r w:rsidR="000A1E2A" w:rsidRPr="004B0378">
        <w:t>.</w:t>
      </w:r>
    </w:p>
    <w:p w:rsidR="000A1E2A" w:rsidRPr="004B0378" w:rsidRDefault="000A1E2A" w:rsidP="000A1E2A">
      <w:pPr>
        <w:pStyle w:val="BodyParagraph"/>
      </w:pPr>
      <w:r w:rsidRPr="004B0378">
        <w:t>Having established that it is possible to use the building simulation models to determine relative usage levels without regard to the specific building characteristics, the next key assumptions are focused on the attributes of TES installations to be modeled.</w:t>
      </w:r>
      <w:r w:rsidR="00DC539B" w:rsidRPr="004B0378">
        <w:t xml:space="preserve"> </w:t>
      </w:r>
    </w:p>
    <w:p w:rsidR="000A1E2A" w:rsidRPr="004B0378" w:rsidRDefault="000A1E2A" w:rsidP="008B6E89">
      <w:pPr>
        <w:pStyle w:val="TableFigureCaption"/>
      </w:pPr>
      <w:r w:rsidRPr="004B0378">
        <w:t xml:space="preserve">Table A-1: Conversion Factors for a Variety of Building Characteristics </w:t>
      </w:r>
      <w:r w:rsidR="007565EF" w:rsidRPr="004B0378">
        <w:t>u</w:t>
      </w:r>
      <w:r w:rsidRPr="004B0378">
        <w:t>nder Each Set of Ex Ante Peak Weather Conditions</w:t>
      </w:r>
      <w:r w:rsidR="006C5B1B" w:rsidRPr="004B0378">
        <w:rPr>
          <w:rStyle w:val="FootnoteReference"/>
        </w:rPr>
        <w:footnoteReference w:id="34"/>
      </w:r>
    </w:p>
    <w:tbl>
      <w:tblPr>
        <w:tblW w:w="5924" w:type="pct"/>
        <w:jc w:val="center"/>
        <w:tblInd w:w="1774" w:type="dxa"/>
        <w:tblLayout w:type="fixed"/>
        <w:tblCellMar>
          <w:left w:w="0" w:type="dxa"/>
          <w:right w:w="0" w:type="dxa"/>
        </w:tblCellMar>
        <w:tblLook w:val="04A0" w:firstRow="1" w:lastRow="0" w:firstColumn="1" w:lastColumn="0" w:noHBand="0" w:noVBand="1"/>
      </w:tblPr>
      <w:tblGrid>
        <w:gridCol w:w="1397"/>
        <w:gridCol w:w="970"/>
        <w:gridCol w:w="788"/>
        <w:gridCol w:w="742"/>
        <w:gridCol w:w="742"/>
        <w:gridCol w:w="742"/>
        <w:gridCol w:w="742"/>
        <w:gridCol w:w="742"/>
        <w:gridCol w:w="796"/>
        <w:gridCol w:w="737"/>
        <w:gridCol w:w="737"/>
        <w:gridCol w:w="737"/>
        <w:gridCol w:w="737"/>
        <w:gridCol w:w="737"/>
      </w:tblGrid>
      <w:tr w:rsidR="00D7503D" w:rsidRPr="004B0378" w:rsidTr="00D7503D">
        <w:trPr>
          <w:trHeight w:val="600"/>
          <w:jc w:val="center"/>
        </w:trPr>
        <w:tc>
          <w:tcPr>
            <w:tcW w:w="615" w:type="pct"/>
            <w:tcBorders>
              <w:top w:val="single" w:sz="8" w:space="0" w:color="auto"/>
              <w:left w:val="single" w:sz="8" w:space="0" w:color="auto"/>
              <w:bottom w:val="single" w:sz="8" w:space="0" w:color="auto"/>
              <w:right w:val="single" w:sz="8" w:space="0" w:color="FFFBF0"/>
            </w:tcBorders>
            <w:shd w:val="clear" w:color="auto" w:fill="0070CD"/>
            <w:noWrap/>
            <w:tcMar>
              <w:top w:w="0" w:type="dxa"/>
              <w:left w:w="108" w:type="dxa"/>
              <w:bottom w:w="0" w:type="dxa"/>
              <w:right w:w="108" w:type="dxa"/>
            </w:tcMar>
            <w:vAlign w:val="center"/>
            <w:hideMark/>
          </w:tcPr>
          <w:p w:rsidR="000A1E2A" w:rsidRPr="004B0378" w:rsidRDefault="000A1E2A" w:rsidP="00564171">
            <w:pPr>
              <w:pStyle w:val="TableHeader"/>
              <w:rPr>
                <w:sz w:val="16"/>
              </w:rPr>
            </w:pPr>
          </w:p>
        </w:tc>
        <w:tc>
          <w:tcPr>
            <w:tcW w:w="427"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sz w:val="16"/>
              </w:rPr>
            </w:pPr>
            <w:r w:rsidRPr="004B0378">
              <w:rPr>
                <w:sz w:val="16"/>
              </w:rPr>
              <w:t>Baseline*</w:t>
            </w:r>
          </w:p>
        </w:tc>
        <w:tc>
          <w:tcPr>
            <w:tcW w:w="347"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sz w:val="16"/>
              </w:rPr>
            </w:pPr>
            <w:r w:rsidRPr="004B0378">
              <w:rPr>
                <w:sz w:val="16"/>
              </w:rPr>
              <w:t>1 in 2 Typical</w:t>
            </w:r>
          </w:p>
        </w:tc>
        <w:tc>
          <w:tcPr>
            <w:tcW w:w="327"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sz w:val="16"/>
              </w:rPr>
            </w:pPr>
            <w:r w:rsidRPr="004B0378">
              <w:rPr>
                <w:sz w:val="16"/>
              </w:rPr>
              <w:t>1 in 2 May</w:t>
            </w:r>
          </w:p>
        </w:tc>
        <w:tc>
          <w:tcPr>
            <w:tcW w:w="327"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2 Jun</w:t>
            </w:r>
            <w:r w:rsidR="004F6B0B" w:rsidRPr="004B0378">
              <w:rPr>
                <w:sz w:val="16"/>
              </w:rPr>
              <w:t>.</w:t>
            </w:r>
          </w:p>
        </w:tc>
        <w:tc>
          <w:tcPr>
            <w:tcW w:w="327"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2 Jul</w:t>
            </w:r>
            <w:r w:rsidR="004F6B0B" w:rsidRPr="004B0378">
              <w:rPr>
                <w:sz w:val="16"/>
              </w:rPr>
              <w:t>.</w:t>
            </w:r>
          </w:p>
        </w:tc>
        <w:tc>
          <w:tcPr>
            <w:tcW w:w="327"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2 Aug</w:t>
            </w:r>
            <w:r w:rsidR="004F6B0B" w:rsidRPr="004B0378">
              <w:rPr>
                <w:sz w:val="16"/>
              </w:rPr>
              <w:t>.</w:t>
            </w:r>
          </w:p>
        </w:tc>
        <w:tc>
          <w:tcPr>
            <w:tcW w:w="327"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2 Sep</w:t>
            </w:r>
            <w:r w:rsidR="004F6B0B" w:rsidRPr="004B0378">
              <w:rPr>
                <w:sz w:val="16"/>
              </w:rPr>
              <w:t>.</w:t>
            </w:r>
          </w:p>
        </w:tc>
        <w:tc>
          <w:tcPr>
            <w:tcW w:w="351"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sz w:val="16"/>
              </w:rPr>
            </w:pPr>
            <w:r w:rsidRPr="004B0378">
              <w:rPr>
                <w:sz w:val="16"/>
              </w:rPr>
              <w:t>1 in 10 Typical</w:t>
            </w:r>
          </w:p>
        </w:tc>
        <w:tc>
          <w:tcPr>
            <w:tcW w:w="325"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sz w:val="16"/>
              </w:rPr>
            </w:pPr>
            <w:r w:rsidRPr="004B0378">
              <w:rPr>
                <w:sz w:val="16"/>
              </w:rPr>
              <w:t>1 in 10 May</w:t>
            </w:r>
          </w:p>
        </w:tc>
        <w:tc>
          <w:tcPr>
            <w:tcW w:w="325"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10 Jun</w:t>
            </w:r>
            <w:r w:rsidR="004F6B0B" w:rsidRPr="004B0378">
              <w:rPr>
                <w:sz w:val="16"/>
              </w:rPr>
              <w:t>.</w:t>
            </w:r>
          </w:p>
        </w:tc>
        <w:tc>
          <w:tcPr>
            <w:tcW w:w="325"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10 Jul</w:t>
            </w:r>
            <w:r w:rsidR="004F6B0B" w:rsidRPr="004B0378">
              <w:rPr>
                <w:sz w:val="16"/>
              </w:rPr>
              <w:t>.</w:t>
            </w:r>
          </w:p>
        </w:tc>
        <w:tc>
          <w:tcPr>
            <w:tcW w:w="325" w:type="pct"/>
            <w:tcBorders>
              <w:top w:val="single" w:sz="8" w:space="0" w:color="auto"/>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10 Aug</w:t>
            </w:r>
            <w:r w:rsidR="004F6B0B" w:rsidRPr="004B0378">
              <w:rPr>
                <w:sz w:val="16"/>
              </w:rPr>
              <w:t>.</w:t>
            </w:r>
          </w:p>
        </w:tc>
        <w:tc>
          <w:tcPr>
            <w:tcW w:w="325" w:type="pct"/>
            <w:tcBorders>
              <w:top w:val="single" w:sz="8" w:space="0" w:color="auto"/>
              <w:left w:val="nil"/>
              <w:bottom w:val="single" w:sz="8" w:space="0" w:color="auto"/>
              <w:right w:val="single" w:sz="8" w:space="0" w:color="auto"/>
            </w:tcBorders>
            <w:shd w:val="clear" w:color="auto" w:fill="0070CD"/>
            <w:tcMar>
              <w:top w:w="0" w:type="dxa"/>
              <w:left w:w="108" w:type="dxa"/>
              <w:bottom w:w="0" w:type="dxa"/>
              <w:right w:w="108" w:type="dxa"/>
            </w:tcMar>
            <w:vAlign w:val="center"/>
            <w:hideMark/>
          </w:tcPr>
          <w:p w:rsidR="000A1E2A" w:rsidRPr="004B0378" w:rsidRDefault="000A1E2A" w:rsidP="004F6B0B">
            <w:pPr>
              <w:pStyle w:val="TableHeader"/>
              <w:rPr>
                <w:sz w:val="16"/>
              </w:rPr>
            </w:pPr>
            <w:r w:rsidRPr="004B0378">
              <w:rPr>
                <w:sz w:val="16"/>
              </w:rPr>
              <w:t>1 in 10 Sep</w:t>
            </w:r>
            <w:r w:rsidR="004F6B0B" w:rsidRPr="004B0378">
              <w:rPr>
                <w:sz w:val="16"/>
              </w:rPr>
              <w:t>.</w:t>
            </w:r>
          </w:p>
        </w:tc>
      </w:tr>
      <w:tr w:rsidR="00D7503D" w:rsidRPr="004B0378" w:rsidTr="00D7503D">
        <w:trPr>
          <w:trHeight w:val="151"/>
          <w:jc w:val="center"/>
        </w:trPr>
        <w:tc>
          <w:tcPr>
            <w:tcW w:w="615"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Original Building</w:t>
            </w:r>
          </w:p>
        </w:tc>
        <w:tc>
          <w:tcPr>
            <w:tcW w:w="4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0.46</w:t>
            </w:r>
          </w:p>
        </w:tc>
        <w:tc>
          <w:tcPr>
            <w:tcW w:w="34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0.80</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0.86</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0.98</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0.93</w:t>
            </w:r>
          </w:p>
        </w:tc>
        <w:tc>
          <w:tcPr>
            <w:tcW w:w="35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0.97</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0.90</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0.93</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1.02</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1.00</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0.90</w:t>
            </w:r>
          </w:p>
        </w:tc>
      </w:tr>
      <w:tr w:rsidR="00D7503D" w:rsidRPr="004B0378" w:rsidTr="00D7503D">
        <w:trPr>
          <w:trHeight w:val="259"/>
          <w:jc w:val="center"/>
        </w:trPr>
        <w:tc>
          <w:tcPr>
            <w:tcW w:w="615"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Twice the Size</w:t>
            </w:r>
          </w:p>
        </w:tc>
        <w:tc>
          <w:tcPr>
            <w:tcW w:w="4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0.48</w:t>
            </w:r>
          </w:p>
        </w:tc>
        <w:tc>
          <w:tcPr>
            <w:tcW w:w="34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0.80</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0.87</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0.98</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0.91</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0.95</w:t>
            </w:r>
          </w:p>
        </w:tc>
        <w:tc>
          <w:tcPr>
            <w:tcW w:w="35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0.98</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0.91</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0.95</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1.01</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1.00</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0.91</w:t>
            </w:r>
          </w:p>
        </w:tc>
      </w:tr>
      <w:tr w:rsidR="00D7503D" w:rsidRPr="004B0378" w:rsidTr="00D7503D">
        <w:trPr>
          <w:trHeight w:val="241"/>
          <w:jc w:val="center"/>
        </w:trPr>
        <w:tc>
          <w:tcPr>
            <w:tcW w:w="615"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Half the Size</w:t>
            </w:r>
          </w:p>
        </w:tc>
        <w:tc>
          <w:tcPr>
            <w:tcW w:w="4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0.44</w:t>
            </w:r>
          </w:p>
        </w:tc>
        <w:tc>
          <w:tcPr>
            <w:tcW w:w="34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0.82</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0.87</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0.96</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0.93</w:t>
            </w:r>
          </w:p>
        </w:tc>
        <w:tc>
          <w:tcPr>
            <w:tcW w:w="35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0.96</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0.90</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0.93</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1.01</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1.00</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0.90</w:t>
            </w:r>
          </w:p>
        </w:tc>
      </w:tr>
      <w:tr w:rsidR="00D7503D" w:rsidRPr="004B0378" w:rsidTr="00D7503D">
        <w:trPr>
          <w:trHeight w:val="304"/>
          <w:jc w:val="center"/>
        </w:trPr>
        <w:tc>
          <w:tcPr>
            <w:tcW w:w="61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Four Floors</w:t>
            </w:r>
          </w:p>
        </w:tc>
        <w:tc>
          <w:tcPr>
            <w:tcW w:w="4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0.46</w:t>
            </w:r>
          </w:p>
        </w:tc>
        <w:tc>
          <w:tcPr>
            <w:tcW w:w="34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0.70</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0.83</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0.99</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0.91</w:t>
            </w:r>
          </w:p>
        </w:tc>
        <w:tc>
          <w:tcPr>
            <w:tcW w:w="32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0.94</w:t>
            </w:r>
          </w:p>
        </w:tc>
        <w:tc>
          <w:tcPr>
            <w:tcW w:w="35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0.96</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0.89</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0.93</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1.02</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1.00</w:t>
            </w:r>
          </w:p>
        </w:tc>
        <w:tc>
          <w:tcPr>
            <w:tcW w:w="325"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0.89</w:t>
            </w:r>
          </w:p>
        </w:tc>
      </w:tr>
      <w:tr w:rsidR="00D7503D" w:rsidRPr="004B0378" w:rsidTr="00D7503D">
        <w:trPr>
          <w:trHeight w:val="709"/>
          <w:jc w:val="center"/>
        </w:trPr>
        <w:tc>
          <w:tcPr>
            <w:tcW w:w="615" w:type="pct"/>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Twice the Window to Wall Ratio</w:t>
            </w:r>
          </w:p>
        </w:tc>
        <w:tc>
          <w:tcPr>
            <w:tcW w:w="427"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0.45</w:t>
            </w:r>
          </w:p>
        </w:tc>
        <w:tc>
          <w:tcPr>
            <w:tcW w:w="347"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0.80</w:t>
            </w:r>
          </w:p>
        </w:tc>
        <w:tc>
          <w:tcPr>
            <w:tcW w:w="327"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0.87</w:t>
            </w:r>
          </w:p>
        </w:tc>
        <w:tc>
          <w:tcPr>
            <w:tcW w:w="327"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0.98</w:t>
            </w:r>
          </w:p>
        </w:tc>
        <w:tc>
          <w:tcPr>
            <w:tcW w:w="327"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0.92</w:t>
            </w:r>
          </w:p>
        </w:tc>
        <w:tc>
          <w:tcPr>
            <w:tcW w:w="327"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0.93</w:t>
            </w:r>
          </w:p>
        </w:tc>
        <w:tc>
          <w:tcPr>
            <w:tcW w:w="351"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0.97</w:t>
            </w:r>
          </w:p>
        </w:tc>
        <w:tc>
          <w:tcPr>
            <w:tcW w:w="325"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0.90</w:t>
            </w:r>
          </w:p>
        </w:tc>
        <w:tc>
          <w:tcPr>
            <w:tcW w:w="325"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0.93</w:t>
            </w:r>
          </w:p>
        </w:tc>
        <w:tc>
          <w:tcPr>
            <w:tcW w:w="325"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1.02</w:t>
            </w:r>
          </w:p>
        </w:tc>
        <w:tc>
          <w:tcPr>
            <w:tcW w:w="325"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1.00</w:t>
            </w:r>
          </w:p>
        </w:tc>
        <w:tc>
          <w:tcPr>
            <w:tcW w:w="325" w:type="pct"/>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0A1E2A" w:rsidRPr="004B0378" w:rsidRDefault="000A1E2A" w:rsidP="00564171">
            <w:pPr>
              <w:pStyle w:val="TableText"/>
              <w:rPr>
                <w:sz w:val="16"/>
              </w:rPr>
            </w:pPr>
            <w:r w:rsidRPr="004B0378">
              <w:rPr>
                <w:sz w:val="16"/>
              </w:rPr>
              <w:t>0.90</w:t>
            </w:r>
          </w:p>
        </w:tc>
      </w:tr>
      <w:tr w:rsidR="000A1E2A" w:rsidRPr="00B828B0" w:rsidTr="00D7503D">
        <w:trPr>
          <w:trHeight w:val="300"/>
          <w:jc w:val="center"/>
        </w:trPr>
        <w:tc>
          <w:tcPr>
            <w:tcW w:w="5000" w:type="pct"/>
            <w:gridSpan w:val="14"/>
            <w:tcBorders>
              <w:top w:val="single" w:sz="4" w:space="0" w:color="auto"/>
              <w:left w:val="single" w:sz="4" w:space="0" w:color="FFFFFF" w:themeColor="background1"/>
              <w:bottom w:val="single" w:sz="4" w:space="0" w:color="FFFFFF" w:themeColor="background1"/>
              <w:right w:val="single" w:sz="4" w:space="0" w:color="FFFFFF" w:themeColor="background1"/>
            </w:tcBorders>
            <w:noWrap/>
            <w:tcMar>
              <w:top w:w="0" w:type="dxa"/>
              <w:left w:w="108" w:type="dxa"/>
              <w:bottom w:w="0" w:type="dxa"/>
              <w:right w:w="108" w:type="dxa"/>
            </w:tcMar>
            <w:vAlign w:val="center"/>
            <w:hideMark/>
          </w:tcPr>
          <w:p w:rsidR="000A1E2A" w:rsidRPr="004B0378" w:rsidRDefault="000A1E2A" w:rsidP="00564171">
            <w:pPr>
              <w:pStyle w:val="Footnote"/>
            </w:pPr>
            <w:r w:rsidRPr="004B0378">
              <w:t>Ex ante conversion factor = average kWh usage between 1–6 PM divided by average kWh usage during 1–6 PM on a typical August 1-in-10 day.</w:t>
            </w:r>
          </w:p>
          <w:p w:rsidR="000A1E2A" w:rsidRPr="004B0378" w:rsidRDefault="000A1E2A" w:rsidP="006C5B1B">
            <w:pPr>
              <w:pStyle w:val="Footnote"/>
              <w:rPr>
                <w:rFonts w:ascii="Calibri" w:hAnsi="Calibri" w:cs="Calibri"/>
              </w:rPr>
            </w:pPr>
            <w:r w:rsidRPr="004B0378">
              <w:t>*Baseline is the default temperature profile on July 1 for California Climate Zone 12.</w:t>
            </w:r>
            <w:r w:rsidR="00DC539B" w:rsidRPr="004B0378">
              <w:t xml:space="preserve"> </w:t>
            </w:r>
            <w:r w:rsidRPr="004B0378">
              <w:t xml:space="preserve">It is not a monthly peak day. </w:t>
            </w:r>
          </w:p>
        </w:tc>
      </w:tr>
    </w:tbl>
    <w:p w:rsidR="00C616C4" w:rsidRPr="00B828B0" w:rsidRDefault="00C616C4">
      <w:pPr>
        <w:rPr>
          <w:rFonts w:ascii="Arial" w:hAnsi="Arial"/>
          <w:b/>
          <w:highlight w:val="yellow"/>
        </w:rPr>
      </w:pPr>
      <w:r w:rsidRPr="00B828B0">
        <w:rPr>
          <w:highlight w:val="yellow"/>
        </w:rPr>
        <w:br w:type="page"/>
      </w:r>
    </w:p>
    <w:p w:rsidR="000A1E2A" w:rsidRPr="004B0378" w:rsidRDefault="000A1E2A" w:rsidP="008B6E89">
      <w:pPr>
        <w:pStyle w:val="TableFigureCaption"/>
      </w:pPr>
      <w:r w:rsidRPr="004B0378">
        <w:lastRenderedPageBreak/>
        <w:t>Table A-2: Characteristics of Buildings in Table A-1</w:t>
      </w:r>
      <w:r w:rsidR="006C5B1B" w:rsidRPr="004B0378">
        <w:rPr>
          <w:rStyle w:val="FootnoteReference"/>
        </w:rPr>
        <w:footnoteReference w:id="35"/>
      </w:r>
    </w:p>
    <w:tbl>
      <w:tblPr>
        <w:tblW w:w="5000" w:type="pct"/>
        <w:jc w:val="center"/>
        <w:tblCellMar>
          <w:left w:w="0" w:type="dxa"/>
          <w:right w:w="0" w:type="dxa"/>
        </w:tblCellMar>
        <w:tblLook w:val="04A0" w:firstRow="1" w:lastRow="0" w:firstColumn="1" w:lastColumn="0" w:noHBand="0" w:noVBand="1"/>
      </w:tblPr>
      <w:tblGrid>
        <w:gridCol w:w="1652"/>
        <w:gridCol w:w="1094"/>
        <w:gridCol w:w="921"/>
        <w:gridCol w:w="1283"/>
        <w:gridCol w:w="921"/>
        <w:gridCol w:w="922"/>
        <w:gridCol w:w="922"/>
        <w:gridCol w:w="922"/>
        <w:gridCol w:w="939"/>
      </w:tblGrid>
      <w:tr w:rsidR="000A1E2A" w:rsidRPr="004B0378" w:rsidTr="00D7503D">
        <w:trPr>
          <w:trHeight w:val="300"/>
          <w:jc w:val="center"/>
        </w:trPr>
        <w:tc>
          <w:tcPr>
            <w:tcW w:w="895" w:type="pct"/>
            <w:vMerge w:val="restart"/>
            <w:tcBorders>
              <w:top w:val="single" w:sz="8" w:space="0" w:color="auto"/>
              <w:left w:val="single" w:sz="8" w:space="0" w:color="auto"/>
              <w:bottom w:val="single" w:sz="8" w:space="0" w:color="000000"/>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rPr>
            </w:pPr>
            <w:r w:rsidRPr="004B0378">
              <w:t>Building Type</w:t>
            </w:r>
          </w:p>
        </w:tc>
        <w:tc>
          <w:tcPr>
            <w:tcW w:w="471" w:type="pct"/>
            <w:vMerge w:val="restart"/>
            <w:tcBorders>
              <w:top w:val="single" w:sz="8" w:space="0" w:color="auto"/>
              <w:left w:val="nil"/>
              <w:bottom w:val="single" w:sz="8" w:space="0" w:color="000000"/>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rPr>
            </w:pPr>
            <w:r w:rsidRPr="004B0378">
              <w:t xml:space="preserve">Footprint (sq. </w:t>
            </w:r>
            <w:proofErr w:type="spellStart"/>
            <w:r w:rsidRPr="004B0378">
              <w:t>ft</w:t>
            </w:r>
            <w:proofErr w:type="spellEnd"/>
            <w:r w:rsidRPr="004B0378">
              <w:t>)</w:t>
            </w:r>
          </w:p>
        </w:tc>
        <w:tc>
          <w:tcPr>
            <w:tcW w:w="513" w:type="pct"/>
            <w:vMerge w:val="restart"/>
            <w:tcBorders>
              <w:top w:val="single" w:sz="8" w:space="0" w:color="auto"/>
              <w:left w:val="nil"/>
              <w:bottom w:val="single" w:sz="8" w:space="0" w:color="000000"/>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rPr>
            </w:pPr>
            <w:r w:rsidRPr="004B0378">
              <w:t>Stories</w:t>
            </w:r>
          </w:p>
        </w:tc>
        <w:tc>
          <w:tcPr>
            <w:tcW w:w="556" w:type="pct"/>
            <w:vMerge w:val="restart"/>
            <w:tcBorders>
              <w:top w:val="single" w:sz="8" w:space="0" w:color="auto"/>
              <w:left w:val="nil"/>
              <w:bottom w:val="single" w:sz="8" w:space="0" w:color="000000"/>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rPr>
            </w:pPr>
            <w:r w:rsidRPr="004B0378">
              <w:t>Orientation</w:t>
            </w:r>
          </w:p>
        </w:tc>
        <w:tc>
          <w:tcPr>
            <w:tcW w:w="2052" w:type="pct"/>
            <w:gridSpan w:val="4"/>
            <w:tcBorders>
              <w:top w:val="single" w:sz="8" w:space="0" w:color="auto"/>
              <w:left w:val="nil"/>
              <w:bottom w:val="single" w:sz="8" w:space="0" w:color="FFFBF0"/>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rPr>
            </w:pPr>
            <w:r w:rsidRPr="004B0378">
              <w:t>Window to Wall Ratio</w:t>
            </w:r>
          </w:p>
        </w:tc>
        <w:tc>
          <w:tcPr>
            <w:tcW w:w="513" w:type="pct"/>
            <w:vMerge w:val="restart"/>
            <w:tcBorders>
              <w:top w:val="single" w:sz="8" w:space="0" w:color="auto"/>
              <w:left w:val="nil"/>
              <w:bottom w:val="single" w:sz="8" w:space="0" w:color="000000"/>
              <w:right w:val="single" w:sz="8" w:space="0" w:color="auto"/>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rPr>
            </w:pPr>
            <w:r w:rsidRPr="004B0378">
              <w:t>Climate Zone</w:t>
            </w:r>
          </w:p>
        </w:tc>
      </w:tr>
      <w:tr w:rsidR="000A1E2A" w:rsidRPr="004B0378" w:rsidTr="00D7503D">
        <w:trPr>
          <w:trHeight w:val="300"/>
          <w:jc w:val="center"/>
        </w:trPr>
        <w:tc>
          <w:tcPr>
            <w:tcW w:w="895" w:type="pct"/>
            <w:vMerge/>
            <w:tcBorders>
              <w:top w:val="single" w:sz="8" w:space="0" w:color="auto"/>
              <w:left w:val="single" w:sz="8" w:space="0" w:color="auto"/>
              <w:bottom w:val="single" w:sz="8" w:space="0" w:color="000000"/>
              <w:right w:val="single" w:sz="8" w:space="0" w:color="FFFBF0"/>
            </w:tcBorders>
            <w:vAlign w:val="center"/>
            <w:hideMark/>
          </w:tcPr>
          <w:p w:rsidR="000A1E2A" w:rsidRPr="004B0378" w:rsidRDefault="000A1E2A" w:rsidP="00564171">
            <w:pPr>
              <w:pStyle w:val="TableHeader"/>
              <w:rPr>
                <w:rFonts w:cs="Calibri"/>
              </w:rPr>
            </w:pPr>
          </w:p>
        </w:tc>
        <w:tc>
          <w:tcPr>
            <w:tcW w:w="471" w:type="pct"/>
            <w:vMerge/>
            <w:tcBorders>
              <w:top w:val="single" w:sz="8" w:space="0" w:color="auto"/>
              <w:left w:val="nil"/>
              <w:bottom w:val="single" w:sz="8" w:space="0" w:color="000000"/>
              <w:right w:val="single" w:sz="8" w:space="0" w:color="FFFBF0"/>
            </w:tcBorders>
            <w:vAlign w:val="center"/>
            <w:hideMark/>
          </w:tcPr>
          <w:p w:rsidR="000A1E2A" w:rsidRPr="004B0378" w:rsidRDefault="000A1E2A" w:rsidP="00564171">
            <w:pPr>
              <w:pStyle w:val="TableHeader"/>
              <w:rPr>
                <w:rFonts w:cs="Calibri"/>
              </w:rPr>
            </w:pPr>
          </w:p>
        </w:tc>
        <w:tc>
          <w:tcPr>
            <w:tcW w:w="513" w:type="pct"/>
            <w:vMerge/>
            <w:tcBorders>
              <w:top w:val="single" w:sz="8" w:space="0" w:color="auto"/>
              <w:left w:val="nil"/>
              <w:bottom w:val="single" w:sz="8" w:space="0" w:color="000000"/>
              <w:right w:val="single" w:sz="8" w:space="0" w:color="FFFBF0"/>
            </w:tcBorders>
            <w:vAlign w:val="center"/>
            <w:hideMark/>
          </w:tcPr>
          <w:p w:rsidR="000A1E2A" w:rsidRPr="004B0378" w:rsidRDefault="000A1E2A" w:rsidP="00564171">
            <w:pPr>
              <w:pStyle w:val="TableHeader"/>
              <w:rPr>
                <w:rFonts w:cs="Calibri"/>
              </w:rPr>
            </w:pPr>
          </w:p>
        </w:tc>
        <w:tc>
          <w:tcPr>
            <w:tcW w:w="556" w:type="pct"/>
            <w:vMerge/>
            <w:tcBorders>
              <w:top w:val="single" w:sz="8" w:space="0" w:color="auto"/>
              <w:left w:val="nil"/>
              <w:bottom w:val="single" w:sz="8" w:space="0" w:color="000000"/>
              <w:right w:val="single" w:sz="8" w:space="0" w:color="FFFBF0"/>
            </w:tcBorders>
            <w:vAlign w:val="center"/>
            <w:hideMark/>
          </w:tcPr>
          <w:p w:rsidR="000A1E2A" w:rsidRPr="004B0378" w:rsidRDefault="000A1E2A" w:rsidP="00564171">
            <w:pPr>
              <w:pStyle w:val="TableHeader"/>
              <w:rPr>
                <w:rFonts w:cs="Calibri"/>
              </w:rPr>
            </w:pPr>
          </w:p>
        </w:tc>
        <w:tc>
          <w:tcPr>
            <w:tcW w:w="513" w:type="pct"/>
            <w:tcBorders>
              <w:top w:val="nil"/>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i/>
                <w:iCs/>
              </w:rPr>
            </w:pPr>
            <w:r w:rsidRPr="004B0378">
              <w:rPr>
                <w:i/>
                <w:iCs/>
              </w:rPr>
              <w:t>North</w:t>
            </w:r>
          </w:p>
        </w:tc>
        <w:tc>
          <w:tcPr>
            <w:tcW w:w="513" w:type="pct"/>
            <w:tcBorders>
              <w:top w:val="nil"/>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i/>
                <w:iCs/>
              </w:rPr>
            </w:pPr>
            <w:r w:rsidRPr="004B0378">
              <w:rPr>
                <w:i/>
                <w:iCs/>
              </w:rPr>
              <w:t>East</w:t>
            </w:r>
          </w:p>
        </w:tc>
        <w:tc>
          <w:tcPr>
            <w:tcW w:w="513" w:type="pct"/>
            <w:tcBorders>
              <w:top w:val="nil"/>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i/>
                <w:iCs/>
              </w:rPr>
            </w:pPr>
            <w:r w:rsidRPr="004B0378">
              <w:rPr>
                <w:i/>
                <w:iCs/>
              </w:rPr>
              <w:t>South</w:t>
            </w:r>
          </w:p>
        </w:tc>
        <w:tc>
          <w:tcPr>
            <w:tcW w:w="513" w:type="pct"/>
            <w:tcBorders>
              <w:top w:val="nil"/>
              <w:left w:val="nil"/>
              <w:bottom w:val="single" w:sz="8" w:space="0" w:color="auto"/>
              <w:right w:val="single" w:sz="8" w:space="0" w:color="FFFBF0"/>
            </w:tcBorders>
            <w:shd w:val="clear" w:color="auto" w:fill="0070CD"/>
            <w:tcMar>
              <w:top w:w="0" w:type="dxa"/>
              <w:left w:w="108" w:type="dxa"/>
              <w:bottom w:w="0" w:type="dxa"/>
              <w:right w:w="108" w:type="dxa"/>
            </w:tcMar>
            <w:vAlign w:val="center"/>
            <w:hideMark/>
          </w:tcPr>
          <w:p w:rsidR="000A1E2A" w:rsidRPr="004B0378" w:rsidRDefault="000A1E2A" w:rsidP="00564171">
            <w:pPr>
              <w:pStyle w:val="TableHeader"/>
              <w:rPr>
                <w:rFonts w:cs="Calibri"/>
                <w:i/>
                <w:iCs/>
              </w:rPr>
            </w:pPr>
            <w:r w:rsidRPr="004B0378">
              <w:rPr>
                <w:i/>
                <w:iCs/>
              </w:rPr>
              <w:t>West</w:t>
            </w:r>
          </w:p>
        </w:tc>
        <w:tc>
          <w:tcPr>
            <w:tcW w:w="513" w:type="pct"/>
            <w:vMerge/>
            <w:tcBorders>
              <w:top w:val="single" w:sz="8" w:space="0" w:color="auto"/>
              <w:left w:val="nil"/>
              <w:bottom w:val="single" w:sz="8" w:space="0" w:color="000000"/>
              <w:right w:val="single" w:sz="8" w:space="0" w:color="auto"/>
            </w:tcBorders>
            <w:vAlign w:val="center"/>
            <w:hideMark/>
          </w:tcPr>
          <w:p w:rsidR="000A1E2A" w:rsidRPr="004B0378" w:rsidRDefault="000A1E2A" w:rsidP="00564171">
            <w:pPr>
              <w:pStyle w:val="TableHeader"/>
              <w:rPr>
                <w:rFonts w:cs="Calibri"/>
              </w:rPr>
            </w:pPr>
          </w:p>
        </w:tc>
      </w:tr>
      <w:tr w:rsidR="000A1E2A" w:rsidRPr="004B0378" w:rsidTr="00564171">
        <w:trPr>
          <w:trHeight w:val="403"/>
          <w:jc w:val="center"/>
        </w:trPr>
        <w:tc>
          <w:tcPr>
            <w:tcW w:w="89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b/>
              </w:rPr>
            </w:pPr>
            <w:r w:rsidRPr="004B0378">
              <w:rPr>
                <w:b/>
              </w:rPr>
              <w:t>Original Building</w:t>
            </w:r>
          </w:p>
        </w:tc>
        <w:tc>
          <w:tcPr>
            <w:tcW w:w="471"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10,568</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North</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0.16</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0.28</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0.20</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0.23</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12</w:t>
            </w:r>
          </w:p>
        </w:tc>
      </w:tr>
      <w:tr w:rsidR="000A1E2A" w:rsidRPr="004B0378" w:rsidTr="00564171">
        <w:trPr>
          <w:trHeight w:val="448"/>
          <w:jc w:val="center"/>
        </w:trPr>
        <w:tc>
          <w:tcPr>
            <w:tcW w:w="89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b/>
              </w:rPr>
            </w:pPr>
            <w:r w:rsidRPr="004B0378">
              <w:rPr>
                <w:b/>
              </w:rPr>
              <w:t>Twice the Size</w:t>
            </w:r>
          </w:p>
        </w:tc>
        <w:tc>
          <w:tcPr>
            <w:tcW w:w="471"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21,141</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North</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0.16</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0.28</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0.20</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0.23</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12</w:t>
            </w:r>
          </w:p>
        </w:tc>
      </w:tr>
      <w:tr w:rsidR="000A1E2A" w:rsidRPr="004B0378" w:rsidTr="00564171">
        <w:trPr>
          <w:trHeight w:val="421"/>
          <w:jc w:val="center"/>
        </w:trPr>
        <w:tc>
          <w:tcPr>
            <w:tcW w:w="89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b/>
              </w:rPr>
            </w:pPr>
            <w:r w:rsidRPr="004B0378">
              <w:rPr>
                <w:b/>
              </w:rPr>
              <w:t>Half the Size</w:t>
            </w:r>
          </w:p>
        </w:tc>
        <w:tc>
          <w:tcPr>
            <w:tcW w:w="471"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5,329</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North</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0.16</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0.28</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0.20</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0.23</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12</w:t>
            </w:r>
          </w:p>
        </w:tc>
      </w:tr>
      <w:tr w:rsidR="000A1E2A" w:rsidRPr="004B0378" w:rsidTr="00564171">
        <w:trPr>
          <w:trHeight w:val="439"/>
          <w:jc w:val="center"/>
        </w:trPr>
        <w:tc>
          <w:tcPr>
            <w:tcW w:w="89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b/>
              </w:rPr>
            </w:pPr>
            <w:r w:rsidRPr="004B0378">
              <w:rPr>
                <w:b/>
              </w:rPr>
              <w:t>Four Floors</w:t>
            </w:r>
          </w:p>
        </w:tc>
        <w:tc>
          <w:tcPr>
            <w:tcW w:w="471"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10,568</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4</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North</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0.16</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0.28</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0.20</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0.23</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12</w:t>
            </w:r>
          </w:p>
        </w:tc>
      </w:tr>
      <w:tr w:rsidR="000A1E2A" w:rsidRPr="004B0378" w:rsidTr="00564171">
        <w:trPr>
          <w:trHeight w:val="340"/>
          <w:jc w:val="center"/>
        </w:trPr>
        <w:tc>
          <w:tcPr>
            <w:tcW w:w="89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b/>
              </w:rPr>
            </w:pPr>
            <w:r w:rsidRPr="004B0378">
              <w:rPr>
                <w:b/>
              </w:rPr>
              <w:t>Twice the Window to Wall Ratio</w:t>
            </w:r>
          </w:p>
        </w:tc>
        <w:tc>
          <w:tcPr>
            <w:tcW w:w="471"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10,568</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North</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0.32</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0.56</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0.40</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0.46</w:t>
            </w:r>
          </w:p>
        </w:tc>
        <w:tc>
          <w:tcPr>
            <w:tcW w:w="5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0A1E2A" w:rsidRPr="004B0378" w:rsidRDefault="000A1E2A" w:rsidP="00564171">
            <w:pPr>
              <w:pStyle w:val="TableText"/>
              <w:rPr>
                <w:rFonts w:cs="Calibri"/>
              </w:rPr>
            </w:pPr>
            <w:r w:rsidRPr="004B0378">
              <w:t>12</w:t>
            </w:r>
          </w:p>
        </w:tc>
      </w:tr>
    </w:tbl>
    <w:p w:rsidR="00D85858" w:rsidRPr="004B0378" w:rsidRDefault="00D85858">
      <w:pPr>
        <w:rPr>
          <w:rFonts w:ascii="Arial" w:hAnsi="Arial"/>
          <w:color w:val="1C1C1C"/>
        </w:rPr>
      </w:pPr>
    </w:p>
    <w:p w:rsidR="000A1E2A" w:rsidRPr="004B0378" w:rsidRDefault="000A1E2A" w:rsidP="000A1E2A">
      <w:pPr>
        <w:pStyle w:val="AppendixHeading3"/>
      </w:pPr>
      <w:bookmarkStart w:id="124" w:name="_Toc412919731"/>
      <w:bookmarkStart w:id="125" w:name="_Toc412931258"/>
      <w:bookmarkStart w:id="126" w:name="_Toc507085078"/>
      <w:r w:rsidRPr="004B0378">
        <w:t>Treatment of Space and Process Cooling Installations</w:t>
      </w:r>
      <w:bookmarkEnd w:id="124"/>
      <w:bookmarkEnd w:id="125"/>
      <w:bookmarkEnd w:id="126"/>
      <w:r w:rsidRPr="004B0378">
        <w:t xml:space="preserve"> </w:t>
      </w:r>
    </w:p>
    <w:p w:rsidR="000A1E2A" w:rsidRPr="004B0378" w:rsidRDefault="00E50899" w:rsidP="000A1E2A">
      <w:pPr>
        <w:pStyle w:val="BodyParagraph"/>
      </w:pPr>
      <w:r w:rsidRPr="004B0378">
        <w:t>The utilities have received a combination of space and process cooling applications to date.</w:t>
      </w:r>
      <w:r w:rsidR="00DC539B" w:rsidRPr="004B0378">
        <w:t xml:space="preserve"> </w:t>
      </w:r>
      <w:r w:rsidRPr="004B0378">
        <w:t>The</w:t>
      </w:r>
      <w:r w:rsidR="00710BBA" w:rsidRPr="004B0378">
        <w:t> </w:t>
      </w:r>
      <w:r w:rsidRPr="004B0378">
        <w:t>ideal situation would be to develop generalized models for both space and process cooling installations.</w:t>
      </w:r>
      <w:r w:rsidR="00DC539B" w:rsidRPr="004B0378">
        <w:t xml:space="preserve"> </w:t>
      </w:r>
      <w:r w:rsidRPr="004B0378">
        <w:t xml:space="preserve">However, process cooling installations are each unique to their specific industry, and </w:t>
      </w:r>
      <w:proofErr w:type="gramStart"/>
      <w:r w:rsidRPr="004B0378">
        <w:t>may</w:t>
      </w:r>
      <w:proofErr w:type="gramEnd"/>
      <w:r w:rsidRPr="004B0378">
        <w:t xml:space="preserve"> also exhibit seasonality in industries related to agriculture or food processing.</w:t>
      </w:r>
      <w:r w:rsidR="00DC539B" w:rsidRPr="004B0378">
        <w:t xml:space="preserve"> </w:t>
      </w:r>
      <w:r w:rsidRPr="004B0378">
        <w:t>The load shapes from the building simulation models for the existing PG&amp;E applications were reviewed and confirm both industry specific load shapes and seasonality.</w:t>
      </w:r>
      <w:r w:rsidR="00DC539B" w:rsidRPr="004B0378">
        <w:t xml:space="preserve"> </w:t>
      </w:r>
      <w:r w:rsidRPr="004B0378">
        <w:t>Figure A-1 is an example of a food processing facility with limited energy consumption between November and March.</w:t>
      </w:r>
      <w:r w:rsidR="00DC539B" w:rsidRPr="004B0378">
        <w:t xml:space="preserve"> </w:t>
      </w:r>
      <w:r w:rsidRPr="004B0378">
        <w:t>Figure A-2 is an example of a winery with twice the typical load during the harvest season.</w:t>
      </w:r>
      <w:r w:rsidR="00DC539B" w:rsidRPr="004B0378">
        <w:t xml:space="preserve"> </w:t>
      </w:r>
      <w:r w:rsidRPr="004B0378">
        <w:t>Due to these factors, existing process cooling installations do not make good candidates for generalized modeling that could represent all future process cooling applications</w:t>
      </w:r>
      <w:r w:rsidR="000A1E2A" w:rsidRPr="004B0378">
        <w:t xml:space="preserve">. </w:t>
      </w:r>
    </w:p>
    <w:p w:rsidR="006C5B1B" w:rsidRPr="00B828B0" w:rsidRDefault="006C5B1B">
      <w:pPr>
        <w:rPr>
          <w:rFonts w:ascii="Arial" w:hAnsi="Arial"/>
          <w:color w:val="1C1C1C"/>
          <w:highlight w:val="yellow"/>
        </w:rPr>
      </w:pPr>
      <w:r w:rsidRPr="00B828B0">
        <w:rPr>
          <w:highlight w:val="yellow"/>
        </w:rPr>
        <w:br w:type="page"/>
      </w:r>
    </w:p>
    <w:p w:rsidR="000A1E2A" w:rsidRPr="004B0378" w:rsidRDefault="000A1E2A" w:rsidP="000A1E2A">
      <w:pPr>
        <w:pStyle w:val="BodyParagraph"/>
        <w:spacing w:after="0"/>
        <w:jc w:val="center"/>
        <w:rPr>
          <w:b/>
        </w:rPr>
      </w:pPr>
      <w:r w:rsidRPr="004B0378">
        <w:rPr>
          <w:b/>
        </w:rPr>
        <w:lastRenderedPageBreak/>
        <w:t>Figure A-1: Seasonal Load Shape</w:t>
      </w:r>
    </w:p>
    <w:p w:rsidR="000A1E2A" w:rsidRPr="004B0378" w:rsidRDefault="000A1E2A" w:rsidP="000A1E2A">
      <w:pPr>
        <w:pStyle w:val="BodyParagraph"/>
        <w:jc w:val="center"/>
      </w:pPr>
      <w:r w:rsidRPr="004B0378">
        <w:rPr>
          <w:noProof/>
        </w:rPr>
        <w:drawing>
          <wp:inline distT="0" distB="0" distL="0" distR="0" wp14:anchorId="5A34A693" wp14:editId="30E72A99">
            <wp:extent cx="4549698" cy="2743200"/>
            <wp:effectExtent l="0" t="0" r="3810" b="0"/>
            <wp:docPr id="30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t="4613" b="4933"/>
                    <a:stretch/>
                  </pic:blipFill>
                  <pic:spPr bwMode="auto">
                    <a:xfrm>
                      <a:off x="0" y="0"/>
                      <a:ext cx="4549698" cy="2743200"/>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0A1E2A" w:rsidRPr="004B0378" w:rsidRDefault="000A1E2A" w:rsidP="000A1E2A">
      <w:pPr>
        <w:pStyle w:val="BodyParagraph"/>
        <w:spacing w:after="0"/>
        <w:jc w:val="center"/>
        <w:rPr>
          <w:b/>
        </w:rPr>
      </w:pPr>
      <w:r w:rsidRPr="004B0378">
        <w:rPr>
          <w:b/>
        </w:rPr>
        <w:t>Figure A-2: Seasonal Load Shape</w:t>
      </w:r>
    </w:p>
    <w:p w:rsidR="000A1E2A" w:rsidRPr="004B0378" w:rsidRDefault="000A1E2A" w:rsidP="000A1E2A">
      <w:pPr>
        <w:pStyle w:val="BodyParagraph"/>
        <w:jc w:val="center"/>
      </w:pPr>
      <w:r w:rsidRPr="004B0378">
        <w:rPr>
          <w:noProof/>
        </w:rPr>
        <w:drawing>
          <wp:inline distT="0" distB="0" distL="0" distR="0" wp14:anchorId="2F59F737" wp14:editId="296DC556">
            <wp:extent cx="4549699" cy="2743200"/>
            <wp:effectExtent l="0" t="0" r="3810" b="0"/>
            <wp:docPr id="307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8" name="Picture 6"/>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t="4811" b="4773"/>
                    <a:stretch/>
                  </pic:blipFill>
                  <pic:spPr bwMode="auto">
                    <a:xfrm>
                      <a:off x="0" y="0"/>
                      <a:ext cx="4549699" cy="2743200"/>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0A1E2A" w:rsidRPr="004B0378" w:rsidRDefault="00E50899" w:rsidP="000A1E2A">
      <w:pPr>
        <w:pStyle w:val="BodyParagraph"/>
      </w:pPr>
      <w:r w:rsidRPr="004B0378">
        <w:t>To determine the best method to account for process cooling installations, the weather sensitivity of the existing applications was analyzed.</w:t>
      </w:r>
      <w:r w:rsidR="00DC539B" w:rsidRPr="004B0378">
        <w:t xml:space="preserve"> </w:t>
      </w:r>
      <w:r w:rsidRPr="004B0378">
        <w:t>The customer usage data forecast from</w:t>
      </w:r>
      <w:r w:rsidR="00710BBA" w:rsidRPr="004B0378">
        <w:t> </w:t>
      </w:r>
      <w:r w:rsidRPr="004B0378">
        <w:t>the</w:t>
      </w:r>
      <w:r w:rsidR="00710BBA" w:rsidRPr="004B0378">
        <w:t> </w:t>
      </w:r>
      <w:r w:rsidRPr="004B0378">
        <w:t>building simulation models under 1-in-2 and 1-in-10 monthly IOU system peak conditions was calculated.</w:t>
      </w:r>
      <w:r w:rsidR="00DC539B" w:rsidRPr="004B0378">
        <w:t xml:space="preserve"> </w:t>
      </w:r>
      <w:r w:rsidRPr="004B0378">
        <w:t xml:space="preserve">The percentage difference in hourly usage under the 1-in-2 and </w:t>
      </w:r>
      <w:r w:rsidR="00710BBA" w:rsidRPr="004B0378">
        <w:br/>
      </w:r>
      <w:r w:rsidRPr="004B0378">
        <w:t>1-in-10 conditions was then calculated to determine the level of weather sensitivity of the process cooling load.</w:t>
      </w:r>
      <w:r w:rsidR="00DC539B" w:rsidRPr="004B0378">
        <w:t xml:space="preserve"> </w:t>
      </w:r>
      <w:r w:rsidRPr="004B0378">
        <w:t>A range of results up to approximately 20% was observed, indicating that</w:t>
      </w:r>
      <w:r w:rsidR="00710BBA" w:rsidRPr="004B0378">
        <w:t> </w:t>
      </w:r>
      <w:r w:rsidRPr="004B0378">
        <w:t>process cooling load is weather sensitive.</w:t>
      </w:r>
      <w:r w:rsidR="00DC539B" w:rsidRPr="004B0378">
        <w:t xml:space="preserve"> </w:t>
      </w:r>
      <w:r w:rsidRPr="004B0378">
        <w:t xml:space="preserve">To provide a basis for comparison, PG&amp;E’s commercial </w:t>
      </w:r>
      <w:proofErr w:type="spellStart"/>
      <w:r w:rsidRPr="004B0378">
        <w:t>SmartAC</w:t>
      </w:r>
      <w:proofErr w:type="spellEnd"/>
      <w:r w:rsidRPr="004B0378">
        <w:t xml:space="preserve"> program exhibits a similar upper bound of approximately a 20% difference in cooling load between 1-in-2 and 1-in-10 monthly system peak conditions</w:t>
      </w:r>
      <w:r w:rsidR="000A1E2A" w:rsidRPr="004B0378">
        <w:t>.</w:t>
      </w:r>
      <w:r w:rsidR="00DC539B" w:rsidRPr="004B0378">
        <w:t xml:space="preserve"> </w:t>
      </w:r>
      <w:r w:rsidR="000A1E2A" w:rsidRPr="004B0378">
        <w:t xml:space="preserve"> </w:t>
      </w:r>
    </w:p>
    <w:p w:rsidR="00FC1C5A" w:rsidRPr="004B0378" w:rsidRDefault="000A1E2A" w:rsidP="000A1E2A">
      <w:pPr>
        <w:pStyle w:val="BodyParagraph"/>
      </w:pPr>
      <w:r w:rsidRPr="004B0378">
        <w:t xml:space="preserve">Due to the industry-specific load shape and seasonality of process cooling installations </w:t>
      </w:r>
      <w:proofErr w:type="gramStart"/>
      <w:r w:rsidRPr="004B0378">
        <w:t>not</w:t>
      </w:r>
      <w:r w:rsidR="00C616C4" w:rsidRPr="004B0378">
        <w:t xml:space="preserve"> </w:t>
      </w:r>
      <w:r w:rsidRPr="004B0378">
        <w:t>being</w:t>
      </w:r>
      <w:proofErr w:type="gramEnd"/>
      <w:r w:rsidRPr="004B0378">
        <w:t xml:space="preserve"> generalizable, and the weather sensitivity being comparable to commercial space cooling, </w:t>
      </w:r>
      <w:r w:rsidRPr="004B0378">
        <w:lastRenderedPageBreak/>
        <w:t xml:space="preserve">it </w:t>
      </w:r>
      <w:r w:rsidR="00DD71C4" w:rsidRPr="004B0378">
        <w:t>was</w:t>
      </w:r>
      <w:r w:rsidRPr="004B0378">
        <w:t xml:space="preserve"> reasonable to </w:t>
      </w:r>
      <w:r w:rsidR="00FC1C5A" w:rsidRPr="004B0378">
        <w:t>apply the conversion factors developed for the unidentified space cooling projects to the unidentified process cooling installations.</w:t>
      </w:r>
    </w:p>
    <w:p w:rsidR="000A1E2A" w:rsidRPr="004B0378" w:rsidRDefault="000A1E2A" w:rsidP="000A1E2A">
      <w:pPr>
        <w:pStyle w:val="AppendixHeading3"/>
      </w:pPr>
      <w:bookmarkStart w:id="127" w:name="_Toc408234003"/>
      <w:bookmarkStart w:id="128" w:name="_Toc408562640"/>
      <w:bookmarkStart w:id="129" w:name="_Toc412919732"/>
      <w:bookmarkStart w:id="130" w:name="_Toc412931259"/>
      <w:bookmarkStart w:id="131" w:name="_Toc507085079"/>
      <w:r w:rsidRPr="004B0378">
        <w:t>Percentage of TES Offset to Total Cooling Load</w:t>
      </w:r>
      <w:bookmarkEnd w:id="127"/>
      <w:bookmarkEnd w:id="128"/>
      <w:bookmarkEnd w:id="129"/>
      <w:bookmarkEnd w:id="130"/>
      <w:bookmarkEnd w:id="131"/>
    </w:p>
    <w:p w:rsidR="000A1E2A" w:rsidRPr="004B0378" w:rsidRDefault="00E50899" w:rsidP="000A1E2A">
      <w:pPr>
        <w:pStyle w:val="BodyParagraph"/>
      </w:pPr>
      <w:r w:rsidRPr="004B0378">
        <w:t>TES system capacity can vary based on the individual need for each project site.</w:t>
      </w:r>
      <w:r w:rsidR="00DC539B" w:rsidRPr="004B0378">
        <w:t xml:space="preserve"> </w:t>
      </w:r>
      <w:r w:rsidRPr="004B0378">
        <w:t>Previous evaluations have assumed that the TES system for unidentified projects is sized to offset the full chiller load under peak conditions.</w:t>
      </w:r>
      <w:r w:rsidR="00DC539B" w:rsidRPr="004B0378">
        <w:t xml:space="preserve"> </w:t>
      </w:r>
      <w:r w:rsidRPr="004B0378">
        <w:t>An alternative possibility is that the system is designed to shift only part of the chiller load under peak conditions.</w:t>
      </w:r>
      <w:r w:rsidR="00DC539B" w:rsidRPr="004B0378">
        <w:t xml:space="preserve"> </w:t>
      </w:r>
      <w:r w:rsidRPr="004B0378">
        <w:t>This distinction is referred to as full versus partial storage</w:t>
      </w:r>
      <w:r w:rsidR="000A1E2A" w:rsidRPr="004B0378">
        <w:t xml:space="preserve">. </w:t>
      </w:r>
    </w:p>
    <w:p w:rsidR="000A1E2A" w:rsidRPr="004B0378" w:rsidRDefault="00E50899" w:rsidP="000A1E2A">
      <w:pPr>
        <w:pStyle w:val="BodyParagraph"/>
      </w:pPr>
      <w:r w:rsidRPr="004B0378">
        <w:t>Now that feasibility studies are available for several project applications, assumptions are being revisited and updated as necessary.</w:t>
      </w:r>
      <w:r w:rsidR="00DC539B" w:rsidRPr="004B0378">
        <w:t xml:space="preserve"> </w:t>
      </w:r>
      <w:r w:rsidRPr="004B0378">
        <w:t>Based on the combination of applications and feasibility studies available for review, 7 of the 9 projects with available information are designed to shift between 95% and 100% of the maximum peak cooling load.</w:t>
      </w:r>
      <w:r w:rsidR="00DC539B" w:rsidRPr="004B0378">
        <w:t xml:space="preserve"> </w:t>
      </w:r>
      <w:r w:rsidRPr="004B0378">
        <w:t>For example, if the maximum cooling load for a building is 100 tons, a TES system designed for a 100% offset would be sized at approximately 600-ton hours to offset the cooling load of 100 tons for the required 6</w:t>
      </w:r>
      <w:r w:rsidR="00710BBA" w:rsidRPr="004B0378">
        <w:t> </w:t>
      </w:r>
      <w:r w:rsidRPr="004B0378">
        <w:t>hour period</w:t>
      </w:r>
      <w:r w:rsidR="000A1E2A" w:rsidRPr="004B0378">
        <w:t>.</w:t>
      </w:r>
      <w:r w:rsidR="00DC539B" w:rsidRPr="004B0378">
        <w:t xml:space="preserve"> </w:t>
      </w:r>
      <w:r w:rsidR="000A1E2A" w:rsidRPr="004B0378">
        <w:t xml:space="preserve"> </w:t>
      </w:r>
    </w:p>
    <w:p w:rsidR="000A1E2A" w:rsidRPr="004B0378" w:rsidRDefault="000A1E2A" w:rsidP="000A1E2A">
      <w:pPr>
        <w:pStyle w:val="BodyParagraph"/>
      </w:pPr>
      <w:r w:rsidRPr="004B0378">
        <w:t>At this time, none of the projects have been completed, and most are still in the planning stages.</w:t>
      </w:r>
      <w:r w:rsidR="00710BBA" w:rsidRPr="004B0378">
        <w:t> </w:t>
      </w:r>
      <w:r w:rsidRPr="004B0378">
        <w:t xml:space="preserve">When additional data on the type of projects that are actually installed becomes available, it </w:t>
      </w:r>
      <w:r w:rsidR="00C616C4" w:rsidRPr="004B0378">
        <w:t xml:space="preserve">will be good </w:t>
      </w:r>
      <w:r w:rsidRPr="004B0378">
        <w:t>to revisit this assumption.</w:t>
      </w:r>
      <w:r w:rsidR="00DC539B" w:rsidRPr="004B0378">
        <w:t xml:space="preserve"> </w:t>
      </w:r>
      <w:r w:rsidRPr="004B0378">
        <w:t>However, at this time there is not enough evidence to warrant changing the expected offset from the full to the partial storage scenario.</w:t>
      </w:r>
    </w:p>
    <w:p w:rsidR="000A1E2A" w:rsidRPr="004B0378" w:rsidRDefault="00E50899" w:rsidP="000A1E2A">
      <w:pPr>
        <w:pStyle w:val="BodyParagraph"/>
      </w:pPr>
      <w:r w:rsidRPr="004B0378">
        <w:t>To the extent that the partial storage alternative is applicable for some sites, the ex ante impact estimates for cooler weather conditions might be understated because under the current assumptions, load shift falls as temperature and the corresponding load decreases.</w:t>
      </w:r>
      <w:r w:rsidR="00DC539B" w:rsidRPr="004B0378">
        <w:t xml:space="preserve"> </w:t>
      </w:r>
      <w:r w:rsidRPr="004B0378">
        <w:t>Under partial storage, the load shift might be constant over some range of ex ante weather conditions at the hotter end of the weather spectrum.</w:t>
      </w:r>
      <w:r w:rsidR="00DC539B" w:rsidRPr="004B0378">
        <w:t xml:space="preserve"> </w:t>
      </w:r>
      <w:r w:rsidRPr="004B0378">
        <w:t>Because Nexant began with the designed peak shift as the main input, and because the designed peak shift takes place under conditions similar to</w:t>
      </w:r>
      <w:r w:rsidR="00710BBA" w:rsidRPr="004B0378">
        <w:t> </w:t>
      </w:r>
      <w:r w:rsidRPr="004B0378">
        <w:t>the hottest ex ante conditions, the assumption is unlikely to have a significant effect on the accuracy of load impact estimates under the hottest weather conditions.</w:t>
      </w:r>
      <w:r w:rsidR="00DC539B" w:rsidRPr="004B0378">
        <w:t xml:space="preserve"> </w:t>
      </w:r>
      <w:r w:rsidRPr="004B0378">
        <w:t>Additionally, to the degree that it is inaccurate for cooler conditions, the results are conservative and tend to understate load impacts under those conditions.</w:t>
      </w:r>
      <w:r w:rsidR="00DC539B" w:rsidRPr="004B0378">
        <w:t xml:space="preserve"> </w:t>
      </w:r>
      <w:r w:rsidRPr="004B0378">
        <w:t>Given the uncertainty of the other components of the forecast such as the type and number of applicants, it was reasonable to maintain the full storage assumption until additional information becomes available</w:t>
      </w:r>
      <w:r w:rsidR="000A1E2A" w:rsidRPr="004B0378">
        <w:t>.</w:t>
      </w:r>
    </w:p>
    <w:p w:rsidR="000A1E2A" w:rsidRPr="004B0378" w:rsidRDefault="000A1E2A" w:rsidP="000A1E2A">
      <w:pPr>
        <w:pStyle w:val="AppendixHeading2"/>
      </w:pPr>
      <w:bookmarkStart w:id="132" w:name="_Toc408234004"/>
      <w:bookmarkStart w:id="133" w:name="_Toc408562641"/>
      <w:bookmarkStart w:id="134" w:name="_Toc412919733"/>
      <w:bookmarkStart w:id="135" w:name="_Toc412931260"/>
      <w:bookmarkStart w:id="136" w:name="_Toc507085080"/>
      <w:r w:rsidRPr="004B0378">
        <w:t>Updated Ex Ante Weather Conditions</w:t>
      </w:r>
      <w:bookmarkEnd w:id="132"/>
      <w:bookmarkEnd w:id="133"/>
      <w:bookmarkEnd w:id="134"/>
      <w:bookmarkEnd w:id="135"/>
      <w:bookmarkEnd w:id="136"/>
    </w:p>
    <w:p w:rsidR="000A1E2A" w:rsidRPr="004B0378" w:rsidRDefault="00E50899" w:rsidP="000A1E2A">
      <w:pPr>
        <w:pStyle w:val="BodyParagraph"/>
      </w:pPr>
      <w:r w:rsidRPr="004B0378">
        <w:t>Nexant developed updated ex ante weather conditions to meet the new requirement for reporting load impacts by CAISO system peak in addition to the utility system peak.</w:t>
      </w:r>
      <w:r w:rsidR="00DC539B" w:rsidRPr="004B0378">
        <w:t xml:space="preserve"> </w:t>
      </w:r>
      <w:r w:rsidRPr="004B0378">
        <w:t>The new ex ante weather data incorporated the most recent weather data available and was used for inputs in all of the building simulation models</w:t>
      </w:r>
      <w:r w:rsidR="000A1E2A" w:rsidRPr="004B0378">
        <w:t xml:space="preserve">. </w:t>
      </w:r>
    </w:p>
    <w:p w:rsidR="000A1E2A" w:rsidRPr="004B0378" w:rsidRDefault="00E50899" w:rsidP="000A1E2A">
      <w:pPr>
        <w:pStyle w:val="BodyParagraph"/>
      </w:pPr>
      <w:r w:rsidRPr="004B0378">
        <w:t>The building simulation modeling was completed at the LCA level, requiring ex ante weather data that accurately represented conditions in each LCA.</w:t>
      </w:r>
      <w:r w:rsidR="00DC539B" w:rsidRPr="004B0378">
        <w:t xml:space="preserve"> </w:t>
      </w:r>
      <w:r w:rsidRPr="004B0378">
        <w:t>Some LCAs had multiple weather stations, and in those cases, Nexant developed a weighted ex ante weather file based on the proportion of customers similar in size to existing PLS applicants assigned to each weather station within an LCA.</w:t>
      </w:r>
      <w:r w:rsidR="00DC539B" w:rsidRPr="004B0378">
        <w:t xml:space="preserve"> </w:t>
      </w:r>
      <w:r w:rsidRPr="004B0378">
        <w:t xml:space="preserve">Aggregating and weighting the weather before running the model rather </w:t>
      </w:r>
      <w:r w:rsidRPr="004B0378">
        <w:lastRenderedPageBreak/>
        <w:t>than running the building simulation models for each weather station minimized the number of costly building simulation runs</w:t>
      </w:r>
      <w:r w:rsidR="000A1E2A" w:rsidRPr="004B0378">
        <w:t>.</w:t>
      </w:r>
      <w:r w:rsidR="00DC539B" w:rsidRPr="004B0378">
        <w:t xml:space="preserve"> </w:t>
      </w:r>
    </w:p>
    <w:p w:rsidR="00D7503D" w:rsidRPr="004B0378" w:rsidRDefault="000A1E2A" w:rsidP="000A1E2A">
      <w:pPr>
        <w:pStyle w:val="BodyParagraph"/>
      </w:pPr>
      <w:r w:rsidRPr="004B0378">
        <w:t xml:space="preserve">The cooling load for each LCA building simulation model </w:t>
      </w:r>
      <w:r w:rsidR="00FC1C5A" w:rsidRPr="004B0378">
        <w:t>was</w:t>
      </w:r>
      <w:r w:rsidRPr="004B0378">
        <w:t xml:space="preserve"> calibrated using the new ex ante weather data such that the modeled cooling equipment </w:t>
      </w:r>
      <w:r w:rsidR="00FC1C5A" w:rsidRPr="004B0378">
        <w:t>was</w:t>
      </w:r>
      <w:r w:rsidRPr="004B0378">
        <w:t xml:space="preserve"> appropriate for the local weather conditions.</w:t>
      </w:r>
      <w:r w:rsidR="00DC539B" w:rsidRPr="004B0378">
        <w:t xml:space="preserve"> </w:t>
      </w:r>
      <w:r w:rsidRPr="004B0378">
        <w:t xml:space="preserve">The 1-in-10 peak conditions for each LCA </w:t>
      </w:r>
      <w:r w:rsidR="00FC1C5A" w:rsidRPr="004B0378">
        <w:t>was</w:t>
      </w:r>
      <w:r w:rsidRPr="004B0378">
        <w:t xml:space="preserve"> the hottest weather input, and thus determine</w:t>
      </w:r>
      <w:r w:rsidR="00FC1C5A" w:rsidRPr="004B0378">
        <w:t>d</w:t>
      </w:r>
      <w:r w:rsidRPr="004B0378">
        <w:t xml:space="preserve"> the maximum cooling load and associated peak load shift for each simulation model.</w:t>
      </w:r>
      <w:r w:rsidR="00DC539B" w:rsidRPr="004B0378">
        <w:t xml:space="preserve"> </w:t>
      </w:r>
      <w:r w:rsidRPr="004B0378">
        <w:t>This enable</w:t>
      </w:r>
      <w:r w:rsidR="00FC1C5A" w:rsidRPr="004B0378">
        <w:t>d</w:t>
      </w:r>
      <w:r w:rsidRPr="004B0378">
        <w:t xml:space="preserve"> the 1-in-10 peak day weather conditions to stand as a proxy for the conditions an engineer would </w:t>
      </w:r>
      <w:r w:rsidR="00FC1C5A" w:rsidRPr="004B0378">
        <w:t xml:space="preserve">have </w:t>
      </w:r>
      <w:r w:rsidRPr="004B0378">
        <w:t>use</w:t>
      </w:r>
      <w:r w:rsidR="00FC1C5A" w:rsidRPr="004B0378">
        <w:t>d</w:t>
      </w:r>
      <w:r w:rsidRPr="004B0378">
        <w:t xml:space="preserve"> to determine the maximum peak load shift for the incentive calculation.</w:t>
      </w:r>
      <w:r w:rsidR="00DC539B" w:rsidRPr="004B0378">
        <w:t xml:space="preserve"> </w:t>
      </w:r>
      <w:r w:rsidRPr="004B0378">
        <w:t xml:space="preserve">In other words, incentives </w:t>
      </w:r>
      <w:r w:rsidR="0050317D" w:rsidRPr="004B0378">
        <w:t>would</w:t>
      </w:r>
      <w:r w:rsidRPr="004B0378">
        <w:t xml:space="preserve"> </w:t>
      </w:r>
      <w:r w:rsidR="00FC1C5A" w:rsidRPr="004B0378">
        <w:t xml:space="preserve">have </w:t>
      </w:r>
      <w:r w:rsidRPr="004B0378">
        <w:t>always be</w:t>
      </w:r>
      <w:r w:rsidR="00FC1C5A" w:rsidRPr="004B0378">
        <w:t>en</w:t>
      </w:r>
      <w:r w:rsidRPr="004B0378">
        <w:t xml:space="preserve"> calculated based on</w:t>
      </w:r>
      <w:r w:rsidR="00710BBA" w:rsidRPr="004B0378">
        <w:t> </w:t>
      </w:r>
      <w:r w:rsidRPr="004B0378">
        <w:t>the peak load shift on the hottest day for a facility, and by design, the 1-in-10 peak day represent</w:t>
      </w:r>
      <w:r w:rsidR="00FC1C5A" w:rsidRPr="004B0378">
        <w:t>ed</w:t>
      </w:r>
      <w:r w:rsidRPr="004B0378">
        <w:t xml:space="preserve"> those conditions in the building simulation model. </w:t>
      </w:r>
    </w:p>
    <w:p w:rsidR="000A1E2A" w:rsidRPr="004B0378" w:rsidRDefault="000A1E2A" w:rsidP="000A1E2A">
      <w:pPr>
        <w:pStyle w:val="AppendixHeading2"/>
      </w:pPr>
      <w:bookmarkStart w:id="137" w:name="_Toc408234005"/>
      <w:bookmarkStart w:id="138" w:name="_Toc408562642"/>
      <w:bookmarkStart w:id="139" w:name="_Toc412919734"/>
      <w:bookmarkStart w:id="140" w:name="_Toc412931261"/>
      <w:bookmarkStart w:id="141" w:name="_Toc507085081"/>
      <w:r w:rsidRPr="004B0378">
        <w:t>Building Simulation Runs</w:t>
      </w:r>
      <w:bookmarkEnd w:id="137"/>
      <w:bookmarkEnd w:id="138"/>
      <w:bookmarkEnd w:id="139"/>
      <w:bookmarkEnd w:id="140"/>
      <w:bookmarkEnd w:id="141"/>
    </w:p>
    <w:p w:rsidR="000A1E2A" w:rsidRPr="004B0378" w:rsidRDefault="000A1E2A" w:rsidP="000A1E2A">
      <w:pPr>
        <w:pStyle w:val="BodyBeforeBullet"/>
      </w:pPr>
      <w:r w:rsidRPr="004B0378">
        <w:t xml:space="preserve">Nexant </w:t>
      </w:r>
      <w:r w:rsidR="0007479B" w:rsidRPr="004B0378">
        <w:t>used</w:t>
      </w:r>
      <w:r w:rsidRPr="004B0378">
        <w:t xml:space="preserve"> the building simulation model described in section A.1.1 along with the assumptions discussed in the remainder of appendix A and </w:t>
      </w:r>
      <w:r w:rsidR="0007479B" w:rsidRPr="004B0378">
        <w:t>applied</w:t>
      </w:r>
      <w:r w:rsidRPr="004B0378">
        <w:t xml:space="preserve"> it as the representative building for determining relative usage levels under different conditions.</w:t>
      </w:r>
      <w:r w:rsidR="00DC539B" w:rsidRPr="004B0378">
        <w:t xml:space="preserve"> </w:t>
      </w:r>
      <w:r w:rsidRPr="004B0378">
        <w:t>Nexant then estimate</w:t>
      </w:r>
      <w:r w:rsidR="0007479B" w:rsidRPr="004B0378">
        <w:t>d</w:t>
      </w:r>
      <w:r w:rsidRPr="004B0378">
        <w:t xml:space="preserve"> cooling load for that building under the following conditions for each LCA:</w:t>
      </w:r>
    </w:p>
    <w:p w:rsidR="000A1E2A" w:rsidRPr="004B0378" w:rsidRDefault="000A1E2A" w:rsidP="001A6711">
      <w:pPr>
        <w:pStyle w:val="Bullets"/>
      </w:pPr>
      <w:r w:rsidRPr="004B0378">
        <w:t>1-in-10</w:t>
      </w:r>
      <w:r w:rsidR="0007479B" w:rsidRPr="004B0378">
        <w:t xml:space="preserve"> maximum impact</w:t>
      </w:r>
      <w:r w:rsidRPr="004B0378">
        <w:t xml:space="preserve"> </w:t>
      </w:r>
      <w:r w:rsidR="0007479B" w:rsidRPr="004B0378">
        <w:t xml:space="preserve">utility specific </w:t>
      </w:r>
      <w:r w:rsidRPr="004B0378">
        <w:t>peak day as a proxy for incentive payment calculation conditions; and</w:t>
      </w:r>
    </w:p>
    <w:p w:rsidR="000A1E2A" w:rsidRPr="004B0378" w:rsidRDefault="000A1E2A" w:rsidP="001A6711">
      <w:pPr>
        <w:pStyle w:val="BulletLast"/>
      </w:pPr>
      <w:r w:rsidRPr="004B0378">
        <w:t>Ex ante weather conditions for each month of the year, for system peak day and average weekday, for 1-in-2 years and 1-in-10 years, for the utility and for CAISO.</w:t>
      </w:r>
      <w:r w:rsidR="00DC539B" w:rsidRPr="004B0378">
        <w:t xml:space="preserve"> </w:t>
      </w:r>
    </w:p>
    <w:p w:rsidR="000A1E2A" w:rsidRPr="004B0378" w:rsidRDefault="000A1E2A" w:rsidP="000A1E2A">
      <w:pPr>
        <w:pStyle w:val="AppendixHeading2"/>
      </w:pPr>
      <w:bookmarkStart w:id="142" w:name="_Toc408234006"/>
      <w:bookmarkStart w:id="143" w:name="_Toc408562643"/>
      <w:bookmarkStart w:id="144" w:name="_Toc412919735"/>
      <w:bookmarkStart w:id="145" w:name="_Toc412931262"/>
      <w:bookmarkStart w:id="146" w:name="_Toc507085082"/>
      <w:r w:rsidRPr="004B0378">
        <w:t>Conversion Factor Calculations</w:t>
      </w:r>
      <w:bookmarkEnd w:id="142"/>
      <w:bookmarkEnd w:id="143"/>
      <w:bookmarkEnd w:id="144"/>
      <w:bookmarkEnd w:id="145"/>
      <w:bookmarkEnd w:id="146"/>
    </w:p>
    <w:p w:rsidR="00506A70" w:rsidRPr="004B0378" w:rsidRDefault="000A1E2A" w:rsidP="000A1E2A">
      <w:pPr>
        <w:pStyle w:val="BodyParaAfterTableFigure"/>
        <w:spacing w:before="0" w:after="60"/>
      </w:pPr>
      <w:r w:rsidRPr="004B0378">
        <w:t xml:space="preserve">The output from the </w:t>
      </w:r>
      <w:proofErr w:type="spellStart"/>
      <w:r w:rsidRPr="004B0378">
        <w:t>eQUEST</w:t>
      </w:r>
      <w:proofErr w:type="spellEnd"/>
      <w:r w:rsidRPr="004B0378">
        <w:t xml:space="preserve"> model </w:t>
      </w:r>
      <w:r w:rsidR="0007479B" w:rsidRPr="004B0378">
        <w:t>was</w:t>
      </w:r>
      <w:r w:rsidRPr="004B0378">
        <w:t xml:space="preserve"> the estimated chiller load for each hour of the day under each of the conditions listed in A.3.</w:t>
      </w:r>
      <w:r w:rsidR="00DC539B" w:rsidRPr="004B0378">
        <w:t xml:space="preserve"> </w:t>
      </w:r>
      <w:r w:rsidRPr="004B0378">
        <w:t xml:space="preserve">Since these estimates </w:t>
      </w:r>
      <w:r w:rsidR="0007479B" w:rsidRPr="004B0378">
        <w:t>were</w:t>
      </w:r>
      <w:r w:rsidRPr="004B0378">
        <w:t xml:space="preserve"> for a representative building, they do not necessarily bear any relation to the projected peak shifting values from the</w:t>
      </w:r>
      <w:r w:rsidR="00D73BDD" w:rsidRPr="004B0378">
        <w:t> </w:t>
      </w:r>
      <w:r w:rsidRPr="004B0378">
        <w:t>enrollment forecast.</w:t>
      </w:r>
      <w:r w:rsidR="00DC539B" w:rsidRPr="004B0378">
        <w:t xml:space="preserve"> </w:t>
      </w:r>
      <w:r w:rsidRPr="004B0378">
        <w:t xml:space="preserve">Nexant then </w:t>
      </w:r>
      <w:r w:rsidR="0007479B" w:rsidRPr="004B0378">
        <w:t>applied</w:t>
      </w:r>
      <w:r w:rsidRPr="004B0378">
        <w:t xml:space="preserve"> the ratio of the </w:t>
      </w:r>
      <w:proofErr w:type="spellStart"/>
      <w:r w:rsidRPr="004B0378">
        <w:t>eQUEST</w:t>
      </w:r>
      <w:proofErr w:type="spellEnd"/>
      <w:r w:rsidRPr="004B0378">
        <w:t xml:space="preserve"> predicted loads under each set of ex ante conditions to the </w:t>
      </w:r>
      <w:proofErr w:type="spellStart"/>
      <w:r w:rsidRPr="004B0378">
        <w:t>eQUEST</w:t>
      </w:r>
      <w:proofErr w:type="spellEnd"/>
      <w:r w:rsidRPr="004B0378">
        <w:t xml:space="preserve"> predicted loads under the 1-in-10 peak day</w:t>
      </w:r>
      <w:r w:rsidR="00D73BDD" w:rsidRPr="004B0378">
        <w:rPr>
          <w:rFonts w:cs="Arial"/>
        </w:rPr>
        <w:t>—</w:t>
      </w:r>
      <w:r w:rsidRPr="004B0378">
        <w:t>as a</w:t>
      </w:r>
      <w:r w:rsidR="00D73BDD" w:rsidRPr="004B0378">
        <w:t> </w:t>
      </w:r>
      <w:r w:rsidRPr="004B0378">
        <w:t>proxy for incentive payment calculation conditions.</w:t>
      </w:r>
      <w:r w:rsidR="00DC539B" w:rsidRPr="004B0378">
        <w:t xml:space="preserve"> </w:t>
      </w:r>
      <w:r w:rsidRPr="004B0378">
        <w:t xml:space="preserve">These ratios </w:t>
      </w:r>
      <w:r w:rsidR="0007479B" w:rsidRPr="004B0378">
        <w:t>were</w:t>
      </w:r>
      <w:r w:rsidRPr="004B0378">
        <w:t xml:space="preserve"> used as the conversion factors described in Section 2.</w:t>
      </w:r>
      <w:r w:rsidR="00DC539B" w:rsidRPr="004B0378">
        <w:t xml:space="preserve"> </w:t>
      </w:r>
      <w:r w:rsidRPr="004B0378">
        <w:t>To ensure load reductions in the ex ante tables d</w:t>
      </w:r>
      <w:r w:rsidR="0007479B" w:rsidRPr="004B0378">
        <w:t>id</w:t>
      </w:r>
      <w:r w:rsidRPr="004B0378">
        <w:t xml:space="preserve"> not exceed the maximum load impact specified under the incentive payment conditions, the conversion factor ratios </w:t>
      </w:r>
      <w:r w:rsidR="0007479B" w:rsidRPr="004B0378">
        <w:t>were</w:t>
      </w:r>
      <w:r w:rsidRPr="004B0378">
        <w:t xml:space="preserve"> restricted to a maximum value of 1.</w:t>
      </w:r>
      <w:r w:rsidR="00DC539B" w:rsidRPr="004B0378">
        <w:t xml:space="preserve"> </w:t>
      </w:r>
    </w:p>
    <w:p w:rsidR="00506A70" w:rsidRPr="004B0378" w:rsidRDefault="00506A70">
      <w:pPr>
        <w:rPr>
          <w:rFonts w:ascii="Arial" w:hAnsi="Arial"/>
          <w:color w:val="1C1C1C"/>
        </w:rPr>
        <w:sectPr w:rsidR="00506A70" w:rsidRPr="004B0378" w:rsidSect="00DE049A">
          <w:headerReference w:type="default" r:id="rId76"/>
          <w:pgSz w:w="12240" w:h="15840"/>
          <w:pgMar w:top="1440" w:right="1440" w:bottom="1260" w:left="1440" w:header="720" w:footer="720" w:gutter="0"/>
          <w:cols w:space="720"/>
          <w:docGrid w:linePitch="360"/>
        </w:sectPr>
      </w:pPr>
    </w:p>
    <w:p w:rsidR="006E3FA6" w:rsidRPr="004B0378" w:rsidRDefault="006E3FA6" w:rsidP="00E50899">
      <w:pPr>
        <w:jc w:val="center"/>
        <w:rPr>
          <w:rFonts w:ascii="Arial" w:hAnsi="Arial"/>
          <w:b/>
          <w:color w:val="1C1C1C"/>
        </w:rPr>
      </w:pPr>
      <w:r w:rsidRPr="004B0378">
        <w:rPr>
          <w:rFonts w:ascii="Arial" w:hAnsi="Arial"/>
          <w:b/>
          <w:color w:val="1C1C1C"/>
        </w:rPr>
        <w:lastRenderedPageBreak/>
        <w:t>Table A-3: Summary of Ex Ante Conversion Factors for 1-in-2 and 1-in-10 Monthly System Peak Days</w:t>
      </w:r>
      <w:r w:rsidR="00CF4A71" w:rsidRPr="004B0378">
        <w:rPr>
          <w:rFonts w:ascii="Arial" w:hAnsi="Arial"/>
          <w:b/>
          <w:color w:val="1C1C1C"/>
        </w:rPr>
        <w:br/>
      </w:r>
      <w:r w:rsidRPr="004B0378">
        <w:rPr>
          <w:rFonts w:ascii="Arial" w:hAnsi="Arial"/>
          <w:b/>
          <w:color w:val="1C1C1C"/>
        </w:rPr>
        <w:t xml:space="preserve">(Ratios between peak PLS impact under ex ante conditions and Utility Specific annual maximum </w:t>
      </w:r>
      <w:r w:rsidR="00E50899" w:rsidRPr="004B0378">
        <w:rPr>
          <w:rFonts w:ascii="Arial" w:hAnsi="Arial"/>
          <w:b/>
          <w:color w:val="1C1C1C"/>
        </w:rPr>
        <w:br/>
      </w:r>
      <w:r w:rsidRPr="004B0378">
        <w:rPr>
          <w:rFonts w:ascii="Arial" w:hAnsi="Arial"/>
          <w:b/>
          <w:color w:val="1C1C1C"/>
        </w:rPr>
        <w:t>1-in-10 monthly system peak day PLS impact)</w:t>
      </w:r>
    </w:p>
    <w:p w:rsidR="001B0ACB" w:rsidRDefault="006E3FA6" w:rsidP="007D5855">
      <w:r w:rsidRPr="004B0378">
        <w:rPr>
          <w:noProof/>
        </w:rPr>
        <w:drawing>
          <wp:inline distT="0" distB="0" distL="0" distR="0" wp14:anchorId="73382B3D" wp14:editId="4CDFA970">
            <wp:extent cx="8229600" cy="4488207"/>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229600" cy="4488207"/>
                    </a:xfrm>
                    <a:prstGeom prst="rect">
                      <a:avLst/>
                    </a:prstGeom>
                    <a:noFill/>
                    <a:ln>
                      <a:noFill/>
                    </a:ln>
                  </pic:spPr>
                </pic:pic>
              </a:graphicData>
            </a:graphic>
          </wp:inline>
        </w:drawing>
      </w:r>
    </w:p>
    <w:p w:rsidR="00062E36" w:rsidRDefault="00062E36">
      <w:pPr>
        <w:rPr>
          <w:rFonts w:ascii="Arial" w:eastAsia="Times New Roman" w:hAnsi="Arial" w:cs="Times New Roman"/>
          <w:b/>
          <w:color w:val="0070CD"/>
          <w:sz w:val="28"/>
          <w:szCs w:val="28"/>
        </w:rPr>
      </w:pPr>
      <w:r>
        <w:br w:type="page"/>
      </w:r>
    </w:p>
    <w:p w:rsidR="00104CD4" w:rsidRDefault="00104CD4">
      <w:pPr>
        <w:pStyle w:val="AppendixHeading"/>
        <w:sectPr w:rsidR="00104CD4" w:rsidSect="007D5855">
          <w:footerReference w:type="default" r:id="rId78"/>
          <w:pgSz w:w="15840" w:h="12240" w:orient="landscape"/>
          <w:pgMar w:top="1440" w:right="1440" w:bottom="1440" w:left="1440" w:header="720" w:footer="720" w:gutter="0"/>
          <w:cols w:space="720"/>
          <w:docGrid w:linePitch="360"/>
        </w:sectPr>
      </w:pPr>
      <w:bookmarkStart w:id="147" w:name="_Ref476215935"/>
    </w:p>
    <w:p w:rsidR="00062E36" w:rsidRDefault="00062E36" w:rsidP="00AC2309">
      <w:pPr>
        <w:pStyle w:val="AppendixHeading"/>
        <w:ind w:left="2160" w:hanging="2160"/>
      </w:pPr>
      <w:bookmarkStart w:id="148" w:name="_Toc507085083"/>
      <w:r>
        <w:lastRenderedPageBreak/>
        <w:t xml:space="preserve">Methodology to Estimate Chiller kW Based on </w:t>
      </w:r>
      <w:r w:rsidR="00C55195">
        <w:br/>
      </w:r>
      <w:r>
        <w:t>Chiller Amperage</w:t>
      </w:r>
      <w:bookmarkEnd w:id="147"/>
      <w:bookmarkEnd w:id="148"/>
    </w:p>
    <w:p w:rsidR="00062E36" w:rsidRDefault="00F72F3F" w:rsidP="00062E36">
      <w:pPr>
        <w:pStyle w:val="BodyParagraph"/>
      </w:pPr>
      <w:r>
        <w:t>There were several data management issues that needed to be resolved in order to conduct the</w:t>
      </w:r>
      <w:r w:rsidR="00820B4B">
        <w:t> </w:t>
      </w:r>
      <w:r>
        <w:t xml:space="preserve">ex post analysis using operational data. </w:t>
      </w:r>
      <w:r w:rsidRPr="00A26C32">
        <w:t>The data were collected for a three month pre-TES installation period spanning July to September 2015. The customer installed the TES system sometime in May 2016, and post-installation data span May through October 2016, with some missing data between September and October.</w:t>
      </w:r>
      <w:r w:rsidRPr="00A26C32">
        <w:rPr>
          <w:rStyle w:val="FootnoteReference"/>
        </w:rPr>
        <w:footnoteReference w:id="36"/>
      </w:r>
      <w:r w:rsidRPr="00A26C32">
        <w:t xml:space="preserve"> In addition to the missing data, the customer initially captured the chiller component of cooling system load as a current measurement (unit of</w:t>
      </w:r>
      <w:r w:rsidR="00820B4B">
        <w:t> </w:t>
      </w:r>
      <w:r w:rsidRPr="00A26C32">
        <w:t>amps) instead of electricity demand (kW). The customer was later able to provide the corresponding chiller kW data for May through July</w:t>
      </w:r>
      <w:r w:rsidR="00820B4B">
        <w:t>;</w:t>
      </w:r>
      <w:r w:rsidR="00820B4B" w:rsidRPr="00A26C32">
        <w:t xml:space="preserve"> </w:t>
      </w:r>
      <w:r w:rsidRPr="00A26C32">
        <w:t>however</w:t>
      </w:r>
      <w:r w:rsidR="00820B4B">
        <w:t>,</w:t>
      </w:r>
      <w:r w:rsidRPr="00A26C32">
        <w:t xml:space="preserve"> the remaining chiller data for August to October </w:t>
      </w:r>
      <w:r>
        <w:t>wa</w:t>
      </w:r>
      <w:r w:rsidRPr="00A26C32">
        <w:t>s recorded in amps. Nexant used the three month period with overlapping chiller kW and amps data to estimate a relationship between current and electricity demand and used this relationship to convert the amperage data to kW for August to October.</w:t>
      </w:r>
      <w:r>
        <w:t xml:space="preserve"> While there are known equations to directly convert from amps to kW, the observed values for the system’s power factor and </w:t>
      </w:r>
      <w:r w:rsidR="00A4298A">
        <w:t xml:space="preserve">additional </w:t>
      </w:r>
      <w:r>
        <w:t>voltage</w:t>
      </w:r>
      <w:r w:rsidR="00A4298A">
        <w:t xml:space="preserve"> information</w:t>
      </w:r>
      <w:r>
        <w:t xml:space="preserve"> were unavailable, thus necessitating the need to develop an estimation model. </w:t>
      </w:r>
      <w:r w:rsidR="00A4298A">
        <w:t xml:space="preserve">The power factor is a ratio of the real power that is used to do the work and the apparent power that is supplied to the circuit, and is a value that varies with the proportion of the chiller’s capacity that is being used. </w:t>
      </w:r>
    </w:p>
    <w:p w:rsidR="00F72F3F" w:rsidRDefault="00F72F3F" w:rsidP="00062E36">
      <w:pPr>
        <w:pStyle w:val="BodyParagraph"/>
      </w:pPr>
      <w:r>
        <w:t xml:space="preserve">Figure B-1 shows a plot of the relationship between the observed current (amps) and electric load (kW) values from the period with overlapping data. </w:t>
      </w:r>
      <w:r w:rsidR="00322CFB">
        <w:t>The relationship appears roughly linear; however</w:t>
      </w:r>
      <w:r w:rsidR="00820B4B">
        <w:t>,</w:t>
      </w:r>
      <w:r w:rsidR="00322CFB">
        <w:t xml:space="preserve"> the relationship between kW and amps is proportional to a series of constants, the power factor, and the voltage. Thus, depending on the proportion of total chiller capacity being used, there is a range of observable electricity demand. </w:t>
      </w:r>
    </w:p>
    <w:p w:rsidR="001D1C3E" w:rsidRPr="009F447F" w:rsidRDefault="001D1C3E" w:rsidP="001D1C3E">
      <w:pPr>
        <w:pStyle w:val="Caption"/>
        <w:spacing w:after="60"/>
      </w:pPr>
      <w:r w:rsidRPr="009F447F">
        <w:lastRenderedPageBreak/>
        <w:t>Figure B</w:t>
      </w:r>
      <w:r w:rsidRPr="009F447F">
        <w:noBreakHyphen/>
      </w:r>
      <w:fldSimple w:instr=" SEQ Figure \* ARABIC \s 1 ">
        <w:r w:rsidRPr="009F447F">
          <w:rPr>
            <w:noProof/>
          </w:rPr>
          <w:t>1</w:t>
        </w:r>
      </w:fldSimple>
      <w:r w:rsidRPr="009F447F">
        <w:t xml:space="preserve">: Observed Chiller kW </w:t>
      </w:r>
      <w:proofErr w:type="spellStart"/>
      <w:r w:rsidRPr="009F447F">
        <w:t>vs</w:t>
      </w:r>
      <w:proofErr w:type="spellEnd"/>
      <w:r w:rsidRPr="009F447F">
        <w:t xml:space="preserve"> Observed Chiller Current (amps) – </w:t>
      </w:r>
    </w:p>
    <w:p w:rsidR="001D1C3E" w:rsidRDefault="001D1C3E" w:rsidP="001D1C3E">
      <w:pPr>
        <w:pStyle w:val="Caption"/>
      </w:pPr>
      <w:r w:rsidRPr="009F447F">
        <w:t>May–July 2016</w:t>
      </w:r>
    </w:p>
    <w:p w:rsidR="001D1C3E" w:rsidRDefault="001D1C3E" w:rsidP="001D1C3E">
      <w:pPr>
        <w:pStyle w:val="Caption"/>
      </w:pPr>
      <w:r w:rsidRPr="006C2F88">
        <w:rPr>
          <w:noProof/>
        </w:rPr>
        <w:drawing>
          <wp:inline distT="0" distB="0" distL="0" distR="0" wp14:anchorId="6DBB3CDC" wp14:editId="431AC7B9">
            <wp:extent cx="5943600" cy="2971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pStyle w:val="Caption"/>
      </w:pPr>
      <w:r w:rsidRPr="006C2F88">
        <w:rPr>
          <w:noProof/>
        </w:rPr>
        <w:drawing>
          <wp:inline distT="0" distB="0" distL="0" distR="0" wp14:anchorId="756CCB29" wp14:editId="69BAE49E">
            <wp:extent cx="5943600" cy="2971800"/>
            <wp:effectExtent l="0" t="0" r="0" b="0"/>
            <wp:docPr id="3091" name="Picture 3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481104" w:rsidRDefault="00481104" w:rsidP="003708EA">
      <w:pPr>
        <w:pStyle w:val="BodyBeforeBullet"/>
      </w:pPr>
      <w:r>
        <w:t xml:space="preserve">Given the approximately linear relationship, </w:t>
      </w:r>
      <w:r w:rsidR="00322CFB">
        <w:t>Nexant tested two models to estimate chiller kW based on recorded current</w:t>
      </w:r>
      <w:r w:rsidR="00820B4B">
        <w:t xml:space="preserve">: </w:t>
      </w:r>
    </w:p>
    <w:p w:rsidR="00481104" w:rsidRDefault="00481104" w:rsidP="00A17B89">
      <w:pPr>
        <w:pStyle w:val="Bullets"/>
      </w:pPr>
      <w:r w:rsidRPr="00A17B89">
        <w:rPr>
          <w:b/>
        </w:rPr>
        <w:t>Model 1</w:t>
      </w:r>
      <w:r w:rsidR="00820B4B">
        <w:t>—</w:t>
      </w:r>
      <w:r>
        <w:t>Use</w:t>
      </w:r>
      <w:r w:rsidR="00322CFB">
        <w:t xml:space="preserve"> a linear rela</w:t>
      </w:r>
      <w:r>
        <w:t>tionship between current and kW</w:t>
      </w:r>
      <w:r w:rsidR="00322CFB">
        <w:t xml:space="preserve"> and directly predict kW</w:t>
      </w:r>
      <w:r>
        <w:t xml:space="preserve"> from the observed amperage data</w:t>
      </w:r>
      <w:r w:rsidR="00322CFB">
        <w:t xml:space="preserve">. </w:t>
      </w:r>
    </w:p>
    <w:p w:rsidR="00322CFB" w:rsidRDefault="00481104" w:rsidP="00A17B89">
      <w:pPr>
        <w:pStyle w:val="BulletLast"/>
      </w:pPr>
      <w:r w:rsidRPr="00A17B89">
        <w:rPr>
          <w:b/>
        </w:rPr>
        <w:t>Model 2</w:t>
      </w:r>
      <w:r w:rsidR="00820B4B">
        <w:t>—</w:t>
      </w:r>
      <w:r>
        <w:t>P</w:t>
      </w:r>
      <w:r w:rsidR="00DE37CF">
        <w:t xml:space="preserve">redict power factor based on the proportion of total capacity used during a given interval. We were able to roughly calculate this value based on the engineering specifications for the chillers provided by the engineering firm that was collecting and managing the data. The specifications indicated a maximum current capacity of 570 amps, </w:t>
      </w:r>
      <w:r w:rsidR="00DE37CF">
        <w:lastRenderedPageBreak/>
        <w:t xml:space="preserve">so the proportional capacity was calculated as the ratio of the observed current and the maximum current. </w:t>
      </w:r>
      <w:r>
        <w:t>The other inputs to calculating power factor include the ratio of observed kW to amps, several constants, and voltage.</w:t>
      </w:r>
      <w:r>
        <w:rPr>
          <w:rStyle w:val="FootnoteReference"/>
        </w:rPr>
        <w:footnoteReference w:id="37"/>
      </w:r>
    </w:p>
    <w:p w:rsidR="00DE37CF" w:rsidRDefault="00481104" w:rsidP="00322CFB">
      <w:pPr>
        <w:spacing w:before="240"/>
      </w:pPr>
      <w:r>
        <w:t>Nexant used each model to predict chiller kW using the observed amperage and compared the resul</w:t>
      </w:r>
      <w:r w:rsidR="008F094E">
        <w:t xml:space="preserve">ts to the actually observed kW. </w:t>
      </w:r>
      <w:proofErr w:type="gramStart"/>
      <w:r w:rsidR="008F094E">
        <w:t>Figures B-2 through B-7 show the comparison of the actual values to model predictions for the average weekday in each month with overlapping amperage and kW data.</w:t>
      </w:r>
      <w:proofErr w:type="gramEnd"/>
    </w:p>
    <w:p w:rsidR="008F094E" w:rsidRDefault="008F094E" w:rsidP="00322CFB">
      <w:pPr>
        <w:spacing w:before="240"/>
      </w:pPr>
    </w:p>
    <w:p w:rsidR="001D1C3E" w:rsidRDefault="001D1C3E" w:rsidP="001D1C3E">
      <w:pPr>
        <w:pStyle w:val="Caption"/>
      </w:pPr>
      <w:r w:rsidRPr="009F447F">
        <w:t>Figure B</w:t>
      </w:r>
      <w:r w:rsidRPr="009F447F">
        <w:noBreakHyphen/>
      </w:r>
      <w:fldSimple w:instr=" SEQ Figure \* ARABIC \s 1 ">
        <w:r w:rsidRPr="009F447F">
          <w:rPr>
            <w:noProof/>
          </w:rPr>
          <w:t>2</w:t>
        </w:r>
      </w:fldSimple>
      <w:r w:rsidRPr="009F447F">
        <w:t xml:space="preserve">: Comparison of Actual vs. Predicted kW </w:t>
      </w:r>
      <w:r w:rsidRPr="009F447F">
        <w:br/>
        <w:t>for the May Average Weekday – Model 1</w:t>
      </w:r>
    </w:p>
    <w:p w:rsidR="001D1C3E" w:rsidRDefault="001D1C3E" w:rsidP="001D1C3E">
      <w:pPr>
        <w:jc w:val="center"/>
      </w:pPr>
      <w:r w:rsidRPr="006C2F88">
        <w:rPr>
          <w:noProof/>
        </w:rPr>
        <w:drawing>
          <wp:inline distT="0" distB="0" distL="0" distR="0" wp14:anchorId="56389731" wp14:editId="540D10AF">
            <wp:extent cx="5943600" cy="2971800"/>
            <wp:effectExtent l="0" t="0" r="0" b="0"/>
            <wp:docPr id="3092" name="Picture 3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pStyle w:val="Caption"/>
      </w:pPr>
      <w:r w:rsidRPr="009F447F">
        <w:lastRenderedPageBreak/>
        <w:t>Figure B</w:t>
      </w:r>
      <w:r w:rsidRPr="009F447F">
        <w:noBreakHyphen/>
      </w:r>
      <w:fldSimple w:instr=" SEQ Figure \* ARABIC \s 1 ">
        <w:r w:rsidRPr="009F447F">
          <w:rPr>
            <w:noProof/>
          </w:rPr>
          <w:t>3</w:t>
        </w:r>
      </w:fldSimple>
      <w:r w:rsidRPr="009F447F">
        <w:t xml:space="preserve">: Comparison of Actual vs. Predicted kW </w:t>
      </w:r>
      <w:r w:rsidRPr="009F447F">
        <w:br/>
        <w:t>for the June Average Weekday – Model 1</w:t>
      </w:r>
    </w:p>
    <w:p w:rsidR="001D1C3E" w:rsidRDefault="001D1C3E" w:rsidP="001D1C3E">
      <w:pPr>
        <w:jc w:val="center"/>
      </w:pPr>
      <w:r w:rsidRPr="006C2F88">
        <w:rPr>
          <w:noProof/>
        </w:rPr>
        <w:drawing>
          <wp:inline distT="0" distB="0" distL="0" distR="0" wp14:anchorId="1445FA45" wp14:editId="5B9EE3BC">
            <wp:extent cx="5943600" cy="2971800"/>
            <wp:effectExtent l="0" t="0" r="0" b="0"/>
            <wp:docPr id="3093" name="Picture 3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pStyle w:val="Caption"/>
      </w:pPr>
      <w:r w:rsidRPr="009F447F">
        <w:t>Figure B</w:t>
      </w:r>
      <w:r w:rsidRPr="009F447F">
        <w:noBreakHyphen/>
      </w:r>
      <w:fldSimple w:instr=" SEQ Figure \* ARABIC \s 1 ">
        <w:r w:rsidRPr="009F447F">
          <w:rPr>
            <w:noProof/>
          </w:rPr>
          <w:t>4</w:t>
        </w:r>
      </w:fldSimple>
      <w:r w:rsidRPr="009F447F">
        <w:t xml:space="preserve">: Comparison of Actual vs. Predicted kW </w:t>
      </w:r>
      <w:r w:rsidRPr="009F447F">
        <w:br/>
        <w:t>for the July Average Weekday – Model 1</w:t>
      </w:r>
    </w:p>
    <w:p w:rsidR="001D1C3E" w:rsidRDefault="001D1C3E" w:rsidP="001D1C3E">
      <w:pPr>
        <w:jc w:val="center"/>
      </w:pPr>
      <w:r w:rsidRPr="006C2F88">
        <w:rPr>
          <w:noProof/>
        </w:rPr>
        <w:drawing>
          <wp:inline distT="0" distB="0" distL="0" distR="0" wp14:anchorId="799385C0" wp14:editId="2B7F0A84">
            <wp:extent cx="5943600" cy="2971800"/>
            <wp:effectExtent l="0" t="0" r="0" b="0"/>
            <wp:docPr id="3094" name="Picture 3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pStyle w:val="Caption"/>
      </w:pPr>
      <w:r w:rsidRPr="009F447F">
        <w:lastRenderedPageBreak/>
        <w:t>Figure B</w:t>
      </w:r>
      <w:r w:rsidRPr="009F447F">
        <w:noBreakHyphen/>
      </w:r>
      <w:fldSimple w:instr=" SEQ Figure \* ARABIC \s 1 ">
        <w:r w:rsidRPr="009F447F">
          <w:rPr>
            <w:noProof/>
          </w:rPr>
          <w:t>5</w:t>
        </w:r>
      </w:fldSimple>
      <w:r w:rsidRPr="009F447F">
        <w:t xml:space="preserve">: Comparison of Actual vs. Predicted kW </w:t>
      </w:r>
      <w:r w:rsidRPr="009F447F">
        <w:br/>
        <w:t>for the May Average Weekday – Model 2</w:t>
      </w:r>
    </w:p>
    <w:p w:rsidR="001D1C3E" w:rsidRDefault="001D1C3E" w:rsidP="001D1C3E">
      <w:pPr>
        <w:jc w:val="center"/>
      </w:pPr>
      <w:r w:rsidRPr="006C2F88">
        <w:rPr>
          <w:noProof/>
        </w:rPr>
        <w:drawing>
          <wp:inline distT="0" distB="0" distL="0" distR="0" wp14:anchorId="43C335DB" wp14:editId="32F5EC79">
            <wp:extent cx="5943600" cy="2971800"/>
            <wp:effectExtent l="0" t="0" r="0" b="0"/>
            <wp:docPr id="3095" name="Picture 3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pStyle w:val="Caption"/>
      </w:pPr>
      <w:r w:rsidRPr="009F447F">
        <w:t>Figure B</w:t>
      </w:r>
      <w:r w:rsidRPr="009F447F">
        <w:noBreakHyphen/>
      </w:r>
      <w:fldSimple w:instr=" SEQ Figure \* ARABIC \s 1 ">
        <w:r w:rsidRPr="009F447F">
          <w:rPr>
            <w:noProof/>
          </w:rPr>
          <w:t>6</w:t>
        </w:r>
      </w:fldSimple>
      <w:r w:rsidRPr="009F447F">
        <w:t xml:space="preserve">: Comparison of Actual vs. Predicted kW </w:t>
      </w:r>
      <w:r w:rsidRPr="009F447F">
        <w:br/>
        <w:t>for the June Average Weekday – Model 2</w:t>
      </w:r>
    </w:p>
    <w:p w:rsidR="001D1C3E" w:rsidRDefault="001D1C3E" w:rsidP="001D1C3E">
      <w:pPr>
        <w:jc w:val="center"/>
      </w:pPr>
      <w:r w:rsidRPr="006C2F88">
        <w:rPr>
          <w:noProof/>
        </w:rPr>
        <w:drawing>
          <wp:inline distT="0" distB="0" distL="0" distR="0" wp14:anchorId="1F7DB699" wp14:editId="34D2E0DA">
            <wp:extent cx="5943600" cy="2971800"/>
            <wp:effectExtent l="0" t="0" r="0" b="0"/>
            <wp:docPr id="3096" name="Picture 3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Default="001D1C3E" w:rsidP="001D1C3E">
      <w:pPr>
        <w:pStyle w:val="Caption"/>
      </w:pPr>
      <w:r w:rsidRPr="009F447F">
        <w:lastRenderedPageBreak/>
        <w:t>Figure B</w:t>
      </w:r>
      <w:r w:rsidRPr="009F447F">
        <w:noBreakHyphen/>
      </w:r>
      <w:fldSimple w:instr=" SEQ Figure \* ARABIC \s 1 ">
        <w:r w:rsidRPr="009F447F">
          <w:rPr>
            <w:noProof/>
          </w:rPr>
          <w:t>7</w:t>
        </w:r>
      </w:fldSimple>
      <w:r w:rsidRPr="009F447F">
        <w:t xml:space="preserve">: Comparison of Actual vs. Predicted kW </w:t>
      </w:r>
      <w:r w:rsidRPr="009F447F">
        <w:br/>
        <w:t>for the July Average Weekday – Model 2</w:t>
      </w:r>
    </w:p>
    <w:p w:rsidR="001D1C3E" w:rsidRPr="008F094E" w:rsidRDefault="001D1C3E" w:rsidP="001D1C3E">
      <w:pPr>
        <w:jc w:val="center"/>
      </w:pPr>
      <w:r w:rsidRPr="006C2F88">
        <w:rPr>
          <w:noProof/>
        </w:rPr>
        <w:drawing>
          <wp:inline distT="0" distB="0" distL="0" distR="0" wp14:anchorId="1908D9CC" wp14:editId="03982F58">
            <wp:extent cx="5943600" cy="2971800"/>
            <wp:effectExtent l="0" t="0" r="0" b="0"/>
            <wp:docPr id="3097" name="Picture 3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1D1C3E" w:rsidRPr="008F094E" w:rsidRDefault="001D1C3E" w:rsidP="001D1C3E">
      <w:r>
        <w:t xml:space="preserve">The figures above show that both models predict chiller kW quite well, on average. To select the final model, we developed accuracy metrics, similar to those used in the ex post and ex ante model selections, to compare the performance of each model during the operational load shifting hours of noon to 6 PM. </w:t>
      </w:r>
      <w:r w:rsidRPr="00095491">
        <w:t>The final model was selected on the basis of average percent error, taking into account both its absolute value and its deviation across the excluded days, provided that the absolute sum of errors was acceptable rel</w:t>
      </w:r>
      <w:r>
        <w:t>ative to other potential model. Overall, Model 1, the direct estimation of chiller kW from observed amperage, performed slightly better than Model 2, and on average, underestimates chiller kW by 2.2 kW during the operational load shifting hours of noon to 6 PM.</w:t>
      </w:r>
    </w:p>
    <w:p w:rsidR="001D1C3E" w:rsidRPr="008F094E" w:rsidRDefault="001D1C3E" w:rsidP="001D1C3E">
      <w:pPr>
        <w:jc w:val="center"/>
      </w:pPr>
    </w:p>
    <w:p w:rsidR="008F094E" w:rsidRPr="008F094E" w:rsidRDefault="008F094E" w:rsidP="001D1C3E">
      <w:pPr>
        <w:pStyle w:val="Caption"/>
      </w:pPr>
    </w:p>
    <w:sectPr w:rsidR="008F094E" w:rsidRPr="008F094E" w:rsidSect="003708EA">
      <w:footerReference w:type="default" r:id="rId7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0B64" w:rsidRDefault="000E0B64" w:rsidP="00DB35F9">
      <w:pPr>
        <w:spacing w:after="0" w:line="240" w:lineRule="auto"/>
      </w:pPr>
      <w:r>
        <w:separator/>
      </w:r>
    </w:p>
  </w:endnote>
  <w:endnote w:type="continuationSeparator" w:id="0">
    <w:p w:rsidR="000E0B64" w:rsidRDefault="000E0B64" w:rsidP="00DB35F9">
      <w:pPr>
        <w:spacing w:after="0" w:line="240" w:lineRule="auto"/>
      </w:pPr>
      <w:r>
        <w:continuationSeparator/>
      </w:r>
    </w:p>
  </w:endnote>
  <w:endnote w:type="continuationNotice" w:id="1">
    <w:p w:rsidR="000E0B64" w:rsidRDefault="000E0B6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Franklin Gothic Book">
    <w:altName w:val="Franklin Gothic Medium"/>
    <w:charset w:val="00"/>
    <w:family w:val="swiss"/>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TitilliumText22L Xb">
    <w:altName w:val="Arial"/>
    <w:panose1 w:val="00000000000000000000"/>
    <w:charset w:val="00"/>
    <w:family w:val="modern"/>
    <w:notTrueType/>
    <w:pitch w:val="variable"/>
    <w:sig w:usb0="A00000EF" w:usb1="0000004B" w:usb2="00000000" w:usb3="00000000" w:csb0="00000193" w:csb1="00000000"/>
  </w:font>
  <w:font w:name="Arial Black">
    <w:panose1 w:val="020B0A04020102020204"/>
    <w:charset w:val="00"/>
    <w:family w:val="swiss"/>
    <w:pitch w:val="variable"/>
    <w:sig w:usb0="A00002AF" w:usb1="400078FB" w:usb2="00000000" w:usb3="00000000" w:csb0="0000009F" w:csb1="00000000"/>
  </w:font>
  <w:font w:name="Arial Bold">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Default="003A34B9" w:rsidP="002C5BF9">
    <w:pPr>
      <w:pStyle w:val="Footer"/>
      <w:jc w:val="right"/>
      <w:rPr>
        <w:rFonts w:ascii="TitilliumText22L Xb" w:eastAsiaTheme="minorHAnsi" w:hAnsi="TitilliumText22L Xb" w:cstheme="minorBidi"/>
        <w:szCs w:val="22"/>
      </w:rPr>
    </w:pPr>
    <w:r>
      <w:rPr>
        <w:rFonts w:ascii="TitilliumText22L Xb" w:hAnsi="TitilliumText22L Xb"/>
        <w:noProof/>
      </w:rPr>
      <w:drawing>
        <wp:anchor distT="0" distB="0" distL="114300" distR="114300" simplePos="0" relativeHeight="251673600" behindDoc="0" locked="0" layoutInCell="1" allowOverlap="1" wp14:anchorId="22B773B5" wp14:editId="72DEAD69">
          <wp:simplePos x="0" y="0"/>
          <wp:positionH relativeFrom="column">
            <wp:posOffset>-135496</wp:posOffset>
          </wp:positionH>
          <wp:positionV relativeFrom="paragraph">
            <wp:posOffset>-118682</wp:posOffset>
          </wp:positionV>
          <wp:extent cx="2080206" cy="425002"/>
          <wp:effectExtent l="19050" t="0" r="0" b="0"/>
          <wp:wrapNone/>
          <wp:docPr id="11" name="Picture 11" descr="FSC Logo NEW PURPL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C Logo NEW PURPLE 2007"/>
                  <pic:cNvPicPr>
                    <a:picLocks noChangeAspect="1" noChangeArrowheads="1"/>
                  </pic:cNvPicPr>
                </pic:nvPicPr>
                <pic:blipFill>
                  <a:blip r:embed="rId1"/>
                  <a:srcRect/>
                  <a:stretch>
                    <a:fillRect/>
                  </a:stretch>
                </pic:blipFill>
                <pic:spPr bwMode="auto">
                  <a:xfrm>
                    <a:off x="0" y="0"/>
                    <a:ext cx="2080206" cy="425002"/>
                  </a:xfrm>
                  <a:prstGeom prst="rect">
                    <a:avLst/>
                  </a:prstGeom>
                  <a:noFill/>
                </pic:spPr>
              </pic:pic>
            </a:graphicData>
          </a:graphic>
        </wp:anchor>
      </w:drawing>
    </w:r>
    <w:sdt>
      <w:sdtPr>
        <w:rPr>
          <w:rFonts w:ascii="TitilliumText22L Xb" w:hAnsi="TitilliumText22L Xb"/>
        </w:rPr>
        <w:id w:val="1694266858"/>
        <w:docPartObj>
          <w:docPartGallery w:val="Page Numbers (Bottom of Page)"/>
          <w:docPartUnique/>
        </w:docPartObj>
      </w:sdtPr>
      <w:sdtContent>
        <w:r w:rsidRPr="00344C3B">
          <w:rPr>
            <w:rFonts w:ascii="Arial Black" w:hAnsi="Arial Black"/>
            <w:color w:val="808080" w:themeColor="background1" w:themeShade="80"/>
          </w:rPr>
          <w:fldChar w:fldCharType="begin"/>
        </w:r>
        <w:r w:rsidRPr="00344C3B">
          <w:rPr>
            <w:rFonts w:ascii="Arial Black" w:hAnsi="Arial Black"/>
            <w:color w:val="808080" w:themeColor="background1" w:themeShade="80"/>
          </w:rPr>
          <w:instrText xml:space="preserve"> PAGE   \* MERGEFORMAT </w:instrText>
        </w:r>
        <w:r w:rsidRPr="00344C3B">
          <w:rPr>
            <w:rFonts w:ascii="Arial Black" w:hAnsi="Arial Black"/>
            <w:color w:val="808080" w:themeColor="background1" w:themeShade="80"/>
          </w:rPr>
          <w:fldChar w:fldCharType="separate"/>
        </w:r>
        <w:r>
          <w:rPr>
            <w:rFonts w:ascii="Arial Black" w:hAnsi="Arial Black"/>
            <w:noProof/>
            <w:color w:val="808080" w:themeColor="background1" w:themeShade="80"/>
          </w:rPr>
          <w:t>6</w:t>
        </w:r>
        <w:r w:rsidRPr="00344C3B">
          <w:rPr>
            <w:rFonts w:ascii="Arial Black" w:hAnsi="Arial Black"/>
            <w:color w:val="808080" w:themeColor="background1" w:themeShade="80"/>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Default="003A34B9" w:rsidP="00DB35F9">
    <w:pPr>
      <w:pStyle w:val="Footer"/>
      <w:jc w:val="right"/>
    </w:pPr>
  </w:p>
  <w:p w:rsidR="003A34B9" w:rsidRDefault="003A34B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321715" w:rsidRDefault="003A34B9" w:rsidP="00B50663">
    <w:pPr>
      <w:pStyle w:val="Footer"/>
      <w:jc w:val="right"/>
      <w:rPr>
        <w:sz w:val="20"/>
        <w:szCs w:val="20"/>
      </w:rPr>
    </w:pPr>
  </w:p>
  <w:p w:rsidR="003A34B9" w:rsidRDefault="003A34B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555314294"/>
      <w:docPartObj>
        <w:docPartGallery w:val="Page Numbers (Bottom of Page)"/>
        <w:docPartUnique/>
      </w:docPartObj>
    </w:sdtPr>
    <w:sdtContent>
      <w:p w:rsidR="003A34B9" w:rsidRPr="000E73DD" w:rsidRDefault="003A34B9" w:rsidP="00060B2F">
        <w:pPr>
          <w:pStyle w:val="Footer"/>
          <w:tabs>
            <w:tab w:val="clear" w:pos="4320"/>
            <w:tab w:val="clear" w:pos="8640"/>
            <w:tab w:val="right" w:pos="93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61824" behindDoc="1" locked="0" layoutInCell="1" allowOverlap="1" wp14:anchorId="2D0B1ACC" wp14:editId="1E0FDEB3">
              <wp:simplePos x="0" y="0"/>
              <wp:positionH relativeFrom="column">
                <wp:posOffset>-154216</wp:posOffset>
              </wp:positionH>
              <wp:positionV relativeFrom="paragraph">
                <wp:posOffset>-29003</wp:posOffset>
              </wp:positionV>
              <wp:extent cx="1020445" cy="370840"/>
              <wp:effectExtent l="0" t="0" r="0" b="0"/>
              <wp:wrapNone/>
              <wp:docPr id="3117" name="Picture 3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i</w:t>
        </w:r>
        <w:r w:rsidRPr="00C566BC">
          <w:rPr>
            <w:rFonts w:asciiTheme="minorHAnsi" w:hAnsiTheme="minorHAnsi" w:cstheme="minorHAnsi"/>
            <w:color w:val="808080" w:themeColor="background1" w:themeShade="8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321715" w:rsidRDefault="003A34B9" w:rsidP="00B50663">
    <w:pPr>
      <w:pStyle w:val="Footer"/>
      <w:jc w:val="right"/>
      <w:rPr>
        <w:sz w:val="20"/>
        <w:szCs w:val="20"/>
      </w:rPr>
    </w:pPr>
    <w:r w:rsidRPr="009D111C">
      <w:rPr>
        <w:rStyle w:val="PageNumber"/>
        <w:sz w:val="20"/>
        <w:szCs w:val="20"/>
      </w:rPr>
      <w:fldChar w:fldCharType="begin"/>
    </w:r>
    <w:r w:rsidRPr="009D111C">
      <w:rPr>
        <w:rStyle w:val="PageNumber"/>
        <w:sz w:val="20"/>
        <w:szCs w:val="20"/>
      </w:rPr>
      <w:instrText xml:space="preserve">PAGE  </w:instrText>
    </w:r>
    <w:r w:rsidRPr="009D111C">
      <w:rPr>
        <w:rStyle w:val="PageNumber"/>
        <w:sz w:val="20"/>
        <w:szCs w:val="20"/>
      </w:rPr>
      <w:fldChar w:fldCharType="separate"/>
    </w:r>
    <w:r>
      <w:rPr>
        <w:rStyle w:val="PageNumber"/>
        <w:noProof/>
        <w:sz w:val="20"/>
        <w:szCs w:val="20"/>
      </w:rPr>
      <w:t>58</w:t>
    </w:r>
    <w:r w:rsidRPr="009D111C">
      <w:rPr>
        <w:rStyle w:val="PageNumber"/>
        <w:sz w:val="20"/>
        <w:szCs w:val="20"/>
      </w:rPr>
      <w:fldChar w:fldCharType="end"/>
    </w:r>
  </w:p>
  <w:p w:rsidR="003A34B9" w:rsidRDefault="003A34B9">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777981601"/>
      <w:docPartObj>
        <w:docPartGallery w:val="Page Numbers (Bottom of Page)"/>
        <w:docPartUnique/>
      </w:docPartObj>
    </w:sdtPr>
    <w:sdtContent>
      <w:p w:rsidR="003A34B9" w:rsidRPr="000E73DD" w:rsidRDefault="003A34B9" w:rsidP="00060B2F">
        <w:pPr>
          <w:pStyle w:val="Footer"/>
          <w:tabs>
            <w:tab w:val="clear" w:pos="4320"/>
            <w:tab w:val="clear" w:pos="8640"/>
            <w:tab w:val="right" w:pos="129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11488" behindDoc="1" locked="0" layoutInCell="1" allowOverlap="1" wp14:anchorId="7E22D2CE" wp14:editId="18FE1DA7">
              <wp:simplePos x="0" y="0"/>
              <wp:positionH relativeFrom="column">
                <wp:posOffset>-154216</wp:posOffset>
              </wp:positionH>
              <wp:positionV relativeFrom="paragraph">
                <wp:posOffset>-29003</wp:posOffset>
              </wp:positionV>
              <wp:extent cx="1020445" cy="37084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7</w:t>
        </w:r>
        <w:r w:rsidRPr="00C566BC">
          <w:rPr>
            <w:rFonts w:asciiTheme="minorHAnsi" w:hAnsiTheme="minorHAnsi" w:cstheme="minorHAnsi"/>
            <w:color w:val="808080" w:themeColor="background1" w:themeShade="8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768460680"/>
      <w:docPartObj>
        <w:docPartGallery w:val="Page Numbers (Bottom of Page)"/>
        <w:docPartUnique/>
      </w:docPartObj>
    </w:sdtPr>
    <w:sdtContent>
      <w:p w:rsidR="003A34B9" w:rsidRPr="000E73DD" w:rsidRDefault="003A34B9" w:rsidP="00060B2F">
        <w:pPr>
          <w:pStyle w:val="Footer"/>
          <w:tabs>
            <w:tab w:val="clear" w:pos="4320"/>
            <w:tab w:val="clear" w:pos="8640"/>
            <w:tab w:val="right" w:pos="93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13536" behindDoc="1" locked="0" layoutInCell="1" allowOverlap="1" wp14:anchorId="09DEAD46" wp14:editId="3EAA0B8E">
              <wp:simplePos x="0" y="0"/>
              <wp:positionH relativeFrom="column">
                <wp:posOffset>-154216</wp:posOffset>
              </wp:positionH>
              <wp:positionV relativeFrom="paragraph">
                <wp:posOffset>-29003</wp:posOffset>
              </wp:positionV>
              <wp:extent cx="1020445" cy="37084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28</w:t>
        </w:r>
        <w:r w:rsidRPr="00C566BC">
          <w:rPr>
            <w:rFonts w:asciiTheme="minorHAnsi" w:hAnsiTheme="minorHAnsi" w:cstheme="minorHAnsi"/>
            <w:color w:val="808080" w:themeColor="background1" w:themeShade="80"/>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53184003"/>
      <w:docPartObj>
        <w:docPartGallery w:val="Page Numbers (Bottom of Page)"/>
        <w:docPartUnique/>
      </w:docPartObj>
    </w:sdtPr>
    <w:sdtContent>
      <w:p w:rsidR="003A34B9" w:rsidRPr="000E73DD" w:rsidRDefault="003A34B9" w:rsidP="0035172C">
        <w:pPr>
          <w:pStyle w:val="Footer"/>
          <w:tabs>
            <w:tab w:val="clear" w:pos="4320"/>
            <w:tab w:val="clear" w:pos="8640"/>
            <w:tab w:val="right" w:pos="129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7328" behindDoc="1" locked="0" layoutInCell="1" allowOverlap="1" wp14:anchorId="30D777C2" wp14:editId="551A1B1A">
              <wp:simplePos x="0" y="0"/>
              <wp:positionH relativeFrom="column">
                <wp:posOffset>-154216</wp:posOffset>
              </wp:positionH>
              <wp:positionV relativeFrom="paragraph">
                <wp:posOffset>-29003</wp:posOffset>
              </wp:positionV>
              <wp:extent cx="1020445" cy="370840"/>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29</w:t>
        </w:r>
        <w:r w:rsidRPr="00C566BC">
          <w:rPr>
            <w:rFonts w:asciiTheme="minorHAnsi" w:hAnsiTheme="minorHAnsi" w:cstheme="minorHAnsi"/>
            <w:color w:val="808080" w:themeColor="background1" w:themeShade="80"/>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2003655859"/>
      <w:docPartObj>
        <w:docPartGallery w:val="Page Numbers (Bottom of Page)"/>
        <w:docPartUnique/>
      </w:docPartObj>
    </w:sdtPr>
    <w:sdtContent>
      <w:p w:rsidR="003A34B9" w:rsidRPr="000E73DD" w:rsidRDefault="003A34B9" w:rsidP="00A17B89">
        <w:pPr>
          <w:pStyle w:val="Footer"/>
          <w:tabs>
            <w:tab w:val="clear" w:pos="4320"/>
            <w:tab w:val="clear" w:pos="8640"/>
            <w:tab w:val="right" w:pos="93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15584" behindDoc="1" locked="0" layoutInCell="1" allowOverlap="1" wp14:anchorId="19C081D8" wp14:editId="0942055A">
              <wp:simplePos x="0" y="0"/>
              <wp:positionH relativeFrom="column">
                <wp:posOffset>-154216</wp:posOffset>
              </wp:positionH>
              <wp:positionV relativeFrom="paragraph">
                <wp:posOffset>-29003</wp:posOffset>
              </wp:positionV>
              <wp:extent cx="1020445" cy="37084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31</w:t>
        </w:r>
        <w:r w:rsidRPr="00C566BC">
          <w:rPr>
            <w:rFonts w:asciiTheme="minorHAnsi" w:hAnsiTheme="minorHAnsi" w:cstheme="minorHAnsi"/>
            <w:color w:val="808080" w:themeColor="background1" w:themeShade="80"/>
          </w:rP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359246129"/>
      <w:docPartObj>
        <w:docPartGallery w:val="Page Numbers (Bottom of Page)"/>
        <w:docPartUnique/>
      </w:docPartObj>
    </w:sdtPr>
    <w:sdtContent>
      <w:p w:rsidR="003A34B9" w:rsidRPr="000E73DD" w:rsidRDefault="003A34B9" w:rsidP="0035172C">
        <w:pPr>
          <w:pStyle w:val="Footer"/>
          <w:tabs>
            <w:tab w:val="clear" w:pos="4320"/>
            <w:tab w:val="clear" w:pos="8640"/>
            <w:tab w:val="right" w:pos="129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9376" behindDoc="1" locked="0" layoutInCell="1" allowOverlap="1" wp14:anchorId="0B60A83A" wp14:editId="1622777D">
              <wp:simplePos x="0" y="0"/>
              <wp:positionH relativeFrom="column">
                <wp:posOffset>-154216</wp:posOffset>
              </wp:positionH>
              <wp:positionV relativeFrom="paragraph">
                <wp:posOffset>-29003</wp:posOffset>
              </wp:positionV>
              <wp:extent cx="1020445" cy="37084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33</w:t>
        </w:r>
        <w:r w:rsidRPr="00C566BC">
          <w:rPr>
            <w:rFonts w:asciiTheme="minorHAnsi" w:hAnsiTheme="minorHAnsi" w:cstheme="minorHAnsi"/>
            <w:color w:val="808080" w:themeColor="background1" w:themeShade="80"/>
          </w:rP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847752506"/>
      <w:docPartObj>
        <w:docPartGallery w:val="Page Numbers (Bottom of Page)"/>
        <w:docPartUnique/>
      </w:docPartObj>
    </w:sdtPr>
    <w:sdtContent>
      <w:p w:rsidR="003A34B9" w:rsidRPr="000E73DD" w:rsidRDefault="003A34B9" w:rsidP="00AA4AC2">
        <w:pPr>
          <w:pStyle w:val="Footer"/>
          <w:tabs>
            <w:tab w:val="clear" w:pos="4320"/>
            <w:tab w:val="clear" w:pos="8640"/>
            <w:tab w:val="right" w:pos="9270"/>
          </w:tabs>
          <w:jc w:val="right"/>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3776" behindDoc="1" locked="0" layoutInCell="1" allowOverlap="1" wp14:anchorId="15FAA1C8" wp14:editId="4B1D2576">
              <wp:simplePos x="0" y="0"/>
              <wp:positionH relativeFrom="column">
                <wp:posOffset>-154216</wp:posOffset>
              </wp:positionH>
              <wp:positionV relativeFrom="paragraph">
                <wp:posOffset>-29003</wp:posOffset>
              </wp:positionV>
              <wp:extent cx="1020445" cy="370840"/>
              <wp:effectExtent l="0" t="0" r="0" b="0"/>
              <wp:wrapNone/>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37</w:t>
        </w:r>
        <w:r w:rsidRPr="00C566BC">
          <w:rPr>
            <w:rFonts w:asciiTheme="minorHAnsi" w:hAnsiTheme="minorHAnsi" w:cstheme="minorHAnsi"/>
            <w:color w:val="808080" w:themeColor="background1" w:themeShade="80"/>
          </w:rPr>
          <w:fldChar w:fldCharType="end"/>
        </w:r>
      </w:p>
    </w:sdtContent>
  </w:sdt>
  <w:p w:rsidR="003A34B9" w:rsidRDefault="003A34B9"/>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347953973"/>
      <w:docPartObj>
        <w:docPartGallery w:val="Page Numbers (Bottom of Page)"/>
        <w:docPartUnique/>
      </w:docPartObj>
    </w:sdtPr>
    <w:sdtContent>
      <w:sdt>
        <w:sdtPr>
          <w:rPr>
            <w:rFonts w:ascii="TitilliumText22L Xb" w:hAnsi="TitilliumText22L Xb"/>
          </w:rPr>
          <w:id w:val="-1489469394"/>
          <w:docPartObj>
            <w:docPartGallery w:val="Page Numbers (Bottom of Page)"/>
            <w:docPartUnique/>
          </w:docPartObj>
        </w:sdtPr>
        <w:sdtContent>
          <w:p w:rsidR="003A34B9" w:rsidRPr="000E73DD" w:rsidRDefault="003A34B9" w:rsidP="00CD2221">
            <w:pPr>
              <w:pStyle w:val="Footer"/>
              <w:tabs>
                <w:tab w:val="clear" w:pos="4320"/>
                <w:tab w:val="clear" w:pos="8640"/>
                <w:tab w:val="right" w:pos="9270"/>
              </w:tabs>
              <w:jc w:val="right"/>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5280" behindDoc="1" locked="0" layoutInCell="1" allowOverlap="1" wp14:anchorId="50C4CB30" wp14:editId="28B3C3C2">
                  <wp:simplePos x="0" y="0"/>
                  <wp:positionH relativeFrom="column">
                    <wp:posOffset>-154216</wp:posOffset>
                  </wp:positionH>
                  <wp:positionV relativeFrom="paragraph">
                    <wp:posOffset>-29003</wp:posOffset>
                  </wp:positionV>
                  <wp:extent cx="1020445" cy="370840"/>
                  <wp:effectExtent l="0" t="0" r="0" b="0"/>
                  <wp:wrapNone/>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51</w:t>
            </w:r>
            <w:r w:rsidRPr="00C566BC">
              <w:rPr>
                <w:rFonts w:asciiTheme="minorHAnsi" w:hAnsiTheme="minorHAnsi" w:cstheme="minorHAnsi"/>
                <w:color w:val="808080" w:themeColor="background1" w:themeShade="80"/>
              </w:rPr>
              <w:fldChar w:fldCharType="end"/>
            </w:r>
          </w:p>
        </w:sdtContent>
      </w:sdt>
      <w:p w:rsidR="003A34B9" w:rsidRPr="000E73DD" w:rsidRDefault="003A34B9" w:rsidP="00060B2F">
        <w:pPr>
          <w:pStyle w:val="Footer"/>
          <w:tabs>
            <w:tab w:val="clear" w:pos="4320"/>
            <w:tab w:val="clear" w:pos="8640"/>
            <w:tab w:val="right" w:pos="12960"/>
          </w:tabs>
          <w:rPr>
            <w:rFonts w:asciiTheme="minorHAnsi" w:hAnsiTheme="minorHAnsi" w:cstheme="minorHAnsi"/>
          </w:rPr>
        </w:pP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51</w:t>
        </w:r>
        <w:r w:rsidRPr="00C566BC">
          <w:rPr>
            <w:rFonts w:asciiTheme="minorHAnsi" w:hAnsiTheme="minorHAnsi" w:cstheme="minorHAnsi"/>
            <w:color w:val="808080" w:themeColor="background1" w:themeShade="80"/>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80737282"/>
      <w:docPartObj>
        <w:docPartGallery w:val="Page Numbers (Bottom of Page)"/>
        <w:docPartUnique/>
      </w:docPartObj>
    </w:sdtPr>
    <w:sdtContent>
      <w:p w:rsidR="003A34B9" w:rsidRPr="000E73DD" w:rsidRDefault="003A34B9" w:rsidP="00BE5F7B">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5824" behindDoc="1" locked="0" layoutInCell="1" allowOverlap="1" wp14:anchorId="41A1C0C7" wp14:editId="756D62D7">
              <wp:simplePos x="0" y="0"/>
              <wp:positionH relativeFrom="column">
                <wp:posOffset>-154216</wp:posOffset>
              </wp:positionH>
              <wp:positionV relativeFrom="paragraph">
                <wp:posOffset>-29003</wp:posOffset>
              </wp:positionV>
              <wp:extent cx="1020445" cy="37084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53</w:t>
        </w:r>
        <w:r w:rsidRPr="00C566BC">
          <w:rPr>
            <w:rFonts w:asciiTheme="minorHAnsi" w:hAnsiTheme="minorHAnsi" w:cstheme="minorHAnsi"/>
            <w:color w:val="808080" w:themeColor="background1" w:themeShade="80"/>
          </w:rP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963698141"/>
      <w:docPartObj>
        <w:docPartGallery w:val="Page Numbers (Bottom of Page)"/>
        <w:docPartUnique/>
      </w:docPartObj>
    </w:sdtPr>
    <w:sdtContent>
      <w:p w:rsidR="003A34B9" w:rsidRPr="000E73DD" w:rsidRDefault="003A34B9"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6848" behindDoc="1" locked="0" layoutInCell="1" allowOverlap="1" wp14:anchorId="0075B610" wp14:editId="3ED64321">
              <wp:simplePos x="0" y="0"/>
              <wp:positionH relativeFrom="column">
                <wp:posOffset>-154216</wp:posOffset>
              </wp:positionH>
              <wp:positionV relativeFrom="paragraph">
                <wp:posOffset>-29003</wp:posOffset>
              </wp:positionV>
              <wp:extent cx="1020445" cy="37084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55</w:t>
        </w:r>
        <w:r w:rsidRPr="00C566BC">
          <w:rPr>
            <w:rFonts w:asciiTheme="minorHAnsi" w:hAnsiTheme="minorHAnsi" w:cstheme="minorHAnsi"/>
            <w:color w:val="808080" w:themeColor="background1" w:themeShade="80"/>
          </w:rPr>
          <w:fldChar w:fldCharType="end"/>
        </w:r>
      </w:p>
    </w:sdtContent>
  </w:sdt>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241074730"/>
      <w:docPartObj>
        <w:docPartGallery w:val="Page Numbers (Bottom of Page)"/>
        <w:docPartUnique/>
      </w:docPartObj>
    </w:sdtPr>
    <w:sdtContent>
      <w:p w:rsidR="003A34B9" w:rsidRPr="000E73DD" w:rsidRDefault="003A34B9" w:rsidP="00994D8E">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7872" behindDoc="1" locked="0" layoutInCell="1" allowOverlap="1" wp14:anchorId="3CDA0F1F" wp14:editId="1482FE2B">
              <wp:simplePos x="0" y="0"/>
              <wp:positionH relativeFrom="column">
                <wp:posOffset>-154216</wp:posOffset>
              </wp:positionH>
              <wp:positionV relativeFrom="paragraph">
                <wp:posOffset>-29003</wp:posOffset>
              </wp:positionV>
              <wp:extent cx="1020445" cy="37084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57</w:t>
        </w:r>
        <w:r w:rsidRPr="00C566BC">
          <w:rPr>
            <w:rFonts w:asciiTheme="minorHAnsi" w:hAnsiTheme="minorHAnsi" w:cstheme="minorHAnsi"/>
            <w:color w:val="808080" w:themeColor="background1" w:themeShade="80"/>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867723543"/>
      <w:docPartObj>
        <w:docPartGallery w:val="Page Numbers (Bottom of Page)"/>
        <w:docPartUnique/>
      </w:docPartObj>
    </w:sdtPr>
    <w:sdtContent>
      <w:p w:rsidR="003A34B9" w:rsidRPr="000E73DD" w:rsidRDefault="003A34B9"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6064" behindDoc="1" locked="0" layoutInCell="1" allowOverlap="1" wp14:anchorId="005D6C4D" wp14:editId="1B106DB0">
              <wp:simplePos x="0" y="0"/>
              <wp:positionH relativeFrom="column">
                <wp:posOffset>-154216</wp:posOffset>
              </wp:positionH>
              <wp:positionV relativeFrom="paragraph">
                <wp:posOffset>-29003</wp:posOffset>
              </wp:positionV>
              <wp:extent cx="1020445" cy="37084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58</w:t>
        </w:r>
        <w:r w:rsidRPr="00C566BC">
          <w:rPr>
            <w:rFonts w:asciiTheme="minorHAnsi" w:hAnsiTheme="minorHAnsi" w:cstheme="minorHAnsi"/>
            <w:color w:val="808080" w:themeColor="background1" w:themeShade="80"/>
          </w:rPr>
          <w:fldChar w:fldCharType="end"/>
        </w:r>
      </w:p>
    </w:sdtContent>
  </w:sdt>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244924068"/>
      <w:docPartObj>
        <w:docPartGallery w:val="Page Numbers (Bottom of Page)"/>
        <w:docPartUnique/>
      </w:docPartObj>
    </w:sdtPr>
    <w:sdtContent>
      <w:p w:rsidR="003A34B9" w:rsidRPr="000E73DD" w:rsidRDefault="003A34B9" w:rsidP="00DD2F2D">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7088" behindDoc="1" locked="0" layoutInCell="1" allowOverlap="1" wp14:anchorId="604CB6C1" wp14:editId="7A0BECB7">
              <wp:simplePos x="0" y="0"/>
              <wp:positionH relativeFrom="column">
                <wp:posOffset>-154216</wp:posOffset>
              </wp:positionH>
              <wp:positionV relativeFrom="paragraph">
                <wp:posOffset>-29003</wp:posOffset>
              </wp:positionV>
              <wp:extent cx="1020445" cy="370840"/>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59</w:t>
        </w:r>
        <w:r w:rsidRPr="00C566BC">
          <w:rPr>
            <w:rFonts w:asciiTheme="minorHAnsi" w:hAnsiTheme="minorHAnsi" w:cstheme="minorHAnsi"/>
            <w:color w:val="808080" w:themeColor="background1" w:themeShade="80"/>
          </w:rPr>
          <w:fldChar w:fldCharType="end"/>
        </w:r>
      </w:p>
    </w:sdtContent>
  </w:sdt>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728879449"/>
      <w:docPartObj>
        <w:docPartGallery w:val="Page Numbers (Bottom of Page)"/>
        <w:docPartUnique/>
      </w:docPartObj>
    </w:sdtPr>
    <w:sdtContent>
      <w:p w:rsidR="003A34B9" w:rsidRPr="000E73DD" w:rsidRDefault="003A34B9" w:rsidP="00060B2F">
        <w:pPr>
          <w:pStyle w:val="Footer"/>
          <w:tabs>
            <w:tab w:val="clear" w:pos="4320"/>
            <w:tab w:val="clear" w:pos="8640"/>
            <w:tab w:val="right" w:pos="93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5040" behindDoc="1" locked="0" layoutInCell="1" allowOverlap="1" wp14:anchorId="4EF9C5D4" wp14:editId="5F2745F5">
              <wp:simplePos x="0" y="0"/>
              <wp:positionH relativeFrom="column">
                <wp:posOffset>-154216</wp:posOffset>
              </wp:positionH>
              <wp:positionV relativeFrom="paragraph">
                <wp:posOffset>-29003</wp:posOffset>
              </wp:positionV>
              <wp:extent cx="1020445" cy="370840"/>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61</w:t>
        </w:r>
        <w:r w:rsidRPr="00C566BC">
          <w:rPr>
            <w:rFonts w:asciiTheme="minorHAnsi" w:hAnsiTheme="minorHAnsi" w:cstheme="minorHAnsi"/>
            <w:color w:val="808080" w:themeColor="background1" w:themeShade="80"/>
          </w:rPr>
          <w:fldChar w:fldCharType="end"/>
        </w:r>
      </w:p>
    </w:sdtContent>
  </w:sdt>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94161230"/>
      <w:docPartObj>
        <w:docPartGallery w:val="Page Numbers (Bottom of Page)"/>
        <w:docPartUnique/>
      </w:docPartObj>
    </w:sdtPr>
    <w:sdtContent>
      <w:p w:rsidR="003A34B9" w:rsidRPr="000E73DD" w:rsidRDefault="003A34B9" w:rsidP="009C6859">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8896" behindDoc="1" locked="0" layoutInCell="1" allowOverlap="1" wp14:anchorId="567ED6F6" wp14:editId="5B096CF6">
              <wp:simplePos x="0" y="0"/>
              <wp:positionH relativeFrom="column">
                <wp:posOffset>-154216</wp:posOffset>
              </wp:positionH>
              <wp:positionV relativeFrom="paragraph">
                <wp:posOffset>-29003</wp:posOffset>
              </wp:positionV>
              <wp:extent cx="1020445" cy="37084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63</w:t>
        </w:r>
        <w:r w:rsidRPr="00C566BC">
          <w:rPr>
            <w:rFonts w:asciiTheme="minorHAnsi" w:hAnsiTheme="minorHAnsi" w:cstheme="minorHAnsi"/>
            <w:color w:val="808080" w:themeColor="background1" w:themeShade="80"/>
          </w:rPr>
          <w:fldChar w:fldCharType="end"/>
        </w:r>
      </w:p>
    </w:sdtContent>
  </w:sdt>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375401002"/>
      <w:docPartObj>
        <w:docPartGallery w:val="Page Numbers (Bottom of Page)"/>
        <w:docPartUnique/>
      </w:docPartObj>
    </w:sdtPr>
    <w:sdtContent>
      <w:p w:rsidR="003A34B9" w:rsidRPr="000E73DD" w:rsidRDefault="003A34B9"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9920" behindDoc="1" locked="0" layoutInCell="1" allowOverlap="1" wp14:anchorId="6005DD0C" wp14:editId="5BFE09B9">
              <wp:simplePos x="0" y="0"/>
              <wp:positionH relativeFrom="column">
                <wp:posOffset>-154216</wp:posOffset>
              </wp:positionH>
              <wp:positionV relativeFrom="paragraph">
                <wp:posOffset>-29003</wp:posOffset>
              </wp:positionV>
              <wp:extent cx="1020445" cy="37084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65</w:t>
        </w:r>
        <w:r w:rsidRPr="00C566BC">
          <w:rPr>
            <w:rFonts w:asciiTheme="minorHAnsi" w:hAnsiTheme="minorHAnsi" w:cstheme="minorHAnsi"/>
            <w:color w:val="808080" w:themeColor="background1" w:themeShade="80"/>
          </w:rPr>
          <w:fldChar w:fldCharType="end"/>
        </w:r>
      </w:p>
    </w:sdtContent>
  </w:sdt>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832670358"/>
      <w:docPartObj>
        <w:docPartGallery w:val="Page Numbers (Bottom of Page)"/>
        <w:docPartUnique/>
      </w:docPartObj>
    </w:sdtPr>
    <w:sdtContent>
      <w:p w:rsidR="003A34B9" w:rsidRPr="000E73DD" w:rsidRDefault="003A34B9" w:rsidP="00F2076C">
        <w:pPr>
          <w:pStyle w:val="Footer"/>
          <w:tabs>
            <w:tab w:val="clear" w:pos="4320"/>
            <w:tab w:val="clear" w:pos="8640"/>
            <w:tab w:val="right" w:pos="9270"/>
          </w:tabs>
          <w:jc w:val="right"/>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2208" behindDoc="1" locked="0" layoutInCell="1" allowOverlap="1" wp14:anchorId="52C2A85E" wp14:editId="10C1FFEF">
              <wp:simplePos x="0" y="0"/>
              <wp:positionH relativeFrom="column">
                <wp:posOffset>-154216</wp:posOffset>
              </wp:positionH>
              <wp:positionV relativeFrom="paragraph">
                <wp:posOffset>-29003</wp:posOffset>
              </wp:positionV>
              <wp:extent cx="1020445" cy="370840"/>
              <wp:effectExtent l="0" t="0" r="0" b="0"/>
              <wp:wrapNone/>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68</w:t>
        </w:r>
        <w:r w:rsidRPr="00C566BC">
          <w:rPr>
            <w:rFonts w:asciiTheme="minorHAnsi" w:hAnsiTheme="minorHAnsi" w:cstheme="minorHAnsi"/>
            <w:color w:val="808080" w:themeColor="background1" w:themeShade="80"/>
          </w:rPr>
          <w:fldChar w:fldCharType="end"/>
        </w:r>
      </w:p>
    </w:sdtContent>
  </w:sdt>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573854736"/>
      <w:docPartObj>
        <w:docPartGallery w:val="Page Numbers (Bottom of Page)"/>
        <w:docPartUnique/>
      </w:docPartObj>
    </w:sdtPr>
    <w:sdtContent>
      <w:p w:rsidR="003A34B9" w:rsidRPr="000E73DD" w:rsidRDefault="003A34B9" w:rsidP="00DD2F2D">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3232" behindDoc="1" locked="0" layoutInCell="1" allowOverlap="1" wp14:anchorId="5ABEBA70" wp14:editId="6203344D">
              <wp:simplePos x="0" y="0"/>
              <wp:positionH relativeFrom="column">
                <wp:posOffset>-154216</wp:posOffset>
              </wp:positionH>
              <wp:positionV relativeFrom="paragraph">
                <wp:posOffset>-29003</wp:posOffset>
              </wp:positionV>
              <wp:extent cx="1020445" cy="370840"/>
              <wp:effectExtent l="0" t="0" r="0" b="0"/>
              <wp:wrapNone/>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69</w:t>
        </w:r>
        <w:r w:rsidRPr="00C566BC">
          <w:rPr>
            <w:rFonts w:asciiTheme="minorHAnsi" w:hAnsiTheme="minorHAnsi" w:cstheme="minorHAnsi"/>
            <w:color w:val="808080" w:themeColor="background1" w:themeShade="80"/>
          </w:rPr>
          <w:fldChar w:fldCharType="end"/>
        </w:r>
      </w:p>
    </w:sdtContent>
  </w:sdt>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592398522"/>
      <w:docPartObj>
        <w:docPartGallery w:val="Page Numbers (Bottom of Page)"/>
        <w:docPartUnique/>
      </w:docPartObj>
    </w:sdtPr>
    <w:sdtContent>
      <w:p w:rsidR="003A34B9" w:rsidRPr="000E73DD" w:rsidRDefault="003A34B9" w:rsidP="009C6859">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1968" behindDoc="1" locked="0" layoutInCell="1" allowOverlap="1" wp14:anchorId="2FFA511B" wp14:editId="31063833">
              <wp:simplePos x="0" y="0"/>
              <wp:positionH relativeFrom="column">
                <wp:posOffset>-154216</wp:posOffset>
              </wp:positionH>
              <wp:positionV relativeFrom="paragraph">
                <wp:posOffset>-29003</wp:posOffset>
              </wp:positionV>
              <wp:extent cx="1020445" cy="370840"/>
              <wp:effectExtent l="0" t="0" r="0" b="0"/>
              <wp:wrapNone/>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70</w:t>
        </w:r>
        <w:r w:rsidRPr="00C566BC">
          <w:rPr>
            <w:rFonts w:asciiTheme="minorHAnsi" w:hAnsiTheme="minorHAnsi" w:cstheme="minorHAnsi"/>
            <w:color w:val="808080" w:themeColor="background1" w:themeShade="80"/>
          </w:rPr>
          <w:fldChar w:fldCharType="end"/>
        </w:r>
      </w:p>
    </w:sdtContent>
  </w:sdt>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04553850"/>
      <w:docPartObj>
        <w:docPartGallery w:val="Page Numbers (Bottom of Page)"/>
        <w:docPartUnique/>
      </w:docPartObj>
    </w:sdtPr>
    <w:sdtContent>
      <w:p w:rsidR="003A34B9" w:rsidRPr="000E73DD" w:rsidRDefault="003A34B9"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0944" behindDoc="1" locked="0" layoutInCell="1" allowOverlap="1" wp14:anchorId="752104AF" wp14:editId="0EBD979A">
              <wp:simplePos x="0" y="0"/>
              <wp:positionH relativeFrom="column">
                <wp:posOffset>-154216</wp:posOffset>
              </wp:positionH>
              <wp:positionV relativeFrom="paragraph">
                <wp:posOffset>-29003</wp:posOffset>
              </wp:positionV>
              <wp:extent cx="1020445" cy="370840"/>
              <wp:effectExtent l="0" t="0" r="0" b="0"/>
              <wp:wrapNone/>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71</w:t>
        </w:r>
        <w:r w:rsidRPr="00C566BC">
          <w:rPr>
            <w:rFonts w:asciiTheme="minorHAnsi" w:hAnsiTheme="minorHAnsi" w:cstheme="minorHAnsi"/>
            <w:color w:val="808080" w:themeColor="background1" w:themeShade="80"/>
          </w:rPr>
          <w:fldChar w:fldCharType="end"/>
        </w:r>
      </w:p>
    </w:sdtContent>
  </w:sdt>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2017494571"/>
      <w:docPartObj>
        <w:docPartGallery w:val="Page Numbers (Bottom of Page)"/>
        <w:docPartUnique/>
      </w:docPartObj>
    </w:sdtPr>
    <w:sdtContent>
      <w:p w:rsidR="003A34B9" w:rsidRPr="000E73DD" w:rsidRDefault="003A34B9" w:rsidP="009C6859">
        <w:pPr>
          <w:pStyle w:val="Footer"/>
          <w:tabs>
            <w:tab w:val="clear" w:pos="4320"/>
            <w:tab w:val="clear" w:pos="8640"/>
            <w:tab w:val="right" w:pos="129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4016" behindDoc="1" locked="0" layoutInCell="1" allowOverlap="1" wp14:anchorId="1A6DA353" wp14:editId="7B1F595A">
              <wp:simplePos x="0" y="0"/>
              <wp:positionH relativeFrom="column">
                <wp:posOffset>-154216</wp:posOffset>
              </wp:positionH>
              <wp:positionV relativeFrom="paragraph">
                <wp:posOffset>-29003</wp:posOffset>
              </wp:positionV>
              <wp:extent cx="1020445" cy="370840"/>
              <wp:effectExtent l="0" t="0" r="0" b="0"/>
              <wp:wrapNone/>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72</w:t>
        </w:r>
        <w:r w:rsidRPr="00C566BC">
          <w:rPr>
            <w:rFonts w:asciiTheme="minorHAnsi" w:hAnsiTheme="minorHAnsi" w:cstheme="minorHAnsi"/>
            <w:color w:val="808080" w:themeColor="background1" w:themeShade="80"/>
          </w:rPr>
          <w:fldChar w:fldCharType="end"/>
        </w:r>
      </w:p>
    </w:sdtContent>
  </w:sdt>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291112343"/>
      <w:docPartObj>
        <w:docPartGallery w:val="Page Numbers (Bottom of Page)"/>
        <w:docPartUnique/>
      </w:docPartObj>
    </w:sdtPr>
    <w:sdtContent>
      <w:p w:rsidR="003A34B9" w:rsidRPr="000E73DD" w:rsidRDefault="003A34B9"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2992" behindDoc="1" locked="0" layoutInCell="1" allowOverlap="1" wp14:anchorId="292590D6" wp14:editId="21322D6C">
              <wp:simplePos x="0" y="0"/>
              <wp:positionH relativeFrom="column">
                <wp:posOffset>-154216</wp:posOffset>
              </wp:positionH>
              <wp:positionV relativeFrom="paragraph">
                <wp:posOffset>-29003</wp:posOffset>
              </wp:positionV>
              <wp:extent cx="1020445" cy="370840"/>
              <wp:effectExtent l="0" t="0" r="0" b="0"/>
              <wp:wrapNone/>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74</w:t>
        </w:r>
        <w:r w:rsidRPr="00C566BC">
          <w:rPr>
            <w:rFonts w:asciiTheme="minorHAnsi" w:hAnsiTheme="minorHAnsi" w:cstheme="minorHAnsi"/>
            <w:color w:val="808080" w:themeColor="background1" w:themeShade="80"/>
          </w:rPr>
          <w:fldChar w:fldCharType="end"/>
        </w:r>
      </w:p>
    </w:sdtContent>
  </w:sdt>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837197883"/>
      <w:docPartObj>
        <w:docPartGallery w:val="Page Numbers (Bottom of Page)"/>
        <w:docPartUnique/>
      </w:docPartObj>
    </w:sdtPr>
    <w:sdtContent>
      <w:p w:rsidR="003A34B9" w:rsidRPr="000E73DD" w:rsidRDefault="003A34B9" w:rsidP="00AA4AC2">
        <w:pPr>
          <w:pStyle w:val="Footer"/>
          <w:tabs>
            <w:tab w:val="clear" w:pos="4320"/>
            <w:tab w:val="clear" w:pos="8640"/>
            <w:tab w:val="right" w:pos="9270"/>
          </w:tabs>
          <w:jc w:val="right"/>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0160" behindDoc="1" locked="0" layoutInCell="1" allowOverlap="1" wp14:anchorId="1D054D3F" wp14:editId="6F712886">
              <wp:simplePos x="0" y="0"/>
              <wp:positionH relativeFrom="column">
                <wp:posOffset>-154216</wp:posOffset>
              </wp:positionH>
              <wp:positionV relativeFrom="paragraph">
                <wp:posOffset>-29003</wp:posOffset>
              </wp:positionV>
              <wp:extent cx="1020445" cy="370840"/>
              <wp:effectExtent l="0" t="0" r="0" b="0"/>
              <wp:wrapNone/>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76</w:t>
        </w:r>
        <w:r w:rsidRPr="00C566BC">
          <w:rPr>
            <w:rFonts w:asciiTheme="minorHAnsi" w:hAnsiTheme="minorHAnsi" w:cstheme="minorHAnsi"/>
            <w:color w:val="808080" w:themeColor="background1" w:themeShade="80"/>
          </w:rPr>
          <w:fldChar w:fldCharType="end"/>
        </w:r>
      </w:p>
    </w:sdtContent>
  </w:sdt>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709624694"/>
      <w:docPartObj>
        <w:docPartGallery w:val="Page Numbers (Bottom of Page)"/>
        <w:docPartUnique/>
      </w:docPartObj>
    </w:sdtPr>
    <w:sdtContent>
      <w:p w:rsidR="003A34B9" w:rsidRPr="000E73DD" w:rsidRDefault="003A34B9" w:rsidP="00060B2F">
        <w:pPr>
          <w:pStyle w:val="Footer"/>
          <w:tabs>
            <w:tab w:val="clear" w:pos="4320"/>
            <w:tab w:val="clear" w:pos="8640"/>
            <w:tab w:val="right" w:pos="129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8112" behindDoc="1" locked="0" layoutInCell="1" allowOverlap="1" wp14:anchorId="632C9730" wp14:editId="40B0E5AD">
              <wp:simplePos x="0" y="0"/>
              <wp:positionH relativeFrom="column">
                <wp:posOffset>-154216</wp:posOffset>
              </wp:positionH>
              <wp:positionV relativeFrom="paragraph">
                <wp:posOffset>-29003</wp:posOffset>
              </wp:positionV>
              <wp:extent cx="1020445" cy="370840"/>
              <wp:effectExtent l="0" t="0" r="0" b="0"/>
              <wp:wrapNone/>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77</w:t>
        </w:r>
        <w:r w:rsidRPr="00C566BC">
          <w:rPr>
            <w:rFonts w:asciiTheme="minorHAnsi" w:hAnsiTheme="minorHAnsi" w:cstheme="minorHAnsi"/>
            <w:color w:val="808080" w:themeColor="background1" w:themeShade="80"/>
          </w:rPr>
          <w:fldChar w:fldCharType="end"/>
        </w:r>
      </w:p>
    </w:sdtContent>
  </w:sdt>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773436996"/>
      <w:docPartObj>
        <w:docPartGallery w:val="Page Numbers (Bottom of Page)"/>
        <w:docPartUnique/>
      </w:docPartObj>
    </w:sdtPr>
    <w:sdtContent>
      <w:p w:rsidR="003A34B9" w:rsidRPr="000E73DD" w:rsidRDefault="003A34B9"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19680" behindDoc="1" locked="0" layoutInCell="1" allowOverlap="1" wp14:anchorId="2CA43B8B" wp14:editId="338D006A">
              <wp:simplePos x="0" y="0"/>
              <wp:positionH relativeFrom="column">
                <wp:posOffset>-154216</wp:posOffset>
              </wp:positionH>
              <wp:positionV relativeFrom="paragraph">
                <wp:posOffset>-29003</wp:posOffset>
              </wp:positionV>
              <wp:extent cx="1020445" cy="370840"/>
              <wp:effectExtent l="0" t="0" r="0" b="0"/>
              <wp:wrapNone/>
              <wp:docPr id="3107" name="Picture 3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88</w:t>
        </w:r>
        <w:r w:rsidRPr="00C566BC">
          <w:rPr>
            <w:rFonts w:asciiTheme="minorHAnsi" w:hAnsiTheme="minorHAnsi" w:cstheme="minorHAnsi"/>
            <w:color w:val="808080" w:themeColor="background1" w:themeShade="80"/>
          </w:rPr>
          <w:fldChar w:fldCharType="end"/>
        </w:r>
      </w:p>
    </w:sdtContent>
  </w:sdt>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626817661"/>
      <w:docPartObj>
        <w:docPartGallery w:val="Page Numbers (Bottom of Page)"/>
        <w:docPartUnique/>
      </w:docPartObj>
    </w:sdtPr>
    <w:sdtContent>
      <w:p w:rsidR="003A34B9" w:rsidRPr="000E73DD" w:rsidRDefault="003A34B9" w:rsidP="007D5855">
        <w:pPr>
          <w:pStyle w:val="Footer"/>
          <w:tabs>
            <w:tab w:val="clear" w:pos="4320"/>
            <w:tab w:val="clear" w:pos="8640"/>
            <w:tab w:val="right" w:pos="129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98176" behindDoc="1" locked="0" layoutInCell="1" allowOverlap="1" wp14:anchorId="33C8AA3D" wp14:editId="3437C83E">
              <wp:simplePos x="0" y="0"/>
              <wp:positionH relativeFrom="column">
                <wp:posOffset>-154216</wp:posOffset>
              </wp:positionH>
              <wp:positionV relativeFrom="paragraph">
                <wp:posOffset>-29003</wp:posOffset>
              </wp:positionV>
              <wp:extent cx="1020445" cy="370840"/>
              <wp:effectExtent l="0" t="0" r="0" b="0"/>
              <wp:wrapNone/>
              <wp:docPr id="3108" name="Picture 3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89</w:t>
        </w:r>
        <w:r w:rsidRPr="00C566BC">
          <w:rPr>
            <w:rFonts w:asciiTheme="minorHAnsi" w:hAnsiTheme="minorHAnsi" w:cstheme="minorHAnsi"/>
            <w:color w:val="808080" w:themeColor="background1" w:themeShade="80"/>
          </w:rPr>
          <w:fldChar w:fldCharType="end"/>
        </w:r>
      </w:p>
    </w:sdtContent>
  </w:sdt>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728370906"/>
      <w:docPartObj>
        <w:docPartGallery w:val="Page Numbers (Bottom of Page)"/>
        <w:docPartUnique/>
      </w:docPartObj>
    </w:sdtPr>
    <w:sdtContent>
      <w:p w:rsidR="003A34B9" w:rsidRPr="000E73DD" w:rsidRDefault="003A34B9" w:rsidP="003708EA">
        <w:pPr>
          <w:pStyle w:val="Footer"/>
          <w:tabs>
            <w:tab w:val="clear" w:pos="4320"/>
            <w:tab w:val="clear" w:pos="8640"/>
            <w:tab w:val="right" w:pos="93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1728" behindDoc="1" locked="0" layoutInCell="1" allowOverlap="1" wp14:anchorId="140E71E8" wp14:editId="0934994A">
              <wp:simplePos x="0" y="0"/>
              <wp:positionH relativeFrom="column">
                <wp:posOffset>-154216</wp:posOffset>
              </wp:positionH>
              <wp:positionV relativeFrom="paragraph">
                <wp:posOffset>-29003</wp:posOffset>
              </wp:positionV>
              <wp:extent cx="1020445" cy="37084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Pr>
            <w:rFonts w:asciiTheme="minorHAnsi" w:hAnsiTheme="minorHAnsi" w:cstheme="minorHAnsi"/>
            <w:noProof/>
            <w:color w:val="808080" w:themeColor="background1" w:themeShade="80"/>
          </w:rPr>
          <w:t>95</w:t>
        </w:r>
        <w:r w:rsidRPr="00C566BC">
          <w:rPr>
            <w:rFonts w:asciiTheme="minorHAnsi" w:hAnsiTheme="minorHAnsi" w:cstheme="minorHAnsi"/>
            <w:color w:val="808080" w:themeColor="background1" w:themeShade="8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0B64" w:rsidRDefault="000E0B64" w:rsidP="00DB35F9">
      <w:pPr>
        <w:spacing w:after="0" w:line="240" w:lineRule="auto"/>
      </w:pPr>
      <w:r>
        <w:separator/>
      </w:r>
    </w:p>
  </w:footnote>
  <w:footnote w:type="continuationSeparator" w:id="0">
    <w:p w:rsidR="000E0B64" w:rsidRDefault="000E0B64" w:rsidP="00DB35F9">
      <w:pPr>
        <w:spacing w:after="0" w:line="240" w:lineRule="auto"/>
      </w:pPr>
      <w:r>
        <w:continuationSeparator/>
      </w:r>
    </w:p>
  </w:footnote>
  <w:footnote w:type="continuationNotice" w:id="1">
    <w:p w:rsidR="000E0B64" w:rsidRDefault="000E0B64">
      <w:pPr>
        <w:spacing w:after="0" w:line="240" w:lineRule="auto"/>
      </w:pPr>
    </w:p>
  </w:footnote>
  <w:footnote w:id="2">
    <w:p w:rsidR="003A34B9" w:rsidRDefault="003A34B9" w:rsidP="0074140E">
      <w:pPr>
        <w:pStyle w:val="FootnoteText"/>
      </w:pPr>
      <w:r>
        <w:rPr>
          <w:rStyle w:val="FootnoteReference"/>
        </w:rPr>
        <w:footnoteRef/>
      </w:r>
      <w:r>
        <w:t xml:space="preserve"> </w:t>
      </w:r>
      <w:r w:rsidRPr="004A099B">
        <w:rPr>
          <w:szCs w:val="18"/>
        </w:rPr>
        <w:t xml:space="preserve">CPUC </w:t>
      </w:r>
      <w:r>
        <w:rPr>
          <w:szCs w:val="18"/>
        </w:rPr>
        <w:t xml:space="preserve">Resolution </w:t>
      </w:r>
      <w:r w:rsidRPr="004A099B">
        <w:rPr>
          <w:szCs w:val="18"/>
        </w:rPr>
        <w:t>E-45</w:t>
      </w:r>
      <w:r>
        <w:rPr>
          <w:szCs w:val="18"/>
        </w:rPr>
        <w:t>86 issued on May 9, 2013.</w:t>
      </w:r>
    </w:p>
  </w:footnote>
  <w:footnote w:id="3">
    <w:p w:rsidR="003A34B9" w:rsidRDefault="003A34B9">
      <w:pPr>
        <w:pStyle w:val="FootnoteText"/>
      </w:pPr>
      <w:r>
        <w:rPr>
          <w:rStyle w:val="FootnoteReference"/>
        </w:rPr>
        <w:footnoteRef/>
      </w:r>
      <w:r>
        <w:t xml:space="preserve"> The SDG&amp;E peak impact is from June, when all three sites had data available.</w:t>
      </w:r>
    </w:p>
  </w:footnote>
  <w:footnote w:id="4">
    <w:p w:rsidR="003A34B9" w:rsidRDefault="003A34B9" w:rsidP="0074140E">
      <w:pPr>
        <w:pStyle w:val="FootnoteText"/>
      </w:pPr>
      <w:r>
        <w:rPr>
          <w:rStyle w:val="FootnoteReference"/>
        </w:rPr>
        <w:footnoteRef/>
      </w:r>
      <w:r>
        <w:t xml:space="preserve"> </w:t>
      </w:r>
      <w:r w:rsidRPr="004A099B">
        <w:rPr>
          <w:szCs w:val="18"/>
        </w:rPr>
        <w:t xml:space="preserve">CPUC </w:t>
      </w:r>
      <w:r>
        <w:rPr>
          <w:szCs w:val="18"/>
        </w:rPr>
        <w:t xml:space="preserve">Resolution </w:t>
      </w:r>
      <w:r w:rsidRPr="004A099B">
        <w:rPr>
          <w:szCs w:val="18"/>
        </w:rPr>
        <w:t>E-45</w:t>
      </w:r>
      <w:r>
        <w:rPr>
          <w:szCs w:val="18"/>
        </w:rPr>
        <w:t>86 issued on May 9, 2013.</w:t>
      </w:r>
    </w:p>
  </w:footnote>
  <w:footnote w:id="5">
    <w:p w:rsidR="003A34B9" w:rsidRDefault="003A34B9" w:rsidP="0074140E">
      <w:pPr>
        <w:pStyle w:val="FootnoteText"/>
      </w:pPr>
      <w:r>
        <w:rPr>
          <w:rStyle w:val="FootnoteReference"/>
        </w:rPr>
        <w:footnoteRef/>
      </w:r>
      <w:r>
        <w:t xml:space="preserve"> CPUC D.14-05-025 issued on May 19, 2014.</w:t>
      </w:r>
    </w:p>
  </w:footnote>
  <w:footnote w:id="6">
    <w:p w:rsidR="003A34B9" w:rsidRDefault="003A34B9">
      <w:pPr>
        <w:pStyle w:val="FootnoteText"/>
      </w:pPr>
      <w:r>
        <w:rPr>
          <w:rStyle w:val="FootnoteReference"/>
        </w:rPr>
        <w:footnoteRef/>
      </w:r>
      <w:r>
        <w:t xml:space="preserve"> This amount is the remaining funds from the 2015–2016 bridge year budgets.</w:t>
      </w:r>
    </w:p>
  </w:footnote>
  <w:footnote w:id="7">
    <w:p w:rsidR="003A34B9" w:rsidRPr="00665A55" w:rsidRDefault="003A34B9" w:rsidP="0074140E">
      <w:pPr>
        <w:pStyle w:val="Footnote"/>
      </w:pPr>
      <w:r w:rsidRPr="00665A55">
        <w:rPr>
          <w:rStyle w:val="FootnoteReference"/>
        </w:rPr>
        <w:footnoteRef/>
      </w:r>
      <w:r w:rsidRPr="00665A55">
        <w:t xml:space="preserve"> </w:t>
      </w:r>
      <w:r w:rsidRPr="00665A55">
        <w:rPr>
          <w:szCs w:val="18"/>
        </w:rPr>
        <w:t>CPUC D.08-04-050 issued on April 28, 2008 with Attachment A.</w:t>
      </w:r>
    </w:p>
  </w:footnote>
  <w:footnote w:id="8">
    <w:p w:rsidR="003A34B9" w:rsidRDefault="003A34B9">
      <w:pPr>
        <w:pStyle w:val="FootnoteText"/>
      </w:pPr>
      <w:r>
        <w:rPr>
          <w:rStyle w:val="FootnoteReference"/>
        </w:rPr>
        <w:footnoteRef/>
      </w:r>
      <w:r>
        <w:t xml:space="preserve"> </w:t>
      </w:r>
      <w:r w:rsidRPr="00B533B8">
        <w:t xml:space="preserve">A conversion factor will be used to convert the cooling load shift (tons) to electricity load shift (kW) capacity. This calculation method is applied for both full and partial storage systems. A conversion factor </w:t>
      </w:r>
      <w:proofErr w:type="gramStart"/>
      <w:r w:rsidRPr="00B533B8">
        <w:t>of 0.7 kW/ton</w:t>
      </w:r>
      <w:proofErr w:type="gramEnd"/>
      <w:r w:rsidRPr="00B533B8">
        <w:t xml:space="preserve"> will be applied to</w:t>
      </w:r>
      <w:r>
        <w:t> </w:t>
      </w:r>
      <w:r w:rsidRPr="00B533B8">
        <w:t>water-cooled chillers and 1.2 kW/ton will be applied to air-cooled chillers.</w:t>
      </w:r>
    </w:p>
  </w:footnote>
  <w:footnote w:id="9">
    <w:p w:rsidR="003A34B9" w:rsidRDefault="003A34B9" w:rsidP="006C7F19">
      <w:pPr>
        <w:pStyle w:val="FootnoteText"/>
      </w:pPr>
      <w:r>
        <w:rPr>
          <w:rStyle w:val="FootnoteReference"/>
        </w:rPr>
        <w:footnoteRef/>
      </w:r>
      <w:r>
        <w:t xml:space="preserve"> </w:t>
      </w:r>
      <w:proofErr w:type="gramStart"/>
      <w:r>
        <w:t>2012–2014 Statewide Permanent Load Shifting Program Proposal.</w:t>
      </w:r>
      <w:proofErr w:type="gramEnd"/>
      <w:r>
        <w:t xml:space="preserve"> </w:t>
      </w:r>
      <w:r w:rsidRPr="00E466F5">
        <w:t>July 30, 2012</w:t>
      </w:r>
      <w:r>
        <w:t xml:space="preserve">. </w:t>
      </w:r>
      <w:proofErr w:type="gramStart"/>
      <w:r>
        <w:t>Jointly proposed by: Pacific Gas and Electric, San Diego Gas &amp; Electric, and Southern California Edison Company.</w:t>
      </w:r>
      <w:proofErr w:type="gramEnd"/>
    </w:p>
  </w:footnote>
  <w:footnote w:id="10">
    <w:p w:rsidR="003A34B9" w:rsidRDefault="003A34B9" w:rsidP="00CC6AC7">
      <w:pPr>
        <w:pStyle w:val="FootnoteText"/>
      </w:pPr>
      <w:r>
        <w:rPr>
          <w:rStyle w:val="FootnoteReference"/>
        </w:rPr>
        <w:footnoteRef/>
      </w:r>
      <w:r>
        <w:t xml:space="preserve"> CPUC Resolution </w:t>
      </w:r>
      <w:r w:rsidRPr="00BF6A27">
        <w:t>E-4586</w:t>
      </w:r>
      <w:r>
        <w:t xml:space="preserve"> issued May 13, 2013 approved as modified herein: </w:t>
      </w:r>
      <w:r w:rsidRPr="00BF6A27">
        <w:t>Advice Letters SCE 2837-E, PG&amp;E 4177-E, and SDG&amp;E 2445-E jointly filed on January 14, 2013.</w:t>
      </w:r>
    </w:p>
  </w:footnote>
  <w:footnote w:id="11">
    <w:p w:rsidR="003A34B9" w:rsidRDefault="003A34B9">
      <w:pPr>
        <w:pStyle w:val="FootnoteText"/>
      </w:pPr>
      <w:r>
        <w:rPr>
          <w:rStyle w:val="FootnoteReference"/>
        </w:rPr>
        <w:footnoteRef/>
      </w:r>
      <w:r>
        <w:t xml:space="preserve"> The post-installation data was inadvertently overwritten by the customer’s data logger. The issue has now been identified and resolved.</w:t>
      </w:r>
    </w:p>
  </w:footnote>
  <w:footnote w:id="12">
    <w:p w:rsidR="003A34B9" w:rsidRDefault="003A34B9" w:rsidP="009228ED">
      <w:pPr>
        <w:pStyle w:val="FootnoteText"/>
      </w:pPr>
      <w:r>
        <w:rPr>
          <w:rStyle w:val="FootnoteReference"/>
        </w:rPr>
        <w:footnoteRef/>
      </w:r>
      <w:r>
        <w:t xml:space="preserve"> Classified as in military, defense, or government related.</w:t>
      </w:r>
    </w:p>
  </w:footnote>
  <w:footnote w:id="13">
    <w:p w:rsidR="003A34B9" w:rsidRDefault="003A34B9" w:rsidP="009228ED">
      <w:pPr>
        <w:pStyle w:val="FootnoteText"/>
      </w:pPr>
      <w:r>
        <w:rPr>
          <w:rStyle w:val="FootnoteReference"/>
        </w:rPr>
        <w:footnoteRef/>
      </w:r>
      <w:r>
        <w:t xml:space="preserve"> Other tests may have been conducted. These days were included in the test data from SDG&amp;E and showed full depletion of the ice.</w:t>
      </w:r>
    </w:p>
  </w:footnote>
  <w:footnote w:id="14">
    <w:p w:rsidR="003A34B9" w:rsidRDefault="003A34B9" w:rsidP="009228ED">
      <w:pPr>
        <w:pStyle w:val="FootnoteText"/>
      </w:pPr>
      <w:r>
        <w:rPr>
          <w:rStyle w:val="FootnoteReference"/>
        </w:rPr>
        <w:footnoteRef/>
      </w:r>
      <w:r>
        <w:t xml:space="preserve"> Overnight cooling degree hour (CDH) is the average of CDH values from midnight to 8 AM, where CDH is </w:t>
      </w:r>
      <w:r w:rsidRPr="00095491">
        <w:t>the max of zero and the hourly temperature value less a base value of 60°F</w:t>
      </w:r>
      <w:r>
        <w:t>.</w:t>
      </w:r>
    </w:p>
  </w:footnote>
  <w:footnote w:id="15">
    <w:p w:rsidR="003A34B9" w:rsidRDefault="003A34B9" w:rsidP="009228ED">
      <w:pPr>
        <w:pStyle w:val="FootnoteText"/>
      </w:pPr>
      <w:r>
        <w:rPr>
          <w:rStyle w:val="FootnoteReference"/>
        </w:rPr>
        <w:footnoteRef/>
      </w:r>
      <w:r>
        <w:t xml:space="preserve"> CDD is </w:t>
      </w:r>
      <w:r w:rsidRPr="00095491">
        <w:t>the max of zero and the mean temperature of the day of the hourly observation less a base value of 60°F</w:t>
      </w:r>
      <w:r>
        <w:t>.</w:t>
      </w:r>
    </w:p>
  </w:footnote>
  <w:footnote w:id="16">
    <w:p w:rsidR="003A34B9" w:rsidRDefault="003A34B9" w:rsidP="001D1C3E">
      <w:pPr>
        <w:pStyle w:val="FootnoteText"/>
      </w:pPr>
      <w:r>
        <w:rPr>
          <w:rStyle w:val="FootnoteReference"/>
        </w:rPr>
        <w:footnoteRef/>
      </w:r>
      <w:r>
        <w:t xml:space="preserve"> The model specification is provided in Section 2.1.</w:t>
      </w:r>
    </w:p>
  </w:footnote>
  <w:footnote w:id="17">
    <w:p w:rsidR="003A34B9" w:rsidRDefault="003A34B9" w:rsidP="001D1C3E">
      <w:pPr>
        <w:pStyle w:val="FootnoteText"/>
      </w:pPr>
      <w:r>
        <w:rPr>
          <w:rStyle w:val="FootnoteReference"/>
        </w:rPr>
        <w:footnoteRef/>
      </w:r>
      <w:r>
        <w:t xml:space="preserve">Mean17 is a variable that helps to capture overnight heat buildup and is often used for load modeling.  </w:t>
      </w:r>
    </w:p>
  </w:footnote>
  <w:footnote w:id="18">
    <w:p w:rsidR="003A34B9" w:rsidRDefault="003A34B9" w:rsidP="001D1C3E">
      <w:pPr>
        <w:pStyle w:val="FootnoteText"/>
      </w:pPr>
      <w:r>
        <w:rPr>
          <w:rStyle w:val="FootnoteReference"/>
        </w:rPr>
        <w:footnoteRef/>
      </w:r>
      <w:r>
        <w:t xml:space="preserve"> The operational data did not include the actual system peak days in October; however, there were enough data to construct average weekday impacts for all months.</w:t>
      </w:r>
    </w:p>
  </w:footnote>
  <w:footnote w:id="19">
    <w:p w:rsidR="003A34B9" w:rsidRDefault="003A34B9" w:rsidP="001D1C3E">
      <w:pPr>
        <w:pStyle w:val="FootnoteText"/>
      </w:pPr>
      <w:r>
        <w:rPr>
          <w:rStyle w:val="FootnoteReference"/>
        </w:rPr>
        <w:footnoteRef/>
      </w:r>
      <w:r>
        <w:t xml:space="preserve"> See </w:t>
      </w:r>
      <w:r w:rsidRPr="00B23664">
        <w:rPr>
          <w:i/>
        </w:rPr>
        <w:t xml:space="preserve">2015 </w:t>
      </w:r>
      <w:r>
        <w:rPr>
          <w:i/>
        </w:rPr>
        <w:t>L</w:t>
      </w:r>
      <w:r w:rsidRPr="00B23664">
        <w:rPr>
          <w:i/>
        </w:rPr>
        <w:t xml:space="preserve">oad Impact Evaluation of the California Statewide Permanent </w:t>
      </w:r>
      <w:r>
        <w:rPr>
          <w:i/>
        </w:rPr>
        <w:t>L</w:t>
      </w:r>
      <w:r w:rsidRPr="00B23664">
        <w:rPr>
          <w:i/>
        </w:rPr>
        <w:t xml:space="preserve">oad </w:t>
      </w:r>
      <w:r>
        <w:rPr>
          <w:i/>
        </w:rPr>
        <w:t>S</w:t>
      </w:r>
      <w:r w:rsidRPr="00B23664">
        <w:rPr>
          <w:i/>
        </w:rPr>
        <w:t>hifting Program</w:t>
      </w:r>
      <w:r>
        <w:rPr>
          <w:i/>
        </w:rPr>
        <w:t xml:space="preserve">. </w:t>
      </w:r>
      <w:proofErr w:type="spellStart"/>
      <w:r>
        <w:t>Nexant</w:t>
      </w:r>
      <w:proofErr w:type="spellEnd"/>
      <w:r>
        <w:t>, Inc. April 1, 2016.</w:t>
      </w:r>
    </w:p>
  </w:footnote>
  <w:footnote w:id="20">
    <w:p w:rsidR="003A34B9" w:rsidRDefault="003A34B9" w:rsidP="00F1237C">
      <w:pPr>
        <w:pStyle w:val="FootnoteText"/>
      </w:pPr>
      <w:r>
        <w:rPr>
          <w:rStyle w:val="FootnoteReference"/>
        </w:rPr>
        <w:footnoteRef/>
      </w:r>
      <w:r>
        <w:t xml:space="preserve"> LCA is the CAISO-defined term that represents each transmission-constrained load pocket in the California IOU service territories.</w:t>
      </w:r>
    </w:p>
  </w:footnote>
  <w:footnote w:id="21">
    <w:p w:rsidR="003A34B9" w:rsidRDefault="003A34B9">
      <w:pPr>
        <w:pStyle w:val="FootnoteText"/>
      </w:pPr>
      <w:r>
        <w:rPr>
          <w:rStyle w:val="FootnoteReference"/>
        </w:rPr>
        <w:footnoteRef/>
      </w:r>
      <w:r>
        <w:t xml:space="preserve"> Due to a lack of available data for one of SDG&amp;E’s installations, Nexant used the methodology used for identified projects rather than the methods detailed below.</w:t>
      </w:r>
    </w:p>
  </w:footnote>
  <w:footnote w:id="22">
    <w:p w:rsidR="003A34B9" w:rsidRDefault="003A34B9">
      <w:pPr>
        <w:pStyle w:val="FootnoteText"/>
      </w:pPr>
      <w:r>
        <w:rPr>
          <w:rStyle w:val="FootnoteReference"/>
        </w:rPr>
        <w:footnoteRef/>
      </w:r>
      <w:r>
        <w:t xml:space="preserve"> One of SDG&amp;E’s installations did provide operational data rather than premise-level data. However, since the operational data monitored cooling load rather than the variables traditionally provided for operational data the data was treated as if it were premise-level data in the modeling process.</w:t>
      </w:r>
    </w:p>
  </w:footnote>
  <w:footnote w:id="23">
    <w:p w:rsidR="003A34B9" w:rsidRDefault="003A34B9" w:rsidP="00F1237C">
      <w:pPr>
        <w:pStyle w:val="FootnoteText"/>
      </w:pPr>
      <w:r>
        <w:rPr>
          <w:rStyle w:val="FootnoteReference"/>
        </w:rPr>
        <w:footnoteRef/>
      </w:r>
      <w:r>
        <w:t xml:space="preserve"> </w:t>
      </w:r>
      <w:r w:rsidRPr="00F42460">
        <w:t>See CPUC Rulemaking (R.) 07-01-041 Decision (D.) 08-04-050, “Adopting Protocols for Estimating Demand Response Load Impacts” and Attachment A, “Protocols.”</w:t>
      </w:r>
    </w:p>
  </w:footnote>
  <w:footnote w:id="24">
    <w:p w:rsidR="003A34B9" w:rsidRDefault="003A34B9" w:rsidP="00F1237C">
      <w:pPr>
        <w:pStyle w:val="FootnoteText"/>
      </w:pPr>
      <w:r>
        <w:rPr>
          <w:rStyle w:val="FootnoteReference"/>
        </w:rPr>
        <w:footnoteRef/>
      </w:r>
      <w:r>
        <w:t xml:space="preserve"> See </w:t>
      </w:r>
      <w:r w:rsidRPr="00633D7C">
        <w:rPr>
          <w:i/>
        </w:rPr>
        <w:t>Statewide Demand Response Ex Ante Weather Conditions</w:t>
      </w:r>
      <w:r>
        <w:t>.  Nexant, Inc.  January 30, 2015.</w:t>
      </w:r>
    </w:p>
  </w:footnote>
  <w:footnote w:id="25">
    <w:p w:rsidR="003A34B9" w:rsidRDefault="003A34B9" w:rsidP="00F1237C">
      <w:pPr>
        <w:pStyle w:val="FootnoteText"/>
      </w:pPr>
      <w:r>
        <w:rPr>
          <w:rStyle w:val="FootnoteReference"/>
        </w:rPr>
        <w:footnoteRef/>
      </w:r>
      <w:r>
        <w:t xml:space="preserve"> </w:t>
      </w:r>
      <w:r w:rsidRPr="0019781C">
        <w:t>SCE peak loads are more closely related to CAISO peak loads than are PG&amp;E or SDG&amp;E peak loads. Part of the explanation is simply that SCE constitutes a larger share of CAISO load than do the other two utilities and therefore has more influence on the overall CAISO loads. However, there are additional reasons for the differences. PG&amp;E’s northern California service territory experiences different weather systems and is more likely to peak earlier in the year than the overall CAISO system. SDG&amp;E weekday loads and weather patterns are also unique. A larger share of SDG&amp;E’s load is residential and less of it is industrial. Temperatures peak earlier in the day and the diurnal swing between overnight and peak temperatures is smaller.</w:t>
      </w:r>
    </w:p>
  </w:footnote>
  <w:footnote w:id="26">
    <w:p w:rsidR="003A34B9" w:rsidRDefault="003A34B9" w:rsidP="00F1237C">
      <w:pPr>
        <w:pStyle w:val="FootnoteText"/>
      </w:pPr>
      <w:r>
        <w:rPr>
          <w:rStyle w:val="FootnoteReference"/>
        </w:rPr>
        <w:footnoteRef/>
      </w:r>
      <w:r>
        <w:t xml:space="preserve"> Although the RA summer months include April, PLS customers are only required to shift load from May through October. Thus, there are insufficient data to provide April ex ante estimates, and the impacts are assumed to be zero, similar to in winter months.</w:t>
      </w:r>
    </w:p>
  </w:footnote>
  <w:footnote w:id="27">
    <w:p w:rsidR="003A34B9" w:rsidRDefault="003A34B9" w:rsidP="00F1237C">
      <w:pPr>
        <w:pStyle w:val="FootnoteText"/>
      </w:pPr>
      <w:r>
        <w:rPr>
          <w:rStyle w:val="FootnoteReference"/>
        </w:rPr>
        <w:footnoteRef/>
      </w:r>
      <w:r>
        <w:t xml:space="preserve"> D</w:t>
      </w:r>
      <w:r w:rsidRPr="00525279">
        <w:t>ue to the confidentiality concerns descri</w:t>
      </w:r>
      <w:r>
        <w:t>bed in Section 1, these load impact tables are not available publicly.</w:t>
      </w:r>
    </w:p>
  </w:footnote>
  <w:footnote w:id="28">
    <w:p w:rsidR="003A34B9" w:rsidRDefault="003A34B9" w:rsidP="00F1237C">
      <w:pPr>
        <w:pStyle w:val="FootnoteText"/>
      </w:pPr>
      <w:r>
        <w:rPr>
          <w:rStyle w:val="FootnoteReference"/>
        </w:rPr>
        <w:footnoteRef/>
      </w:r>
      <w:r>
        <w:t xml:space="preserve"> The actual assumed trajectory is for a constant amount of absolute shifting capacity loss each year after the fifth </w:t>
      </w:r>
      <w:proofErr w:type="gramStart"/>
      <w:r>
        <w:t>year,</w:t>
      </w:r>
      <w:proofErr w:type="gramEnd"/>
      <w:r>
        <w:t xml:space="preserve"> such that the expected total life is 20 years and the maximum total life is 35 years. </w:t>
      </w:r>
    </w:p>
  </w:footnote>
  <w:footnote w:id="29">
    <w:p w:rsidR="003A34B9" w:rsidRDefault="003A34B9" w:rsidP="001D1C3E">
      <w:pPr>
        <w:pStyle w:val="FootnoteText"/>
      </w:pPr>
      <w:r>
        <w:rPr>
          <w:rStyle w:val="FootnoteReference"/>
        </w:rPr>
        <w:footnoteRef/>
      </w:r>
      <w:r>
        <w:t xml:space="preserve"> May and October are not reported since they are not included in SCE’s program months, and so the PLS system is not necessarily in use during those months.</w:t>
      </w:r>
    </w:p>
  </w:footnote>
  <w:footnote w:id="30">
    <w:p w:rsidR="003A34B9" w:rsidRPr="00B23664" w:rsidRDefault="003A34B9" w:rsidP="001D1C3E">
      <w:pPr>
        <w:pStyle w:val="FootnoteText"/>
      </w:pPr>
      <w:r w:rsidRPr="00825038">
        <w:rPr>
          <w:rStyle w:val="FootnoteReference"/>
        </w:rPr>
        <w:footnoteRef/>
      </w:r>
      <w:r w:rsidRPr="00825038">
        <w:t xml:space="preserve"> See the ex ante weather description in Section </w:t>
      </w:r>
      <w:r w:rsidRPr="00825038">
        <w:fldChar w:fldCharType="begin"/>
      </w:r>
      <w:r w:rsidRPr="00825038">
        <w:instrText xml:space="preserve"> REF _Ref443683894 \r \h  \* MERGEFORMAT </w:instrText>
      </w:r>
      <w:r w:rsidRPr="00825038">
        <w:fldChar w:fldCharType="separate"/>
      </w:r>
      <w:r w:rsidRPr="00825038">
        <w:t>4.4</w:t>
      </w:r>
      <w:r w:rsidRPr="00825038">
        <w:fldChar w:fldCharType="end"/>
      </w:r>
      <w:r w:rsidRPr="00825038">
        <w:t xml:space="preserve"> of the </w:t>
      </w:r>
      <w:r w:rsidRPr="00825038">
        <w:rPr>
          <w:i/>
        </w:rPr>
        <w:t xml:space="preserve">2015 Load Impact Evaluation of the California Statewide Permanent Load Shifting Program. </w:t>
      </w:r>
      <w:proofErr w:type="spellStart"/>
      <w:r w:rsidRPr="00825038">
        <w:t>Nexant</w:t>
      </w:r>
      <w:proofErr w:type="spellEnd"/>
      <w:r w:rsidRPr="00825038">
        <w:t>, Inc. April 1, 2016</w:t>
      </w:r>
    </w:p>
    <w:p w:rsidR="003A34B9" w:rsidRDefault="003A34B9" w:rsidP="001D1C3E">
      <w:pPr>
        <w:pStyle w:val="FootnoteText"/>
      </w:pPr>
    </w:p>
  </w:footnote>
  <w:footnote w:id="31">
    <w:p w:rsidR="003A34B9" w:rsidRDefault="003A34B9" w:rsidP="001D1C3E">
      <w:pPr>
        <w:pStyle w:val="FootnoteText"/>
      </w:pPr>
      <w:r>
        <w:rPr>
          <w:rStyle w:val="FootnoteReference"/>
        </w:rPr>
        <w:footnoteRef/>
      </w:r>
      <w:r>
        <w:t xml:space="preserve"> May and October Results are not included because they are not a part of SCE’s program months.</w:t>
      </w:r>
    </w:p>
  </w:footnote>
  <w:footnote w:id="32">
    <w:p w:rsidR="003A34B9" w:rsidRDefault="003A34B9" w:rsidP="00E50899">
      <w:pPr>
        <w:pStyle w:val="FootnoteText"/>
      </w:pPr>
      <w:r>
        <w:rPr>
          <w:rStyle w:val="FootnoteReference"/>
        </w:rPr>
        <w:footnoteRef/>
      </w:r>
      <w:r>
        <w:t xml:space="preserve"> </w:t>
      </w:r>
      <w:proofErr w:type="spellStart"/>
      <w:r>
        <w:t>eQUEST</w:t>
      </w:r>
      <w:proofErr w:type="spellEnd"/>
      <w:r>
        <w:t>, &lt;</w:t>
      </w:r>
      <w:hyperlink r:id="rId1" w:history="1">
        <w:r w:rsidRPr="00BB3311">
          <w:rPr>
            <w:rStyle w:val="Hyperlink"/>
            <w:color w:val="auto"/>
            <w:sz w:val="18"/>
          </w:rPr>
          <w:t>http://www.doe2.com/equest/</w:t>
        </w:r>
      </w:hyperlink>
      <w:r>
        <w:t>&gt;</w:t>
      </w:r>
    </w:p>
  </w:footnote>
  <w:footnote w:id="33">
    <w:p w:rsidR="003A34B9" w:rsidRDefault="003A34B9">
      <w:pPr>
        <w:pStyle w:val="FootnoteText"/>
      </w:pPr>
      <w:r>
        <w:rPr>
          <w:rStyle w:val="FootnoteReference"/>
        </w:rPr>
        <w:footnoteRef/>
      </w:r>
      <w:r>
        <w:t xml:space="preserve"> The direct outputs were validation for reasonableness, but not directly used for load impact estimation.</w:t>
      </w:r>
    </w:p>
  </w:footnote>
  <w:footnote w:id="34">
    <w:p w:rsidR="003A34B9" w:rsidRDefault="003A34B9" w:rsidP="006C5B1B">
      <w:pPr>
        <w:pStyle w:val="Footnote"/>
      </w:pPr>
      <w:r>
        <w:rPr>
          <w:rStyle w:val="FootnoteReference"/>
        </w:rPr>
        <w:footnoteRef/>
      </w:r>
      <w:r>
        <w:t xml:space="preserve"> This table and the associated conversion factors are from the PY2013 evaluation, and provided for comparative purposes in this appendix only.</w:t>
      </w:r>
    </w:p>
  </w:footnote>
  <w:footnote w:id="35">
    <w:p w:rsidR="003A34B9" w:rsidRDefault="003A34B9" w:rsidP="006C5B1B">
      <w:pPr>
        <w:pStyle w:val="Footnote"/>
      </w:pPr>
      <w:r>
        <w:rPr>
          <w:rStyle w:val="FootnoteReference"/>
        </w:rPr>
        <w:footnoteRef/>
      </w:r>
      <w:r>
        <w:t xml:space="preserve"> This table and the associated conversion factors are from the PY2013 evaluation, and provided for comparative purposes in this appendix only.</w:t>
      </w:r>
    </w:p>
  </w:footnote>
  <w:footnote w:id="36">
    <w:p w:rsidR="003A34B9" w:rsidRDefault="003A34B9" w:rsidP="00F72F3F">
      <w:pPr>
        <w:pStyle w:val="FootnoteText"/>
      </w:pPr>
      <w:r>
        <w:rPr>
          <w:rStyle w:val="FootnoteReference"/>
        </w:rPr>
        <w:footnoteRef/>
      </w:r>
      <w:r>
        <w:t xml:space="preserve"> The customer had an out dated server on site, which did not have sufficient memory to store all of the required operational data, resulting in missing data. The server is scheduled to be replaced in March 2017.</w:t>
      </w:r>
    </w:p>
  </w:footnote>
  <w:footnote w:id="37">
    <w:p w:rsidR="003A34B9" w:rsidRDefault="003A34B9">
      <w:pPr>
        <w:pStyle w:val="FootnoteText"/>
      </w:pPr>
      <w:r>
        <w:rPr>
          <w:rStyle w:val="FootnoteReference"/>
        </w:rPr>
        <w:footnoteRef/>
      </w:r>
      <w:r>
        <w:t xml:space="preserve"> The voltage varies with the proportion of chiller capacity. Because this data were unavailable, Nexant used the maximum voltage of 600 V from the chiller engineering specifications for the analysis.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Default="003A34B9">
    <w:pPr>
      <w:pStyle w:val="Header"/>
    </w:pPr>
    <w:r>
      <w:rPr>
        <w:noProof/>
      </w:rPr>
      <mc:AlternateContent>
        <mc:Choice Requires="wps">
          <w:drawing>
            <wp:inline distT="0" distB="0" distL="0" distR="0" wp14:anchorId="7184433A" wp14:editId="7A13EC8C">
              <wp:extent cx="6017895" cy="0"/>
              <wp:effectExtent l="9525" t="9525" r="11430" b="9525"/>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7895" cy="0"/>
                      </a:xfrm>
                      <a:prstGeom prst="straightConnector1">
                        <a:avLst/>
                      </a:prstGeom>
                      <a:noFill/>
                      <a:ln w="9525">
                        <a:solidFill>
                          <a:schemeClr val="accent4">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id="_x0000_t32" coordsize="21600,21600" o:spt="32" o:oned="t" path="m,l21600,21600e" filled="f">
              <v:path arrowok="t" fillok="f" o:connecttype="none"/>
              <o:lock v:ext="edit" shapetype="t"/>
            </v:shapetype>
            <v:shape id="AutoShape 4" o:spid="_x0000_s1026" type="#_x0000_t32" style="width:473.8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" strokecolor="#434446 [2407]">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D753CC" w:rsidRDefault="003A34B9" w:rsidP="00517952">
    <w:pPr>
      <w:pStyle w:val="Heading1"/>
      <w:numPr>
        <w:ilvl w:val="0"/>
        <w:numId w:val="0"/>
      </w:numPr>
      <w:rPr>
        <w:b w:val="0"/>
        <w:color w:val="C00000"/>
        <w:sz w:val="36"/>
        <w:szCs w:val="36"/>
      </w:rPr>
    </w:pPr>
    <w:r w:rsidRPr="00AC6369">
      <w:rPr>
        <w:noProof/>
      </w:rPr>
      <w:drawing>
        <wp:anchor distT="0" distB="0" distL="114300" distR="114300" simplePos="0" relativeHeight="251675648" behindDoc="0" locked="0" layoutInCell="1" allowOverlap="1" wp14:anchorId="31CA19E9" wp14:editId="3150D570">
          <wp:simplePos x="0" y="0"/>
          <wp:positionH relativeFrom="column">
            <wp:posOffset>3828234</wp:posOffset>
          </wp:positionH>
          <wp:positionV relativeFrom="paragraph">
            <wp:posOffset>-195580</wp:posOffset>
          </wp:positionV>
          <wp:extent cx="1839767" cy="66947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1839767" cy="669471"/>
                  </a:xfrm>
                  <a:prstGeom prst="rect">
                    <a:avLst/>
                  </a:prstGeom>
                </pic:spPr>
              </pic:pic>
            </a:graphicData>
          </a:graphic>
          <wp14:sizeRelH relativeFrom="page">
            <wp14:pctWidth>0</wp14:pctWidth>
          </wp14:sizeRelH>
          <wp14:sizeRelV relativeFrom="page">
            <wp14:pctHeight>0</wp14:pctHeight>
          </wp14:sizeRelV>
        </wp:anchor>
      </w:drawing>
    </w:r>
    <w:r>
      <w:rPr>
        <w:color w:val="77BC1F"/>
        <w:sz w:val="32"/>
        <w:szCs w:val="32"/>
      </w:rPr>
      <w:t>FINAL REPORT</w:t>
    </w:r>
    <w:r w:rsidRPr="00D753CC">
      <w:rPr>
        <w:color w:val="C00000"/>
        <w:sz w:val="36"/>
        <w:szCs w:val="36"/>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AC6369" w:rsidRDefault="003A34B9" w:rsidP="00AC6369">
    <w:r w:rsidRPr="00AC6369">
      <w:rPr>
        <w:noProof/>
      </w:rPr>
      <w:drawing>
        <wp:anchor distT="0" distB="0" distL="114300" distR="114300" simplePos="0" relativeHeight="251674624" behindDoc="0" locked="0" layoutInCell="1" allowOverlap="1" wp14:anchorId="63AF79FF" wp14:editId="5DE81835">
          <wp:simplePos x="0" y="0"/>
          <wp:positionH relativeFrom="column">
            <wp:posOffset>3185160</wp:posOffset>
          </wp:positionH>
          <wp:positionV relativeFrom="paragraph">
            <wp:posOffset>-430340</wp:posOffset>
          </wp:positionV>
          <wp:extent cx="3429000" cy="12477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3429000" cy="124777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845265" w:rsidRDefault="003A34B9" w:rsidP="002F58AD">
    <w:pPr>
      <w:pStyle w:val="Footnote"/>
      <w:rPr>
        <w:rFonts w:asciiTheme="minorHAnsi" w:hAnsiTheme="minorHAnsi" w:cstheme="minorHAnsi"/>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Default="003A34B9" w:rsidP="00B50663">
    <w:pPr>
      <w:pStyle w:val="Header"/>
      <w:jc w:val="center"/>
    </w:pPr>
    <w:r w:rsidRPr="00E92F4E">
      <w:rPr>
        <w:noProof/>
      </w:rPr>
      <w:drawing>
        <wp:inline distT="0" distB="0" distL="0" distR="0" wp14:anchorId="61DF43A7" wp14:editId="4D335A93">
          <wp:extent cx="2243455" cy="999490"/>
          <wp:effectExtent l="19050" t="0" r="4445" b="0"/>
          <wp:docPr id="3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43455" cy="999490"/>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1738A7" w:rsidRDefault="003A34B9" w:rsidP="00845265">
    <w:pPr>
      <w:pStyle w:val="Header"/>
      <w:rPr>
        <w:rFonts w:cs="Arial"/>
      </w:rPr>
    </w:pPr>
    <w:r w:rsidRPr="001738A7">
      <w:rPr>
        <w:rFonts w:cs="Arial"/>
      </w:rPr>
      <w:fldChar w:fldCharType="begin"/>
    </w:r>
    <w:r w:rsidRPr="001738A7">
      <w:rPr>
        <w:rFonts w:cs="Arial"/>
      </w:rPr>
      <w:instrText xml:space="preserve"> STYLEREF  "Heading 1" </w:instrText>
    </w:r>
    <w:r w:rsidRPr="001738A7">
      <w:rPr>
        <w:rFonts w:cs="Arial"/>
      </w:rPr>
      <w:fldChar w:fldCharType="separate"/>
    </w:r>
    <w:r>
      <w:rPr>
        <w:rFonts w:cs="Arial"/>
        <w:noProof/>
      </w:rPr>
      <w:t>Ex Ante Methodology</w:t>
    </w:r>
    <w:r w:rsidRPr="001738A7">
      <w:rPr>
        <w:rFonts w:cs="Aria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845265" w:rsidRDefault="003A34B9" w:rsidP="00564171">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Pr>
        <w:rFonts w:asciiTheme="minorHAnsi" w:hAnsiTheme="minorHAnsi" w:cstheme="minorHAnsi"/>
        <w:noProof/>
      </w:rPr>
      <w:t>Introduction</w:t>
    </w:r>
    <w:r>
      <w:rPr>
        <w:rFonts w:asciiTheme="minorHAnsi" w:hAnsiTheme="minorHAnsi" w:cstheme="minorHAnsi"/>
      </w:rPr>
      <w:fldChar w:fldCharType="end"/>
    </w:r>
  </w:p>
  <w:p w:rsidR="003A34B9" w:rsidRPr="00845265" w:rsidRDefault="003A34B9" w:rsidP="002F58AD">
    <w:pPr>
      <w:pStyle w:val="Footnote"/>
      <w:rPr>
        <w:rFonts w:asciiTheme="minorHAnsi" w:hAnsiTheme="minorHAnsi" w:cstheme="minorHAnsi"/>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845265" w:rsidRDefault="003A34B9" w:rsidP="00564171">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Pr>
        <w:rFonts w:asciiTheme="minorHAnsi" w:hAnsiTheme="minorHAnsi" w:cstheme="minorHAnsi"/>
        <w:noProof/>
      </w:rPr>
      <w:t>Recommendations</w:t>
    </w:r>
    <w:r>
      <w:rPr>
        <w:rFonts w:asciiTheme="minorHAnsi" w:hAnsiTheme="minorHAnsi" w:cstheme="minorHAnsi"/>
      </w:rPr>
      <w:fldChar w:fldCharType="end"/>
    </w:r>
  </w:p>
  <w:p w:rsidR="003A34B9" w:rsidRPr="00845265" w:rsidRDefault="003A34B9" w:rsidP="002F58AD">
    <w:pPr>
      <w:pStyle w:val="Footnote"/>
      <w:rPr>
        <w:rFonts w:asciiTheme="minorHAnsi" w:hAnsiTheme="minorHAnsi" w:cstheme="minorHAnsi"/>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4B9" w:rsidRPr="00845265" w:rsidRDefault="003A34B9" w:rsidP="00845265">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"Appendix Heading" </w:instrText>
    </w:r>
    <w:r>
      <w:rPr>
        <w:rFonts w:asciiTheme="minorHAnsi" w:hAnsiTheme="minorHAnsi" w:cstheme="minorHAnsi"/>
      </w:rPr>
      <w:fldChar w:fldCharType="separate"/>
    </w:r>
    <w:r>
      <w:rPr>
        <w:rFonts w:asciiTheme="minorHAnsi" w:hAnsiTheme="minorHAnsi" w:cstheme="minorHAnsi"/>
        <w:noProof/>
      </w:rPr>
      <w:t xml:space="preserve">Methodology to Estimate Chiller kW Based on </w:t>
    </w:r>
    <w:r>
      <w:rPr>
        <w:rFonts w:asciiTheme="minorHAnsi" w:hAnsiTheme="minorHAnsi" w:cstheme="minorHAnsi"/>
        <w:noProof/>
      </w:rPr>
      <w:br/>
      <w:t>Chiller Amperage</w:t>
    </w:r>
    <w:r>
      <w:rPr>
        <w:rFonts w:asciiTheme="minorHAnsi" w:hAnsiTheme="minorHAnsi" w:cstheme="minorHAnsi"/>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97A29"/>
    <w:multiLevelType w:val="hybridMultilevel"/>
    <w:tmpl w:val="7E10B062"/>
    <w:lvl w:ilvl="0" w:tplc="0409000F">
      <w:start w:val="1"/>
      <w:numFmt w:val="decimal"/>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33F33D8"/>
    <w:multiLevelType w:val="hybridMultilevel"/>
    <w:tmpl w:val="61346B64"/>
    <w:lvl w:ilvl="0" w:tplc="FFFFFFFF">
      <w:start w:val="1"/>
      <w:numFmt w:val="bullet"/>
      <w:pStyle w:val="Bullet"/>
      <w:lvlText w:val=""/>
      <w:lvlJc w:val="left"/>
      <w:pPr>
        <w:tabs>
          <w:tab w:val="num" w:pos="720"/>
        </w:tabs>
        <w:ind w:left="720" w:hanging="360"/>
      </w:pPr>
      <w:rPr>
        <w:rFonts w:ascii="Wingdings" w:hAnsi="Wingdings" w:hint="default"/>
        <w:color w:val="433B67"/>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62F5674"/>
    <w:multiLevelType w:val="hybridMultilevel"/>
    <w:tmpl w:val="652A9A1E"/>
    <w:lvl w:ilvl="0" w:tplc="F5241B0E">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635BC1"/>
    <w:multiLevelType w:val="hybridMultilevel"/>
    <w:tmpl w:val="7E10B062"/>
    <w:lvl w:ilvl="0" w:tplc="0409000F">
      <w:start w:val="1"/>
      <w:numFmt w:val="decimal"/>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96A593E"/>
    <w:multiLevelType w:val="hybridMultilevel"/>
    <w:tmpl w:val="138AD1F2"/>
    <w:lvl w:ilvl="0" w:tplc="CD5E030A">
      <w:start w:val="1"/>
      <w:numFmt w:val="bullet"/>
      <w:pStyle w:val="Bullets"/>
      <w:lvlText w:val=""/>
      <w:lvlJc w:val="left"/>
      <w:pPr>
        <w:tabs>
          <w:tab w:val="num" w:pos="720"/>
        </w:tabs>
        <w:ind w:left="720" w:hanging="360"/>
      </w:pPr>
      <w:rPr>
        <w:rFonts w:ascii="Wingdings" w:hAnsi="Wingding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7561E2"/>
    <w:multiLevelType w:val="hybridMultilevel"/>
    <w:tmpl w:val="633EB618"/>
    <w:lvl w:ilvl="0" w:tplc="59F6A99A">
      <w:start w:val="1"/>
      <w:numFmt w:val="decimal"/>
      <w:pStyle w:val="Numb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FD401F"/>
    <w:multiLevelType w:val="hybridMultilevel"/>
    <w:tmpl w:val="4D0E9660"/>
    <w:lvl w:ilvl="0" w:tplc="700AAEFA">
      <w:start w:val="3"/>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AFC5B60"/>
    <w:multiLevelType w:val="hybridMultilevel"/>
    <w:tmpl w:val="E62E0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E0B34BA"/>
    <w:multiLevelType w:val="hybridMultilevel"/>
    <w:tmpl w:val="F78EBE34"/>
    <w:lvl w:ilvl="0" w:tplc="0409000F">
      <w:start w:val="1"/>
      <w:numFmt w:val="decimal"/>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60E263D"/>
    <w:multiLevelType w:val="multilevel"/>
    <w:tmpl w:val="803C234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65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nsid w:val="2E582E7A"/>
    <w:multiLevelType w:val="hybridMultilevel"/>
    <w:tmpl w:val="D29E8A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F8428FA"/>
    <w:multiLevelType w:val="hybridMultilevel"/>
    <w:tmpl w:val="63BED94E"/>
    <w:lvl w:ilvl="0" w:tplc="0409000F">
      <w:start w:val="1"/>
      <w:numFmt w:val="decimal"/>
      <w:lvlText w:val="%1."/>
      <w:lvlJc w:val="left"/>
      <w:pPr>
        <w:tabs>
          <w:tab w:val="num" w:pos="720"/>
        </w:tabs>
        <w:ind w:left="720" w:hanging="360"/>
      </w:pPr>
      <w:rPr>
        <w:rFont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7230161"/>
    <w:multiLevelType w:val="hybridMultilevel"/>
    <w:tmpl w:val="23A25C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81540FF"/>
    <w:multiLevelType w:val="hybridMultilevel"/>
    <w:tmpl w:val="63BED94E"/>
    <w:lvl w:ilvl="0" w:tplc="0409000F">
      <w:start w:val="1"/>
      <w:numFmt w:val="decimal"/>
      <w:lvlText w:val="%1."/>
      <w:lvlJc w:val="left"/>
      <w:pPr>
        <w:tabs>
          <w:tab w:val="num" w:pos="720"/>
        </w:tabs>
        <w:ind w:left="720" w:hanging="360"/>
      </w:pPr>
      <w:rPr>
        <w:rFont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D2A23E0"/>
    <w:multiLevelType w:val="hybridMultilevel"/>
    <w:tmpl w:val="0DDACC2E"/>
    <w:lvl w:ilvl="0" w:tplc="0409000F">
      <w:start w:val="1"/>
      <w:numFmt w:val="decimal"/>
      <w:lvlText w:val="%1."/>
      <w:lvlJc w:val="left"/>
      <w:pPr>
        <w:tabs>
          <w:tab w:val="num" w:pos="720"/>
        </w:tabs>
        <w:ind w:left="720" w:hanging="360"/>
      </w:pPr>
      <w:rPr>
        <w:rFonts w:hint="default"/>
        <w:color w:val="433B67"/>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E9D58EB"/>
    <w:multiLevelType w:val="hybridMultilevel"/>
    <w:tmpl w:val="CA5E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F7B08CA"/>
    <w:multiLevelType w:val="hybridMultilevel"/>
    <w:tmpl w:val="C5283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89540E5"/>
    <w:multiLevelType w:val="hybridMultilevel"/>
    <w:tmpl w:val="BD026A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4B012110"/>
    <w:multiLevelType w:val="hybridMultilevel"/>
    <w:tmpl w:val="A9FE22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D6157F6"/>
    <w:multiLevelType w:val="hybridMultilevel"/>
    <w:tmpl w:val="26EC964E"/>
    <w:lvl w:ilvl="0" w:tplc="0D4687A4">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nsid w:val="56A71BE3"/>
    <w:multiLevelType w:val="hybridMultilevel"/>
    <w:tmpl w:val="3356F9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93756D1"/>
    <w:multiLevelType w:val="hybridMultilevel"/>
    <w:tmpl w:val="63BED94E"/>
    <w:lvl w:ilvl="0" w:tplc="0409000F">
      <w:start w:val="1"/>
      <w:numFmt w:val="decimal"/>
      <w:lvlText w:val="%1."/>
      <w:lvlJc w:val="left"/>
      <w:pPr>
        <w:tabs>
          <w:tab w:val="num" w:pos="720"/>
        </w:tabs>
        <w:ind w:left="720" w:hanging="360"/>
      </w:pPr>
      <w:rPr>
        <w:rFont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9752D11"/>
    <w:multiLevelType w:val="hybridMultilevel"/>
    <w:tmpl w:val="49546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4497E68"/>
    <w:multiLevelType w:val="multilevel"/>
    <w:tmpl w:val="CE7AAECE"/>
    <w:lvl w:ilvl="0">
      <w:start w:val="1"/>
      <w:numFmt w:val="upperLetter"/>
      <w:pStyle w:val="AppendixHeading"/>
      <w:lvlText w:val="Appendix %1"/>
      <w:lvlJc w:val="left"/>
      <w:pPr>
        <w:ind w:left="360" w:hanging="360"/>
      </w:pPr>
      <w:rPr>
        <w:rFonts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464749"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70804020"/>
    <w:multiLevelType w:val="hybridMultilevel"/>
    <w:tmpl w:val="76BCA0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2F8560F"/>
    <w:multiLevelType w:val="hybridMultilevel"/>
    <w:tmpl w:val="032AA4FC"/>
    <w:lvl w:ilvl="0" w:tplc="7BC6E8E4">
      <w:start w:val="3"/>
      <w:numFmt w:val="bullet"/>
      <w:lvlText w:val="-"/>
      <w:lvlJc w:val="left"/>
      <w:pPr>
        <w:ind w:left="405" w:hanging="360"/>
      </w:pPr>
      <w:rPr>
        <w:rFonts w:ascii="Calibri" w:eastAsiaTheme="minorEastAsia" w:hAnsi="Calibri" w:cs="Calibr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8">
    <w:nsid w:val="76881994"/>
    <w:multiLevelType w:val="hybridMultilevel"/>
    <w:tmpl w:val="DA56B026"/>
    <w:lvl w:ilvl="0" w:tplc="0409000F">
      <w:start w:val="1"/>
      <w:numFmt w:val="decimal"/>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7B6B78E1"/>
    <w:multiLevelType w:val="hybridMultilevel"/>
    <w:tmpl w:val="793EE2B2"/>
    <w:lvl w:ilvl="0" w:tplc="0409000F">
      <w:start w:val="1"/>
      <w:numFmt w:val="decimal"/>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CE95C17"/>
    <w:multiLevelType w:val="hybridMultilevel"/>
    <w:tmpl w:val="86D2B93A"/>
    <w:lvl w:ilvl="0" w:tplc="2620FFBC">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num w:numId="1">
    <w:abstractNumId w:val="4"/>
  </w:num>
  <w:num w:numId="2">
    <w:abstractNumId w:val="24"/>
  </w:num>
  <w:num w:numId="3">
    <w:abstractNumId w:val="9"/>
  </w:num>
  <w:num w:numId="4">
    <w:abstractNumId w:val="25"/>
  </w:num>
  <w:num w:numId="5">
    <w:abstractNumId w:val="10"/>
  </w:num>
  <w:num w:numId="6">
    <w:abstractNumId w:val="5"/>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num>
  <w:num w:numId="9">
    <w:abstractNumId w:val="7"/>
  </w:num>
  <w:num w:numId="10">
    <w:abstractNumId w:val="13"/>
  </w:num>
  <w:num w:numId="11">
    <w:abstractNumId w:val="2"/>
  </w:num>
  <w:num w:numId="12">
    <w:abstractNumId w:val="27"/>
  </w:num>
  <w:num w:numId="13">
    <w:abstractNumId w:val="23"/>
  </w:num>
  <w:num w:numId="14">
    <w:abstractNumId w:val="17"/>
  </w:num>
  <w:num w:numId="15">
    <w:abstractNumId w:val="18"/>
  </w:num>
  <w:num w:numId="16">
    <w:abstractNumId w:val="21"/>
  </w:num>
  <w:num w:numId="17">
    <w:abstractNumId w:val="19"/>
  </w:num>
  <w:num w:numId="18">
    <w:abstractNumId w:val="15"/>
  </w:num>
  <w:num w:numId="19">
    <w:abstractNumId w:val="22"/>
  </w:num>
  <w:num w:numId="20">
    <w:abstractNumId w:val="12"/>
  </w:num>
  <w:num w:numId="21">
    <w:abstractNumId w:val="1"/>
  </w:num>
  <w:num w:numId="22">
    <w:abstractNumId w:val="26"/>
  </w:num>
  <w:num w:numId="23">
    <w:abstractNumId w:val="0"/>
  </w:num>
  <w:num w:numId="24">
    <w:abstractNumId w:val="6"/>
  </w:num>
  <w:num w:numId="25">
    <w:abstractNumId w:val="29"/>
  </w:num>
  <w:num w:numId="26">
    <w:abstractNumId w:val="28"/>
  </w:num>
  <w:num w:numId="27">
    <w:abstractNumId w:val="3"/>
  </w:num>
  <w:num w:numId="28">
    <w:abstractNumId w:val="11"/>
  </w:num>
  <w:num w:numId="29">
    <w:abstractNumId w:val="8"/>
  </w:num>
  <w:num w:numId="30">
    <w:abstractNumId w:val="16"/>
  </w:num>
  <w:num w:numId="31">
    <w:abstractNumId w:val="20"/>
  </w:num>
  <w:num w:numId="32">
    <w:abstractNumId w:val="3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hdrShapeDefaults>
    <o:shapedefaults v:ext="edit" spidmax="2049" strokecolor="#1f497d">
      <v:stroke color="#1f497d" weight="3pt"/>
      <v:shadow on="t" type="perspective" color="none [1607]" opacity=".5" offset="1pt" offset2="-1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6668"/>
    <w:rsid w:val="00003A25"/>
    <w:rsid w:val="000044E0"/>
    <w:rsid w:val="000059BA"/>
    <w:rsid w:val="000061BC"/>
    <w:rsid w:val="00006668"/>
    <w:rsid w:val="000079C4"/>
    <w:rsid w:val="00010199"/>
    <w:rsid w:val="00014A86"/>
    <w:rsid w:val="0001578C"/>
    <w:rsid w:val="00017A29"/>
    <w:rsid w:val="00020BC6"/>
    <w:rsid w:val="00025D48"/>
    <w:rsid w:val="00027EFC"/>
    <w:rsid w:val="00030CCE"/>
    <w:rsid w:val="00031ACA"/>
    <w:rsid w:val="000341B4"/>
    <w:rsid w:val="0003461A"/>
    <w:rsid w:val="00035351"/>
    <w:rsid w:val="000357CA"/>
    <w:rsid w:val="00036E76"/>
    <w:rsid w:val="00040D9F"/>
    <w:rsid w:val="000423F0"/>
    <w:rsid w:val="0004351B"/>
    <w:rsid w:val="0004458B"/>
    <w:rsid w:val="00045AA9"/>
    <w:rsid w:val="000474C9"/>
    <w:rsid w:val="00047ABA"/>
    <w:rsid w:val="0005186C"/>
    <w:rsid w:val="00051C37"/>
    <w:rsid w:val="0005598B"/>
    <w:rsid w:val="00056DF3"/>
    <w:rsid w:val="0006042F"/>
    <w:rsid w:val="00060B2F"/>
    <w:rsid w:val="000610DD"/>
    <w:rsid w:val="0006172C"/>
    <w:rsid w:val="00061CE4"/>
    <w:rsid w:val="00062284"/>
    <w:rsid w:val="00062E36"/>
    <w:rsid w:val="00062F63"/>
    <w:rsid w:val="00063263"/>
    <w:rsid w:val="000647AA"/>
    <w:rsid w:val="000672A6"/>
    <w:rsid w:val="00070209"/>
    <w:rsid w:val="000707C6"/>
    <w:rsid w:val="00070ED7"/>
    <w:rsid w:val="0007188B"/>
    <w:rsid w:val="0007338E"/>
    <w:rsid w:val="0007479B"/>
    <w:rsid w:val="00074F1D"/>
    <w:rsid w:val="00081E4F"/>
    <w:rsid w:val="00083BBE"/>
    <w:rsid w:val="00083D77"/>
    <w:rsid w:val="00087D06"/>
    <w:rsid w:val="00093288"/>
    <w:rsid w:val="00093D3D"/>
    <w:rsid w:val="00094530"/>
    <w:rsid w:val="00094A0E"/>
    <w:rsid w:val="00095491"/>
    <w:rsid w:val="00095615"/>
    <w:rsid w:val="00095FBE"/>
    <w:rsid w:val="00096204"/>
    <w:rsid w:val="000969D8"/>
    <w:rsid w:val="00096E82"/>
    <w:rsid w:val="000971B2"/>
    <w:rsid w:val="00097690"/>
    <w:rsid w:val="000A0B67"/>
    <w:rsid w:val="000A13E4"/>
    <w:rsid w:val="000A1E2A"/>
    <w:rsid w:val="000A37E9"/>
    <w:rsid w:val="000A4436"/>
    <w:rsid w:val="000A5B82"/>
    <w:rsid w:val="000A65EC"/>
    <w:rsid w:val="000A6CAB"/>
    <w:rsid w:val="000A6CE0"/>
    <w:rsid w:val="000A718A"/>
    <w:rsid w:val="000B0830"/>
    <w:rsid w:val="000B2E34"/>
    <w:rsid w:val="000B348C"/>
    <w:rsid w:val="000B36BA"/>
    <w:rsid w:val="000B3921"/>
    <w:rsid w:val="000B5B75"/>
    <w:rsid w:val="000C007D"/>
    <w:rsid w:val="000C3FE5"/>
    <w:rsid w:val="000C44B5"/>
    <w:rsid w:val="000C5046"/>
    <w:rsid w:val="000C515A"/>
    <w:rsid w:val="000C5967"/>
    <w:rsid w:val="000D202B"/>
    <w:rsid w:val="000D34F2"/>
    <w:rsid w:val="000D3B47"/>
    <w:rsid w:val="000D7398"/>
    <w:rsid w:val="000D7B44"/>
    <w:rsid w:val="000E0B64"/>
    <w:rsid w:val="000E0BBA"/>
    <w:rsid w:val="000E2A34"/>
    <w:rsid w:val="000E3505"/>
    <w:rsid w:val="000E6145"/>
    <w:rsid w:val="000E73DD"/>
    <w:rsid w:val="000F0D00"/>
    <w:rsid w:val="000F213A"/>
    <w:rsid w:val="000F594E"/>
    <w:rsid w:val="000F7F28"/>
    <w:rsid w:val="00101FEC"/>
    <w:rsid w:val="00103523"/>
    <w:rsid w:val="00104218"/>
    <w:rsid w:val="001049A6"/>
    <w:rsid w:val="00104CA1"/>
    <w:rsid w:val="00104CD4"/>
    <w:rsid w:val="00105674"/>
    <w:rsid w:val="00107177"/>
    <w:rsid w:val="00110CE8"/>
    <w:rsid w:val="001110B4"/>
    <w:rsid w:val="00114D6C"/>
    <w:rsid w:val="00116507"/>
    <w:rsid w:val="001205B5"/>
    <w:rsid w:val="00121357"/>
    <w:rsid w:val="00121671"/>
    <w:rsid w:val="00121A0F"/>
    <w:rsid w:val="00121D35"/>
    <w:rsid w:val="0012264D"/>
    <w:rsid w:val="00123109"/>
    <w:rsid w:val="001255C3"/>
    <w:rsid w:val="00127AD3"/>
    <w:rsid w:val="00127EC1"/>
    <w:rsid w:val="0013063D"/>
    <w:rsid w:val="00131263"/>
    <w:rsid w:val="001313B7"/>
    <w:rsid w:val="001324E3"/>
    <w:rsid w:val="00132AD8"/>
    <w:rsid w:val="00134D4B"/>
    <w:rsid w:val="001352D7"/>
    <w:rsid w:val="00137F86"/>
    <w:rsid w:val="00142ACF"/>
    <w:rsid w:val="00143E9F"/>
    <w:rsid w:val="0014736B"/>
    <w:rsid w:val="00147920"/>
    <w:rsid w:val="001503E6"/>
    <w:rsid w:val="001505BE"/>
    <w:rsid w:val="00150BD4"/>
    <w:rsid w:val="00150DCE"/>
    <w:rsid w:val="0015249A"/>
    <w:rsid w:val="00153061"/>
    <w:rsid w:val="0015673D"/>
    <w:rsid w:val="00157BFA"/>
    <w:rsid w:val="00157D46"/>
    <w:rsid w:val="00162780"/>
    <w:rsid w:val="00162BB1"/>
    <w:rsid w:val="00163508"/>
    <w:rsid w:val="00166268"/>
    <w:rsid w:val="00167938"/>
    <w:rsid w:val="001719CD"/>
    <w:rsid w:val="001738A7"/>
    <w:rsid w:val="00174562"/>
    <w:rsid w:val="00174D9B"/>
    <w:rsid w:val="00176C76"/>
    <w:rsid w:val="00177679"/>
    <w:rsid w:val="001801B9"/>
    <w:rsid w:val="00181FCB"/>
    <w:rsid w:val="00182561"/>
    <w:rsid w:val="0018307E"/>
    <w:rsid w:val="00183922"/>
    <w:rsid w:val="00183AC7"/>
    <w:rsid w:val="00184502"/>
    <w:rsid w:val="00185729"/>
    <w:rsid w:val="00187446"/>
    <w:rsid w:val="001921E6"/>
    <w:rsid w:val="001923F5"/>
    <w:rsid w:val="0019297D"/>
    <w:rsid w:val="00192CF8"/>
    <w:rsid w:val="0019357F"/>
    <w:rsid w:val="00195CEA"/>
    <w:rsid w:val="00195D9A"/>
    <w:rsid w:val="0019781C"/>
    <w:rsid w:val="00197FFA"/>
    <w:rsid w:val="001A6711"/>
    <w:rsid w:val="001A69F7"/>
    <w:rsid w:val="001A71A9"/>
    <w:rsid w:val="001A7AA0"/>
    <w:rsid w:val="001B0ACB"/>
    <w:rsid w:val="001B23B3"/>
    <w:rsid w:val="001B352B"/>
    <w:rsid w:val="001B3894"/>
    <w:rsid w:val="001B43DF"/>
    <w:rsid w:val="001B44C0"/>
    <w:rsid w:val="001C06CA"/>
    <w:rsid w:val="001C0B63"/>
    <w:rsid w:val="001C1F7B"/>
    <w:rsid w:val="001C27EE"/>
    <w:rsid w:val="001C2CCE"/>
    <w:rsid w:val="001C38B7"/>
    <w:rsid w:val="001D1B3D"/>
    <w:rsid w:val="001D1C3E"/>
    <w:rsid w:val="001D2DA0"/>
    <w:rsid w:val="001D44C7"/>
    <w:rsid w:val="001D5759"/>
    <w:rsid w:val="001E1625"/>
    <w:rsid w:val="001E35A3"/>
    <w:rsid w:val="001E3E5F"/>
    <w:rsid w:val="001E4F10"/>
    <w:rsid w:val="001E5667"/>
    <w:rsid w:val="001E7389"/>
    <w:rsid w:val="001E7B77"/>
    <w:rsid w:val="001F1BFD"/>
    <w:rsid w:val="001F2D76"/>
    <w:rsid w:val="001F391A"/>
    <w:rsid w:val="001F71EF"/>
    <w:rsid w:val="00202FDB"/>
    <w:rsid w:val="00205B9D"/>
    <w:rsid w:val="002077EA"/>
    <w:rsid w:val="002134EC"/>
    <w:rsid w:val="00213694"/>
    <w:rsid w:val="00220235"/>
    <w:rsid w:val="00221765"/>
    <w:rsid w:val="0022203B"/>
    <w:rsid w:val="00223BAC"/>
    <w:rsid w:val="00223DE6"/>
    <w:rsid w:val="00224464"/>
    <w:rsid w:val="00225E2B"/>
    <w:rsid w:val="00227647"/>
    <w:rsid w:val="00227CB9"/>
    <w:rsid w:val="00232C4F"/>
    <w:rsid w:val="0023302A"/>
    <w:rsid w:val="0023432D"/>
    <w:rsid w:val="00234B43"/>
    <w:rsid w:val="00235377"/>
    <w:rsid w:val="00235C32"/>
    <w:rsid w:val="00237769"/>
    <w:rsid w:val="00237CBC"/>
    <w:rsid w:val="00240650"/>
    <w:rsid w:val="00241448"/>
    <w:rsid w:val="00242E91"/>
    <w:rsid w:val="002436C1"/>
    <w:rsid w:val="00243A6C"/>
    <w:rsid w:val="00244AC9"/>
    <w:rsid w:val="0024547B"/>
    <w:rsid w:val="00245A15"/>
    <w:rsid w:val="00246D49"/>
    <w:rsid w:val="00247BED"/>
    <w:rsid w:val="00250565"/>
    <w:rsid w:val="002512E0"/>
    <w:rsid w:val="00252D43"/>
    <w:rsid w:val="00252FAF"/>
    <w:rsid w:val="002541F9"/>
    <w:rsid w:val="0025516F"/>
    <w:rsid w:val="00256C7D"/>
    <w:rsid w:val="00262163"/>
    <w:rsid w:val="0026235F"/>
    <w:rsid w:val="00263B92"/>
    <w:rsid w:val="00267A8B"/>
    <w:rsid w:val="00271204"/>
    <w:rsid w:val="0027139B"/>
    <w:rsid w:val="002714E5"/>
    <w:rsid w:val="00272694"/>
    <w:rsid w:val="00272C6A"/>
    <w:rsid w:val="0027404C"/>
    <w:rsid w:val="00275D16"/>
    <w:rsid w:val="00280618"/>
    <w:rsid w:val="0028074C"/>
    <w:rsid w:val="00283121"/>
    <w:rsid w:val="002833CE"/>
    <w:rsid w:val="002838E8"/>
    <w:rsid w:val="0028429E"/>
    <w:rsid w:val="002842C9"/>
    <w:rsid w:val="00285473"/>
    <w:rsid w:val="0028548F"/>
    <w:rsid w:val="00285648"/>
    <w:rsid w:val="00285E20"/>
    <w:rsid w:val="00287E5D"/>
    <w:rsid w:val="00290911"/>
    <w:rsid w:val="00292F0A"/>
    <w:rsid w:val="00296ADE"/>
    <w:rsid w:val="002A0651"/>
    <w:rsid w:val="002A512E"/>
    <w:rsid w:val="002A66BF"/>
    <w:rsid w:val="002A6B02"/>
    <w:rsid w:val="002A6F33"/>
    <w:rsid w:val="002B032E"/>
    <w:rsid w:val="002B043C"/>
    <w:rsid w:val="002B07E5"/>
    <w:rsid w:val="002B232C"/>
    <w:rsid w:val="002B23DF"/>
    <w:rsid w:val="002B4D4B"/>
    <w:rsid w:val="002B529B"/>
    <w:rsid w:val="002B5421"/>
    <w:rsid w:val="002B753B"/>
    <w:rsid w:val="002B7630"/>
    <w:rsid w:val="002C2792"/>
    <w:rsid w:val="002C3C24"/>
    <w:rsid w:val="002C45CE"/>
    <w:rsid w:val="002C46A8"/>
    <w:rsid w:val="002C5BF9"/>
    <w:rsid w:val="002D106C"/>
    <w:rsid w:val="002D33C0"/>
    <w:rsid w:val="002D3B35"/>
    <w:rsid w:val="002D479C"/>
    <w:rsid w:val="002D6AD9"/>
    <w:rsid w:val="002D773A"/>
    <w:rsid w:val="002E1C1C"/>
    <w:rsid w:val="002F094E"/>
    <w:rsid w:val="002F12F6"/>
    <w:rsid w:val="002F58AD"/>
    <w:rsid w:val="002F7EA4"/>
    <w:rsid w:val="00301BBD"/>
    <w:rsid w:val="00302026"/>
    <w:rsid w:val="00302DBD"/>
    <w:rsid w:val="00305437"/>
    <w:rsid w:val="003076DE"/>
    <w:rsid w:val="00310CF3"/>
    <w:rsid w:val="00311054"/>
    <w:rsid w:val="00311D17"/>
    <w:rsid w:val="00312B73"/>
    <w:rsid w:val="00313B12"/>
    <w:rsid w:val="00314DD4"/>
    <w:rsid w:val="00314F76"/>
    <w:rsid w:val="0031753D"/>
    <w:rsid w:val="0032034D"/>
    <w:rsid w:val="003204E0"/>
    <w:rsid w:val="0032138A"/>
    <w:rsid w:val="00322CFB"/>
    <w:rsid w:val="00334712"/>
    <w:rsid w:val="003348D3"/>
    <w:rsid w:val="00334BF5"/>
    <w:rsid w:val="00335DE4"/>
    <w:rsid w:val="00336AD7"/>
    <w:rsid w:val="003379D9"/>
    <w:rsid w:val="00337E19"/>
    <w:rsid w:val="00344C3B"/>
    <w:rsid w:val="00345267"/>
    <w:rsid w:val="00345A69"/>
    <w:rsid w:val="00346288"/>
    <w:rsid w:val="00346C24"/>
    <w:rsid w:val="0034711A"/>
    <w:rsid w:val="0035060C"/>
    <w:rsid w:val="003506C1"/>
    <w:rsid w:val="0035172C"/>
    <w:rsid w:val="00351BA2"/>
    <w:rsid w:val="00352C68"/>
    <w:rsid w:val="00354903"/>
    <w:rsid w:val="00355B1C"/>
    <w:rsid w:val="00355BC6"/>
    <w:rsid w:val="003576D0"/>
    <w:rsid w:val="00362037"/>
    <w:rsid w:val="0036226B"/>
    <w:rsid w:val="00363263"/>
    <w:rsid w:val="00365361"/>
    <w:rsid w:val="00367B78"/>
    <w:rsid w:val="003708EA"/>
    <w:rsid w:val="003728C2"/>
    <w:rsid w:val="00375BC9"/>
    <w:rsid w:val="00375BE2"/>
    <w:rsid w:val="0038187D"/>
    <w:rsid w:val="00385706"/>
    <w:rsid w:val="00386ED9"/>
    <w:rsid w:val="00387626"/>
    <w:rsid w:val="00393B5B"/>
    <w:rsid w:val="00394640"/>
    <w:rsid w:val="00395838"/>
    <w:rsid w:val="00396B8C"/>
    <w:rsid w:val="003A0F85"/>
    <w:rsid w:val="003A34B9"/>
    <w:rsid w:val="003A402C"/>
    <w:rsid w:val="003A4BA1"/>
    <w:rsid w:val="003A5279"/>
    <w:rsid w:val="003A7D22"/>
    <w:rsid w:val="003A7EDA"/>
    <w:rsid w:val="003B0AD0"/>
    <w:rsid w:val="003B513E"/>
    <w:rsid w:val="003B5443"/>
    <w:rsid w:val="003B5E2C"/>
    <w:rsid w:val="003B68AE"/>
    <w:rsid w:val="003B7C34"/>
    <w:rsid w:val="003C37F0"/>
    <w:rsid w:val="003C3C3B"/>
    <w:rsid w:val="003C5E89"/>
    <w:rsid w:val="003C6DFF"/>
    <w:rsid w:val="003C7DFB"/>
    <w:rsid w:val="003D21F0"/>
    <w:rsid w:val="003D2671"/>
    <w:rsid w:val="003D55AB"/>
    <w:rsid w:val="003D68A0"/>
    <w:rsid w:val="003D7128"/>
    <w:rsid w:val="003D7448"/>
    <w:rsid w:val="003D7B3D"/>
    <w:rsid w:val="003E285D"/>
    <w:rsid w:val="003E43D8"/>
    <w:rsid w:val="003F342A"/>
    <w:rsid w:val="003F50CE"/>
    <w:rsid w:val="003F7781"/>
    <w:rsid w:val="00402CD7"/>
    <w:rsid w:val="00405194"/>
    <w:rsid w:val="00410FC3"/>
    <w:rsid w:val="00413CBE"/>
    <w:rsid w:val="004140C0"/>
    <w:rsid w:val="0042190B"/>
    <w:rsid w:val="00423629"/>
    <w:rsid w:val="00426ECE"/>
    <w:rsid w:val="00430A69"/>
    <w:rsid w:val="004328FA"/>
    <w:rsid w:val="00435BDB"/>
    <w:rsid w:val="00436018"/>
    <w:rsid w:val="00441ACF"/>
    <w:rsid w:val="0044333B"/>
    <w:rsid w:val="00453BF8"/>
    <w:rsid w:val="00455313"/>
    <w:rsid w:val="00456711"/>
    <w:rsid w:val="00457417"/>
    <w:rsid w:val="004604F3"/>
    <w:rsid w:val="00461D17"/>
    <w:rsid w:val="0046277A"/>
    <w:rsid w:val="00463CDF"/>
    <w:rsid w:val="00463D61"/>
    <w:rsid w:val="004672A6"/>
    <w:rsid w:val="00467A8E"/>
    <w:rsid w:val="00470696"/>
    <w:rsid w:val="00471BD4"/>
    <w:rsid w:val="004730CA"/>
    <w:rsid w:val="00476B83"/>
    <w:rsid w:val="004806BE"/>
    <w:rsid w:val="00480E07"/>
    <w:rsid w:val="00481104"/>
    <w:rsid w:val="00481C1C"/>
    <w:rsid w:val="0048270C"/>
    <w:rsid w:val="00482A29"/>
    <w:rsid w:val="004837BD"/>
    <w:rsid w:val="004845EF"/>
    <w:rsid w:val="00484F59"/>
    <w:rsid w:val="00491680"/>
    <w:rsid w:val="00491FFC"/>
    <w:rsid w:val="004947E1"/>
    <w:rsid w:val="004959C8"/>
    <w:rsid w:val="00495FFF"/>
    <w:rsid w:val="0049635F"/>
    <w:rsid w:val="00497A95"/>
    <w:rsid w:val="004A0174"/>
    <w:rsid w:val="004A2C38"/>
    <w:rsid w:val="004A536A"/>
    <w:rsid w:val="004A6E63"/>
    <w:rsid w:val="004A7B9A"/>
    <w:rsid w:val="004B0378"/>
    <w:rsid w:val="004B0B56"/>
    <w:rsid w:val="004B1403"/>
    <w:rsid w:val="004B50C8"/>
    <w:rsid w:val="004B59F8"/>
    <w:rsid w:val="004C356D"/>
    <w:rsid w:val="004C4AAD"/>
    <w:rsid w:val="004C6EE9"/>
    <w:rsid w:val="004C7511"/>
    <w:rsid w:val="004C7713"/>
    <w:rsid w:val="004D0AE0"/>
    <w:rsid w:val="004D101A"/>
    <w:rsid w:val="004D20F4"/>
    <w:rsid w:val="004D4277"/>
    <w:rsid w:val="004D47B0"/>
    <w:rsid w:val="004D61D9"/>
    <w:rsid w:val="004E0F10"/>
    <w:rsid w:val="004E2467"/>
    <w:rsid w:val="004E5D3E"/>
    <w:rsid w:val="004E7E3E"/>
    <w:rsid w:val="004F132E"/>
    <w:rsid w:val="004F13A0"/>
    <w:rsid w:val="004F1C20"/>
    <w:rsid w:val="004F2AA8"/>
    <w:rsid w:val="004F33AD"/>
    <w:rsid w:val="004F6B0B"/>
    <w:rsid w:val="004F6CC2"/>
    <w:rsid w:val="00502087"/>
    <w:rsid w:val="0050317D"/>
    <w:rsid w:val="00504474"/>
    <w:rsid w:val="00506A70"/>
    <w:rsid w:val="005132F0"/>
    <w:rsid w:val="0051375F"/>
    <w:rsid w:val="00514B8E"/>
    <w:rsid w:val="00516AF3"/>
    <w:rsid w:val="0051701D"/>
    <w:rsid w:val="00517952"/>
    <w:rsid w:val="00520376"/>
    <w:rsid w:val="00520771"/>
    <w:rsid w:val="005207FF"/>
    <w:rsid w:val="00520B7C"/>
    <w:rsid w:val="00521F0E"/>
    <w:rsid w:val="005241DE"/>
    <w:rsid w:val="00531535"/>
    <w:rsid w:val="00533ADF"/>
    <w:rsid w:val="00533ECF"/>
    <w:rsid w:val="00534128"/>
    <w:rsid w:val="005350C9"/>
    <w:rsid w:val="0053723E"/>
    <w:rsid w:val="005405A7"/>
    <w:rsid w:val="00541198"/>
    <w:rsid w:val="005413A7"/>
    <w:rsid w:val="005457DB"/>
    <w:rsid w:val="00547BAF"/>
    <w:rsid w:val="005540DF"/>
    <w:rsid w:val="00560C4E"/>
    <w:rsid w:val="00560DAF"/>
    <w:rsid w:val="005610C5"/>
    <w:rsid w:val="00564171"/>
    <w:rsid w:val="00565A04"/>
    <w:rsid w:val="00565C25"/>
    <w:rsid w:val="005673FD"/>
    <w:rsid w:val="005676CD"/>
    <w:rsid w:val="00570C8A"/>
    <w:rsid w:val="00570D1A"/>
    <w:rsid w:val="00572B95"/>
    <w:rsid w:val="0057380E"/>
    <w:rsid w:val="00573B5A"/>
    <w:rsid w:val="00574070"/>
    <w:rsid w:val="00576C27"/>
    <w:rsid w:val="00577956"/>
    <w:rsid w:val="005802BE"/>
    <w:rsid w:val="00581516"/>
    <w:rsid w:val="00582131"/>
    <w:rsid w:val="00584247"/>
    <w:rsid w:val="0058471F"/>
    <w:rsid w:val="00584953"/>
    <w:rsid w:val="005851BE"/>
    <w:rsid w:val="005852EA"/>
    <w:rsid w:val="00585891"/>
    <w:rsid w:val="005876FD"/>
    <w:rsid w:val="00591FF4"/>
    <w:rsid w:val="005932DD"/>
    <w:rsid w:val="00593B89"/>
    <w:rsid w:val="00595925"/>
    <w:rsid w:val="005A0FD7"/>
    <w:rsid w:val="005A75A4"/>
    <w:rsid w:val="005B3C91"/>
    <w:rsid w:val="005B4DF0"/>
    <w:rsid w:val="005B52CE"/>
    <w:rsid w:val="005B549B"/>
    <w:rsid w:val="005B5CE9"/>
    <w:rsid w:val="005C1EEE"/>
    <w:rsid w:val="005C342D"/>
    <w:rsid w:val="005C4FEE"/>
    <w:rsid w:val="005D003F"/>
    <w:rsid w:val="005D00F0"/>
    <w:rsid w:val="005D0141"/>
    <w:rsid w:val="005D188A"/>
    <w:rsid w:val="005D1DB5"/>
    <w:rsid w:val="005D3F1E"/>
    <w:rsid w:val="005D62AE"/>
    <w:rsid w:val="005E01EB"/>
    <w:rsid w:val="005E0FAA"/>
    <w:rsid w:val="005E18C3"/>
    <w:rsid w:val="005E1A52"/>
    <w:rsid w:val="005E2CBB"/>
    <w:rsid w:val="005E4FA6"/>
    <w:rsid w:val="005E6341"/>
    <w:rsid w:val="005E68D5"/>
    <w:rsid w:val="005E6F8B"/>
    <w:rsid w:val="005E735C"/>
    <w:rsid w:val="005E75FF"/>
    <w:rsid w:val="005F1524"/>
    <w:rsid w:val="005F1A34"/>
    <w:rsid w:val="005F1BCC"/>
    <w:rsid w:val="005F5BD8"/>
    <w:rsid w:val="005F691E"/>
    <w:rsid w:val="005F726D"/>
    <w:rsid w:val="00605FD6"/>
    <w:rsid w:val="006072EC"/>
    <w:rsid w:val="0060760A"/>
    <w:rsid w:val="006120F8"/>
    <w:rsid w:val="00614852"/>
    <w:rsid w:val="006151F7"/>
    <w:rsid w:val="00615336"/>
    <w:rsid w:val="006153C6"/>
    <w:rsid w:val="006161E9"/>
    <w:rsid w:val="00617209"/>
    <w:rsid w:val="00620314"/>
    <w:rsid w:val="00622524"/>
    <w:rsid w:val="00631146"/>
    <w:rsid w:val="006331D6"/>
    <w:rsid w:val="00633C54"/>
    <w:rsid w:val="0063740E"/>
    <w:rsid w:val="006379DD"/>
    <w:rsid w:val="0064059D"/>
    <w:rsid w:val="00643798"/>
    <w:rsid w:val="006455A7"/>
    <w:rsid w:val="00645F0E"/>
    <w:rsid w:val="00650E53"/>
    <w:rsid w:val="00654548"/>
    <w:rsid w:val="00657EAF"/>
    <w:rsid w:val="00660D8B"/>
    <w:rsid w:val="00661DD2"/>
    <w:rsid w:val="00663181"/>
    <w:rsid w:val="00663390"/>
    <w:rsid w:val="00663812"/>
    <w:rsid w:val="006717E3"/>
    <w:rsid w:val="00671DF8"/>
    <w:rsid w:val="00672BBA"/>
    <w:rsid w:val="006740A0"/>
    <w:rsid w:val="006740DF"/>
    <w:rsid w:val="00675B29"/>
    <w:rsid w:val="006779F6"/>
    <w:rsid w:val="00680A25"/>
    <w:rsid w:val="00681B01"/>
    <w:rsid w:val="006832B8"/>
    <w:rsid w:val="006835D7"/>
    <w:rsid w:val="006841F5"/>
    <w:rsid w:val="00685B44"/>
    <w:rsid w:val="00686D38"/>
    <w:rsid w:val="006932A6"/>
    <w:rsid w:val="0069339F"/>
    <w:rsid w:val="006940C1"/>
    <w:rsid w:val="006947D9"/>
    <w:rsid w:val="00696368"/>
    <w:rsid w:val="00696742"/>
    <w:rsid w:val="006967B2"/>
    <w:rsid w:val="00696F9C"/>
    <w:rsid w:val="006A21AB"/>
    <w:rsid w:val="006A40EC"/>
    <w:rsid w:val="006A5995"/>
    <w:rsid w:val="006A61DE"/>
    <w:rsid w:val="006B0705"/>
    <w:rsid w:val="006B11C8"/>
    <w:rsid w:val="006B28F0"/>
    <w:rsid w:val="006B33B9"/>
    <w:rsid w:val="006B3688"/>
    <w:rsid w:val="006B4340"/>
    <w:rsid w:val="006B48C8"/>
    <w:rsid w:val="006B594F"/>
    <w:rsid w:val="006B644D"/>
    <w:rsid w:val="006B68EF"/>
    <w:rsid w:val="006B78F3"/>
    <w:rsid w:val="006C54C5"/>
    <w:rsid w:val="006C5B1B"/>
    <w:rsid w:val="006C724A"/>
    <w:rsid w:val="006C7F19"/>
    <w:rsid w:val="006D12DC"/>
    <w:rsid w:val="006D1366"/>
    <w:rsid w:val="006D27E7"/>
    <w:rsid w:val="006D2E55"/>
    <w:rsid w:val="006D660E"/>
    <w:rsid w:val="006E3FA6"/>
    <w:rsid w:val="006E4EA5"/>
    <w:rsid w:val="006E5F69"/>
    <w:rsid w:val="006F3480"/>
    <w:rsid w:val="006F6FF0"/>
    <w:rsid w:val="0070299E"/>
    <w:rsid w:val="00702A03"/>
    <w:rsid w:val="00705A0A"/>
    <w:rsid w:val="00707839"/>
    <w:rsid w:val="007104F8"/>
    <w:rsid w:val="00710BBA"/>
    <w:rsid w:val="0071105E"/>
    <w:rsid w:val="00711620"/>
    <w:rsid w:val="00711F3D"/>
    <w:rsid w:val="007147F8"/>
    <w:rsid w:val="00715614"/>
    <w:rsid w:val="00715D70"/>
    <w:rsid w:val="0071752B"/>
    <w:rsid w:val="00717FCF"/>
    <w:rsid w:val="00721E89"/>
    <w:rsid w:val="00721FAA"/>
    <w:rsid w:val="00722025"/>
    <w:rsid w:val="00722723"/>
    <w:rsid w:val="00723DBD"/>
    <w:rsid w:val="007242B1"/>
    <w:rsid w:val="0072443B"/>
    <w:rsid w:val="007266FE"/>
    <w:rsid w:val="0072730B"/>
    <w:rsid w:val="00727D59"/>
    <w:rsid w:val="0073360F"/>
    <w:rsid w:val="007336EB"/>
    <w:rsid w:val="00733920"/>
    <w:rsid w:val="00734E7A"/>
    <w:rsid w:val="0073535A"/>
    <w:rsid w:val="00740AD7"/>
    <w:rsid w:val="0074140E"/>
    <w:rsid w:val="007427C0"/>
    <w:rsid w:val="00742D25"/>
    <w:rsid w:val="007458E3"/>
    <w:rsid w:val="00745DB7"/>
    <w:rsid w:val="00746025"/>
    <w:rsid w:val="007466B5"/>
    <w:rsid w:val="0074679D"/>
    <w:rsid w:val="00746BD5"/>
    <w:rsid w:val="00751808"/>
    <w:rsid w:val="00752687"/>
    <w:rsid w:val="00753CD4"/>
    <w:rsid w:val="00755A5D"/>
    <w:rsid w:val="0075637F"/>
    <w:rsid w:val="007565EF"/>
    <w:rsid w:val="007567AA"/>
    <w:rsid w:val="007569F2"/>
    <w:rsid w:val="00756A1A"/>
    <w:rsid w:val="00757FE6"/>
    <w:rsid w:val="007600DB"/>
    <w:rsid w:val="007606E1"/>
    <w:rsid w:val="00761057"/>
    <w:rsid w:val="00763176"/>
    <w:rsid w:val="00763FAC"/>
    <w:rsid w:val="00764B69"/>
    <w:rsid w:val="00764CBF"/>
    <w:rsid w:val="00765CF9"/>
    <w:rsid w:val="00766D64"/>
    <w:rsid w:val="007703A2"/>
    <w:rsid w:val="007715BA"/>
    <w:rsid w:val="00773205"/>
    <w:rsid w:val="00782005"/>
    <w:rsid w:val="0078474D"/>
    <w:rsid w:val="00786C61"/>
    <w:rsid w:val="007877D9"/>
    <w:rsid w:val="007910CB"/>
    <w:rsid w:val="00794891"/>
    <w:rsid w:val="00794C7E"/>
    <w:rsid w:val="0079582F"/>
    <w:rsid w:val="0079644E"/>
    <w:rsid w:val="00796F66"/>
    <w:rsid w:val="007A0B50"/>
    <w:rsid w:val="007A2B8C"/>
    <w:rsid w:val="007A450B"/>
    <w:rsid w:val="007A46F6"/>
    <w:rsid w:val="007A5927"/>
    <w:rsid w:val="007A5B53"/>
    <w:rsid w:val="007A682D"/>
    <w:rsid w:val="007A6DA6"/>
    <w:rsid w:val="007B1574"/>
    <w:rsid w:val="007B1AEC"/>
    <w:rsid w:val="007B1DD2"/>
    <w:rsid w:val="007B504B"/>
    <w:rsid w:val="007B56A1"/>
    <w:rsid w:val="007B782E"/>
    <w:rsid w:val="007C109B"/>
    <w:rsid w:val="007C1A2C"/>
    <w:rsid w:val="007C29F6"/>
    <w:rsid w:val="007C52CC"/>
    <w:rsid w:val="007C6077"/>
    <w:rsid w:val="007D2A0A"/>
    <w:rsid w:val="007D3839"/>
    <w:rsid w:val="007D53F0"/>
    <w:rsid w:val="007D5855"/>
    <w:rsid w:val="007D660F"/>
    <w:rsid w:val="007D74D6"/>
    <w:rsid w:val="007E3AFA"/>
    <w:rsid w:val="007E3C91"/>
    <w:rsid w:val="007E6893"/>
    <w:rsid w:val="007F078B"/>
    <w:rsid w:val="007F1157"/>
    <w:rsid w:val="007F16BC"/>
    <w:rsid w:val="007F2F6A"/>
    <w:rsid w:val="007F3553"/>
    <w:rsid w:val="007F4400"/>
    <w:rsid w:val="007F6DB4"/>
    <w:rsid w:val="007F76B8"/>
    <w:rsid w:val="00806B58"/>
    <w:rsid w:val="00813757"/>
    <w:rsid w:val="008139B9"/>
    <w:rsid w:val="00814E0B"/>
    <w:rsid w:val="00815308"/>
    <w:rsid w:val="00820B4B"/>
    <w:rsid w:val="00821A6A"/>
    <w:rsid w:val="008224A5"/>
    <w:rsid w:val="0082371E"/>
    <w:rsid w:val="00824815"/>
    <w:rsid w:val="00825038"/>
    <w:rsid w:val="008275F3"/>
    <w:rsid w:val="008307D9"/>
    <w:rsid w:val="00831305"/>
    <w:rsid w:val="00831552"/>
    <w:rsid w:val="00832B87"/>
    <w:rsid w:val="008340D4"/>
    <w:rsid w:val="00835639"/>
    <w:rsid w:val="00835B6E"/>
    <w:rsid w:val="008360DA"/>
    <w:rsid w:val="00836EE7"/>
    <w:rsid w:val="008446BB"/>
    <w:rsid w:val="00845265"/>
    <w:rsid w:val="0084569F"/>
    <w:rsid w:val="008464BA"/>
    <w:rsid w:val="00846F9F"/>
    <w:rsid w:val="00850D16"/>
    <w:rsid w:val="00851537"/>
    <w:rsid w:val="00852826"/>
    <w:rsid w:val="008531FD"/>
    <w:rsid w:val="0085420D"/>
    <w:rsid w:val="008563C8"/>
    <w:rsid w:val="0085688D"/>
    <w:rsid w:val="00856DEE"/>
    <w:rsid w:val="00857BA7"/>
    <w:rsid w:val="00860215"/>
    <w:rsid w:val="0086362B"/>
    <w:rsid w:val="00863DC0"/>
    <w:rsid w:val="008654E7"/>
    <w:rsid w:val="00865ED6"/>
    <w:rsid w:val="00870687"/>
    <w:rsid w:val="008716A0"/>
    <w:rsid w:val="00872170"/>
    <w:rsid w:val="00872874"/>
    <w:rsid w:val="0087572A"/>
    <w:rsid w:val="00875B70"/>
    <w:rsid w:val="00876059"/>
    <w:rsid w:val="0087738B"/>
    <w:rsid w:val="0088132A"/>
    <w:rsid w:val="00883C1A"/>
    <w:rsid w:val="00885CAC"/>
    <w:rsid w:val="008864F4"/>
    <w:rsid w:val="00886F01"/>
    <w:rsid w:val="008907D8"/>
    <w:rsid w:val="00891B6B"/>
    <w:rsid w:val="0089228F"/>
    <w:rsid w:val="008922A3"/>
    <w:rsid w:val="00892CF6"/>
    <w:rsid w:val="00893072"/>
    <w:rsid w:val="00896768"/>
    <w:rsid w:val="008A3A8B"/>
    <w:rsid w:val="008A3EFC"/>
    <w:rsid w:val="008A628D"/>
    <w:rsid w:val="008B143C"/>
    <w:rsid w:val="008B24E3"/>
    <w:rsid w:val="008B2A27"/>
    <w:rsid w:val="008B39F4"/>
    <w:rsid w:val="008B3AFE"/>
    <w:rsid w:val="008B3E1E"/>
    <w:rsid w:val="008B64AC"/>
    <w:rsid w:val="008B6E89"/>
    <w:rsid w:val="008C1218"/>
    <w:rsid w:val="008C2D62"/>
    <w:rsid w:val="008C3B5A"/>
    <w:rsid w:val="008C586B"/>
    <w:rsid w:val="008C5F1C"/>
    <w:rsid w:val="008D06B4"/>
    <w:rsid w:val="008D07B1"/>
    <w:rsid w:val="008D0E94"/>
    <w:rsid w:val="008D182E"/>
    <w:rsid w:val="008D225C"/>
    <w:rsid w:val="008D2A8A"/>
    <w:rsid w:val="008D2EB3"/>
    <w:rsid w:val="008D3284"/>
    <w:rsid w:val="008D5519"/>
    <w:rsid w:val="008D567B"/>
    <w:rsid w:val="008D5B1E"/>
    <w:rsid w:val="008D6A91"/>
    <w:rsid w:val="008E12A3"/>
    <w:rsid w:val="008E1BCE"/>
    <w:rsid w:val="008E22E2"/>
    <w:rsid w:val="008E27F5"/>
    <w:rsid w:val="008E2B48"/>
    <w:rsid w:val="008E6B39"/>
    <w:rsid w:val="008E6E4B"/>
    <w:rsid w:val="008F06CB"/>
    <w:rsid w:val="008F086C"/>
    <w:rsid w:val="008F094E"/>
    <w:rsid w:val="008F1537"/>
    <w:rsid w:val="008F306F"/>
    <w:rsid w:val="008F5A91"/>
    <w:rsid w:val="008F5C8C"/>
    <w:rsid w:val="0090073A"/>
    <w:rsid w:val="009063B1"/>
    <w:rsid w:val="00907DBD"/>
    <w:rsid w:val="00912439"/>
    <w:rsid w:val="00913043"/>
    <w:rsid w:val="00914AA5"/>
    <w:rsid w:val="009176A9"/>
    <w:rsid w:val="00920F80"/>
    <w:rsid w:val="009213EF"/>
    <w:rsid w:val="00921B50"/>
    <w:rsid w:val="00922729"/>
    <w:rsid w:val="009228ED"/>
    <w:rsid w:val="00922DAB"/>
    <w:rsid w:val="009238DF"/>
    <w:rsid w:val="0092445B"/>
    <w:rsid w:val="0092489F"/>
    <w:rsid w:val="00925FB3"/>
    <w:rsid w:val="009260FF"/>
    <w:rsid w:val="00926414"/>
    <w:rsid w:val="009272B8"/>
    <w:rsid w:val="009312CB"/>
    <w:rsid w:val="00933B2F"/>
    <w:rsid w:val="0093452B"/>
    <w:rsid w:val="00935A04"/>
    <w:rsid w:val="00935C79"/>
    <w:rsid w:val="009361AB"/>
    <w:rsid w:val="009375F0"/>
    <w:rsid w:val="0094277A"/>
    <w:rsid w:val="00943457"/>
    <w:rsid w:val="0094383F"/>
    <w:rsid w:val="00943D13"/>
    <w:rsid w:val="00943EEA"/>
    <w:rsid w:val="009450AF"/>
    <w:rsid w:val="00945B58"/>
    <w:rsid w:val="00946343"/>
    <w:rsid w:val="0094682C"/>
    <w:rsid w:val="00952684"/>
    <w:rsid w:val="009536DE"/>
    <w:rsid w:val="00954F01"/>
    <w:rsid w:val="0095563D"/>
    <w:rsid w:val="00956DC9"/>
    <w:rsid w:val="009633FE"/>
    <w:rsid w:val="00963F42"/>
    <w:rsid w:val="00963FAB"/>
    <w:rsid w:val="00964815"/>
    <w:rsid w:val="00964B84"/>
    <w:rsid w:val="00964EBA"/>
    <w:rsid w:val="009655BF"/>
    <w:rsid w:val="00967047"/>
    <w:rsid w:val="00967A66"/>
    <w:rsid w:val="00967FEB"/>
    <w:rsid w:val="0097120F"/>
    <w:rsid w:val="00972439"/>
    <w:rsid w:val="00972D87"/>
    <w:rsid w:val="00974A6E"/>
    <w:rsid w:val="0097513D"/>
    <w:rsid w:val="009763C6"/>
    <w:rsid w:val="0097689C"/>
    <w:rsid w:val="00977590"/>
    <w:rsid w:val="009807CB"/>
    <w:rsid w:val="00982782"/>
    <w:rsid w:val="009828C1"/>
    <w:rsid w:val="0098450A"/>
    <w:rsid w:val="009859E9"/>
    <w:rsid w:val="00985A69"/>
    <w:rsid w:val="00990981"/>
    <w:rsid w:val="00990C3D"/>
    <w:rsid w:val="009948E5"/>
    <w:rsid w:val="009949A3"/>
    <w:rsid w:val="00994D8E"/>
    <w:rsid w:val="0099552E"/>
    <w:rsid w:val="00996511"/>
    <w:rsid w:val="00997084"/>
    <w:rsid w:val="009A0C9E"/>
    <w:rsid w:val="009A1E71"/>
    <w:rsid w:val="009A24F9"/>
    <w:rsid w:val="009A2DE5"/>
    <w:rsid w:val="009A464B"/>
    <w:rsid w:val="009A56F8"/>
    <w:rsid w:val="009A5A74"/>
    <w:rsid w:val="009A617A"/>
    <w:rsid w:val="009A7016"/>
    <w:rsid w:val="009B0580"/>
    <w:rsid w:val="009B1DF9"/>
    <w:rsid w:val="009B1FE8"/>
    <w:rsid w:val="009B5174"/>
    <w:rsid w:val="009B5465"/>
    <w:rsid w:val="009B6CBB"/>
    <w:rsid w:val="009C0139"/>
    <w:rsid w:val="009C4E8E"/>
    <w:rsid w:val="009C6859"/>
    <w:rsid w:val="009D1147"/>
    <w:rsid w:val="009D17CA"/>
    <w:rsid w:val="009D1D62"/>
    <w:rsid w:val="009D33CE"/>
    <w:rsid w:val="009D3C16"/>
    <w:rsid w:val="009D4D7D"/>
    <w:rsid w:val="009D6BEE"/>
    <w:rsid w:val="009E1083"/>
    <w:rsid w:val="009E21D7"/>
    <w:rsid w:val="009E3548"/>
    <w:rsid w:val="009E35B0"/>
    <w:rsid w:val="009E3F2C"/>
    <w:rsid w:val="009E4447"/>
    <w:rsid w:val="009E4A5C"/>
    <w:rsid w:val="009E5475"/>
    <w:rsid w:val="009E5863"/>
    <w:rsid w:val="009E5B8E"/>
    <w:rsid w:val="009E63B1"/>
    <w:rsid w:val="009E7ABF"/>
    <w:rsid w:val="009F01AA"/>
    <w:rsid w:val="009F033B"/>
    <w:rsid w:val="009F3963"/>
    <w:rsid w:val="009F507E"/>
    <w:rsid w:val="00A0014C"/>
    <w:rsid w:val="00A003C6"/>
    <w:rsid w:val="00A00608"/>
    <w:rsid w:val="00A02C23"/>
    <w:rsid w:val="00A03A9E"/>
    <w:rsid w:val="00A04707"/>
    <w:rsid w:val="00A102E3"/>
    <w:rsid w:val="00A1202D"/>
    <w:rsid w:val="00A120D6"/>
    <w:rsid w:val="00A1631A"/>
    <w:rsid w:val="00A17B89"/>
    <w:rsid w:val="00A202ED"/>
    <w:rsid w:val="00A2197F"/>
    <w:rsid w:val="00A23D26"/>
    <w:rsid w:val="00A242D6"/>
    <w:rsid w:val="00A24367"/>
    <w:rsid w:val="00A252C3"/>
    <w:rsid w:val="00A254B8"/>
    <w:rsid w:val="00A26C32"/>
    <w:rsid w:val="00A2730B"/>
    <w:rsid w:val="00A27F33"/>
    <w:rsid w:val="00A3013B"/>
    <w:rsid w:val="00A322E0"/>
    <w:rsid w:val="00A328BA"/>
    <w:rsid w:val="00A371C2"/>
    <w:rsid w:val="00A3759A"/>
    <w:rsid w:val="00A37F55"/>
    <w:rsid w:val="00A4065E"/>
    <w:rsid w:val="00A40AD4"/>
    <w:rsid w:val="00A40B9A"/>
    <w:rsid w:val="00A4298A"/>
    <w:rsid w:val="00A43683"/>
    <w:rsid w:val="00A43E77"/>
    <w:rsid w:val="00A53758"/>
    <w:rsid w:val="00A5511C"/>
    <w:rsid w:val="00A57E3F"/>
    <w:rsid w:val="00A623F2"/>
    <w:rsid w:val="00A62E5F"/>
    <w:rsid w:val="00A6555F"/>
    <w:rsid w:val="00A66D41"/>
    <w:rsid w:val="00A70AE4"/>
    <w:rsid w:val="00A71E26"/>
    <w:rsid w:val="00A73157"/>
    <w:rsid w:val="00A742AC"/>
    <w:rsid w:val="00A76249"/>
    <w:rsid w:val="00A8120C"/>
    <w:rsid w:val="00A81E97"/>
    <w:rsid w:val="00A83207"/>
    <w:rsid w:val="00A8324D"/>
    <w:rsid w:val="00A84E60"/>
    <w:rsid w:val="00A85A1A"/>
    <w:rsid w:val="00A87264"/>
    <w:rsid w:val="00A87769"/>
    <w:rsid w:val="00A878FB"/>
    <w:rsid w:val="00A90BCC"/>
    <w:rsid w:val="00A91A80"/>
    <w:rsid w:val="00A91DF4"/>
    <w:rsid w:val="00A9438D"/>
    <w:rsid w:val="00A94FC7"/>
    <w:rsid w:val="00A9618E"/>
    <w:rsid w:val="00A966E1"/>
    <w:rsid w:val="00A96D60"/>
    <w:rsid w:val="00A97B99"/>
    <w:rsid w:val="00AA13C0"/>
    <w:rsid w:val="00AA2532"/>
    <w:rsid w:val="00AA2BCB"/>
    <w:rsid w:val="00AA31A2"/>
    <w:rsid w:val="00AA3386"/>
    <w:rsid w:val="00AA4AC2"/>
    <w:rsid w:val="00AA56BE"/>
    <w:rsid w:val="00AA7558"/>
    <w:rsid w:val="00AB0EDA"/>
    <w:rsid w:val="00AB2143"/>
    <w:rsid w:val="00AB257C"/>
    <w:rsid w:val="00AB2991"/>
    <w:rsid w:val="00AB380F"/>
    <w:rsid w:val="00AB3A05"/>
    <w:rsid w:val="00AB5DF3"/>
    <w:rsid w:val="00AB6B4C"/>
    <w:rsid w:val="00AB7CBF"/>
    <w:rsid w:val="00AC0548"/>
    <w:rsid w:val="00AC0EF8"/>
    <w:rsid w:val="00AC17EF"/>
    <w:rsid w:val="00AC2309"/>
    <w:rsid w:val="00AC3023"/>
    <w:rsid w:val="00AC5699"/>
    <w:rsid w:val="00AC6369"/>
    <w:rsid w:val="00AC639B"/>
    <w:rsid w:val="00AC65C8"/>
    <w:rsid w:val="00AC7CB9"/>
    <w:rsid w:val="00AC7D0D"/>
    <w:rsid w:val="00AD200C"/>
    <w:rsid w:val="00AD4D3C"/>
    <w:rsid w:val="00AD5051"/>
    <w:rsid w:val="00AE0258"/>
    <w:rsid w:val="00AE0D77"/>
    <w:rsid w:val="00AE0D86"/>
    <w:rsid w:val="00AE1DE7"/>
    <w:rsid w:val="00AE1FFD"/>
    <w:rsid w:val="00AE2B3C"/>
    <w:rsid w:val="00AE57BA"/>
    <w:rsid w:val="00AE5BDF"/>
    <w:rsid w:val="00AE636A"/>
    <w:rsid w:val="00AF22B8"/>
    <w:rsid w:val="00AF27B3"/>
    <w:rsid w:val="00AF3386"/>
    <w:rsid w:val="00AF4FA3"/>
    <w:rsid w:val="00AF5791"/>
    <w:rsid w:val="00AF62BF"/>
    <w:rsid w:val="00B01BEA"/>
    <w:rsid w:val="00B03A4A"/>
    <w:rsid w:val="00B03A5A"/>
    <w:rsid w:val="00B05EE9"/>
    <w:rsid w:val="00B07122"/>
    <w:rsid w:val="00B07EFB"/>
    <w:rsid w:val="00B07F5F"/>
    <w:rsid w:val="00B14FAD"/>
    <w:rsid w:val="00B167EF"/>
    <w:rsid w:val="00B1690C"/>
    <w:rsid w:val="00B16C6B"/>
    <w:rsid w:val="00B16E87"/>
    <w:rsid w:val="00B17186"/>
    <w:rsid w:val="00B17352"/>
    <w:rsid w:val="00B17C12"/>
    <w:rsid w:val="00B17F4F"/>
    <w:rsid w:val="00B20F2D"/>
    <w:rsid w:val="00B23664"/>
    <w:rsid w:val="00B24642"/>
    <w:rsid w:val="00B24EF7"/>
    <w:rsid w:val="00B25FC9"/>
    <w:rsid w:val="00B2653A"/>
    <w:rsid w:val="00B30C1C"/>
    <w:rsid w:val="00B30F38"/>
    <w:rsid w:val="00B31380"/>
    <w:rsid w:val="00B34237"/>
    <w:rsid w:val="00B34A44"/>
    <w:rsid w:val="00B35917"/>
    <w:rsid w:val="00B401F5"/>
    <w:rsid w:val="00B4203E"/>
    <w:rsid w:val="00B42ECB"/>
    <w:rsid w:val="00B4577D"/>
    <w:rsid w:val="00B5019C"/>
    <w:rsid w:val="00B50663"/>
    <w:rsid w:val="00B52948"/>
    <w:rsid w:val="00B533B8"/>
    <w:rsid w:val="00B53409"/>
    <w:rsid w:val="00B54552"/>
    <w:rsid w:val="00B55554"/>
    <w:rsid w:val="00B5598C"/>
    <w:rsid w:val="00B5668B"/>
    <w:rsid w:val="00B56E77"/>
    <w:rsid w:val="00B5788A"/>
    <w:rsid w:val="00B60896"/>
    <w:rsid w:val="00B646DC"/>
    <w:rsid w:val="00B73ACA"/>
    <w:rsid w:val="00B73D6A"/>
    <w:rsid w:val="00B7585A"/>
    <w:rsid w:val="00B76A48"/>
    <w:rsid w:val="00B77DA2"/>
    <w:rsid w:val="00B828B0"/>
    <w:rsid w:val="00B84780"/>
    <w:rsid w:val="00B86C76"/>
    <w:rsid w:val="00B93DF2"/>
    <w:rsid w:val="00B94D6C"/>
    <w:rsid w:val="00B9656D"/>
    <w:rsid w:val="00B96B2C"/>
    <w:rsid w:val="00B96D1B"/>
    <w:rsid w:val="00BA323B"/>
    <w:rsid w:val="00BA3459"/>
    <w:rsid w:val="00BA6FEC"/>
    <w:rsid w:val="00BA7D1E"/>
    <w:rsid w:val="00BB3311"/>
    <w:rsid w:val="00BB65A6"/>
    <w:rsid w:val="00BB7A99"/>
    <w:rsid w:val="00BC00B7"/>
    <w:rsid w:val="00BC02C6"/>
    <w:rsid w:val="00BC6471"/>
    <w:rsid w:val="00BC6DDA"/>
    <w:rsid w:val="00BC7E9F"/>
    <w:rsid w:val="00BD382F"/>
    <w:rsid w:val="00BD4EAA"/>
    <w:rsid w:val="00BD5570"/>
    <w:rsid w:val="00BD5D50"/>
    <w:rsid w:val="00BD6D3F"/>
    <w:rsid w:val="00BD6DA7"/>
    <w:rsid w:val="00BD6DCD"/>
    <w:rsid w:val="00BE26FF"/>
    <w:rsid w:val="00BE31CA"/>
    <w:rsid w:val="00BE34E3"/>
    <w:rsid w:val="00BE43D9"/>
    <w:rsid w:val="00BE5F7B"/>
    <w:rsid w:val="00BE6F37"/>
    <w:rsid w:val="00BE7C5A"/>
    <w:rsid w:val="00BF5325"/>
    <w:rsid w:val="00BF7640"/>
    <w:rsid w:val="00C003A1"/>
    <w:rsid w:val="00C053C2"/>
    <w:rsid w:val="00C05B4E"/>
    <w:rsid w:val="00C07296"/>
    <w:rsid w:val="00C12EEA"/>
    <w:rsid w:val="00C1650D"/>
    <w:rsid w:val="00C2287B"/>
    <w:rsid w:val="00C32049"/>
    <w:rsid w:val="00C3289D"/>
    <w:rsid w:val="00C33F08"/>
    <w:rsid w:val="00C350F8"/>
    <w:rsid w:val="00C3559B"/>
    <w:rsid w:val="00C35EB8"/>
    <w:rsid w:val="00C4009B"/>
    <w:rsid w:val="00C40EF6"/>
    <w:rsid w:val="00C425C9"/>
    <w:rsid w:val="00C42BBE"/>
    <w:rsid w:val="00C44D57"/>
    <w:rsid w:val="00C46ECC"/>
    <w:rsid w:val="00C51515"/>
    <w:rsid w:val="00C518C2"/>
    <w:rsid w:val="00C5372C"/>
    <w:rsid w:val="00C53CA4"/>
    <w:rsid w:val="00C54E7A"/>
    <w:rsid w:val="00C55195"/>
    <w:rsid w:val="00C566BC"/>
    <w:rsid w:val="00C57D84"/>
    <w:rsid w:val="00C616C4"/>
    <w:rsid w:val="00C623D7"/>
    <w:rsid w:val="00C63F09"/>
    <w:rsid w:val="00C66141"/>
    <w:rsid w:val="00C67952"/>
    <w:rsid w:val="00C67BB2"/>
    <w:rsid w:val="00C67E4B"/>
    <w:rsid w:val="00C70CAD"/>
    <w:rsid w:val="00C715FE"/>
    <w:rsid w:val="00C747DB"/>
    <w:rsid w:val="00C77B9D"/>
    <w:rsid w:val="00C77E7D"/>
    <w:rsid w:val="00C80A60"/>
    <w:rsid w:val="00C81F2C"/>
    <w:rsid w:val="00C83386"/>
    <w:rsid w:val="00C8485B"/>
    <w:rsid w:val="00C8641C"/>
    <w:rsid w:val="00C8767A"/>
    <w:rsid w:val="00C90FB8"/>
    <w:rsid w:val="00C91826"/>
    <w:rsid w:val="00C92EB8"/>
    <w:rsid w:val="00C94E2C"/>
    <w:rsid w:val="00C95EED"/>
    <w:rsid w:val="00C968E1"/>
    <w:rsid w:val="00CA0962"/>
    <w:rsid w:val="00CA0CF1"/>
    <w:rsid w:val="00CA0D6E"/>
    <w:rsid w:val="00CA0DA9"/>
    <w:rsid w:val="00CA1BF4"/>
    <w:rsid w:val="00CA2CD2"/>
    <w:rsid w:val="00CA7949"/>
    <w:rsid w:val="00CB1B48"/>
    <w:rsid w:val="00CB5FC7"/>
    <w:rsid w:val="00CB618C"/>
    <w:rsid w:val="00CB7BDE"/>
    <w:rsid w:val="00CB7CF2"/>
    <w:rsid w:val="00CC08F4"/>
    <w:rsid w:val="00CC0B13"/>
    <w:rsid w:val="00CC0C48"/>
    <w:rsid w:val="00CC4A7E"/>
    <w:rsid w:val="00CC6AC7"/>
    <w:rsid w:val="00CC755C"/>
    <w:rsid w:val="00CD0B84"/>
    <w:rsid w:val="00CD1BFB"/>
    <w:rsid w:val="00CD2221"/>
    <w:rsid w:val="00CD28E2"/>
    <w:rsid w:val="00CD31C4"/>
    <w:rsid w:val="00CD32A6"/>
    <w:rsid w:val="00CD3CF2"/>
    <w:rsid w:val="00CD501F"/>
    <w:rsid w:val="00CD53B7"/>
    <w:rsid w:val="00CD6133"/>
    <w:rsid w:val="00CD7AB5"/>
    <w:rsid w:val="00CD7C28"/>
    <w:rsid w:val="00CE0677"/>
    <w:rsid w:val="00CE7ABA"/>
    <w:rsid w:val="00CF10D5"/>
    <w:rsid w:val="00CF4671"/>
    <w:rsid w:val="00CF4A71"/>
    <w:rsid w:val="00CF5912"/>
    <w:rsid w:val="00CF658A"/>
    <w:rsid w:val="00CF796B"/>
    <w:rsid w:val="00CF7B44"/>
    <w:rsid w:val="00D02E46"/>
    <w:rsid w:val="00D04113"/>
    <w:rsid w:val="00D044D1"/>
    <w:rsid w:val="00D04A27"/>
    <w:rsid w:val="00D1322F"/>
    <w:rsid w:val="00D145E8"/>
    <w:rsid w:val="00D14940"/>
    <w:rsid w:val="00D152FC"/>
    <w:rsid w:val="00D16215"/>
    <w:rsid w:val="00D17A9B"/>
    <w:rsid w:val="00D267B6"/>
    <w:rsid w:val="00D27A98"/>
    <w:rsid w:val="00D3234D"/>
    <w:rsid w:val="00D3319D"/>
    <w:rsid w:val="00D34C82"/>
    <w:rsid w:val="00D36A8A"/>
    <w:rsid w:val="00D36CEC"/>
    <w:rsid w:val="00D408DF"/>
    <w:rsid w:val="00D41664"/>
    <w:rsid w:val="00D45068"/>
    <w:rsid w:val="00D5008D"/>
    <w:rsid w:val="00D5237B"/>
    <w:rsid w:val="00D53175"/>
    <w:rsid w:val="00D536C4"/>
    <w:rsid w:val="00D53A09"/>
    <w:rsid w:val="00D54791"/>
    <w:rsid w:val="00D54D10"/>
    <w:rsid w:val="00D56C2A"/>
    <w:rsid w:val="00D57888"/>
    <w:rsid w:val="00D60CD4"/>
    <w:rsid w:val="00D613EB"/>
    <w:rsid w:val="00D72433"/>
    <w:rsid w:val="00D73150"/>
    <w:rsid w:val="00D73BDD"/>
    <w:rsid w:val="00D7503D"/>
    <w:rsid w:val="00D753CC"/>
    <w:rsid w:val="00D75434"/>
    <w:rsid w:val="00D773A3"/>
    <w:rsid w:val="00D773CD"/>
    <w:rsid w:val="00D80E42"/>
    <w:rsid w:val="00D84A09"/>
    <w:rsid w:val="00D855DA"/>
    <w:rsid w:val="00D85858"/>
    <w:rsid w:val="00D8643B"/>
    <w:rsid w:val="00D90576"/>
    <w:rsid w:val="00D92E3D"/>
    <w:rsid w:val="00D93696"/>
    <w:rsid w:val="00D93759"/>
    <w:rsid w:val="00D93B6A"/>
    <w:rsid w:val="00D93E6E"/>
    <w:rsid w:val="00D94B81"/>
    <w:rsid w:val="00D96104"/>
    <w:rsid w:val="00D97DDF"/>
    <w:rsid w:val="00DA3863"/>
    <w:rsid w:val="00DA43B2"/>
    <w:rsid w:val="00DA50CE"/>
    <w:rsid w:val="00DA6435"/>
    <w:rsid w:val="00DA6D0F"/>
    <w:rsid w:val="00DA73A5"/>
    <w:rsid w:val="00DA7ED2"/>
    <w:rsid w:val="00DB08D9"/>
    <w:rsid w:val="00DB0D55"/>
    <w:rsid w:val="00DB35F9"/>
    <w:rsid w:val="00DB3A72"/>
    <w:rsid w:val="00DB3AD9"/>
    <w:rsid w:val="00DB54C2"/>
    <w:rsid w:val="00DB5D4D"/>
    <w:rsid w:val="00DC08F2"/>
    <w:rsid w:val="00DC0EF5"/>
    <w:rsid w:val="00DC1386"/>
    <w:rsid w:val="00DC18EA"/>
    <w:rsid w:val="00DC1AF2"/>
    <w:rsid w:val="00DC24A0"/>
    <w:rsid w:val="00DC539B"/>
    <w:rsid w:val="00DD0669"/>
    <w:rsid w:val="00DD2F10"/>
    <w:rsid w:val="00DD2F2D"/>
    <w:rsid w:val="00DD3577"/>
    <w:rsid w:val="00DD4454"/>
    <w:rsid w:val="00DD6AD5"/>
    <w:rsid w:val="00DD71C4"/>
    <w:rsid w:val="00DE049A"/>
    <w:rsid w:val="00DE2A98"/>
    <w:rsid w:val="00DE37CF"/>
    <w:rsid w:val="00DE4B63"/>
    <w:rsid w:val="00DE4FB2"/>
    <w:rsid w:val="00DF1A08"/>
    <w:rsid w:val="00DF1A21"/>
    <w:rsid w:val="00DF516D"/>
    <w:rsid w:val="00DF603B"/>
    <w:rsid w:val="00E00987"/>
    <w:rsid w:val="00E027F1"/>
    <w:rsid w:val="00E04652"/>
    <w:rsid w:val="00E046F7"/>
    <w:rsid w:val="00E073A0"/>
    <w:rsid w:val="00E11BA1"/>
    <w:rsid w:val="00E153CF"/>
    <w:rsid w:val="00E24CED"/>
    <w:rsid w:val="00E24E67"/>
    <w:rsid w:val="00E269D0"/>
    <w:rsid w:val="00E34559"/>
    <w:rsid w:val="00E36016"/>
    <w:rsid w:val="00E40533"/>
    <w:rsid w:val="00E405B9"/>
    <w:rsid w:val="00E42E43"/>
    <w:rsid w:val="00E44362"/>
    <w:rsid w:val="00E4487D"/>
    <w:rsid w:val="00E450D8"/>
    <w:rsid w:val="00E47A76"/>
    <w:rsid w:val="00E500F1"/>
    <w:rsid w:val="00E50899"/>
    <w:rsid w:val="00E50F08"/>
    <w:rsid w:val="00E51006"/>
    <w:rsid w:val="00E53748"/>
    <w:rsid w:val="00E546AE"/>
    <w:rsid w:val="00E548E9"/>
    <w:rsid w:val="00E54E1F"/>
    <w:rsid w:val="00E55667"/>
    <w:rsid w:val="00E577F5"/>
    <w:rsid w:val="00E604B0"/>
    <w:rsid w:val="00E61AB1"/>
    <w:rsid w:val="00E623E5"/>
    <w:rsid w:val="00E7046B"/>
    <w:rsid w:val="00E755F4"/>
    <w:rsid w:val="00E763A0"/>
    <w:rsid w:val="00E76D25"/>
    <w:rsid w:val="00E77C42"/>
    <w:rsid w:val="00E80779"/>
    <w:rsid w:val="00E84283"/>
    <w:rsid w:val="00E84D3C"/>
    <w:rsid w:val="00E8660E"/>
    <w:rsid w:val="00E8739C"/>
    <w:rsid w:val="00E87678"/>
    <w:rsid w:val="00E901F2"/>
    <w:rsid w:val="00E908BA"/>
    <w:rsid w:val="00E90936"/>
    <w:rsid w:val="00E915A5"/>
    <w:rsid w:val="00E916E2"/>
    <w:rsid w:val="00E9273B"/>
    <w:rsid w:val="00E927D7"/>
    <w:rsid w:val="00E93F43"/>
    <w:rsid w:val="00EA38E0"/>
    <w:rsid w:val="00EA44E0"/>
    <w:rsid w:val="00EA6336"/>
    <w:rsid w:val="00EA680E"/>
    <w:rsid w:val="00EA6DAD"/>
    <w:rsid w:val="00EB020C"/>
    <w:rsid w:val="00EB05D7"/>
    <w:rsid w:val="00EB2941"/>
    <w:rsid w:val="00EB3E51"/>
    <w:rsid w:val="00EC021B"/>
    <w:rsid w:val="00EC4404"/>
    <w:rsid w:val="00EC656A"/>
    <w:rsid w:val="00ED0A9F"/>
    <w:rsid w:val="00ED1433"/>
    <w:rsid w:val="00ED378E"/>
    <w:rsid w:val="00ED3BBB"/>
    <w:rsid w:val="00ED45AC"/>
    <w:rsid w:val="00ED5253"/>
    <w:rsid w:val="00ED5526"/>
    <w:rsid w:val="00ED61A8"/>
    <w:rsid w:val="00ED6221"/>
    <w:rsid w:val="00EE04F7"/>
    <w:rsid w:val="00EE0A07"/>
    <w:rsid w:val="00EE2E65"/>
    <w:rsid w:val="00EE386A"/>
    <w:rsid w:val="00EE40C5"/>
    <w:rsid w:val="00EE5649"/>
    <w:rsid w:val="00EE5DC2"/>
    <w:rsid w:val="00EF1152"/>
    <w:rsid w:val="00EF12DF"/>
    <w:rsid w:val="00EF329D"/>
    <w:rsid w:val="00EF4F69"/>
    <w:rsid w:val="00EF7B84"/>
    <w:rsid w:val="00F0464D"/>
    <w:rsid w:val="00F06446"/>
    <w:rsid w:val="00F11108"/>
    <w:rsid w:val="00F1237C"/>
    <w:rsid w:val="00F13AE8"/>
    <w:rsid w:val="00F14817"/>
    <w:rsid w:val="00F14F5A"/>
    <w:rsid w:val="00F155D1"/>
    <w:rsid w:val="00F15D39"/>
    <w:rsid w:val="00F179F1"/>
    <w:rsid w:val="00F2076C"/>
    <w:rsid w:val="00F21B63"/>
    <w:rsid w:val="00F24446"/>
    <w:rsid w:val="00F25534"/>
    <w:rsid w:val="00F25968"/>
    <w:rsid w:val="00F276AE"/>
    <w:rsid w:val="00F3019B"/>
    <w:rsid w:val="00F3034B"/>
    <w:rsid w:val="00F32F9C"/>
    <w:rsid w:val="00F330F3"/>
    <w:rsid w:val="00F34580"/>
    <w:rsid w:val="00F36F67"/>
    <w:rsid w:val="00F37CC7"/>
    <w:rsid w:val="00F41AEC"/>
    <w:rsid w:val="00F4357B"/>
    <w:rsid w:val="00F43E64"/>
    <w:rsid w:val="00F44255"/>
    <w:rsid w:val="00F46241"/>
    <w:rsid w:val="00F50733"/>
    <w:rsid w:val="00F50A5A"/>
    <w:rsid w:val="00F50DBD"/>
    <w:rsid w:val="00F52480"/>
    <w:rsid w:val="00F535B2"/>
    <w:rsid w:val="00F55E6C"/>
    <w:rsid w:val="00F6340C"/>
    <w:rsid w:val="00F63BDB"/>
    <w:rsid w:val="00F6483D"/>
    <w:rsid w:val="00F704B6"/>
    <w:rsid w:val="00F72F3F"/>
    <w:rsid w:val="00F74016"/>
    <w:rsid w:val="00F81281"/>
    <w:rsid w:val="00F826B0"/>
    <w:rsid w:val="00F82DDD"/>
    <w:rsid w:val="00F843F4"/>
    <w:rsid w:val="00F862A3"/>
    <w:rsid w:val="00F86A7D"/>
    <w:rsid w:val="00F926F0"/>
    <w:rsid w:val="00F92E49"/>
    <w:rsid w:val="00F93A5B"/>
    <w:rsid w:val="00F958C8"/>
    <w:rsid w:val="00F95B2F"/>
    <w:rsid w:val="00FA133B"/>
    <w:rsid w:val="00FA381F"/>
    <w:rsid w:val="00FA3871"/>
    <w:rsid w:val="00FA6776"/>
    <w:rsid w:val="00FA6E8D"/>
    <w:rsid w:val="00FA7B1C"/>
    <w:rsid w:val="00FA7D76"/>
    <w:rsid w:val="00FB047A"/>
    <w:rsid w:val="00FB072F"/>
    <w:rsid w:val="00FB2D75"/>
    <w:rsid w:val="00FB55C7"/>
    <w:rsid w:val="00FB710B"/>
    <w:rsid w:val="00FC0A3B"/>
    <w:rsid w:val="00FC0A7F"/>
    <w:rsid w:val="00FC0F66"/>
    <w:rsid w:val="00FC1C5A"/>
    <w:rsid w:val="00FC3AB8"/>
    <w:rsid w:val="00FC55DD"/>
    <w:rsid w:val="00FC6435"/>
    <w:rsid w:val="00FC6E65"/>
    <w:rsid w:val="00FD0113"/>
    <w:rsid w:val="00FD0BF6"/>
    <w:rsid w:val="00FD51F4"/>
    <w:rsid w:val="00FD65CB"/>
    <w:rsid w:val="00FD782A"/>
    <w:rsid w:val="00FE1104"/>
    <w:rsid w:val="00FE1963"/>
    <w:rsid w:val="00FE1D3E"/>
    <w:rsid w:val="00FE6E20"/>
    <w:rsid w:val="00FE72C5"/>
    <w:rsid w:val="00FF4EC1"/>
    <w:rsid w:val="00FF51A5"/>
    <w:rsid w:val="00FF60C4"/>
    <w:rsid w:val="00FF63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strokecolor="#1f497d">
      <v:stroke color="#1f497d" weight="3pt"/>
      <v:shadow on="t" type="perspective" color="none [1607]"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uiPriority w:val="9"/>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ind w:left="720"/>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003766"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003766"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737477"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737477"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737477"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005399"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77BC1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1A6711"/>
    <w:pPr>
      <w:numPr>
        <w:numId w:val="1"/>
      </w:numPr>
      <w:tabs>
        <w:tab w:val="clear" w:pos="720"/>
      </w:tabs>
      <w:spacing w:after="120" w:line="240" w:lineRule="auto"/>
      <w:ind w:left="540"/>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8B6E89"/>
    <w:pPr>
      <w:keepNext/>
      <w:spacing w:after="120" w:line="240" w:lineRule="auto"/>
      <w:jc w:val="center"/>
    </w:pPr>
    <w:rPr>
      <w:rFonts w:ascii="Arial" w:hAnsi="Arial"/>
      <w:b/>
    </w:rPr>
  </w:style>
  <w:style w:type="table" w:styleId="TableGrid">
    <w:name w:val="Table Grid"/>
    <w:basedOn w:val="TableNormal"/>
    <w:rsid w:val="001B352B"/>
    <w:pPr>
      <w:spacing w:after="0" w:line="240" w:lineRule="auto"/>
    </w:pPr>
    <w:tblPr>
      <w:tblInd w:w="0" w:type="dxa"/>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tblCellMar>
        <w:top w:w="0" w:type="dxa"/>
        <w:left w:w="108" w:type="dxa"/>
        <w:bottom w:w="0" w:type="dxa"/>
        <w:right w:w="108" w:type="dxa"/>
      </w:tblCellMar>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link w:val="BodyParaAfterTableFigureChar"/>
    <w:uiPriority w:val="99"/>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003766"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003766"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737477"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737477"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737477"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737477"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0070C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0070C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0070C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0070CD" w:themeColor="text2"/>
      </w:pBdr>
    </w:pPr>
    <w:rPr>
      <w:rFonts w:ascii="Calibri" w:eastAsia="Calibri" w:hAnsi="Calibri" w:cs="Times New Roman"/>
      <w:color w:val="0070C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0070CD" w:themeColor="text2"/>
    </w:rPr>
  </w:style>
  <w:style w:type="paragraph" w:styleId="ListParagraph">
    <w:name w:val="List Paragraph"/>
    <w:basedOn w:val="Normal"/>
    <w:uiPriority w:val="34"/>
    <w:qFormat/>
    <w:rsid w:val="006C7F19"/>
    <w:pPr>
      <w:ind w:left="720"/>
      <w:contextualSpacing/>
    </w:pPr>
  </w:style>
  <w:style w:type="paragraph" w:styleId="CommentText">
    <w:name w:val="annotation text"/>
    <w:basedOn w:val="Normal"/>
    <w:link w:val="CommentTextChar"/>
    <w:rsid w:val="00B4577D"/>
    <w:pPr>
      <w:spacing w:before="240" w:after="240" w:line="240" w:lineRule="auto"/>
    </w:pPr>
    <w:rPr>
      <w:rFonts w:ascii="Arial" w:eastAsia="Times New Roman" w:hAnsi="Arial" w:cs="Times New Roman"/>
      <w:spacing w:val="-2"/>
      <w:sz w:val="20"/>
      <w:szCs w:val="20"/>
    </w:rPr>
  </w:style>
  <w:style w:type="character" w:customStyle="1" w:styleId="CommentTextChar">
    <w:name w:val="Comment Text Char"/>
    <w:basedOn w:val="DefaultParagraphFont"/>
    <w:link w:val="CommentText"/>
    <w:rsid w:val="00B4577D"/>
    <w:rPr>
      <w:rFonts w:ascii="Arial" w:eastAsia="Times New Roman" w:hAnsi="Arial" w:cs="Times New Roman"/>
      <w:spacing w:val="-2"/>
      <w:sz w:val="20"/>
      <w:szCs w:val="20"/>
    </w:rPr>
  </w:style>
  <w:style w:type="character" w:styleId="CommentReference">
    <w:name w:val="annotation reference"/>
    <w:basedOn w:val="DefaultParagraphFont"/>
    <w:rsid w:val="00B4577D"/>
    <w:rPr>
      <w:sz w:val="16"/>
      <w:szCs w:val="16"/>
    </w:rPr>
  </w:style>
  <w:style w:type="paragraph" w:customStyle="1" w:styleId="ProposalTitle">
    <w:name w:val="Proposal Title"/>
    <w:basedOn w:val="Normal"/>
    <w:qFormat/>
    <w:rsid w:val="00334BF5"/>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paragraph" w:styleId="CommentSubject">
    <w:name w:val="annotation subject"/>
    <w:basedOn w:val="CommentText"/>
    <w:next w:val="CommentText"/>
    <w:link w:val="CommentSubjectChar"/>
    <w:uiPriority w:val="99"/>
    <w:semiHidden/>
    <w:unhideWhenUsed/>
    <w:rsid w:val="00334BF5"/>
    <w:pPr>
      <w:spacing w:before="0" w:after="200"/>
    </w:pPr>
    <w:rPr>
      <w:rFonts w:asciiTheme="minorHAnsi" w:eastAsiaTheme="minorHAnsi" w:hAnsiTheme="minorHAnsi" w:cstheme="minorBidi"/>
      <w:b/>
      <w:bCs/>
      <w:spacing w:val="0"/>
    </w:rPr>
  </w:style>
  <w:style w:type="character" w:customStyle="1" w:styleId="CommentSubjectChar">
    <w:name w:val="Comment Subject Char"/>
    <w:basedOn w:val="CommentTextChar"/>
    <w:link w:val="CommentSubject"/>
    <w:uiPriority w:val="99"/>
    <w:semiHidden/>
    <w:rsid w:val="00334BF5"/>
    <w:rPr>
      <w:rFonts w:ascii="Arial" w:eastAsiaTheme="minorHAnsi" w:hAnsi="Arial" w:cs="Times New Roman"/>
      <w:b/>
      <w:bCs/>
      <w:spacing w:val="-2"/>
      <w:sz w:val="20"/>
      <w:szCs w:val="20"/>
    </w:rPr>
  </w:style>
  <w:style w:type="paragraph" w:styleId="Revision">
    <w:name w:val="Revision"/>
    <w:hidden/>
    <w:uiPriority w:val="99"/>
    <w:semiHidden/>
    <w:rsid w:val="00334BF5"/>
    <w:pPr>
      <w:spacing w:after="0" w:line="240" w:lineRule="auto"/>
    </w:pPr>
  </w:style>
  <w:style w:type="paragraph" w:styleId="BodyText">
    <w:name w:val="Body Text"/>
    <w:basedOn w:val="Normal"/>
    <w:link w:val="BodyTextChar"/>
    <w:uiPriority w:val="99"/>
    <w:semiHidden/>
    <w:unhideWhenUsed/>
    <w:rsid w:val="00334BF5"/>
    <w:pPr>
      <w:spacing w:after="120"/>
    </w:pPr>
  </w:style>
  <w:style w:type="character" w:customStyle="1" w:styleId="BodyTextChar">
    <w:name w:val="Body Text Char"/>
    <w:basedOn w:val="DefaultParagraphFont"/>
    <w:link w:val="BodyText"/>
    <w:uiPriority w:val="99"/>
    <w:semiHidden/>
    <w:rsid w:val="00334BF5"/>
  </w:style>
  <w:style w:type="paragraph" w:styleId="EndnoteText">
    <w:name w:val="endnote text"/>
    <w:basedOn w:val="Normal"/>
    <w:link w:val="EndnoteTextChar"/>
    <w:uiPriority w:val="99"/>
    <w:semiHidden/>
    <w:unhideWhenUsed/>
    <w:rsid w:val="00334BF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34BF5"/>
    <w:rPr>
      <w:sz w:val="20"/>
      <w:szCs w:val="20"/>
    </w:rPr>
  </w:style>
  <w:style w:type="character" w:styleId="EndnoteReference">
    <w:name w:val="endnote reference"/>
    <w:basedOn w:val="DefaultParagraphFont"/>
    <w:uiPriority w:val="99"/>
    <w:semiHidden/>
    <w:unhideWhenUsed/>
    <w:rsid w:val="00334BF5"/>
    <w:rPr>
      <w:vertAlign w:val="superscript"/>
    </w:rPr>
  </w:style>
  <w:style w:type="paragraph" w:styleId="PlainText">
    <w:name w:val="Plain Text"/>
    <w:basedOn w:val="Normal"/>
    <w:link w:val="PlainTextChar"/>
    <w:uiPriority w:val="99"/>
    <w:semiHidden/>
    <w:unhideWhenUsed/>
    <w:rsid w:val="00334BF5"/>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334BF5"/>
    <w:rPr>
      <w:rFonts w:ascii="Consolas" w:hAnsi="Consolas" w:cs="Consolas"/>
      <w:sz w:val="21"/>
      <w:szCs w:val="21"/>
    </w:rPr>
  </w:style>
  <w:style w:type="paragraph" w:styleId="Caption">
    <w:name w:val="caption"/>
    <w:basedOn w:val="Normal"/>
    <w:next w:val="Normal"/>
    <w:uiPriority w:val="35"/>
    <w:unhideWhenUsed/>
    <w:qFormat/>
    <w:rsid w:val="008B6E89"/>
    <w:pPr>
      <w:keepNext/>
      <w:spacing w:line="240" w:lineRule="auto"/>
      <w:jc w:val="center"/>
    </w:pPr>
    <w:rPr>
      <w:rFonts w:ascii="Arial" w:hAnsi="Arial"/>
      <w:b/>
    </w:rPr>
  </w:style>
  <w:style w:type="character" w:customStyle="1" w:styleId="apple-converted-space">
    <w:name w:val="apple-converted-space"/>
    <w:basedOn w:val="DefaultParagraphFont"/>
    <w:rsid w:val="00CC6AC7"/>
  </w:style>
  <w:style w:type="paragraph" w:customStyle="1" w:styleId="Bullet">
    <w:name w:val="Bullet"/>
    <w:basedOn w:val="Normal"/>
    <w:rsid w:val="003A7D22"/>
    <w:pPr>
      <w:numPr>
        <w:numId w:val="21"/>
      </w:numPr>
      <w:spacing w:after="240" w:line="240" w:lineRule="auto"/>
    </w:pPr>
    <w:rPr>
      <w:rFonts w:ascii="Arial" w:eastAsia="Times New Roman" w:hAnsi="Arial" w:cs="Times New Roman"/>
    </w:rPr>
  </w:style>
  <w:style w:type="character" w:customStyle="1" w:styleId="BodyParaAfterTableFigureChar">
    <w:name w:val="Body Para After Table Figure Char"/>
    <w:basedOn w:val="BodyParagraphChar"/>
    <w:link w:val="BodyParaAfterTableFigure"/>
    <w:uiPriority w:val="99"/>
    <w:rsid w:val="003A7D22"/>
    <w:rPr>
      <w:rFonts w:ascii="Arial" w:hAnsi="Arial"/>
      <w:color w:val="1C1C1C"/>
    </w:rPr>
  </w:style>
  <w:style w:type="character" w:styleId="PlaceholderText">
    <w:name w:val="Placeholder Text"/>
    <w:basedOn w:val="DefaultParagraphFont"/>
    <w:uiPriority w:val="99"/>
    <w:semiHidden/>
    <w:rsid w:val="0006042F"/>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uiPriority w:val="9"/>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ind w:left="720"/>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003766"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003766"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737477"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737477"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737477"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005399"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77BC1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1A6711"/>
    <w:pPr>
      <w:numPr>
        <w:numId w:val="1"/>
      </w:numPr>
      <w:tabs>
        <w:tab w:val="clear" w:pos="720"/>
      </w:tabs>
      <w:spacing w:after="120" w:line="240" w:lineRule="auto"/>
      <w:ind w:left="540"/>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8B6E89"/>
    <w:pPr>
      <w:keepNext/>
      <w:spacing w:after="120" w:line="240" w:lineRule="auto"/>
      <w:jc w:val="center"/>
    </w:pPr>
    <w:rPr>
      <w:rFonts w:ascii="Arial" w:hAnsi="Arial"/>
      <w:b/>
    </w:rPr>
  </w:style>
  <w:style w:type="table" w:styleId="TableGrid">
    <w:name w:val="Table Grid"/>
    <w:basedOn w:val="TableNormal"/>
    <w:rsid w:val="001B352B"/>
    <w:pPr>
      <w:spacing w:after="0" w:line="240" w:lineRule="auto"/>
    </w:pPr>
    <w:tblPr>
      <w:tblInd w:w="0" w:type="dxa"/>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tblCellMar>
        <w:top w:w="0" w:type="dxa"/>
        <w:left w:w="108" w:type="dxa"/>
        <w:bottom w:w="0" w:type="dxa"/>
        <w:right w:w="108" w:type="dxa"/>
      </w:tblCellMar>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link w:val="BodyParaAfterTableFigureChar"/>
    <w:uiPriority w:val="99"/>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003766"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003766"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737477"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737477"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737477"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737477"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0070C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0070C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0070C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0070CD" w:themeColor="text2"/>
      </w:pBdr>
    </w:pPr>
    <w:rPr>
      <w:rFonts w:ascii="Calibri" w:eastAsia="Calibri" w:hAnsi="Calibri" w:cs="Times New Roman"/>
      <w:color w:val="0070C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0070CD" w:themeColor="text2"/>
    </w:rPr>
  </w:style>
  <w:style w:type="paragraph" w:styleId="ListParagraph">
    <w:name w:val="List Paragraph"/>
    <w:basedOn w:val="Normal"/>
    <w:uiPriority w:val="34"/>
    <w:qFormat/>
    <w:rsid w:val="006C7F19"/>
    <w:pPr>
      <w:ind w:left="720"/>
      <w:contextualSpacing/>
    </w:pPr>
  </w:style>
  <w:style w:type="paragraph" w:styleId="CommentText">
    <w:name w:val="annotation text"/>
    <w:basedOn w:val="Normal"/>
    <w:link w:val="CommentTextChar"/>
    <w:rsid w:val="00B4577D"/>
    <w:pPr>
      <w:spacing w:before="240" w:after="240" w:line="240" w:lineRule="auto"/>
    </w:pPr>
    <w:rPr>
      <w:rFonts w:ascii="Arial" w:eastAsia="Times New Roman" w:hAnsi="Arial" w:cs="Times New Roman"/>
      <w:spacing w:val="-2"/>
      <w:sz w:val="20"/>
      <w:szCs w:val="20"/>
    </w:rPr>
  </w:style>
  <w:style w:type="character" w:customStyle="1" w:styleId="CommentTextChar">
    <w:name w:val="Comment Text Char"/>
    <w:basedOn w:val="DefaultParagraphFont"/>
    <w:link w:val="CommentText"/>
    <w:rsid w:val="00B4577D"/>
    <w:rPr>
      <w:rFonts w:ascii="Arial" w:eastAsia="Times New Roman" w:hAnsi="Arial" w:cs="Times New Roman"/>
      <w:spacing w:val="-2"/>
      <w:sz w:val="20"/>
      <w:szCs w:val="20"/>
    </w:rPr>
  </w:style>
  <w:style w:type="character" w:styleId="CommentReference">
    <w:name w:val="annotation reference"/>
    <w:basedOn w:val="DefaultParagraphFont"/>
    <w:rsid w:val="00B4577D"/>
    <w:rPr>
      <w:sz w:val="16"/>
      <w:szCs w:val="16"/>
    </w:rPr>
  </w:style>
  <w:style w:type="paragraph" w:customStyle="1" w:styleId="ProposalTitle">
    <w:name w:val="Proposal Title"/>
    <w:basedOn w:val="Normal"/>
    <w:qFormat/>
    <w:rsid w:val="00334BF5"/>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paragraph" w:styleId="CommentSubject">
    <w:name w:val="annotation subject"/>
    <w:basedOn w:val="CommentText"/>
    <w:next w:val="CommentText"/>
    <w:link w:val="CommentSubjectChar"/>
    <w:uiPriority w:val="99"/>
    <w:semiHidden/>
    <w:unhideWhenUsed/>
    <w:rsid w:val="00334BF5"/>
    <w:pPr>
      <w:spacing w:before="0" w:after="200"/>
    </w:pPr>
    <w:rPr>
      <w:rFonts w:asciiTheme="minorHAnsi" w:eastAsiaTheme="minorHAnsi" w:hAnsiTheme="minorHAnsi" w:cstheme="minorBidi"/>
      <w:b/>
      <w:bCs/>
      <w:spacing w:val="0"/>
    </w:rPr>
  </w:style>
  <w:style w:type="character" w:customStyle="1" w:styleId="CommentSubjectChar">
    <w:name w:val="Comment Subject Char"/>
    <w:basedOn w:val="CommentTextChar"/>
    <w:link w:val="CommentSubject"/>
    <w:uiPriority w:val="99"/>
    <w:semiHidden/>
    <w:rsid w:val="00334BF5"/>
    <w:rPr>
      <w:rFonts w:ascii="Arial" w:eastAsiaTheme="minorHAnsi" w:hAnsi="Arial" w:cs="Times New Roman"/>
      <w:b/>
      <w:bCs/>
      <w:spacing w:val="-2"/>
      <w:sz w:val="20"/>
      <w:szCs w:val="20"/>
    </w:rPr>
  </w:style>
  <w:style w:type="paragraph" w:styleId="Revision">
    <w:name w:val="Revision"/>
    <w:hidden/>
    <w:uiPriority w:val="99"/>
    <w:semiHidden/>
    <w:rsid w:val="00334BF5"/>
    <w:pPr>
      <w:spacing w:after="0" w:line="240" w:lineRule="auto"/>
    </w:pPr>
  </w:style>
  <w:style w:type="paragraph" w:styleId="BodyText">
    <w:name w:val="Body Text"/>
    <w:basedOn w:val="Normal"/>
    <w:link w:val="BodyTextChar"/>
    <w:uiPriority w:val="99"/>
    <w:semiHidden/>
    <w:unhideWhenUsed/>
    <w:rsid w:val="00334BF5"/>
    <w:pPr>
      <w:spacing w:after="120"/>
    </w:pPr>
  </w:style>
  <w:style w:type="character" w:customStyle="1" w:styleId="BodyTextChar">
    <w:name w:val="Body Text Char"/>
    <w:basedOn w:val="DefaultParagraphFont"/>
    <w:link w:val="BodyText"/>
    <w:uiPriority w:val="99"/>
    <w:semiHidden/>
    <w:rsid w:val="00334BF5"/>
  </w:style>
  <w:style w:type="paragraph" w:styleId="EndnoteText">
    <w:name w:val="endnote text"/>
    <w:basedOn w:val="Normal"/>
    <w:link w:val="EndnoteTextChar"/>
    <w:uiPriority w:val="99"/>
    <w:semiHidden/>
    <w:unhideWhenUsed/>
    <w:rsid w:val="00334BF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34BF5"/>
    <w:rPr>
      <w:sz w:val="20"/>
      <w:szCs w:val="20"/>
    </w:rPr>
  </w:style>
  <w:style w:type="character" w:styleId="EndnoteReference">
    <w:name w:val="endnote reference"/>
    <w:basedOn w:val="DefaultParagraphFont"/>
    <w:uiPriority w:val="99"/>
    <w:semiHidden/>
    <w:unhideWhenUsed/>
    <w:rsid w:val="00334BF5"/>
    <w:rPr>
      <w:vertAlign w:val="superscript"/>
    </w:rPr>
  </w:style>
  <w:style w:type="paragraph" w:styleId="PlainText">
    <w:name w:val="Plain Text"/>
    <w:basedOn w:val="Normal"/>
    <w:link w:val="PlainTextChar"/>
    <w:uiPriority w:val="99"/>
    <w:semiHidden/>
    <w:unhideWhenUsed/>
    <w:rsid w:val="00334BF5"/>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334BF5"/>
    <w:rPr>
      <w:rFonts w:ascii="Consolas" w:hAnsi="Consolas" w:cs="Consolas"/>
      <w:sz w:val="21"/>
      <w:szCs w:val="21"/>
    </w:rPr>
  </w:style>
  <w:style w:type="paragraph" w:styleId="Caption">
    <w:name w:val="caption"/>
    <w:basedOn w:val="Normal"/>
    <w:next w:val="Normal"/>
    <w:uiPriority w:val="35"/>
    <w:unhideWhenUsed/>
    <w:qFormat/>
    <w:rsid w:val="008B6E89"/>
    <w:pPr>
      <w:keepNext/>
      <w:spacing w:line="240" w:lineRule="auto"/>
      <w:jc w:val="center"/>
    </w:pPr>
    <w:rPr>
      <w:rFonts w:ascii="Arial" w:hAnsi="Arial"/>
      <w:b/>
    </w:rPr>
  </w:style>
  <w:style w:type="character" w:customStyle="1" w:styleId="apple-converted-space">
    <w:name w:val="apple-converted-space"/>
    <w:basedOn w:val="DefaultParagraphFont"/>
    <w:rsid w:val="00CC6AC7"/>
  </w:style>
  <w:style w:type="paragraph" w:customStyle="1" w:styleId="Bullet">
    <w:name w:val="Bullet"/>
    <w:basedOn w:val="Normal"/>
    <w:rsid w:val="003A7D22"/>
    <w:pPr>
      <w:numPr>
        <w:numId w:val="21"/>
      </w:numPr>
      <w:spacing w:after="240" w:line="240" w:lineRule="auto"/>
    </w:pPr>
    <w:rPr>
      <w:rFonts w:ascii="Arial" w:eastAsia="Times New Roman" w:hAnsi="Arial" w:cs="Times New Roman"/>
    </w:rPr>
  </w:style>
  <w:style w:type="character" w:customStyle="1" w:styleId="BodyParaAfterTableFigureChar">
    <w:name w:val="Body Para After Table Figure Char"/>
    <w:basedOn w:val="BodyParagraphChar"/>
    <w:link w:val="BodyParaAfterTableFigure"/>
    <w:uiPriority w:val="99"/>
    <w:rsid w:val="003A7D22"/>
    <w:rPr>
      <w:rFonts w:ascii="Arial" w:hAnsi="Arial"/>
      <w:color w:val="1C1C1C"/>
    </w:rPr>
  </w:style>
  <w:style w:type="character" w:styleId="PlaceholderText">
    <w:name w:val="Placeholder Text"/>
    <w:basedOn w:val="DefaultParagraphFont"/>
    <w:uiPriority w:val="99"/>
    <w:semiHidden/>
    <w:rsid w:val="0006042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517881">
      <w:bodyDiv w:val="1"/>
      <w:marLeft w:val="0"/>
      <w:marRight w:val="0"/>
      <w:marTop w:val="0"/>
      <w:marBottom w:val="0"/>
      <w:divBdr>
        <w:top w:val="none" w:sz="0" w:space="0" w:color="auto"/>
        <w:left w:val="none" w:sz="0" w:space="0" w:color="auto"/>
        <w:bottom w:val="none" w:sz="0" w:space="0" w:color="auto"/>
        <w:right w:val="none" w:sz="0" w:space="0" w:color="auto"/>
      </w:divBdr>
    </w:div>
    <w:div w:id="45955335">
      <w:bodyDiv w:val="1"/>
      <w:marLeft w:val="0"/>
      <w:marRight w:val="0"/>
      <w:marTop w:val="0"/>
      <w:marBottom w:val="0"/>
      <w:divBdr>
        <w:top w:val="none" w:sz="0" w:space="0" w:color="auto"/>
        <w:left w:val="none" w:sz="0" w:space="0" w:color="auto"/>
        <w:bottom w:val="none" w:sz="0" w:space="0" w:color="auto"/>
        <w:right w:val="none" w:sz="0" w:space="0" w:color="auto"/>
      </w:divBdr>
    </w:div>
    <w:div w:id="71393787">
      <w:bodyDiv w:val="1"/>
      <w:marLeft w:val="0"/>
      <w:marRight w:val="0"/>
      <w:marTop w:val="0"/>
      <w:marBottom w:val="0"/>
      <w:divBdr>
        <w:top w:val="none" w:sz="0" w:space="0" w:color="auto"/>
        <w:left w:val="none" w:sz="0" w:space="0" w:color="auto"/>
        <w:bottom w:val="none" w:sz="0" w:space="0" w:color="auto"/>
        <w:right w:val="none" w:sz="0" w:space="0" w:color="auto"/>
      </w:divBdr>
    </w:div>
    <w:div w:id="80106572">
      <w:bodyDiv w:val="1"/>
      <w:marLeft w:val="0"/>
      <w:marRight w:val="0"/>
      <w:marTop w:val="0"/>
      <w:marBottom w:val="0"/>
      <w:divBdr>
        <w:top w:val="none" w:sz="0" w:space="0" w:color="auto"/>
        <w:left w:val="none" w:sz="0" w:space="0" w:color="auto"/>
        <w:bottom w:val="none" w:sz="0" w:space="0" w:color="auto"/>
        <w:right w:val="none" w:sz="0" w:space="0" w:color="auto"/>
      </w:divBdr>
    </w:div>
    <w:div w:id="85469402">
      <w:bodyDiv w:val="1"/>
      <w:marLeft w:val="0"/>
      <w:marRight w:val="0"/>
      <w:marTop w:val="0"/>
      <w:marBottom w:val="0"/>
      <w:divBdr>
        <w:top w:val="none" w:sz="0" w:space="0" w:color="auto"/>
        <w:left w:val="none" w:sz="0" w:space="0" w:color="auto"/>
        <w:bottom w:val="none" w:sz="0" w:space="0" w:color="auto"/>
        <w:right w:val="none" w:sz="0" w:space="0" w:color="auto"/>
      </w:divBdr>
    </w:div>
    <w:div w:id="97213257">
      <w:bodyDiv w:val="1"/>
      <w:marLeft w:val="0"/>
      <w:marRight w:val="0"/>
      <w:marTop w:val="0"/>
      <w:marBottom w:val="0"/>
      <w:divBdr>
        <w:top w:val="none" w:sz="0" w:space="0" w:color="auto"/>
        <w:left w:val="none" w:sz="0" w:space="0" w:color="auto"/>
        <w:bottom w:val="none" w:sz="0" w:space="0" w:color="auto"/>
        <w:right w:val="none" w:sz="0" w:space="0" w:color="auto"/>
      </w:divBdr>
    </w:div>
    <w:div w:id="100102765">
      <w:bodyDiv w:val="1"/>
      <w:marLeft w:val="0"/>
      <w:marRight w:val="0"/>
      <w:marTop w:val="0"/>
      <w:marBottom w:val="0"/>
      <w:divBdr>
        <w:top w:val="none" w:sz="0" w:space="0" w:color="auto"/>
        <w:left w:val="none" w:sz="0" w:space="0" w:color="auto"/>
        <w:bottom w:val="none" w:sz="0" w:space="0" w:color="auto"/>
        <w:right w:val="none" w:sz="0" w:space="0" w:color="auto"/>
      </w:divBdr>
    </w:div>
    <w:div w:id="103313043">
      <w:bodyDiv w:val="1"/>
      <w:marLeft w:val="0"/>
      <w:marRight w:val="0"/>
      <w:marTop w:val="0"/>
      <w:marBottom w:val="0"/>
      <w:divBdr>
        <w:top w:val="none" w:sz="0" w:space="0" w:color="auto"/>
        <w:left w:val="none" w:sz="0" w:space="0" w:color="auto"/>
        <w:bottom w:val="none" w:sz="0" w:space="0" w:color="auto"/>
        <w:right w:val="none" w:sz="0" w:space="0" w:color="auto"/>
      </w:divBdr>
    </w:div>
    <w:div w:id="109518291">
      <w:bodyDiv w:val="1"/>
      <w:marLeft w:val="0"/>
      <w:marRight w:val="0"/>
      <w:marTop w:val="0"/>
      <w:marBottom w:val="0"/>
      <w:divBdr>
        <w:top w:val="none" w:sz="0" w:space="0" w:color="auto"/>
        <w:left w:val="none" w:sz="0" w:space="0" w:color="auto"/>
        <w:bottom w:val="none" w:sz="0" w:space="0" w:color="auto"/>
        <w:right w:val="none" w:sz="0" w:space="0" w:color="auto"/>
      </w:divBdr>
    </w:div>
    <w:div w:id="119691995">
      <w:bodyDiv w:val="1"/>
      <w:marLeft w:val="0"/>
      <w:marRight w:val="0"/>
      <w:marTop w:val="0"/>
      <w:marBottom w:val="0"/>
      <w:divBdr>
        <w:top w:val="none" w:sz="0" w:space="0" w:color="auto"/>
        <w:left w:val="none" w:sz="0" w:space="0" w:color="auto"/>
        <w:bottom w:val="none" w:sz="0" w:space="0" w:color="auto"/>
        <w:right w:val="none" w:sz="0" w:space="0" w:color="auto"/>
      </w:divBdr>
    </w:div>
    <w:div w:id="136193937">
      <w:bodyDiv w:val="1"/>
      <w:marLeft w:val="0"/>
      <w:marRight w:val="0"/>
      <w:marTop w:val="0"/>
      <w:marBottom w:val="0"/>
      <w:divBdr>
        <w:top w:val="none" w:sz="0" w:space="0" w:color="auto"/>
        <w:left w:val="none" w:sz="0" w:space="0" w:color="auto"/>
        <w:bottom w:val="none" w:sz="0" w:space="0" w:color="auto"/>
        <w:right w:val="none" w:sz="0" w:space="0" w:color="auto"/>
      </w:divBdr>
    </w:div>
    <w:div w:id="154107259">
      <w:bodyDiv w:val="1"/>
      <w:marLeft w:val="0"/>
      <w:marRight w:val="0"/>
      <w:marTop w:val="0"/>
      <w:marBottom w:val="0"/>
      <w:divBdr>
        <w:top w:val="none" w:sz="0" w:space="0" w:color="auto"/>
        <w:left w:val="none" w:sz="0" w:space="0" w:color="auto"/>
        <w:bottom w:val="none" w:sz="0" w:space="0" w:color="auto"/>
        <w:right w:val="none" w:sz="0" w:space="0" w:color="auto"/>
      </w:divBdr>
    </w:div>
    <w:div w:id="163673369">
      <w:bodyDiv w:val="1"/>
      <w:marLeft w:val="0"/>
      <w:marRight w:val="0"/>
      <w:marTop w:val="0"/>
      <w:marBottom w:val="0"/>
      <w:divBdr>
        <w:top w:val="none" w:sz="0" w:space="0" w:color="auto"/>
        <w:left w:val="none" w:sz="0" w:space="0" w:color="auto"/>
        <w:bottom w:val="none" w:sz="0" w:space="0" w:color="auto"/>
        <w:right w:val="none" w:sz="0" w:space="0" w:color="auto"/>
      </w:divBdr>
    </w:div>
    <w:div w:id="165436681">
      <w:bodyDiv w:val="1"/>
      <w:marLeft w:val="0"/>
      <w:marRight w:val="0"/>
      <w:marTop w:val="0"/>
      <w:marBottom w:val="0"/>
      <w:divBdr>
        <w:top w:val="none" w:sz="0" w:space="0" w:color="auto"/>
        <w:left w:val="none" w:sz="0" w:space="0" w:color="auto"/>
        <w:bottom w:val="none" w:sz="0" w:space="0" w:color="auto"/>
        <w:right w:val="none" w:sz="0" w:space="0" w:color="auto"/>
      </w:divBdr>
    </w:div>
    <w:div w:id="167185631">
      <w:bodyDiv w:val="1"/>
      <w:marLeft w:val="0"/>
      <w:marRight w:val="0"/>
      <w:marTop w:val="0"/>
      <w:marBottom w:val="0"/>
      <w:divBdr>
        <w:top w:val="none" w:sz="0" w:space="0" w:color="auto"/>
        <w:left w:val="none" w:sz="0" w:space="0" w:color="auto"/>
        <w:bottom w:val="none" w:sz="0" w:space="0" w:color="auto"/>
        <w:right w:val="none" w:sz="0" w:space="0" w:color="auto"/>
      </w:divBdr>
    </w:div>
    <w:div w:id="227422327">
      <w:bodyDiv w:val="1"/>
      <w:marLeft w:val="0"/>
      <w:marRight w:val="0"/>
      <w:marTop w:val="0"/>
      <w:marBottom w:val="0"/>
      <w:divBdr>
        <w:top w:val="none" w:sz="0" w:space="0" w:color="auto"/>
        <w:left w:val="none" w:sz="0" w:space="0" w:color="auto"/>
        <w:bottom w:val="none" w:sz="0" w:space="0" w:color="auto"/>
        <w:right w:val="none" w:sz="0" w:space="0" w:color="auto"/>
      </w:divBdr>
    </w:div>
    <w:div w:id="240217530">
      <w:bodyDiv w:val="1"/>
      <w:marLeft w:val="0"/>
      <w:marRight w:val="0"/>
      <w:marTop w:val="0"/>
      <w:marBottom w:val="0"/>
      <w:divBdr>
        <w:top w:val="none" w:sz="0" w:space="0" w:color="auto"/>
        <w:left w:val="none" w:sz="0" w:space="0" w:color="auto"/>
        <w:bottom w:val="none" w:sz="0" w:space="0" w:color="auto"/>
        <w:right w:val="none" w:sz="0" w:space="0" w:color="auto"/>
      </w:divBdr>
    </w:div>
    <w:div w:id="261303925">
      <w:bodyDiv w:val="1"/>
      <w:marLeft w:val="0"/>
      <w:marRight w:val="0"/>
      <w:marTop w:val="0"/>
      <w:marBottom w:val="0"/>
      <w:divBdr>
        <w:top w:val="none" w:sz="0" w:space="0" w:color="auto"/>
        <w:left w:val="none" w:sz="0" w:space="0" w:color="auto"/>
        <w:bottom w:val="none" w:sz="0" w:space="0" w:color="auto"/>
        <w:right w:val="none" w:sz="0" w:space="0" w:color="auto"/>
      </w:divBdr>
    </w:div>
    <w:div w:id="262105905">
      <w:bodyDiv w:val="1"/>
      <w:marLeft w:val="0"/>
      <w:marRight w:val="0"/>
      <w:marTop w:val="0"/>
      <w:marBottom w:val="0"/>
      <w:divBdr>
        <w:top w:val="none" w:sz="0" w:space="0" w:color="auto"/>
        <w:left w:val="none" w:sz="0" w:space="0" w:color="auto"/>
        <w:bottom w:val="none" w:sz="0" w:space="0" w:color="auto"/>
        <w:right w:val="none" w:sz="0" w:space="0" w:color="auto"/>
      </w:divBdr>
    </w:div>
    <w:div w:id="267859926">
      <w:bodyDiv w:val="1"/>
      <w:marLeft w:val="0"/>
      <w:marRight w:val="0"/>
      <w:marTop w:val="0"/>
      <w:marBottom w:val="0"/>
      <w:divBdr>
        <w:top w:val="none" w:sz="0" w:space="0" w:color="auto"/>
        <w:left w:val="none" w:sz="0" w:space="0" w:color="auto"/>
        <w:bottom w:val="none" w:sz="0" w:space="0" w:color="auto"/>
        <w:right w:val="none" w:sz="0" w:space="0" w:color="auto"/>
      </w:divBdr>
    </w:div>
    <w:div w:id="269705024">
      <w:bodyDiv w:val="1"/>
      <w:marLeft w:val="0"/>
      <w:marRight w:val="0"/>
      <w:marTop w:val="0"/>
      <w:marBottom w:val="0"/>
      <w:divBdr>
        <w:top w:val="none" w:sz="0" w:space="0" w:color="auto"/>
        <w:left w:val="none" w:sz="0" w:space="0" w:color="auto"/>
        <w:bottom w:val="none" w:sz="0" w:space="0" w:color="auto"/>
        <w:right w:val="none" w:sz="0" w:space="0" w:color="auto"/>
      </w:divBdr>
    </w:div>
    <w:div w:id="270942175">
      <w:bodyDiv w:val="1"/>
      <w:marLeft w:val="0"/>
      <w:marRight w:val="0"/>
      <w:marTop w:val="0"/>
      <w:marBottom w:val="0"/>
      <w:divBdr>
        <w:top w:val="none" w:sz="0" w:space="0" w:color="auto"/>
        <w:left w:val="none" w:sz="0" w:space="0" w:color="auto"/>
        <w:bottom w:val="none" w:sz="0" w:space="0" w:color="auto"/>
        <w:right w:val="none" w:sz="0" w:space="0" w:color="auto"/>
      </w:divBdr>
    </w:div>
    <w:div w:id="272640507">
      <w:bodyDiv w:val="1"/>
      <w:marLeft w:val="0"/>
      <w:marRight w:val="0"/>
      <w:marTop w:val="0"/>
      <w:marBottom w:val="0"/>
      <w:divBdr>
        <w:top w:val="none" w:sz="0" w:space="0" w:color="auto"/>
        <w:left w:val="none" w:sz="0" w:space="0" w:color="auto"/>
        <w:bottom w:val="none" w:sz="0" w:space="0" w:color="auto"/>
        <w:right w:val="none" w:sz="0" w:space="0" w:color="auto"/>
      </w:divBdr>
    </w:div>
    <w:div w:id="273903044">
      <w:bodyDiv w:val="1"/>
      <w:marLeft w:val="0"/>
      <w:marRight w:val="0"/>
      <w:marTop w:val="0"/>
      <w:marBottom w:val="0"/>
      <w:divBdr>
        <w:top w:val="none" w:sz="0" w:space="0" w:color="auto"/>
        <w:left w:val="none" w:sz="0" w:space="0" w:color="auto"/>
        <w:bottom w:val="none" w:sz="0" w:space="0" w:color="auto"/>
        <w:right w:val="none" w:sz="0" w:space="0" w:color="auto"/>
      </w:divBdr>
    </w:div>
    <w:div w:id="279843630">
      <w:bodyDiv w:val="1"/>
      <w:marLeft w:val="0"/>
      <w:marRight w:val="0"/>
      <w:marTop w:val="0"/>
      <w:marBottom w:val="0"/>
      <w:divBdr>
        <w:top w:val="none" w:sz="0" w:space="0" w:color="auto"/>
        <w:left w:val="none" w:sz="0" w:space="0" w:color="auto"/>
        <w:bottom w:val="none" w:sz="0" w:space="0" w:color="auto"/>
        <w:right w:val="none" w:sz="0" w:space="0" w:color="auto"/>
      </w:divBdr>
    </w:div>
    <w:div w:id="283123978">
      <w:bodyDiv w:val="1"/>
      <w:marLeft w:val="0"/>
      <w:marRight w:val="0"/>
      <w:marTop w:val="0"/>
      <w:marBottom w:val="0"/>
      <w:divBdr>
        <w:top w:val="none" w:sz="0" w:space="0" w:color="auto"/>
        <w:left w:val="none" w:sz="0" w:space="0" w:color="auto"/>
        <w:bottom w:val="none" w:sz="0" w:space="0" w:color="auto"/>
        <w:right w:val="none" w:sz="0" w:space="0" w:color="auto"/>
      </w:divBdr>
    </w:div>
    <w:div w:id="285505437">
      <w:bodyDiv w:val="1"/>
      <w:marLeft w:val="0"/>
      <w:marRight w:val="0"/>
      <w:marTop w:val="0"/>
      <w:marBottom w:val="0"/>
      <w:divBdr>
        <w:top w:val="none" w:sz="0" w:space="0" w:color="auto"/>
        <w:left w:val="none" w:sz="0" w:space="0" w:color="auto"/>
        <w:bottom w:val="none" w:sz="0" w:space="0" w:color="auto"/>
        <w:right w:val="none" w:sz="0" w:space="0" w:color="auto"/>
      </w:divBdr>
    </w:div>
    <w:div w:id="297227691">
      <w:bodyDiv w:val="1"/>
      <w:marLeft w:val="0"/>
      <w:marRight w:val="0"/>
      <w:marTop w:val="0"/>
      <w:marBottom w:val="0"/>
      <w:divBdr>
        <w:top w:val="none" w:sz="0" w:space="0" w:color="auto"/>
        <w:left w:val="none" w:sz="0" w:space="0" w:color="auto"/>
        <w:bottom w:val="none" w:sz="0" w:space="0" w:color="auto"/>
        <w:right w:val="none" w:sz="0" w:space="0" w:color="auto"/>
      </w:divBdr>
    </w:div>
    <w:div w:id="297801472">
      <w:bodyDiv w:val="1"/>
      <w:marLeft w:val="0"/>
      <w:marRight w:val="0"/>
      <w:marTop w:val="0"/>
      <w:marBottom w:val="0"/>
      <w:divBdr>
        <w:top w:val="none" w:sz="0" w:space="0" w:color="auto"/>
        <w:left w:val="none" w:sz="0" w:space="0" w:color="auto"/>
        <w:bottom w:val="none" w:sz="0" w:space="0" w:color="auto"/>
        <w:right w:val="none" w:sz="0" w:space="0" w:color="auto"/>
      </w:divBdr>
    </w:div>
    <w:div w:id="309098846">
      <w:bodyDiv w:val="1"/>
      <w:marLeft w:val="0"/>
      <w:marRight w:val="0"/>
      <w:marTop w:val="0"/>
      <w:marBottom w:val="0"/>
      <w:divBdr>
        <w:top w:val="none" w:sz="0" w:space="0" w:color="auto"/>
        <w:left w:val="none" w:sz="0" w:space="0" w:color="auto"/>
        <w:bottom w:val="none" w:sz="0" w:space="0" w:color="auto"/>
        <w:right w:val="none" w:sz="0" w:space="0" w:color="auto"/>
      </w:divBdr>
    </w:div>
    <w:div w:id="318273010">
      <w:bodyDiv w:val="1"/>
      <w:marLeft w:val="0"/>
      <w:marRight w:val="0"/>
      <w:marTop w:val="0"/>
      <w:marBottom w:val="0"/>
      <w:divBdr>
        <w:top w:val="none" w:sz="0" w:space="0" w:color="auto"/>
        <w:left w:val="none" w:sz="0" w:space="0" w:color="auto"/>
        <w:bottom w:val="none" w:sz="0" w:space="0" w:color="auto"/>
        <w:right w:val="none" w:sz="0" w:space="0" w:color="auto"/>
      </w:divBdr>
    </w:div>
    <w:div w:id="345250432">
      <w:bodyDiv w:val="1"/>
      <w:marLeft w:val="0"/>
      <w:marRight w:val="0"/>
      <w:marTop w:val="0"/>
      <w:marBottom w:val="0"/>
      <w:divBdr>
        <w:top w:val="none" w:sz="0" w:space="0" w:color="auto"/>
        <w:left w:val="none" w:sz="0" w:space="0" w:color="auto"/>
        <w:bottom w:val="none" w:sz="0" w:space="0" w:color="auto"/>
        <w:right w:val="none" w:sz="0" w:space="0" w:color="auto"/>
      </w:divBdr>
    </w:div>
    <w:div w:id="374963259">
      <w:bodyDiv w:val="1"/>
      <w:marLeft w:val="0"/>
      <w:marRight w:val="0"/>
      <w:marTop w:val="0"/>
      <w:marBottom w:val="0"/>
      <w:divBdr>
        <w:top w:val="none" w:sz="0" w:space="0" w:color="auto"/>
        <w:left w:val="none" w:sz="0" w:space="0" w:color="auto"/>
        <w:bottom w:val="none" w:sz="0" w:space="0" w:color="auto"/>
        <w:right w:val="none" w:sz="0" w:space="0" w:color="auto"/>
      </w:divBdr>
    </w:div>
    <w:div w:id="383916881">
      <w:bodyDiv w:val="1"/>
      <w:marLeft w:val="0"/>
      <w:marRight w:val="0"/>
      <w:marTop w:val="0"/>
      <w:marBottom w:val="0"/>
      <w:divBdr>
        <w:top w:val="none" w:sz="0" w:space="0" w:color="auto"/>
        <w:left w:val="none" w:sz="0" w:space="0" w:color="auto"/>
        <w:bottom w:val="none" w:sz="0" w:space="0" w:color="auto"/>
        <w:right w:val="none" w:sz="0" w:space="0" w:color="auto"/>
      </w:divBdr>
    </w:div>
    <w:div w:id="399444709">
      <w:bodyDiv w:val="1"/>
      <w:marLeft w:val="0"/>
      <w:marRight w:val="0"/>
      <w:marTop w:val="0"/>
      <w:marBottom w:val="0"/>
      <w:divBdr>
        <w:top w:val="none" w:sz="0" w:space="0" w:color="auto"/>
        <w:left w:val="none" w:sz="0" w:space="0" w:color="auto"/>
        <w:bottom w:val="none" w:sz="0" w:space="0" w:color="auto"/>
        <w:right w:val="none" w:sz="0" w:space="0" w:color="auto"/>
      </w:divBdr>
    </w:div>
    <w:div w:id="407271631">
      <w:bodyDiv w:val="1"/>
      <w:marLeft w:val="0"/>
      <w:marRight w:val="0"/>
      <w:marTop w:val="0"/>
      <w:marBottom w:val="0"/>
      <w:divBdr>
        <w:top w:val="none" w:sz="0" w:space="0" w:color="auto"/>
        <w:left w:val="none" w:sz="0" w:space="0" w:color="auto"/>
        <w:bottom w:val="none" w:sz="0" w:space="0" w:color="auto"/>
        <w:right w:val="none" w:sz="0" w:space="0" w:color="auto"/>
      </w:divBdr>
    </w:div>
    <w:div w:id="420180318">
      <w:bodyDiv w:val="1"/>
      <w:marLeft w:val="0"/>
      <w:marRight w:val="0"/>
      <w:marTop w:val="0"/>
      <w:marBottom w:val="0"/>
      <w:divBdr>
        <w:top w:val="none" w:sz="0" w:space="0" w:color="auto"/>
        <w:left w:val="none" w:sz="0" w:space="0" w:color="auto"/>
        <w:bottom w:val="none" w:sz="0" w:space="0" w:color="auto"/>
        <w:right w:val="none" w:sz="0" w:space="0" w:color="auto"/>
      </w:divBdr>
    </w:div>
    <w:div w:id="425884383">
      <w:bodyDiv w:val="1"/>
      <w:marLeft w:val="0"/>
      <w:marRight w:val="0"/>
      <w:marTop w:val="0"/>
      <w:marBottom w:val="0"/>
      <w:divBdr>
        <w:top w:val="none" w:sz="0" w:space="0" w:color="auto"/>
        <w:left w:val="none" w:sz="0" w:space="0" w:color="auto"/>
        <w:bottom w:val="none" w:sz="0" w:space="0" w:color="auto"/>
        <w:right w:val="none" w:sz="0" w:space="0" w:color="auto"/>
      </w:divBdr>
    </w:div>
    <w:div w:id="428163023">
      <w:bodyDiv w:val="1"/>
      <w:marLeft w:val="0"/>
      <w:marRight w:val="0"/>
      <w:marTop w:val="0"/>
      <w:marBottom w:val="0"/>
      <w:divBdr>
        <w:top w:val="none" w:sz="0" w:space="0" w:color="auto"/>
        <w:left w:val="none" w:sz="0" w:space="0" w:color="auto"/>
        <w:bottom w:val="none" w:sz="0" w:space="0" w:color="auto"/>
        <w:right w:val="none" w:sz="0" w:space="0" w:color="auto"/>
      </w:divBdr>
    </w:div>
    <w:div w:id="440154336">
      <w:bodyDiv w:val="1"/>
      <w:marLeft w:val="0"/>
      <w:marRight w:val="0"/>
      <w:marTop w:val="0"/>
      <w:marBottom w:val="0"/>
      <w:divBdr>
        <w:top w:val="none" w:sz="0" w:space="0" w:color="auto"/>
        <w:left w:val="none" w:sz="0" w:space="0" w:color="auto"/>
        <w:bottom w:val="none" w:sz="0" w:space="0" w:color="auto"/>
        <w:right w:val="none" w:sz="0" w:space="0" w:color="auto"/>
      </w:divBdr>
    </w:div>
    <w:div w:id="461583038">
      <w:bodyDiv w:val="1"/>
      <w:marLeft w:val="0"/>
      <w:marRight w:val="0"/>
      <w:marTop w:val="0"/>
      <w:marBottom w:val="0"/>
      <w:divBdr>
        <w:top w:val="none" w:sz="0" w:space="0" w:color="auto"/>
        <w:left w:val="none" w:sz="0" w:space="0" w:color="auto"/>
        <w:bottom w:val="none" w:sz="0" w:space="0" w:color="auto"/>
        <w:right w:val="none" w:sz="0" w:space="0" w:color="auto"/>
      </w:divBdr>
    </w:div>
    <w:div w:id="477233891">
      <w:bodyDiv w:val="1"/>
      <w:marLeft w:val="0"/>
      <w:marRight w:val="0"/>
      <w:marTop w:val="0"/>
      <w:marBottom w:val="0"/>
      <w:divBdr>
        <w:top w:val="none" w:sz="0" w:space="0" w:color="auto"/>
        <w:left w:val="none" w:sz="0" w:space="0" w:color="auto"/>
        <w:bottom w:val="none" w:sz="0" w:space="0" w:color="auto"/>
        <w:right w:val="none" w:sz="0" w:space="0" w:color="auto"/>
      </w:divBdr>
    </w:div>
    <w:div w:id="504825757">
      <w:bodyDiv w:val="1"/>
      <w:marLeft w:val="0"/>
      <w:marRight w:val="0"/>
      <w:marTop w:val="0"/>
      <w:marBottom w:val="0"/>
      <w:divBdr>
        <w:top w:val="none" w:sz="0" w:space="0" w:color="auto"/>
        <w:left w:val="none" w:sz="0" w:space="0" w:color="auto"/>
        <w:bottom w:val="none" w:sz="0" w:space="0" w:color="auto"/>
        <w:right w:val="none" w:sz="0" w:space="0" w:color="auto"/>
      </w:divBdr>
    </w:div>
    <w:div w:id="508446402">
      <w:bodyDiv w:val="1"/>
      <w:marLeft w:val="0"/>
      <w:marRight w:val="0"/>
      <w:marTop w:val="0"/>
      <w:marBottom w:val="0"/>
      <w:divBdr>
        <w:top w:val="none" w:sz="0" w:space="0" w:color="auto"/>
        <w:left w:val="none" w:sz="0" w:space="0" w:color="auto"/>
        <w:bottom w:val="none" w:sz="0" w:space="0" w:color="auto"/>
        <w:right w:val="none" w:sz="0" w:space="0" w:color="auto"/>
      </w:divBdr>
    </w:div>
    <w:div w:id="533882622">
      <w:bodyDiv w:val="1"/>
      <w:marLeft w:val="0"/>
      <w:marRight w:val="0"/>
      <w:marTop w:val="0"/>
      <w:marBottom w:val="0"/>
      <w:divBdr>
        <w:top w:val="none" w:sz="0" w:space="0" w:color="auto"/>
        <w:left w:val="none" w:sz="0" w:space="0" w:color="auto"/>
        <w:bottom w:val="none" w:sz="0" w:space="0" w:color="auto"/>
        <w:right w:val="none" w:sz="0" w:space="0" w:color="auto"/>
      </w:divBdr>
    </w:div>
    <w:div w:id="544952174">
      <w:bodyDiv w:val="1"/>
      <w:marLeft w:val="0"/>
      <w:marRight w:val="0"/>
      <w:marTop w:val="0"/>
      <w:marBottom w:val="0"/>
      <w:divBdr>
        <w:top w:val="none" w:sz="0" w:space="0" w:color="auto"/>
        <w:left w:val="none" w:sz="0" w:space="0" w:color="auto"/>
        <w:bottom w:val="none" w:sz="0" w:space="0" w:color="auto"/>
        <w:right w:val="none" w:sz="0" w:space="0" w:color="auto"/>
      </w:divBdr>
    </w:div>
    <w:div w:id="582448548">
      <w:bodyDiv w:val="1"/>
      <w:marLeft w:val="0"/>
      <w:marRight w:val="0"/>
      <w:marTop w:val="0"/>
      <w:marBottom w:val="0"/>
      <w:divBdr>
        <w:top w:val="none" w:sz="0" w:space="0" w:color="auto"/>
        <w:left w:val="none" w:sz="0" w:space="0" w:color="auto"/>
        <w:bottom w:val="none" w:sz="0" w:space="0" w:color="auto"/>
        <w:right w:val="none" w:sz="0" w:space="0" w:color="auto"/>
      </w:divBdr>
    </w:div>
    <w:div w:id="600114316">
      <w:bodyDiv w:val="1"/>
      <w:marLeft w:val="0"/>
      <w:marRight w:val="0"/>
      <w:marTop w:val="0"/>
      <w:marBottom w:val="0"/>
      <w:divBdr>
        <w:top w:val="none" w:sz="0" w:space="0" w:color="auto"/>
        <w:left w:val="none" w:sz="0" w:space="0" w:color="auto"/>
        <w:bottom w:val="none" w:sz="0" w:space="0" w:color="auto"/>
        <w:right w:val="none" w:sz="0" w:space="0" w:color="auto"/>
      </w:divBdr>
    </w:div>
    <w:div w:id="606279033">
      <w:bodyDiv w:val="1"/>
      <w:marLeft w:val="0"/>
      <w:marRight w:val="0"/>
      <w:marTop w:val="0"/>
      <w:marBottom w:val="0"/>
      <w:divBdr>
        <w:top w:val="none" w:sz="0" w:space="0" w:color="auto"/>
        <w:left w:val="none" w:sz="0" w:space="0" w:color="auto"/>
        <w:bottom w:val="none" w:sz="0" w:space="0" w:color="auto"/>
        <w:right w:val="none" w:sz="0" w:space="0" w:color="auto"/>
      </w:divBdr>
    </w:div>
    <w:div w:id="611477856">
      <w:bodyDiv w:val="1"/>
      <w:marLeft w:val="0"/>
      <w:marRight w:val="0"/>
      <w:marTop w:val="0"/>
      <w:marBottom w:val="0"/>
      <w:divBdr>
        <w:top w:val="none" w:sz="0" w:space="0" w:color="auto"/>
        <w:left w:val="none" w:sz="0" w:space="0" w:color="auto"/>
        <w:bottom w:val="none" w:sz="0" w:space="0" w:color="auto"/>
        <w:right w:val="none" w:sz="0" w:space="0" w:color="auto"/>
      </w:divBdr>
    </w:div>
    <w:div w:id="645817538">
      <w:bodyDiv w:val="1"/>
      <w:marLeft w:val="0"/>
      <w:marRight w:val="0"/>
      <w:marTop w:val="0"/>
      <w:marBottom w:val="0"/>
      <w:divBdr>
        <w:top w:val="none" w:sz="0" w:space="0" w:color="auto"/>
        <w:left w:val="none" w:sz="0" w:space="0" w:color="auto"/>
        <w:bottom w:val="none" w:sz="0" w:space="0" w:color="auto"/>
        <w:right w:val="none" w:sz="0" w:space="0" w:color="auto"/>
      </w:divBdr>
    </w:div>
    <w:div w:id="653870551">
      <w:bodyDiv w:val="1"/>
      <w:marLeft w:val="0"/>
      <w:marRight w:val="0"/>
      <w:marTop w:val="0"/>
      <w:marBottom w:val="0"/>
      <w:divBdr>
        <w:top w:val="none" w:sz="0" w:space="0" w:color="auto"/>
        <w:left w:val="none" w:sz="0" w:space="0" w:color="auto"/>
        <w:bottom w:val="none" w:sz="0" w:space="0" w:color="auto"/>
        <w:right w:val="none" w:sz="0" w:space="0" w:color="auto"/>
      </w:divBdr>
    </w:div>
    <w:div w:id="673384827">
      <w:bodyDiv w:val="1"/>
      <w:marLeft w:val="0"/>
      <w:marRight w:val="0"/>
      <w:marTop w:val="0"/>
      <w:marBottom w:val="0"/>
      <w:divBdr>
        <w:top w:val="none" w:sz="0" w:space="0" w:color="auto"/>
        <w:left w:val="none" w:sz="0" w:space="0" w:color="auto"/>
        <w:bottom w:val="none" w:sz="0" w:space="0" w:color="auto"/>
        <w:right w:val="none" w:sz="0" w:space="0" w:color="auto"/>
      </w:divBdr>
    </w:div>
    <w:div w:id="678002172">
      <w:bodyDiv w:val="1"/>
      <w:marLeft w:val="0"/>
      <w:marRight w:val="0"/>
      <w:marTop w:val="0"/>
      <w:marBottom w:val="0"/>
      <w:divBdr>
        <w:top w:val="none" w:sz="0" w:space="0" w:color="auto"/>
        <w:left w:val="none" w:sz="0" w:space="0" w:color="auto"/>
        <w:bottom w:val="none" w:sz="0" w:space="0" w:color="auto"/>
        <w:right w:val="none" w:sz="0" w:space="0" w:color="auto"/>
      </w:divBdr>
    </w:div>
    <w:div w:id="724065775">
      <w:bodyDiv w:val="1"/>
      <w:marLeft w:val="0"/>
      <w:marRight w:val="0"/>
      <w:marTop w:val="0"/>
      <w:marBottom w:val="0"/>
      <w:divBdr>
        <w:top w:val="none" w:sz="0" w:space="0" w:color="auto"/>
        <w:left w:val="none" w:sz="0" w:space="0" w:color="auto"/>
        <w:bottom w:val="none" w:sz="0" w:space="0" w:color="auto"/>
        <w:right w:val="none" w:sz="0" w:space="0" w:color="auto"/>
      </w:divBdr>
    </w:div>
    <w:div w:id="764378856">
      <w:bodyDiv w:val="1"/>
      <w:marLeft w:val="0"/>
      <w:marRight w:val="0"/>
      <w:marTop w:val="0"/>
      <w:marBottom w:val="0"/>
      <w:divBdr>
        <w:top w:val="none" w:sz="0" w:space="0" w:color="auto"/>
        <w:left w:val="none" w:sz="0" w:space="0" w:color="auto"/>
        <w:bottom w:val="none" w:sz="0" w:space="0" w:color="auto"/>
        <w:right w:val="none" w:sz="0" w:space="0" w:color="auto"/>
      </w:divBdr>
    </w:div>
    <w:div w:id="776368226">
      <w:bodyDiv w:val="1"/>
      <w:marLeft w:val="0"/>
      <w:marRight w:val="0"/>
      <w:marTop w:val="0"/>
      <w:marBottom w:val="0"/>
      <w:divBdr>
        <w:top w:val="none" w:sz="0" w:space="0" w:color="auto"/>
        <w:left w:val="none" w:sz="0" w:space="0" w:color="auto"/>
        <w:bottom w:val="none" w:sz="0" w:space="0" w:color="auto"/>
        <w:right w:val="none" w:sz="0" w:space="0" w:color="auto"/>
      </w:divBdr>
    </w:div>
    <w:div w:id="802235902">
      <w:bodyDiv w:val="1"/>
      <w:marLeft w:val="0"/>
      <w:marRight w:val="0"/>
      <w:marTop w:val="0"/>
      <w:marBottom w:val="0"/>
      <w:divBdr>
        <w:top w:val="none" w:sz="0" w:space="0" w:color="auto"/>
        <w:left w:val="none" w:sz="0" w:space="0" w:color="auto"/>
        <w:bottom w:val="none" w:sz="0" w:space="0" w:color="auto"/>
        <w:right w:val="none" w:sz="0" w:space="0" w:color="auto"/>
      </w:divBdr>
    </w:div>
    <w:div w:id="821697870">
      <w:bodyDiv w:val="1"/>
      <w:marLeft w:val="0"/>
      <w:marRight w:val="0"/>
      <w:marTop w:val="0"/>
      <w:marBottom w:val="0"/>
      <w:divBdr>
        <w:top w:val="none" w:sz="0" w:space="0" w:color="auto"/>
        <w:left w:val="none" w:sz="0" w:space="0" w:color="auto"/>
        <w:bottom w:val="none" w:sz="0" w:space="0" w:color="auto"/>
        <w:right w:val="none" w:sz="0" w:space="0" w:color="auto"/>
      </w:divBdr>
    </w:div>
    <w:div w:id="823592895">
      <w:bodyDiv w:val="1"/>
      <w:marLeft w:val="0"/>
      <w:marRight w:val="0"/>
      <w:marTop w:val="0"/>
      <w:marBottom w:val="0"/>
      <w:divBdr>
        <w:top w:val="none" w:sz="0" w:space="0" w:color="auto"/>
        <w:left w:val="none" w:sz="0" w:space="0" w:color="auto"/>
        <w:bottom w:val="none" w:sz="0" w:space="0" w:color="auto"/>
        <w:right w:val="none" w:sz="0" w:space="0" w:color="auto"/>
      </w:divBdr>
    </w:div>
    <w:div w:id="831067776">
      <w:bodyDiv w:val="1"/>
      <w:marLeft w:val="0"/>
      <w:marRight w:val="0"/>
      <w:marTop w:val="0"/>
      <w:marBottom w:val="0"/>
      <w:divBdr>
        <w:top w:val="none" w:sz="0" w:space="0" w:color="auto"/>
        <w:left w:val="none" w:sz="0" w:space="0" w:color="auto"/>
        <w:bottom w:val="none" w:sz="0" w:space="0" w:color="auto"/>
        <w:right w:val="none" w:sz="0" w:space="0" w:color="auto"/>
      </w:divBdr>
    </w:div>
    <w:div w:id="876813013">
      <w:bodyDiv w:val="1"/>
      <w:marLeft w:val="0"/>
      <w:marRight w:val="0"/>
      <w:marTop w:val="0"/>
      <w:marBottom w:val="0"/>
      <w:divBdr>
        <w:top w:val="none" w:sz="0" w:space="0" w:color="auto"/>
        <w:left w:val="none" w:sz="0" w:space="0" w:color="auto"/>
        <w:bottom w:val="none" w:sz="0" w:space="0" w:color="auto"/>
        <w:right w:val="none" w:sz="0" w:space="0" w:color="auto"/>
      </w:divBdr>
    </w:div>
    <w:div w:id="884029238">
      <w:bodyDiv w:val="1"/>
      <w:marLeft w:val="0"/>
      <w:marRight w:val="0"/>
      <w:marTop w:val="0"/>
      <w:marBottom w:val="0"/>
      <w:divBdr>
        <w:top w:val="none" w:sz="0" w:space="0" w:color="auto"/>
        <w:left w:val="none" w:sz="0" w:space="0" w:color="auto"/>
        <w:bottom w:val="none" w:sz="0" w:space="0" w:color="auto"/>
        <w:right w:val="none" w:sz="0" w:space="0" w:color="auto"/>
      </w:divBdr>
    </w:div>
    <w:div w:id="887036937">
      <w:bodyDiv w:val="1"/>
      <w:marLeft w:val="0"/>
      <w:marRight w:val="0"/>
      <w:marTop w:val="0"/>
      <w:marBottom w:val="0"/>
      <w:divBdr>
        <w:top w:val="none" w:sz="0" w:space="0" w:color="auto"/>
        <w:left w:val="none" w:sz="0" w:space="0" w:color="auto"/>
        <w:bottom w:val="none" w:sz="0" w:space="0" w:color="auto"/>
        <w:right w:val="none" w:sz="0" w:space="0" w:color="auto"/>
      </w:divBdr>
    </w:div>
    <w:div w:id="887767212">
      <w:bodyDiv w:val="1"/>
      <w:marLeft w:val="0"/>
      <w:marRight w:val="0"/>
      <w:marTop w:val="0"/>
      <w:marBottom w:val="0"/>
      <w:divBdr>
        <w:top w:val="none" w:sz="0" w:space="0" w:color="auto"/>
        <w:left w:val="none" w:sz="0" w:space="0" w:color="auto"/>
        <w:bottom w:val="none" w:sz="0" w:space="0" w:color="auto"/>
        <w:right w:val="none" w:sz="0" w:space="0" w:color="auto"/>
      </w:divBdr>
    </w:div>
    <w:div w:id="889652449">
      <w:bodyDiv w:val="1"/>
      <w:marLeft w:val="0"/>
      <w:marRight w:val="0"/>
      <w:marTop w:val="0"/>
      <w:marBottom w:val="0"/>
      <w:divBdr>
        <w:top w:val="none" w:sz="0" w:space="0" w:color="auto"/>
        <w:left w:val="none" w:sz="0" w:space="0" w:color="auto"/>
        <w:bottom w:val="none" w:sz="0" w:space="0" w:color="auto"/>
        <w:right w:val="none" w:sz="0" w:space="0" w:color="auto"/>
      </w:divBdr>
    </w:div>
    <w:div w:id="917448213">
      <w:bodyDiv w:val="1"/>
      <w:marLeft w:val="0"/>
      <w:marRight w:val="0"/>
      <w:marTop w:val="0"/>
      <w:marBottom w:val="0"/>
      <w:divBdr>
        <w:top w:val="none" w:sz="0" w:space="0" w:color="auto"/>
        <w:left w:val="none" w:sz="0" w:space="0" w:color="auto"/>
        <w:bottom w:val="none" w:sz="0" w:space="0" w:color="auto"/>
        <w:right w:val="none" w:sz="0" w:space="0" w:color="auto"/>
      </w:divBdr>
    </w:div>
    <w:div w:id="926498025">
      <w:bodyDiv w:val="1"/>
      <w:marLeft w:val="0"/>
      <w:marRight w:val="0"/>
      <w:marTop w:val="0"/>
      <w:marBottom w:val="0"/>
      <w:divBdr>
        <w:top w:val="none" w:sz="0" w:space="0" w:color="auto"/>
        <w:left w:val="none" w:sz="0" w:space="0" w:color="auto"/>
        <w:bottom w:val="none" w:sz="0" w:space="0" w:color="auto"/>
        <w:right w:val="none" w:sz="0" w:space="0" w:color="auto"/>
      </w:divBdr>
    </w:div>
    <w:div w:id="942033690">
      <w:bodyDiv w:val="1"/>
      <w:marLeft w:val="0"/>
      <w:marRight w:val="0"/>
      <w:marTop w:val="0"/>
      <w:marBottom w:val="0"/>
      <w:divBdr>
        <w:top w:val="none" w:sz="0" w:space="0" w:color="auto"/>
        <w:left w:val="none" w:sz="0" w:space="0" w:color="auto"/>
        <w:bottom w:val="none" w:sz="0" w:space="0" w:color="auto"/>
        <w:right w:val="none" w:sz="0" w:space="0" w:color="auto"/>
      </w:divBdr>
    </w:div>
    <w:div w:id="985474788">
      <w:bodyDiv w:val="1"/>
      <w:marLeft w:val="0"/>
      <w:marRight w:val="0"/>
      <w:marTop w:val="0"/>
      <w:marBottom w:val="0"/>
      <w:divBdr>
        <w:top w:val="none" w:sz="0" w:space="0" w:color="auto"/>
        <w:left w:val="none" w:sz="0" w:space="0" w:color="auto"/>
        <w:bottom w:val="none" w:sz="0" w:space="0" w:color="auto"/>
        <w:right w:val="none" w:sz="0" w:space="0" w:color="auto"/>
      </w:divBdr>
    </w:div>
    <w:div w:id="986470341">
      <w:bodyDiv w:val="1"/>
      <w:marLeft w:val="0"/>
      <w:marRight w:val="0"/>
      <w:marTop w:val="0"/>
      <w:marBottom w:val="0"/>
      <w:divBdr>
        <w:top w:val="none" w:sz="0" w:space="0" w:color="auto"/>
        <w:left w:val="none" w:sz="0" w:space="0" w:color="auto"/>
        <w:bottom w:val="none" w:sz="0" w:space="0" w:color="auto"/>
        <w:right w:val="none" w:sz="0" w:space="0" w:color="auto"/>
      </w:divBdr>
    </w:div>
    <w:div w:id="1025211331">
      <w:bodyDiv w:val="1"/>
      <w:marLeft w:val="0"/>
      <w:marRight w:val="0"/>
      <w:marTop w:val="0"/>
      <w:marBottom w:val="0"/>
      <w:divBdr>
        <w:top w:val="none" w:sz="0" w:space="0" w:color="auto"/>
        <w:left w:val="none" w:sz="0" w:space="0" w:color="auto"/>
        <w:bottom w:val="none" w:sz="0" w:space="0" w:color="auto"/>
        <w:right w:val="none" w:sz="0" w:space="0" w:color="auto"/>
      </w:divBdr>
    </w:div>
    <w:div w:id="1074813735">
      <w:bodyDiv w:val="1"/>
      <w:marLeft w:val="0"/>
      <w:marRight w:val="0"/>
      <w:marTop w:val="0"/>
      <w:marBottom w:val="0"/>
      <w:divBdr>
        <w:top w:val="none" w:sz="0" w:space="0" w:color="auto"/>
        <w:left w:val="none" w:sz="0" w:space="0" w:color="auto"/>
        <w:bottom w:val="none" w:sz="0" w:space="0" w:color="auto"/>
        <w:right w:val="none" w:sz="0" w:space="0" w:color="auto"/>
      </w:divBdr>
    </w:div>
    <w:div w:id="1128285106">
      <w:bodyDiv w:val="1"/>
      <w:marLeft w:val="0"/>
      <w:marRight w:val="0"/>
      <w:marTop w:val="0"/>
      <w:marBottom w:val="0"/>
      <w:divBdr>
        <w:top w:val="none" w:sz="0" w:space="0" w:color="auto"/>
        <w:left w:val="none" w:sz="0" w:space="0" w:color="auto"/>
        <w:bottom w:val="none" w:sz="0" w:space="0" w:color="auto"/>
        <w:right w:val="none" w:sz="0" w:space="0" w:color="auto"/>
      </w:divBdr>
    </w:div>
    <w:div w:id="1197111887">
      <w:bodyDiv w:val="1"/>
      <w:marLeft w:val="0"/>
      <w:marRight w:val="0"/>
      <w:marTop w:val="0"/>
      <w:marBottom w:val="0"/>
      <w:divBdr>
        <w:top w:val="none" w:sz="0" w:space="0" w:color="auto"/>
        <w:left w:val="none" w:sz="0" w:space="0" w:color="auto"/>
        <w:bottom w:val="none" w:sz="0" w:space="0" w:color="auto"/>
        <w:right w:val="none" w:sz="0" w:space="0" w:color="auto"/>
      </w:divBdr>
    </w:div>
    <w:div w:id="1251042136">
      <w:bodyDiv w:val="1"/>
      <w:marLeft w:val="0"/>
      <w:marRight w:val="0"/>
      <w:marTop w:val="0"/>
      <w:marBottom w:val="0"/>
      <w:divBdr>
        <w:top w:val="none" w:sz="0" w:space="0" w:color="auto"/>
        <w:left w:val="none" w:sz="0" w:space="0" w:color="auto"/>
        <w:bottom w:val="none" w:sz="0" w:space="0" w:color="auto"/>
        <w:right w:val="none" w:sz="0" w:space="0" w:color="auto"/>
      </w:divBdr>
    </w:div>
    <w:div w:id="1253202854">
      <w:bodyDiv w:val="1"/>
      <w:marLeft w:val="0"/>
      <w:marRight w:val="0"/>
      <w:marTop w:val="0"/>
      <w:marBottom w:val="0"/>
      <w:divBdr>
        <w:top w:val="none" w:sz="0" w:space="0" w:color="auto"/>
        <w:left w:val="none" w:sz="0" w:space="0" w:color="auto"/>
        <w:bottom w:val="none" w:sz="0" w:space="0" w:color="auto"/>
        <w:right w:val="none" w:sz="0" w:space="0" w:color="auto"/>
      </w:divBdr>
    </w:div>
    <w:div w:id="1256938725">
      <w:bodyDiv w:val="1"/>
      <w:marLeft w:val="0"/>
      <w:marRight w:val="0"/>
      <w:marTop w:val="0"/>
      <w:marBottom w:val="0"/>
      <w:divBdr>
        <w:top w:val="none" w:sz="0" w:space="0" w:color="auto"/>
        <w:left w:val="none" w:sz="0" w:space="0" w:color="auto"/>
        <w:bottom w:val="none" w:sz="0" w:space="0" w:color="auto"/>
        <w:right w:val="none" w:sz="0" w:space="0" w:color="auto"/>
      </w:divBdr>
    </w:div>
    <w:div w:id="1283610916">
      <w:bodyDiv w:val="1"/>
      <w:marLeft w:val="0"/>
      <w:marRight w:val="0"/>
      <w:marTop w:val="0"/>
      <w:marBottom w:val="0"/>
      <w:divBdr>
        <w:top w:val="none" w:sz="0" w:space="0" w:color="auto"/>
        <w:left w:val="none" w:sz="0" w:space="0" w:color="auto"/>
        <w:bottom w:val="none" w:sz="0" w:space="0" w:color="auto"/>
        <w:right w:val="none" w:sz="0" w:space="0" w:color="auto"/>
      </w:divBdr>
    </w:div>
    <w:div w:id="1287587803">
      <w:bodyDiv w:val="1"/>
      <w:marLeft w:val="0"/>
      <w:marRight w:val="0"/>
      <w:marTop w:val="0"/>
      <w:marBottom w:val="0"/>
      <w:divBdr>
        <w:top w:val="none" w:sz="0" w:space="0" w:color="auto"/>
        <w:left w:val="none" w:sz="0" w:space="0" w:color="auto"/>
        <w:bottom w:val="none" w:sz="0" w:space="0" w:color="auto"/>
        <w:right w:val="none" w:sz="0" w:space="0" w:color="auto"/>
      </w:divBdr>
    </w:div>
    <w:div w:id="1291013124">
      <w:bodyDiv w:val="1"/>
      <w:marLeft w:val="0"/>
      <w:marRight w:val="0"/>
      <w:marTop w:val="0"/>
      <w:marBottom w:val="0"/>
      <w:divBdr>
        <w:top w:val="none" w:sz="0" w:space="0" w:color="auto"/>
        <w:left w:val="none" w:sz="0" w:space="0" w:color="auto"/>
        <w:bottom w:val="none" w:sz="0" w:space="0" w:color="auto"/>
        <w:right w:val="none" w:sz="0" w:space="0" w:color="auto"/>
      </w:divBdr>
    </w:div>
    <w:div w:id="1305968165">
      <w:bodyDiv w:val="1"/>
      <w:marLeft w:val="0"/>
      <w:marRight w:val="0"/>
      <w:marTop w:val="0"/>
      <w:marBottom w:val="0"/>
      <w:divBdr>
        <w:top w:val="none" w:sz="0" w:space="0" w:color="auto"/>
        <w:left w:val="none" w:sz="0" w:space="0" w:color="auto"/>
        <w:bottom w:val="none" w:sz="0" w:space="0" w:color="auto"/>
        <w:right w:val="none" w:sz="0" w:space="0" w:color="auto"/>
      </w:divBdr>
    </w:div>
    <w:div w:id="1306591633">
      <w:bodyDiv w:val="1"/>
      <w:marLeft w:val="0"/>
      <w:marRight w:val="0"/>
      <w:marTop w:val="0"/>
      <w:marBottom w:val="0"/>
      <w:divBdr>
        <w:top w:val="none" w:sz="0" w:space="0" w:color="auto"/>
        <w:left w:val="none" w:sz="0" w:space="0" w:color="auto"/>
        <w:bottom w:val="none" w:sz="0" w:space="0" w:color="auto"/>
        <w:right w:val="none" w:sz="0" w:space="0" w:color="auto"/>
      </w:divBdr>
    </w:div>
    <w:div w:id="1331449710">
      <w:bodyDiv w:val="1"/>
      <w:marLeft w:val="0"/>
      <w:marRight w:val="0"/>
      <w:marTop w:val="0"/>
      <w:marBottom w:val="0"/>
      <w:divBdr>
        <w:top w:val="none" w:sz="0" w:space="0" w:color="auto"/>
        <w:left w:val="none" w:sz="0" w:space="0" w:color="auto"/>
        <w:bottom w:val="none" w:sz="0" w:space="0" w:color="auto"/>
        <w:right w:val="none" w:sz="0" w:space="0" w:color="auto"/>
      </w:divBdr>
    </w:div>
    <w:div w:id="1333951075">
      <w:bodyDiv w:val="1"/>
      <w:marLeft w:val="0"/>
      <w:marRight w:val="0"/>
      <w:marTop w:val="0"/>
      <w:marBottom w:val="0"/>
      <w:divBdr>
        <w:top w:val="none" w:sz="0" w:space="0" w:color="auto"/>
        <w:left w:val="none" w:sz="0" w:space="0" w:color="auto"/>
        <w:bottom w:val="none" w:sz="0" w:space="0" w:color="auto"/>
        <w:right w:val="none" w:sz="0" w:space="0" w:color="auto"/>
      </w:divBdr>
    </w:div>
    <w:div w:id="1399670870">
      <w:bodyDiv w:val="1"/>
      <w:marLeft w:val="0"/>
      <w:marRight w:val="0"/>
      <w:marTop w:val="0"/>
      <w:marBottom w:val="0"/>
      <w:divBdr>
        <w:top w:val="none" w:sz="0" w:space="0" w:color="auto"/>
        <w:left w:val="none" w:sz="0" w:space="0" w:color="auto"/>
        <w:bottom w:val="none" w:sz="0" w:space="0" w:color="auto"/>
        <w:right w:val="none" w:sz="0" w:space="0" w:color="auto"/>
      </w:divBdr>
    </w:div>
    <w:div w:id="1427846239">
      <w:bodyDiv w:val="1"/>
      <w:marLeft w:val="0"/>
      <w:marRight w:val="0"/>
      <w:marTop w:val="0"/>
      <w:marBottom w:val="0"/>
      <w:divBdr>
        <w:top w:val="none" w:sz="0" w:space="0" w:color="auto"/>
        <w:left w:val="none" w:sz="0" w:space="0" w:color="auto"/>
        <w:bottom w:val="none" w:sz="0" w:space="0" w:color="auto"/>
        <w:right w:val="none" w:sz="0" w:space="0" w:color="auto"/>
      </w:divBdr>
    </w:div>
    <w:div w:id="1440177806">
      <w:bodyDiv w:val="1"/>
      <w:marLeft w:val="0"/>
      <w:marRight w:val="0"/>
      <w:marTop w:val="0"/>
      <w:marBottom w:val="0"/>
      <w:divBdr>
        <w:top w:val="none" w:sz="0" w:space="0" w:color="auto"/>
        <w:left w:val="none" w:sz="0" w:space="0" w:color="auto"/>
        <w:bottom w:val="none" w:sz="0" w:space="0" w:color="auto"/>
        <w:right w:val="none" w:sz="0" w:space="0" w:color="auto"/>
      </w:divBdr>
      <w:divsChild>
        <w:div w:id="289626090">
          <w:marLeft w:val="0"/>
          <w:marRight w:val="0"/>
          <w:marTop w:val="0"/>
          <w:marBottom w:val="0"/>
          <w:divBdr>
            <w:top w:val="none" w:sz="0" w:space="0" w:color="auto"/>
            <w:left w:val="none" w:sz="0" w:space="0" w:color="auto"/>
            <w:bottom w:val="none" w:sz="0" w:space="0" w:color="auto"/>
            <w:right w:val="none" w:sz="0" w:space="0" w:color="auto"/>
          </w:divBdr>
          <w:divsChild>
            <w:div w:id="1937900054">
              <w:marLeft w:val="0"/>
              <w:marRight w:val="0"/>
              <w:marTop w:val="112"/>
              <w:marBottom w:val="0"/>
              <w:divBdr>
                <w:top w:val="single" w:sz="8" w:space="6" w:color="666666"/>
                <w:left w:val="none" w:sz="0" w:space="0" w:color="auto"/>
                <w:bottom w:val="none" w:sz="0" w:space="0" w:color="auto"/>
                <w:right w:val="none" w:sz="0" w:space="0" w:color="auto"/>
              </w:divBdr>
            </w:div>
          </w:divsChild>
        </w:div>
      </w:divsChild>
    </w:div>
    <w:div w:id="1445077969">
      <w:bodyDiv w:val="1"/>
      <w:marLeft w:val="0"/>
      <w:marRight w:val="0"/>
      <w:marTop w:val="0"/>
      <w:marBottom w:val="0"/>
      <w:divBdr>
        <w:top w:val="none" w:sz="0" w:space="0" w:color="auto"/>
        <w:left w:val="none" w:sz="0" w:space="0" w:color="auto"/>
        <w:bottom w:val="none" w:sz="0" w:space="0" w:color="auto"/>
        <w:right w:val="none" w:sz="0" w:space="0" w:color="auto"/>
      </w:divBdr>
    </w:div>
    <w:div w:id="1452553117">
      <w:bodyDiv w:val="1"/>
      <w:marLeft w:val="0"/>
      <w:marRight w:val="0"/>
      <w:marTop w:val="0"/>
      <w:marBottom w:val="0"/>
      <w:divBdr>
        <w:top w:val="none" w:sz="0" w:space="0" w:color="auto"/>
        <w:left w:val="none" w:sz="0" w:space="0" w:color="auto"/>
        <w:bottom w:val="none" w:sz="0" w:space="0" w:color="auto"/>
        <w:right w:val="none" w:sz="0" w:space="0" w:color="auto"/>
      </w:divBdr>
    </w:div>
    <w:div w:id="1453943501">
      <w:bodyDiv w:val="1"/>
      <w:marLeft w:val="0"/>
      <w:marRight w:val="0"/>
      <w:marTop w:val="0"/>
      <w:marBottom w:val="0"/>
      <w:divBdr>
        <w:top w:val="none" w:sz="0" w:space="0" w:color="auto"/>
        <w:left w:val="none" w:sz="0" w:space="0" w:color="auto"/>
        <w:bottom w:val="none" w:sz="0" w:space="0" w:color="auto"/>
        <w:right w:val="none" w:sz="0" w:space="0" w:color="auto"/>
      </w:divBdr>
    </w:div>
    <w:div w:id="1458525689">
      <w:bodyDiv w:val="1"/>
      <w:marLeft w:val="0"/>
      <w:marRight w:val="0"/>
      <w:marTop w:val="0"/>
      <w:marBottom w:val="0"/>
      <w:divBdr>
        <w:top w:val="none" w:sz="0" w:space="0" w:color="auto"/>
        <w:left w:val="none" w:sz="0" w:space="0" w:color="auto"/>
        <w:bottom w:val="none" w:sz="0" w:space="0" w:color="auto"/>
        <w:right w:val="none" w:sz="0" w:space="0" w:color="auto"/>
      </w:divBdr>
    </w:div>
    <w:div w:id="1477726163">
      <w:bodyDiv w:val="1"/>
      <w:marLeft w:val="0"/>
      <w:marRight w:val="0"/>
      <w:marTop w:val="0"/>
      <w:marBottom w:val="0"/>
      <w:divBdr>
        <w:top w:val="none" w:sz="0" w:space="0" w:color="auto"/>
        <w:left w:val="none" w:sz="0" w:space="0" w:color="auto"/>
        <w:bottom w:val="none" w:sz="0" w:space="0" w:color="auto"/>
        <w:right w:val="none" w:sz="0" w:space="0" w:color="auto"/>
      </w:divBdr>
    </w:div>
    <w:div w:id="1491482918">
      <w:bodyDiv w:val="1"/>
      <w:marLeft w:val="0"/>
      <w:marRight w:val="0"/>
      <w:marTop w:val="0"/>
      <w:marBottom w:val="0"/>
      <w:divBdr>
        <w:top w:val="none" w:sz="0" w:space="0" w:color="auto"/>
        <w:left w:val="none" w:sz="0" w:space="0" w:color="auto"/>
        <w:bottom w:val="none" w:sz="0" w:space="0" w:color="auto"/>
        <w:right w:val="none" w:sz="0" w:space="0" w:color="auto"/>
      </w:divBdr>
    </w:div>
    <w:div w:id="1504903560">
      <w:bodyDiv w:val="1"/>
      <w:marLeft w:val="0"/>
      <w:marRight w:val="0"/>
      <w:marTop w:val="0"/>
      <w:marBottom w:val="0"/>
      <w:divBdr>
        <w:top w:val="none" w:sz="0" w:space="0" w:color="auto"/>
        <w:left w:val="none" w:sz="0" w:space="0" w:color="auto"/>
        <w:bottom w:val="none" w:sz="0" w:space="0" w:color="auto"/>
        <w:right w:val="none" w:sz="0" w:space="0" w:color="auto"/>
      </w:divBdr>
    </w:div>
    <w:div w:id="1568108074">
      <w:bodyDiv w:val="1"/>
      <w:marLeft w:val="0"/>
      <w:marRight w:val="0"/>
      <w:marTop w:val="0"/>
      <w:marBottom w:val="0"/>
      <w:divBdr>
        <w:top w:val="none" w:sz="0" w:space="0" w:color="auto"/>
        <w:left w:val="none" w:sz="0" w:space="0" w:color="auto"/>
        <w:bottom w:val="none" w:sz="0" w:space="0" w:color="auto"/>
        <w:right w:val="none" w:sz="0" w:space="0" w:color="auto"/>
      </w:divBdr>
    </w:div>
    <w:div w:id="1573393836">
      <w:bodyDiv w:val="1"/>
      <w:marLeft w:val="0"/>
      <w:marRight w:val="0"/>
      <w:marTop w:val="0"/>
      <w:marBottom w:val="0"/>
      <w:divBdr>
        <w:top w:val="none" w:sz="0" w:space="0" w:color="auto"/>
        <w:left w:val="none" w:sz="0" w:space="0" w:color="auto"/>
        <w:bottom w:val="none" w:sz="0" w:space="0" w:color="auto"/>
        <w:right w:val="none" w:sz="0" w:space="0" w:color="auto"/>
      </w:divBdr>
    </w:div>
    <w:div w:id="1576281061">
      <w:bodyDiv w:val="1"/>
      <w:marLeft w:val="0"/>
      <w:marRight w:val="0"/>
      <w:marTop w:val="0"/>
      <w:marBottom w:val="0"/>
      <w:divBdr>
        <w:top w:val="none" w:sz="0" w:space="0" w:color="auto"/>
        <w:left w:val="none" w:sz="0" w:space="0" w:color="auto"/>
        <w:bottom w:val="none" w:sz="0" w:space="0" w:color="auto"/>
        <w:right w:val="none" w:sz="0" w:space="0" w:color="auto"/>
      </w:divBdr>
    </w:div>
    <w:div w:id="1634748779">
      <w:bodyDiv w:val="1"/>
      <w:marLeft w:val="0"/>
      <w:marRight w:val="0"/>
      <w:marTop w:val="0"/>
      <w:marBottom w:val="0"/>
      <w:divBdr>
        <w:top w:val="none" w:sz="0" w:space="0" w:color="auto"/>
        <w:left w:val="none" w:sz="0" w:space="0" w:color="auto"/>
        <w:bottom w:val="none" w:sz="0" w:space="0" w:color="auto"/>
        <w:right w:val="none" w:sz="0" w:space="0" w:color="auto"/>
      </w:divBdr>
    </w:div>
    <w:div w:id="1693723444">
      <w:bodyDiv w:val="1"/>
      <w:marLeft w:val="0"/>
      <w:marRight w:val="0"/>
      <w:marTop w:val="0"/>
      <w:marBottom w:val="0"/>
      <w:divBdr>
        <w:top w:val="none" w:sz="0" w:space="0" w:color="auto"/>
        <w:left w:val="none" w:sz="0" w:space="0" w:color="auto"/>
        <w:bottom w:val="none" w:sz="0" w:space="0" w:color="auto"/>
        <w:right w:val="none" w:sz="0" w:space="0" w:color="auto"/>
      </w:divBdr>
    </w:div>
    <w:div w:id="1705977577">
      <w:bodyDiv w:val="1"/>
      <w:marLeft w:val="0"/>
      <w:marRight w:val="0"/>
      <w:marTop w:val="0"/>
      <w:marBottom w:val="0"/>
      <w:divBdr>
        <w:top w:val="none" w:sz="0" w:space="0" w:color="auto"/>
        <w:left w:val="none" w:sz="0" w:space="0" w:color="auto"/>
        <w:bottom w:val="none" w:sz="0" w:space="0" w:color="auto"/>
        <w:right w:val="none" w:sz="0" w:space="0" w:color="auto"/>
      </w:divBdr>
    </w:div>
    <w:div w:id="1715806084">
      <w:bodyDiv w:val="1"/>
      <w:marLeft w:val="0"/>
      <w:marRight w:val="0"/>
      <w:marTop w:val="0"/>
      <w:marBottom w:val="0"/>
      <w:divBdr>
        <w:top w:val="none" w:sz="0" w:space="0" w:color="auto"/>
        <w:left w:val="none" w:sz="0" w:space="0" w:color="auto"/>
        <w:bottom w:val="none" w:sz="0" w:space="0" w:color="auto"/>
        <w:right w:val="none" w:sz="0" w:space="0" w:color="auto"/>
      </w:divBdr>
    </w:div>
    <w:div w:id="1715806924">
      <w:bodyDiv w:val="1"/>
      <w:marLeft w:val="0"/>
      <w:marRight w:val="0"/>
      <w:marTop w:val="0"/>
      <w:marBottom w:val="0"/>
      <w:divBdr>
        <w:top w:val="none" w:sz="0" w:space="0" w:color="auto"/>
        <w:left w:val="none" w:sz="0" w:space="0" w:color="auto"/>
        <w:bottom w:val="none" w:sz="0" w:space="0" w:color="auto"/>
        <w:right w:val="none" w:sz="0" w:space="0" w:color="auto"/>
      </w:divBdr>
    </w:div>
    <w:div w:id="1729760532">
      <w:bodyDiv w:val="1"/>
      <w:marLeft w:val="0"/>
      <w:marRight w:val="0"/>
      <w:marTop w:val="0"/>
      <w:marBottom w:val="0"/>
      <w:divBdr>
        <w:top w:val="none" w:sz="0" w:space="0" w:color="auto"/>
        <w:left w:val="none" w:sz="0" w:space="0" w:color="auto"/>
        <w:bottom w:val="none" w:sz="0" w:space="0" w:color="auto"/>
        <w:right w:val="none" w:sz="0" w:space="0" w:color="auto"/>
      </w:divBdr>
    </w:div>
    <w:div w:id="1739548913">
      <w:bodyDiv w:val="1"/>
      <w:marLeft w:val="0"/>
      <w:marRight w:val="0"/>
      <w:marTop w:val="0"/>
      <w:marBottom w:val="0"/>
      <w:divBdr>
        <w:top w:val="none" w:sz="0" w:space="0" w:color="auto"/>
        <w:left w:val="none" w:sz="0" w:space="0" w:color="auto"/>
        <w:bottom w:val="none" w:sz="0" w:space="0" w:color="auto"/>
        <w:right w:val="none" w:sz="0" w:space="0" w:color="auto"/>
      </w:divBdr>
    </w:div>
    <w:div w:id="1748576557">
      <w:bodyDiv w:val="1"/>
      <w:marLeft w:val="0"/>
      <w:marRight w:val="0"/>
      <w:marTop w:val="0"/>
      <w:marBottom w:val="0"/>
      <w:divBdr>
        <w:top w:val="none" w:sz="0" w:space="0" w:color="auto"/>
        <w:left w:val="none" w:sz="0" w:space="0" w:color="auto"/>
        <w:bottom w:val="none" w:sz="0" w:space="0" w:color="auto"/>
        <w:right w:val="none" w:sz="0" w:space="0" w:color="auto"/>
      </w:divBdr>
    </w:div>
    <w:div w:id="1749423736">
      <w:bodyDiv w:val="1"/>
      <w:marLeft w:val="0"/>
      <w:marRight w:val="0"/>
      <w:marTop w:val="0"/>
      <w:marBottom w:val="0"/>
      <w:divBdr>
        <w:top w:val="none" w:sz="0" w:space="0" w:color="auto"/>
        <w:left w:val="none" w:sz="0" w:space="0" w:color="auto"/>
        <w:bottom w:val="none" w:sz="0" w:space="0" w:color="auto"/>
        <w:right w:val="none" w:sz="0" w:space="0" w:color="auto"/>
      </w:divBdr>
    </w:div>
    <w:div w:id="1763067803">
      <w:bodyDiv w:val="1"/>
      <w:marLeft w:val="0"/>
      <w:marRight w:val="0"/>
      <w:marTop w:val="0"/>
      <w:marBottom w:val="0"/>
      <w:divBdr>
        <w:top w:val="none" w:sz="0" w:space="0" w:color="auto"/>
        <w:left w:val="none" w:sz="0" w:space="0" w:color="auto"/>
        <w:bottom w:val="none" w:sz="0" w:space="0" w:color="auto"/>
        <w:right w:val="none" w:sz="0" w:space="0" w:color="auto"/>
      </w:divBdr>
    </w:div>
    <w:div w:id="1809283274">
      <w:bodyDiv w:val="1"/>
      <w:marLeft w:val="0"/>
      <w:marRight w:val="0"/>
      <w:marTop w:val="0"/>
      <w:marBottom w:val="0"/>
      <w:divBdr>
        <w:top w:val="none" w:sz="0" w:space="0" w:color="auto"/>
        <w:left w:val="none" w:sz="0" w:space="0" w:color="auto"/>
        <w:bottom w:val="none" w:sz="0" w:space="0" w:color="auto"/>
        <w:right w:val="none" w:sz="0" w:space="0" w:color="auto"/>
      </w:divBdr>
    </w:div>
    <w:div w:id="1809543528">
      <w:bodyDiv w:val="1"/>
      <w:marLeft w:val="0"/>
      <w:marRight w:val="0"/>
      <w:marTop w:val="0"/>
      <w:marBottom w:val="0"/>
      <w:divBdr>
        <w:top w:val="none" w:sz="0" w:space="0" w:color="auto"/>
        <w:left w:val="none" w:sz="0" w:space="0" w:color="auto"/>
        <w:bottom w:val="none" w:sz="0" w:space="0" w:color="auto"/>
        <w:right w:val="none" w:sz="0" w:space="0" w:color="auto"/>
      </w:divBdr>
    </w:div>
    <w:div w:id="1825268641">
      <w:bodyDiv w:val="1"/>
      <w:marLeft w:val="0"/>
      <w:marRight w:val="0"/>
      <w:marTop w:val="0"/>
      <w:marBottom w:val="0"/>
      <w:divBdr>
        <w:top w:val="none" w:sz="0" w:space="0" w:color="auto"/>
        <w:left w:val="none" w:sz="0" w:space="0" w:color="auto"/>
        <w:bottom w:val="none" w:sz="0" w:space="0" w:color="auto"/>
        <w:right w:val="none" w:sz="0" w:space="0" w:color="auto"/>
      </w:divBdr>
    </w:div>
    <w:div w:id="1841463065">
      <w:bodyDiv w:val="1"/>
      <w:marLeft w:val="0"/>
      <w:marRight w:val="0"/>
      <w:marTop w:val="0"/>
      <w:marBottom w:val="0"/>
      <w:divBdr>
        <w:top w:val="none" w:sz="0" w:space="0" w:color="auto"/>
        <w:left w:val="none" w:sz="0" w:space="0" w:color="auto"/>
        <w:bottom w:val="none" w:sz="0" w:space="0" w:color="auto"/>
        <w:right w:val="none" w:sz="0" w:space="0" w:color="auto"/>
      </w:divBdr>
    </w:div>
    <w:div w:id="1842814779">
      <w:bodyDiv w:val="1"/>
      <w:marLeft w:val="0"/>
      <w:marRight w:val="0"/>
      <w:marTop w:val="0"/>
      <w:marBottom w:val="0"/>
      <w:divBdr>
        <w:top w:val="none" w:sz="0" w:space="0" w:color="auto"/>
        <w:left w:val="none" w:sz="0" w:space="0" w:color="auto"/>
        <w:bottom w:val="none" w:sz="0" w:space="0" w:color="auto"/>
        <w:right w:val="none" w:sz="0" w:space="0" w:color="auto"/>
      </w:divBdr>
    </w:div>
    <w:div w:id="1869296200">
      <w:bodyDiv w:val="1"/>
      <w:marLeft w:val="0"/>
      <w:marRight w:val="0"/>
      <w:marTop w:val="0"/>
      <w:marBottom w:val="0"/>
      <w:divBdr>
        <w:top w:val="none" w:sz="0" w:space="0" w:color="auto"/>
        <w:left w:val="none" w:sz="0" w:space="0" w:color="auto"/>
        <w:bottom w:val="none" w:sz="0" w:space="0" w:color="auto"/>
        <w:right w:val="none" w:sz="0" w:space="0" w:color="auto"/>
      </w:divBdr>
    </w:div>
    <w:div w:id="1888101838">
      <w:bodyDiv w:val="1"/>
      <w:marLeft w:val="0"/>
      <w:marRight w:val="0"/>
      <w:marTop w:val="0"/>
      <w:marBottom w:val="0"/>
      <w:divBdr>
        <w:top w:val="none" w:sz="0" w:space="0" w:color="auto"/>
        <w:left w:val="none" w:sz="0" w:space="0" w:color="auto"/>
        <w:bottom w:val="none" w:sz="0" w:space="0" w:color="auto"/>
        <w:right w:val="none" w:sz="0" w:space="0" w:color="auto"/>
      </w:divBdr>
    </w:div>
    <w:div w:id="1898979390">
      <w:bodyDiv w:val="1"/>
      <w:marLeft w:val="0"/>
      <w:marRight w:val="0"/>
      <w:marTop w:val="0"/>
      <w:marBottom w:val="0"/>
      <w:divBdr>
        <w:top w:val="none" w:sz="0" w:space="0" w:color="auto"/>
        <w:left w:val="none" w:sz="0" w:space="0" w:color="auto"/>
        <w:bottom w:val="none" w:sz="0" w:space="0" w:color="auto"/>
        <w:right w:val="none" w:sz="0" w:space="0" w:color="auto"/>
      </w:divBdr>
    </w:div>
    <w:div w:id="1905942955">
      <w:bodyDiv w:val="1"/>
      <w:marLeft w:val="0"/>
      <w:marRight w:val="0"/>
      <w:marTop w:val="0"/>
      <w:marBottom w:val="0"/>
      <w:divBdr>
        <w:top w:val="none" w:sz="0" w:space="0" w:color="auto"/>
        <w:left w:val="none" w:sz="0" w:space="0" w:color="auto"/>
        <w:bottom w:val="none" w:sz="0" w:space="0" w:color="auto"/>
        <w:right w:val="none" w:sz="0" w:space="0" w:color="auto"/>
      </w:divBdr>
    </w:div>
    <w:div w:id="1941180653">
      <w:bodyDiv w:val="1"/>
      <w:marLeft w:val="0"/>
      <w:marRight w:val="0"/>
      <w:marTop w:val="0"/>
      <w:marBottom w:val="0"/>
      <w:divBdr>
        <w:top w:val="none" w:sz="0" w:space="0" w:color="auto"/>
        <w:left w:val="none" w:sz="0" w:space="0" w:color="auto"/>
        <w:bottom w:val="none" w:sz="0" w:space="0" w:color="auto"/>
        <w:right w:val="none" w:sz="0" w:space="0" w:color="auto"/>
      </w:divBdr>
    </w:div>
    <w:div w:id="1949771960">
      <w:bodyDiv w:val="1"/>
      <w:marLeft w:val="0"/>
      <w:marRight w:val="0"/>
      <w:marTop w:val="0"/>
      <w:marBottom w:val="0"/>
      <w:divBdr>
        <w:top w:val="none" w:sz="0" w:space="0" w:color="auto"/>
        <w:left w:val="none" w:sz="0" w:space="0" w:color="auto"/>
        <w:bottom w:val="none" w:sz="0" w:space="0" w:color="auto"/>
        <w:right w:val="none" w:sz="0" w:space="0" w:color="auto"/>
      </w:divBdr>
    </w:div>
    <w:div w:id="1957246601">
      <w:bodyDiv w:val="1"/>
      <w:marLeft w:val="0"/>
      <w:marRight w:val="0"/>
      <w:marTop w:val="0"/>
      <w:marBottom w:val="0"/>
      <w:divBdr>
        <w:top w:val="none" w:sz="0" w:space="0" w:color="auto"/>
        <w:left w:val="none" w:sz="0" w:space="0" w:color="auto"/>
        <w:bottom w:val="none" w:sz="0" w:space="0" w:color="auto"/>
        <w:right w:val="none" w:sz="0" w:space="0" w:color="auto"/>
      </w:divBdr>
    </w:div>
    <w:div w:id="2011369582">
      <w:bodyDiv w:val="1"/>
      <w:marLeft w:val="0"/>
      <w:marRight w:val="0"/>
      <w:marTop w:val="0"/>
      <w:marBottom w:val="0"/>
      <w:divBdr>
        <w:top w:val="none" w:sz="0" w:space="0" w:color="auto"/>
        <w:left w:val="none" w:sz="0" w:space="0" w:color="auto"/>
        <w:bottom w:val="none" w:sz="0" w:space="0" w:color="auto"/>
        <w:right w:val="none" w:sz="0" w:space="0" w:color="auto"/>
      </w:divBdr>
    </w:div>
    <w:div w:id="2025325820">
      <w:bodyDiv w:val="1"/>
      <w:marLeft w:val="0"/>
      <w:marRight w:val="0"/>
      <w:marTop w:val="0"/>
      <w:marBottom w:val="0"/>
      <w:divBdr>
        <w:top w:val="none" w:sz="0" w:space="0" w:color="auto"/>
        <w:left w:val="none" w:sz="0" w:space="0" w:color="auto"/>
        <w:bottom w:val="none" w:sz="0" w:space="0" w:color="auto"/>
        <w:right w:val="none" w:sz="0" w:space="0" w:color="auto"/>
      </w:divBdr>
    </w:div>
    <w:div w:id="2026050334">
      <w:bodyDiv w:val="1"/>
      <w:marLeft w:val="0"/>
      <w:marRight w:val="0"/>
      <w:marTop w:val="0"/>
      <w:marBottom w:val="0"/>
      <w:divBdr>
        <w:top w:val="none" w:sz="0" w:space="0" w:color="auto"/>
        <w:left w:val="none" w:sz="0" w:space="0" w:color="auto"/>
        <w:bottom w:val="none" w:sz="0" w:space="0" w:color="auto"/>
        <w:right w:val="none" w:sz="0" w:space="0" w:color="auto"/>
      </w:divBdr>
    </w:div>
    <w:div w:id="2052226500">
      <w:bodyDiv w:val="1"/>
      <w:marLeft w:val="0"/>
      <w:marRight w:val="0"/>
      <w:marTop w:val="0"/>
      <w:marBottom w:val="0"/>
      <w:divBdr>
        <w:top w:val="none" w:sz="0" w:space="0" w:color="auto"/>
        <w:left w:val="none" w:sz="0" w:space="0" w:color="auto"/>
        <w:bottom w:val="none" w:sz="0" w:space="0" w:color="auto"/>
        <w:right w:val="none" w:sz="0" w:space="0" w:color="auto"/>
      </w:divBdr>
    </w:div>
    <w:div w:id="2109423047">
      <w:bodyDiv w:val="1"/>
      <w:marLeft w:val="0"/>
      <w:marRight w:val="0"/>
      <w:marTop w:val="0"/>
      <w:marBottom w:val="0"/>
      <w:divBdr>
        <w:top w:val="none" w:sz="0" w:space="0" w:color="auto"/>
        <w:left w:val="none" w:sz="0" w:space="0" w:color="auto"/>
        <w:bottom w:val="none" w:sz="0" w:space="0" w:color="auto"/>
        <w:right w:val="none" w:sz="0" w:space="0" w:color="auto"/>
      </w:divBdr>
    </w:div>
    <w:div w:id="2139645172">
      <w:bodyDiv w:val="1"/>
      <w:marLeft w:val="0"/>
      <w:marRight w:val="0"/>
      <w:marTop w:val="0"/>
      <w:marBottom w:val="0"/>
      <w:divBdr>
        <w:top w:val="none" w:sz="0" w:space="0" w:color="auto"/>
        <w:left w:val="none" w:sz="0" w:space="0" w:color="auto"/>
        <w:bottom w:val="none" w:sz="0" w:space="0" w:color="auto"/>
        <w:right w:val="none" w:sz="0" w:space="0" w:color="auto"/>
      </w:divBdr>
    </w:div>
    <w:div w:id="2142530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10.jpeg"/><Relationship Id="rId26" Type="http://schemas.openxmlformats.org/officeDocument/2006/relationships/footer" Target="footer2.xml"/><Relationship Id="rId39" Type="http://schemas.openxmlformats.org/officeDocument/2006/relationships/image" Target="media/image21.png"/><Relationship Id="rId21" Type="http://schemas.openxmlformats.org/officeDocument/2006/relationships/image" Target="media/image13.jpeg"/><Relationship Id="rId34" Type="http://schemas.openxmlformats.org/officeDocument/2006/relationships/header" Target="header7.xml"/><Relationship Id="rId42" Type="http://schemas.openxmlformats.org/officeDocument/2006/relationships/header" Target="header8.xml"/><Relationship Id="rId47" Type="http://schemas.openxmlformats.org/officeDocument/2006/relationships/footer" Target="footer11.xml"/><Relationship Id="rId50" Type="http://schemas.openxmlformats.org/officeDocument/2006/relationships/chart" Target="charts/chart1.xml"/><Relationship Id="rId55" Type="http://schemas.openxmlformats.org/officeDocument/2006/relationships/footer" Target="footer14.xml"/><Relationship Id="rId63" Type="http://schemas.openxmlformats.org/officeDocument/2006/relationships/footer" Target="footer22.xml"/><Relationship Id="rId68" Type="http://schemas.openxmlformats.org/officeDocument/2006/relationships/chart" Target="charts/chart5.xml"/><Relationship Id="rId76" Type="http://schemas.openxmlformats.org/officeDocument/2006/relationships/header" Target="header9.xml"/><Relationship Id="rId7" Type="http://schemas.openxmlformats.org/officeDocument/2006/relationships/footnotes" Target="footnotes.xml"/><Relationship Id="rId71" Type="http://schemas.openxmlformats.org/officeDocument/2006/relationships/footer" Target="footer28.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eader" Target="header4.xml"/><Relationship Id="rId11" Type="http://schemas.openxmlformats.org/officeDocument/2006/relationships/image" Target="media/image2.jpeg"/><Relationship Id="rId24" Type="http://schemas.openxmlformats.org/officeDocument/2006/relationships/header" Target="header2.xml"/><Relationship Id="rId32" Type="http://schemas.openxmlformats.org/officeDocument/2006/relationships/footer" Target="footer5.xml"/><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footer" Target="footer9.xml"/><Relationship Id="rId53" Type="http://schemas.openxmlformats.org/officeDocument/2006/relationships/chart" Target="charts/chart2.xml"/><Relationship Id="rId58" Type="http://schemas.openxmlformats.org/officeDocument/2006/relationships/footer" Target="footer17.xml"/><Relationship Id="rId66" Type="http://schemas.openxmlformats.org/officeDocument/2006/relationships/footer" Target="footer25.xml"/><Relationship Id="rId74" Type="http://schemas.openxmlformats.org/officeDocument/2006/relationships/image" Target="media/image26.png"/><Relationship Id="rId79" Type="http://schemas.openxmlformats.org/officeDocument/2006/relationships/footer" Target="footer31.xml"/><Relationship Id="rId5" Type="http://schemas.openxmlformats.org/officeDocument/2006/relationships/settings" Target="settings.xml"/><Relationship Id="rId61" Type="http://schemas.openxmlformats.org/officeDocument/2006/relationships/footer" Target="footer20.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header" Target="header5.xml"/><Relationship Id="rId44" Type="http://schemas.openxmlformats.org/officeDocument/2006/relationships/footer" Target="footer8.xml"/><Relationship Id="rId52" Type="http://schemas.openxmlformats.org/officeDocument/2006/relationships/footer" Target="footer13.xml"/><Relationship Id="rId60" Type="http://schemas.openxmlformats.org/officeDocument/2006/relationships/footer" Target="footer19.xml"/><Relationship Id="rId65" Type="http://schemas.openxmlformats.org/officeDocument/2006/relationships/footer" Target="footer24.xml"/><Relationship Id="rId73" Type="http://schemas.openxmlformats.org/officeDocument/2006/relationships/footer" Target="footer29.xml"/><Relationship Id="rId78" Type="http://schemas.openxmlformats.org/officeDocument/2006/relationships/footer" Target="footer30.xml"/><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4.jpeg"/><Relationship Id="rId27" Type="http://schemas.openxmlformats.org/officeDocument/2006/relationships/header" Target="header3.xml"/><Relationship Id="rId30" Type="http://schemas.openxmlformats.org/officeDocument/2006/relationships/footer" Target="footer4.xml"/><Relationship Id="rId35" Type="http://schemas.openxmlformats.org/officeDocument/2006/relationships/footer" Target="footer6.xml"/><Relationship Id="rId43" Type="http://schemas.openxmlformats.org/officeDocument/2006/relationships/footer" Target="footer7.xml"/><Relationship Id="rId48" Type="http://schemas.openxmlformats.org/officeDocument/2006/relationships/image" Target="media/image24.png"/><Relationship Id="rId56" Type="http://schemas.openxmlformats.org/officeDocument/2006/relationships/footer" Target="footer15.xml"/><Relationship Id="rId64" Type="http://schemas.openxmlformats.org/officeDocument/2006/relationships/footer" Target="footer23.xml"/><Relationship Id="rId69" Type="http://schemas.openxmlformats.org/officeDocument/2006/relationships/footer" Target="footer26.xml"/><Relationship Id="rId77" Type="http://schemas.openxmlformats.org/officeDocument/2006/relationships/image" Target="media/image28.emf"/><Relationship Id="rId8" Type="http://schemas.openxmlformats.org/officeDocument/2006/relationships/endnotes" Target="endnotes.xml"/><Relationship Id="rId51" Type="http://schemas.openxmlformats.org/officeDocument/2006/relationships/footer" Target="footer12.xml"/><Relationship Id="rId72" Type="http://schemas.openxmlformats.org/officeDocument/2006/relationships/chart" Target="charts/chart6.xm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9.jpeg"/><Relationship Id="rId25" Type="http://schemas.openxmlformats.org/officeDocument/2006/relationships/footer" Target="footer1.xml"/><Relationship Id="rId33" Type="http://schemas.openxmlformats.org/officeDocument/2006/relationships/header" Target="header6.xml"/><Relationship Id="rId38" Type="http://schemas.openxmlformats.org/officeDocument/2006/relationships/image" Target="media/image20.png"/><Relationship Id="rId46" Type="http://schemas.openxmlformats.org/officeDocument/2006/relationships/footer" Target="footer10.xml"/><Relationship Id="rId59" Type="http://schemas.openxmlformats.org/officeDocument/2006/relationships/footer" Target="footer18.xml"/><Relationship Id="rId67" Type="http://schemas.openxmlformats.org/officeDocument/2006/relationships/chart" Target="charts/chart4.xml"/><Relationship Id="rId20" Type="http://schemas.openxmlformats.org/officeDocument/2006/relationships/image" Target="media/image12.jpeg"/><Relationship Id="rId41" Type="http://schemas.openxmlformats.org/officeDocument/2006/relationships/image" Target="media/image23.emf"/><Relationship Id="rId54" Type="http://schemas.openxmlformats.org/officeDocument/2006/relationships/chart" Target="charts/chart3.xml"/><Relationship Id="rId62" Type="http://schemas.openxmlformats.org/officeDocument/2006/relationships/footer" Target="footer21.xml"/><Relationship Id="rId70" Type="http://schemas.openxmlformats.org/officeDocument/2006/relationships/footer" Target="footer27.xml"/><Relationship Id="rId75"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18.png"/><Relationship Id="rId49" Type="http://schemas.openxmlformats.org/officeDocument/2006/relationships/image" Target="media/image25.png"/><Relationship Id="rId57" Type="http://schemas.openxmlformats.org/officeDocument/2006/relationships/footer" Target="footer16.xml"/></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footer6.xml.rels><?xml version="1.0" encoding="UTF-8" standalone="yes"?>
<Relationships xmlns="http://schemas.openxmlformats.org/package/2006/relationships"><Relationship Id="rId1" Type="http://schemas.openxmlformats.org/officeDocument/2006/relationships/image" Target="media/image16.png"/></Relationships>
</file>

<file path=word/_rels/footer7.xml.rels><?xml version="1.0" encoding="UTF-8" standalone="yes"?>
<Relationships xmlns="http://schemas.openxmlformats.org/package/2006/relationships"><Relationship Id="rId1" Type="http://schemas.openxmlformats.org/officeDocument/2006/relationships/image" Target="media/image16.png"/></Relationships>
</file>

<file path=word/_rels/footer8.xml.rels><?xml version="1.0" encoding="UTF-8" standalone="yes"?>
<Relationships xmlns="http://schemas.openxmlformats.org/package/2006/relationships"><Relationship Id="rId1" Type="http://schemas.openxmlformats.org/officeDocument/2006/relationships/image" Target="media/image16.png"/></Relationships>
</file>

<file path=word/_rels/footer9.xml.rels><?xml version="1.0" encoding="UTF-8" standalone="yes"?>
<Relationships xmlns="http://schemas.openxmlformats.org/package/2006/relationships"><Relationship Id="rId1" Type="http://schemas.openxmlformats.org/officeDocument/2006/relationships/image" Target="media/image16.png"/></Relationships>
</file>

<file path=word/_rels/footer10.xml.rels><?xml version="1.0" encoding="UTF-8" standalone="yes"?>
<Relationships xmlns="http://schemas.openxmlformats.org/package/2006/relationships"><Relationship Id="rId1" Type="http://schemas.openxmlformats.org/officeDocument/2006/relationships/image" Target="media/image16.png"/></Relationships>
</file>

<file path=word/_rels/footer11.xml.rels><?xml version="1.0" encoding="UTF-8" standalone="yes"?>
<Relationships xmlns="http://schemas.openxmlformats.org/package/2006/relationships"><Relationship Id="rId1" Type="http://schemas.openxmlformats.org/officeDocument/2006/relationships/image" Target="media/image16.png"/></Relationships>
</file>

<file path=word/_rels/footer12.xml.rels><?xml version="1.0" encoding="UTF-8" standalone="yes"?>
<Relationships xmlns="http://schemas.openxmlformats.org/package/2006/relationships"><Relationship Id="rId1" Type="http://schemas.openxmlformats.org/officeDocument/2006/relationships/image" Target="media/image16.png"/></Relationships>
</file>

<file path=word/_rels/footer13.xml.rels><?xml version="1.0" encoding="UTF-8" standalone="yes"?>
<Relationships xmlns="http://schemas.openxmlformats.org/package/2006/relationships"><Relationship Id="rId1" Type="http://schemas.openxmlformats.org/officeDocument/2006/relationships/image" Target="media/image16.png"/></Relationships>
</file>

<file path=word/_rels/footer14.xml.rels><?xml version="1.0" encoding="UTF-8" standalone="yes"?>
<Relationships xmlns="http://schemas.openxmlformats.org/package/2006/relationships"><Relationship Id="rId1" Type="http://schemas.openxmlformats.org/officeDocument/2006/relationships/image" Target="media/image16.png"/></Relationships>
</file>

<file path=word/_rels/footer15.xml.rels><?xml version="1.0" encoding="UTF-8" standalone="yes"?>
<Relationships xmlns="http://schemas.openxmlformats.org/package/2006/relationships"><Relationship Id="rId1" Type="http://schemas.openxmlformats.org/officeDocument/2006/relationships/image" Target="media/image16.png"/></Relationships>
</file>

<file path=word/_rels/footer16.xml.rels><?xml version="1.0" encoding="UTF-8" standalone="yes"?>
<Relationships xmlns="http://schemas.openxmlformats.org/package/2006/relationships"><Relationship Id="rId1" Type="http://schemas.openxmlformats.org/officeDocument/2006/relationships/image" Target="media/image16.png"/></Relationships>
</file>

<file path=word/_rels/footer17.xml.rels><?xml version="1.0" encoding="UTF-8" standalone="yes"?>
<Relationships xmlns="http://schemas.openxmlformats.org/package/2006/relationships"><Relationship Id="rId1" Type="http://schemas.openxmlformats.org/officeDocument/2006/relationships/image" Target="media/image16.png"/></Relationships>
</file>

<file path=word/_rels/footer18.xml.rels><?xml version="1.0" encoding="UTF-8" standalone="yes"?>
<Relationships xmlns="http://schemas.openxmlformats.org/package/2006/relationships"><Relationship Id="rId1" Type="http://schemas.openxmlformats.org/officeDocument/2006/relationships/image" Target="media/image16.png"/></Relationships>
</file>

<file path=word/_rels/footer19.xml.rels><?xml version="1.0" encoding="UTF-8" standalone="yes"?>
<Relationships xmlns="http://schemas.openxmlformats.org/package/2006/relationships"><Relationship Id="rId1" Type="http://schemas.openxmlformats.org/officeDocument/2006/relationships/image" Target="media/image16.png"/></Relationships>
</file>

<file path=word/_rels/footer20.xml.rels><?xml version="1.0" encoding="UTF-8" standalone="yes"?>
<Relationships xmlns="http://schemas.openxmlformats.org/package/2006/relationships"><Relationship Id="rId1" Type="http://schemas.openxmlformats.org/officeDocument/2006/relationships/image" Target="media/image16.png"/></Relationships>
</file>

<file path=word/_rels/footer21.xml.rels><?xml version="1.0" encoding="UTF-8" standalone="yes"?>
<Relationships xmlns="http://schemas.openxmlformats.org/package/2006/relationships"><Relationship Id="rId1" Type="http://schemas.openxmlformats.org/officeDocument/2006/relationships/image" Target="media/image16.png"/></Relationships>
</file>

<file path=word/_rels/footer22.xml.rels><?xml version="1.0" encoding="UTF-8" standalone="yes"?>
<Relationships xmlns="http://schemas.openxmlformats.org/package/2006/relationships"><Relationship Id="rId1" Type="http://schemas.openxmlformats.org/officeDocument/2006/relationships/image" Target="media/image16.png"/></Relationships>
</file>

<file path=word/_rels/footer23.xml.rels><?xml version="1.0" encoding="UTF-8" standalone="yes"?>
<Relationships xmlns="http://schemas.openxmlformats.org/package/2006/relationships"><Relationship Id="rId1" Type="http://schemas.openxmlformats.org/officeDocument/2006/relationships/image" Target="media/image16.png"/></Relationships>
</file>

<file path=word/_rels/footer24.xml.rels><?xml version="1.0" encoding="UTF-8" standalone="yes"?>
<Relationships xmlns="http://schemas.openxmlformats.org/package/2006/relationships"><Relationship Id="rId1" Type="http://schemas.openxmlformats.org/officeDocument/2006/relationships/image" Target="media/image16.png"/></Relationships>
</file>

<file path=word/_rels/footer25.xml.rels><?xml version="1.0" encoding="UTF-8" standalone="yes"?>
<Relationships xmlns="http://schemas.openxmlformats.org/package/2006/relationships"><Relationship Id="rId1" Type="http://schemas.openxmlformats.org/officeDocument/2006/relationships/image" Target="media/image16.png"/></Relationships>
</file>

<file path=word/_rels/footer26.xml.rels><?xml version="1.0" encoding="UTF-8" standalone="yes"?>
<Relationships xmlns="http://schemas.openxmlformats.org/package/2006/relationships"><Relationship Id="rId1" Type="http://schemas.openxmlformats.org/officeDocument/2006/relationships/image" Target="media/image16.png"/></Relationships>
</file>

<file path=word/_rels/footer27.xml.rels><?xml version="1.0" encoding="UTF-8" standalone="yes"?>
<Relationships xmlns="http://schemas.openxmlformats.org/package/2006/relationships"><Relationship Id="rId1" Type="http://schemas.openxmlformats.org/officeDocument/2006/relationships/image" Target="media/image16.png"/></Relationships>
</file>

<file path=word/_rels/footer28.xml.rels><?xml version="1.0" encoding="UTF-8" standalone="yes"?>
<Relationships xmlns="http://schemas.openxmlformats.org/package/2006/relationships"><Relationship Id="rId1" Type="http://schemas.openxmlformats.org/officeDocument/2006/relationships/image" Target="media/image16.png"/></Relationships>
</file>

<file path=word/_rels/footer29.xml.rels><?xml version="1.0" encoding="UTF-8" standalone="yes"?>
<Relationships xmlns="http://schemas.openxmlformats.org/package/2006/relationships"><Relationship Id="rId1" Type="http://schemas.openxmlformats.org/officeDocument/2006/relationships/image" Target="media/image16.png"/></Relationships>
</file>

<file path=word/_rels/footer30.xml.rels><?xml version="1.0" encoding="UTF-8" standalone="yes"?>
<Relationships xmlns="http://schemas.openxmlformats.org/package/2006/relationships"><Relationship Id="rId1" Type="http://schemas.openxmlformats.org/officeDocument/2006/relationships/image" Target="media/image16.png"/></Relationships>
</file>

<file path=word/_rels/footer31.xml.rels><?xml version="1.0" encoding="UTF-8" standalone="yes"?>
<Relationships xmlns="http://schemas.openxmlformats.org/package/2006/relationships"><Relationship Id="rId1" Type="http://schemas.openxmlformats.org/officeDocument/2006/relationships/image" Target="media/image16.png"/></Relationships>
</file>

<file path=word/_rels/footnotes.xml.rels><?xml version="1.0" encoding="UTF-8" standalone="yes"?>
<Relationships xmlns="http://schemas.openxmlformats.org/package/2006/relationships"><Relationship Id="rId1" Type="http://schemas.openxmlformats.org/officeDocument/2006/relationships/hyperlink" Target="http://www.doe2.com/eques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17.png"/></Relationships>
</file>

<file path=word/charts/_rels/chart1.xml.rels><?xml version="1.0" encoding="UTF-8" standalone="yes"?>
<Relationships xmlns="http://schemas.openxmlformats.org/package/2006/relationships"><Relationship Id="rId1" Type="http://schemas.openxmlformats.org/officeDocument/2006/relationships/oleObject" Target="file:///\\Fscenergy3\e\Projects\102758%20PG&amp;E%20Statewide%20PLS%202017\Output\Figures%20for%20Report.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Fscenergy3\e\Projects\102758%20PG&amp;E%20Statewide%20PLS%202017\Output\Figures%20for%20Report.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Fscenergy3\e\Projects\102758%20PG&amp;E%20Statewide%20PLS%202017\Output\Figures%20for%20Report.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Fscenergy3\e\Projects\102758%20PG&amp;E%20Statewide%20PLS%202017\Output\Figures%20for%20Report.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Fscenergy3\e\Projects\102758%20PG&amp;E%20Statewide%20PLS%202017\Output\Figures%20for%20Report.xlsx" TargetMode="External"/></Relationships>
</file>

<file path=word/charts/_rels/chart6.xml.rels><?xml version="1.0" encoding="UTF-8" standalone="yes"?>
<Relationships xmlns="http://schemas.openxmlformats.org/package/2006/relationships"><Relationship Id="rId2" Type="http://schemas.openxmlformats.org/officeDocument/2006/relationships/oleObject" Target="file:///\\Fscenergy3\e\Projects\102758%20PG&amp;E%20Statewide%20PLS%202017\Output\Figures%20for%20Report.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areaChart>
        <c:grouping val="stacked"/>
        <c:varyColors val="0"/>
        <c:ser>
          <c:idx val="0"/>
          <c:order val="0"/>
          <c:tx>
            <c:strRef>
              <c:f>'Assumptions+enroll grph'!$L$2</c:f>
              <c:strCache>
                <c:ptCount val="1"/>
                <c:pt idx="0">
                  <c:v>PG&amp;E Identified Projects</c:v>
                </c:pt>
              </c:strCache>
            </c:strRef>
          </c:tx>
          <c:spPr>
            <a:solidFill>
              <a:srgbClr val="FFC000"/>
            </a:solidFill>
          </c:spPr>
          <c:cat>
            <c:numRef>
              <c:f>'Assumptions+enroll grph'!$K$3:$K$13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'Assumptions+enroll grph'!$L$3:$L$13</c:f>
              <c:numCache>
                <c:formatCode>0.0</c:formatCode>
                <c:ptCount val="11"/>
                <c:pt idx="0">
                  <c:v>4</c:v>
                </c:pt>
                <c:pt idx="1">
                  <c:v>6</c:v>
                </c:pt>
                <c:pt idx="2">
                  <c:v>6</c:v>
                </c:pt>
                <c:pt idx="3">
                  <c:v>6</c:v>
                </c:pt>
                <c:pt idx="4">
                  <c:v>6</c:v>
                </c:pt>
                <c:pt idx="5">
                  <c:v>6</c:v>
                </c:pt>
                <c:pt idx="6">
                  <c:v>6</c:v>
                </c:pt>
                <c:pt idx="7">
                  <c:v>6</c:v>
                </c:pt>
                <c:pt idx="8">
                  <c:v>6</c:v>
                </c:pt>
                <c:pt idx="9">
                  <c:v>6</c:v>
                </c:pt>
                <c:pt idx="10">
                  <c:v>6</c:v>
                </c:pt>
              </c:numCache>
            </c:numRef>
          </c:val>
        </c:ser>
        <c:ser>
          <c:idx val="2"/>
          <c:order val="1"/>
          <c:tx>
            <c:strRef>
              <c:f>'Assumptions+enroll grph'!$M$2</c:f>
              <c:strCache>
                <c:ptCount val="1"/>
                <c:pt idx="0">
                  <c:v>SCE Identified Projects</c:v>
                </c:pt>
              </c:strCache>
            </c:strRef>
          </c:tx>
          <c:spPr>
            <a:solidFill>
              <a:srgbClr val="7BC224"/>
            </a:solidFill>
          </c:spPr>
          <c:cat>
            <c:numRef>
              <c:f>'Assumptions+enroll grph'!$K$3:$K$13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'Assumptions+enroll grph'!$M$3:$M$13</c:f>
              <c:numCache>
                <c:formatCode>0.0</c:formatCode>
                <c:ptCount val="11"/>
                <c:pt idx="0">
                  <c:v>6</c:v>
                </c:pt>
                <c:pt idx="1">
                  <c:v>7</c:v>
                </c:pt>
                <c:pt idx="2">
                  <c:v>9</c:v>
                </c:pt>
                <c:pt idx="3">
                  <c:v>9</c:v>
                </c:pt>
                <c:pt idx="4">
                  <c:v>9</c:v>
                </c:pt>
                <c:pt idx="5">
                  <c:v>9</c:v>
                </c:pt>
                <c:pt idx="6">
                  <c:v>9</c:v>
                </c:pt>
                <c:pt idx="7">
                  <c:v>9</c:v>
                </c:pt>
                <c:pt idx="8">
                  <c:v>9</c:v>
                </c:pt>
                <c:pt idx="9">
                  <c:v>9</c:v>
                </c:pt>
                <c:pt idx="10">
                  <c:v>9</c:v>
                </c:pt>
              </c:numCache>
            </c:numRef>
          </c:val>
        </c:ser>
        <c:ser>
          <c:idx val="4"/>
          <c:order val="2"/>
          <c:tx>
            <c:strRef>
              <c:f>'Assumptions+enroll grph'!$N$2</c:f>
              <c:strCache>
                <c:ptCount val="1"/>
                <c:pt idx="0">
                  <c:v>SDG&amp;E Identified Projects</c:v>
                </c:pt>
              </c:strCache>
            </c:strRef>
          </c:tx>
          <c:spPr>
            <a:solidFill>
              <a:srgbClr val="007ACD"/>
            </a:solidFill>
          </c:spPr>
          <c:cat>
            <c:numRef>
              <c:f>'Assumptions+enroll grph'!$K$3:$K$13</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'Assumptions+enroll grph'!$N$3:$N$13</c:f>
              <c:numCache>
                <c:formatCode>0.0</c:formatCode>
                <c:ptCount val="11"/>
                <c:pt idx="0">
                  <c:v>5</c:v>
                </c:pt>
                <c:pt idx="1">
                  <c:v>5</c:v>
                </c:pt>
                <c:pt idx="2">
                  <c:v>5</c:v>
                </c:pt>
                <c:pt idx="3">
                  <c:v>5</c:v>
                </c:pt>
                <c:pt idx="4">
                  <c:v>5</c:v>
                </c:pt>
                <c:pt idx="5">
                  <c:v>5</c:v>
                </c:pt>
                <c:pt idx="6">
                  <c:v>5</c:v>
                </c:pt>
                <c:pt idx="7">
                  <c:v>5</c:v>
                </c:pt>
                <c:pt idx="8">
                  <c:v>5</c:v>
                </c:pt>
                <c:pt idx="9">
                  <c:v>5</c:v>
                </c:pt>
                <c:pt idx="10">
                  <c:v>5</c:v>
                </c:pt>
              </c:numCache>
            </c:numRef>
          </c:val>
        </c:ser>
        <c:dLbls>
          <c:showLegendKey val="0"/>
          <c:showVal val="0"/>
          <c:showCatName val="0"/>
          <c:showSerName val="0"/>
          <c:showPercent val="0"/>
          <c:showBubbleSize val="0"/>
        </c:dLbls>
        <c:axId val="137063424"/>
        <c:axId val="142194560"/>
      </c:areaChart>
      <c:catAx>
        <c:axId val="137063424"/>
        <c:scaling>
          <c:orientation val="minMax"/>
        </c:scaling>
        <c:delete val="0"/>
        <c:axPos val="b"/>
        <c:numFmt formatCode="General" sourceLinked="1"/>
        <c:majorTickMark val="out"/>
        <c:minorTickMark val="none"/>
        <c:tickLblPos val="nextTo"/>
        <c:crossAx val="142194560"/>
        <c:crosses val="autoZero"/>
        <c:auto val="1"/>
        <c:lblAlgn val="ctr"/>
        <c:lblOffset val="100"/>
        <c:noMultiLvlLbl val="0"/>
      </c:catAx>
      <c:valAx>
        <c:axId val="142194560"/>
        <c:scaling>
          <c:orientation val="minMax"/>
        </c:scaling>
        <c:delete val="0"/>
        <c:axPos val="l"/>
        <c:majorGridlines/>
        <c:title>
          <c:tx>
            <c:rich>
              <a:bodyPr rot="-5400000" vert="horz"/>
              <a:lstStyle/>
              <a:p>
                <a:pPr>
                  <a:defRPr/>
                </a:pPr>
                <a:r>
                  <a:rPr lang="en-US"/>
                  <a:t>Number of Installations Online</a:t>
                </a:r>
              </a:p>
            </c:rich>
          </c:tx>
          <c:layout>
            <c:manualLayout>
              <c:xMode val="edge"/>
              <c:yMode val="edge"/>
              <c:x val="9.7312868401202776E-3"/>
              <c:y val="0.30688753001619479"/>
            </c:manualLayout>
          </c:layout>
          <c:overlay val="0"/>
        </c:title>
        <c:numFmt formatCode="0" sourceLinked="0"/>
        <c:majorTickMark val="out"/>
        <c:minorTickMark val="none"/>
        <c:tickLblPos val="nextTo"/>
        <c:crossAx val="137063424"/>
        <c:crosses val="autoZero"/>
        <c:crossBetween val="midCat"/>
      </c:valAx>
    </c:plotArea>
    <c:legend>
      <c:legendPos val="t"/>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Impact</c:v>
          </c:tx>
          <c:spPr>
            <a:ln>
              <a:solidFill>
                <a:srgbClr val="7BC224"/>
              </a:solidFill>
            </a:ln>
          </c:spPr>
          <c:marker>
            <c:symbol val="none"/>
          </c:marker>
          <c:cat>
            <c:numRef>
              <c:f>PGE!$B$2:$B$12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PGE!$C$2:$C$12</c:f>
              <c:numCache>
                <c:formatCode>General</c:formatCode>
                <c:ptCount val="11"/>
                <c:pt idx="0">
                  <c:v>0.99043031999999998</c:v>
                </c:pt>
                <c:pt idx="1">
                  <c:v>3.9805128999999999</c:v>
                </c:pt>
                <c:pt idx="2">
                  <c:v>3.9805128999999999</c:v>
                </c:pt>
                <c:pt idx="3">
                  <c:v>3.9772134000000001</c:v>
                </c:pt>
                <c:pt idx="4">
                  <c:v>3.9739963</c:v>
                </c:pt>
                <c:pt idx="5">
                  <c:v>3.9678946000000002</c:v>
                </c:pt>
                <c:pt idx="6">
                  <c:v>3.8871454999999999</c:v>
                </c:pt>
                <c:pt idx="7">
                  <c:v>3.8084150000000001</c:v>
                </c:pt>
                <c:pt idx="8">
                  <c:v>3.7316528999999998</c:v>
                </c:pt>
                <c:pt idx="9">
                  <c:v>3.6568098</c:v>
                </c:pt>
                <c:pt idx="10">
                  <c:v>3.5838377000000001</c:v>
                </c:pt>
              </c:numCache>
            </c:numRef>
          </c:val>
          <c:smooth val="0"/>
        </c:ser>
        <c:ser>
          <c:idx val="1"/>
          <c:order val="1"/>
          <c:tx>
            <c:v>CI Impact (Lower)</c:v>
          </c:tx>
          <c:spPr>
            <a:ln>
              <a:solidFill>
                <a:srgbClr val="7BC224"/>
              </a:solidFill>
              <a:prstDash val="sysDash"/>
            </a:ln>
          </c:spPr>
          <c:marker>
            <c:symbol val="none"/>
          </c:marker>
          <c:cat>
            <c:numRef>
              <c:f>PGE!$B$2:$B$12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PGE!$D$2:$D$12</c:f>
              <c:numCache>
                <c:formatCode>General</c:formatCode>
                <c:ptCount val="11"/>
                <c:pt idx="0">
                  <c:v>0.59958009999999995</c:v>
                </c:pt>
                <c:pt idx="1">
                  <c:v>2.4103197000000001</c:v>
                </c:pt>
                <c:pt idx="2">
                  <c:v>2.4103197000000001</c:v>
                </c:pt>
                <c:pt idx="3">
                  <c:v>2.4083241000000002</c:v>
                </c:pt>
                <c:pt idx="4">
                  <c:v>2.4063783000000001</c:v>
                </c:pt>
                <c:pt idx="5">
                  <c:v>2.4026857000000001</c:v>
                </c:pt>
                <c:pt idx="6">
                  <c:v>2.3537887999999998</c:v>
                </c:pt>
                <c:pt idx="7">
                  <c:v>2.3061143</c:v>
                </c:pt>
                <c:pt idx="8">
                  <c:v>2.2596316999999999</c:v>
                </c:pt>
                <c:pt idx="9">
                  <c:v>2.2143112</c:v>
                </c:pt>
                <c:pt idx="10">
                  <c:v>2.1701236000000002</c:v>
                </c:pt>
              </c:numCache>
            </c:numRef>
          </c:val>
          <c:smooth val="0"/>
        </c:ser>
        <c:ser>
          <c:idx val="2"/>
          <c:order val="2"/>
          <c:tx>
            <c:v>CI Impact (Upper)</c:v>
          </c:tx>
          <c:spPr>
            <a:ln>
              <a:solidFill>
                <a:srgbClr val="7BC224"/>
              </a:solidFill>
              <a:prstDash val="sysDash"/>
            </a:ln>
          </c:spPr>
          <c:marker>
            <c:symbol val="none"/>
          </c:marker>
          <c:cat>
            <c:numRef>
              <c:f>PGE!$B$2:$B$12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PGE!$E$2:$E$12</c:f>
              <c:numCache>
                <c:formatCode>General</c:formatCode>
                <c:ptCount val="11"/>
                <c:pt idx="0">
                  <c:v>1.3812804999999999</c:v>
                </c:pt>
                <c:pt idx="1">
                  <c:v>5.5507061999999996</c:v>
                </c:pt>
                <c:pt idx="2">
                  <c:v>5.5507061999999996</c:v>
                </c:pt>
                <c:pt idx="3">
                  <c:v>5.5461026999999996</c:v>
                </c:pt>
                <c:pt idx="4">
                  <c:v>5.5416143</c:v>
                </c:pt>
                <c:pt idx="5">
                  <c:v>5.5331035999999996</c:v>
                </c:pt>
                <c:pt idx="6">
                  <c:v>5.4205021000000002</c:v>
                </c:pt>
                <c:pt idx="7">
                  <c:v>5.3107157999999997</c:v>
                </c:pt>
                <c:pt idx="8">
                  <c:v>5.2036740000000004</c:v>
                </c:pt>
                <c:pt idx="9">
                  <c:v>5.0993082999999997</c:v>
                </c:pt>
                <c:pt idx="10">
                  <c:v>4.9975518000000001</c:v>
                </c:pt>
              </c:numCache>
            </c:numRef>
          </c:val>
          <c:smooth val="0"/>
        </c:ser>
        <c:dLbls>
          <c:showLegendKey val="0"/>
          <c:showVal val="0"/>
          <c:showCatName val="0"/>
          <c:showSerName val="0"/>
          <c:showPercent val="0"/>
          <c:showBubbleSize val="0"/>
        </c:dLbls>
        <c:marker val="1"/>
        <c:smooth val="0"/>
        <c:axId val="136448640"/>
        <c:axId val="136450816"/>
      </c:lineChart>
      <c:catAx>
        <c:axId val="136448640"/>
        <c:scaling>
          <c:orientation val="minMax"/>
        </c:scaling>
        <c:delete val="0"/>
        <c:axPos val="b"/>
        <c:title>
          <c:tx>
            <c:rich>
              <a:bodyPr/>
              <a:lstStyle/>
              <a:p>
                <a:pPr>
                  <a:defRPr sz="1100">
                    <a:latin typeface="Arial" panose="020B0604020202020204" pitchFamily="34" charset="0"/>
                    <a:cs typeface="Arial" panose="020B0604020202020204" pitchFamily="34" charset="0"/>
                  </a:defRPr>
                </a:pPr>
                <a:r>
                  <a:rPr lang="en-US" sz="1100">
                    <a:latin typeface="Arial" panose="020B0604020202020204" pitchFamily="34" charset="0"/>
                    <a:cs typeface="Arial" panose="020B0604020202020204" pitchFamily="34" charset="0"/>
                  </a:rPr>
                  <a:t>Forecast Year</a:t>
                </a:r>
              </a:p>
            </c:rich>
          </c:tx>
          <c:layout>
            <c:manualLayout>
              <c:xMode val="edge"/>
              <c:yMode val="edge"/>
              <c:x val="0.47586895649185917"/>
              <c:y val="0.9363016936315796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450816"/>
        <c:crosses val="autoZero"/>
        <c:auto val="1"/>
        <c:lblAlgn val="ctr"/>
        <c:lblOffset val="100"/>
        <c:noMultiLvlLbl val="0"/>
      </c:catAx>
      <c:valAx>
        <c:axId val="136450816"/>
        <c:scaling>
          <c:orientation val="minMax"/>
        </c:scaling>
        <c:delete val="0"/>
        <c:axPos val="l"/>
        <c:majorGridlines/>
        <c:title>
          <c:tx>
            <c:rich>
              <a:bodyPr rot="-5400000" vert="horz"/>
              <a:lstStyle/>
              <a:p>
                <a:pPr>
                  <a:defRPr sz="1050">
                    <a:latin typeface="Arial" panose="020B0604020202020204" pitchFamily="34" charset="0"/>
                    <a:cs typeface="Arial" panose="020B0604020202020204" pitchFamily="34" charset="0"/>
                  </a:defRPr>
                </a:pPr>
                <a:r>
                  <a:rPr lang="en-US" sz="1050">
                    <a:latin typeface="Arial" panose="020B0604020202020204" pitchFamily="34" charset="0"/>
                    <a:cs typeface="Arial" panose="020B0604020202020204" pitchFamily="34" charset="0"/>
                  </a:rPr>
                  <a:t>Aggregate</a:t>
                </a:r>
                <a:r>
                  <a:rPr lang="en-US" sz="1050" baseline="0">
                    <a:latin typeface="Arial" panose="020B0604020202020204" pitchFamily="34" charset="0"/>
                    <a:cs typeface="Arial" panose="020B0604020202020204" pitchFamily="34" charset="0"/>
                  </a:rPr>
                  <a:t> Load Impact (MW)</a:t>
                </a:r>
                <a:endParaRPr lang="en-US" sz="1050">
                  <a:latin typeface="Arial" panose="020B0604020202020204" pitchFamily="34" charset="0"/>
                  <a:cs typeface="Arial" panose="020B0604020202020204" pitchFamily="34" charset="0"/>
                </a:endParaRPr>
              </a:p>
            </c:rich>
          </c:tx>
          <c:layout>
            <c:manualLayout>
              <c:xMode val="edge"/>
              <c:yMode val="edge"/>
              <c:x val="1.2999071494893221E-2"/>
              <c:y val="0.3000806988678653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448640"/>
        <c:crosses val="autoZero"/>
        <c:crossBetween val="between"/>
      </c:valAx>
    </c:plotArea>
    <c:legend>
      <c:legendPos val="t"/>
      <c:overlay val="0"/>
      <c:txPr>
        <a:bodyPr/>
        <a:lstStyle/>
        <a:p>
          <a:pPr>
            <a:defRPr sz="1200">
              <a:latin typeface="Arial" panose="020B0604020202020204" pitchFamily="34" charset="0"/>
              <a:cs typeface="Arial" panose="020B0604020202020204" pitchFamily="34" charset="0"/>
            </a:defRPr>
          </a:pPr>
          <a:endParaRPr lang="en-US"/>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Impact</c:v>
          </c:tx>
          <c:spPr>
            <a:ln>
              <a:solidFill>
                <a:srgbClr val="7BC224"/>
              </a:solidFill>
            </a:ln>
          </c:spPr>
          <c:marker>
            <c:symbol val="none"/>
          </c:marker>
          <c:cat>
            <c:numRef>
              <c:f>PGE!$U$2:$U$12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PGE!$V$2:$V$12</c:f>
              <c:numCache>
                <c:formatCode>General</c:formatCode>
                <c:ptCount val="11"/>
                <c:pt idx="0">
                  <c:v>0.96427638000000004</c:v>
                </c:pt>
                <c:pt idx="1">
                  <c:v>3.7664488999999999</c:v>
                </c:pt>
                <c:pt idx="2">
                  <c:v>3.7664488999999999</c:v>
                </c:pt>
                <c:pt idx="3">
                  <c:v>3.7633192000000002</c:v>
                </c:pt>
                <c:pt idx="4">
                  <c:v>3.7602677</c:v>
                </c:pt>
                <c:pt idx="5">
                  <c:v>3.7544116999999999</c:v>
                </c:pt>
                <c:pt idx="6">
                  <c:v>3.6789158</c:v>
                </c:pt>
                <c:pt idx="7">
                  <c:v>3.6053074000000001</c:v>
                </c:pt>
                <c:pt idx="8">
                  <c:v>3.5335391</c:v>
                </c:pt>
                <c:pt idx="9">
                  <c:v>3.4635650999999998</c:v>
                </c:pt>
                <c:pt idx="10">
                  <c:v>3.3953403999999998</c:v>
                </c:pt>
              </c:numCache>
            </c:numRef>
          </c:val>
          <c:smooth val="0"/>
        </c:ser>
        <c:ser>
          <c:idx val="1"/>
          <c:order val="1"/>
          <c:tx>
            <c:v>CI Impact (Lower)</c:v>
          </c:tx>
          <c:spPr>
            <a:ln>
              <a:solidFill>
                <a:srgbClr val="7BC224"/>
              </a:solidFill>
              <a:prstDash val="sysDash"/>
            </a:ln>
          </c:spPr>
          <c:marker>
            <c:symbol val="none"/>
          </c:marker>
          <c:cat>
            <c:numRef>
              <c:f>PGE!$U$2:$U$12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PGE!$W$2:$W$12</c:f>
              <c:numCache>
                <c:formatCode>General</c:formatCode>
                <c:ptCount val="11"/>
                <c:pt idx="0">
                  <c:v>0.58391671000000001</c:v>
                </c:pt>
                <c:pt idx="1">
                  <c:v>2.2806052999999999</c:v>
                </c:pt>
                <c:pt idx="2">
                  <c:v>2.2806052999999999</c:v>
                </c:pt>
                <c:pt idx="3">
                  <c:v>2.2787112999999999</c:v>
                </c:pt>
                <c:pt idx="4">
                  <c:v>2.2768644999999998</c:v>
                </c:pt>
                <c:pt idx="5">
                  <c:v>2.2733194000000001</c:v>
                </c:pt>
                <c:pt idx="6">
                  <c:v>2.2276026</c:v>
                </c:pt>
                <c:pt idx="7">
                  <c:v>2.1830286000000001</c:v>
                </c:pt>
                <c:pt idx="8">
                  <c:v>2.1395689999999998</c:v>
                </c:pt>
                <c:pt idx="9">
                  <c:v>2.0971959</c:v>
                </c:pt>
                <c:pt idx="10">
                  <c:v>2.0558822000000001</c:v>
                </c:pt>
              </c:numCache>
            </c:numRef>
          </c:val>
          <c:smooth val="0"/>
        </c:ser>
        <c:ser>
          <c:idx val="2"/>
          <c:order val="2"/>
          <c:tx>
            <c:v>CI Impact (Upper)</c:v>
          </c:tx>
          <c:spPr>
            <a:ln>
              <a:solidFill>
                <a:srgbClr val="7BC224"/>
              </a:solidFill>
              <a:prstDash val="sysDash"/>
            </a:ln>
          </c:spPr>
          <c:marker>
            <c:symbol val="none"/>
          </c:marker>
          <c:cat>
            <c:numRef>
              <c:f>PGE!$U$2:$U$12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PGE!$X$2:$X$12</c:f>
              <c:numCache>
                <c:formatCode>General</c:formatCode>
                <c:ptCount val="11"/>
                <c:pt idx="0">
                  <c:v>1.3446361</c:v>
                </c:pt>
                <c:pt idx="1">
                  <c:v>5.2522925000000003</c:v>
                </c:pt>
                <c:pt idx="2">
                  <c:v>5.2522925000000003</c:v>
                </c:pt>
                <c:pt idx="3">
                  <c:v>5.2479272000000003</c:v>
                </c:pt>
                <c:pt idx="4">
                  <c:v>5.2436708999999997</c:v>
                </c:pt>
                <c:pt idx="5">
                  <c:v>5.2355039000000003</c:v>
                </c:pt>
                <c:pt idx="6">
                  <c:v>5.1302291000000002</c:v>
                </c:pt>
                <c:pt idx="7">
                  <c:v>5.0275860999999997</c:v>
                </c:pt>
                <c:pt idx="8">
                  <c:v>4.9275092000000003</c:v>
                </c:pt>
                <c:pt idx="9">
                  <c:v>4.8299342999999997</c:v>
                </c:pt>
                <c:pt idx="10">
                  <c:v>4.7347986999999998</c:v>
                </c:pt>
              </c:numCache>
            </c:numRef>
          </c:val>
          <c:smooth val="0"/>
        </c:ser>
        <c:dLbls>
          <c:showLegendKey val="0"/>
          <c:showVal val="0"/>
          <c:showCatName val="0"/>
          <c:showSerName val="0"/>
          <c:showPercent val="0"/>
          <c:showBubbleSize val="0"/>
        </c:dLbls>
        <c:marker val="1"/>
        <c:smooth val="0"/>
        <c:axId val="136460544"/>
        <c:axId val="136470912"/>
      </c:lineChart>
      <c:catAx>
        <c:axId val="136460544"/>
        <c:scaling>
          <c:orientation val="minMax"/>
        </c:scaling>
        <c:delete val="0"/>
        <c:axPos val="b"/>
        <c:title>
          <c:tx>
            <c:rich>
              <a:bodyPr/>
              <a:lstStyle/>
              <a:p>
                <a:pPr>
                  <a:defRPr sz="1100">
                    <a:latin typeface="Arial" panose="020B0604020202020204" pitchFamily="34" charset="0"/>
                    <a:cs typeface="Arial" panose="020B0604020202020204" pitchFamily="34" charset="0"/>
                  </a:defRPr>
                </a:pPr>
                <a:r>
                  <a:rPr lang="en-US" sz="1100">
                    <a:latin typeface="Arial" panose="020B0604020202020204" pitchFamily="34" charset="0"/>
                    <a:cs typeface="Arial" panose="020B0604020202020204" pitchFamily="34" charset="0"/>
                  </a:rPr>
                  <a:t>Forecast Year</a:t>
                </a:r>
              </a:p>
            </c:rich>
          </c:tx>
          <c:layout>
            <c:manualLayout>
              <c:xMode val="edge"/>
              <c:yMode val="edge"/>
              <c:x val="0.47586895649185917"/>
              <c:y val="0.9363016936315796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470912"/>
        <c:crosses val="autoZero"/>
        <c:auto val="1"/>
        <c:lblAlgn val="ctr"/>
        <c:lblOffset val="100"/>
        <c:noMultiLvlLbl val="0"/>
      </c:catAx>
      <c:valAx>
        <c:axId val="136470912"/>
        <c:scaling>
          <c:orientation val="minMax"/>
        </c:scaling>
        <c:delete val="0"/>
        <c:axPos val="l"/>
        <c:majorGridlines/>
        <c:title>
          <c:tx>
            <c:rich>
              <a:bodyPr rot="-5400000" vert="horz"/>
              <a:lstStyle/>
              <a:p>
                <a:pPr>
                  <a:defRPr sz="1050">
                    <a:latin typeface="Arial" panose="020B0604020202020204" pitchFamily="34" charset="0"/>
                    <a:cs typeface="Arial" panose="020B0604020202020204" pitchFamily="34" charset="0"/>
                  </a:defRPr>
                </a:pPr>
                <a:r>
                  <a:rPr lang="en-US" sz="1050">
                    <a:latin typeface="Arial" panose="020B0604020202020204" pitchFamily="34" charset="0"/>
                    <a:cs typeface="Arial" panose="020B0604020202020204" pitchFamily="34" charset="0"/>
                  </a:rPr>
                  <a:t>Aggregate</a:t>
                </a:r>
                <a:r>
                  <a:rPr lang="en-US" sz="1050" baseline="0">
                    <a:latin typeface="Arial" panose="020B0604020202020204" pitchFamily="34" charset="0"/>
                    <a:cs typeface="Arial" panose="020B0604020202020204" pitchFamily="34" charset="0"/>
                  </a:rPr>
                  <a:t> Load Impact (MW)</a:t>
                </a:r>
              </a:p>
            </c:rich>
          </c:tx>
          <c:layout>
            <c:manualLayout>
              <c:xMode val="edge"/>
              <c:yMode val="edge"/>
              <c:x val="1.2999071494893221E-2"/>
              <c:y val="0.3000806988678653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460544"/>
        <c:crosses val="autoZero"/>
        <c:crossBetween val="between"/>
      </c:valAx>
    </c:plotArea>
    <c:legend>
      <c:legendPos val="t"/>
      <c:overlay val="0"/>
      <c:txPr>
        <a:bodyPr/>
        <a:lstStyle/>
        <a:p>
          <a:pPr>
            <a:defRPr sz="1200">
              <a:latin typeface="Arial" panose="020B0604020202020204" pitchFamily="34" charset="0"/>
              <a:cs typeface="Arial" panose="020B0604020202020204" pitchFamily="34" charset="0"/>
            </a:defRPr>
          </a:pPr>
          <a:endParaRPr lang="en-US"/>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Impact</c:v>
          </c:tx>
          <c:spPr>
            <a:ln>
              <a:solidFill>
                <a:srgbClr val="7BC224"/>
              </a:solidFill>
            </a:ln>
          </c:spPr>
          <c:marker>
            <c:symbol val="none"/>
          </c:marker>
          <c:cat>
            <c:numRef>
              <c:f>SDGE!$B$2:$B$12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SDGE!$C$2:$C$12</c:f>
              <c:numCache>
                <c:formatCode>General</c:formatCode>
                <c:ptCount val="11"/>
                <c:pt idx="0">
                  <c:v>2.3046161999999999</c:v>
                </c:pt>
                <c:pt idx="1">
                  <c:v>2.3046161999999999</c:v>
                </c:pt>
                <c:pt idx="2">
                  <c:v>2.3046161999999999</c:v>
                </c:pt>
                <c:pt idx="3">
                  <c:v>2.2885944</c:v>
                </c:pt>
                <c:pt idx="4">
                  <c:v>2.2661981999999998</c:v>
                </c:pt>
                <c:pt idx="5">
                  <c:v>2.2233969</c:v>
                </c:pt>
                <c:pt idx="6">
                  <c:v>2.1816656000000001</c:v>
                </c:pt>
                <c:pt idx="7">
                  <c:v>2.1409775</c:v>
                </c:pt>
                <c:pt idx="8">
                  <c:v>2.1013066999999999</c:v>
                </c:pt>
                <c:pt idx="9">
                  <c:v>2.0626277000000002</c:v>
                </c:pt>
                <c:pt idx="10">
                  <c:v>2.0249155999999999</c:v>
                </c:pt>
              </c:numCache>
            </c:numRef>
          </c:val>
          <c:smooth val="0"/>
        </c:ser>
        <c:ser>
          <c:idx val="1"/>
          <c:order val="1"/>
          <c:tx>
            <c:v>CI Impact (Lower)</c:v>
          </c:tx>
          <c:spPr>
            <a:ln>
              <a:solidFill>
                <a:srgbClr val="7BC224"/>
              </a:solidFill>
              <a:prstDash val="sysDash"/>
            </a:ln>
          </c:spPr>
          <c:marker>
            <c:symbol val="none"/>
          </c:marker>
          <c:cat>
            <c:numRef>
              <c:f>SDGE!$B$2:$B$12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SDGE!$D$2:$D$12</c:f>
              <c:numCache>
                <c:formatCode>General</c:formatCode>
                <c:ptCount val="11"/>
                <c:pt idx="0">
                  <c:v>1.8294854</c:v>
                </c:pt>
                <c:pt idx="1">
                  <c:v>1.8294854</c:v>
                </c:pt>
                <c:pt idx="2">
                  <c:v>1.8294854</c:v>
                </c:pt>
                <c:pt idx="3">
                  <c:v>1.8167770999999999</c:v>
                </c:pt>
                <c:pt idx="4">
                  <c:v>1.7990123</c:v>
                </c:pt>
                <c:pt idx="5">
                  <c:v>1.7650611</c:v>
                </c:pt>
                <c:pt idx="6">
                  <c:v>1.7319587000000001</c:v>
                </c:pt>
                <c:pt idx="7">
                  <c:v>1.6996838000000001</c:v>
                </c:pt>
                <c:pt idx="8">
                  <c:v>1.6682158</c:v>
                </c:pt>
                <c:pt idx="9">
                  <c:v>1.6375344999999999</c:v>
                </c:pt>
                <c:pt idx="10">
                  <c:v>1.6076201999999999</c:v>
                </c:pt>
              </c:numCache>
            </c:numRef>
          </c:val>
          <c:smooth val="0"/>
        </c:ser>
        <c:ser>
          <c:idx val="2"/>
          <c:order val="2"/>
          <c:tx>
            <c:v>CI Impact (Upper)</c:v>
          </c:tx>
          <c:spPr>
            <a:ln>
              <a:solidFill>
                <a:srgbClr val="7BC224"/>
              </a:solidFill>
              <a:prstDash val="sysDash"/>
            </a:ln>
          </c:spPr>
          <c:marker>
            <c:symbol val="none"/>
          </c:marker>
          <c:cat>
            <c:numRef>
              <c:f>SDGE!$B$2:$B$12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SDGE!$E$2:$E$12</c:f>
              <c:numCache>
                <c:formatCode>General</c:formatCode>
                <c:ptCount val="11"/>
                <c:pt idx="0">
                  <c:v>2.779747</c:v>
                </c:pt>
                <c:pt idx="1">
                  <c:v>2.779747</c:v>
                </c:pt>
                <c:pt idx="2">
                  <c:v>2.779747</c:v>
                </c:pt>
                <c:pt idx="3">
                  <c:v>2.7604117000000001</c:v>
                </c:pt>
                <c:pt idx="4">
                  <c:v>2.7333840999999999</c:v>
                </c:pt>
                <c:pt idx="5">
                  <c:v>2.6817326000000001</c:v>
                </c:pt>
                <c:pt idx="6">
                  <c:v>2.6313724999999999</c:v>
                </c:pt>
                <c:pt idx="7">
                  <c:v>2.5822712999999999</c:v>
                </c:pt>
                <c:pt idx="8">
                  <c:v>2.5343977</c:v>
                </c:pt>
                <c:pt idx="9">
                  <c:v>2.4877208999999998</c:v>
                </c:pt>
                <c:pt idx="10">
                  <c:v>2.4422109999999999</c:v>
                </c:pt>
              </c:numCache>
            </c:numRef>
          </c:val>
          <c:smooth val="0"/>
        </c:ser>
        <c:dLbls>
          <c:showLegendKey val="0"/>
          <c:showVal val="0"/>
          <c:showCatName val="0"/>
          <c:showSerName val="0"/>
          <c:showPercent val="0"/>
          <c:showBubbleSize val="0"/>
        </c:dLbls>
        <c:marker val="1"/>
        <c:smooth val="0"/>
        <c:axId val="136484736"/>
        <c:axId val="136486912"/>
      </c:lineChart>
      <c:catAx>
        <c:axId val="136484736"/>
        <c:scaling>
          <c:orientation val="minMax"/>
        </c:scaling>
        <c:delete val="0"/>
        <c:axPos val="b"/>
        <c:title>
          <c:tx>
            <c:rich>
              <a:bodyPr/>
              <a:lstStyle/>
              <a:p>
                <a:pPr>
                  <a:defRPr sz="1100">
                    <a:latin typeface="Arial" panose="020B0604020202020204" pitchFamily="34" charset="0"/>
                    <a:cs typeface="Arial" panose="020B0604020202020204" pitchFamily="34" charset="0"/>
                  </a:defRPr>
                </a:pPr>
                <a:r>
                  <a:rPr lang="en-US" sz="1100">
                    <a:latin typeface="Arial" panose="020B0604020202020204" pitchFamily="34" charset="0"/>
                    <a:cs typeface="Arial" panose="020B0604020202020204" pitchFamily="34" charset="0"/>
                  </a:rPr>
                  <a:t>Forecast Year</a:t>
                </a:r>
              </a:p>
            </c:rich>
          </c:tx>
          <c:layout>
            <c:manualLayout>
              <c:xMode val="edge"/>
              <c:yMode val="edge"/>
              <c:x val="0.47586895649185917"/>
              <c:y val="0.9363016936315796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486912"/>
        <c:crosses val="autoZero"/>
        <c:auto val="1"/>
        <c:lblAlgn val="ctr"/>
        <c:lblOffset val="100"/>
        <c:noMultiLvlLbl val="0"/>
      </c:catAx>
      <c:valAx>
        <c:axId val="136486912"/>
        <c:scaling>
          <c:orientation val="minMax"/>
        </c:scaling>
        <c:delete val="0"/>
        <c:axPos val="l"/>
        <c:majorGridlines/>
        <c:title>
          <c:tx>
            <c:rich>
              <a:bodyPr rot="-5400000" vert="horz"/>
              <a:lstStyle/>
              <a:p>
                <a:pPr>
                  <a:defRPr sz="1050">
                    <a:latin typeface="Arial" panose="020B0604020202020204" pitchFamily="34" charset="0"/>
                    <a:cs typeface="Arial" panose="020B0604020202020204" pitchFamily="34" charset="0"/>
                  </a:defRPr>
                </a:pPr>
                <a:r>
                  <a:rPr lang="en-US" sz="1050">
                    <a:latin typeface="Arial" panose="020B0604020202020204" pitchFamily="34" charset="0"/>
                    <a:cs typeface="Arial" panose="020B0604020202020204" pitchFamily="34" charset="0"/>
                  </a:rPr>
                  <a:t>Aggregate</a:t>
                </a:r>
                <a:r>
                  <a:rPr lang="en-US" sz="1050" baseline="0">
                    <a:latin typeface="Arial" panose="020B0604020202020204" pitchFamily="34" charset="0"/>
                    <a:cs typeface="Arial" panose="020B0604020202020204" pitchFamily="34" charset="0"/>
                  </a:rPr>
                  <a:t> Load Impact (MW)</a:t>
                </a:r>
                <a:endParaRPr lang="en-US" sz="1050">
                  <a:latin typeface="Arial" panose="020B0604020202020204" pitchFamily="34" charset="0"/>
                  <a:cs typeface="Arial" panose="020B0604020202020204" pitchFamily="34" charset="0"/>
                </a:endParaRPr>
              </a:p>
            </c:rich>
          </c:tx>
          <c:layout>
            <c:manualLayout>
              <c:xMode val="edge"/>
              <c:yMode val="edge"/>
              <c:x val="1.2999071494893221E-2"/>
              <c:y val="0.3000806988678653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484736"/>
        <c:crosses val="autoZero"/>
        <c:crossBetween val="between"/>
      </c:valAx>
    </c:plotArea>
    <c:legend>
      <c:legendPos val="t"/>
      <c:overlay val="0"/>
      <c:txPr>
        <a:bodyPr/>
        <a:lstStyle/>
        <a:p>
          <a:pPr>
            <a:defRPr sz="1200">
              <a:latin typeface="Arial" panose="020B0604020202020204" pitchFamily="34" charset="0"/>
              <a:cs typeface="Arial" panose="020B0604020202020204" pitchFamily="34" charset="0"/>
            </a:defRPr>
          </a:pPr>
          <a:endParaRPr lang="en-US"/>
        </a:p>
      </c:txPr>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Impact</c:v>
          </c:tx>
          <c:spPr>
            <a:ln>
              <a:solidFill>
                <a:srgbClr val="7BC224"/>
              </a:solidFill>
            </a:ln>
          </c:spPr>
          <c:marker>
            <c:symbol val="none"/>
          </c:marker>
          <c:cat>
            <c:numRef>
              <c:f>SDGE!$U$2:$U$12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SDGE!$V$2:$V$12</c:f>
              <c:numCache>
                <c:formatCode>General</c:formatCode>
                <c:ptCount val="11"/>
                <c:pt idx="0">
                  <c:v>2.0485711000000002</c:v>
                </c:pt>
                <c:pt idx="1">
                  <c:v>2.0485711000000002</c:v>
                </c:pt>
                <c:pt idx="2">
                  <c:v>2.0485711000000002</c:v>
                </c:pt>
                <c:pt idx="3">
                  <c:v>2.0331231999999999</c:v>
                </c:pt>
                <c:pt idx="4">
                  <c:v>2.0126582000000002</c:v>
                </c:pt>
                <c:pt idx="5">
                  <c:v>1.9759845</c:v>
                </c:pt>
                <c:pt idx="6">
                  <c:v>1.9402276000000001</c:v>
                </c:pt>
                <c:pt idx="7">
                  <c:v>1.9053647</c:v>
                </c:pt>
                <c:pt idx="8">
                  <c:v>1.8713732999999999</c:v>
                </c:pt>
                <c:pt idx="9">
                  <c:v>1.8382316999999999</c:v>
                </c:pt>
                <c:pt idx="10">
                  <c:v>1.8059186</c:v>
                </c:pt>
              </c:numCache>
            </c:numRef>
          </c:val>
          <c:smooth val="0"/>
        </c:ser>
        <c:ser>
          <c:idx val="1"/>
          <c:order val="1"/>
          <c:tx>
            <c:v>CI Impact (Lower)</c:v>
          </c:tx>
          <c:spPr>
            <a:ln>
              <a:solidFill>
                <a:srgbClr val="7BC224"/>
              </a:solidFill>
              <a:prstDash val="sysDash"/>
            </a:ln>
          </c:spPr>
          <c:marker>
            <c:symbol val="none"/>
          </c:marker>
          <c:cat>
            <c:numRef>
              <c:f>SDGE!$U$2:$U$12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SDGE!$W$2:$W$12</c:f>
              <c:numCache>
                <c:formatCode>General</c:formatCode>
                <c:ptCount val="11"/>
                <c:pt idx="0">
                  <c:v>1.6259825000000001</c:v>
                </c:pt>
                <c:pt idx="1">
                  <c:v>1.6259825000000001</c:v>
                </c:pt>
                <c:pt idx="2">
                  <c:v>1.6259825000000001</c:v>
                </c:pt>
                <c:pt idx="3">
                  <c:v>1.613731</c:v>
                </c:pt>
                <c:pt idx="4">
                  <c:v>1.5974997</c:v>
                </c:pt>
                <c:pt idx="5">
                  <c:v>1.5684107</c:v>
                </c:pt>
                <c:pt idx="6">
                  <c:v>1.5400488999999999</c:v>
                </c:pt>
                <c:pt idx="7">
                  <c:v>1.5123962</c:v>
                </c:pt>
                <c:pt idx="8">
                  <c:v>1.4854347999999999</c:v>
                </c:pt>
                <c:pt idx="9">
                  <c:v>1.4591474</c:v>
                </c:pt>
                <c:pt idx="10">
                  <c:v>1.4335172</c:v>
                </c:pt>
              </c:numCache>
            </c:numRef>
          </c:val>
          <c:smooth val="0"/>
        </c:ser>
        <c:ser>
          <c:idx val="2"/>
          <c:order val="2"/>
          <c:tx>
            <c:v>CI Impact (Upper)</c:v>
          </c:tx>
          <c:spPr>
            <a:ln>
              <a:solidFill>
                <a:srgbClr val="7BC224"/>
              </a:solidFill>
              <a:prstDash val="sysDash"/>
            </a:ln>
          </c:spPr>
          <c:marker>
            <c:symbol val="none"/>
          </c:marker>
          <c:cat>
            <c:numRef>
              <c:f>SDGE!$U$2:$U$12</c:f>
              <c:numCache>
                <c:formatCode>General</c:formatCode>
                <c:ptCount val="11"/>
                <c:pt idx="0">
                  <c:v>2018</c:v>
                </c:pt>
                <c:pt idx="1">
                  <c:v>2019</c:v>
                </c:pt>
                <c:pt idx="2">
                  <c:v>2020</c:v>
                </c:pt>
                <c:pt idx="3">
                  <c:v>2021</c:v>
                </c:pt>
                <c:pt idx="4">
                  <c:v>2022</c:v>
                </c:pt>
                <c:pt idx="5">
                  <c:v>2023</c:v>
                </c:pt>
                <c:pt idx="6">
                  <c:v>2024</c:v>
                </c:pt>
                <c:pt idx="7">
                  <c:v>2025</c:v>
                </c:pt>
                <c:pt idx="8">
                  <c:v>2026</c:v>
                </c:pt>
                <c:pt idx="9">
                  <c:v>2027</c:v>
                </c:pt>
                <c:pt idx="10">
                  <c:v>2028</c:v>
                </c:pt>
              </c:numCache>
            </c:numRef>
          </c:cat>
          <c:val>
            <c:numRef>
              <c:f>SDGE!$X$2:$X$12</c:f>
              <c:numCache>
                <c:formatCode>General</c:formatCode>
                <c:ptCount val="11"/>
                <c:pt idx="0">
                  <c:v>2.4711596999999998</c:v>
                </c:pt>
                <c:pt idx="1">
                  <c:v>2.4711596999999998</c:v>
                </c:pt>
                <c:pt idx="2">
                  <c:v>2.4711596999999998</c:v>
                </c:pt>
                <c:pt idx="3">
                  <c:v>2.4525153999999998</c:v>
                </c:pt>
                <c:pt idx="4">
                  <c:v>2.4278168</c:v>
                </c:pt>
                <c:pt idx="5">
                  <c:v>2.3835582999999998</c:v>
                </c:pt>
                <c:pt idx="6">
                  <c:v>2.3404063000000002</c:v>
                </c:pt>
                <c:pt idx="7">
                  <c:v>2.2983330999999998</c:v>
                </c:pt>
                <c:pt idx="8">
                  <c:v>2.2573118000000001</c:v>
                </c:pt>
                <c:pt idx="9">
                  <c:v>2.2173159</c:v>
                </c:pt>
                <c:pt idx="10">
                  <c:v>2.1783199999999998</c:v>
                </c:pt>
              </c:numCache>
            </c:numRef>
          </c:val>
          <c:smooth val="0"/>
        </c:ser>
        <c:dLbls>
          <c:showLegendKey val="0"/>
          <c:showVal val="0"/>
          <c:showCatName val="0"/>
          <c:showSerName val="0"/>
          <c:showPercent val="0"/>
          <c:showBubbleSize val="0"/>
        </c:dLbls>
        <c:marker val="1"/>
        <c:smooth val="0"/>
        <c:axId val="136504832"/>
        <c:axId val="136506752"/>
      </c:lineChart>
      <c:catAx>
        <c:axId val="136504832"/>
        <c:scaling>
          <c:orientation val="minMax"/>
        </c:scaling>
        <c:delete val="0"/>
        <c:axPos val="b"/>
        <c:title>
          <c:tx>
            <c:rich>
              <a:bodyPr/>
              <a:lstStyle/>
              <a:p>
                <a:pPr>
                  <a:defRPr sz="1100">
                    <a:latin typeface="Arial" panose="020B0604020202020204" pitchFamily="34" charset="0"/>
                    <a:cs typeface="Arial" panose="020B0604020202020204" pitchFamily="34" charset="0"/>
                  </a:defRPr>
                </a:pPr>
                <a:r>
                  <a:rPr lang="en-US" sz="1100">
                    <a:latin typeface="Arial" panose="020B0604020202020204" pitchFamily="34" charset="0"/>
                    <a:cs typeface="Arial" panose="020B0604020202020204" pitchFamily="34" charset="0"/>
                  </a:rPr>
                  <a:t>Forecast Year</a:t>
                </a:r>
              </a:p>
            </c:rich>
          </c:tx>
          <c:layout>
            <c:manualLayout>
              <c:xMode val="edge"/>
              <c:yMode val="edge"/>
              <c:x val="0.47586895649185917"/>
              <c:y val="0.9363016936315796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506752"/>
        <c:crosses val="autoZero"/>
        <c:auto val="1"/>
        <c:lblAlgn val="ctr"/>
        <c:lblOffset val="100"/>
        <c:noMultiLvlLbl val="0"/>
      </c:catAx>
      <c:valAx>
        <c:axId val="136506752"/>
        <c:scaling>
          <c:orientation val="minMax"/>
        </c:scaling>
        <c:delete val="0"/>
        <c:axPos val="l"/>
        <c:majorGridlines/>
        <c:title>
          <c:tx>
            <c:rich>
              <a:bodyPr rot="-5400000" vert="horz"/>
              <a:lstStyle/>
              <a:p>
                <a:pPr>
                  <a:defRPr sz="1050">
                    <a:latin typeface="Arial" panose="020B0604020202020204" pitchFamily="34" charset="0"/>
                    <a:cs typeface="Arial" panose="020B0604020202020204" pitchFamily="34" charset="0"/>
                  </a:defRPr>
                </a:pPr>
                <a:r>
                  <a:rPr lang="en-US" sz="1050">
                    <a:latin typeface="Arial" panose="020B0604020202020204" pitchFamily="34" charset="0"/>
                    <a:cs typeface="Arial" panose="020B0604020202020204" pitchFamily="34" charset="0"/>
                  </a:rPr>
                  <a:t>Aggregate</a:t>
                </a:r>
                <a:r>
                  <a:rPr lang="en-US" sz="1050" baseline="0">
                    <a:latin typeface="Arial" panose="020B0604020202020204" pitchFamily="34" charset="0"/>
                    <a:cs typeface="Arial" panose="020B0604020202020204" pitchFamily="34" charset="0"/>
                  </a:rPr>
                  <a:t> Load Impact (MW)</a:t>
                </a:r>
              </a:p>
            </c:rich>
          </c:tx>
          <c:layout>
            <c:manualLayout>
              <c:xMode val="edge"/>
              <c:yMode val="edge"/>
              <c:x val="1.2999071494893221E-2"/>
              <c:y val="0.3000806988678653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504832"/>
        <c:crosses val="autoZero"/>
        <c:crossBetween val="between"/>
      </c:valAx>
    </c:plotArea>
    <c:legend>
      <c:legendPos val="t"/>
      <c:overlay val="0"/>
      <c:txPr>
        <a:bodyPr/>
        <a:lstStyle/>
        <a:p>
          <a:pPr>
            <a:defRPr sz="1200">
              <a:latin typeface="Arial" panose="020B0604020202020204" pitchFamily="34" charset="0"/>
              <a:cs typeface="Arial" panose="020B0604020202020204" pitchFamily="34" charset="0"/>
            </a:defRPr>
          </a:pPr>
          <a:endParaRPr lang="en-US"/>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v>2016 Evaluation</c:v>
          </c:tx>
          <c:spPr>
            <a:ln>
              <a:solidFill>
                <a:srgbClr val="007ACD"/>
              </a:solidFill>
            </a:ln>
          </c:spPr>
          <c:marker>
            <c:symbol val="none"/>
          </c:marker>
          <c:cat>
            <c:numRef>
              <c:f>SDGE!$AN$2:$AN$11</c:f>
              <c:numCache>
                <c:formatCode>General</c:formatCode>
                <c:ptCount val="10"/>
                <c:pt idx="0">
                  <c:v>2018</c:v>
                </c:pt>
                <c:pt idx="1">
                  <c:v>2019</c:v>
                </c:pt>
                <c:pt idx="2">
                  <c:v>2020</c:v>
                </c:pt>
                <c:pt idx="3">
                  <c:v>2021</c:v>
                </c:pt>
                <c:pt idx="4">
                  <c:v>2022</c:v>
                </c:pt>
                <c:pt idx="5">
                  <c:v>2023</c:v>
                </c:pt>
                <c:pt idx="6">
                  <c:v>2024</c:v>
                </c:pt>
                <c:pt idx="7">
                  <c:v>2025</c:v>
                </c:pt>
                <c:pt idx="8">
                  <c:v>2026</c:v>
                </c:pt>
                <c:pt idx="9">
                  <c:v>2027</c:v>
                </c:pt>
              </c:numCache>
            </c:numRef>
          </c:cat>
          <c:val>
            <c:numRef>
              <c:f>SDGE!$AO$2:$AO$11</c:f>
              <c:numCache>
                <c:formatCode>General</c:formatCode>
                <c:ptCount val="10"/>
                <c:pt idx="0">
                  <c:v>2.4181297000000002</c:v>
                </c:pt>
                <c:pt idx="1">
                  <c:v>2.9039902</c:v>
                </c:pt>
                <c:pt idx="2">
                  <c:v>3.3680365000000001</c:v>
                </c:pt>
                <c:pt idx="3">
                  <c:v>3.9352043000000001</c:v>
                </c:pt>
                <c:pt idx="4">
                  <c:v>4.4449756999999996</c:v>
                </c:pt>
                <c:pt idx="5">
                  <c:v>4.9489818999999997</c:v>
                </c:pt>
                <c:pt idx="6">
                  <c:v>5.1329529999999997</c:v>
                </c:pt>
                <c:pt idx="7">
                  <c:v>5.0492663999999996</c:v>
                </c:pt>
                <c:pt idx="8">
                  <c:v>4.9533718999999996</c:v>
                </c:pt>
                <c:pt idx="9">
                  <c:v>4.8455747999999996</c:v>
                </c:pt>
              </c:numCache>
            </c:numRef>
          </c:val>
          <c:smooth val="0"/>
        </c:ser>
        <c:ser>
          <c:idx val="1"/>
          <c:order val="1"/>
          <c:tx>
            <c:v>2017 Evaluation</c:v>
          </c:tx>
          <c:spPr>
            <a:ln>
              <a:solidFill>
                <a:srgbClr val="7BC224"/>
              </a:solidFill>
            </a:ln>
          </c:spPr>
          <c:marker>
            <c:symbol val="none"/>
          </c:marker>
          <c:cat>
            <c:numRef>
              <c:f>SDGE!$AN$2:$AN$11</c:f>
              <c:numCache>
                <c:formatCode>General</c:formatCode>
                <c:ptCount val="10"/>
                <c:pt idx="0">
                  <c:v>2018</c:v>
                </c:pt>
                <c:pt idx="1">
                  <c:v>2019</c:v>
                </c:pt>
                <c:pt idx="2">
                  <c:v>2020</c:v>
                </c:pt>
                <c:pt idx="3">
                  <c:v>2021</c:v>
                </c:pt>
                <c:pt idx="4">
                  <c:v>2022</c:v>
                </c:pt>
                <c:pt idx="5">
                  <c:v>2023</c:v>
                </c:pt>
                <c:pt idx="6">
                  <c:v>2024</c:v>
                </c:pt>
                <c:pt idx="7">
                  <c:v>2025</c:v>
                </c:pt>
                <c:pt idx="8">
                  <c:v>2026</c:v>
                </c:pt>
                <c:pt idx="9">
                  <c:v>2027</c:v>
                </c:pt>
              </c:numCache>
            </c:numRef>
          </c:cat>
          <c:val>
            <c:numRef>
              <c:f>SDGE!$AP$2:$AP$11</c:f>
              <c:numCache>
                <c:formatCode>General</c:formatCode>
                <c:ptCount val="10"/>
                <c:pt idx="0">
                  <c:v>2.3046161999999999</c:v>
                </c:pt>
                <c:pt idx="1">
                  <c:v>2.3046161999999999</c:v>
                </c:pt>
                <c:pt idx="2">
                  <c:v>2.3046161999999999</c:v>
                </c:pt>
                <c:pt idx="3">
                  <c:v>2.2885944</c:v>
                </c:pt>
                <c:pt idx="4">
                  <c:v>2.2661981999999998</c:v>
                </c:pt>
                <c:pt idx="5">
                  <c:v>2.2233969</c:v>
                </c:pt>
                <c:pt idx="6">
                  <c:v>2.1816656000000001</c:v>
                </c:pt>
                <c:pt idx="7">
                  <c:v>2.1409775</c:v>
                </c:pt>
                <c:pt idx="8">
                  <c:v>2.1013066999999999</c:v>
                </c:pt>
                <c:pt idx="9">
                  <c:v>2.0626277000000002</c:v>
                </c:pt>
              </c:numCache>
            </c:numRef>
          </c:val>
          <c:smooth val="0"/>
        </c:ser>
        <c:dLbls>
          <c:showLegendKey val="0"/>
          <c:showVal val="0"/>
          <c:showCatName val="0"/>
          <c:showSerName val="0"/>
          <c:showPercent val="0"/>
          <c:showBubbleSize val="0"/>
        </c:dLbls>
        <c:marker val="1"/>
        <c:smooth val="0"/>
        <c:axId val="136651136"/>
        <c:axId val="136653056"/>
      </c:lineChart>
      <c:catAx>
        <c:axId val="136651136"/>
        <c:scaling>
          <c:orientation val="minMax"/>
        </c:scaling>
        <c:delete val="0"/>
        <c:axPos val="b"/>
        <c:title>
          <c:tx>
            <c:rich>
              <a:bodyPr/>
              <a:lstStyle/>
              <a:p>
                <a:pPr>
                  <a:defRPr sz="1100">
                    <a:latin typeface="Arial" panose="020B0604020202020204" pitchFamily="34" charset="0"/>
                    <a:cs typeface="Arial" panose="020B0604020202020204" pitchFamily="34" charset="0"/>
                  </a:defRPr>
                </a:pPr>
                <a:r>
                  <a:rPr lang="en-US" sz="1100">
                    <a:latin typeface="Arial" panose="020B0604020202020204" pitchFamily="34" charset="0"/>
                    <a:cs typeface="Arial" panose="020B0604020202020204" pitchFamily="34" charset="0"/>
                  </a:rPr>
                  <a:t>Forecast Year</a:t>
                </a:r>
              </a:p>
            </c:rich>
          </c:tx>
          <c:layout>
            <c:manualLayout>
              <c:xMode val="edge"/>
              <c:yMode val="edge"/>
              <c:x val="0.47586895649185917"/>
              <c:y val="0.9363016936315796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653056"/>
        <c:crosses val="autoZero"/>
        <c:auto val="1"/>
        <c:lblAlgn val="ctr"/>
        <c:lblOffset val="100"/>
        <c:noMultiLvlLbl val="0"/>
      </c:catAx>
      <c:valAx>
        <c:axId val="136653056"/>
        <c:scaling>
          <c:orientation val="minMax"/>
        </c:scaling>
        <c:delete val="0"/>
        <c:axPos val="l"/>
        <c:majorGridlines/>
        <c:title>
          <c:tx>
            <c:rich>
              <a:bodyPr rot="-5400000" vert="horz"/>
              <a:lstStyle/>
              <a:p>
                <a:pPr>
                  <a:defRPr sz="1050">
                    <a:latin typeface="Arial" panose="020B0604020202020204" pitchFamily="34" charset="0"/>
                    <a:cs typeface="Arial" panose="020B0604020202020204" pitchFamily="34" charset="0"/>
                  </a:defRPr>
                </a:pPr>
                <a:r>
                  <a:rPr lang="en-US" sz="1050">
                    <a:latin typeface="Arial" panose="020B0604020202020204" pitchFamily="34" charset="0"/>
                    <a:cs typeface="Arial" panose="020B0604020202020204" pitchFamily="34" charset="0"/>
                  </a:rPr>
                  <a:t>Aggregate</a:t>
                </a:r>
                <a:r>
                  <a:rPr lang="en-US" sz="1050" baseline="0">
                    <a:latin typeface="Arial" panose="020B0604020202020204" pitchFamily="34" charset="0"/>
                    <a:cs typeface="Arial" panose="020B0604020202020204" pitchFamily="34" charset="0"/>
                  </a:rPr>
                  <a:t> Load Impact (MW)</a:t>
                </a:r>
              </a:p>
            </c:rich>
          </c:tx>
          <c:layout>
            <c:manualLayout>
              <c:xMode val="edge"/>
              <c:yMode val="edge"/>
              <c:x val="1.2999071494893221E-2"/>
              <c:y val="0.30008069886786537"/>
            </c:manualLayout>
          </c:layout>
          <c:overlay val="0"/>
        </c:title>
        <c:numFmt formatCode="General" sourceLinked="1"/>
        <c:majorTickMark val="out"/>
        <c:minorTickMark val="none"/>
        <c:tickLblPos val="nextTo"/>
        <c:txPr>
          <a:bodyPr/>
          <a:lstStyle/>
          <a:p>
            <a:pPr>
              <a:defRPr sz="1100">
                <a:latin typeface="Arial" panose="020B0604020202020204" pitchFamily="34" charset="0"/>
                <a:cs typeface="Arial" panose="020B0604020202020204" pitchFamily="34" charset="0"/>
              </a:defRPr>
            </a:pPr>
            <a:endParaRPr lang="en-US"/>
          </a:p>
        </c:txPr>
        <c:crossAx val="136651136"/>
        <c:crosses val="autoZero"/>
        <c:crossBetween val="between"/>
      </c:valAx>
    </c:plotArea>
    <c:legend>
      <c:legendPos val="t"/>
      <c:overlay val="0"/>
      <c:txPr>
        <a:bodyPr/>
        <a:lstStyle/>
        <a:p>
          <a:pPr>
            <a:defRPr sz="1200">
              <a:latin typeface="Arial" panose="020B0604020202020204" pitchFamily="34" charset="0"/>
              <a:cs typeface="Arial" panose="020B0604020202020204" pitchFamily="34" charset="0"/>
            </a:defRPr>
          </a:pPr>
          <a:endParaRPr lang="en-US"/>
        </a:p>
      </c:txPr>
    </c:legend>
    <c:plotVisOnly val="1"/>
    <c:dispBlanksAs val="gap"/>
    <c:showDLblsOverMax val="0"/>
  </c:chart>
  <c:externalData r:id="rId2">
    <c:autoUpdate val="0"/>
  </c:externalData>
</c:chartSpace>
</file>

<file path=word/theme/theme1.xml><?xml version="1.0" encoding="utf-8"?>
<a:theme xmlns:a="http://schemas.openxmlformats.org/drawingml/2006/main" name="Nexant_colors">
  <a:themeElements>
    <a:clrScheme name="Nexant_PP">
      <a:dk1>
        <a:srgbClr val="464749"/>
      </a:dk1>
      <a:lt1>
        <a:sysClr val="window" lastClr="FFFFFF"/>
      </a:lt1>
      <a:dk2>
        <a:srgbClr val="0070CD"/>
      </a:dk2>
      <a:lt2>
        <a:srgbClr val="C7C9CB"/>
      </a:lt2>
      <a:accent1>
        <a:srgbClr val="0070CD"/>
      </a:accent1>
      <a:accent2>
        <a:srgbClr val="77BC1F"/>
      </a:accent2>
      <a:accent3>
        <a:srgbClr val="FB9E4C"/>
      </a:accent3>
      <a:accent4>
        <a:srgbClr val="5A5B5E"/>
      </a:accent4>
      <a:accent5>
        <a:srgbClr val="818386"/>
      </a:accent5>
      <a:accent6>
        <a:srgbClr val="FB9E4C"/>
      </a:accent6>
      <a:hlink>
        <a:srgbClr val="77BC1F"/>
      </a:hlink>
      <a:folHlink>
        <a:srgbClr val="77BC1F"/>
      </a:folHlink>
    </a:clrScheme>
    <a:fontScheme name="Nexant">
      <a:majorFont>
        <a:latin typeface="Arial Narrow"/>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2"/>
        </a:solidFill>
        <a:ln>
          <a:noFill/>
        </a:ln>
        <a:effectLst/>
      </a:spPr>
      <a:bodyPr rtlCol="0" anchor="ctr"/>
      <a:lstStyle>
        <a:defPPr algn="ctr">
          <a:defRPr/>
        </a:defPPr>
      </a:lstStyle>
      <a:style>
        <a:lnRef idx="1">
          <a:schemeClr val="accent1"/>
        </a:lnRef>
        <a:fillRef idx="3">
          <a:schemeClr val="accent1"/>
        </a:fillRef>
        <a:effectRef idx="2">
          <a:schemeClr val="accent1"/>
        </a:effectRef>
        <a:fontRef idx="minor">
          <a:schemeClr val="lt1"/>
        </a:fontRef>
      </a:style>
    </a:spDef>
    <a:lnDef>
      <a:spPr>
        <a:effectLst/>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noAutofit/>
      </a:bodyPr>
      <a:lstStyle>
        <a:defPPr>
          <a:defRPr sz="1800" dirty="0" err="1" smtClean="0"/>
        </a:defPPr>
      </a:lstStyle>
    </a:tx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3BF64A-23C8-4EBA-9EED-48C05CCE87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98</Pages>
  <Words>26384</Words>
  <Characters>150390</Characters>
  <Application>Microsoft Office Word</Application>
  <DocSecurity>0</DocSecurity>
  <Lines>1253</Lines>
  <Paragraphs>352</Paragraphs>
  <ScaleCrop>false</ScaleCrop>
  <HeadingPairs>
    <vt:vector size="2" baseType="variant">
      <vt:variant>
        <vt:lpstr>Title</vt:lpstr>
      </vt:variant>
      <vt:variant>
        <vt:i4>1</vt:i4>
      </vt:variant>
    </vt:vector>
  </HeadingPairs>
  <TitlesOfParts>
    <vt:vector size="1" baseType="lpstr">
      <vt:lpstr/>
    </vt:vector>
  </TitlesOfParts>
  <Company>FSC Group</Company>
  <LinksUpToDate>false</LinksUpToDate>
  <CharactersWithSpaces>176422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Rohde, Michael</dc:creator>
  <cp:lastModifiedBy>Bell, Eric</cp:lastModifiedBy>
  <cp:revision>7</cp:revision>
  <cp:lastPrinted>2016-02-20T15:51:00Z</cp:lastPrinted>
  <dcterms:created xsi:type="dcterms:W3CDTF">2018-03-09T00:36:00Z</dcterms:created>
  <dcterms:modified xsi:type="dcterms:W3CDTF">2018-03-10T00:14:00Z</dcterms:modified>
</cp:coreProperties>
</file>