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4.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5.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6.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7.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8.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9.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10.xml" ContentType="application/vnd.openxmlformats-officedocument.themeOverrid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11.xml" ContentType="application/vnd.openxmlformats-officedocument.themeOverrid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12.xml" ContentType="application/vnd.openxmlformats-officedocument.themeOverride+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1.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2.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13.xml" ContentType="application/vnd.openxmlformats-officedocument.themeOverride+xml"/>
  <Override PartName="/word/charts/chart43.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14.xml" ContentType="application/vnd.openxmlformats-officedocument.themeOverride+xml"/>
  <Override PartName="/word/charts/chart44.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45.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46.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47.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15.xml" ContentType="application/vnd.openxmlformats-officedocument.themeOverride+xml"/>
  <Override PartName="/word/charts/chart48.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49.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50.xml" ContentType="application/vnd.openxmlformats-officedocument.drawingml.chart+xml"/>
  <Override PartName="/word/charts/style50.xml" ContentType="application/vnd.ms-office.chartstyle+xml"/>
  <Override PartName="/word/charts/colors50.xml" ContentType="application/vnd.ms-office.chartcolorstyle+xml"/>
  <Override PartName="/word/charts/chart51.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52.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53.xml" ContentType="application/vnd.openxmlformats-officedocument.drawingml.chart+xml"/>
  <Override PartName="/word/charts/style53.xml" ContentType="application/vnd.ms-office.chartstyle+xml"/>
  <Override PartName="/word/charts/colors53.xml" ContentType="application/vnd.ms-office.chartcolorstyle+xml"/>
  <Override PartName="/word/charts/chart54.xml" ContentType="application/vnd.openxmlformats-officedocument.drawingml.chart+xml"/>
  <Override PartName="/word/charts/style54.xml" ContentType="application/vnd.ms-office.chartstyle+xml"/>
  <Override PartName="/word/charts/colors54.xml" ContentType="application/vnd.ms-office.chartcolorstyle+xml"/>
  <Override PartName="/word/charts/chart55.xml" ContentType="application/vnd.openxmlformats-officedocument.drawingml.chart+xml"/>
  <Override PartName="/word/charts/style55.xml" ContentType="application/vnd.ms-office.chartstyle+xml"/>
  <Override PartName="/word/charts/colors55.xml" ContentType="application/vnd.ms-office.chartcolorstyle+xml"/>
  <Override PartName="/word/charts/chart56.xml" ContentType="application/vnd.openxmlformats-officedocument.drawingml.chart+xml"/>
  <Override PartName="/word/charts/style56.xml" ContentType="application/vnd.ms-office.chartstyle+xml"/>
  <Override PartName="/word/charts/colors56.xml" ContentType="application/vnd.ms-office.chartcolorstyle+xml"/>
  <Override PartName="/word/charts/chart57.xml" ContentType="application/vnd.openxmlformats-officedocument.drawingml.chart+xml"/>
  <Override PartName="/word/charts/style57.xml" ContentType="application/vnd.ms-office.chartstyle+xml"/>
  <Override PartName="/word/charts/colors57.xml" ContentType="application/vnd.ms-office.chartcolorstyle+xml"/>
  <Override PartName="/word/charts/chart58.xml" ContentType="application/vnd.openxmlformats-officedocument.drawingml.chart+xml"/>
  <Override PartName="/word/charts/style58.xml" ContentType="application/vnd.ms-office.chartstyle+xml"/>
  <Override PartName="/word/charts/colors58.xml" ContentType="application/vnd.ms-office.chartcolorstyle+xml"/>
  <Override PartName="/word/charts/chart59.xml" ContentType="application/vnd.openxmlformats-officedocument.drawingml.chart+xml"/>
  <Override PartName="/word/charts/style59.xml" ContentType="application/vnd.ms-office.chartstyle+xml"/>
  <Override PartName="/word/charts/colors59.xml" ContentType="application/vnd.ms-office.chartcolorstyle+xml"/>
  <Override PartName="/word/charts/chart60.xml" ContentType="application/vnd.openxmlformats-officedocument.drawingml.chart+xml"/>
  <Override PartName="/word/charts/style60.xml" ContentType="application/vnd.ms-office.chartstyle+xml"/>
  <Override PartName="/word/charts/colors60.xml" ContentType="application/vnd.ms-office.chartcolorstyle+xml"/>
  <Override PartName="/word/charts/chart61.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62.xml" ContentType="application/vnd.openxmlformats-officedocument.drawingml.chart+xml"/>
  <Override PartName="/word/charts/style62.xml" ContentType="application/vnd.ms-office.chartstyle+xml"/>
  <Override PartName="/word/charts/colors62.xml" ContentType="application/vnd.ms-office.chartcolorstyle+xml"/>
  <Override PartName="/word/charts/chart63.xml" ContentType="application/vnd.openxmlformats-officedocument.drawingml.chart+xml"/>
  <Override PartName="/word/charts/style63.xml" ContentType="application/vnd.ms-office.chartstyle+xml"/>
  <Override PartName="/word/charts/colors63.xml" ContentType="application/vnd.ms-office.chartcolorstyle+xml"/>
  <Override PartName="/word/charts/chart64.xml" ContentType="application/vnd.openxmlformats-officedocument.drawingml.chart+xml"/>
  <Override PartName="/word/charts/style64.xml" ContentType="application/vnd.ms-office.chartstyle+xml"/>
  <Override PartName="/word/charts/colors64.xml" ContentType="application/vnd.ms-office.chartcolorstyle+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5E261E" w14:textId="680DCD3C" w:rsidR="00467BD7" w:rsidRPr="0072421D" w:rsidRDefault="009F0B00" w:rsidP="00E84DD2">
      <w:pPr>
        <w:spacing w:after="120"/>
        <w:rPr>
          <w:rFonts w:ascii="AvantGarde" w:hAnsi="AvantGarde"/>
          <w:b/>
          <w:i/>
          <w:sz w:val="36"/>
          <w:szCs w:val="36"/>
        </w:rPr>
      </w:pPr>
      <w:r w:rsidRPr="005C41C9">
        <w:rPr>
          <w:rFonts w:ascii="AvantGarde" w:hAnsi="AvantGarde"/>
          <w:noProof/>
        </w:rPr>
        <mc:AlternateContent>
          <mc:Choice Requires="wps">
            <w:drawing>
              <wp:anchor distT="0" distB="0" distL="114300" distR="114300" simplePos="0" relativeHeight="251659264" behindDoc="0" locked="0" layoutInCell="1" allowOverlap="1" wp14:anchorId="74876B62" wp14:editId="33D91C65">
                <wp:simplePos x="0" y="0"/>
                <wp:positionH relativeFrom="column">
                  <wp:posOffset>-3395345</wp:posOffset>
                </wp:positionH>
                <wp:positionV relativeFrom="paragraph">
                  <wp:posOffset>-2808218</wp:posOffset>
                </wp:positionV>
                <wp:extent cx="6057900" cy="1403985"/>
                <wp:effectExtent l="0" t="0" r="19050"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3985"/>
                        </a:xfrm>
                        <a:prstGeom prst="rect">
                          <a:avLst/>
                        </a:prstGeom>
                        <a:solidFill>
                          <a:srgbClr val="FFFFFF"/>
                        </a:solidFill>
                        <a:ln w="9525">
                          <a:solidFill>
                            <a:srgbClr val="000000"/>
                          </a:solidFill>
                          <a:miter lim="800000"/>
                          <a:headEnd/>
                          <a:tailEnd/>
                        </a:ln>
                      </wps:spPr>
                      <wps:txbx>
                        <w:txbxContent>
                          <w:p w14:paraId="2838142C" w14:textId="0F0D6649" w:rsidR="006F4399" w:rsidRDefault="006F4399" w:rsidP="009F0B00">
                            <w:pPr>
                              <w:rPr>
                                <w:sz w:val="20"/>
                                <w:szCs w:val="20"/>
                              </w:rPr>
                            </w:pPr>
                            <w:r>
                              <w:rPr>
                                <w:sz w:val="20"/>
                                <w:szCs w:val="20"/>
                              </w:rPr>
                              <w:t>This document contains Pacific Gas and Electric Company’s CONFIDENTIAL information described in Declaration of Franklin Fuchs dated March 30, 2018.</w:t>
                            </w:r>
                          </w:p>
                          <w:p w14:paraId="0A6AA8B7" w14:textId="77777777" w:rsidR="006F4399" w:rsidRPr="005C41C9" w:rsidRDefault="006F4399" w:rsidP="009F0B00">
                            <w:pPr>
                              <w:rPr>
                                <w:sz w:val="20"/>
                                <w:szCs w:val="20"/>
                              </w:rPr>
                            </w:pPr>
                          </w:p>
                          <w:p w14:paraId="38D727F5" w14:textId="4BD39276" w:rsidR="006F4399" w:rsidRDefault="006F4399" w:rsidP="009F0B00">
                            <w:r>
                              <w:rPr>
                                <w:sz w:val="20"/>
                                <w:szCs w:val="20"/>
                              </w:rPr>
                              <w:t>Public Version. Redactions in “2017 Statewide Load Impact Evaluation of Non-Residential Critical Peak Pricing (CPP) Rates” and appendices.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876B62" id="_x0000_t202" coordsize="21600,21600" o:spt="202" path="m,l,21600r21600,l21600,xe">
                <v:stroke joinstyle="miter"/>
                <v:path gradientshapeok="t" o:connecttype="rect"/>
              </v:shapetype>
              <v:shape id="Text Box 2" o:spid="_x0000_s1026" type="#_x0000_t202" style="position:absolute;margin-left:-267.35pt;margin-top:-221.1pt;width:477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">
                <v:textbox style="mso-fit-shape-to-text:t">
                  <w:txbxContent>
                    <w:p w14:paraId="2838142C" w14:textId="0F0D6649" w:rsidR="006F4399" w:rsidRDefault="006F4399" w:rsidP="009F0B00">
                      <w:pPr>
                        <w:rPr>
                          <w:sz w:val="20"/>
                          <w:szCs w:val="20"/>
                        </w:rPr>
                      </w:pPr>
                      <w:r>
                        <w:rPr>
                          <w:sz w:val="20"/>
                          <w:szCs w:val="20"/>
                        </w:rPr>
                        <w:t>This document contains Pacific Gas and Electric Company’s CONFIDENTIAL information described in Declaration of Franklin Fuchs dated March 30, 2018.</w:t>
                      </w:r>
                    </w:p>
                    <w:p w14:paraId="0A6AA8B7" w14:textId="77777777" w:rsidR="006F4399" w:rsidRPr="005C41C9" w:rsidRDefault="006F4399" w:rsidP="009F0B00">
                      <w:pPr>
                        <w:rPr>
                          <w:sz w:val="20"/>
                          <w:szCs w:val="20"/>
                        </w:rPr>
                      </w:pPr>
                    </w:p>
                    <w:p w14:paraId="38D727F5" w14:textId="4BD39276" w:rsidR="006F4399" w:rsidRDefault="006F4399" w:rsidP="009F0B00">
                      <w:r>
                        <w:rPr>
                          <w:sz w:val="20"/>
                          <w:szCs w:val="20"/>
                        </w:rPr>
                        <w:t>Public Version. Redactions in “2017 Statewide Load Impact Evaluation of Non-Residential Critical Peak Pricing (CPP) Rates” and appendices.</w:t>
                      </w:r>
                    </w:p>
                  </w:txbxContent>
                </v:textbox>
              </v:shape>
            </w:pict>
          </mc:Fallback>
        </mc:AlternateContent>
      </w:r>
      <w:r w:rsidR="00321E09" w:rsidRPr="002225A8">
        <w:rPr>
          <w:rFonts w:asciiTheme="minorHAnsi" w:hAnsiTheme="minorHAnsi"/>
          <w:b/>
          <w:sz w:val="36"/>
          <w:szCs w:val="36"/>
        </w:rPr>
        <w:t>20</w:t>
      </w:r>
      <w:r w:rsidR="00467BD7" w:rsidRPr="002225A8">
        <w:rPr>
          <w:rFonts w:asciiTheme="minorHAnsi" w:hAnsiTheme="minorHAnsi"/>
          <w:b/>
          <w:sz w:val="36"/>
          <w:szCs w:val="36"/>
        </w:rPr>
        <w:t>1</w:t>
      </w:r>
      <w:r w:rsidR="00F213E5">
        <w:rPr>
          <w:rFonts w:asciiTheme="minorHAnsi" w:hAnsiTheme="minorHAnsi"/>
          <w:b/>
          <w:sz w:val="36"/>
          <w:szCs w:val="36"/>
        </w:rPr>
        <w:t>7</w:t>
      </w:r>
      <w:r w:rsidR="007B05B9" w:rsidRPr="002225A8">
        <w:rPr>
          <w:rFonts w:asciiTheme="minorHAnsi" w:hAnsiTheme="minorHAnsi"/>
          <w:b/>
          <w:sz w:val="36"/>
          <w:szCs w:val="36"/>
        </w:rPr>
        <w:t xml:space="preserve"> </w:t>
      </w:r>
      <w:r w:rsidR="00F213E5">
        <w:rPr>
          <w:rFonts w:asciiTheme="minorHAnsi" w:hAnsiTheme="minorHAnsi"/>
          <w:b/>
          <w:sz w:val="36"/>
          <w:szCs w:val="36"/>
        </w:rPr>
        <w:t xml:space="preserve">Statewide </w:t>
      </w:r>
      <w:r w:rsidR="002225A8" w:rsidRPr="002225A8">
        <w:rPr>
          <w:b/>
          <w:sz w:val="36"/>
          <w:szCs w:val="36"/>
        </w:rPr>
        <w:t xml:space="preserve">Load Impact Evaluation of </w:t>
      </w:r>
      <w:r w:rsidR="00F213E5">
        <w:rPr>
          <w:b/>
          <w:sz w:val="36"/>
          <w:szCs w:val="36"/>
        </w:rPr>
        <w:t xml:space="preserve">Non-Residential </w:t>
      </w:r>
      <w:r w:rsidR="00F213E5" w:rsidRPr="002225A8">
        <w:rPr>
          <w:b/>
          <w:sz w:val="36"/>
          <w:szCs w:val="36"/>
        </w:rPr>
        <w:t>Critical Peak Pricing</w:t>
      </w:r>
      <w:r w:rsidR="00F213E5">
        <w:rPr>
          <w:b/>
          <w:sz w:val="36"/>
          <w:szCs w:val="36"/>
        </w:rPr>
        <w:t xml:space="preserve"> (CPP) Rates </w:t>
      </w:r>
    </w:p>
    <w:p w14:paraId="361B56DC" w14:textId="77777777" w:rsidR="00321E09" w:rsidRPr="0072421D" w:rsidRDefault="00321E09" w:rsidP="00E84DD2">
      <w:pPr>
        <w:spacing w:after="120"/>
        <w:rPr>
          <w:rFonts w:ascii="AvantGarde" w:hAnsi="AvantGarde"/>
        </w:rPr>
      </w:pPr>
    </w:p>
    <w:p w14:paraId="51E00618" w14:textId="24FB0021" w:rsidR="00321E09" w:rsidRDefault="005651D3" w:rsidP="00E84DD2">
      <w:pPr>
        <w:spacing w:after="120"/>
        <w:rPr>
          <w:rFonts w:ascii="AvantGarde" w:hAnsi="AvantGarde"/>
          <w:b/>
          <w:sz w:val="28"/>
          <w:szCs w:val="28"/>
        </w:rPr>
      </w:pPr>
      <w:r w:rsidRPr="0072421D">
        <w:rPr>
          <w:rFonts w:ascii="AvantGarde" w:hAnsi="AvantGarde"/>
          <w:b/>
          <w:sz w:val="28"/>
          <w:szCs w:val="28"/>
        </w:rPr>
        <w:t xml:space="preserve">CALMAC Study ID </w:t>
      </w:r>
      <w:r w:rsidR="002225A8">
        <w:rPr>
          <w:rFonts w:ascii="AvantGarde" w:hAnsi="AvantGarde"/>
          <w:b/>
          <w:sz w:val="28"/>
          <w:szCs w:val="28"/>
        </w:rPr>
        <w:t>SD</w:t>
      </w:r>
      <w:r w:rsidR="00544584">
        <w:rPr>
          <w:rFonts w:ascii="AvantGarde" w:hAnsi="AvantGarde"/>
          <w:b/>
          <w:sz w:val="28"/>
          <w:szCs w:val="28"/>
        </w:rPr>
        <w:t>G</w:t>
      </w:r>
      <w:r w:rsidR="00D640C0">
        <w:rPr>
          <w:rFonts w:ascii="AvantGarde" w:hAnsi="AvantGarde"/>
          <w:b/>
          <w:sz w:val="28"/>
          <w:szCs w:val="28"/>
        </w:rPr>
        <w:t>0312</w:t>
      </w:r>
    </w:p>
    <w:p w14:paraId="0A658816" w14:textId="77777777" w:rsidR="00321E09" w:rsidRPr="0072421D" w:rsidRDefault="00321E09" w:rsidP="00E84DD2">
      <w:pPr>
        <w:spacing w:after="120"/>
        <w:rPr>
          <w:rFonts w:ascii="AvantGarde" w:hAnsi="AvantGarde"/>
        </w:rPr>
      </w:pPr>
    </w:p>
    <w:p w14:paraId="74227840" w14:textId="2F432745" w:rsidR="000B3C39" w:rsidRPr="0072421D" w:rsidRDefault="000B3C39" w:rsidP="00E84DD2">
      <w:pPr>
        <w:spacing w:after="120"/>
        <w:rPr>
          <w:rFonts w:ascii="AvantGarde" w:hAnsi="AvantGarde"/>
          <w:lang w:val="nb-NO"/>
        </w:rPr>
      </w:pPr>
      <w:r w:rsidRPr="0072421D">
        <w:rPr>
          <w:rFonts w:ascii="AvantGarde" w:hAnsi="AvantGarde"/>
          <w:lang w:val="nb-NO"/>
        </w:rPr>
        <w:t>Daniel G. Hansen</w:t>
      </w:r>
    </w:p>
    <w:p w14:paraId="197A776E" w14:textId="779EB66F" w:rsidR="00997C53" w:rsidRPr="0072421D" w:rsidRDefault="003B4578" w:rsidP="00E84DD2">
      <w:pPr>
        <w:spacing w:after="120"/>
        <w:rPr>
          <w:rFonts w:ascii="AvantGarde" w:hAnsi="AvantGarde"/>
          <w:lang w:val="nb-NO"/>
        </w:rPr>
      </w:pPr>
      <w:r>
        <w:rPr>
          <w:rFonts w:ascii="AvantGarde" w:hAnsi="AvantGarde"/>
        </w:rPr>
        <w:t>Michael Ty Clark</w:t>
      </w:r>
    </w:p>
    <w:p w14:paraId="4662EE1B" w14:textId="23E0A391" w:rsidR="00214534" w:rsidRDefault="00172E38" w:rsidP="00E84DD2">
      <w:pPr>
        <w:spacing w:after="120"/>
        <w:rPr>
          <w:rFonts w:ascii="AvantGarde" w:hAnsi="AvantGarde"/>
        </w:rPr>
      </w:pPr>
      <w:r>
        <w:rPr>
          <w:rFonts w:ascii="AvantGarde" w:hAnsi="AvantGarde"/>
        </w:rPr>
        <w:t>Corey Lott</w:t>
      </w:r>
    </w:p>
    <w:p w14:paraId="7BEFB08A" w14:textId="37FCCAFA" w:rsidR="00172E38" w:rsidRPr="0072421D" w:rsidRDefault="00172E38" w:rsidP="00E84DD2">
      <w:pPr>
        <w:spacing w:after="120"/>
        <w:rPr>
          <w:rFonts w:ascii="AvantGarde" w:hAnsi="AvantGarde"/>
        </w:rPr>
      </w:pPr>
      <w:r>
        <w:rPr>
          <w:rFonts w:ascii="AvantGarde" w:hAnsi="AvantGarde"/>
        </w:rPr>
        <w:t>Nick Crowley</w:t>
      </w:r>
    </w:p>
    <w:p w14:paraId="50DACA4A" w14:textId="77777777" w:rsidR="00321E09" w:rsidRPr="0072421D" w:rsidRDefault="00321E09" w:rsidP="00E84DD2">
      <w:pPr>
        <w:spacing w:after="120"/>
        <w:rPr>
          <w:rFonts w:ascii="AvantGarde" w:hAnsi="AvantGarde"/>
        </w:rPr>
      </w:pPr>
    </w:p>
    <w:p w14:paraId="748F4814" w14:textId="0C213D8A" w:rsidR="00321E09" w:rsidRDefault="000E76C7" w:rsidP="00E84DD2">
      <w:pPr>
        <w:spacing w:after="120"/>
        <w:rPr>
          <w:rFonts w:ascii="AvantGarde" w:hAnsi="AvantGarde"/>
          <w:i/>
        </w:rPr>
      </w:pPr>
      <w:r>
        <w:rPr>
          <w:rFonts w:ascii="AvantGarde" w:hAnsi="AvantGarde"/>
          <w:i/>
        </w:rPr>
        <w:t>April 1</w:t>
      </w:r>
      <w:r w:rsidR="00EF2F8F">
        <w:rPr>
          <w:rFonts w:ascii="AvantGarde" w:hAnsi="AvantGarde"/>
          <w:i/>
        </w:rPr>
        <w:t>,</w:t>
      </w:r>
      <w:r w:rsidR="002C5EF2">
        <w:rPr>
          <w:rFonts w:ascii="AvantGarde" w:hAnsi="AvantGarde"/>
          <w:i/>
        </w:rPr>
        <w:t xml:space="preserve"> 2018</w:t>
      </w:r>
    </w:p>
    <w:p w14:paraId="70B1A49C" w14:textId="77777777" w:rsidR="00BF5CF6" w:rsidRDefault="00BF5CF6" w:rsidP="00BF5CF6">
      <w:pPr>
        <w:ind w:left="-5040" w:right="644"/>
        <w:rPr>
          <w:b/>
          <w:bCs/>
          <w:color w:val="FF0000"/>
          <w:sz w:val="20"/>
          <w:szCs w:val="20"/>
        </w:rPr>
      </w:pPr>
    </w:p>
    <w:p w14:paraId="49A02EB5" w14:textId="77777777" w:rsidR="00BF5CF6" w:rsidRDefault="00BF5CF6" w:rsidP="00BF5CF6">
      <w:pPr>
        <w:ind w:left="-5040" w:right="644"/>
        <w:rPr>
          <w:b/>
          <w:bCs/>
          <w:color w:val="FF0000"/>
          <w:sz w:val="20"/>
          <w:szCs w:val="20"/>
        </w:rPr>
      </w:pPr>
    </w:p>
    <w:p w14:paraId="433E4591" w14:textId="0C1F27CA" w:rsidR="00BF5CF6" w:rsidRDefault="00BF5CF6" w:rsidP="00BF5CF6">
      <w:pPr>
        <w:ind w:left="-5040" w:right="644"/>
        <w:rPr>
          <w:rFonts w:ascii="AvantGarde" w:hAnsi="AvantGarde"/>
          <w:i/>
        </w:rPr>
      </w:pPr>
      <w:r>
        <w:rPr>
          <w:b/>
          <w:bCs/>
          <w:color w:val="FF0000"/>
          <w:sz w:val="20"/>
          <w:szCs w:val="20"/>
        </w:rPr>
        <w:t>Marked Confidential in Accordance with California Law and Regulations – Basis for Confidentiality in Southern California Edison’s Accompanying Confidentiality Declaration.</w:t>
      </w:r>
    </w:p>
    <w:p w14:paraId="1C054E99" w14:textId="5F932554" w:rsidR="00BF5CF6" w:rsidRPr="003601DE" w:rsidRDefault="00BF5CF6" w:rsidP="00E84DD2">
      <w:pPr>
        <w:spacing w:after="120"/>
        <w:rPr>
          <w:rFonts w:ascii="AvantGarde" w:hAnsi="AvantGarde"/>
          <w:i/>
        </w:rPr>
        <w:sectPr w:rsidR="00BF5CF6" w:rsidRPr="003601DE" w:rsidSect="003601DE">
          <w:headerReference w:type="default" r:id="rId8"/>
          <w:footerReference w:type="even" r:id="rId9"/>
          <w:footerReference w:type="default" r:id="rId10"/>
          <w:pgSz w:w="12240" w:h="15840"/>
          <w:pgMar w:top="4863" w:right="432" w:bottom="2520" w:left="6754" w:header="2880" w:footer="1890" w:gutter="0"/>
          <w:pgNumType w:fmt="lowerRoman"/>
          <w:cols w:space="720"/>
          <w:docGrid w:linePitch="360"/>
        </w:sectPr>
      </w:pPr>
    </w:p>
    <w:p w14:paraId="37CD273E" w14:textId="77777777" w:rsidR="00321E09" w:rsidRPr="009D1511" w:rsidRDefault="00321E09" w:rsidP="00E84DD2">
      <w:pPr>
        <w:pStyle w:val="TOC1"/>
        <w:spacing w:after="120"/>
      </w:pPr>
      <w:r w:rsidRPr="00A22636">
        <w:lastRenderedPageBreak/>
        <w:t>Table of Contents</w:t>
      </w:r>
    </w:p>
    <w:p w14:paraId="546758A7" w14:textId="77777777" w:rsidR="00321E09" w:rsidRDefault="00321E09" w:rsidP="00E84DD2">
      <w:pPr>
        <w:pStyle w:val="TOC3"/>
        <w:spacing w:after="120"/>
      </w:pPr>
    </w:p>
    <w:p w14:paraId="7BC07F64" w14:textId="38309999" w:rsidR="00D100B0" w:rsidRDefault="00321E09">
      <w:pPr>
        <w:pStyle w:val="TOC1"/>
        <w:rPr>
          <w:rFonts w:asciiTheme="minorHAnsi" w:eastAsiaTheme="minorEastAsia" w:hAnsiTheme="minorHAnsi" w:cstheme="minorBidi"/>
          <w:b w:val="0"/>
          <w:noProof/>
          <w:sz w:val="22"/>
          <w:szCs w:val="22"/>
        </w:rPr>
      </w:pPr>
      <w:r w:rsidRPr="00421999">
        <w:rPr>
          <w:sz w:val="22"/>
          <w:szCs w:val="22"/>
        </w:rPr>
        <w:fldChar w:fldCharType="begin"/>
      </w:r>
      <w:r w:rsidRPr="00421999">
        <w:rPr>
          <w:sz w:val="22"/>
          <w:szCs w:val="22"/>
        </w:rPr>
        <w:instrText xml:space="preserve"> TOC \o "1-3" \h \z \u </w:instrText>
      </w:r>
      <w:r w:rsidRPr="00421999">
        <w:rPr>
          <w:sz w:val="22"/>
          <w:szCs w:val="22"/>
        </w:rPr>
        <w:fldChar w:fldCharType="separate"/>
      </w:r>
      <w:hyperlink w:anchor="_Toc509837290" w:history="1">
        <w:r w:rsidR="00D100B0" w:rsidRPr="009E2CBD">
          <w:rPr>
            <w:rStyle w:val="Hyperlink"/>
            <w:noProof/>
          </w:rPr>
          <w:t>Executive Summary</w:t>
        </w:r>
        <w:r w:rsidR="00D100B0">
          <w:rPr>
            <w:noProof/>
            <w:webHidden/>
          </w:rPr>
          <w:tab/>
        </w:r>
        <w:r w:rsidR="00D100B0">
          <w:rPr>
            <w:noProof/>
            <w:webHidden/>
          </w:rPr>
          <w:fldChar w:fldCharType="begin"/>
        </w:r>
        <w:r w:rsidR="00D100B0">
          <w:rPr>
            <w:noProof/>
            <w:webHidden/>
          </w:rPr>
          <w:instrText xml:space="preserve"> PAGEREF _Toc509837290 \h </w:instrText>
        </w:r>
        <w:r w:rsidR="00D100B0">
          <w:rPr>
            <w:noProof/>
            <w:webHidden/>
          </w:rPr>
        </w:r>
        <w:r w:rsidR="00D100B0">
          <w:rPr>
            <w:noProof/>
            <w:webHidden/>
          </w:rPr>
          <w:fldChar w:fldCharType="separate"/>
        </w:r>
        <w:r w:rsidR="005D5C7C">
          <w:rPr>
            <w:noProof/>
            <w:webHidden/>
          </w:rPr>
          <w:t>1</w:t>
        </w:r>
        <w:r w:rsidR="00D100B0">
          <w:rPr>
            <w:noProof/>
            <w:webHidden/>
          </w:rPr>
          <w:fldChar w:fldCharType="end"/>
        </w:r>
      </w:hyperlink>
    </w:p>
    <w:p w14:paraId="22E410D9" w14:textId="78F4E552"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291" w:history="1">
        <w:r w:rsidR="00D100B0" w:rsidRPr="009E2CBD">
          <w:rPr>
            <w:rStyle w:val="Hyperlink"/>
            <w:noProof/>
          </w:rPr>
          <w:t>ES.1 Resources Covered</w:t>
        </w:r>
        <w:r w:rsidR="00D100B0">
          <w:rPr>
            <w:noProof/>
            <w:webHidden/>
          </w:rPr>
          <w:tab/>
        </w:r>
        <w:r w:rsidR="00D100B0">
          <w:rPr>
            <w:noProof/>
            <w:webHidden/>
          </w:rPr>
          <w:fldChar w:fldCharType="begin"/>
        </w:r>
        <w:r w:rsidR="00D100B0">
          <w:rPr>
            <w:noProof/>
            <w:webHidden/>
          </w:rPr>
          <w:instrText xml:space="preserve"> PAGEREF _Toc509837291 \h </w:instrText>
        </w:r>
        <w:r w:rsidR="00D100B0">
          <w:rPr>
            <w:noProof/>
            <w:webHidden/>
          </w:rPr>
        </w:r>
        <w:r w:rsidR="00D100B0">
          <w:rPr>
            <w:noProof/>
            <w:webHidden/>
          </w:rPr>
          <w:fldChar w:fldCharType="separate"/>
        </w:r>
        <w:r w:rsidR="005D5C7C">
          <w:rPr>
            <w:noProof/>
            <w:webHidden/>
          </w:rPr>
          <w:t>1</w:t>
        </w:r>
        <w:r w:rsidR="00D100B0">
          <w:rPr>
            <w:noProof/>
            <w:webHidden/>
          </w:rPr>
          <w:fldChar w:fldCharType="end"/>
        </w:r>
      </w:hyperlink>
    </w:p>
    <w:p w14:paraId="22670F81" w14:textId="53B8D34C"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292" w:history="1">
        <w:r w:rsidR="00D100B0" w:rsidRPr="009E2CBD">
          <w:rPr>
            <w:rStyle w:val="Hyperlink"/>
            <w:noProof/>
          </w:rPr>
          <w:t>ES.2 Evaluation Methodologies</w:t>
        </w:r>
        <w:r w:rsidR="00D100B0">
          <w:rPr>
            <w:noProof/>
            <w:webHidden/>
          </w:rPr>
          <w:tab/>
        </w:r>
        <w:r w:rsidR="00D100B0">
          <w:rPr>
            <w:noProof/>
            <w:webHidden/>
          </w:rPr>
          <w:fldChar w:fldCharType="begin"/>
        </w:r>
        <w:r w:rsidR="00D100B0">
          <w:rPr>
            <w:noProof/>
            <w:webHidden/>
          </w:rPr>
          <w:instrText xml:space="preserve"> PAGEREF _Toc509837292 \h </w:instrText>
        </w:r>
        <w:r w:rsidR="00D100B0">
          <w:rPr>
            <w:noProof/>
            <w:webHidden/>
          </w:rPr>
        </w:r>
        <w:r w:rsidR="00D100B0">
          <w:rPr>
            <w:noProof/>
            <w:webHidden/>
          </w:rPr>
          <w:fldChar w:fldCharType="separate"/>
        </w:r>
        <w:r w:rsidR="005D5C7C">
          <w:rPr>
            <w:noProof/>
            <w:webHidden/>
          </w:rPr>
          <w:t>2</w:t>
        </w:r>
        <w:r w:rsidR="00D100B0">
          <w:rPr>
            <w:noProof/>
            <w:webHidden/>
          </w:rPr>
          <w:fldChar w:fldCharType="end"/>
        </w:r>
      </w:hyperlink>
    </w:p>
    <w:p w14:paraId="66CA83F4" w14:textId="5B8D48C6"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293" w:history="1">
        <w:r w:rsidR="00D100B0" w:rsidRPr="009E2CBD">
          <w:rPr>
            <w:rStyle w:val="Hyperlink"/>
            <w:noProof/>
          </w:rPr>
          <w:t>ES.3 Ex-Post Load Impacts</w:t>
        </w:r>
        <w:r w:rsidR="00D100B0">
          <w:rPr>
            <w:noProof/>
            <w:webHidden/>
          </w:rPr>
          <w:tab/>
        </w:r>
        <w:r w:rsidR="00D100B0">
          <w:rPr>
            <w:noProof/>
            <w:webHidden/>
          </w:rPr>
          <w:fldChar w:fldCharType="begin"/>
        </w:r>
        <w:r w:rsidR="00D100B0">
          <w:rPr>
            <w:noProof/>
            <w:webHidden/>
          </w:rPr>
          <w:instrText xml:space="preserve"> PAGEREF _Toc509837293 \h </w:instrText>
        </w:r>
        <w:r w:rsidR="00D100B0">
          <w:rPr>
            <w:noProof/>
            <w:webHidden/>
          </w:rPr>
        </w:r>
        <w:r w:rsidR="00D100B0">
          <w:rPr>
            <w:noProof/>
            <w:webHidden/>
          </w:rPr>
          <w:fldChar w:fldCharType="separate"/>
        </w:r>
        <w:r w:rsidR="005D5C7C">
          <w:rPr>
            <w:noProof/>
            <w:webHidden/>
          </w:rPr>
          <w:t>2</w:t>
        </w:r>
        <w:r w:rsidR="00D100B0">
          <w:rPr>
            <w:noProof/>
            <w:webHidden/>
          </w:rPr>
          <w:fldChar w:fldCharType="end"/>
        </w:r>
      </w:hyperlink>
    </w:p>
    <w:p w14:paraId="02351B69" w14:textId="67314978" w:rsidR="00D100B0" w:rsidRDefault="006F4399">
      <w:pPr>
        <w:pStyle w:val="TOC3"/>
        <w:rPr>
          <w:rFonts w:asciiTheme="minorHAnsi" w:eastAsiaTheme="minorEastAsia" w:hAnsiTheme="minorHAnsi" w:cstheme="minorBidi"/>
          <w:noProof/>
          <w:sz w:val="22"/>
          <w:szCs w:val="22"/>
        </w:rPr>
      </w:pPr>
      <w:hyperlink w:anchor="_Toc509837294" w:history="1">
        <w:r w:rsidR="00D100B0" w:rsidRPr="009E2CBD">
          <w:rPr>
            <w:rStyle w:val="Hyperlink"/>
            <w:noProof/>
          </w:rPr>
          <w:t>ES.3.1 PG&amp;E</w:t>
        </w:r>
        <w:r w:rsidR="00D100B0">
          <w:rPr>
            <w:noProof/>
            <w:webHidden/>
          </w:rPr>
          <w:tab/>
        </w:r>
        <w:r w:rsidR="00D100B0">
          <w:rPr>
            <w:noProof/>
            <w:webHidden/>
          </w:rPr>
          <w:fldChar w:fldCharType="begin"/>
        </w:r>
        <w:r w:rsidR="00D100B0">
          <w:rPr>
            <w:noProof/>
            <w:webHidden/>
          </w:rPr>
          <w:instrText xml:space="preserve"> PAGEREF _Toc509837294 \h </w:instrText>
        </w:r>
        <w:r w:rsidR="00D100B0">
          <w:rPr>
            <w:noProof/>
            <w:webHidden/>
          </w:rPr>
        </w:r>
        <w:r w:rsidR="00D100B0">
          <w:rPr>
            <w:noProof/>
            <w:webHidden/>
          </w:rPr>
          <w:fldChar w:fldCharType="separate"/>
        </w:r>
        <w:r w:rsidR="005D5C7C">
          <w:rPr>
            <w:noProof/>
            <w:webHidden/>
          </w:rPr>
          <w:t>2</w:t>
        </w:r>
        <w:r w:rsidR="00D100B0">
          <w:rPr>
            <w:noProof/>
            <w:webHidden/>
          </w:rPr>
          <w:fldChar w:fldCharType="end"/>
        </w:r>
      </w:hyperlink>
    </w:p>
    <w:p w14:paraId="4A69309C" w14:textId="31BF779B" w:rsidR="00D100B0" w:rsidRDefault="006F4399">
      <w:pPr>
        <w:pStyle w:val="TOC3"/>
        <w:rPr>
          <w:rFonts w:asciiTheme="minorHAnsi" w:eastAsiaTheme="minorEastAsia" w:hAnsiTheme="minorHAnsi" w:cstheme="minorBidi"/>
          <w:noProof/>
          <w:sz w:val="22"/>
          <w:szCs w:val="22"/>
        </w:rPr>
      </w:pPr>
      <w:hyperlink w:anchor="_Toc509837295" w:history="1">
        <w:r w:rsidR="00D100B0" w:rsidRPr="009E2CBD">
          <w:rPr>
            <w:rStyle w:val="Hyperlink"/>
            <w:noProof/>
          </w:rPr>
          <w:t>ES.3.2 SCE</w:t>
        </w:r>
        <w:r w:rsidR="00D100B0">
          <w:rPr>
            <w:noProof/>
            <w:webHidden/>
          </w:rPr>
          <w:tab/>
        </w:r>
        <w:r w:rsidR="00D100B0">
          <w:rPr>
            <w:noProof/>
            <w:webHidden/>
          </w:rPr>
          <w:fldChar w:fldCharType="begin"/>
        </w:r>
        <w:r w:rsidR="00D100B0">
          <w:rPr>
            <w:noProof/>
            <w:webHidden/>
          </w:rPr>
          <w:instrText xml:space="preserve"> PAGEREF _Toc509837295 \h </w:instrText>
        </w:r>
        <w:r w:rsidR="00D100B0">
          <w:rPr>
            <w:noProof/>
            <w:webHidden/>
          </w:rPr>
        </w:r>
        <w:r w:rsidR="00D100B0">
          <w:rPr>
            <w:noProof/>
            <w:webHidden/>
          </w:rPr>
          <w:fldChar w:fldCharType="separate"/>
        </w:r>
        <w:r w:rsidR="005D5C7C">
          <w:rPr>
            <w:noProof/>
            <w:webHidden/>
          </w:rPr>
          <w:t>4</w:t>
        </w:r>
        <w:r w:rsidR="00D100B0">
          <w:rPr>
            <w:noProof/>
            <w:webHidden/>
          </w:rPr>
          <w:fldChar w:fldCharType="end"/>
        </w:r>
      </w:hyperlink>
    </w:p>
    <w:p w14:paraId="407AA39F" w14:textId="2D0BBD5F" w:rsidR="00D100B0" w:rsidRDefault="006F4399">
      <w:pPr>
        <w:pStyle w:val="TOC3"/>
        <w:rPr>
          <w:rFonts w:asciiTheme="minorHAnsi" w:eastAsiaTheme="minorEastAsia" w:hAnsiTheme="minorHAnsi" w:cstheme="minorBidi"/>
          <w:noProof/>
          <w:sz w:val="22"/>
          <w:szCs w:val="22"/>
        </w:rPr>
      </w:pPr>
      <w:hyperlink w:anchor="_Toc509837296" w:history="1">
        <w:r w:rsidR="00D100B0" w:rsidRPr="009E2CBD">
          <w:rPr>
            <w:rStyle w:val="Hyperlink"/>
            <w:noProof/>
          </w:rPr>
          <w:t>ES.3.3 SDG&amp;E</w:t>
        </w:r>
        <w:r w:rsidR="00D100B0">
          <w:rPr>
            <w:noProof/>
            <w:webHidden/>
          </w:rPr>
          <w:tab/>
        </w:r>
        <w:r w:rsidR="00D100B0">
          <w:rPr>
            <w:noProof/>
            <w:webHidden/>
          </w:rPr>
          <w:fldChar w:fldCharType="begin"/>
        </w:r>
        <w:r w:rsidR="00D100B0">
          <w:rPr>
            <w:noProof/>
            <w:webHidden/>
          </w:rPr>
          <w:instrText xml:space="preserve"> PAGEREF _Toc509837296 \h </w:instrText>
        </w:r>
        <w:r w:rsidR="00D100B0">
          <w:rPr>
            <w:noProof/>
            <w:webHidden/>
          </w:rPr>
        </w:r>
        <w:r w:rsidR="00D100B0">
          <w:rPr>
            <w:noProof/>
            <w:webHidden/>
          </w:rPr>
          <w:fldChar w:fldCharType="separate"/>
        </w:r>
        <w:r w:rsidR="005D5C7C">
          <w:rPr>
            <w:noProof/>
            <w:webHidden/>
          </w:rPr>
          <w:t>6</w:t>
        </w:r>
        <w:r w:rsidR="00D100B0">
          <w:rPr>
            <w:noProof/>
            <w:webHidden/>
          </w:rPr>
          <w:fldChar w:fldCharType="end"/>
        </w:r>
      </w:hyperlink>
    </w:p>
    <w:p w14:paraId="3BE3D82A" w14:textId="7AF04BC1"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297" w:history="1">
        <w:r w:rsidR="00D100B0" w:rsidRPr="009E2CBD">
          <w:rPr>
            <w:rStyle w:val="Hyperlink"/>
            <w:noProof/>
          </w:rPr>
          <w:t>ES.4 Ex-Ante Load Impacts</w:t>
        </w:r>
        <w:r w:rsidR="00D100B0">
          <w:rPr>
            <w:noProof/>
            <w:webHidden/>
          </w:rPr>
          <w:tab/>
        </w:r>
        <w:r w:rsidR="00D100B0">
          <w:rPr>
            <w:noProof/>
            <w:webHidden/>
          </w:rPr>
          <w:fldChar w:fldCharType="begin"/>
        </w:r>
        <w:r w:rsidR="00D100B0">
          <w:rPr>
            <w:noProof/>
            <w:webHidden/>
          </w:rPr>
          <w:instrText xml:space="preserve"> PAGEREF _Toc509837297 \h </w:instrText>
        </w:r>
        <w:r w:rsidR="00D100B0">
          <w:rPr>
            <w:noProof/>
            <w:webHidden/>
          </w:rPr>
        </w:r>
        <w:r w:rsidR="00D100B0">
          <w:rPr>
            <w:noProof/>
            <w:webHidden/>
          </w:rPr>
          <w:fldChar w:fldCharType="separate"/>
        </w:r>
        <w:r w:rsidR="005D5C7C">
          <w:rPr>
            <w:noProof/>
            <w:webHidden/>
          </w:rPr>
          <w:t>8</w:t>
        </w:r>
        <w:r w:rsidR="00D100B0">
          <w:rPr>
            <w:noProof/>
            <w:webHidden/>
          </w:rPr>
          <w:fldChar w:fldCharType="end"/>
        </w:r>
      </w:hyperlink>
    </w:p>
    <w:p w14:paraId="2EE88F16" w14:textId="68E037A0" w:rsidR="00D100B0" w:rsidRDefault="006F4399">
      <w:pPr>
        <w:pStyle w:val="TOC3"/>
        <w:rPr>
          <w:rFonts w:asciiTheme="minorHAnsi" w:eastAsiaTheme="minorEastAsia" w:hAnsiTheme="minorHAnsi" w:cstheme="minorBidi"/>
          <w:noProof/>
          <w:sz w:val="22"/>
          <w:szCs w:val="22"/>
        </w:rPr>
      </w:pPr>
      <w:hyperlink w:anchor="_Toc509837298" w:history="1">
        <w:r w:rsidR="00D100B0" w:rsidRPr="009E2CBD">
          <w:rPr>
            <w:rStyle w:val="Hyperlink"/>
            <w:noProof/>
          </w:rPr>
          <w:t>ES.4.1 Ex-ante load impacts – PG&amp;E</w:t>
        </w:r>
        <w:r w:rsidR="00D100B0">
          <w:rPr>
            <w:noProof/>
            <w:webHidden/>
          </w:rPr>
          <w:tab/>
        </w:r>
        <w:r w:rsidR="00D100B0">
          <w:rPr>
            <w:noProof/>
            <w:webHidden/>
          </w:rPr>
          <w:fldChar w:fldCharType="begin"/>
        </w:r>
        <w:r w:rsidR="00D100B0">
          <w:rPr>
            <w:noProof/>
            <w:webHidden/>
          </w:rPr>
          <w:instrText xml:space="preserve"> PAGEREF _Toc509837298 \h </w:instrText>
        </w:r>
        <w:r w:rsidR="00D100B0">
          <w:rPr>
            <w:noProof/>
            <w:webHidden/>
          </w:rPr>
        </w:r>
        <w:r w:rsidR="00D100B0">
          <w:rPr>
            <w:noProof/>
            <w:webHidden/>
          </w:rPr>
          <w:fldChar w:fldCharType="separate"/>
        </w:r>
        <w:r w:rsidR="005D5C7C">
          <w:rPr>
            <w:noProof/>
            <w:webHidden/>
          </w:rPr>
          <w:t>8</w:t>
        </w:r>
        <w:r w:rsidR="00D100B0">
          <w:rPr>
            <w:noProof/>
            <w:webHidden/>
          </w:rPr>
          <w:fldChar w:fldCharType="end"/>
        </w:r>
      </w:hyperlink>
    </w:p>
    <w:p w14:paraId="2AC611F0" w14:textId="7C0D58B7" w:rsidR="00D100B0" w:rsidRDefault="006F4399">
      <w:pPr>
        <w:pStyle w:val="TOC3"/>
        <w:rPr>
          <w:rFonts w:asciiTheme="minorHAnsi" w:eastAsiaTheme="minorEastAsia" w:hAnsiTheme="minorHAnsi" w:cstheme="minorBidi"/>
          <w:noProof/>
          <w:sz w:val="22"/>
          <w:szCs w:val="22"/>
        </w:rPr>
      </w:pPr>
      <w:hyperlink w:anchor="_Toc509837299" w:history="1">
        <w:r w:rsidR="00D100B0" w:rsidRPr="009E2CBD">
          <w:rPr>
            <w:rStyle w:val="Hyperlink"/>
            <w:noProof/>
          </w:rPr>
          <w:t>ES.4.2 Ex-Ante load impacts – SCE</w:t>
        </w:r>
        <w:r w:rsidR="00D100B0">
          <w:rPr>
            <w:noProof/>
            <w:webHidden/>
          </w:rPr>
          <w:tab/>
        </w:r>
        <w:r w:rsidR="00D100B0">
          <w:rPr>
            <w:noProof/>
            <w:webHidden/>
          </w:rPr>
          <w:fldChar w:fldCharType="begin"/>
        </w:r>
        <w:r w:rsidR="00D100B0">
          <w:rPr>
            <w:noProof/>
            <w:webHidden/>
          </w:rPr>
          <w:instrText xml:space="preserve"> PAGEREF _Toc509837299 \h </w:instrText>
        </w:r>
        <w:r w:rsidR="00D100B0">
          <w:rPr>
            <w:noProof/>
            <w:webHidden/>
          </w:rPr>
        </w:r>
        <w:r w:rsidR="00D100B0">
          <w:rPr>
            <w:noProof/>
            <w:webHidden/>
          </w:rPr>
          <w:fldChar w:fldCharType="separate"/>
        </w:r>
        <w:r w:rsidR="005D5C7C">
          <w:rPr>
            <w:noProof/>
            <w:webHidden/>
          </w:rPr>
          <w:t>11</w:t>
        </w:r>
        <w:r w:rsidR="00D100B0">
          <w:rPr>
            <w:noProof/>
            <w:webHidden/>
          </w:rPr>
          <w:fldChar w:fldCharType="end"/>
        </w:r>
      </w:hyperlink>
    </w:p>
    <w:p w14:paraId="0BAB00F4" w14:textId="3A9E0BEE" w:rsidR="00D100B0" w:rsidRDefault="006F4399">
      <w:pPr>
        <w:pStyle w:val="TOC3"/>
        <w:rPr>
          <w:rFonts w:asciiTheme="minorHAnsi" w:eastAsiaTheme="minorEastAsia" w:hAnsiTheme="minorHAnsi" w:cstheme="minorBidi"/>
          <w:noProof/>
          <w:sz w:val="22"/>
          <w:szCs w:val="22"/>
        </w:rPr>
      </w:pPr>
      <w:hyperlink w:anchor="_Toc509837300" w:history="1">
        <w:r w:rsidR="00D100B0" w:rsidRPr="009E2CBD">
          <w:rPr>
            <w:rStyle w:val="Hyperlink"/>
            <w:noProof/>
          </w:rPr>
          <w:t>ES.4.3 Ex-Ante load impacts – SDG&amp;E</w:t>
        </w:r>
        <w:r w:rsidR="00D100B0">
          <w:rPr>
            <w:noProof/>
            <w:webHidden/>
          </w:rPr>
          <w:tab/>
        </w:r>
        <w:r w:rsidR="00D100B0">
          <w:rPr>
            <w:noProof/>
            <w:webHidden/>
          </w:rPr>
          <w:fldChar w:fldCharType="begin"/>
        </w:r>
        <w:r w:rsidR="00D100B0">
          <w:rPr>
            <w:noProof/>
            <w:webHidden/>
          </w:rPr>
          <w:instrText xml:space="preserve"> PAGEREF _Toc509837300 \h </w:instrText>
        </w:r>
        <w:r w:rsidR="00D100B0">
          <w:rPr>
            <w:noProof/>
            <w:webHidden/>
          </w:rPr>
        </w:r>
        <w:r w:rsidR="00D100B0">
          <w:rPr>
            <w:noProof/>
            <w:webHidden/>
          </w:rPr>
          <w:fldChar w:fldCharType="separate"/>
        </w:r>
        <w:r w:rsidR="005D5C7C">
          <w:rPr>
            <w:noProof/>
            <w:webHidden/>
          </w:rPr>
          <w:t>14</w:t>
        </w:r>
        <w:r w:rsidR="00D100B0">
          <w:rPr>
            <w:noProof/>
            <w:webHidden/>
          </w:rPr>
          <w:fldChar w:fldCharType="end"/>
        </w:r>
      </w:hyperlink>
    </w:p>
    <w:p w14:paraId="3A503F2C" w14:textId="195DB2EB" w:rsidR="00D100B0" w:rsidRDefault="006F4399">
      <w:pPr>
        <w:pStyle w:val="TOC1"/>
        <w:rPr>
          <w:rFonts w:asciiTheme="minorHAnsi" w:eastAsiaTheme="minorEastAsia" w:hAnsiTheme="minorHAnsi" w:cstheme="minorBidi"/>
          <w:b w:val="0"/>
          <w:noProof/>
          <w:sz w:val="22"/>
          <w:szCs w:val="22"/>
        </w:rPr>
      </w:pPr>
      <w:hyperlink w:anchor="_Toc509837301" w:history="1">
        <w:r w:rsidR="00D100B0" w:rsidRPr="009E2CBD">
          <w:rPr>
            <w:rStyle w:val="Hyperlink"/>
            <w:noProof/>
          </w:rPr>
          <w:t>1. Introduction and Purpose of the Study</w:t>
        </w:r>
        <w:r w:rsidR="00D100B0">
          <w:rPr>
            <w:noProof/>
            <w:webHidden/>
          </w:rPr>
          <w:tab/>
        </w:r>
        <w:r w:rsidR="00D100B0">
          <w:rPr>
            <w:noProof/>
            <w:webHidden/>
          </w:rPr>
          <w:fldChar w:fldCharType="begin"/>
        </w:r>
        <w:r w:rsidR="00D100B0">
          <w:rPr>
            <w:noProof/>
            <w:webHidden/>
          </w:rPr>
          <w:instrText xml:space="preserve"> PAGEREF _Toc509837301 \h </w:instrText>
        </w:r>
        <w:r w:rsidR="00D100B0">
          <w:rPr>
            <w:noProof/>
            <w:webHidden/>
          </w:rPr>
        </w:r>
        <w:r w:rsidR="00D100B0">
          <w:rPr>
            <w:noProof/>
            <w:webHidden/>
          </w:rPr>
          <w:fldChar w:fldCharType="separate"/>
        </w:r>
        <w:r w:rsidR="005D5C7C">
          <w:rPr>
            <w:noProof/>
            <w:webHidden/>
          </w:rPr>
          <w:t>16</w:t>
        </w:r>
        <w:r w:rsidR="00D100B0">
          <w:rPr>
            <w:noProof/>
            <w:webHidden/>
          </w:rPr>
          <w:fldChar w:fldCharType="end"/>
        </w:r>
      </w:hyperlink>
    </w:p>
    <w:p w14:paraId="33944D1B" w14:textId="4FAAE72F"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02" w:history="1">
        <w:r w:rsidR="00D100B0" w:rsidRPr="009E2CBD">
          <w:rPr>
            <w:rStyle w:val="Hyperlink"/>
            <w:noProof/>
          </w:rPr>
          <w:t>1.1 Project Goals</w:t>
        </w:r>
        <w:r w:rsidR="00D100B0">
          <w:rPr>
            <w:noProof/>
            <w:webHidden/>
          </w:rPr>
          <w:tab/>
        </w:r>
        <w:r w:rsidR="00D100B0">
          <w:rPr>
            <w:noProof/>
            <w:webHidden/>
          </w:rPr>
          <w:fldChar w:fldCharType="begin"/>
        </w:r>
        <w:r w:rsidR="00D100B0">
          <w:rPr>
            <w:noProof/>
            <w:webHidden/>
          </w:rPr>
          <w:instrText xml:space="preserve"> PAGEREF _Toc509837302 \h </w:instrText>
        </w:r>
        <w:r w:rsidR="00D100B0">
          <w:rPr>
            <w:noProof/>
            <w:webHidden/>
          </w:rPr>
        </w:r>
        <w:r w:rsidR="00D100B0">
          <w:rPr>
            <w:noProof/>
            <w:webHidden/>
          </w:rPr>
          <w:fldChar w:fldCharType="separate"/>
        </w:r>
        <w:r w:rsidR="005D5C7C">
          <w:rPr>
            <w:noProof/>
            <w:webHidden/>
          </w:rPr>
          <w:t>17</w:t>
        </w:r>
        <w:r w:rsidR="00D100B0">
          <w:rPr>
            <w:noProof/>
            <w:webHidden/>
          </w:rPr>
          <w:fldChar w:fldCharType="end"/>
        </w:r>
      </w:hyperlink>
    </w:p>
    <w:p w14:paraId="5B5EE1A5" w14:textId="32BD4329"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03" w:history="1">
        <w:r w:rsidR="00D100B0" w:rsidRPr="009E2CBD">
          <w:rPr>
            <w:rStyle w:val="Hyperlink"/>
            <w:noProof/>
          </w:rPr>
          <w:t>1.2 PY2017 Event Days</w:t>
        </w:r>
        <w:r w:rsidR="00D100B0">
          <w:rPr>
            <w:noProof/>
            <w:webHidden/>
          </w:rPr>
          <w:tab/>
        </w:r>
        <w:r w:rsidR="00D100B0">
          <w:rPr>
            <w:noProof/>
            <w:webHidden/>
          </w:rPr>
          <w:fldChar w:fldCharType="begin"/>
        </w:r>
        <w:r w:rsidR="00D100B0">
          <w:rPr>
            <w:noProof/>
            <w:webHidden/>
          </w:rPr>
          <w:instrText xml:space="preserve"> PAGEREF _Toc509837303 \h </w:instrText>
        </w:r>
        <w:r w:rsidR="00D100B0">
          <w:rPr>
            <w:noProof/>
            <w:webHidden/>
          </w:rPr>
        </w:r>
        <w:r w:rsidR="00D100B0">
          <w:rPr>
            <w:noProof/>
            <w:webHidden/>
          </w:rPr>
          <w:fldChar w:fldCharType="separate"/>
        </w:r>
        <w:r w:rsidR="005D5C7C">
          <w:rPr>
            <w:noProof/>
            <w:webHidden/>
          </w:rPr>
          <w:t>17</w:t>
        </w:r>
        <w:r w:rsidR="00D100B0">
          <w:rPr>
            <w:noProof/>
            <w:webHidden/>
          </w:rPr>
          <w:fldChar w:fldCharType="end"/>
        </w:r>
      </w:hyperlink>
    </w:p>
    <w:p w14:paraId="620352CD" w14:textId="0F0D4A22"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04" w:history="1">
        <w:r w:rsidR="00D100B0" w:rsidRPr="009E2CBD">
          <w:rPr>
            <w:rStyle w:val="Hyperlink"/>
            <w:noProof/>
          </w:rPr>
          <w:t>1.3 Report organization</w:t>
        </w:r>
        <w:r w:rsidR="00D100B0">
          <w:rPr>
            <w:noProof/>
            <w:webHidden/>
          </w:rPr>
          <w:tab/>
        </w:r>
        <w:r w:rsidR="00D100B0">
          <w:rPr>
            <w:noProof/>
            <w:webHidden/>
          </w:rPr>
          <w:fldChar w:fldCharType="begin"/>
        </w:r>
        <w:r w:rsidR="00D100B0">
          <w:rPr>
            <w:noProof/>
            <w:webHidden/>
          </w:rPr>
          <w:instrText xml:space="preserve"> PAGEREF _Toc509837304 \h </w:instrText>
        </w:r>
        <w:r w:rsidR="00D100B0">
          <w:rPr>
            <w:noProof/>
            <w:webHidden/>
          </w:rPr>
        </w:r>
        <w:r w:rsidR="00D100B0">
          <w:rPr>
            <w:noProof/>
            <w:webHidden/>
          </w:rPr>
          <w:fldChar w:fldCharType="separate"/>
        </w:r>
        <w:r w:rsidR="005D5C7C">
          <w:rPr>
            <w:noProof/>
            <w:webHidden/>
          </w:rPr>
          <w:t>18</w:t>
        </w:r>
        <w:r w:rsidR="00D100B0">
          <w:rPr>
            <w:noProof/>
            <w:webHidden/>
          </w:rPr>
          <w:fldChar w:fldCharType="end"/>
        </w:r>
      </w:hyperlink>
    </w:p>
    <w:p w14:paraId="348C76D6" w14:textId="320EEA91" w:rsidR="00D100B0" w:rsidRDefault="006F4399">
      <w:pPr>
        <w:pStyle w:val="TOC1"/>
        <w:rPr>
          <w:rFonts w:asciiTheme="minorHAnsi" w:eastAsiaTheme="minorEastAsia" w:hAnsiTheme="minorHAnsi" w:cstheme="minorBidi"/>
          <w:b w:val="0"/>
          <w:noProof/>
          <w:sz w:val="22"/>
          <w:szCs w:val="22"/>
        </w:rPr>
      </w:pPr>
      <w:hyperlink w:anchor="_Toc509837305" w:history="1">
        <w:r w:rsidR="00D100B0" w:rsidRPr="009E2CBD">
          <w:rPr>
            <w:rStyle w:val="Hyperlink"/>
            <w:noProof/>
          </w:rPr>
          <w:t>2. Study Methodology</w:t>
        </w:r>
        <w:r w:rsidR="00D100B0">
          <w:rPr>
            <w:noProof/>
            <w:webHidden/>
          </w:rPr>
          <w:tab/>
        </w:r>
        <w:r w:rsidR="00D100B0">
          <w:rPr>
            <w:noProof/>
            <w:webHidden/>
          </w:rPr>
          <w:fldChar w:fldCharType="begin"/>
        </w:r>
        <w:r w:rsidR="00D100B0">
          <w:rPr>
            <w:noProof/>
            <w:webHidden/>
          </w:rPr>
          <w:instrText xml:space="preserve"> PAGEREF _Toc509837305 \h </w:instrText>
        </w:r>
        <w:r w:rsidR="00D100B0">
          <w:rPr>
            <w:noProof/>
            <w:webHidden/>
          </w:rPr>
        </w:r>
        <w:r w:rsidR="00D100B0">
          <w:rPr>
            <w:noProof/>
            <w:webHidden/>
          </w:rPr>
          <w:fldChar w:fldCharType="separate"/>
        </w:r>
        <w:r w:rsidR="005D5C7C">
          <w:rPr>
            <w:noProof/>
            <w:webHidden/>
          </w:rPr>
          <w:t>18</w:t>
        </w:r>
        <w:r w:rsidR="00D100B0">
          <w:rPr>
            <w:noProof/>
            <w:webHidden/>
          </w:rPr>
          <w:fldChar w:fldCharType="end"/>
        </w:r>
      </w:hyperlink>
    </w:p>
    <w:p w14:paraId="0BB7CCF5" w14:textId="276620A1"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06" w:history="1">
        <w:r w:rsidR="00D100B0" w:rsidRPr="009E2CBD">
          <w:rPr>
            <w:rStyle w:val="Hyperlink"/>
            <w:noProof/>
          </w:rPr>
          <w:t>2.1 Ex-post Load Impact Evaluation</w:t>
        </w:r>
        <w:r w:rsidR="00D100B0">
          <w:rPr>
            <w:noProof/>
            <w:webHidden/>
          </w:rPr>
          <w:tab/>
        </w:r>
        <w:r w:rsidR="00D100B0">
          <w:rPr>
            <w:noProof/>
            <w:webHidden/>
          </w:rPr>
          <w:fldChar w:fldCharType="begin"/>
        </w:r>
        <w:r w:rsidR="00D100B0">
          <w:rPr>
            <w:noProof/>
            <w:webHidden/>
          </w:rPr>
          <w:instrText xml:space="preserve"> PAGEREF _Toc509837306 \h </w:instrText>
        </w:r>
        <w:r w:rsidR="00D100B0">
          <w:rPr>
            <w:noProof/>
            <w:webHidden/>
          </w:rPr>
        </w:r>
        <w:r w:rsidR="00D100B0">
          <w:rPr>
            <w:noProof/>
            <w:webHidden/>
          </w:rPr>
          <w:fldChar w:fldCharType="separate"/>
        </w:r>
        <w:r w:rsidR="005D5C7C">
          <w:rPr>
            <w:noProof/>
            <w:webHidden/>
          </w:rPr>
          <w:t>20</w:t>
        </w:r>
        <w:r w:rsidR="00D100B0">
          <w:rPr>
            <w:noProof/>
            <w:webHidden/>
          </w:rPr>
          <w:fldChar w:fldCharType="end"/>
        </w:r>
      </w:hyperlink>
    </w:p>
    <w:p w14:paraId="253E84FC" w14:textId="72BDCF73" w:rsidR="00D100B0" w:rsidRDefault="006F4399">
      <w:pPr>
        <w:pStyle w:val="TOC3"/>
        <w:rPr>
          <w:rFonts w:asciiTheme="minorHAnsi" w:eastAsiaTheme="minorEastAsia" w:hAnsiTheme="minorHAnsi" w:cstheme="minorBidi"/>
          <w:noProof/>
          <w:sz w:val="22"/>
          <w:szCs w:val="22"/>
        </w:rPr>
      </w:pPr>
      <w:hyperlink w:anchor="_Toc509837307" w:history="1">
        <w:r w:rsidR="00D100B0" w:rsidRPr="009E2CBD">
          <w:rPr>
            <w:rStyle w:val="Hyperlink"/>
            <w:noProof/>
            <w14:scene3d>
              <w14:camera w14:prst="orthographicFront"/>
              <w14:lightRig w14:rig="threePt" w14:dir="t">
                <w14:rot w14:lat="0" w14:lon="0" w14:rev="0"/>
              </w14:lightRig>
            </w14:scene3d>
          </w:rPr>
          <w:t>2.1.1</w:t>
        </w:r>
        <w:r w:rsidR="00D100B0" w:rsidRPr="009E2CBD">
          <w:rPr>
            <w:rStyle w:val="Hyperlink"/>
            <w:noProof/>
          </w:rPr>
          <w:t xml:space="preserve"> Data</w:t>
        </w:r>
        <w:r w:rsidR="00D100B0">
          <w:rPr>
            <w:noProof/>
            <w:webHidden/>
          </w:rPr>
          <w:tab/>
        </w:r>
        <w:r w:rsidR="00D100B0">
          <w:rPr>
            <w:noProof/>
            <w:webHidden/>
          </w:rPr>
          <w:fldChar w:fldCharType="begin"/>
        </w:r>
        <w:r w:rsidR="00D100B0">
          <w:rPr>
            <w:noProof/>
            <w:webHidden/>
          </w:rPr>
          <w:instrText xml:space="preserve"> PAGEREF _Toc509837307 \h </w:instrText>
        </w:r>
        <w:r w:rsidR="00D100B0">
          <w:rPr>
            <w:noProof/>
            <w:webHidden/>
          </w:rPr>
        </w:r>
        <w:r w:rsidR="00D100B0">
          <w:rPr>
            <w:noProof/>
            <w:webHidden/>
          </w:rPr>
          <w:fldChar w:fldCharType="separate"/>
        </w:r>
        <w:r w:rsidR="005D5C7C">
          <w:rPr>
            <w:noProof/>
            <w:webHidden/>
          </w:rPr>
          <w:t>20</w:t>
        </w:r>
        <w:r w:rsidR="00D100B0">
          <w:rPr>
            <w:noProof/>
            <w:webHidden/>
          </w:rPr>
          <w:fldChar w:fldCharType="end"/>
        </w:r>
      </w:hyperlink>
    </w:p>
    <w:p w14:paraId="6A8070F1" w14:textId="48E83F17" w:rsidR="00D100B0" w:rsidRDefault="006F4399">
      <w:pPr>
        <w:pStyle w:val="TOC3"/>
        <w:rPr>
          <w:rFonts w:asciiTheme="minorHAnsi" w:eastAsiaTheme="minorEastAsia" w:hAnsiTheme="minorHAnsi" w:cstheme="minorBidi"/>
          <w:noProof/>
          <w:sz w:val="22"/>
          <w:szCs w:val="22"/>
        </w:rPr>
      </w:pPr>
      <w:hyperlink w:anchor="_Toc509837308" w:history="1">
        <w:r w:rsidR="00D100B0" w:rsidRPr="009E2CBD">
          <w:rPr>
            <w:rStyle w:val="Hyperlink"/>
            <w:noProof/>
            <w14:scene3d>
              <w14:camera w14:prst="orthographicFront"/>
              <w14:lightRig w14:rig="threePt" w14:dir="t">
                <w14:rot w14:lat="0" w14:lon="0" w14:rev="0"/>
              </w14:lightRig>
            </w14:scene3d>
          </w:rPr>
          <w:t>2.1.2</w:t>
        </w:r>
        <w:r w:rsidR="00D100B0" w:rsidRPr="009E2CBD">
          <w:rPr>
            <w:rStyle w:val="Hyperlink"/>
            <w:noProof/>
          </w:rPr>
          <w:t xml:space="preserve"> Analysis Methods</w:t>
        </w:r>
        <w:r w:rsidR="00D100B0">
          <w:rPr>
            <w:noProof/>
            <w:webHidden/>
          </w:rPr>
          <w:tab/>
        </w:r>
        <w:r w:rsidR="00D100B0">
          <w:rPr>
            <w:noProof/>
            <w:webHidden/>
          </w:rPr>
          <w:fldChar w:fldCharType="begin"/>
        </w:r>
        <w:r w:rsidR="00D100B0">
          <w:rPr>
            <w:noProof/>
            <w:webHidden/>
          </w:rPr>
          <w:instrText xml:space="preserve"> PAGEREF _Toc509837308 \h </w:instrText>
        </w:r>
        <w:r w:rsidR="00D100B0">
          <w:rPr>
            <w:noProof/>
            <w:webHidden/>
          </w:rPr>
        </w:r>
        <w:r w:rsidR="00D100B0">
          <w:rPr>
            <w:noProof/>
            <w:webHidden/>
          </w:rPr>
          <w:fldChar w:fldCharType="separate"/>
        </w:r>
        <w:r w:rsidR="005D5C7C">
          <w:rPr>
            <w:noProof/>
            <w:webHidden/>
          </w:rPr>
          <w:t>20</w:t>
        </w:r>
        <w:r w:rsidR="00D100B0">
          <w:rPr>
            <w:noProof/>
            <w:webHidden/>
          </w:rPr>
          <w:fldChar w:fldCharType="end"/>
        </w:r>
      </w:hyperlink>
    </w:p>
    <w:p w14:paraId="5C79ACA2" w14:textId="612B784E"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09" w:history="1">
        <w:r w:rsidR="00D100B0" w:rsidRPr="009E2CBD">
          <w:rPr>
            <w:rStyle w:val="Hyperlink"/>
            <w:noProof/>
          </w:rPr>
          <w:t>2.2 Developing Ex-Ante Load Impacts</w:t>
        </w:r>
        <w:r w:rsidR="00D100B0">
          <w:rPr>
            <w:noProof/>
            <w:webHidden/>
          </w:rPr>
          <w:tab/>
        </w:r>
        <w:r w:rsidR="00D100B0">
          <w:rPr>
            <w:noProof/>
            <w:webHidden/>
          </w:rPr>
          <w:fldChar w:fldCharType="begin"/>
        </w:r>
        <w:r w:rsidR="00D100B0">
          <w:rPr>
            <w:noProof/>
            <w:webHidden/>
          </w:rPr>
          <w:instrText xml:space="preserve"> PAGEREF _Toc509837309 \h </w:instrText>
        </w:r>
        <w:r w:rsidR="00D100B0">
          <w:rPr>
            <w:noProof/>
            <w:webHidden/>
          </w:rPr>
        </w:r>
        <w:r w:rsidR="00D100B0">
          <w:rPr>
            <w:noProof/>
            <w:webHidden/>
          </w:rPr>
          <w:fldChar w:fldCharType="separate"/>
        </w:r>
        <w:r w:rsidR="005D5C7C">
          <w:rPr>
            <w:noProof/>
            <w:webHidden/>
          </w:rPr>
          <w:t>22</w:t>
        </w:r>
        <w:r w:rsidR="00D100B0">
          <w:rPr>
            <w:noProof/>
            <w:webHidden/>
          </w:rPr>
          <w:fldChar w:fldCharType="end"/>
        </w:r>
      </w:hyperlink>
    </w:p>
    <w:p w14:paraId="42E0AFF3" w14:textId="6BCD3E07" w:rsidR="00D100B0" w:rsidRDefault="006F4399">
      <w:pPr>
        <w:pStyle w:val="TOC1"/>
        <w:rPr>
          <w:rFonts w:asciiTheme="minorHAnsi" w:eastAsiaTheme="minorEastAsia" w:hAnsiTheme="minorHAnsi" w:cstheme="minorBidi"/>
          <w:b w:val="0"/>
          <w:noProof/>
          <w:sz w:val="22"/>
          <w:szCs w:val="22"/>
        </w:rPr>
      </w:pPr>
      <w:hyperlink w:anchor="_Toc509837310" w:history="1">
        <w:r w:rsidR="00D100B0" w:rsidRPr="009E2CBD">
          <w:rPr>
            <w:rStyle w:val="Hyperlink"/>
            <w:noProof/>
          </w:rPr>
          <w:t>3. PG&amp;E</w:t>
        </w:r>
        <w:r w:rsidR="00D100B0">
          <w:rPr>
            <w:noProof/>
            <w:webHidden/>
          </w:rPr>
          <w:tab/>
        </w:r>
        <w:r w:rsidR="00D100B0">
          <w:rPr>
            <w:noProof/>
            <w:webHidden/>
          </w:rPr>
          <w:fldChar w:fldCharType="begin"/>
        </w:r>
        <w:r w:rsidR="00D100B0">
          <w:rPr>
            <w:noProof/>
            <w:webHidden/>
          </w:rPr>
          <w:instrText xml:space="preserve"> PAGEREF _Toc509837310 \h </w:instrText>
        </w:r>
        <w:r w:rsidR="00D100B0">
          <w:rPr>
            <w:noProof/>
            <w:webHidden/>
          </w:rPr>
        </w:r>
        <w:r w:rsidR="00D100B0">
          <w:rPr>
            <w:noProof/>
            <w:webHidden/>
          </w:rPr>
          <w:fldChar w:fldCharType="separate"/>
        </w:r>
        <w:r w:rsidR="005D5C7C">
          <w:rPr>
            <w:noProof/>
            <w:webHidden/>
          </w:rPr>
          <w:t>24</w:t>
        </w:r>
        <w:r w:rsidR="00D100B0">
          <w:rPr>
            <w:noProof/>
            <w:webHidden/>
          </w:rPr>
          <w:fldChar w:fldCharType="end"/>
        </w:r>
      </w:hyperlink>
    </w:p>
    <w:p w14:paraId="40CAC2BC" w14:textId="1EB280DB"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11" w:history="1">
        <w:r w:rsidR="00D100B0" w:rsidRPr="009E2CBD">
          <w:rPr>
            <w:rStyle w:val="Hyperlink"/>
            <w:noProof/>
          </w:rPr>
          <w:t>3.1 PG&amp;E Ex-Post Load Impacts</w:t>
        </w:r>
        <w:r w:rsidR="00D100B0">
          <w:rPr>
            <w:noProof/>
            <w:webHidden/>
          </w:rPr>
          <w:tab/>
        </w:r>
        <w:r w:rsidR="00D100B0">
          <w:rPr>
            <w:noProof/>
            <w:webHidden/>
          </w:rPr>
          <w:fldChar w:fldCharType="begin"/>
        </w:r>
        <w:r w:rsidR="00D100B0">
          <w:rPr>
            <w:noProof/>
            <w:webHidden/>
          </w:rPr>
          <w:instrText xml:space="preserve"> PAGEREF _Toc509837311 \h </w:instrText>
        </w:r>
        <w:r w:rsidR="00D100B0">
          <w:rPr>
            <w:noProof/>
            <w:webHidden/>
          </w:rPr>
        </w:r>
        <w:r w:rsidR="00D100B0">
          <w:rPr>
            <w:noProof/>
            <w:webHidden/>
          </w:rPr>
          <w:fldChar w:fldCharType="separate"/>
        </w:r>
        <w:r w:rsidR="005D5C7C">
          <w:rPr>
            <w:noProof/>
            <w:webHidden/>
          </w:rPr>
          <w:t>24</w:t>
        </w:r>
        <w:r w:rsidR="00D100B0">
          <w:rPr>
            <w:noProof/>
            <w:webHidden/>
          </w:rPr>
          <w:fldChar w:fldCharType="end"/>
        </w:r>
      </w:hyperlink>
    </w:p>
    <w:p w14:paraId="3D9D8EBF" w14:textId="4B1C41C5" w:rsidR="00D100B0" w:rsidRDefault="006F4399">
      <w:pPr>
        <w:pStyle w:val="TOC3"/>
        <w:rPr>
          <w:rFonts w:asciiTheme="minorHAnsi" w:eastAsiaTheme="minorEastAsia" w:hAnsiTheme="minorHAnsi" w:cstheme="minorBidi"/>
          <w:noProof/>
          <w:sz w:val="22"/>
          <w:szCs w:val="22"/>
        </w:rPr>
      </w:pPr>
      <w:hyperlink w:anchor="_Toc509837312" w:history="1">
        <w:r w:rsidR="00D100B0" w:rsidRPr="009E2CBD">
          <w:rPr>
            <w:rStyle w:val="Hyperlink"/>
            <w:noProof/>
            <w14:scene3d>
              <w14:camera w14:prst="orthographicFront"/>
              <w14:lightRig w14:rig="threePt" w14:dir="t">
                <w14:rot w14:lat="0" w14:lon="0" w14:rev="0"/>
              </w14:lightRig>
            </w14:scene3d>
          </w:rPr>
          <w:t>3.1.1</w:t>
        </w:r>
        <w:r w:rsidR="00D100B0" w:rsidRPr="009E2CBD">
          <w:rPr>
            <w:rStyle w:val="Hyperlink"/>
            <w:noProof/>
          </w:rPr>
          <w:t xml:space="preserve"> Large Customers</w:t>
        </w:r>
        <w:r w:rsidR="00D100B0">
          <w:rPr>
            <w:noProof/>
            <w:webHidden/>
          </w:rPr>
          <w:tab/>
        </w:r>
        <w:r w:rsidR="00D100B0">
          <w:rPr>
            <w:noProof/>
            <w:webHidden/>
          </w:rPr>
          <w:fldChar w:fldCharType="begin"/>
        </w:r>
        <w:r w:rsidR="00D100B0">
          <w:rPr>
            <w:noProof/>
            <w:webHidden/>
          </w:rPr>
          <w:instrText xml:space="preserve"> PAGEREF _Toc509837312 \h </w:instrText>
        </w:r>
        <w:r w:rsidR="00D100B0">
          <w:rPr>
            <w:noProof/>
            <w:webHidden/>
          </w:rPr>
        </w:r>
        <w:r w:rsidR="00D100B0">
          <w:rPr>
            <w:noProof/>
            <w:webHidden/>
          </w:rPr>
          <w:fldChar w:fldCharType="separate"/>
        </w:r>
        <w:r w:rsidR="005D5C7C">
          <w:rPr>
            <w:noProof/>
            <w:webHidden/>
          </w:rPr>
          <w:t>24</w:t>
        </w:r>
        <w:r w:rsidR="00D100B0">
          <w:rPr>
            <w:noProof/>
            <w:webHidden/>
          </w:rPr>
          <w:fldChar w:fldCharType="end"/>
        </w:r>
      </w:hyperlink>
    </w:p>
    <w:p w14:paraId="607A172B" w14:textId="7220D089" w:rsidR="00D100B0" w:rsidRDefault="006F4399">
      <w:pPr>
        <w:pStyle w:val="TOC3"/>
        <w:rPr>
          <w:rFonts w:asciiTheme="minorHAnsi" w:eastAsiaTheme="minorEastAsia" w:hAnsiTheme="minorHAnsi" w:cstheme="minorBidi"/>
          <w:noProof/>
          <w:sz w:val="22"/>
          <w:szCs w:val="22"/>
        </w:rPr>
      </w:pPr>
      <w:hyperlink w:anchor="_Toc509837313" w:history="1">
        <w:r w:rsidR="00D100B0" w:rsidRPr="009E2CBD">
          <w:rPr>
            <w:rStyle w:val="Hyperlink"/>
            <w:noProof/>
            <w14:scene3d>
              <w14:camera w14:prst="orthographicFront"/>
              <w14:lightRig w14:rig="threePt" w14:dir="t">
                <w14:rot w14:lat="0" w14:lon="0" w14:rev="0"/>
              </w14:lightRig>
            </w14:scene3d>
          </w:rPr>
          <w:t>3.1.2</w:t>
        </w:r>
        <w:r w:rsidR="00D100B0" w:rsidRPr="009E2CBD">
          <w:rPr>
            <w:rStyle w:val="Hyperlink"/>
            <w:noProof/>
          </w:rPr>
          <w:t xml:space="preserve"> SMB Customers</w:t>
        </w:r>
        <w:r w:rsidR="00D100B0">
          <w:rPr>
            <w:noProof/>
            <w:webHidden/>
          </w:rPr>
          <w:tab/>
        </w:r>
        <w:r w:rsidR="00D100B0">
          <w:rPr>
            <w:noProof/>
            <w:webHidden/>
          </w:rPr>
          <w:fldChar w:fldCharType="begin"/>
        </w:r>
        <w:r w:rsidR="00D100B0">
          <w:rPr>
            <w:noProof/>
            <w:webHidden/>
          </w:rPr>
          <w:instrText xml:space="preserve"> PAGEREF _Toc509837313 \h </w:instrText>
        </w:r>
        <w:r w:rsidR="00D100B0">
          <w:rPr>
            <w:noProof/>
            <w:webHidden/>
          </w:rPr>
        </w:r>
        <w:r w:rsidR="00D100B0">
          <w:rPr>
            <w:noProof/>
            <w:webHidden/>
          </w:rPr>
          <w:fldChar w:fldCharType="separate"/>
        </w:r>
        <w:r w:rsidR="005D5C7C">
          <w:rPr>
            <w:noProof/>
            <w:webHidden/>
          </w:rPr>
          <w:t>31</w:t>
        </w:r>
        <w:r w:rsidR="00D100B0">
          <w:rPr>
            <w:noProof/>
            <w:webHidden/>
          </w:rPr>
          <w:fldChar w:fldCharType="end"/>
        </w:r>
      </w:hyperlink>
    </w:p>
    <w:p w14:paraId="46D7A809" w14:textId="30D20D5B" w:rsidR="00D100B0" w:rsidRDefault="006F4399">
      <w:pPr>
        <w:pStyle w:val="TOC3"/>
        <w:rPr>
          <w:rFonts w:asciiTheme="minorHAnsi" w:eastAsiaTheme="minorEastAsia" w:hAnsiTheme="minorHAnsi" w:cstheme="minorBidi"/>
          <w:noProof/>
          <w:sz w:val="22"/>
          <w:szCs w:val="22"/>
        </w:rPr>
      </w:pPr>
      <w:hyperlink w:anchor="_Toc509837314" w:history="1">
        <w:r w:rsidR="00D100B0" w:rsidRPr="009E2CBD">
          <w:rPr>
            <w:rStyle w:val="Hyperlink"/>
            <w:noProof/>
            <w14:scene3d>
              <w14:camera w14:prst="orthographicFront"/>
              <w14:lightRig w14:rig="threePt" w14:dir="t">
                <w14:rot w14:lat="0" w14:lon="0" w14:rev="0"/>
              </w14:lightRig>
            </w14:scene3d>
          </w:rPr>
          <w:t>3.1.3</w:t>
        </w:r>
        <w:r w:rsidR="00D100B0" w:rsidRPr="009E2CBD">
          <w:rPr>
            <w:rStyle w:val="Hyperlink"/>
            <w:noProof/>
          </w:rPr>
          <w:t xml:space="preserve"> Dually Enrolled Customers</w:t>
        </w:r>
        <w:r w:rsidR="00D100B0">
          <w:rPr>
            <w:noProof/>
            <w:webHidden/>
          </w:rPr>
          <w:tab/>
        </w:r>
        <w:r w:rsidR="00D100B0">
          <w:rPr>
            <w:noProof/>
            <w:webHidden/>
          </w:rPr>
          <w:fldChar w:fldCharType="begin"/>
        </w:r>
        <w:r w:rsidR="00D100B0">
          <w:rPr>
            <w:noProof/>
            <w:webHidden/>
          </w:rPr>
          <w:instrText xml:space="preserve"> PAGEREF _Toc509837314 \h </w:instrText>
        </w:r>
        <w:r w:rsidR="00D100B0">
          <w:rPr>
            <w:noProof/>
            <w:webHidden/>
          </w:rPr>
        </w:r>
        <w:r w:rsidR="00D100B0">
          <w:rPr>
            <w:noProof/>
            <w:webHidden/>
          </w:rPr>
          <w:fldChar w:fldCharType="separate"/>
        </w:r>
        <w:r w:rsidR="005D5C7C">
          <w:rPr>
            <w:noProof/>
            <w:webHidden/>
          </w:rPr>
          <w:t>44</w:t>
        </w:r>
        <w:r w:rsidR="00D100B0">
          <w:rPr>
            <w:noProof/>
            <w:webHidden/>
          </w:rPr>
          <w:fldChar w:fldCharType="end"/>
        </w:r>
      </w:hyperlink>
    </w:p>
    <w:p w14:paraId="5A562BD2" w14:textId="13878E4B" w:rsidR="00D100B0" w:rsidRDefault="006F4399">
      <w:pPr>
        <w:pStyle w:val="TOC3"/>
        <w:rPr>
          <w:rFonts w:asciiTheme="minorHAnsi" w:eastAsiaTheme="minorEastAsia" w:hAnsiTheme="minorHAnsi" w:cstheme="minorBidi"/>
          <w:noProof/>
          <w:sz w:val="22"/>
          <w:szCs w:val="22"/>
        </w:rPr>
      </w:pPr>
      <w:hyperlink w:anchor="_Toc509837315" w:history="1">
        <w:r w:rsidR="00D100B0" w:rsidRPr="009E2CBD">
          <w:rPr>
            <w:rStyle w:val="Hyperlink"/>
            <w:noProof/>
            <w14:scene3d>
              <w14:camera w14:prst="orthographicFront"/>
              <w14:lightRig w14:rig="threePt" w14:dir="t">
                <w14:rot w14:lat="0" w14:lon="0" w14:rev="0"/>
              </w14:lightRig>
            </w14:scene3d>
          </w:rPr>
          <w:t>3.1.4</w:t>
        </w:r>
        <w:r w:rsidR="00D100B0" w:rsidRPr="009E2CBD">
          <w:rPr>
            <w:rStyle w:val="Hyperlink"/>
            <w:noProof/>
          </w:rPr>
          <w:t xml:space="preserve"> In-season Support Customers</w:t>
        </w:r>
        <w:r w:rsidR="00D100B0">
          <w:rPr>
            <w:noProof/>
            <w:webHidden/>
          </w:rPr>
          <w:tab/>
        </w:r>
        <w:r w:rsidR="00D100B0">
          <w:rPr>
            <w:noProof/>
            <w:webHidden/>
          </w:rPr>
          <w:fldChar w:fldCharType="begin"/>
        </w:r>
        <w:r w:rsidR="00D100B0">
          <w:rPr>
            <w:noProof/>
            <w:webHidden/>
          </w:rPr>
          <w:instrText xml:space="preserve"> PAGEREF _Toc509837315 \h </w:instrText>
        </w:r>
        <w:r w:rsidR="00D100B0">
          <w:rPr>
            <w:noProof/>
            <w:webHidden/>
          </w:rPr>
        </w:r>
        <w:r w:rsidR="00D100B0">
          <w:rPr>
            <w:noProof/>
            <w:webHidden/>
          </w:rPr>
          <w:fldChar w:fldCharType="separate"/>
        </w:r>
        <w:r w:rsidR="005D5C7C">
          <w:rPr>
            <w:noProof/>
            <w:webHidden/>
          </w:rPr>
          <w:t>45</w:t>
        </w:r>
        <w:r w:rsidR="00D100B0">
          <w:rPr>
            <w:noProof/>
            <w:webHidden/>
          </w:rPr>
          <w:fldChar w:fldCharType="end"/>
        </w:r>
      </w:hyperlink>
    </w:p>
    <w:p w14:paraId="36DC0D3A" w14:textId="7711BF32" w:rsidR="00D100B0" w:rsidRDefault="006F4399">
      <w:pPr>
        <w:pStyle w:val="TOC3"/>
        <w:rPr>
          <w:rFonts w:asciiTheme="minorHAnsi" w:eastAsiaTheme="minorEastAsia" w:hAnsiTheme="minorHAnsi" w:cstheme="minorBidi"/>
          <w:noProof/>
          <w:sz w:val="22"/>
          <w:szCs w:val="22"/>
        </w:rPr>
      </w:pPr>
      <w:hyperlink w:anchor="_Toc509837316" w:history="1">
        <w:r w:rsidR="00D100B0" w:rsidRPr="009E2CBD">
          <w:rPr>
            <w:rStyle w:val="Hyperlink"/>
            <w:noProof/>
            <w14:scene3d>
              <w14:camera w14:prst="orthographicFront"/>
              <w14:lightRig w14:rig="threePt" w14:dir="t">
                <w14:rot w14:lat="0" w14:lon="0" w14:rev="0"/>
              </w14:lightRig>
            </w14:scene3d>
          </w:rPr>
          <w:t>3.1.5</w:t>
        </w:r>
        <w:r w:rsidR="00D100B0" w:rsidRPr="009E2CBD">
          <w:rPr>
            <w:rStyle w:val="Hyperlink"/>
            <w:noProof/>
          </w:rPr>
          <w:t xml:space="preserve"> Newly Enrolled Customers</w:t>
        </w:r>
        <w:r w:rsidR="00D100B0">
          <w:rPr>
            <w:noProof/>
            <w:webHidden/>
          </w:rPr>
          <w:tab/>
        </w:r>
        <w:r w:rsidR="00D100B0">
          <w:rPr>
            <w:noProof/>
            <w:webHidden/>
          </w:rPr>
          <w:fldChar w:fldCharType="begin"/>
        </w:r>
        <w:r w:rsidR="00D100B0">
          <w:rPr>
            <w:noProof/>
            <w:webHidden/>
          </w:rPr>
          <w:instrText xml:space="preserve"> PAGEREF _Toc509837316 \h </w:instrText>
        </w:r>
        <w:r w:rsidR="00D100B0">
          <w:rPr>
            <w:noProof/>
            <w:webHidden/>
          </w:rPr>
        </w:r>
        <w:r w:rsidR="00D100B0">
          <w:rPr>
            <w:noProof/>
            <w:webHidden/>
          </w:rPr>
          <w:fldChar w:fldCharType="separate"/>
        </w:r>
        <w:r w:rsidR="005D5C7C">
          <w:rPr>
            <w:noProof/>
            <w:webHidden/>
          </w:rPr>
          <w:t>49</w:t>
        </w:r>
        <w:r w:rsidR="00D100B0">
          <w:rPr>
            <w:noProof/>
            <w:webHidden/>
          </w:rPr>
          <w:fldChar w:fldCharType="end"/>
        </w:r>
      </w:hyperlink>
    </w:p>
    <w:p w14:paraId="32F4402A" w14:textId="512B6701" w:rsidR="00D100B0" w:rsidRDefault="006F4399">
      <w:pPr>
        <w:pStyle w:val="TOC3"/>
        <w:rPr>
          <w:rFonts w:asciiTheme="minorHAnsi" w:eastAsiaTheme="minorEastAsia" w:hAnsiTheme="minorHAnsi" w:cstheme="minorBidi"/>
          <w:noProof/>
          <w:sz w:val="22"/>
          <w:szCs w:val="22"/>
        </w:rPr>
      </w:pPr>
      <w:hyperlink w:anchor="_Toc509837317" w:history="1">
        <w:r w:rsidR="00D100B0" w:rsidRPr="009E2CBD">
          <w:rPr>
            <w:rStyle w:val="Hyperlink"/>
            <w:noProof/>
            <w14:scene3d>
              <w14:camera w14:prst="orthographicFront"/>
              <w14:lightRig w14:rig="threePt" w14:dir="t">
                <w14:rot w14:lat="0" w14:lon="0" w14:rev="0"/>
              </w14:lightRig>
            </w14:scene3d>
          </w:rPr>
          <w:t>3.1.6</w:t>
        </w:r>
        <w:r w:rsidR="00D100B0" w:rsidRPr="009E2CBD">
          <w:rPr>
            <w:rStyle w:val="Hyperlink"/>
            <w:noProof/>
          </w:rPr>
          <w:t xml:space="preserve"> AutoDR Customers</w:t>
        </w:r>
        <w:r w:rsidR="00D100B0">
          <w:rPr>
            <w:noProof/>
            <w:webHidden/>
          </w:rPr>
          <w:tab/>
        </w:r>
        <w:r w:rsidR="00D100B0">
          <w:rPr>
            <w:noProof/>
            <w:webHidden/>
          </w:rPr>
          <w:fldChar w:fldCharType="begin"/>
        </w:r>
        <w:r w:rsidR="00D100B0">
          <w:rPr>
            <w:noProof/>
            <w:webHidden/>
          </w:rPr>
          <w:instrText xml:space="preserve"> PAGEREF _Toc509837317 \h </w:instrText>
        </w:r>
        <w:r w:rsidR="00D100B0">
          <w:rPr>
            <w:noProof/>
            <w:webHidden/>
          </w:rPr>
        </w:r>
        <w:r w:rsidR="00D100B0">
          <w:rPr>
            <w:noProof/>
            <w:webHidden/>
          </w:rPr>
          <w:fldChar w:fldCharType="separate"/>
        </w:r>
        <w:r w:rsidR="005D5C7C">
          <w:rPr>
            <w:noProof/>
            <w:webHidden/>
          </w:rPr>
          <w:t>53</w:t>
        </w:r>
        <w:r w:rsidR="00D100B0">
          <w:rPr>
            <w:noProof/>
            <w:webHidden/>
          </w:rPr>
          <w:fldChar w:fldCharType="end"/>
        </w:r>
      </w:hyperlink>
    </w:p>
    <w:p w14:paraId="5F4E59C8" w14:textId="00D61DD3"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18" w:history="1">
        <w:r w:rsidR="00D100B0" w:rsidRPr="009E2CBD">
          <w:rPr>
            <w:rStyle w:val="Hyperlink"/>
            <w:noProof/>
          </w:rPr>
          <w:t>3.2 PG&amp;E Ex-Ante Load Impacts</w:t>
        </w:r>
        <w:r w:rsidR="00D100B0">
          <w:rPr>
            <w:noProof/>
            <w:webHidden/>
          </w:rPr>
          <w:tab/>
        </w:r>
        <w:r w:rsidR="00D100B0">
          <w:rPr>
            <w:noProof/>
            <w:webHidden/>
          </w:rPr>
          <w:fldChar w:fldCharType="begin"/>
        </w:r>
        <w:r w:rsidR="00D100B0">
          <w:rPr>
            <w:noProof/>
            <w:webHidden/>
          </w:rPr>
          <w:instrText xml:space="preserve"> PAGEREF _Toc509837318 \h </w:instrText>
        </w:r>
        <w:r w:rsidR="00D100B0">
          <w:rPr>
            <w:noProof/>
            <w:webHidden/>
          </w:rPr>
        </w:r>
        <w:r w:rsidR="00D100B0">
          <w:rPr>
            <w:noProof/>
            <w:webHidden/>
          </w:rPr>
          <w:fldChar w:fldCharType="separate"/>
        </w:r>
        <w:r w:rsidR="005D5C7C">
          <w:rPr>
            <w:noProof/>
            <w:webHidden/>
          </w:rPr>
          <w:t>54</w:t>
        </w:r>
        <w:r w:rsidR="00D100B0">
          <w:rPr>
            <w:noProof/>
            <w:webHidden/>
          </w:rPr>
          <w:fldChar w:fldCharType="end"/>
        </w:r>
      </w:hyperlink>
    </w:p>
    <w:p w14:paraId="5BD73548" w14:textId="041C5AC8" w:rsidR="00D100B0" w:rsidRDefault="006F4399">
      <w:pPr>
        <w:pStyle w:val="TOC3"/>
        <w:rPr>
          <w:rFonts w:asciiTheme="minorHAnsi" w:eastAsiaTheme="minorEastAsia" w:hAnsiTheme="minorHAnsi" w:cstheme="minorBidi"/>
          <w:noProof/>
          <w:sz w:val="22"/>
          <w:szCs w:val="22"/>
        </w:rPr>
      </w:pPr>
      <w:hyperlink w:anchor="_Toc509837319" w:history="1">
        <w:r w:rsidR="00D100B0" w:rsidRPr="009E2CBD">
          <w:rPr>
            <w:rStyle w:val="Hyperlink"/>
            <w:noProof/>
            <w14:scene3d>
              <w14:camera w14:prst="orthographicFront"/>
              <w14:lightRig w14:rig="threePt" w14:dir="t">
                <w14:rot w14:lat="0" w14:lon="0" w14:rev="0"/>
              </w14:lightRig>
            </w14:scene3d>
          </w:rPr>
          <w:t>3.2.1</w:t>
        </w:r>
        <w:r w:rsidR="00D100B0" w:rsidRPr="009E2CBD">
          <w:rPr>
            <w:rStyle w:val="Hyperlink"/>
            <w:noProof/>
          </w:rPr>
          <w:t xml:space="preserve"> Large Customers</w:t>
        </w:r>
        <w:r w:rsidR="00D100B0">
          <w:rPr>
            <w:noProof/>
            <w:webHidden/>
          </w:rPr>
          <w:tab/>
        </w:r>
        <w:r w:rsidR="00D100B0">
          <w:rPr>
            <w:noProof/>
            <w:webHidden/>
          </w:rPr>
          <w:fldChar w:fldCharType="begin"/>
        </w:r>
        <w:r w:rsidR="00D100B0">
          <w:rPr>
            <w:noProof/>
            <w:webHidden/>
          </w:rPr>
          <w:instrText xml:space="preserve"> PAGEREF _Toc509837319 \h </w:instrText>
        </w:r>
        <w:r w:rsidR="00D100B0">
          <w:rPr>
            <w:noProof/>
            <w:webHidden/>
          </w:rPr>
        </w:r>
        <w:r w:rsidR="00D100B0">
          <w:rPr>
            <w:noProof/>
            <w:webHidden/>
          </w:rPr>
          <w:fldChar w:fldCharType="separate"/>
        </w:r>
        <w:r w:rsidR="005D5C7C">
          <w:rPr>
            <w:noProof/>
            <w:webHidden/>
          </w:rPr>
          <w:t>55</w:t>
        </w:r>
        <w:r w:rsidR="00D100B0">
          <w:rPr>
            <w:noProof/>
            <w:webHidden/>
          </w:rPr>
          <w:fldChar w:fldCharType="end"/>
        </w:r>
      </w:hyperlink>
    </w:p>
    <w:p w14:paraId="6A23ED03" w14:textId="7A85CF94" w:rsidR="00D100B0" w:rsidRDefault="006F4399">
      <w:pPr>
        <w:pStyle w:val="TOC3"/>
        <w:rPr>
          <w:rFonts w:asciiTheme="minorHAnsi" w:eastAsiaTheme="minorEastAsia" w:hAnsiTheme="minorHAnsi" w:cstheme="minorBidi"/>
          <w:noProof/>
          <w:sz w:val="22"/>
          <w:szCs w:val="22"/>
        </w:rPr>
      </w:pPr>
      <w:hyperlink w:anchor="_Toc509837320" w:history="1">
        <w:r w:rsidR="00D100B0" w:rsidRPr="009E2CBD">
          <w:rPr>
            <w:rStyle w:val="Hyperlink"/>
            <w:noProof/>
            <w14:scene3d>
              <w14:camera w14:prst="orthographicFront"/>
              <w14:lightRig w14:rig="threePt" w14:dir="t">
                <w14:rot w14:lat="0" w14:lon="0" w14:rev="0"/>
              </w14:lightRig>
            </w14:scene3d>
          </w:rPr>
          <w:t>3.2.2</w:t>
        </w:r>
        <w:r w:rsidR="00D100B0" w:rsidRPr="009E2CBD">
          <w:rPr>
            <w:rStyle w:val="Hyperlink"/>
            <w:noProof/>
          </w:rPr>
          <w:t xml:space="preserve"> SMB Customers</w:t>
        </w:r>
        <w:r w:rsidR="00D100B0">
          <w:rPr>
            <w:noProof/>
            <w:webHidden/>
          </w:rPr>
          <w:tab/>
        </w:r>
        <w:r w:rsidR="00D100B0">
          <w:rPr>
            <w:noProof/>
            <w:webHidden/>
          </w:rPr>
          <w:fldChar w:fldCharType="begin"/>
        </w:r>
        <w:r w:rsidR="00D100B0">
          <w:rPr>
            <w:noProof/>
            <w:webHidden/>
          </w:rPr>
          <w:instrText xml:space="preserve"> PAGEREF _Toc509837320 \h </w:instrText>
        </w:r>
        <w:r w:rsidR="00D100B0">
          <w:rPr>
            <w:noProof/>
            <w:webHidden/>
          </w:rPr>
        </w:r>
        <w:r w:rsidR="00D100B0">
          <w:rPr>
            <w:noProof/>
            <w:webHidden/>
          </w:rPr>
          <w:fldChar w:fldCharType="separate"/>
        </w:r>
        <w:r w:rsidR="005D5C7C">
          <w:rPr>
            <w:noProof/>
            <w:webHidden/>
          </w:rPr>
          <w:t>59</w:t>
        </w:r>
        <w:r w:rsidR="00D100B0">
          <w:rPr>
            <w:noProof/>
            <w:webHidden/>
          </w:rPr>
          <w:fldChar w:fldCharType="end"/>
        </w:r>
      </w:hyperlink>
    </w:p>
    <w:p w14:paraId="7F486E78" w14:textId="1F519293"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21" w:history="1">
        <w:r w:rsidR="00D100B0" w:rsidRPr="009E2CBD">
          <w:rPr>
            <w:rStyle w:val="Hyperlink"/>
            <w:noProof/>
          </w:rPr>
          <w:t>3.3 PG&amp;E Load Impact Reconciliations</w:t>
        </w:r>
        <w:r w:rsidR="00D100B0">
          <w:rPr>
            <w:noProof/>
            <w:webHidden/>
          </w:rPr>
          <w:tab/>
        </w:r>
        <w:r w:rsidR="00D100B0">
          <w:rPr>
            <w:noProof/>
            <w:webHidden/>
          </w:rPr>
          <w:fldChar w:fldCharType="begin"/>
        </w:r>
        <w:r w:rsidR="00D100B0">
          <w:rPr>
            <w:noProof/>
            <w:webHidden/>
          </w:rPr>
          <w:instrText xml:space="preserve"> PAGEREF _Toc509837321 \h </w:instrText>
        </w:r>
        <w:r w:rsidR="00D100B0">
          <w:rPr>
            <w:noProof/>
            <w:webHidden/>
          </w:rPr>
        </w:r>
        <w:r w:rsidR="00D100B0">
          <w:rPr>
            <w:noProof/>
            <w:webHidden/>
          </w:rPr>
          <w:fldChar w:fldCharType="separate"/>
        </w:r>
        <w:r w:rsidR="005D5C7C">
          <w:rPr>
            <w:noProof/>
            <w:webHidden/>
          </w:rPr>
          <w:t>68</w:t>
        </w:r>
        <w:r w:rsidR="00D100B0">
          <w:rPr>
            <w:noProof/>
            <w:webHidden/>
          </w:rPr>
          <w:fldChar w:fldCharType="end"/>
        </w:r>
      </w:hyperlink>
    </w:p>
    <w:p w14:paraId="18C2DE64" w14:textId="7E2F707F" w:rsidR="00D100B0" w:rsidRDefault="006F4399">
      <w:pPr>
        <w:pStyle w:val="TOC3"/>
        <w:rPr>
          <w:rFonts w:asciiTheme="minorHAnsi" w:eastAsiaTheme="minorEastAsia" w:hAnsiTheme="minorHAnsi" w:cstheme="minorBidi"/>
          <w:noProof/>
          <w:sz w:val="22"/>
          <w:szCs w:val="22"/>
        </w:rPr>
      </w:pPr>
      <w:hyperlink w:anchor="_Toc509837322" w:history="1">
        <w:r w:rsidR="00D100B0" w:rsidRPr="009E2CBD">
          <w:rPr>
            <w:rStyle w:val="Hyperlink"/>
            <w:noProof/>
            <w14:scene3d>
              <w14:camera w14:prst="orthographicFront"/>
              <w14:lightRig w14:rig="threePt" w14:dir="t">
                <w14:rot w14:lat="0" w14:lon="0" w14:rev="0"/>
              </w14:lightRig>
            </w14:scene3d>
          </w:rPr>
          <w:t>3.3.1</w:t>
        </w:r>
        <w:r w:rsidR="00D100B0" w:rsidRPr="009E2CBD">
          <w:rPr>
            <w:rStyle w:val="Hyperlink"/>
            <w:noProof/>
          </w:rPr>
          <w:t xml:space="preserve"> PG&amp;E Large Customer Reconciliations</w:t>
        </w:r>
        <w:r w:rsidR="00D100B0">
          <w:rPr>
            <w:noProof/>
            <w:webHidden/>
          </w:rPr>
          <w:tab/>
        </w:r>
        <w:r w:rsidR="00D100B0">
          <w:rPr>
            <w:noProof/>
            <w:webHidden/>
          </w:rPr>
          <w:fldChar w:fldCharType="begin"/>
        </w:r>
        <w:r w:rsidR="00D100B0">
          <w:rPr>
            <w:noProof/>
            <w:webHidden/>
          </w:rPr>
          <w:instrText xml:space="preserve"> PAGEREF _Toc509837322 \h </w:instrText>
        </w:r>
        <w:r w:rsidR="00D100B0">
          <w:rPr>
            <w:noProof/>
            <w:webHidden/>
          </w:rPr>
        </w:r>
        <w:r w:rsidR="00D100B0">
          <w:rPr>
            <w:noProof/>
            <w:webHidden/>
          </w:rPr>
          <w:fldChar w:fldCharType="separate"/>
        </w:r>
        <w:r w:rsidR="005D5C7C">
          <w:rPr>
            <w:noProof/>
            <w:webHidden/>
          </w:rPr>
          <w:t>68</w:t>
        </w:r>
        <w:r w:rsidR="00D100B0">
          <w:rPr>
            <w:noProof/>
            <w:webHidden/>
          </w:rPr>
          <w:fldChar w:fldCharType="end"/>
        </w:r>
      </w:hyperlink>
    </w:p>
    <w:p w14:paraId="06DA7248" w14:textId="3052E8D7" w:rsidR="00D100B0" w:rsidRDefault="006F4399">
      <w:pPr>
        <w:pStyle w:val="TOC3"/>
        <w:rPr>
          <w:rFonts w:asciiTheme="minorHAnsi" w:eastAsiaTheme="minorEastAsia" w:hAnsiTheme="minorHAnsi" w:cstheme="minorBidi"/>
          <w:noProof/>
          <w:sz w:val="22"/>
          <w:szCs w:val="22"/>
        </w:rPr>
      </w:pPr>
      <w:hyperlink w:anchor="_Toc509837323" w:history="1">
        <w:r w:rsidR="00D100B0" w:rsidRPr="009E2CBD">
          <w:rPr>
            <w:rStyle w:val="Hyperlink"/>
            <w:noProof/>
            <w14:scene3d>
              <w14:camera w14:prst="orthographicFront"/>
              <w14:lightRig w14:rig="threePt" w14:dir="t">
                <w14:rot w14:lat="0" w14:lon="0" w14:rev="0"/>
              </w14:lightRig>
            </w14:scene3d>
          </w:rPr>
          <w:t>3.3.2</w:t>
        </w:r>
        <w:r w:rsidR="00D100B0" w:rsidRPr="009E2CBD">
          <w:rPr>
            <w:rStyle w:val="Hyperlink"/>
            <w:noProof/>
          </w:rPr>
          <w:t xml:space="preserve"> PG&amp;E SMB Customer Reconciliations</w:t>
        </w:r>
        <w:r w:rsidR="00D100B0">
          <w:rPr>
            <w:noProof/>
            <w:webHidden/>
          </w:rPr>
          <w:tab/>
        </w:r>
        <w:r w:rsidR="00D100B0">
          <w:rPr>
            <w:noProof/>
            <w:webHidden/>
          </w:rPr>
          <w:fldChar w:fldCharType="begin"/>
        </w:r>
        <w:r w:rsidR="00D100B0">
          <w:rPr>
            <w:noProof/>
            <w:webHidden/>
          </w:rPr>
          <w:instrText xml:space="preserve"> PAGEREF _Toc509837323 \h </w:instrText>
        </w:r>
        <w:r w:rsidR="00D100B0">
          <w:rPr>
            <w:noProof/>
            <w:webHidden/>
          </w:rPr>
        </w:r>
        <w:r w:rsidR="00D100B0">
          <w:rPr>
            <w:noProof/>
            <w:webHidden/>
          </w:rPr>
          <w:fldChar w:fldCharType="separate"/>
        </w:r>
        <w:r w:rsidR="005D5C7C">
          <w:rPr>
            <w:noProof/>
            <w:webHidden/>
          </w:rPr>
          <w:t>71</w:t>
        </w:r>
        <w:r w:rsidR="00D100B0">
          <w:rPr>
            <w:noProof/>
            <w:webHidden/>
          </w:rPr>
          <w:fldChar w:fldCharType="end"/>
        </w:r>
      </w:hyperlink>
    </w:p>
    <w:p w14:paraId="055EE05E" w14:textId="6F8D9856" w:rsidR="00D100B0" w:rsidRDefault="006F4399">
      <w:pPr>
        <w:pStyle w:val="TOC1"/>
        <w:rPr>
          <w:rFonts w:asciiTheme="minorHAnsi" w:eastAsiaTheme="minorEastAsia" w:hAnsiTheme="minorHAnsi" w:cstheme="minorBidi"/>
          <w:b w:val="0"/>
          <w:noProof/>
          <w:sz w:val="22"/>
          <w:szCs w:val="22"/>
        </w:rPr>
      </w:pPr>
      <w:hyperlink w:anchor="_Toc509837324" w:history="1">
        <w:r w:rsidR="00D100B0" w:rsidRPr="009E2CBD">
          <w:rPr>
            <w:rStyle w:val="Hyperlink"/>
            <w:noProof/>
          </w:rPr>
          <w:t>4. SCE</w:t>
        </w:r>
        <w:r w:rsidR="00D100B0">
          <w:rPr>
            <w:noProof/>
            <w:webHidden/>
          </w:rPr>
          <w:tab/>
        </w:r>
        <w:r w:rsidR="00D100B0">
          <w:rPr>
            <w:noProof/>
            <w:webHidden/>
          </w:rPr>
          <w:fldChar w:fldCharType="begin"/>
        </w:r>
        <w:r w:rsidR="00D100B0">
          <w:rPr>
            <w:noProof/>
            <w:webHidden/>
          </w:rPr>
          <w:instrText xml:space="preserve"> PAGEREF _Toc509837324 \h </w:instrText>
        </w:r>
        <w:r w:rsidR="00D100B0">
          <w:rPr>
            <w:noProof/>
            <w:webHidden/>
          </w:rPr>
        </w:r>
        <w:r w:rsidR="00D100B0">
          <w:rPr>
            <w:noProof/>
            <w:webHidden/>
          </w:rPr>
          <w:fldChar w:fldCharType="separate"/>
        </w:r>
        <w:r w:rsidR="005D5C7C">
          <w:rPr>
            <w:noProof/>
            <w:webHidden/>
          </w:rPr>
          <w:t>74</w:t>
        </w:r>
        <w:r w:rsidR="00D100B0">
          <w:rPr>
            <w:noProof/>
            <w:webHidden/>
          </w:rPr>
          <w:fldChar w:fldCharType="end"/>
        </w:r>
      </w:hyperlink>
    </w:p>
    <w:p w14:paraId="23D23012" w14:textId="5295B9DA"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25" w:history="1">
        <w:r w:rsidR="00D100B0" w:rsidRPr="009E2CBD">
          <w:rPr>
            <w:rStyle w:val="Hyperlink"/>
            <w:noProof/>
          </w:rPr>
          <w:t>4.1 SCE Ex-Post Load Impacts</w:t>
        </w:r>
        <w:r w:rsidR="00D100B0">
          <w:rPr>
            <w:noProof/>
            <w:webHidden/>
          </w:rPr>
          <w:tab/>
        </w:r>
        <w:r w:rsidR="00D100B0">
          <w:rPr>
            <w:noProof/>
            <w:webHidden/>
          </w:rPr>
          <w:fldChar w:fldCharType="begin"/>
        </w:r>
        <w:r w:rsidR="00D100B0">
          <w:rPr>
            <w:noProof/>
            <w:webHidden/>
          </w:rPr>
          <w:instrText xml:space="preserve"> PAGEREF _Toc509837325 \h </w:instrText>
        </w:r>
        <w:r w:rsidR="00D100B0">
          <w:rPr>
            <w:noProof/>
            <w:webHidden/>
          </w:rPr>
        </w:r>
        <w:r w:rsidR="00D100B0">
          <w:rPr>
            <w:noProof/>
            <w:webHidden/>
          </w:rPr>
          <w:fldChar w:fldCharType="separate"/>
        </w:r>
        <w:r w:rsidR="005D5C7C">
          <w:rPr>
            <w:noProof/>
            <w:webHidden/>
          </w:rPr>
          <w:t>74</w:t>
        </w:r>
        <w:r w:rsidR="00D100B0">
          <w:rPr>
            <w:noProof/>
            <w:webHidden/>
          </w:rPr>
          <w:fldChar w:fldCharType="end"/>
        </w:r>
      </w:hyperlink>
    </w:p>
    <w:p w14:paraId="518AE5AD" w14:textId="314EC799" w:rsidR="00D100B0" w:rsidRDefault="006F4399">
      <w:pPr>
        <w:pStyle w:val="TOC3"/>
        <w:rPr>
          <w:rFonts w:asciiTheme="minorHAnsi" w:eastAsiaTheme="minorEastAsia" w:hAnsiTheme="minorHAnsi" w:cstheme="minorBidi"/>
          <w:noProof/>
          <w:sz w:val="22"/>
          <w:szCs w:val="22"/>
        </w:rPr>
      </w:pPr>
      <w:hyperlink w:anchor="_Toc509837326" w:history="1">
        <w:r w:rsidR="00D100B0" w:rsidRPr="009E2CBD">
          <w:rPr>
            <w:rStyle w:val="Hyperlink"/>
            <w:noProof/>
            <w14:scene3d>
              <w14:camera w14:prst="orthographicFront"/>
              <w14:lightRig w14:rig="threePt" w14:dir="t">
                <w14:rot w14:lat="0" w14:lon="0" w14:rev="0"/>
              </w14:lightRig>
            </w14:scene3d>
          </w:rPr>
          <w:t>4.1.1</w:t>
        </w:r>
        <w:r w:rsidR="00D100B0" w:rsidRPr="009E2CBD">
          <w:rPr>
            <w:rStyle w:val="Hyperlink"/>
            <w:noProof/>
          </w:rPr>
          <w:t xml:space="preserve"> Large Customers</w:t>
        </w:r>
        <w:r w:rsidR="00D100B0">
          <w:rPr>
            <w:noProof/>
            <w:webHidden/>
          </w:rPr>
          <w:tab/>
        </w:r>
        <w:r w:rsidR="00D100B0">
          <w:rPr>
            <w:noProof/>
            <w:webHidden/>
          </w:rPr>
          <w:fldChar w:fldCharType="begin"/>
        </w:r>
        <w:r w:rsidR="00D100B0">
          <w:rPr>
            <w:noProof/>
            <w:webHidden/>
          </w:rPr>
          <w:instrText xml:space="preserve"> PAGEREF _Toc509837326 \h </w:instrText>
        </w:r>
        <w:r w:rsidR="00D100B0">
          <w:rPr>
            <w:noProof/>
            <w:webHidden/>
          </w:rPr>
        </w:r>
        <w:r w:rsidR="00D100B0">
          <w:rPr>
            <w:noProof/>
            <w:webHidden/>
          </w:rPr>
          <w:fldChar w:fldCharType="separate"/>
        </w:r>
        <w:r w:rsidR="005D5C7C">
          <w:rPr>
            <w:noProof/>
            <w:webHidden/>
          </w:rPr>
          <w:t>75</w:t>
        </w:r>
        <w:r w:rsidR="00D100B0">
          <w:rPr>
            <w:noProof/>
            <w:webHidden/>
          </w:rPr>
          <w:fldChar w:fldCharType="end"/>
        </w:r>
      </w:hyperlink>
    </w:p>
    <w:p w14:paraId="5899EE18" w14:textId="4ADA39E6" w:rsidR="00D100B0" w:rsidRDefault="006F4399">
      <w:pPr>
        <w:pStyle w:val="TOC3"/>
        <w:rPr>
          <w:rFonts w:asciiTheme="minorHAnsi" w:eastAsiaTheme="minorEastAsia" w:hAnsiTheme="minorHAnsi" w:cstheme="minorBidi"/>
          <w:noProof/>
          <w:sz w:val="22"/>
          <w:szCs w:val="22"/>
        </w:rPr>
      </w:pPr>
      <w:hyperlink w:anchor="_Toc509837327" w:history="1">
        <w:r w:rsidR="00D100B0" w:rsidRPr="009E2CBD">
          <w:rPr>
            <w:rStyle w:val="Hyperlink"/>
            <w:noProof/>
            <w14:scene3d>
              <w14:camera w14:prst="orthographicFront"/>
              <w14:lightRig w14:rig="threePt" w14:dir="t">
                <w14:rot w14:lat="0" w14:lon="0" w14:rev="0"/>
              </w14:lightRig>
            </w14:scene3d>
          </w:rPr>
          <w:t>4.1.2</w:t>
        </w:r>
        <w:r w:rsidR="00D100B0" w:rsidRPr="009E2CBD">
          <w:rPr>
            <w:rStyle w:val="Hyperlink"/>
            <w:noProof/>
          </w:rPr>
          <w:t xml:space="preserve"> SMB Customers</w:t>
        </w:r>
        <w:r w:rsidR="00D100B0">
          <w:rPr>
            <w:noProof/>
            <w:webHidden/>
          </w:rPr>
          <w:tab/>
        </w:r>
        <w:r w:rsidR="00D100B0">
          <w:rPr>
            <w:noProof/>
            <w:webHidden/>
          </w:rPr>
          <w:fldChar w:fldCharType="begin"/>
        </w:r>
        <w:r w:rsidR="00D100B0">
          <w:rPr>
            <w:noProof/>
            <w:webHidden/>
          </w:rPr>
          <w:instrText xml:space="preserve"> PAGEREF _Toc509837327 \h </w:instrText>
        </w:r>
        <w:r w:rsidR="00D100B0">
          <w:rPr>
            <w:noProof/>
            <w:webHidden/>
          </w:rPr>
        </w:r>
        <w:r w:rsidR="00D100B0">
          <w:rPr>
            <w:noProof/>
            <w:webHidden/>
          </w:rPr>
          <w:fldChar w:fldCharType="separate"/>
        </w:r>
        <w:r w:rsidR="005D5C7C">
          <w:rPr>
            <w:noProof/>
            <w:webHidden/>
          </w:rPr>
          <w:t>82</w:t>
        </w:r>
        <w:r w:rsidR="00D100B0">
          <w:rPr>
            <w:noProof/>
            <w:webHidden/>
          </w:rPr>
          <w:fldChar w:fldCharType="end"/>
        </w:r>
      </w:hyperlink>
    </w:p>
    <w:p w14:paraId="244FFD2A" w14:textId="1ED1F94D" w:rsidR="00D100B0" w:rsidRDefault="006F4399">
      <w:pPr>
        <w:pStyle w:val="TOC3"/>
        <w:rPr>
          <w:rFonts w:asciiTheme="minorHAnsi" w:eastAsiaTheme="minorEastAsia" w:hAnsiTheme="minorHAnsi" w:cstheme="minorBidi"/>
          <w:noProof/>
          <w:sz w:val="22"/>
          <w:szCs w:val="22"/>
        </w:rPr>
      </w:pPr>
      <w:hyperlink w:anchor="_Toc509837328" w:history="1">
        <w:r w:rsidR="00D100B0" w:rsidRPr="009E2CBD">
          <w:rPr>
            <w:rStyle w:val="Hyperlink"/>
            <w:noProof/>
            <w14:scene3d>
              <w14:camera w14:prst="orthographicFront"/>
              <w14:lightRig w14:rig="threePt" w14:dir="t">
                <w14:rot w14:lat="0" w14:lon="0" w14:rev="0"/>
              </w14:lightRig>
            </w14:scene3d>
          </w:rPr>
          <w:t>4.1.3</w:t>
        </w:r>
        <w:r w:rsidR="00D100B0" w:rsidRPr="009E2CBD">
          <w:rPr>
            <w:rStyle w:val="Hyperlink"/>
            <w:noProof/>
          </w:rPr>
          <w:t xml:space="preserve"> NEM Customers</w:t>
        </w:r>
        <w:r w:rsidR="00D100B0">
          <w:rPr>
            <w:noProof/>
            <w:webHidden/>
          </w:rPr>
          <w:tab/>
        </w:r>
        <w:r w:rsidR="00D100B0">
          <w:rPr>
            <w:noProof/>
            <w:webHidden/>
          </w:rPr>
          <w:fldChar w:fldCharType="begin"/>
        </w:r>
        <w:r w:rsidR="00D100B0">
          <w:rPr>
            <w:noProof/>
            <w:webHidden/>
          </w:rPr>
          <w:instrText xml:space="preserve"> PAGEREF _Toc509837328 \h </w:instrText>
        </w:r>
        <w:r w:rsidR="00D100B0">
          <w:rPr>
            <w:noProof/>
            <w:webHidden/>
          </w:rPr>
        </w:r>
        <w:r w:rsidR="00D100B0">
          <w:rPr>
            <w:noProof/>
            <w:webHidden/>
          </w:rPr>
          <w:fldChar w:fldCharType="separate"/>
        </w:r>
        <w:r w:rsidR="005D5C7C">
          <w:rPr>
            <w:noProof/>
            <w:webHidden/>
          </w:rPr>
          <w:t>90</w:t>
        </w:r>
        <w:r w:rsidR="00D100B0">
          <w:rPr>
            <w:noProof/>
            <w:webHidden/>
          </w:rPr>
          <w:fldChar w:fldCharType="end"/>
        </w:r>
      </w:hyperlink>
    </w:p>
    <w:p w14:paraId="2BB0040F" w14:textId="23D769D3" w:rsidR="00D100B0" w:rsidRDefault="006F4399">
      <w:pPr>
        <w:pStyle w:val="TOC3"/>
        <w:rPr>
          <w:rFonts w:asciiTheme="minorHAnsi" w:eastAsiaTheme="minorEastAsia" w:hAnsiTheme="minorHAnsi" w:cstheme="minorBidi"/>
          <w:noProof/>
          <w:sz w:val="22"/>
          <w:szCs w:val="22"/>
        </w:rPr>
      </w:pPr>
      <w:hyperlink w:anchor="_Toc509837329" w:history="1">
        <w:r w:rsidR="00D100B0" w:rsidRPr="009E2CBD">
          <w:rPr>
            <w:rStyle w:val="Hyperlink"/>
            <w:noProof/>
            <w14:scene3d>
              <w14:camera w14:prst="orthographicFront"/>
              <w14:lightRig w14:rig="threePt" w14:dir="t">
                <w14:rot w14:lat="0" w14:lon="0" w14:rev="0"/>
              </w14:lightRig>
            </w14:scene3d>
          </w:rPr>
          <w:t>4.1.4</w:t>
        </w:r>
        <w:r w:rsidR="00D100B0" w:rsidRPr="009E2CBD">
          <w:rPr>
            <w:rStyle w:val="Hyperlink"/>
            <w:noProof/>
          </w:rPr>
          <w:t xml:space="preserve"> Dually Enrolled Customers</w:t>
        </w:r>
        <w:r w:rsidR="00D100B0">
          <w:rPr>
            <w:noProof/>
            <w:webHidden/>
          </w:rPr>
          <w:tab/>
        </w:r>
        <w:r w:rsidR="00D100B0">
          <w:rPr>
            <w:noProof/>
            <w:webHidden/>
          </w:rPr>
          <w:fldChar w:fldCharType="begin"/>
        </w:r>
        <w:r w:rsidR="00D100B0">
          <w:rPr>
            <w:noProof/>
            <w:webHidden/>
          </w:rPr>
          <w:instrText xml:space="preserve"> PAGEREF _Toc509837329 \h </w:instrText>
        </w:r>
        <w:r w:rsidR="00D100B0">
          <w:rPr>
            <w:noProof/>
            <w:webHidden/>
          </w:rPr>
        </w:r>
        <w:r w:rsidR="00D100B0">
          <w:rPr>
            <w:noProof/>
            <w:webHidden/>
          </w:rPr>
          <w:fldChar w:fldCharType="separate"/>
        </w:r>
        <w:r w:rsidR="005D5C7C">
          <w:rPr>
            <w:noProof/>
            <w:webHidden/>
          </w:rPr>
          <w:t>96</w:t>
        </w:r>
        <w:r w:rsidR="00D100B0">
          <w:rPr>
            <w:noProof/>
            <w:webHidden/>
          </w:rPr>
          <w:fldChar w:fldCharType="end"/>
        </w:r>
      </w:hyperlink>
    </w:p>
    <w:p w14:paraId="1A987816" w14:textId="7AF70D77" w:rsidR="00D100B0" w:rsidRDefault="006F4399">
      <w:pPr>
        <w:pStyle w:val="TOC3"/>
        <w:rPr>
          <w:rFonts w:asciiTheme="minorHAnsi" w:eastAsiaTheme="minorEastAsia" w:hAnsiTheme="minorHAnsi" w:cstheme="minorBidi"/>
          <w:noProof/>
          <w:sz w:val="22"/>
          <w:szCs w:val="22"/>
        </w:rPr>
      </w:pPr>
      <w:hyperlink w:anchor="_Toc509837330" w:history="1">
        <w:r w:rsidR="00D100B0" w:rsidRPr="009E2CBD">
          <w:rPr>
            <w:rStyle w:val="Hyperlink"/>
            <w:noProof/>
            <w14:scene3d>
              <w14:camera w14:prst="orthographicFront"/>
              <w14:lightRig w14:rig="threePt" w14:dir="t">
                <w14:rot w14:lat="0" w14:lon="0" w14:rev="0"/>
              </w14:lightRig>
            </w14:scene3d>
          </w:rPr>
          <w:t>4.1.5</w:t>
        </w:r>
        <w:r w:rsidR="00D100B0" w:rsidRPr="009E2CBD">
          <w:rPr>
            <w:rStyle w:val="Hyperlink"/>
            <w:noProof/>
          </w:rPr>
          <w:t xml:space="preserve"> AutoDR and TA/TI Customers</w:t>
        </w:r>
        <w:r w:rsidR="00D100B0">
          <w:rPr>
            <w:noProof/>
            <w:webHidden/>
          </w:rPr>
          <w:tab/>
        </w:r>
        <w:r w:rsidR="00D100B0">
          <w:rPr>
            <w:noProof/>
            <w:webHidden/>
          </w:rPr>
          <w:fldChar w:fldCharType="begin"/>
        </w:r>
        <w:r w:rsidR="00D100B0">
          <w:rPr>
            <w:noProof/>
            <w:webHidden/>
          </w:rPr>
          <w:instrText xml:space="preserve"> PAGEREF _Toc509837330 \h </w:instrText>
        </w:r>
        <w:r w:rsidR="00D100B0">
          <w:rPr>
            <w:noProof/>
            <w:webHidden/>
          </w:rPr>
        </w:r>
        <w:r w:rsidR="00D100B0">
          <w:rPr>
            <w:noProof/>
            <w:webHidden/>
          </w:rPr>
          <w:fldChar w:fldCharType="separate"/>
        </w:r>
        <w:r w:rsidR="005D5C7C">
          <w:rPr>
            <w:noProof/>
            <w:webHidden/>
          </w:rPr>
          <w:t>99</w:t>
        </w:r>
        <w:r w:rsidR="00D100B0">
          <w:rPr>
            <w:noProof/>
            <w:webHidden/>
          </w:rPr>
          <w:fldChar w:fldCharType="end"/>
        </w:r>
      </w:hyperlink>
    </w:p>
    <w:p w14:paraId="6643A627" w14:textId="3084C548"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31" w:history="1">
        <w:r w:rsidR="00D100B0" w:rsidRPr="009E2CBD">
          <w:rPr>
            <w:rStyle w:val="Hyperlink"/>
            <w:noProof/>
          </w:rPr>
          <w:t>4.2 SCE Ex-Ante Load Impacts</w:t>
        </w:r>
        <w:r w:rsidR="00D100B0">
          <w:rPr>
            <w:noProof/>
            <w:webHidden/>
          </w:rPr>
          <w:tab/>
        </w:r>
        <w:r w:rsidR="00D100B0">
          <w:rPr>
            <w:noProof/>
            <w:webHidden/>
          </w:rPr>
          <w:fldChar w:fldCharType="begin"/>
        </w:r>
        <w:r w:rsidR="00D100B0">
          <w:rPr>
            <w:noProof/>
            <w:webHidden/>
          </w:rPr>
          <w:instrText xml:space="preserve"> PAGEREF _Toc509837331 \h </w:instrText>
        </w:r>
        <w:r w:rsidR="00D100B0">
          <w:rPr>
            <w:noProof/>
            <w:webHidden/>
          </w:rPr>
        </w:r>
        <w:r w:rsidR="00D100B0">
          <w:rPr>
            <w:noProof/>
            <w:webHidden/>
          </w:rPr>
          <w:fldChar w:fldCharType="separate"/>
        </w:r>
        <w:r w:rsidR="005D5C7C">
          <w:rPr>
            <w:noProof/>
            <w:webHidden/>
          </w:rPr>
          <w:t>101</w:t>
        </w:r>
        <w:r w:rsidR="00D100B0">
          <w:rPr>
            <w:noProof/>
            <w:webHidden/>
          </w:rPr>
          <w:fldChar w:fldCharType="end"/>
        </w:r>
      </w:hyperlink>
    </w:p>
    <w:p w14:paraId="4C4A0EEB" w14:textId="6758A085" w:rsidR="00D100B0" w:rsidRDefault="006F4399">
      <w:pPr>
        <w:pStyle w:val="TOC3"/>
        <w:rPr>
          <w:rFonts w:asciiTheme="minorHAnsi" w:eastAsiaTheme="minorEastAsia" w:hAnsiTheme="minorHAnsi" w:cstheme="minorBidi"/>
          <w:noProof/>
          <w:sz w:val="22"/>
          <w:szCs w:val="22"/>
        </w:rPr>
      </w:pPr>
      <w:hyperlink w:anchor="_Toc509837332" w:history="1">
        <w:r w:rsidR="00D100B0" w:rsidRPr="009E2CBD">
          <w:rPr>
            <w:rStyle w:val="Hyperlink"/>
            <w:noProof/>
            <w14:scene3d>
              <w14:camera w14:prst="orthographicFront"/>
              <w14:lightRig w14:rig="threePt" w14:dir="t">
                <w14:rot w14:lat="0" w14:lon="0" w14:rev="0"/>
              </w14:lightRig>
            </w14:scene3d>
          </w:rPr>
          <w:t>4.2.1</w:t>
        </w:r>
        <w:r w:rsidR="00D100B0" w:rsidRPr="009E2CBD">
          <w:rPr>
            <w:rStyle w:val="Hyperlink"/>
            <w:noProof/>
          </w:rPr>
          <w:t xml:space="preserve"> Large Customers</w:t>
        </w:r>
        <w:r w:rsidR="00D100B0">
          <w:rPr>
            <w:noProof/>
            <w:webHidden/>
          </w:rPr>
          <w:tab/>
        </w:r>
        <w:r w:rsidR="00D100B0">
          <w:rPr>
            <w:noProof/>
            <w:webHidden/>
          </w:rPr>
          <w:fldChar w:fldCharType="begin"/>
        </w:r>
        <w:r w:rsidR="00D100B0">
          <w:rPr>
            <w:noProof/>
            <w:webHidden/>
          </w:rPr>
          <w:instrText xml:space="preserve"> PAGEREF _Toc509837332 \h </w:instrText>
        </w:r>
        <w:r w:rsidR="00D100B0">
          <w:rPr>
            <w:noProof/>
            <w:webHidden/>
          </w:rPr>
        </w:r>
        <w:r w:rsidR="00D100B0">
          <w:rPr>
            <w:noProof/>
            <w:webHidden/>
          </w:rPr>
          <w:fldChar w:fldCharType="separate"/>
        </w:r>
        <w:r w:rsidR="005D5C7C">
          <w:rPr>
            <w:noProof/>
            <w:webHidden/>
          </w:rPr>
          <w:t>102</w:t>
        </w:r>
        <w:r w:rsidR="00D100B0">
          <w:rPr>
            <w:noProof/>
            <w:webHidden/>
          </w:rPr>
          <w:fldChar w:fldCharType="end"/>
        </w:r>
      </w:hyperlink>
    </w:p>
    <w:p w14:paraId="502B24A9" w14:textId="3C5184E1" w:rsidR="00D100B0" w:rsidRDefault="006F4399">
      <w:pPr>
        <w:pStyle w:val="TOC3"/>
        <w:rPr>
          <w:rFonts w:asciiTheme="minorHAnsi" w:eastAsiaTheme="minorEastAsia" w:hAnsiTheme="minorHAnsi" w:cstheme="minorBidi"/>
          <w:noProof/>
          <w:sz w:val="22"/>
          <w:szCs w:val="22"/>
        </w:rPr>
      </w:pPr>
      <w:hyperlink w:anchor="_Toc509837333" w:history="1">
        <w:r w:rsidR="00D100B0" w:rsidRPr="009E2CBD">
          <w:rPr>
            <w:rStyle w:val="Hyperlink"/>
            <w:noProof/>
            <w14:scene3d>
              <w14:camera w14:prst="orthographicFront"/>
              <w14:lightRig w14:rig="threePt" w14:dir="t">
                <w14:rot w14:lat="0" w14:lon="0" w14:rev="0"/>
              </w14:lightRig>
            </w14:scene3d>
          </w:rPr>
          <w:t>4.2.2</w:t>
        </w:r>
        <w:r w:rsidR="00D100B0" w:rsidRPr="009E2CBD">
          <w:rPr>
            <w:rStyle w:val="Hyperlink"/>
            <w:noProof/>
          </w:rPr>
          <w:t xml:space="preserve"> SMB Customers</w:t>
        </w:r>
        <w:r w:rsidR="00D100B0">
          <w:rPr>
            <w:noProof/>
            <w:webHidden/>
          </w:rPr>
          <w:tab/>
        </w:r>
        <w:r w:rsidR="00D100B0">
          <w:rPr>
            <w:noProof/>
            <w:webHidden/>
          </w:rPr>
          <w:fldChar w:fldCharType="begin"/>
        </w:r>
        <w:r w:rsidR="00D100B0">
          <w:rPr>
            <w:noProof/>
            <w:webHidden/>
          </w:rPr>
          <w:instrText xml:space="preserve"> PAGEREF _Toc509837333 \h </w:instrText>
        </w:r>
        <w:r w:rsidR="00D100B0">
          <w:rPr>
            <w:noProof/>
            <w:webHidden/>
          </w:rPr>
        </w:r>
        <w:r w:rsidR="00D100B0">
          <w:rPr>
            <w:noProof/>
            <w:webHidden/>
          </w:rPr>
          <w:fldChar w:fldCharType="separate"/>
        </w:r>
        <w:r w:rsidR="005D5C7C">
          <w:rPr>
            <w:noProof/>
            <w:webHidden/>
          </w:rPr>
          <w:t>106</w:t>
        </w:r>
        <w:r w:rsidR="00D100B0">
          <w:rPr>
            <w:noProof/>
            <w:webHidden/>
          </w:rPr>
          <w:fldChar w:fldCharType="end"/>
        </w:r>
      </w:hyperlink>
    </w:p>
    <w:p w14:paraId="222A58B0" w14:textId="744177EA"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34" w:history="1">
        <w:r w:rsidR="00D100B0" w:rsidRPr="009E2CBD">
          <w:rPr>
            <w:rStyle w:val="Hyperlink"/>
            <w:noProof/>
          </w:rPr>
          <w:t>4.3 SCE Load Impact Reconciliations</w:t>
        </w:r>
        <w:r w:rsidR="00D100B0">
          <w:rPr>
            <w:noProof/>
            <w:webHidden/>
          </w:rPr>
          <w:tab/>
        </w:r>
        <w:r w:rsidR="00D100B0">
          <w:rPr>
            <w:noProof/>
            <w:webHidden/>
          </w:rPr>
          <w:fldChar w:fldCharType="begin"/>
        </w:r>
        <w:r w:rsidR="00D100B0">
          <w:rPr>
            <w:noProof/>
            <w:webHidden/>
          </w:rPr>
          <w:instrText xml:space="preserve"> PAGEREF _Toc509837334 \h </w:instrText>
        </w:r>
        <w:r w:rsidR="00D100B0">
          <w:rPr>
            <w:noProof/>
            <w:webHidden/>
          </w:rPr>
        </w:r>
        <w:r w:rsidR="00D100B0">
          <w:rPr>
            <w:noProof/>
            <w:webHidden/>
          </w:rPr>
          <w:fldChar w:fldCharType="separate"/>
        </w:r>
        <w:r w:rsidR="005D5C7C">
          <w:rPr>
            <w:noProof/>
            <w:webHidden/>
          </w:rPr>
          <w:t>115</w:t>
        </w:r>
        <w:r w:rsidR="00D100B0">
          <w:rPr>
            <w:noProof/>
            <w:webHidden/>
          </w:rPr>
          <w:fldChar w:fldCharType="end"/>
        </w:r>
      </w:hyperlink>
    </w:p>
    <w:p w14:paraId="4D9923FD" w14:textId="00418930" w:rsidR="00D100B0" w:rsidRDefault="006F4399">
      <w:pPr>
        <w:pStyle w:val="TOC3"/>
        <w:rPr>
          <w:rFonts w:asciiTheme="minorHAnsi" w:eastAsiaTheme="minorEastAsia" w:hAnsiTheme="minorHAnsi" w:cstheme="minorBidi"/>
          <w:noProof/>
          <w:sz w:val="22"/>
          <w:szCs w:val="22"/>
        </w:rPr>
      </w:pPr>
      <w:hyperlink w:anchor="_Toc509837335" w:history="1">
        <w:r w:rsidR="00D100B0" w:rsidRPr="009E2CBD">
          <w:rPr>
            <w:rStyle w:val="Hyperlink"/>
            <w:noProof/>
            <w14:scene3d>
              <w14:camera w14:prst="orthographicFront"/>
              <w14:lightRig w14:rig="threePt" w14:dir="t">
                <w14:rot w14:lat="0" w14:lon="0" w14:rev="0"/>
              </w14:lightRig>
            </w14:scene3d>
          </w:rPr>
          <w:t>4.3.1</w:t>
        </w:r>
        <w:r w:rsidR="00D100B0" w:rsidRPr="009E2CBD">
          <w:rPr>
            <w:rStyle w:val="Hyperlink"/>
            <w:noProof/>
          </w:rPr>
          <w:t xml:space="preserve"> SCE Large Customer Reconciliations</w:t>
        </w:r>
        <w:r w:rsidR="00D100B0">
          <w:rPr>
            <w:noProof/>
            <w:webHidden/>
          </w:rPr>
          <w:tab/>
        </w:r>
        <w:r w:rsidR="00D100B0">
          <w:rPr>
            <w:noProof/>
            <w:webHidden/>
          </w:rPr>
          <w:fldChar w:fldCharType="begin"/>
        </w:r>
        <w:r w:rsidR="00D100B0">
          <w:rPr>
            <w:noProof/>
            <w:webHidden/>
          </w:rPr>
          <w:instrText xml:space="preserve"> PAGEREF _Toc509837335 \h </w:instrText>
        </w:r>
        <w:r w:rsidR="00D100B0">
          <w:rPr>
            <w:noProof/>
            <w:webHidden/>
          </w:rPr>
        </w:r>
        <w:r w:rsidR="00D100B0">
          <w:rPr>
            <w:noProof/>
            <w:webHidden/>
          </w:rPr>
          <w:fldChar w:fldCharType="separate"/>
        </w:r>
        <w:r w:rsidR="005D5C7C">
          <w:rPr>
            <w:noProof/>
            <w:webHidden/>
          </w:rPr>
          <w:t>115</w:t>
        </w:r>
        <w:r w:rsidR="00D100B0">
          <w:rPr>
            <w:noProof/>
            <w:webHidden/>
          </w:rPr>
          <w:fldChar w:fldCharType="end"/>
        </w:r>
      </w:hyperlink>
    </w:p>
    <w:p w14:paraId="070688C4" w14:textId="5FD5CD42" w:rsidR="00D100B0" w:rsidRDefault="006F4399">
      <w:pPr>
        <w:pStyle w:val="TOC3"/>
        <w:rPr>
          <w:rFonts w:asciiTheme="minorHAnsi" w:eastAsiaTheme="minorEastAsia" w:hAnsiTheme="minorHAnsi" w:cstheme="minorBidi"/>
          <w:noProof/>
          <w:sz w:val="22"/>
          <w:szCs w:val="22"/>
        </w:rPr>
      </w:pPr>
      <w:hyperlink w:anchor="_Toc509837336" w:history="1">
        <w:r w:rsidR="00D100B0" w:rsidRPr="009E2CBD">
          <w:rPr>
            <w:rStyle w:val="Hyperlink"/>
            <w:noProof/>
            <w14:scene3d>
              <w14:camera w14:prst="orthographicFront"/>
              <w14:lightRig w14:rig="threePt" w14:dir="t">
                <w14:rot w14:lat="0" w14:lon="0" w14:rev="0"/>
              </w14:lightRig>
            </w14:scene3d>
          </w:rPr>
          <w:t>4.3.2</w:t>
        </w:r>
        <w:r w:rsidR="00D100B0" w:rsidRPr="009E2CBD">
          <w:rPr>
            <w:rStyle w:val="Hyperlink"/>
            <w:noProof/>
          </w:rPr>
          <w:t xml:space="preserve"> SCE SMB Customer Reconciliations</w:t>
        </w:r>
        <w:r w:rsidR="00D100B0">
          <w:rPr>
            <w:noProof/>
            <w:webHidden/>
          </w:rPr>
          <w:tab/>
        </w:r>
        <w:r w:rsidR="00D100B0">
          <w:rPr>
            <w:noProof/>
            <w:webHidden/>
          </w:rPr>
          <w:fldChar w:fldCharType="begin"/>
        </w:r>
        <w:r w:rsidR="00D100B0">
          <w:rPr>
            <w:noProof/>
            <w:webHidden/>
          </w:rPr>
          <w:instrText xml:space="preserve"> PAGEREF _Toc509837336 \h </w:instrText>
        </w:r>
        <w:r w:rsidR="00D100B0">
          <w:rPr>
            <w:noProof/>
            <w:webHidden/>
          </w:rPr>
        </w:r>
        <w:r w:rsidR="00D100B0">
          <w:rPr>
            <w:noProof/>
            <w:webHidden/>
          </w:rPr>
          <w:fldChar w:fldCharType="separate"/>
        </w:r>
        <w:r w:rsidR="005D5C7C">
          <w:rPr>
            <w:noProof/>
            <w:webHidden/>
          </w:rPr>
          <w:t>118</w:t>
        </w:r>
        <w:r w:rsidR="00D100B0">
          <w:rPr>
            <w:noProof/>
            <w:webHidden/>
          </w:rPr>
          <w:fldChar w:fldCharType="end"/>
        </w:r>
      </w:hyperlink>
    </w:p>
    <w:p w14:paraId="20B9713D" w14:textId="6CBAA3E7" w:rsidR="00D100B0" w:rsidRDefault="006F4399">
      <w:pPr>
        <w:pStyle w:val="TOC1"/>
        <w:rPr>
          <w:rFonts w:asciiTheme="minorHAnsi" w:eastAsiaTheme="minorEastAsia" w:hAnsiTheme="minorHAnsi" w:cstheme="minorBidi"/>
          <w:b w:val="0"/>
          <w:noProof/>
          <w:sz w:val="22"/>
          <w:szCs w:val="22"/>
        </w:rPr>
      </w:pPr>
      <w:hyperlink w:anchor="_Toc509837337" w:history="1">
        <w:r w:rsidR="00D100B0" w:rsidRPr="009E2CBD">
          <w:rPr>
            <w:rStyle w:val="Hyperlink"/>
            <w:noProof/>
          </w:rPr>
          <w:t>5. SDG&amp;E</w:t>
        </w:r>
        <w:r w:rsidR="00D100B0">
          <w:rPr>
            <w:noProof/>
            <w:webHidden/>
          </w:rPr>
          <w:tab/>
        </w:r>
        <w:r w:rsidR="00D100B0">
          <w:rPr>
            <w:noProof/>
            <w:webHidden/>
          </w:rPr>
          <w:fldChar w:fldCharType="begin"/>
        </w:r>
        <w:r w:rsidR="00D100B0">
          <w:rPr>
            <w:noProof/>
            <w:webHidden/>
          </w:rPr>
          <w:instrText xml:space="preserve"> PAGEREF _Toc509837337 \h </w:instrText>
        </w:r>
        <w:r w:rsidR="00D100B0">
          <w:rPr>
            <w:noProof/>
            <w:webHidden/>
          </w:rPr>
        </w:r>
        <w:r w:rsidR="00D100B0">
          <w:rPr>
            <w:noProof/>
            <w:webHidden/>
          </w:rPr>
          <w:fldChar w:fldCharType="separate"/>
        </w:r>
        <w:r w:rsidR="005D5C7C">
          <w:rPr>
            <w:noProof/>
            <w:webHidden/>
          </w:rPr>
          <w:t>121</w:t>
        </w:r>
        <w:r w:rsidR="00D100B0">
          <w:rPr>
            <w:noProof/>
            <w:webHidden/>
          </w:rPr>
          <w:fldChar w:fldCharType="end"/>
        </w:r>
      </w:hyperlink>
    </w:p>
    <w:p w14:paraId="053A072F" w14:textId="132AEFA3"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38" w:history="1">
        <w:r w:rsidR="00D100B0" w:rsidRPr="009E2CBD">
          <w:rPr>
            <w:rStyle w:val="Hyperlink"/>
            <w:noProof/>
          </w:rPr>
          <w:t>5.1 SDG&amp;E Ex-Post Load Impacts</w:t>
        </w:r>
        <w:r w:rsidR="00D100B0">
          <w:rPr>
            <w:noProof/>
            <w:webHidden/>
          </w:rPr>
          <w:tab/>
        </w:r>
        <w:r w:rsidR="00D100B0">
          <w:rPr>
            <w:noProof/>
            <w:webHidden/>
          </w:rPr>
          <w:fldChar w:fldCharType="begin"/>
        </w:r>
        <w:r w:rsidR="00D100B0">
          <w:rPr>
            <w:noProof/>
            <w:webHidden/>
          </w:rPr>
          <w:instrText xml:space="preserve"> PAGEREF _Toc509837338 \h </w:instrText>
        </w:r>
        <w:r w:rsidR="00D100B0">
          <w:rPr>
            <w:noProof/>
            <w:webHidden/>
          </w:rPr>
        </w:r>
        <w:r w:rsidR="00D100B0">
          <w:rPr>
            <w:noProof/>
            <w:webHidden/>
          </w:rPr>
          <w:fldChar w:fldCharType="separate"/>
        </w:r>
        <w:r w:rsidR="005D5C7C">
          <w:rPr>
            <w:noProof/>
            <w:webHidden/>
          </w:rPr>
          <w:t>121</w:t>
        </w:r>
        <w:r w:rsidR="00D100B0">
          <w:rPr>
            <w:noProof/>
            <w:webHidden/>
          </w:rPr>
          <w:fldChar w:fldCharType="end"/>
        </w:r>
      </w:hyperlink>
    </w:p>
    <w:p w14:paraId="1E323745" w14:textId="72B247A3" w:rsidR="00D100B0" w:rsidRDefault="006F4399">
      <w:pPr>
        <w:pStyle w:val="TOC3"/>
        <w:rPr>
          <w:rFonts w:asciiTheme="minorHAnsi" w:eastAsiaTheme="minorEastAsia" w:hAnsiTheme="minorHAnsi" w:cstheme="minorBidi"/>
          <w:noProof/>
          <w:sz w:val="22"/>
          <w:szCs w:val="22"/>
        </w:rPr>
      </w:pPr>
      <w:hyperlink w:anchor="_Toc509837339" w:history="1">
        <w:r w:rsidR="00D100B0" w:rsidRPr="009E2CBD">
          <w:rPr>
            <w:rStyle w:val="Hyperlink"/>
            <w:noProof/>
            <w14:scene3d>
              <w14:camera w14:prst="orthographicFront"/>
              <w14:lightRig w14:rig="threePt" w14:dir="t">
                <w14:rot w14:lat="0" w14:lon="0" w14:rev="0"/>
              </w14:lightRig>
            </w14:scene3d>
          </w:rPr>
          <w:t>5.1.1</w:t>
        </w:r>
        <w:r w:rsidR="00D100B0" w:rsidRPr="009E2CBD">
          <w:rPr>
            <w:rStyle w:val="Hyperlink"/>
            <w:noProof/>
          </w:rPr>
          <w:t xml:space="preserve"> Large Customers</w:t>
        </w:r>
        <w:r w:rsidR="00D100B0">
          <w:rPr>
            <w:noProof/>
            <w:webHidden/>
          </w:rPr>
          <w:tab/>
        </w:r>
        <w:r w:rsidR="00D100B0">
          <w:rPr>
            <w:noProof/>
            <w:webHidden/>
          </w:rPr>
          <w:fldChar w:fldCharType="begin"/>
        </w:r>
        <w:r w:rsidR="00D100B0">
          <w:rPr>
            <w:noProof/>
            <w:webHidden/>
          </w:rPr>
          <w:instrText xml:space="preserve"> PAGEREF _Toc509837339 \h </w:instrText>
        </w:r>
        <w:r w:rsidR="00D100B0">
          <w:rPr>
            <w:noProof/>
            <w:webHidden/>
          </w:rPr>
        </w:r>
        <w:r w:rsidR="00D100B0">
          <w:rPr>
            <w:noProof/>
            <w:webHidden/>
          </w:rPr>
          <w:fldChar w:fldCharType="separate"/>
        </w:r>
        <w:r w:rsidR="005D5C7C">
          <w:rPr>
            <w:noProof/>
            <w:webHidden/>
          </w:rPr>
          <w:t>122</w:t>
        </w:r>
        <w:r w:rsidR="00D100B0">
          <w:rPr>
            <w:noProof/>
            <w:webHidden/>
          </w:rPr>
          <w:fldChar w:fldCharType="end"/>
        </w:r>
      </w:hyperlink>
    </w:p>
    <w:p w14:paraId="077F1774" w14:textId="4F81B978" w:rsidR="00D100B0" w:rsidRDefault="006F4399">
      <w:pPr>
        <w:pStyle w:val="TOC3"/>
        <w:rPr>
          <w:rFonts w:asciiTheme="minorHAnsi" w:eastAsiaTheme="minorEastAsia" w:hAnsiTheme="minorHAnsi" w:cstheme="minorBidi"/>
          <w:noProof/>
          <w:sz w:val="22"/>
          <w:szCs w:val="22"/>
        </w:rPr>
      </w:pPr>
      <w:hyperlink w:anchor="_Toc509837340" w:history="1">
        <w:r w:rsidR="00D100B0" w:rsidRPr="009E2CBD">
          <w:rPr>
            <w:rStyle w:val="Hyperlink"/>
            <w:noProof/>
            <w14:scene3d>
              <w14:camera w14:prst="orthographicFront"/>
              <w14:lightRig w14:rig="threePt" w14:dir="t">
                <w14:rot w14:lat="0" w14:lon="0" w14:rev="0"/>
              </w14:lightRig>
            </w14:scene3d>
          </w:rPr>
          <w:t>5.1.2</w:t>
        </w:r>
        <w:r w:rsidR="00D100B0" w:rsidRPr="009E2CBD">
          <w:rPr>
            <w:rStyle w:val="Hyperlink"/>
            <w:noProof/>
          </w:rPr>
          <w:t xml:space="preserve"> Medium Customers</w:t>
        </w:r>
        <w:r w:rsidR="00D100B0">
          <w:rPr>
            <w:noProof/>
            <w:webHidden/>
          </w:rPr>
          <w:tab/>
        </w:r>
        <w:r w:rsidR="00D100B0">
          <w:rPr>
            <w:noProof/>
            <w:webHidden/>
          </w:rPr>
          <w:fldChar w:fldCharType="begin"/>
        </w:r>
        <w:r w:rsidR="00D100B0">
          <w:rPr>
            <w:noProof/>
            <w:webHidden/>
          </w:rPr>
          <w:instrText xml:space="preserve"> PAGEREF _Toc509837340 \h </w:instrText>
        </w:r>
        <w:r w:rsidR="00D100B0">
          <w:rPr>
            <w:noProof/>
            <w:webHidden/>
          </w:rPr>
        </w:r>
        <w:r w:rsidR="00D100B0">
          <w:rPr>
            <w:noProof/>
            <w:webHidden/>
          </w:rPr>
          <w:fldChar w:fldCharType="separate"/>
        </w:r>
        <w:r w:rsidR="005D5C7C">
          <w:rPr>
            <w:noProof/>
            <w:webHidden/>
          </w:rPr>
          <w:t>127</w:t>
        </w:r>
        <w:r w:rsidR="00D100B0">
          <w:rPr>
            <w:noProof/>
            <w:webHidden/>
          </w:rPr>
          <w:fldChar w:fldCharType="end"/>
        </w:r>
      </w:hyperlink>
    </w:p>
    <w:p w14:paraId="31B37843" w14:textId="1A42A552" w:rsidR="00D100B0" w:rsidRDefault="006F4399">
      <w:pPr>
        <w:pStyle w:val="TOC3"/>
        <w:rPr>
          <w:rFonts w:asciiTheme="minorHAnsi" w:eastAsiaTheme="minorEastAsia" w:hAnsiTheme="minorHAnsi" w:cstheme="minorBidi"/>
          <w:noProof/>
          <w:sz w:val="22"/>
          <w:szCs w:val="22"/>
        </w:rPr>
      </w:pPr>
      <w:hyperlink w:anchor="_Toc509837341" w:history="1">
        <w:r w:rsidR="00D100B0" w:rsidRPr="009E2CBD">
          <w:rPr>
            <w:rStyle w:val="Hyperlink"/>
            <w:noProof/>
            <w14:scene3d>
              <w14:camera w14:prst="orthographicFront"/>
              <w14:lightRig w14:rig="threePt" w14:dir="t">
                <w14:rot w14:lat="0" w14:lon="0" w14:rev="0"/>
              </w14:lightRig>
            </w14:scene3d>
          </w:rPr>
          <w:t>5.1.3</w:t>
        </w:r>
        <w:r w:rsidR="00D100B0" w:rsidRPr="009E2CBD">
          <w:rPr>
            <w:rStyle w:val="Hyperlink"/>
            <w:noProof/>
          </w:rPr>
          <w:t xml:space="preserve"> Dually Enrolled and AutoDR Customers</w:t>
        </w:r>
        <w:r w:rsidR="00D100B0">
          <w:rPr>
            <w:noProof/>
            <w:webHidden/>
          </w:rPr>
          <w:tab/>
        </w:r>
        <w:r w:rsidR="00D100B0">
          <w:rPr>
            <w:noProof/>
            <w:webHidden/>
          </w:rPr>
          <w:fldChar w:fldCharType="begin"/>
        </w:r>
        <w:r w:rsidR="00D100B0">
          <w:rPr>
            <w:noProof/>
            <w:webHidden/>
          </w:rPr>
          <w:instrText xml:space="preserve"> PAGEREF _Toc509837341 \h </w:instrText>
        </w:r>
        <w:r w:rsidR="00D100B0">
          <w:rPr>
            <w:noProof/>
            <w:webHidden/>
          </w:rPr>
        </w:r>
        <w:r w:rsidR="00D100B0">
          <w:rPr>
            <w:noProof/>
            <w:webHidden/>
          </w:rPr>
          <w:fldChar w:fldCharType="separate"/>
        </w:r>
        <w:r w:rsidR="005D5C7C">
          <w:rPr>
            <w:noProof/>
            <w:webHidden/>
          </w:rPr>
          <w:t>131</w:t>
        </w:r>
        <w:r w:rsidR="00D100B0">
          <w:rPr>
            <w:noProof/>
            <w:webHidden/>
          </w:rPr>
          <w:fldChar w:fldCharType="end"/>
        </w:r>
      </w:hyperlink>
    </w:p>
    <w:p w14:paraId="4D1961E1" w14:textId="28E9ECA3"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42" w:history="1">
        <w:r w:rsidR="00D100B0" w:rsidRPr="009E2CBD">
          <w:rPr>
            <w:rStyle w:val="Hyperlink"/>
            <w:noProof/>
          </w:rPr>
          <w:t>5.2 SDG&amp;E Ex-Ante Load Impacts</w:t>
        </w:r>
        <w:r w:rsidR="00D100B0">
          <w:rPr>
            <w:noProof/>
            <w:webHidden/>
          </w:rPr>
          <w:tab/>
        </w:r>
        <w:r w:rsidR="00D100B0">
          <w:rPr>
            <w:noProof/>
            <w:webHidden/>
          </w:rPr>
          <w:fldChar w:fldCharType="begin"/>
        </w:r>
        <w:r w:rsidR="00D100B0">
          <w:rPr>
            <w:noProof/>
            <w:webHidden/>
          </w:rPr>
          <w:instrText xml:space="preserve"> PAGEREF _Toc509837342 \h </w:instrText>
        </w:r>
        <w:r w:rsidR="00D100B0">
          <w:rPr>
            <w:noProof/>
            <w:webHidden/>
          </w:rPr>
        </w:r>
        <w:r w:rsidR="00D100B0">
          <w:rPr>
            <w:noProof/>
            <w:webHidden/>
          </w:rPr>
          <w:fldChar w:fldCharType="separate"/>
        </w:r>
        <w:r w:rsidR="005D5C7C">
          <w:rPr>
            <w:noProof/>
            <w:webHidden/>
          </w:rPr>
          <w:t>132</w:t>
        </w:r>
        <w:r w:rsidR="00D100B0">
          <w:rPr>
            <w:noProof/>
            <w:webHidden/>
          </w:rPr>
          <w:fldChar w:fldCharType="end"/>
        </w:r>
      </w:hyperlink>
    </w:p>
    <w:p w14:paraId="61CCCFC6" w14:textId="49874D9A" w:rsidR="00D100B0" w:rsidRDefault="006F4399">
      <w:pPr>
        <w:pStyle w:val="TOC3"/>
        <w:rPr>
          <w:rFonts w:asciiTheme="minorHAnsi" w:eastAsiaTheme="minorEastAsia" w:hAnsiTheme="minorHAnsi" w:cstheme="minorBidi"/>
          <w:noProof/>
          <w:sz w:val="22"/>
          <w:szCs w:val="22"/>
        </w:rPr>
      </w:pPr>
      <w:hyperlink w:anchor="_Toc509837343" w:history="1">
        <w:r w:rsidR="00D100B0" w:rsidRPr="009E2CBD">
          <w:rPr>
            <w:rStyle w:val="Hyperlink"/>
            <w:noProof/>
            <w14:scene3d>
              <w14:camera w14:prst="orthographicFront"/>
              <w14:lightRig w14:rig="threePt" w14:dir="t">
                <w14:rot w14:lat="0" w14:lon="0" w14:rev="0"/>
              </w14:lightRig>
            </w14:scene3d>
          </w:rPr>
          <w:t>5.2.1</w:t>
        </w:r>
        <w:r w:rsidR="00D100B0" w:rsidRPr="009E2CBD">
          <w:rPr>
            <w:rStyle w:val="Hyperlink"/>
            <w:noProof/>
          </w:rPr>
          <w:t xml:space="preserve"> Large Customers</w:t>
        </w:r>
        <w:r w:rsidR="00D100B0">
          <w:rPr>
            <w:noProof/>
            <w:webHidden/>
          </w:rPr>
          <w:tab/>
        </w:r>
        <w:r w:rsidR="00D100B0">
          <w:rPr>
            <w:noProof/>
            <w:webHidden/>
          </w:rPr>
          <w:fldChar w:fldCharType="begin"/>
        </w:r>
        <w:r w:rsidR="00D100B0">
          <w:rPr>
            <w:noProof/>
            <w:webHidden/>
          </w:rPr>
          <w:instrText xml:space="preserve"> PAGEREF _Toc509837343 \h </w:instrText>
        </w:r>
        <w:r w:rsidR="00D100B0">
          <w:rPr>
            <w:noProof/>
            <w:webHidden/>
          </w:rPr>
        </w:r>
        <w:r w:rsidR="00D100B0">
          <w:rPr>
            <w:noProof/>
            <w:webHidden/>
          </w:rPr>
          <w:fldChar w:fldCharType="separate"/>
        </w:r>
        <w:r w:rsidR="005D5C7C">
          <w:rPr>
            <w:noProof/>
            <w:webHidden/>
          </w:rPr>
          <w:t>133</w:t>
        </w:r>
        <w:r w:rsidR="00D100B0">
          <w:rPr>
            <w:noProof/>
            <w:webHidden/>
          </w:rPr>
          <w:fldChar w:fldCharType="end"/>
        </w:r>
      </w:hyperlink>
    </w:p>
    <w:p w14:paraId="094BD35F" w14:textId="5CF14066" w:rsidR="00D100B0" w:rsidRDefault="006F4399">
      <w:pPr>
        <w:pStyle w:val="TOC3"/>
        <w:rPr>
          <w:rFonts w:asciiTheme="minorHAnsi" w:eastAsiaTheme="minorEastAsia" w:hAnsiTheme="minorHAnsi" w:cstheme="minorBidi"/>
          <w:noProof/>
          <w:sz w:val="22"/>
          <w:szCs w:val="22"/>
        </w:rPr>
      </w:pPr>
      <w:hyperlink w:anchor="_Toc509837344" w:history="1">
        <w:r w:rsidR="00D100B0" w:rsidRPr="009E2CBD">
          <w:rPr>
            <w:rStyle w:val="Hyperlink"/>
            <w:noProof/>
            <w14:scene3d>
              <w14:camera w14:prst="orthographicFront"/>
              <w14:lightRig w14:rig="threePt" w14:dir="t">
                <w14:rot w14:lat="0" w14:lon="0" w14:rev="0"/>
              </w14:lightRig>
            </w14:scene3d>
          </w:rPr>
          <w:t>5.2.2</w:t>
        </w:r>
        <w:r w:rsidR="00D100B0" w:rsidRPr="009E2CBD">
          <w:rPr>
            <w:rStyle w:val="Hyperlink"/>
            <w:noProof/>
          </w:rPr>
          <w:t xml:space="preserve"> Medium Customers</w:t>
        </w:r>
        <w:r w:rsidR="00D100B0">
          <w:rPr>
            <w:noProof/>
            <w:webHidden/>
          </w:rPr>
          <w:tab/>
        </w:r>
        <w:r w:rsidR="00D100B0">
          <w:rPr>
            <w:noProof/>
            <w:webHidden/>
          </w:rPr>
          <w:fldChar w:fldCharType="begin"/>
        </w:r>
        <w:r w:rsidR="00D100B0">
          <w:rPr>
            <w:noProof/>
            <w:webHidden/>
          </w:rPr>
          <w:instrText xml:space="preserve"> PAGEREF _Toc509837344 \h </w:instrText>
        </w:r>
        <w:r w:rsidR="00D100B0">
          <w:rPr>
            <w:noProof/>
            <w:webHidden/>
          </w:rPr>
        </w:r>
        <w:r w:rsidR="00D100B0">
          <w:rPr>
            <w:noProof/>
            <w:webHidden/>
          </w:rPr>
          <w:fldChar w:fldCharType="separate"/>
        </w:r>
        <w:r w:rsidR="005D5C7C">
          <w:rPr>
            <w:noProof/>
            <w:webHidden/>
          </w:rPr>
          <w:t>136</w:t>
        </w:r>
        <w:r w:rsidR="00D100B0">
          <w:rPr>
            <w:noProof/>
            <w:webHidden/>
          </w:rPr>
          <w:fldChar w:fldCharType="end"/>
        </w:r>
      </w:hyperlink>
    </w:p>
    <w:p w14:paraId="3CF8A154" w14:textId="62B8E428"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45" w:history="1">
        <w:r w:rsidR="00D100B0" w:rsidRPr="009E2CBD">
          <w:rPr>
            <w:rStyle w:val="Hyperlink"/>
            <w:noProof/>
          </w:rPr>
          <w:t>5.3 SDG&amp;E Load Impact Reconciliations</w:t>
        </w:r>
        <w:r w:rsidR="00D100B0">
          <w:rPr>
            <w:noProof/>
            <w:webHidden/>
          </w:rPr>
          <w:tab/>
        </w:r>
        <w:r w:rsidR="00D100B0">
          <w:rPr>
            <w:noProof/>
            <w:webHidden/>
          </w:rPr>
          <w:fldChar w:fldCharType="begin"/>
        </w:r>
        <w:r w:rsidR="00D100B0">
          <w:rPr>
            <w:noProof/>
            <w:webHidden/>
          </w:rPr>
          <w:instrText xml:space="preserve"> PAGEREF _Toc509837345 \h </w:instrText>
        </w:r>
        <w:r w:rsidR="00D100B0">
          <w:rPr>
            <w:noProof/>
            <w:webHidden/>
          </w:rPr>
        </w:r>
        <w:r w:rsidR="00D100B0">
          <w:rPr>
            <w:noProof/>
            <w:webHidden/>
          </w:rPr>
          <w:fldChar w:fldCharType="separate"/>
        </w:r>
        <w:r w:rsidR="005D5C7C">
          <w:rPr>
            <w:noProof/>
            <w:webHidden/>
          </w:rPr>
          <w:t>139</w:t>
        </w:r>
        <w:r w:rsidR="00D100B0">
          <w:rPr>
            <w:noProof/>
            <w:webHidden/>
          </w:rPr>
          <w:fldChar w:fldCharType="end"/>
        </w:r>
      </w:hyperlink>
    </w:p>
    <w:p w14:paraId="2951E7BD" w14:textId="51801DA9" w:rsidR="00D100B0" w:rsidRDefault="006F4399">
      <w:pPr>
        <w:pStyle w:val="TOC3"/>
        <w:rPr>
          <w:rFonts w:asciiTheme="minorHAnsi" w:eastAsiaTheme="minorEastAsia" w:hAnsiTheme="minorHAnsi" w:cstheme="minorBidi"/>
          <w:noProof/>
          <w:sz w:val="22"/>
          <w:szCs w:val="22"/>
        </w:rPr>
      </w:pPr>
      <w:hyperlink w:anchor="_Toc509837346" w:history="1">
        <w:r w:rsidR="00D100B0" w:rsidRPr="009E2CBD">
          <w:rPr>
            <w:rStyle w:val="Hyperlink"/>
            <w:noProof/>
            <w14:scene3d>
              <w14:camera w14:prst="orthographicFront"/>
              <w14:lightRig w14:rig="threePt" w14:dir="t">
                <w14:rot w14:lat="0" w14:lon="0" w14:rev="0"/>
              </w14:lightRig>
            </w14:scene3d>
          </w:rPr>
          <w:t>5.3.1</w:t>
        </w:r>
        <w:r w:rsidR="00D100B0" w:rsidRPr="009E2CBD">
          <w:rPr>
            <w:rStyle w:val="Hyperlink"/>
            <w:noProof/>
          </w:rPr>
          <w:t xml:space="preserve"> SDG&amp;E Large Customer Reconciliations</w:t>
        </w:r>
        <w:r w:rsidR="00D100B0">
          <w:rPr>
            <w:noProof/>
            <w:webHidden/>
          </w:rPr>
          <w:tab/>
        </w:r>
        <w:r w:rsidR="00D100B0">
          <w:rPr>
            <w:noProof/>
            <w:webHidden/>
          </w:rPr>
          <w:fldChar w:fldCharType="begin"/>
        </w:r>
        <w:r w:rsidR="00D100B0">
          <w:rPr>
            <w:noProof/>
            <w:webHidden/>
          </w:rPr>
          <w:instrText xml:space="preserve"> PAGEREF _Toc509837346 \h </w:instrText>
        </w:r>
        <w:r w:rsidR="00D100B0">
          <w:rPr>
            <w:noProof/>
            <w:webHidden/>
          </w:rPr>
        </w:r>
        <w:r w:rsidR="00D100B0">
          <w:rPr>
            <w:noProof/>
            <w:webHidden/>
          </w:rPr>
          <w:fldChar w:fldCharType="separate"/>
        </w:r>
        <w:r w:rsidR="005D5C7C">
          <w:rPr>
            <w:noProof/>
            <w:webHidden/>
          </w:rPr>
          <w:t>139</w:t>
        </w:r>
        <w:r w:rsidR="00D100B0">
          <w:rPr>
            <w:noProof/>
            <w:webHidden/>
          </w:rPr>
          <w:fldChar w:fldCharType="end"/>
        </w:r>
      </w:hyperlink>
    </w:p>
    <w:p w14:paraId="4633F76E" w14:textId="1D6AB4E3" w:rsidR="00D100B0" w:rsidRDefault="006F4399">
      <w:pPr>
        <w:pStyle w:val="TOC3"/>
        <w:rPr>
          <w:rFonts w:asciiTheme="minorHAnsi" w:eastAsiaTheme="minorEastAsia" w:hAnsiTheme="minorHAnsi" w:cstheme="minorBidi"/>
          <w:noProof/>
          <w:sz w:val="22"/>
          <w:szCs w:val="22"/>
        </w:rPr>
      </w:pPr>
      <w:hyperlink w:anchor="_Toc509837347" w:history="1">
        <w:r w:rsidR="00D100B0" w:rsidRPr="009E2CBD">
          <w:rPr>
            <w:rStyle w:val="Hyperlink"/>
            <w:noProof/>
            <w14:scene3d>
              <w14:camera w14:prst="orthographicFront"/>
              <w14:lightRig w14:rig="threePt" w14:dir="t">
                <w14:rot w14:lat="0" w14:lon="0" w14:rev="0"/>
              </w14:lightRig>
            </w14:scene3d>
          </w:rPr>
          <w:t>5.3.2</w:t>
        </w:r>
        <w:r w:rsidR="00D100B0" w:rsidRPr="009E2CBD">
          <w:rPr>
            <w:rStyle w:val="Hyperlink"/>
            <w:noProof/>
          </w:rPr>
          <w:t xml:space="preserve"> SDG&amp;E Medium Customer Reconciliations</w:t>
        </w:r>
        <w:r w:rsidR="00D100B0">
          <w:rPr>
            <w:noProof/>
            <w:webHidden/>
          </w:rPr>
          <w:tab/>
        </w:r>
        <w:r w:rsidR="00D100B0">
          <w:rPr>
            <w:noProof/>
            <w:webHidden/>
          </w:rPr>
          <w:fldChar w:fldCharType="begin"/>
        </w:r>
        <w:r w:rsidR="00D100B0">
          <w:rPr>
            <w:noProof/>
            <w:webHidden/>
          </w:rPr>
          <w:instrText xml:space="preserve"> PAGEREF _Toc509837347 \h </w:instrText>
        </w:r>
        <w:r w:rsidR="00D100B0">
          <w:rPr>
            <w:noProof/>
            <w:webHidden/>
          </w:rPr>
        </w:r>
        <w:r w:rsidR="00D100B0">
          <w:rPr>
            <w:noProof/>
            <w:webHidden/>
          </w:rPr>
          <w:fldChar w:fldCharType="separate"/>
        </w:r>
        <w:r w:rsidR="005D5C7C">
          <w:rPr>
            <w:noProof/>
            <w:webHidden/>
          </w:rPr>
          <w:t>142</w:t>
        </w:r>
        <w:r w:rsidR="00D100B0">
          <w:rPr>
            <w:noProof/>
            <w:webHidden/>
          </w:rPr>
          <w:fldChar w:fldCharType="end"/>
        </w:r>
      </w:hyperlink>
    </w:p>
    <w:p w14:paraId="52A81286" w14:textId="6A009F84" w:rsidR="00D100B0" w:rsidRDefault="006F4399">
      <w:pPr>
        <w:pStyle w:val="TOC1"/>
        <w:rPr>
          <w:rFonts w:asciiTheme="minorHAnsi" w:eastAsiaTheme="minorEastAsia" w:hAnsiTheme="minorHAnsi" w:cstheme="minorBidi"/>
          <w:b w:val="0"/>
          <w:noProof/>
          <w:sz w:val="22"/>
          <w:szCs w:val="22"/>
        </w:rPr>
      </w:pPr>
      <w:hyperlink w:anchor="_Toc509837348" w:history="1">
        <w:r w:rsidR="00D100B0" w:rsidRPr="009E2CBD">
          <w:rPr>
            <w:rStyle w:val="Hyperlink"/>
            <w:noProof/>
          </w:rPr>
          <w:t>6. Recommendations</w:t>
        </w:r>
        <w:r w:rsidR="00D100B0">
          <w:rPr>
            <w:noProof/>
            <w:webHidden/>
          </w:rPr>
          <w:tab/>
        </w:r>
        <w:r w:rsidR="00D100B0">
          <w:rPr>
            <w:noProof/>
            <w:webHidden/>
          </w:rPr>
          <w:fldChar w:fldCharType="begin"/>
        </w:r>
        <w:r w:rsidR="00D100B0">
          <w:rPr>
            <w:noProof/>
            <w:webHidden/>
          </w:rPr>
          <w:instrText xml:space="preserve"> PAGEREF _Toc509837348 \h </w:instrText>
        </w:r>
        <w:r w:rsidR="00D100B0">
          <w:rPr>
            <w:noProof/>
            <w:webHidden/>
          </w:rPr>
        </w:r>
        <w:r w:rsidR="00D100B0">
          <w:rPr>
            <w:noProof/>
            <w:webHidden/>
          </w:rPr>
          <w:fldChar w:fldCharType="separate"/>
        </w:r>
        <w:r w:rsidR="005D5C7C">
          <w:rPr>
            <w:noProof/>
            <w:webHidden/>
          </w:rPr>
          <w:t>145</w:t>
        </w:r>
        <w:r w:rsidR="00D100B0">
          <w:rPr>
            <w:noProof/>
            <w:webHidden/>
          </w:rPr>
          <w:fldChar w:fldCharType="end"/>
        </w:r>
      </w:hyperlink>
    </w:p>
    <w:p w14:paraId="14DB772C" w14:textId="1D562544" w:rsidR="00D100B0" w:rsidRDefault="006F4399">
      <w:pPr>
        <w:pStyle w:val="TOC1"/>
        <w:rPr>
          <w:rFonts w:asciiTheme="minorHAnsi" w:eastAsiaTheme="minorEastAsia" w:hAnsiTheme="minorHAnsi" w:cstheme="minorBidi"/>
          <w:b w:val="0"/>
          <w:noProof/>
          <w:sz w:val="22"/>
          <w:szCs w:val="22"/>
        </w:rPr>
      </w:pPr>
      <w:hyperlink w:anchor="_Toc509837349" w:history="1">
        <w:r w:rsidR="00D100B0" w:rsidRPr="009E2CBD">
          <w:rPr>
            <w:rStyle w:val="Hyperlink"/>
            <w:noProof/>
          </w:rPr>
          <w:t>Appendices</w:t>
        </w:r>
        <w:r w:rsidR="00D100B0">
          <w:rPr>
            <w:noProof/>
            <w:webHidden/>
          </w:rPr>
          <w:tab/>
        </w:r>
        <w:r w:rsidR="00D100B0">
          <w:rPr>
            <w:noProof/>
            <w:webHidden/>
          </w:rPr>
          <w:fldChar w:fldCharType="begin"/>
        </w:r>
        <w:r w:rsidR="00D100B0">
          <w:rPr>
            <w:noProof/>
            <w:webHidden/>
          </w:rPr>
          <w:instrText xml:space="preserve"> PAGEREF _Toc509837349 \h </w:instrText>
        </w:r>
        <w:r w:rsidR="00D100B0">
          <w:rPr>
            <w:noProof/>
            <w:webHidden/>
          </w:rPr>
        </w:r>
        <w:r w:rsidR="00D100B0">
          <w:rPr>
            <w:noProof/>
            <w:webHidden/>
          </w:rPr>
          <w:fldChar w:fldCharType="separate"/>
        </w:r>
        <w:r w:rsidR="005D5C7C">
          <w:rPr>
            <w:noProof/>
            <w:webHidden/>
          </w:rPr>
          <w:t>147</w:t>
        </w:r>
        <w:r w:rsidR="00D100B0">
          <w:rPr>
            <w:noProof/>
            <w:webHidden/>
          </w:rPr>
          <w:fldChar w:fldCharType="end"/>
        </w:r>
      </w:hyperlink>
    </w:p>
    <w:p w14:paraId="42779A51" w14:textId="11F914DE" w:rsidR="00D100B0" w:rsidRDefault="006F4399">
      <w:pPr>
        <w:pStyle w:val="TOC2"/>
        <w:tabs>
          <w:tab w:val="right" w:leader="dot" w:pos="8630"/>
        </w:tabs>
        <w:rPr>
          <w:rFonts w:asciiTheme="minorHAnsi" w:eastAsiaTheme="minorEastAsia" w:hAnsiTheme="minorHAnsi" w:cstheme="minorBidi"/>
          <w:noProof/>
          <w:sz w:val="22"/>
          <w:szCs w:val="22"/>
        </w:rPr>
      </w:pPr>
      <w:hyperlink w:anchor="_Toc509837350" w:history="1">
        <w:r w:rsidR="00D100B0" w:rsidRPr="009E2CBD">
          <w:rPr>
            <w:rStyle w:val="Hyperlink"/>
            <w:noProof/>
          </w:rPr>
          <w:t>Appendix A. Matching Quality</w:t>
        </w:r>
        <w:r w:rsidR="00D100B0">
          <w:rPr>
            <w:noProof/>
            <w:webHidden/>
          </w:rPr>
          <w:tab/>
        </w:r>
        <w:r w:rsidR="00D100B0">
          <w:rPr>
            <w:noProof/>
            <w:webHidden/>
          </w:rPr>
          <w:fldChar w:fldCharType="begin"/>
        </w:r>
        <w:r w:rsidR="00D100B0">
          <w:rPr>
            <w:noProof/>
            <w:webHidden/>
          </w:rPr>
          <w:instrText xml:space="preserve"> PAGEREF _Toc509837350 \h </w:instrText>
        </w:r>
        <w:r w:rsidR="00D100B0">
          <w:rPr>
            <w:noProof/>
            <w:webHidden/>
          </w:rPr>
        </w:r>
        <w:r w:rsidR="00D100B0">
          <w:rPr>
            <w:noProof/>
            <w:webHidden/>
          </w:rPr>
          <w:fldChar w:fldCharType="separate"/>
        </w:r>
        <w:r w:rsidR="005D5C7C">
          <w:rPr>
            <w:noProof/>
            <w:webHidden/>
          </w:rPr>
          <w:t>147</w:t>
        </w:r>
        <w:r w:rsidR="00D100B0">
          <w:rPr>
            <w:noProof/>
            <w:webHidden/>
          </w:rPr>
          <w:fldChar w:fldCharType="end"/>
        </w:r>
      </w:hyperlink>
    </w:p>
    <w:p w14:paraId="0167EC46" w14:textId="57AA8157" w:rsidR="00D100B0" w:rsidRDefault="006F4399">
      <w:pPr>
        <w:pStyle w:val="TOC3"/>
        <w:rPr>
          <w:rFonts w:asciiTheme="minorHAnsi" w:eastAsiaTheme="minorEastAsia" w:hAnsiTheme="minorHAnsi" w:cstheme="minorBidi"/>
          <w:noProof/>
          <w:sz w:val="22"/>
          <w:szCs w:val="22"/>
        </w:rPr>
      </w:pPr>
      <w:hyperlink w:anchor="_Toc509837351" w:history="1">
        <w:r w:rsidR="00D100B0" w:rsidRPr="009E2CBD">
          <w:rPr>
            <w:rStyle w:val="Hyperlink"/>
            <w:noProof/>
          </w:rPr>
          <w:t>PG&amp;E</w:t>
        </w:r>
        <w:r w:rsidR="00D100B0">
          <w:rPr>
            <w:noProof/>
            <w:webHidden/>
          </w:rPr>
          <w:tab/>
        </w:r>
        <w:r w:rsidR="00D100B0">
          <w:rPr>
            <w:noProof/>
            <w:webHidden/>
          </w:rPr>
          <w:fldChar w:fldCharType="begin"/>
        </w:r>
        <w:r w:rsidR="00D100B0">
          <w:rPr>
            <w:noProof/>
            <w:webHidden/>
          </w:rPr>
          <w:instrText xml:space="preserve"> PAGEREF _Toc509837351 \h </w:instrText>
        </w:r>
        <w:r w:rsidR="00D100B0">
          <w:rPr>
            <w:noProof/>
            <w:webHidden/>
          </w:rPr>
        </w:r>
        <w:r w:rsidR="00D100B0">
          <w:rPr>
            <w:noProof/>
            <w:webHidden/>
          </w:rPr>
          <w:fldChar w:fldCharType="separate"/>
        </w:r>
        <w:r w:rsidR="005D5C7C">
          <w:rPr>
            <w:noProof/>
            <w:webHidden/>
          </w:rPr>
          <w:t>147</w:t>
        </w:r>
        <w:r w:rsidR="00D100B0">
          <w:rPr>
            <w:noProof/>
            <w:webHidden/>
          </w:rPr>
          <w:fldChar w:fldCharType="end"/>
        </w:r>
      </w:hyperlink>
    </w:p>
    <w:p w14:paraId="0ADFDA8D" w14:textId="3B15F7F9" w:rsidR="00D100B0" w:rsidRDefault="006F4399">
      <w:pPr>
        <w:pStyle w:val="TOC3"/>
        <w:rPr>
          <w:rFonts w:asciiTheme="minorHAnsi" w:eastAsiaTheme="minorEastAsia" w:hAnsiTheme="minorHAnsi" w:cstheme="minorBidi"/>
          <w:noProof/>
          <w:sz w:val="22"/>
          <w:szCs w:val="22"/>
        </w:rPr>
      </w:pPr>
      <w:hyperlink w:anchor="_Toc509837352" w:history="1">
        <w:r w:rsidR="00D100B0" w:rsidRPr="009E2CBD">
          <w:rPr>
            <w:rStyle w:val="Hyperlink"/>
            <w:noProof/>
          </w:rPr>
          <w:t>SCE</w:t>
        </w:r>
        <w:r w:rsidR="00D100B0">
          <w:rPr>
            <w:noProof/>
            <w:webHidden/>
          </w:rPr>
          <w:tab/>
        </w:r>
        <w:r w:rsidR="00D100B0">
          <w:rPr>
            <w:noProof/>
            <w:webHidden/>
          </w:rPr>
          <w:fldChar w:fldCharType="begin"/>
        </w:r>
        <w:r w:rsidR="00D100B0">
          <w:rPr>
            <w:noProof/>
            <w:webHidden/>
          </w:rPr>
          <w:instrText xml:space="preserve"> PAGEREF _Toc509837352 \h </w:instrText>
        </w:r>
        <w:r w:rsidR="00D100B0">
          <w:rPr>
            <w:noProof/>
            <w:webHidden/>
          </w:rPr>
        </w:r>
        <w:r w:rsidR="00D100B0">
          <w:rPr>
            <w:noProof/>
            <w:webHidden/>
          </w:rPr>
          <w:fldChar w:fldCharType="separate"/>
        </w:r>
        <w:r w:rsidR="005D5C7C">
          <w:rPr>
            <w:noProof/>
            <w:webHidden/>
          </w:rPr>
          <w:t>149</w:t>
        </w:r>
        <w:r w:rsidR="00D100B0">
          <w:rPr>
            <w:noProof/>
            <w:webHidden/>
          </w:rPr>
          <w:fldChar w:fldCharType="end"/>
        </w:r>
      </w:hyperlink>
    </w:p>
    <w:p w14:paraId="48D011A4" w14:textId="23F62277" w:rsidR="00D100B0" w:rsidRDefault="006F4399">
      <w:pPr>
        <w:pStyle w:val="TOC3"/>
        <w:rPr>
          <w:rFonts w:asciiTheme="minorHAnsi" w:eastAsiaTheme="minorEastAsia" w:hAnsiTheme="minorHAnsi" w:cstheme="minorBidi"/>
          <w:noProof/>
          <w:sz w:val="22"/>
          <w:szCs w:val="22"/>
        </w:rPr>
      </w:pPr>
      <w:hyperlink w:anchor="_Toc509837353" w:history="1">
        <w:r w:rsidR="00D100B0" w:rsidRPr="009E2CBD">
          <w:rPr>
            <w:rStyle w:val="Hyperlink"/>
            <w:noProof/>
          </w:rPr>
          <w:t>SDG&amp;E</w:t>
        </w:r>
        <w:r w:rsidR="00D100B0">
          <w:rPr>
            <w:noProof/>
            <w:webHidden/>
          </w:rPr>
          <w:tab/>
        </w:r>
        <w:r w:rsidR="00D100B0">
          <w:rPr>
            <w:noProof/>
            <w:webHidden/>
          </w:rPr>
          <w:fldChar w:fldCharType="begin"/>
        </w:r>
        <w:r w:rsidR="00D100B0">
          <w:rPr>
            <w:noProof/>
            <w:webHidden/>
          </w:rPr>
          <w:instrText xml:space="preserve"> PAGEREF _Toc509837353 \h </w:instrText>
        </w:r>
        <w:r w:rsidR="00D100B0">
          <w:rPr>
            <w:noProof/>
            <w:webHidden/>
          </w:rPr>
        </w:r>
        <w:r w:rsidR="00D100B0">
          <w:rPr>
            <w:noProof/>
            <w:webHidden/>
          </w:rPr>
          <w:fldChar w:fldCharType="separate"/>
        </w:r>
        <w:r w:rsidR="005D5C7C">
          <w:rPr>
            <w:noProof/>
            <w:webHidden/>
          </w:rPr>
          <w:t>152</w:t>
        </w:r>
        <w:r w:rsidR="00D100B0">
          <w:rPr>
            <w:noProof/>
            <w:webHidden/>
          </w:rPr>
          <w:fldChar w:fldCharType="end"/>
        </w:r>
      </w:hyperlink>
    </w:p>
    <w:p w14:paraId="73E122E8" w14:textId="3A6625AF" w:rsidR="00321E09" w:rsidRDefault="00321E09" w:rsidP="00E84DD2">
      <w:pPr>
        <w:spacing w:after="120"/>
        <w:jc w:val="center"/>
        <w:rPr>
          <w:b/>
          <w:sz w:val="28"/>
          <w:szCs w:val="28"/>
        </w:rPr>
        <w:sectPr w:rsidR="00321E09" w:rsidSect="00656C04">
          <w:headerReference w:type="default" r:id="rId11"/>
          <w:footerReference w:type="default" r:id="rId12"/>
          <w:pgSz w:w="12240" w:h="15840"/>
          <w:pgMar w:top="1440" w:right="1800" w:bottom="1296" w:left="1800" w:header="720" w:footer="720" w:gutter="0"/>
          <w:pgNumType w:fmt="lowerRoman" w:start="1"/>
          <w:cols w:space="720"/>
          <w:docGrid w:linePitch="360"/>
        </w:sectPr>
      </w:pPr>
      <w:r w:rsidRPr="00421999">
        <w:rPr>
          <w:sz w:val="22"/>
          <w:szCs w:val="22"/>
        </w:rPr>
        <w:fldChar w:fldCharType="end"/>
      </w:r>
    </w:p>
    <w:p w14:paraId="10CF0268" w14:textId="77777777" w:rsidR="00CB7974" w:rsidRDefault="00CB7974" w:rsidP="00E84DD2">
      <w:pPr>
        <w:spacing w:after="120"/>
        <w:rPr>
          <w:b/>
        </w:rPr>
      </w:pPr>
      <w:r>
        <w:rPr>
          <w:b/>
        </w:rPr>
        <w:br w:type="page"/>
      </w:r>
    </w:p>
    <w:p w14:paraId="1C3B1E62" w14:textId="77777777" w:rsidR="008C53F9" w:rsidRPr="006B553B" w:rsidRDefault="008C53F9" w:rsidP="00E84DD2">
      <w:pPr>
        <w:spacing w:after="120"/>
        <w:jc w:val="center"/>
        <w:rPr>
          <w:b/>
        </w:rPr>
      </w:pPr>
      <w:r w:rsidRPr="006B553B">
        <w:rPr>
          <w:b/>
        </w:rPr>
        <w:lastRenderedPageBreak/>
        <w:t>List of Tables</w:t>
      </w:r>
    </w:p>
    <w:p w14:paraId="23095B83" w14:textId="77777777" w:rsidR="008C53F9" w:rsidRDefault="008C53F9" w:rsidP="00E84DD2">
      <w:pPr>
        <w:spacing w:after="120"/>
      </w:pPr>
    </w:p>
    <w:p w14:paraId="1EAA6060" w14:textId="6D77FDF0" w:rsidR="00D100B0" w:rsidRDefault="008C53F9">
      <w:pPr>
        <w:pStyle w:val="TableofFigures"/>
        <w:tabs>
          <w:tab w:val="right" w:leader="dot" w:pos="8630"/>
        </w:tabs>
        <w:rPr>
          <w:rFonts w:asciiTheme="minorHAnsi" w:eastAsiaTheme="minorEastAsia" w:hAnsiTheme="minorHAnsi" w:cstheme="minorBidi"/>
          <w:noProof/>
          <w:sz w:val="22"/>
          <w:szCs w:val="22"/>
        </w:rPr>
      </w:pPr>
      <w:r w:rsidRPr="006B1FF9">
        <w:rPr>
          <w:sz w:val="22"/>
          <w:szCs w:val="22"/>
        </w:rPr>
        <w:fldChar w:fldCharType="begin"/>
      </w:r>
      <w:r w:rsidRPr="006B1FF9">
        <w:rPr>
          <w:sz w:val="22"/>
          <w:szCs w:val="22"/>
        </w:rPr>
        <w:instrText xml:space="preserve"> TOC \h \z \t "Table Caption" \c </w:instrText>
      </w:r>
      <w:r w:rsidRPr="006B1FF9">
        <w:rPr>
          <w:sz w:val="22"/>
          <w:szCs w:val="22"/>
        </w:rPr>
        <w:fldChar w:fldCharType="separate"/>
      </w:r>
      <w:hyperlink w:anchor="_Toc509837354" w:history="1">
        <w:r w:rsidR="00D100B0" w:rsidRPr="00D36DBC">
          <w:rPr>
            <w:rStyle w:val="Hyperlink"/>
            <w:noProof/>
          </w:rPr>
          <w:t>Table 1.1: Analyses Included in the Study</w:t>
        </w:r>
        <w:r w:rsidR="00D100B0">
          <w:rPr>
            <w:noProof/>
            <w:webHidden/>
          </w:rPr>
          <w:tab/>
        </w:r>
        <w:r w:rsidR="00D100B0">
          <w:rPr>
            <w:noProof/>
            <w:webHidden/>
          </w:rPr>
          <w:fldChar w:fldCharType="begin"/>
        </w:r>
        <w:r w:rsidR="00D100B0">
          <w:rPr>
            <w:noProof/>
            <w:webHidden/>
          </w:rPr>
          <w:instrText xml:space="preserve"> PAGEREF _Toc509837354 \h </w:instrText>
        </w:r>
        <w:r w:rsidR="00D100B0">
          <w:rPr>
            <w:noProof/>
            <w:webHidden/>
          </w:rPr>
        </w:r>
        <w:r w:rsidR="00D100B0">
          <w:rPr>
            <w:noProof/>
            <w:webHidden/>
          </w:rPr>
          <w:fldChar w:fldCharType="separate"/>
        </w:r>
        <w:r w:rsidR="005D5C7C">
          <w:rPr>
            <w:noProof/>
            <w:webHidden/>
          </w:rPr>
          <w:t>16</w:t>
        </w:r>
        <w:r w:rsidR="00D100B0">
          <w:rPr>
            <w:noProof/>
            <w:webHidden/>
          </w:rPr>
          <w:fldChar w:fldCharType="end"/>
        </w:r>
      </w:hyperlink>
    </w:p>
    <w:p w14:paraId="093FFDB3" w14:textId="53F5918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55" w:history="1">
        <w:r w:rsidR="00D100B0" w:rsidRPr="00D36DBC">
          <w:rPr>
            <w:rStyle w:val="Hyperlink"/>
            <w:noProof/>
          </w:rPr>
          <w:t>Table 1.2: Event Hours and Allowed Number of Events by Utility</w:t>
        </w:r>
        <w:r w:rsidR="00D100B0">
          <w:rPr>
            <w:noProof/>
            <w:webHidden/>
          </w:rPr>
          <w:tab/>
        </w:r>
        <w:r w:rsidR="00D100B0">
          <w:rPr>
            <w:noProof/>
            <w:webHidden/>
          </w:rPr>
          <w:fldChar w:fldCharType="begin"/>
        </w:r>
        <w:r w:rsidR="00D100B0">
          <w:rPr>
            <w:noProof/>
            <w:webHidden/>
          </w:rPr>
          <w:instrText xml:space="preserve"> PAGEREF _Toc509837355 \h </w:instrText>
        </w:r>
        <w:r w:rsidR="00D100B0">
          <w:rPr>
            <w:noProof/>
            <w:webHidden/>
          </w:rPr>
        </w:r>
        <w:r w:rsidR="00D100B0">
          <w:rPr>
            <w:noProof/>
            <w:webHidden/>
          </w:rPr>
          <w:fldChar w:fldCharType="separate"/>
        </w:r>
        <w:r w:rsidR="005D5C7C">
          <w:rPr>
            <w:noProof/>
            <w:webHidden/>
          </w:rPr>
          <w:t>17</w:t>
        </w:r>
        <w:r w:rsidR="00D100B0">
          <w:rPr>
            <w:noProof/>
            <w:webHidden/>
          </w:rPr>
          <w:fldChar w:fldCharType="end"/>
        </w:r>
      </w:hyperlink>
    </w:p>
    <w:p w14:paraId="76F45FB1" w14:textId="08DAC87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56" w:history="1">
        <w:r w:rsidR="00D100B0" w:rsidRPr="00D36DBC">
          <w:rPr>
            <w:rStyle w:val="Hyperlink"/>
            <w:noProof/>
          </w:rPr>
          <w:t>Table 1.3: PY2017 CPP Event Dates by Utility</w:t>
        </w:r>
        <w:r w:rsidR="00D100B0">
          <w:rPr>
            <w:noProof/>
            <w:webHidden/>
          </w:rPr>
          <w:tab/>
        </w:r>
        <w:r w:rsidR="00D100B0">
          <w:rPr>
            <w:noProof/>
            <w:webHidden/>
          </w:rPr>
          <w:fldChar w:fldCharType="begin"/>
        </w:r>
        <w:r w:rsidR="00D100B0">
          <w:rPr>
            <w:noProof/>
            <w:webHidden/>
          </w:rPr>
          <w:instrText xml:space="preserve"> PAGEREF _Toc509837356 \h </w:instrText>
        </w:r>
        <w:r w:rsidR="00D100B0">
          <w:rPr>
            <w:noProof/>
            <w:webHidden/>
          </w:rPr>
        </w:r>
        <w:r w:rsidR="00D100B0">
          <w:rPr>
            <w:noProof/>
            <w:webHidden/>
          </w:rPr>
          <w:fldChar w:fldCharType="separate"/>
        </w:r>
        <w:r w:rsidR="005D5C7C">
          <w:rPr>
            <w:noProof/>
            <w:webHidden/>
          </w:rPr>
          <w:t>18</w:t>
        </w:r>
        <w:r w:rsidR="00D100B0">
          <w:rPr>
            <w:noProof/>
            <w:webHidden/>
          </w:rPr>
          <w:fldChar w:fldCharType="end"/>
        </w:r>
      </w:hyperlink>
    </w:p>
    <w:p w14:paraId="1807F4D3" w14:textId="2C6DB27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57" w:history="1">
        <w:r w:rsidR="00D100B0" w:rsidRPr="00D36DBC">
          <w:rPr>
            <w:rStyle w:val="Hyperlink"/>
            <w:noProof/>
          </w:rPr>
          <w:t>Table 2.1: Panel Model Terms</w:t>
        </w:r>
        <w:r w:rsidR="00D100B0">
          <w:rPr>
            <w:noProof/>
            <w:webHidden/>
          </w:rPr>
          <w:tab/>
        </w:r>
        <w:r w:rsidR="00D100B0">
          <w:rPr>
            <w:noProof/>
            <w:webHidden/>
          </w:rPr>
          <w:fldChar w:fldCharType="begin"/>
        </w:r>
        <w:r w:rsidR="00D100B0">
          <w:rPr>
            <w:noProof/>
            <w:webHidden/>
          </w:rPr>
          <w:instrText xml:space="preserve"> PAGEREF _Toc509837357 \h </w:instrText>
        </w:r>
        <w:r w:rsidR="00D100B0">
          <w:rPr>
            <w:noProof/>
            <w:webHidden/>
          </w:rPr>
        </w:r>
        <w:r w:rsidR="00D100B0">
          <w:rPr>
            <w:noProof/>
            <w:webHidden/>
          </w:rPr>
          <w:fldChar w:fldCharType="separate"/>
        </w:r>
        <w:r w:rsidR="005D5C7C">
          <w:rPr>
            <w:noProof/>
            <w:webHidden/>
          </w:rPr>
          <w:t>20</w:t>
        </w:r>
        <w:r w:rsidR="00D100B0">
          <w:rPr>
            <w:noProof/>
            <w:webHidden/>
          </w:rPr>
          <w:fldChar w:fldCharType="end"/>
        </w:r>
      </w:hyperlink>
    </w:p>
    <w:p w14:paraId="04480F4F" w14:textId="383E192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58" w:history="1">
        <w:r w:rsidR="00D100B0" w:rsidRPr="00D36DBC">
          <w:rPr>
            <w:rStyle w:val="Hyperlink"/>
            <w:noProof/>
          </w:rPr>
          <w:t>Table 3.1: Average Event-Hour Load Impacts by Event, PG&amp;E Large</w:t>
        </w:r>
        <w:r w:rsidR="00D100B0">
          <w:rPr>
            <w:noProof/>
            <w:webHidden/>
          </w:rPr>
          <w:tab/>
        </w:r>
        <w:r w:rsidR="00D100B0">
          <w:rPr>
            <w:noProof/>
            <w:webHidden/>
          </w:rPr>
          <w:fldChar w:fldCharType="begin"/>
        </w:r>
        <w:r w:rsidR="00D100B0">
          <w:rPr>
            <w:noProof/>
            <w:webHidden/>
          </w:rPr>
          <w:instrText xml:space="preserve"> PAGEREF _Toc509837358 \h </w:instrText>
        </w:r>
        <w:r w:rsidR="00D100B0">
          <w:rPr>
            <w:noProof/>
            <w:webHidden/>
          </w:rPr>
        </w:r>
        <w:r w:rsidR="00D100B0">
          <w:rPr>
            <w:noProof/>
            <w:webHidden/>
          </w:rPr>
          <w:fldChar w:fldCharType="separate"/>
        </w:r>
        <w:r w:rsidR="005D5C7C">
          <w:rPr>
            <w:noProof/>
            <w:webHidden/>
          </w:rPr>
          <w:t>26</w:t>
        </w:r>
        <w:r w:rsidR="00D100B0">
          <w:rPr>
            <w:noProof/>
            <w:webHidden/>
          </w:rPr>
          <w:fldChar w:fldCharType="end"/>
        </w:r>
      </w:hyperlink>
    </w:p>
    <w:p w14:paraId="5B7FF635" w14:textId="165561C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59" w:history="1">
        <w:r w:rsidR="00D100B0" w:rsidRPr="00D36DBC">
          <w:rPr>
            <w:rStyle w:val="Hyperlink"/>
            <w:noProof/>
          </w:rPr>
          <w:t>Table 3.2: Typical Event Day Load Impacts and Uncertainty Adjusted Estimates by hour, PG&amp;E Large</w:t>
        </w:r>
        <w:r w:rsidR="00D100B0">
          <w:rPr>
            <w:noProof/>
            <w:webHidden/>
          </w:rPr>
          <w:tab/>
        </w:r>
        <w:r w:rsidR="00D100B0">
          <w:rPr>
            <w:noProof/>
            <w:webHidden/>
          </w:rPr>
          <w:fldChar w:fldCharType="begin"/>
        </w:r>
        <w:r w:rsidR="00D100B0">
          <w:rPr>
            <w:noProof/>
            <w:webHidden/>
          </w:rPr>
          <w:instrText xml:space="preserve"> PAGEREF _Toc509837359 \h </w:instrText>
        </w:r>
        <w:r w:rsidR="00D100B0">
          <w:rPr>
            <w:noProof/>
            <w:webHidden/>
          </w:rPr>
        </w:r>
        <w:r w:rsidR="00D100B0">
          <w:rPr>
            <w:noProof/>
            <w:webHidden/>
          </w:rPr>
          <w:fldChar w:fldCharType="separate"/>
        </w:r>
        <w:r w:rsidR="005D5C7C">
          <w:rPr>
            <w:noProof/>
            <w:webHidden/>
          </w:rPr>
          <w:t>28</w:t>
        </w:r>
        <w:r w:rsidR="00D100B0">
          <w:rPr>
            <w:noProof/>
            <w:webHidden/>
          </w:rPr>
          <w:fldChar w:fldCharType="end"/>
        </w:r>
      </w:hyperlink>
    </w:p>
    <w:p w14:paraId="5715250C" w14:textId="37EDA4A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0" w:history="1">
        <w:r w:rsidR="00D100B0" w:rsidRPr="00D36DBC">
          <w:rPr>
            <w:rStyle w:val="Hyperlink"/>
            <w:noProof/>
          </w:rPr>
          <w:t>Table 3.3: Typical Event Day Load Impacts by Industry Group, PG&amp;E Large</w:t>
        </w:r>
        <w:r w:rsidR="00D100B0">
          <w:rPr>
            <w:noProof/>
            <w:webHidden/>
          </w:rPr>
          <w:tab/>
        </w:r>
        <w:r w:rsidR="00D100B0">
          <w:rPr>
            <w:noProof/>
            <w:webHidden/>
          </w:rPr>
          <w:fldChar w:fldCharType="begin"/>
        </w:r>
        <w:r w:rsidR="00D100B0">
          <w:rPr>
            <w:noProof/>
            <w:webHidden/>
          </w:rPr>
          <w:instrText xml:space="preserve"> PAGEREF _Toc509837360 \h </w:instrText>
        </w:r>
        <w:r w:rsidR="00D100B0">
          <w:rPr>
            <w:noProof/>
            <w:webHidden/>
          </w:rPr>
        </w:r>
        <w:r w:rsidR="00D100B0">
          <w:rPr>
            <w:noProof/>
            <w:webHidden/>
          </w:rPr>
          <w:fldChar w:fldCharType="separate"/>
        </w:r>
        <w:r w:rsidR="005D5C7C">
          <w:rPr>
            <w:noProof/>
            <w:webHidden/>
          </w:rPr>
          <w:t>29</w:t>
        </w:r>
        <w:r w:rsidR="00D100B0">
          <w:rPr>
            <w:noProof/>
            <w:webHidden/>
          </w:rPr>
          <w:fldChar w:fldCharType="end"/>
        </w:r>
      </w:hyperlink>
    </w:p>
    <w:p w14:paraId="613B165F" w14:textId="68C8B61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1" w:history="1">
        <w:r w:rsidR="00D100B0" w:rsidRPr="00D36DBC">
          <w:rPr>
            <w:rStyle w:val="Hyperlink"/>
            <w:noProof/>
          </w:rPr>
          <w:t>Table 3.4: Typical Event Day Event-Hour Load Impacts by LCA, PG&amp;E Large</w:t>
        </w:r>
        <w:r w:rsidR="00D100B0">
          <w:rPr>
            <w:noProof/>
            <w:webHidden/>
          </w:rPr>
          <w:tab/>
        </w:r>
        <w:r w:rsidR="00D100B0">
          <w:rPr>
            <w:noProof/>
            <w:webHidden/>
          </w:rPr>
          <w:fldChar w:fldCharType="begin"/>
        </w:r>
        <w:r w:rsidR="00D100B0">
          <w:rPr>
            <w:noProof/>
            <w:webHidden/>
          </w:rPr>
          <w:instrText xml:space="preserve"> PAGEREF _Toc509837361 \h </w:instrText>
        </w:r>
        <w:r w:rsidR="00D100B0">
          <w:rPr>
            <w:noProof/>
            <w:webHidden/>
          </w:rPr>
        </w:r>
        <w:r w:rsidR="00D100B0">
          <w:rPr>
            <w:noProof/>
            <w:webHidden/>
          </w:rPr>
          <w:fldChar w:fldCharType="separate"/>
        </w:r>
        <w:r w:rsidR="005D5C7C">
          <w:rPr>
            <w:noProof/>
            <w:webHidden/>
          </w:rPr>
          <w:t>30</w:t>
        </w:r>
        <w:r w:rsidR="00D100B0">
          <w:rPr>
            <w:noProof/>
            <w:webHidden/>
          </w:rPr>
          <w:fldChar w:fldCharType="end"/>
        </w:r>
      </w:hyperlink>
    </w:p>
    <w:p w14:paraId="32D6329F" w14:textId="3DD57D6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2" w:history="1">
        <w:r w:rsidR="00D100B0" w:rsidRPr="00D36DBC">
          <w:rPr>
            <w:rStyle w:val="Hyperlink"/>
            <w:noProof/>
          </w:rPr>
          <w:t>Table 3.5: Average Event-Hour Load Impacts by Event, PG&amp;E SMB</w:t>
        </w:r>
        <w:r w:rsidR="00D100B0">
          <w:rPr>
            <w:noProof/>
            <w:webHidden/>
          </w:rPr>
          <w:tab/>
        </w:r>
        <w:r w:rsidR="00D100B0">
          <w:rPr>
            <w:noProof/>
            <w:webHidden/>
          </w:rPr>
          <w:fldChar w:fldCharType="begin"/>
        </w:r>
        <w:r w:rsidR="00D100B0">
          <w:rPr>
            <w:noProof/>
            <w:webHidden/>
          </w:rPr>
          <w:instrText xml:space="preserve"> PAGEREF _Toc509837362 \h </w:instrText>
        </w:r>
        <w:r w:rsidR="00D100B0">
          <w:rPr>
            <w:noProof/>
            <w:webHidden/>
          </w:rPr>
        </w:r>
        <w:r w:rsidR="00D100B0">
          <w:rPr>
            <w:noProof/>
            <w:webHidden/>
          </w:rPr>
          <w:fldChar w:fldCharType="separate"/>
        </w:r>
        <w:r w:rsidR="005D5C7C">
          <w:rPr>
            <w:noProof/>
            <w:webHidden/>
          </w:rPr>
          <w:t>34</w:t>
        </w:r>
        <w:r w:rsidR="00D100B0">
          <w:rPr>
            <w:noProof/>
            <w:webHidden/>
          </w:rPr>
          <w:fldChar w:fldCharType="end"/>
        </w:r>
      </w:hyperlink>
    </w:p>
    <w:p w14:paraId="5E60DE1E" w14:textId="0DBFB21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3" w:history="1">
        <w:r w:rsidR="00D100B0" w:rsidRPr="00D36DBC">
          <w:rPr>
            <w:rStyle w:val="Hyperlink"/>
            <w:noProof/>
          </w:rPr>
          <w:t>Table 3.6: Typical Event Day Load Impacts and Uncertainty Adjusted Estimates by hour, PG&amp;E Medium</w:t>
        </w:r>
        <w:r w:rsidR="00D100B0">
          <w:rPr>
            <w:noProof/>
            <w:webHidden/>
          </w:rPr>
          <w:tab/>
        </w:r>
        <w:r w:rsidR="00D100B0">
          <w:rPr>
            <w:noProof/>
            <w:webHidden/>
          </w:rPr>
          <w:fldChar w:fldCharType="begin"/>
        </w:r>
        <w:r w:rsidR="00D100B0">
          <w:rPr>
            <w:noProof/>
            <w:webHidden/>
          </w:rPr>
          <w:instrText xml:space="preserve"> PAGEREF _Toc509837363 \h </w:instrText>
        </w:r>
        <w:r w:rsidR="00D100B0">
          <w:rPr>
            <w:noProof/>
            <w:webHidden/>
          </w:rPr>
        </w:r>
        <w:r w:rsidR="00D100B0">
          <w:rPr>
            <w:noProof/>
            <w:webHidden/>
          </w:rPr>
          <w:fldChar w:fldCharType="separate"/>
        </w:r>
        <w:r w:rsidR="005D5C7C">
          <w:rPr>
            <w:noProof/>
            <w:webHidden/>
          </w:rPr>
          <w:t>37</w:t>
        </w:r>
        <w:r w:rsidR="00D100B0">
          <w:rPr>
            <w:noProof/>
            <w:webHidden/>
          </w:rPr>
          <w:fldChar w:fldCharType="end"/>
        </w:r>
      </w:hyperlink>
    </w:p>
    <w:p w14:paraId="4536155E" w14:textId="5DB1E9D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4" w:history="1">
        <w:r w:rsidR="00D100B0" w:rsidRPr="00D36DBC">
          <w:rPr>
            <w:rStyle w:val="Hyperlink"/>
            <w:noProof/>
          </w:rPr>
          <w:t>Table 3.7: Typical Event Day Load Impacts and Uncertainty Adjusted Estimates by hour, PG&amp;E Small</w:t>
        </w:r>
        <w:r w:rsidR="00D100B0">
          <w:rPr>
            <w:noProof/>
            <w:webHidden/>
          </w:rPr>
          <w:tab/>
        </w:r>
        <w:r w:rsidR="00D100B0">
          <w:rPr>
            <w:noProof/>
            <w:webHidden/>
          </w:rPr>
          <w:fldChar w:fldCharType="begin"/>
        </w:r>
        <w:r w:rsidR="00D100B0">
          <w:rPr>
            <w:noProof/>
            <w:webHidden/>
          </w:rPr>
          <w:instrText xml:space="preserve"> PAGEREF _Toc509837364 \h </w:instrText>
        </w:r>
        <w:r w:rsidR="00D100B0">
          <w:rPr>
            <w:noProof/>
            <w:webHidden/>
          </w:rPr>
        </w:r>
        <w:r w:rsidR="00D100B0">
          <w:rPr>
            <w:noProof/>
            <w:webHidden/>
          </w:rPr>
          <w:fldChar w:fldCharType="separate"/>
        </w:r>
        <w:r w:rsidR="005D5C7C">
          <w:rPr>
            <w:noProof/>
            <w:webHidden/>
          </w:rPr>
          <w:t>38</w:t>
        </w:r>
        <w:r w:rsidR="00D100B0">
          <w:rPr>
            <w:noProof/>
            <w:webHidden/>
          </w:rPr>
          <w:fldChar w:fldCharType="end"/>
        </w:r>
      </w:hyperlink>
    </w:p>
    <w:p w14:paraId="46DE8347" w14:textId="1F83127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5" w:history="1">
        <w:r w:rsidR="00D100B0" w:rsidRPr="00D36DBC">
          <w:rPr>
            <w:rStyle w:val="Hyperlink"/>
            <w:noProof/>
          </w:rPr>
          <w:t>Table 3.8: Typical Event Day Load Impacts by Industry Group, PG&amp;E Medium</w:t>
        </w:r>
        <w:r w:rsidR="00D100B0">
          <w:rPr>
            <w:noProof/>
            <w:webHidden/>
          </w:rPr>
          <w:tab/>
        </w:r>
        <w:r w:rsidR="00D100B0">
          <w:rPr>
            <w:noProof/>
            <w:webHidden/>
          </w:rPr>
          <w:fldChar w:fldCharType="begin"/>
        </w:r>
        <w:r w:rsidR="00D100B0">
          <w:rPr>
            <w:noProof/>
            <w:webHidden/>
          </w:rPr>
          <w:instrText xml:space="preserve"> PAGEREF _Toc509837365 \h </w:instrText>
        </w:r>
        <w:r w:rsidR="00D100B0">
          <w:rPr>
            <w:noProof/>
            <w:webHidden/>
          </w:rPr>
        </w:r>
        <w:r w:rsidR="00D100B0">
          <w:rPr>
            <w:noProof/>
            <w:webHidden/>
          </w:rPr>
          <w:fldChar w:fldCharType="separate"/>
        </w:r>
        <w:r w:rsidR="005D5C7C">
          <w:rPr>
            <w:noProof/>
            <w:webHidden/>
          </w:rPr>
          <w:t>39</w:t>
        </w:r>
        <w:r w:rsidR="00D100B0">
          <w:rPr>
            <w:noProof/>
            <w:webHidden/>
          </w:rPr>
          <w:fldChar w:fldCharType="end"/>
        </w:r>
      </w:hyperlink>
    </w:p>
    <w:p w14:paraId="615F033F" w14:textId="5D29D76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6" w:history="1">
        <w:r w:rsidR="00D100B0" w:rsidRPr="00D36DBC">
          <w:rPr>
            <w:rStyle w:val="Hyperlink"/>
            <w:noProof/>
          </w:rPr>
          <w:t>Table 3.9: Typical Event Day Load Impacts by Industry Group, PG&amp;E Small</w:t>
        </w:r>
        <w:r w:rsidR="00D100B0">
          <w:rPr>
            <w:noProof/>
            <w:webHidden/>
          </w:rPr>
          <w:tab/>
        </w:r>
        <w:r w:rsidR="00D100B0">
          <w:rPr>
            <w:noProof/>
            <w:webHidden/>
          </w:rPr>
          <w:fldChar w:fldCharType="begin"/>
        </w:r>
        <w:r w:rsidR="00D100B0">
          <w:rPr>
            <w:noProof/>
            <w:webHidden/>
          </w:rPr>
          <w:instrText xml:space="preserve"> PAGEREF _Toc509837366 \h </w:instrText>
        </w:r>
        <w:r w:rsidR="00D100B0">
          <w:rPr>
            <w:noProof/>
            <w:webHidden/>
          </w:rPr>
        </w:r>
        <w:r w:rsidR="00D100B0">
          <w:rPr>
            <w:noProof/>
            <w:webHidden/>
          </w:rPr>
          <w:fldChar w:fldCharType="separate"/>
        </w:r>
        <w:r w:rsidR="005D5C7C">
          <w:rPr>
            <w:noProof/>
            <w:webHidden/>
          </w:rPr>
          <w:t>40</w:t>
        </w:r>
        <w:r w:rsidR="00D100B0">
          <w:rPr>
            <w:noProof/>
            <w:webHidden/>
          </w:rPr>
          <w:fldChar w:fldCharType="end"/>
        </w:r>
      </w:hyperlink>
    </w:p>
    <w:p w14:paraId="150C7A88" w14:textId="665EAD6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7" w:history="1">
        <w:r w:rsidR="00D100B0" w:rsidRPr="00D36DBC">
          <w:rPr>
            <w:rStyle w:val="Hyperlink"/>
            <w:noProof/>
          </w:rPr>
          <w:t>Table 3.10: Typical Event Day Load Impacts by LCA, PG&amp;E Medium</w:t>
        </w:r>
        <w:r w:rsidR="00D100B0">
          <w:rPr>
            <w:noProof/>
            <w:webHidden/>
          </w:rPr>
          <w:tab/>
        </w:r>
        <w:r w:rsidR="00D100B0">
          <w:rPr>
            <w:noProof/>
            <w:webHidden/>
          </w:rPr>
          <w:fldChar w:fldCharType="begin"/>
        </w:r>
        <w:r w:rsidR="00D100B0">
          <w:rPr>
            <w:noProof/>
            <w:webHidden/>
          </w:rPr>
          <w:instrText xml:space="preserve"> PAGEREF _Toc509837367 \h </w:instrText>
        </w:r>
        <w:r w:rsidR="00D100B0">
          <w:rPr>
            <w:noProof/>
            <w:webHidden/>
          </w:rPr>
        </w:r>
        <w:r w:rsidR="00D100B0">
          <w:rPr>
            <w:noProof/>
            <w:webHidden/>
          </w:rPr>
          <w:fldChar w:fldCharType="separate"/>
        </w:r>
        <w:r w:rsidR="005D5C7C">
          <w:rPr>
            <w:noProof/>
            <w:webHidden/>
          </w:rPr>
          <w:t>42</w:t>
        </w:r>
        <w:r w:rsidR="00D100B0">
          <w:rPr>
            <w:noProof/>
            <w:webHidden/>
          </w:rPr>
          <w:fldChar w:fldCharType="end"/>
        </w:r>
      </w:hyperlink>
    </w:p>
    <w:p w14:paraId="1AC56370" w14:textId="104ED12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8" w:history="1">
        <w:r w:rsidR="00D100B0" w:rsidRPr="00D36DBC">
          <w:rPr>
            <w:rStyle w:val="Hyperlink"/>
            <w:noProof/>
          </w:rPr>
          <w:t>Table 3.11: Typical Event Day Load Impacts by LCA, PG&amp;E Small</w:t>
        </w:r>
        <w:r w:rsidR="00D100B0">
          <w:rPr>
            <w:noProof/>
            <w:webHidden/>
          </w:rPr>
          <w:tab/>
        </w:r>
        <w:r w:rsidR="00D100B0">
          <w:rPr>
            <w:noProof/>
            <w:webHidden/>
          </w:rPr>
          <w:fldChar w:fldCharType="begin"/>
        </w:r>
        <w:r w:rsidR="00D100B0">
          <w:rPr>
            <w:noProof/>
            <w:webHidden/>
          </w:rPr>
          <w:instrText xml:space="preserve"> PAGEREF _Toc509837368 \h </w:instrText>
        </w:r>
        <w:r w:rsidR="00D100B0">
          <w:rPr>
            <w:noProof/>
            <w:webHidden/>
          </w:rPr>
        </w:r>
        <w:r w:rsidR="00D100B0">
          <w:rPr>
            <w:noProof/>
            <w:webHidden/>
          </w:rPr>
          <w:fldChar w:fldCharType="separate"/>
        </w:r>
        <w:r w:rsidR="005D5C7C">
          <w:rPr>
            <w:noProof/>
            <w:webHidden/>
          </w:rPr>
          <w:t>43</w:t>
        </w:r>
        <w:r w:rsidR="00D100B0">
          <w:rPr>
            <w:noProof/>
            <w:webHidden/>
          </w:rPr>
          <w:fldChar w:fldCharType="end"/>
        </w:r>
      </w:hyperlink>
    </w:p>
    <w:p w14:paraId="218483B9" w14:textId="1350F14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69" w:history="1">
        <w:r w:rsidR="00D100B0" w:rsidRPr="00D36DBC">
          <w:rPr>
            <w:rStyle w:val="Hyperlink"/>
            <w:noProof/>
          </w:rPr>
          <w:t>Table 3.12: Average Event-Hour Load Impacts for PDP+BIP customers by Event, PG&amp;E</w:t>
        </w:r>
        <w:r w:rsidR="00D100B0">
          <w:rPr>
            <w:noProof/>
            <w:webHidden/>
          </w:rPr>
          <w:tab/>
        </w:r>
        <w:r w:rsidR="00D100B0">
          <w:rPr>
            <w:noProof/>
            <w:webHidden/>
          </w:rPr>
          <w:fldChar w:fldCharType="begin"/>
        </w:r>
        <w:r w:rsidR="00D100B0">
          <w:rPr>
            <w:noProof/>
            <w:webHidden/>
          </w:rPr>
          <w:instrText xml:space="preserve"> PAGEREF _Toc509837369 \h </w:instrText>
        </w:r>
        <w:r w:rsidR="00D100B0">
          <w:rPr>
            <w:noProof/>
            <w:webHidden/>
          </w:rPr>
        </w:r>
        <w:r w:rsidR="00D100B0">
          <w:rPr>
            <w:noProof/>
            <w:webHidden/>
          </w:rPr>
          <w:fldChar w:fldCharType="separate"/>
        </w:r>
        <w:r w:rsidR="005D5C7C">
          <w:rPr>
            <w:noProof/>
            <w:webHidden/>
          </w:rPr>
          <w:t>44</w:t>
        </w:r>
        <w:r w:rsidR="00D100B0">
          <w:rPr>
            <w:noProof/>
            <w:webHidden/>
          </w:rPr>
          <w:fldChar w:fldCharType="end"/>
        </w:r>
      </w:hyperlink>
    </w:p>
    <w:p w14:paraId="73BE2759" w14:textId="5AE2D35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0" w:history="1">
        <w:r w:rsidR="00D100B0" w:rsidRPr="00D36DBC">
          <w:rPr>
            <w:rStyle w:val="Hyperlink"/>
            <w:noProof/>
          </w:rPr>
          <w:t>Table 3.13: Average Event-Hour Load Impacts for PDP+CBP customers by Event, PG&amp;E</w:t>
        </w:r>
        <w:r w:rsidR="00D100B0">
          <w:rPr>
            <w:noProof/>
            <w:webHidden/>
          </w:rPr>
          <w:tab/>
        </w:r>
        <w:r w:rsidR="00D100B0">
          <w:rPr>
            <w:noProof/>
            <w:webHidden/>
          </w:rPr>
          <w:fldChar w:fldCharType="begin"/>
        </w:r>
        <w:r w:rsidR="00D100B0">
          <w:rPr>
            <w:noProof/>
            <w:webHidden/>
          </w:rPr>
          <w:instrText xml:space="preserve"> PAGEREF _Toc509837370 \h </w:instrText>
        </w:r>
        <w:r w:rsidR="00D100B0">
          <w:rPr>
            <w:noProof/>
            <w:webHidden/>
          </w:rPr>
        </w:r>
        <w:r w:rsidR="00D100B0">
          <w:rPr>
            <w:noProof/>
            <w:webHidden/>
          </w:rPr>
          <w:fldChar w:fldCharType="separate"/>
        </w:r>
        <w:r w:rsidR="005D5C7C">
          <w:rPr>
            <w:noProof/>
            <w:webHidden/>
          </w:rPr>
          <w:t>45</w:t>
        </w:r>
        <w:r w:rsidR="00D100B0">
          <w:rPr>
            <w:noProof/>
            <w:webHidden/>
          </w:rPr>
          <w:fldChar w:fldCharType="end"/>
        </w:r>
      </w:hyperlink>
    </w:p>
    <w:p w14:paraId="60F864AF" w14:textId="1E11265F"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1" w:history="1">
        <w:r w:rsidR="00D100B0" w:rsidRPr="00D36DBC">
          <w:rPr>
            <w:rStyle w:val="Hyperlink"/>
            <w:noProof/>
          </w:rPr>
          <w:t>Table 3.14: Typical Event Day Load Impacts, PG&amp;E Segmentation 1</w:t>
        </w:r>
        <w:r w:rsidR="00D100B0">
          <w:rPr>
            <w:noProof/>
            <w:webHidden/>
          </w:rPr>
          <w:tab/>
        </w:r>
        <w:r w:rsidR="00D100B0">
          <w:rPr>
            <w:noProof/>
            <w:webHidden/>
          </w:rPr>
          <w:fldChar w:fldCharType="begin"/>
        </w:r>
        <w:r w:rsidR="00D100B0">
          <w:rPr>
            <w:noProof/>
            <w:webHidden/>
          </w:rPr>
          <w:instrText xml:space="preserve"> PAGEREF _Toc509837371 \h </w:instrText>
        </w:r>
        <w:r w:rsidR="00D100B0">
          <w:rPr>
            <w:noProof/>
            <w:webHidden/>
          </w:rPr>
        </w:r>
        <w:r w:rsidR="00D100B0">
          <w:rPr>
            <w:noProof/>
            <w:webHidden/>
          </w:rPr>
          <w:fldChar w:fldCharType="separate"/>
        </w:r>
        <w:r w:rsidR="005D5C7C">
          <w:rPr>
            <w:noProof/>
            <w:webHidden/>
          </w:rPr>
          <w:t>48</w:t>
        </w:r>
        <w:r w:rsidR="00D100B0">
          <w:rPr>
            <w:noProof/>
            <w:webHidden/>
          </w:rPr>
          <w:fldChar w:fldCharType="end"/>
        </w:r>
      </w:hyperlink>
    </w:p>
    <w:p w14:paraId="343B8862" w14:textId="6B14700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2" w:history="1">
        <w:r w:rsidR="00D100B0" w:rsidRPr="00D36DBC">
          <w:rPr>
            <w:rStyle w:val="Hyperlink"/>
            <w:noProof/>
          </w:rPr>
          <w:t>Table 3.15: Typical Event Day Load Impacts, PG&amp;E Segmentation 2</w:t>
        </w:r>
        <w:r w:rsidR="00D100B0">
          <w:rPr>
            <w:noProof/>
            <w:webHidden/>
          </w:rPr>
          <w:tab/>
        </w:r>
        <w:r w:rsidR="00D100B0">
          <w:rPr>
            <w:noProof/>
            <w:webHidden/>
          </w:rPr>
          <w:fldChar w:fldCharType="begin"/>
        </w:r>
        <w:r w:rsidR="00D100B0">
          <w:rPr>
            <w:noProof/>
            <w:webHidden/>
          </w:rPr>
          <w:instrText xml:space="preserve"> PAGEREF _Toc509837372 \h </w:instrText>
        </w:r>
        <w:r w:rsidR="00D100B0">
          <w:rPr>
            <w:noProof/>
            <w:webHidden/>
          </w:rPr>
        </w:r>
        <w:r w:rsidR="00D100B0">
          <w:rPr>
            <w:noProof/>
            <w:webHidden/>
          </w:rPr>
          <w:fldChar w:fldCharType="separate"/>
        </w:r>
        <w:r w:rsidR="005D5C7C">
          <w:rPr>
            <w:noProof/>
            <w:webHidden/>
          </w:rPr>
          <w:t>49</w:t>
        </w:r>
        <w:r w:rsidR="00D100B0">
          <w:rPr>
            <w:noProof/>
            <w:webHidden/>
          </w:rPr>
          <w:fldChar w:fldCharType="end"/>
        </w:r>
      </w:hyperlink>
    </w:p>
    <w:p w14:paraId="6AEBE646" w14:textId="02F1B4FD"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3" w:history="1">
        <w:r w:rsidR="00D100B0" w:rsidRPr="00D36DBC">
          <w:rPr>
            <w:rStyle w:val="Hyperlink"/>
            <w:noProof/>
          </w:rPr>
          <w:t>Table 3.16: Average Event-Hour Load Impacts for AutoDR Customers by Event, PG&amp;E</w:t>
        </w:r>
        <w:r w:rsidR="00D100B0">
          <w:rPr>
            <w:noProof/>
            <w:webHidden/>
          </w:rPr>
          <w:tab/>
        </w:r>
        <w:r w:rsidR="00D100B0">
          <w:rPr>
            <w:noProof/>
            <w:webHidden/>
          </w:rPr>
          <w:fldChar w:fldCharType="begin"/>
        </w:r>
        <w:r w:rsidR="00D100B0">
          <w:rPr>
            <w:noProof/>
            <w:webHidden/>
          </w:rPr>
          <w:instrText xml:space="preserve"> PAGEREF _Toc509837373 \h </w:instrText>
        </w:r>
        <w:r w:rsidR="00D100B0">
          <w:rPr>
            <w:noProof/>
            <w:webHidden/>
          </w:rPr>
        </w:r>
        <w:r w:rsidR="00D100B0">
          <w:rPr>
            <w:noProof/>
            <w:webHidden/>
          </w:rPr>
          <w:fldChar w:fldCharType="separate"/>
        </w:r>
        <w:r w:rsidR="005D5C7C">
          <w:rPr>
            <w:noProof/>
            <w:webHidden/>
          </w:rPr>
          <w:t>54</w:t>
        </w:r>
        <w:r w:rsidR="00D100B0">
          <w:rPr>
            <w:noProof/>
            <w:webHidden/>
          </w:rPr>
          <w:fldChar w:fldCharType="end"/>
        </w:r>
      </w:hyperlink>
    </w:p>
    <w:p w14:paraId="76EE00FD" w14:textId="4203A57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4" w:history="1">
        <w:r w:rsidR="00D100B0" w:rsidRPr="00D36DBC">
          <w:rPr>
            <w:rStyle w:val="Hyperlink"/>
            <w:noProof/>
          </w:rPr>
          <w:t>Table 3.17: Current vs. Previous Ex-Post Load Impacts for the Average Event</w:t>
        </w:r>
        <w:r w:rsidR="00D100B0">
          <w:rPr>
            <w:noProof/>
            <w:webHidden/>
          </w:rPr>
          <w:tab/>
        </w:r>
        <w:r w:rsidR="00D100B0">
          <w:rPr>
            <w:noProof/>
            <w:webHidden/>
          </w:rPr>
          <w:fldChar w:fldCharType="begin"/>
        </w:r>
        <w:r w:rsidR="00D100B0">
          <w:rPr>
            <w:noProof/>
            <w:webHidden/>
          </w:rPr>
          <w:instrText xml:space="preserve"> PAGEREF _Toc509837374 \h </w:instrText>
        </w:r>
        <w:r w:rsidR="00D100B0">
          <w:rPr>
            <w:noProof/>
            <w:webHidden/>
          </w:rPr>
        </w:r>
        <w:r w:rsidR="00D100B0">
          <w:rPr>
            <w:noProof/>
            <w:webHidden/>
          </w:rPr>
          <w:fldChar w:fldCharType="separate"/>
        </w:r>
        <w:r w:rsidR="005D5C7C">
          <w:rPr>
            <w:noProof/>
            <w:webHidden/>
          </w:rPr>
          <w:t>69</w:t>
        </w:r>
        <w:r w:rsidR="00D100B0">
          <w:rPr>
            <w:noProof/>
            <w:webHidden/>
          </w:rPr>
          <w:fldChar w:fldCharType="end"/>
        </w:r>
      </w:hyperlink>
    </w:p>
    <w:p w14:paraId="23A8E9F7" w14:textId="5060264D"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5" w:history="1">
        <w:r w:rsidR="00D100B0" w:rsidRPr="00D36DBC">
          <w:rPr>
            <w:rStyle w:val="Hyperlink"/>
            <w:noProof/>
          </w:rPr>
          <w:t>Table 3.18: Previous vs. Current Ex-Ante Load Impacts, Utility 1-in-2 August 2018 Peak Day</w:t>
        </w:r>
        <w:r w:rsidR="00D100B0">
          <w:rPr>
            <w:noProof/>
            <w:webHidden/>
          </w:rPr>
          <w:tab/>
        </w:r>
        <w:r w:rsidR="00D100B0">
          <w:rPr>
            <w:noProof/>
            <w:webHidden/>
          </w:rPr>
          <w:fldChar w:fldCharType="begin"/>
        </w:r>
        <w:r w:rsidR="00D100B0">
          <w:rPr>
            <w:noProof/>
            <w:webHidden/>
          </w:rPr>
          <w:instrText xml:space="preserve"> PAGEREF _Toc509837375 \h </w:instrText>
        </w:r>
        <w:r w:rsidR="00D100B0">
          <w:rPr>
            <w:noProof/>
            <w:webHidden/>
          </w:rPr>
        </w:r>
        <w:r w:rsidR="00D100B0">
          <w:rPr>
            <w:noProof/>
            <w:webHidden/>
          </w:rPr>
          <w:fldChar w:fldCharType="separate"/>
        </w:r>
        <w:r w:rsidR="005D5C7C">
          <w:rPr>
            <w:noProof/>
            <w:webHidden/>
          </w:rPr>
          <w:t>69</w:t>
        </w:r>
        <w:r w:rsidR="00D100B0">
          <w:rPr>
            <w:noProof/>
            <w:webHidden/>
          </w:rPr>
          <w:fldChar w:fldCharType="end"/>
        </w:r>
      </w:hyperlink>
    </w:p>
    <w:p w14:paraId="22246C8B" w14:textId="7F346379"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6" w:history="1">
        <w:r w:rsidR="00D100B0" w:rsidRPr="00D36DBC">
          <w:rPr>
            <w:rStyle w:val="Hyperlink"/>
            <w:noProof/>
          </w:rPr>
          <w:t>Table 3.19: Comparison of Previous Ex-Ante and Current Ex-Post Impacts</w:t>
        </w:r>
        <w:r w:rsidR="00D100B0">
          <w:rPr>
            <w:noProof/>
            <w:webHidden/>
          </w:rPr>
          <w:tab/>
        </w:r>
        <w:r w:rsidR="00D100B0">
          <w:rPr>
            <w:noProof/>
            <w:webHidden/>
          </w:rPr>
          <w:fldChar w:fldCharType="begin"/>
        </w:r>
        <w:r w:rsidR="00D100B0">
          <w:rPr>
            <w:noProof/>
            <w:webHidden/>
          </w:rPr>
          <w:instrText xml:space="preserve"> PAGEREF _Toc509837376 \h </w:instrText>
        </w:r>
        <w:r w:rsidR="00D100B0">
          <w:rPr>
            <w:noProof/>
            <w:webHidden/>
          </w:rPr>
        </w:r>
        <w:r w:rsidR="00D100B0">
          <w:rPr>
            <w:noProof/>
            <w:webHidden/>
          </w:rPr>
          <w:fldChar w:fldCharType="separate"/>
        </w:r>
        <w:r w:rsidR="005D5C7C">
          <w:rPr>
            <w:noProof/>
            <w:webHidden/>
          </w:rPr>
          <w:t>70</w:t>
        </w:r>
        <w:r w:rsidR="00D100B0">
          <w:rPr>
            <w:noProof/>
            <w:webHidden/>
          </w:rPr>
          <w:fldChar w:fldCharType="end"/>
        </w:r>
      </w:hyperlink>
    </w:p>
    <w:p w14:paraId="6A64D2BB" w14:textId="6DE2AC7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7" w:history="1">
        <w:r w:rsidR="00D100B0" w:rsidRPr="00D36DBC">
          <w:rPr>
            <w:rStyle w:val="Hyperlink"/>
            <w:noProof/>
          </w:rPr>
          <w:t>Table 3.20: Comparison of Current Ex-Post and Ex-Ante Load Impacts</w:t>
        </w:r>
        <w:r w:rsidR="00D100B0">
          <w:rPr>
            <w:noProof/>
            <w:webHidden/>
          </w:rPr>
          <w:tab/>
        </w:r>
        <w:r w:rsidR="00D100B0">
          <w:rPr>
            <w:noProof/>
            <w:webHidden/>
          </w:rPr>
          <w:fldChar w:fldCharType="begin"/>
        </w:r>
        <w:r w:rsidR="00D100B0">
          <w:rPr>
            <w:noProof/>
            <w:webHidden/>
          </w:rPr>
          <w:instrText xml:space="preserve"> PAGEREF _Toc509837377 \h </w:instrText>
        </w:r>
        <w:r w:rsidR="00D100B0">
          <w:rPr>
            <w:noProof/>
            <w:webHidden/>
          </w:rPr>
        </w:r>
        <w:r w:rsidR="00D100B0">
          <w:rPr>
            <w:noProof/>
            <w:webHidden/>
          </w:rPr>
          <w:fldChar w:fldCharType="separate"/>
        </w:r>
        <w:r w:rsidR="005D5C7C">
          <w:rPr>
            <w:noProof/>
            <w:webHidden/>
          </w:rPr>
          <w:t>70</w:t>
        </w:r>
        <w:r w:rsidR="00D100B0">
          <w:rPr>
            <w:noProof/>
            <w:webHidden/>
          </w:rPr>
          <w:fldChar w:fldCharType="end"/>
        </w:r>
      </w:hyperlink>
    </w:p>
    <w:p w14:paraId="38F53FA7" w14:textId="3F719F0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8" w:history="1">
        <w:r w:rsidR="00D100B0" w:rsidRPr="00D36DBC">
          <w:rPr>
            <w:rStyle w:val="Hyperlink"/>
            <w:noProof/>
          </w:rPr>
          <w:t>Table 3.21: Comparison of Ex-Post and Ex-Ante Factors</w:t>
        </w:r>
        <w:r w:rsidR="00D100B0">
          <w:rPr>
            <w:noProof/>
            <w:webHidden/>
          </w:rPr>
          <w:tab/>
        </w:r>
        <w:r w:rsidR="00D100B0">
          <w:rPr>
            <w:noProof/>
            <w:webHidden/>
          </w:rPr>
          <w:fldChar w:fldCharType="begin"/>
        </w:r>
        <w:r w:rsidR="00D100B0">
          <w:rPr>
            <w:noProof/>
            <w:webHidden/>
          </w:rPr>
          <w:instrText xml:space="preserve"> PAGEREF _Toc509837378 \h </w:instrText>
        </w:r>
        <w:r w:rsidR="00D100B0">
          <w:rPr>
            <w:noProof/>
            <w:webHidden/>
          </w:rPr>
        </w:r>
        <w:r w:rsidR="00D100B0">
          <w:rPr>
            <w:noProof/>
            <w:webHidden/>
          </w:rPr>
          <w:fldChar w:fldCharType="separate"/>
        </w:r>
        <w:r w:rsidR="005D5C7C">
          <w:rPr>
            <w:noProof/>
            <w:webHidden/>
          </w:rPr>
          <w:t>71</w:t>
        </w:r>
        <w:r w:rsidR="00D100B0">
          <w:rPr>
            <w:noProof/>
            <w:webHidden/>
          </w:rPr>
          <w:fldChar w:fldCharType="end"/>
        </w:r>
      </w:hyperlink>
    </w:p>
    <w:p w14:paraId="3397BCD7" w14:textId="47599F2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79" w:history="1">
        <w:r w:rsidR="00D100B0" w:rsidRPr="00D36DBC">
          <w:rPr>
            <w:rStyle w:val="Hyperlink"/>
            <w:noProof/>
          </w:rPr>
          <w:t>Table 3.22: Current vs. Previous Ex-Post Load Impacts for the Average Event</w:t>
        </w:r>
        <w:r w:rsidR="00D100B0">
          <w:rPr>
            <w:noProof/>
            <w:webHidden/>
          </w:rPr>
          <w:tab/>
        </w:r>
        <w:r w:rsidR="00D100B0">
          <w:rPr>
            <w:noProof/>
            <w:webHidden/>
          </w:rPr>
          <w:fldChar w:fldCharType="begin"/>
        </w:r>
        <w:r w:rsidR="00D100B0">
          <w:rPr>
            <w:noProof/>
            <w:webHidden/>
          </w:rPr>
          <w:instrText xml:space="preserve"> PAGEREF _Toc509837379 \h </w:instrText>
        </w:r>
        <w:r w:rsidR="00D100B0">
          <w:rPr>
            <w:noProof/>
            <w:webHidden/>
          </w:rPr>
        </w:r>
        <w:r w:rsidR="00D100B0">
          <w:rPr>
            <w:noProof/>
            <w:webHidden/>
          </w:rPr>
          <w:fldChar w:fldCharType="separate"/>
        </w:r>
        <w:r w:rsidR="005D5C7C">
          <w:rPr>
            <w:noProof/>
            <w:webHidden/>
          </w:rPr>
          <w:t>72</w:t>
        </w:r>
        <w:r w:rsidR="00D100B0">
          <w:rPr>
            <w:noProof/>
            <w:webHidden/>
          </w:rPr>
          <w:fldChar w:fldCharType="end"/>
        </w:r>
      </w:hyperlink>
    </w:p>
    <w:p w14:paraId="5F344F68" w14:textId="65AD0459"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0" w:history="1">
        <w:r w:rsidR="00D100B0" w:rsidRPr="00D36DBC">
          <w:rPr>
            <w:rStyle w:val="Hyperlink"/>
            <w:noProof/>
          </w:rPr>
          <w:t>Table 3.23: Previous vs. Current Ex-Ante Load Impacts, Utility 1-in-2 August 2018 Peak Day</w:t>
        </w:r>
        <w:r w:rsidR="00D100B0">
          <w:rPr>
            <w:noProof/>
            <w:webHidden/>
          </w:rPr>
          <w:tab/>
        </w:r>
        <w:r w:rsidR="00D100B0">
          <w:rPr>
            <w:noProof/>
            <w:webHidden/>
          </w:rPr>
          <w:fldChar w:fldCharType="begin"/>
        </w:r>
        <w:r w:rsidR="00D100B0">
          <w:rPr>
            <w:noProof/>
            <w:webHidden/>
          </w:rPr>
          <w:instrText xml:space="preserve"> PAGEREF _Toc509837380 \h </w:instrText>
        </w:r>
        <w:r w:rsidR="00D100B0">
          <w:rPr>
            <w:noProof/>
            <w:webHidden/>
          </w:rPr>
        </w:r>
        <w:r w:rsidR="00D100B0">
          <w:rPr>
            <w:noProof/>
            <w:webHidden/>
          </w:rPr>
          <w:fldChar w:fldCharType="separate"/>
        </w:r>
        <w:r w:rsidR="005D5C7C">
          <w:rPr>
            <w:noProof/>
            <w:webHidden/>
          </w:rPr>
          <w:t>72</w:t>
        </w:r>
        <w:r w:rsidR="00D100B0">
          <w:rPr>
            <w:noProof/>
            <w:webHidden/>
          </w:rPr>
          <w:fldChar w:fldCharType="end"/>
        </w:r>
      </w:hyperlink>
    </w:p>
    <w:p w14:paraId="74D737AC" w14:textId="715D948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1" w:history="1">
        <w:r w:rsidR="00D100B0" w:rsidRPr="00D36DBC">
          <w:rPr>
            <w:rStyle w:val="Hyperlink"/>
            <w:noProof/>
          </w:rPr>
          <w:t>Table 3.24: Comparison of Previous Ex-Ante and Current Ex-Post Impacts</w:t>
        </w:r>
        <w:r w:rsidR="00D100B0">
          <w:rPr>
            <w:noProof/>
            <w:webHidden/>
          </w:rPr>
          <w:tab/>
        </w:r>
        <w:r w:rsidR="00D100B0">
          <w:rPr>
            <w:noProof/>
            <w:webHidden/>
          </w:rPr>
          <w:fldChar w:fldCharType="begin"/>
        </w:r>
        <w:r w:rsidR="00D100B0">
          <w:rPr>
            <w:noProof/>
            <w:webHidden/>
          </w:rPr>
          <w:instrText xml:space="preserve"> PAGEREF _Toc509837381 \h </w:instrText>
        </w:r>
        <w:r w:rsidR="00D100B0">
          <w:rPr>
            <w:noProof/>
            <w:webHidden/>
          </w:rPr>
        </w:r>
        <w:r w:rsidR="00D100B0">
          <w:rPr>
            <w:noProof/>
            <w:webHidden/>
          </w:rPr>
          <w:fldChar w:fldCharType="separate"/>
        </w:r>
        <w:r w:rsidR="005D5C7C">
          <w:rPr>
            <w:noProof/>
            <w:webHidden/>
          </w:rPr>
          <w:t>73</w:t>
        </w:r>
        <w:r w:rsidR="00D100B0">
          <w:rPr>
            <w:noProof/>
            <w:webHidden/>
          </w:rPr>
          <w:fldChar w:fldCharType="end"/>
        </w:r>
      </w:hyperlink>
    </w:p>
    <w:p w14:paraId="7F7FBB17" w14:textId="2795348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2" w:history="1">
        <w:r w:rsidR="00D100B0" w:rsidRPr="00D36DBC">
          <w:rPr>
            <w:rStyle w:val="Hyperlink"/>
            <w:noProof/>
          </w:rPr>
          <w:t>Table 3.25: Comparison of Current Ex-Post and Ex-Ante Load Impacts</w:t>
        </w:r>
        <w:r w:rsidR="00D100B0">
          <w:rPr>
            <w:noProof/>
            <w:webHidden/>
          </w:rPr>
          <w:tab/>
        </w:r>
        <w:r w:rsidR="00D100B0">
          <w:rPr>
            <w:noProof/>
            <w:webHidden/>
          </w:rPr>
          <w:fldChar w:fldCharType="begin"/>
        </w:r>
        <w:r w:rsidR="00D100B0">
          <w:rPr>
            <w:noProof/>
            <w:webHidden/>
          </w:rPr>
          <w:instrText xml:space="preserve"> PAGEREF _Toc509837382 \h </w:instrText>
        </w:r>
        <w:r w:rsidR="00D100B0">
          <w:rPr>
            <w:noProof/>
            <w:webHidden/>
          </w:rPr>
        </w:r>
        <w:r w:rsidR="00D100B0">
          <w:rPr>
            <w:noProof/>
            <w:webHidden/>
          </w:rPr>
          <w:fldChar w:fldCharType="separate"/>
        </w:r>
        <w:r w:rsidR="005D5C7C">
          <w:rPr>
            <w:noProof/>
            <w:webHidden/>
          </w:rPr>
          <w:t>73</w:t>
        </w:r>
        <w:r w:rsidR="00D100B0">
          <w:rPr>
            <w:noProof/>
            <w:webHidden/>
          </w:rPr>
          <w:fldChar w:fldCharType="end"/>
        </w:r>
      </w:hyperlink>
    </w:p>
    <w:p w14:paraId="62395A10" w14:textId="6148452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3" w:history="1">
        <w:r w:rsidR="00D100B0" w:rsidRPr="00D36DBC">
          <w:rPr>
            <w:rStyle w:val="Hyperlink"/>
            <w:noProof/>
          </w:rPr>
          <w:t>Table 3.26: Comparison of Ex-Post and Ex-Ante Factors</w:t>
        </w:r>
        <w:r w:rsidR="00D100B0">
          <w:rPr>
            <w:noProof/>
            <w:webHidden/>
          </w:rPr>
          <w:tab/>
        </w:r>
        <w:r w:rsidR="00D100B0">
          <w:rPr>
            <w:noProof/>
            <w:webHidden/>
          </w:rPr>
          <w:fldChar w:fldCharType="begin"/>
        </w:r>
        <w:r w:rsidR="00D100B0">
          <w:rPr>
            <w:noProof/>
            <w:webHidden/>
          </w:rPr>
          <w:instrText xml:space="preserve"> PAGEREF _Toc509837383 \h </w:instrText>
        </w:r>
        <w:r w:rsidR="00D100B0">
          <w:rPr>
            <w:noProof/>
            <w:webHidden/>
          </w:rPr>
        </w:r>
        <w:r w:rsidR="00D100B0">
          <w:rPr>
            <w:noProof/>
            <w:webHidden/>
          </w:rPr>
          <w:fldChar w:fldCharType="separate"/>
        </w:r>
        <w:r w:rsidR="005D5C7C">
          <w:rPr>
            <w:noProof/>
            <w:webHidden/>
          </w:rPr>
          <w:t>74</w:t>
        </w:r>
        <w:r w:rsidR="00D100B0">
          <w:rPr>
            <w:noProof/>
            <w:webHidden/>
          </w:rPr>
          <w:fldChar w:fldCharType="end"/>
        </w:r>
      </w:hyperlink>
    </w:p>
    <w:p w14:paraId="4D4109A1" w14:textId="66B9E6A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4" w:history="1">
        <w:r w:rsidR="00D100B0" w:rsidRPr="00D36DBC">
          <w:rPr>
            <w:rStyle w:val="Hyperlink"/>
            <w:noProof/>
          </w:rPr>
          <w:t>Table 4.1: Average Event-Hour Load Impacts by Event, SCE Large</w:t>
        </w:r>
        <w:r w:rsidR="00D100B0">
          <w:rPr>
            <w:noProof/>
            <w:webHidden/>
          </w:rPr>
          <w:tab/>
        </w:r>
        <w:r w:rsidR="00D100B0">
          <w:rPr>
            <w:noProof/>
            <w:webHidden/>
          </w:rPr>
          <w:fldChar w:fldCharType="begin"/>
        </w:r>
        <w:r w:rsidR="00D100B0">
          <w:rPr>
            <w:noProof/>
            <w:webHidden/>
          </w:rPr>
          <w:instrText xml:space="preserve"> PAGEREF _Toc509837384 \h </w:instrText>
        </w:r>
        <w:r w:rsidR="00D100B0">
          <w:rPr>
            <w:noProof/>
            <w:webHidden/>
          </w:rPr>
        </w:r>
        <w:r w:rsidR="00D100B0">
          <w:rPr>
            <w:noProof/>
            <w:webHidden/>
          </w:rPr>
          <w:fldChar w:fldCharType="separate"/>
        </w:r>
        <w:r w:rsidR="005D5C7C">
          <w:rPr>
            <w:noProof/>
            <w:webHidden/>
          </w:rPr>
          <w:t>77</w:t>
        </w:r>
        <w:r w:rsidR="00D100B0">
          <w:rPr>
            <w:noProof/>
            <w:webHidden/>
          </w:rPr>
          <w:fldChar w:fldCharType="end"/>
        </w:r>
      </w:hyperlink>
    </w:p>
    <w:p w14:paraId="531B3BF4" w14:textId="6194367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5" w:history="1">
        <w:r w:rsidR="00D100B0" w:rsidRPr="00D36DBC">
          <w:rPr>
            <w:rStyle w:val="Hyperlink"/>
            <w:noProof/>
          </w:rPr>
          <w:t>Table 4.2: Typical Event Day Load Impacts and Uncertainty Adjusted Estimates by hour, SCE Large</w:t>
        </w:r>
        <w:r w:rsidR="00D100B0">
          <w:rPr>
            <w:noProof/>
            <w:webHidden/>
          </w:rPr>
          <w:tab/>
        </w:r>
        <w:r w:rsidR="00D100B0">
          <w:rPr>
            <w:noProof/>
            <w:webHidden/>
          </w:rPr>
          <w:fldChar w:fldCharType="begin"/>
        </w:r>
        <w:r w:rsidR="00D100B0">
          <w:rPr>
            <w:noProof/>
            <w:webHidden/>
          </w:rPr>
          <w:instrText xml:space="preserve"> PAGEREF _Toc509837385 \h </w:instrText>
        </w:r>
        <w:r w:rsidR="00D100B0">
          <w:rPr>
            <w:noProof/>
            <w:webHidden/>
          </w:rPr>
        </w:r>
        <w:r w:rsidR="00D100B0">
          <w:rPr>
            <w:noProof/>
            <w:webHidden/>
          </w:rPr>
          <w:fldChar w:fldCharType="separate"/>
        </w:r>
        <w:r w:rsidR="005D5C7C">
          <w:rPr>
            <w:noProof/>
            <w:webHidden/>
          </w:rPr>
          <w:t>79</w:t>
        </w:r>
        <w:r w:rsidR="00D100B0">
          <w:rPr>
            <w:noProof/>
            <w:webHidden/>
          </w:rPr>
          <w:fldChar w:fldCharType="end"/>
        </w:r>
      </w:hyperlink>
    </w:p>
    <w:p w14:paraId="56D7F102" w14:textId="38F6273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6" w:history="1">
        <w:r w:rsidR="00D100B0" w:rsidRPr="00D36DBC">
          <w:rPr>
            <w:rStyle w:val="Hyperlink"/>
            <w:noProof/>
          </w:rPr>
          <w:t>Table 4.3: Typical Event Day Load Impacts by Industry Group, SCE Large</w:t>
        </w:r>
        <w:r w:rsidR="00D100B0">
          <w:rPr>
            <w:noProof/>
            <w:webHidden/>
          </w:rPr>
          <w:tab/>
        </w:r>
        <w:r w:rsidR="00D100B0">
          <w:rPr>
            <w:noProof/>
            <w:webHidden/>
          </w:rPr>
          <w:fldChar w:fldCharType="begin"/>
        </w:r>
        <w:r w:rsidR="00D100B0">
          <w:rPr>
            <w:noProof/>
            <w:webHidden/>
          </w:rPr>
          <w:instrText xml:space="preserve"> PAGEREF _Toc509837386 \h </w:instrText>
        </w:r>
        <w:r w:rsidR="00D100B0">
          <w:rPr>
            <w:noProof/>
            <w:webHidden/>
          </w:rPr>
        </w:r>
        <w:r w:rsidR="00D100B0">
          <w:rPr>
            <w:noProof/>
            <w:webHidden/>
          </w:rPr>
          <w:fldChar w:fldCharType="separate"/>
        </w:r>
        <w:r w:rsidR="005D5C7C">
          <w:rPr>
            <w:noProof/>
            <w:webHidden/>
          </w:rPr>
          <w:t>80</w:t>
        </w:r>
        <w:r w:rsidR="00D100B0">
          <w:rPr>
            <w:noProof/>
            <w:webHidden/>
          </w:rPr>
          <w:fldChar w:fldCharType="end"/>
        </w:r>
      </w:hyperlink>
    </w:p>
    <w:p w14:paraId="3545ACC0" w14:textId="7EF47E2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7" w:history="1">
        <w:r w:rsidR="00D100B0" w:rsidRPr="00D36DBC">
          <w:rPr>
            <w:rStyle w:val="Hyperlink"/>
            <w:noProof/>
          </w:rPr>
          <w:t>Table 4.4: Typical Event Day Load Impacts by LCA, SCE Large</w:t>
        </w:r>
        <w:r w:rsidR="00D100B0">
          <w:rPr>
            <w:noProof/>
            <w:webHidden/>
          </w:rPr>
          <w:tab/>
        </w:r>
        <w:r w:rsidR="00D100B0">
          <w:rPr>
            <w:noProof/>
            <w:webHidden/>
          </w:rPr>
          <w:fldChar w:fldCharType="begin"/>
        </w:r>
        <w:r w:rsidR="00D100B0">
          <w:rPr>
            <w:noProof/>
            <w:webHidden/>
          </w:rPr>
          <w:instrText xml:space="preserve"> PAGEREF _Toc509837387 \h </w:instrText>
        </w:r>
        <w:r w:rsidR="00D100B0">
          <w:rPr>
            <w:noProof/>
            <w:webHidden/>
          </w:rPr>
        </w:r>
        <w:r w:rsidR="00D100B0">
          <w:rPr>
            <w:noProof/>
            <w:webHidden/>
          </w:rPr>
          <w:fldChar w:fldCharType="separate"/>
        </w:r>
        <w:r w:rsidR="005D5C7C">
          <w:rPr>
            <w:noProof/>
            <w:webHidden/>
          </w:rPr>
          <w:t>81</w:t>
        </w:r>
        <w:r w:rsidR="00D100B0">
          <w:rPr>
            <w:noProof/>
            <w:webHidden/>
          </w:rPr>
          <w:fldChar w:fldCharType="end"/>
        </w:r>
      </w:hyperlink>
    </w:p>
    <w:p w14:paraId="4D00FF1E" w14:textId="4CAC2D3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8" w:history="1">
        <w:r w:rsidR="00D100B0" w:rsidRPr="00D36DBC">
          <w:rPr>
            <w:rStyle w:val="Hyperlink"/>
            <w:noProof/>
          </w:rPr>
          <w:t>Table 4.5: Average Event-Hour Load Impacts by Event, SCE SMB</w:t>
        </w:r>
        <w:r w:rsidR="00D100B0">
          <w:rPr>
            <w:noProof/>
            <w:webHidden/>
          </w:rPr>
          <w:tab/>
        </w:r>
        <w:r w:rsidR="00D100B0">
          <w:rPr>
            <w:noProof/>
            <w:webHidden/>
          </w:rPr>
          <w:fldChar w:fldCharType="begin"/>
        </w:r>
        <w:r w:rsidR="00D100B0">
          <w:rPr>
            <w:noProof/>
            <w:webHidden/>
          </w:rPr>
          <w:instrText xml:space="preserve"> PAGEREF _Toc509837388 \h </w:instrText>
        </w:r>
        <w:r w:rsidR="00D100B0">
          <w:rPr>
            <w:noProof/>
            <w:webHidden/>
          </w:rPr>
        </w:r>
        <w:r w:rsidR="00D100B0">
          <w:rPr>
            <w:noProof/>
            <w:webHidden/>
          </w:rPr>
          <w:fldChar w:fldCharType="separate"/>
        </w:r>
        <w:r w:rsidR="005D5C7C">
          <w:rPr>
            <w:noProof/>
            <w:webHidden/>
          </w:rPr>
          <w:t>84</w:t>
        </w:r>
        <w:r w:rsidR="00D100B0">
          <w:rPr>
            <w:noProof/>
            <w:webHidden/>
          </w:rPr>
          <w:fldChar w:fldCharType="end"/>
        </w:r>
      </w:hyperlink>
    </w:p>
    <w:p w14:paraId="3A47F2AC" w14:textId="5B1DDE8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89" w:history="1">
        <w:r w:rsidR="00D100B0" w:rsidRPr="00D36DBC">
          <w:rPr>
            <w:rStyle w:val="Hyperlink"/>
            <w:noProof/>
          </w:rPr>
          <w:t>Table 4.6: Typical Event Day Load Impacts and Uncertainty Adjusted Estimates by hour, SCE Medium</w:t>
        </w:r>
        <w:r w:rsidR="00D100B0">
          <w:rPr>
            <w:noProof/>
            <w:webHidden/>
          </w:rPr>
          <w:tab/>
        </w:r>
        <w:r w:rsidR="00D100B0">
          <w:rPr>
            <w:noProof/>
            <w:webHidden/>
          </w:rPr>
          <w:fldChar w:fldCharType="begin"/>
        </w:r>
        <w:r w:rsidR="00D100B0">
          <w:rPr>
            <w:noProof/>
            <w:webHidden/>
          </w:rPr>
          <w:instrText xml:space="preserve"> PAGEREF _Toc509837389 \h </w:instrText>
        </w:r>
        <w:r w:rsidR="00D100B0">
          <w:rPr>
            <w:noProof/>
            <w:webHidden/>
          </w:rPr>
        </w:r>
        <w:r w:rsidR="00D100B0">
          <w:rPr>
            <w:noProof/>
            <w:webHidden/>
          </w:rPr>
          <w:fldChar w:fldCharType="separate"/>
        </w:r>
        <w:r w:rsidR="005D5C7C">
          <w:rPr>
            <w:noProof/>
            <w:webHidden/>
          </w:rPr>
          <w:t>86</w:t>
        </w:r>
        <w:r w:rsidR="00D100B0">
          <w:rPr>
            <w:noProof/>
            <w:webHidden/>
          </w:rPr>
          <w:fldChar w:fldCharType="end"/>
        </w:r>
      </w:hyperlink>
    </w:p>
    <w:p w14:paraId="753582FA" w14:textId="472C5AE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0" w:history="1">
        <w:r w:rsidR="00D100B0" w:rsidRPr="00D36DBC">
          <w:rPr>
            <w:rStyle w:val="Hyperlink"/>
            <w:noProof/>
          </w:rPr>
          <w:t>Table 4.7: Typical Event Day Load Impacts and Uncertainty Adjusted Estimates by hour, SCE Small</w:t>
        </w:r>
        <w:r w:rsidR="00D100B0">
          <w:rPr>
            <w:noProof/>
            <w:webHidden/>
          </w:rPr>
          <w:tab/>
        </w:r>
        <w:r w:rsidR="00D100B0">
          <w:rPr>
            <w:noProof/>
            <w:webHidden/>
          </w:rPr>
          <w:fldChar w:fldCharType="begin"/>
        </w:r>
        <w:r w:rsidR="00D100B0">
          <w:rPr>
            <w:noProof/>
            <w:webHidden/>
          </w:rPr>
          <w:instrText xml:space="preserve"> PAGEREF _Toc509837390 \h </w:instrText>
        </w:r>
        <w:r w:rsidR="00D100B0">
          <w:rPr>
            <w:noProof/>
            <w:webHidden/>
          </w:rPr>
        </w:r>
        <w:r w:rsidR="00D100B0">
          <w:rPr>
            <w:noProof/>
            <w:webHidden/>
          </w:rPr>
          <w:fldChar w:fldCharType="separate"/>
        </w:r>
        <w:r w:rsidR="005D5C7C">
          <w:rPr>
            <w:noProof/>
            <w:webHidden/>
          </w:rPr>
          <w:t>88</w:t>
        </w:r>
        <w:r w:rsidR="00D100B0">
          <w:rPr>
            <w:noProof/>
            <w:webHidden/>
          </w:rPr>
          <w:fldChar w:fldCharType="end"/>
        </w:r>
      </w:hyperlink>
    </w:p>
    <w:p w14:paraId="20EEB080" w14:textId="08EC860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1" w:history="1">
        <w:r w:rsidR="00D100B0" w:rsidRPr="00D36DBC">
          <w:rPr>
            <w:rStyle w:val="Hyperlink"/>
            <w:noProof/>
          </w:rPr>
          <w:t>Table 4.8: Typical Event Day Load Impacts by Industry Group, SCE SMB</w:t>
        </w:r>
        <w:r w:rsidR="00D100B0">
          <w:rPr>
            <w:noProof/>
            <w:webHidden/>
          </w:rPr>
          <w:tab/>
        </w:r>
        <w:r w:rsidR="00D100B0">
          <w:rPr>
            <w:noProof/>
            <w:webHidden/>
          </w:rPr>
          <w:fldChar w:fldCharType="begin"/>
        </w:r>
        <w:r w:rsidR="00D100B0">
          <w:rPr>
            <w:noProof/>
            <w:webHidden/>
          </w:rPr>
          <w:instrText xml:space="preserve"> PAGEREF _Toc509837391 \h </w:instrText>
        </w:r>
        <w:r w:rsidR="00D100B0">
          <w:rPr>
            <w:noProof/>
            <w:webHidden/>
          </w:rPr>
        </w:r>
        <w:r w:rsidR="00D100B0">
          <w:rPr>
            <w:noProof/>
            <w:webHidden/>
          </w:rPr>
          <w:fldChar w:fldCharType="separate"/>
        </w:r>
        <w:r w:rsidR="005D5C7C">
          <w:rPr>
            <w:noProof/>
            <w:webHidden/>
          </w:rPr>
          <w:t>89</w:t>
        </w:r>
        <w:r w:rsidR="00D100B0">
          <w:rPr>
            <w:noProof/>
            <w:webHidden/>
          </w:rPr>
          <w:fldChar w:fldCharType="end"/>
        </w:r>
      </w:hyperlink>
    </w:p>
    <w:p w14:paraId="7FF5E5C1" w14:textId="1BBA990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2" w:history="1">
        <w:r w:rsidR="00D100B0" w:rsidRPr="00D36DBC">
          <w:rPr>
            <w:rStyle w:val="Hyperlink"/>
            <w:noProof/>
          </w:rPr>
          <w:t>Table 4.9 Typical Event Day Load Impacts by LCA, SCE SMB</w:t>
        </w:r>
        <w:r w:rsidR="00D100B0">
          <w:rPr>
            <w:noProof/>
            <w:webHidden/>
          </w:rPr>
          <w:tab/>
        </w:r>
        <w:r w:rsidR="00D100B0">
          <w:rPr>
            <w:noProof/>
            <w:webHidden/>
          </w:rPr>
          <w:fldChar w:fldCharType="begin"/>
        </w:r>
        <w:r w:rsidR="00D100B0">
          <w:rPr>
            <w:noProof/>
            <w:webHidden/>
          </w:rPr>
          <w:instrText xml:space="preserve"> PAGEREF _Toc509837392 \h </w:instrText>
        </w:r>
        <w:r w:rsidR="00D100B0">
          <w:rPr>
            <w:noProof/>
            <w:webHidden/>
          </w:rPr>
        </w:r>
        <w:r w:rsidR="00D100B0">
          <w:rPr>
            <w:noProof/>
            <w:webHidden/>
          </w:rPr>
          <w:fldChar w:fldCharType="separate"/>
        </w:r>
        <w:r w:rsidR="005D5C7C">
          <w:rPr>
            <w:noProof/>
            <w:webHidden/>
          </w:rPr>
          <w:t>90</w:t>
        </w:r>
        <w:r w:rsidR="00D100B0">
          <w:rPr>
            <w:noProof/>
            <w:webHidden/>
          </w:rPr>
          <w:fldChar w:fldCharType="end"/>
        </w:r>
      </w:hyperlink>
    </w:p>
    <w:p w14:paraId="177C135A" w14:textId="1293784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3" w:history="1">
        <w:r w:rsidR="00D100B0" w:rsidRPr="00D36DBC">
          <w:rPr>
            <w:rStyle w:val="Hyperlink"/>
            <w:noProof/>
          </w:rPr>
          <w:t>Table 4.10: Average Event-Hour Load Impacts by Event, SCE NEM</w:t>
        </w:r>
        <w:r w:rsidR="00D100B0">
          <w:rPr>
            <w:noProof/>
            <w:webHidden/>
          </w:rPr>
          <w:tab/>
        </w:r>
        <w:r w:rsidR="00D100B0">
          <w:rPr>
            <w:noProof/>
            <w:webHidden/>
          </w:rPr>
          <w:fldChar w:fldCharType="begin"/>
        </w:r>
        <w:r w:rsidR="00D100B0">
          <w:rPr>
            <w:noProof/>
            <w:webHidden/>
          </w:rPr>
          <w:instrText xml:space="preserve"> PAGEREF _Toc509837393 \h </w:instrText>
        </w:r>
        <w:r w:rsidR="00D100B0">
          <w:rPr>
            <w:noProof/>
            <w:webHidden/>
          </w:rPr>
        </w:r>
        <w:r w:rsidR="00D100B0">
          <w:rPr>
            <w:noProof/>
            <w:webHidden/>
          </w:rPr>
          <w:fldChar w:fldCharType="separate"/>
        </w:r>
        <w:r w:rsidR="005D5C7C">
          <w:rPr>
            <w:noProof/>
            <w:webHidden/>
          </w:rPr>
          <w:t>92</w:t>
        </w:r>
        <w:r w:rsidR="00D100B0">
          <w:rPr>
            <w:noProof/>
            <w:webHidden/>
          </w:rPr>
          <w:fldChar w:fldCharType="end"/>
        </w:r>
      </w:hyperlink>
    </w:p>
    <w:p w14:paraId="0DFF2F74" w14:textId="5577F4C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4" w:history="1">
        <w:r w:rsidR="00D100B0" w:rsidRPr="00D36DBC">
          <w:rPr>
            <w:rStyle w:val="Hyperlink"/>
            <w:noProof/>
          </w:rPr>
          <w:t>Table 4.11: Typical Event Day Load Impacts and Uncertainty Adjusted Estimates by hour, SCE NEM</w:t>
        </w:r>
        <w:r w:rsidR="00D100B0">
          <w:rPr>
            <w:noProof/>
            <w:webHidden/>
          </w:rPr>
          <w:tab/>
        </w:r>
        <w:r w:rsidR="00D100B0">
          <w:rPr>
            <w:noProof/>
            <w:webHidden/>
          </w:rPr>
          <w:fldChar w:fldCharType="begin"/>
        </w:r>
        <w:r w:rsidR="00D100B0">
          <w:rPr>
            <w:noProof/>
            <w:webHidden/>
          </w:rPr>
          <w:instrText xml:space="preserve"> PAGEREF _Toc509837394 \h </w:instrText>
        </w:r>
        <w:r w:rsidR="00D100B0">
          <w:rPr>
            <w:noProof/>
            <w:webHidden/>
          </w:rPr>
        </w:r>
        <w:r w:rsidR="00D100B0">
          <w:rPr>
            <w:noProof/>
            <w:webHidden/>
          </w:rPr>
          <w:fldChar w:fldCharType="separate"/>
        </w:r>
        <w:r w:rsidR="005D5C7C">
          <w:rPr>
            <w:noProof/>
            <w:webHidden/>
          </w:rPr>
          <w:t>94</w:t>
        </w:r>
        <w:r w:rsidR="00D100B0">
          <w:rPr>
            <w:noProof/>
            <w:webHidden/>
          </w:rPr>
          <w:fldChar w:fldCharType="end"/>
        </w:r>
      </w:hyperlink>
    </w:p>
    <w:p w14:paraId="11CC1AC2" w14:textId="12F1255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5" w:history="1">
        <w:r w:rsidR="00D100B0" w:rsidRPr="00D36DBC">
          <w:rPr>
            <w:rStyle w:val="Hyperlink"/>
            <w:noProof/>
          </w:rPr>
          <w:t>Table 4.12: Typical Event Day Load Impacts by Industry Group, SCE NEM</w:t>
        </w:r>
        <w:r w:rsidR="00D100B0">
          <w:rPr>
            <w:noProof/>
            <w:webHidden/>
          </w:rPr>
          <w:tab/>
        </w:r>
        <w:r w:rsidR="00D100B0">
          <w:rPr>
            <w:noProof/>
            <w:webHidden/>
          </w:rPr>
          <w:fldChar w:fldCharType="begin"/>
        </w:r>
        <w:r w:rsidR="00D100B0">
          <w:rPr>
            <w:noProof/>
            <w:webHidden/>
          </w:rPr>
          <w:instrText xml:space="preserve"> PAGEREF _Toc509837395 \h </w:instrText>
        </w:r>
        <w:r w:rsidR="00D100B0">
          <w:rPr>
            <w:noProof/>
            <w:webHidden/>
          </w:rPr>
        </w:r>
        <w:r w:rsidR="00D100B0">
          <w:rPr>
            <w:noProof/>
            <w:webHidden/>
          </w:rPr>
          <w:fldChar w:fldCharType="separate"/>
        </w:r>
        <w:r w:rsidR="005D5C7C">
          <w:rPr>
            <w:noProof/>
            <w:webHidden/>
          </w:rPr>
          <w:t>95</w:t>
        </w:r>
        <w:r w:rsidR="00D100B0">
          <w:rPr>
            <w:noProof/>
            <w:webHidden/>
          </w:rPr>
          <w:fldChar w:fldCharType="end"/>
        </w:r>
      </w:hyperlink>
    </w:p>
    <w:p w14:paraId="5E2B3EFE" w14:textId="684BD1C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6" w:history="1">
        <w:r w:rsidR="00D100B0" w:rsidRPr="00D36DBC">
          <w:rPr>
            <w:rStyle w:val="Hyperlink"/>
            <w:noProof/>
          </w:rPr>
          <w:t>Table 4.13: Typical Event Day Load Impacts by LCA, SCE NEM</w:t>
        </w:r>
        <w:r w:rsidR="00D100B0">
          <w:rPr>
            <w:noProof/>
            <w:webHidden/>
          </w:rPr>
          <w:tab/>
        </w:r>
        <w:r w:rsidR="00D100B0">
          <w:rPr>
            <w:noProof/>
            <w:webHidden/>
          </w:rPr>
          <w:fldChar w:fldCharType="begin"/>
        </w:r>
        <w:r w:rsidR="00D100B0">
          <w:rPr>
            <w:noProof/>
            <w:webHidden/>
          </w:rPr>
          <w:instrText xml:space="preserve"> PAGEREF _Toc509837396 \h </w:instrText>
        </w:r>
        <w:r w:rsidR="00D100B0">
          <w:rPr>
            <w:noProof/>
            <w:webHidden/>
          </w:rPr>
        </w:r>
        <w:r w:rsidR="00D100B0">
          <w:rPr>
            <w:noProof/>
            <w:webHidden/>
          </w:rPr>
          <w:fldChar w:fldCharType="separate"/>
        </w:r>
        <w:r w:rsidR="005D5C7C">
          <w:rPr>
            <w:noProof/>
            <w:webHidden/>
          </w:rPr>
          <w:t>96</w:t>
        </w:r>
        <w:r w:rsidR="00D100B0">
          <w:rPr>
            <w:noProof/>
            <w:webHidden/>
          </w:rPr>
          <w:fldChar w:fldCharType="end"/>
        </w:r>
      </w:hyperlink>
    </w:p>
    <w:p w14:paraId="3C1C9128" w14:textId="42FB3FF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7" w:history="1">
        <w:r w:rsidR="00D100B0" w:rsidRPr="00D36DBC">
          <w:rPr>
            <w:rStyle w:val="Hyperlink"/>
            <w:noProof/>
          </w:rPr>
          <w:t>Table 4.14: Average Event-Hour Load Impacts for CPP+BIP customers by Event, SCE</w:t>
        </w:r>
        <w:r w:rsidR="00D100B0">
          <w:rPr>
            <w:noProof/>
            <w:webHidden/>
          </w:rPr>
          <w:tab/>
        </w:r>
        <w:r w:rsidR="00D100B0">
          <w:rPr>
            <w:noProof/>
            <w:webHidden/>
          </w:rPr>
          <w:fldChar w:fldCharType="begin"/>
        </w:r>
        <w:r w:rsidR="00D100B0">
          <w:rPr>
            <w:noProof/>
            <w:webHidden/>
          </w:rPr>
          <w:instrText xml:space="preserve"> PAGEREF _Toc509837397 \h </w:instrText>
        </w:r>
        <w:r w:rsidR="00D100B0">
          <w:rPr>
            <w:noProof/>
            <w:webHidden/>
          </w:rPr>
        </w:r>
        <w:r w:rsidR="00D100B0">
          <w:rPr>
            <w:noProof/>
            <w:webHidden/>
          </w:rPr>
          <w:fldChar w:fldCharType="separate"/>
        </w:r>
        <w:r w:rsidR="005D5C7C">
          <w:rPr>
            <w:noProof/>
            <w:webHidden/>
          </w:rPr>
          <w:t>97</w:t>
        </w:r>
        <w:r w:rsidR="00D100B0">
          <w:rPr>
            <w:noProof/>
            <w:webHidden/>
          </w:rPr>
          <w:fldChar w:fldCharType="end"/>
        </w:r>
      </w:hyperlink>
    </w:p>
    <w:p w14:paraId="2EF9812D" w14:textId="5242D79F"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8" w:history="1">
        <w:r w:rsidR="00D100B0" w:rsidRPr="00D36DBC">
          <w:rPr>
            <w:rStyle w:val="Hyperlink"/>
            <w:noProof/>
          </w:rPr>
          <w:t>Table 4.15: Average Event-Hour Load Impacts for CPP+CBP customers by Event, SCE</w:t>
        </w:r>
        <w:r w:rsidR="00D100B0">
          <w:rPr>
            <w:noProof/>
            <w:webHidden/>
          </w:rPr>
          <w:tab/>
        </w:r>
        <w:r w:rsidR="00D100B0">
          <w:rPr>
            <w:noProof/>
            <w:webHidden/>
          </w:rPr>
          <w:fldChar w:fldCharType="begin"/>
        </w:r>
        <w:r w:rsidR="00D100B0">
          <w:rPr>
            <w:noProof/>
            <w:webHidden/>
          </w:rPr>
          <w:instrText xml:space="preserve"> PAGEREF _Toc509837398 \h </w:instrText>
        </w:r>
        <w:r w:rsidR="00D100B0">
          <w:rPr>
            <w:noProof/>
            <w:webHidden/>
          </w:rPr>
        </w:r>
        <w:r w:rsidR="00D100B0">
          <w:rPr>
            <w:noProof/>
            <w:webHidden/>
          </w:rPr>
          <w:fldChar w:fldCharType="separate"/>
        </w:r>
        <w:r w:rsidR="005D5C7C">
          <w:rPr>
            <w:noProof/>
            <w:webHidden/>
          </w:rPr>
          <w:t>98</w:t>
        </w:r>
        <w:r w:rsidR="00D100B0">
          <w:rPr>
            <w:noProof/>
            <w:webHidden/>
          </w:rPr>
          <w:fldChar w:fldCharType="end"/>
        </w:r>
      </w:hyperlink>
    </w:p>
    <w:p w14:paraId="34DD666D" w14:textId="68E2753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399" w:history="1">
        <w:r w:rsidR="00D100B0" w:rsidRPr="00D36DBC">
          <w:rPr>
            <w:rStyle w:val="Hyperlink"/>
            <w:noProof/>
          </w:rPr>
          <w:t>Table 4.16: Average Event-Hour Load Impacts for CPP+AMP customers by Event, SCE</w:t>
        </w:r>
        <w:r w:rsidR="00D100B0">
          <w:rPr>
            <w:noProof/>
            <w:webHidden/>
          </w:rPr>
          <w:tab/>
        </w:r>
        <w:r w:rsidR="00D100B0">
          <w:rPr>
            <w:noProof/>
            <w:webHidden/>
          </w:rPr>
          <w:fldChar w:fldCharType="begin"/>
        </w:r>
        <w:r w:rsidR="00D100B0">
          <w:rPr>
            <w:noProof/>
            <w:webHidden/>
          </w:rPr>
          <w:instrText xml:space="preserve"> PAGEREF _Toc509837399 \h </w:instrText>
        </w:r>
        <w:r w:rsidR="00D100B0">
          <w:rPr>
            <w:noProof/>
            <w:webHidden/>
          </w:rPr>
        </w:r>
        <w:r w:rsidR="00D100B0">
          <w:rPr>
            <w:noProof/>
            <w:webHidden/>
          </w:rPr>
          <w:fldChar w:fldCharType="separate"/>
        </w:r>
        <w:r w:rsidR="005D5C7C">
          <w:rPr>
            <w:noProof/>
            <w:webHidden/>
          </w:rPr>
          <w:t>99</w:t>
        </w:r>
        <w:r w:rsidR="00D100B0">
          <w:rPr>
            <w:noProof/>
            <w:webHidden/>
          </w:rPr>
          <w:fldChar w:fldCharType="end"/>
        </w:r>
      </w:hyperlink>
    </w:p>
    <w:p w14:paraId="2CAF3D97" w14:textId="6EEB5A0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0" w:history="1">
        <w:r w:rsidR="00D100B0" w:rsidRPr="00D36DBC">
          <w:rPr>
            <w:rStyle w:val="Hyperlink"/>
            <w:noProof/>
          </w:rPr>
          <w:t>Table 4.17: Average Event-Hour Load Impacts for AutoDR Customers by Event, SCE</w:t>
        </w:r>
        <w:r w:rsidR="00D100B0">
          <w:rPr>
            <w:noProof/>
            <w:webHidden/>
          </w:rPr>
          <w:tab/>
        </w:r>
        <w:r w:rsidR="00D100B0">
          <w:rPr>
            <w:noProof/>
            <w:webHidden/>
          </w:rPr>
          <w:fldChar w:fldCharType="begin"/>
        </w:r>
        <w:r w:rsidR="00D100B0">
          <w:rPr>
            <w:noProof/>
            <w:webHidden/>
          </w:rPr>
          <w:instrText xml:space="preserve"> PAGEREF _Toc509837400 \h </w:instrText>
        </w:r>
        <w:r w:rsidR="00D100B0">
          <w:rPr>
            <w:noProof/>
            <w:webHidden/>
          </w:rPr>
        </w:r>
        <w:r w:rsidR="00D100B0">
          <w:rPr>
            <w:noProof/>
            <w:webHidden/>
          </w:rPr>
          <w:fldChar w:fldCharType="separate"/>
        </w:r>
        <w:r w:rsidR="005D5C7C">
          <w:rPr>
            <w:noProof/>
            <w:webHidden/>
          </w:rPr>
          <w:t>100</w:t>
        </w:r>
        <w:r w:rsidR="00D100B0">
          <w:rPr>
            <w:noProof/>
            <w:webHidden/>
          </w:rPr>
          <w:fldChar w:fldCharType="end"/>
        </w:r>
      </w:hyperlink>
    </w:p>
    <w:p w14:paraId="59DA8319" w14:textId="5D19654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1" w:history="1">
        <w:r w:rsidR="00D100B0" w:rsidRPr="00D36DBC">
          <w:rPr>
            <w:rStyle w:val="Hyperlink"/>
            <w:noProof/>
          </w:rPr>
          <w:t>Table 4.18 Average Event-Hour Load Impacts for TA/TI Customers by Event, SCE</w:t>
        </w:r>
        <w:r w:rsidR="00D100B0">
          <w:rPr>
            <w:noProof/>
            <w:webHidden/>
          </w:rPr>
          <w:tab/>
        </w:r>
        <w:r w:rsidR="00D100B0">
          <w:rPr>
            <w:noProof/>
            <w:webHidden/>
          </w:rPr>
          <w:fldChar w:fldCharType="begin"/>
        </w:r>
        <w:r w:rsidR="00D100B0">
          <w:rPr>
            <w:noProof/>
            <w:webHidden/>
          </w:rPr>
          <w:instrText xml:space="preserve"> PAGEREF _Toc509837401 \h </w:instrText>
        </w:r>
        <w:r w:rsidR="00D100B0">
          <w:rPr>
            <w:noProof/>
            <w:webHidden/>
          </w:rPr>
        </w:r>
        <w:r w:rsidR="00D100B0">
          <w:rPr>
            <w:noProof/>
            <w:webHidden/>
          </w:rPr>
          <w:fldChar w:fldCharType="separate"/>
        </w:r>
        <w:r w:rsidR="005D5C7C">
          <w:rPr>
            <w:noProof/>
            <w:webHidden/>
          </w:rPr>
          <w:t>101</w:t>
        </w:r>
        <w:r w:rsidR="00D100B0">
          <w:rPr>
            <w:noProof/>
            <w:webHidden/>
          </w:rPr>
          <w:fldChar w:fldCharType="end"/>
        </w:r>
      </w:hyperlink>
    </w:p>
    <w:p w14:paraId="2EE44D98" w14:textId="3C93D73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2" w:history="1">
        <w:r w:rsidR="00D100B0" w:rsidRPr="00D36DBC">
          <w:rPr>
            <w:rStyle w:val="Hyperlink"/>
            <w:noProof/>
          </w:rPr>
          <w:t>Table 4.19: Current vs. Previous Ex-Post Load Impacts for the Average Event</w:t>
        </w:r>
        <w:r w:rsidR="00D100B0">
          <w:rPr>
            <w:noProof/>
            <w:webHidden/>
          </w:rPr>
          <w:tab/>
        </w:r>
        <w:r w:rsidR="00D100B0">
          <w:rPr>
            <w:noProof/>
            <w:webHidden/>
          </w:rPr>
          <w:fldChar w:fldCharType="begin"/>
        </w:r>
        <w:r w:rsidR="00D100B0">
          <w:rPr>
            <w:noProof/>
            <w:webHidden/>
          </w:rPr>
          <w:instrText xml:space="preserve"> PAGEREF _Toc509837402 \h </w:instrText>
        </w:r>
        <w:r w:rsidR="00D100B0">
          <w:rPr>
            <w:noProof/>
            <w:webHidden/>
          </w:rPr>
        </w:r>
        <w:r w:rsidR="00D100B0">
          <w:rPr>
            <w:noProof/>
            <w:webHidden/>
          </w:rPr>
          <w:fldChar w:fldCharType="separate"/>
        </w:r>
        <w:r w:rsidR="005D5C7C">
          <w:rPr>
            <w:noProof/>
            <w:webHidden/>
          </w:rPr>
          <w:t>116</w:t>
        </w:r>
        <w:r w:rsidR="00D100B0">
          <w:rPr>
            <w:noProof/>
            <w:webHidden/>
          </w:rPr>
          <w:fldChar w:fldCharType="end"/>
        </w:r>
      </w:hyperlink>
    </w:p>
    <w:p w14:paraId="07818F32" w14:textId="729FD90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3" w:history="1">
        <w:r w:rsidR="00D100B0" w:rsidRPr="00D36DBC">
          <w:rPr>
            <w:rStyle w:val="Hyperlink"/>
            <w:noProof/>
          </w:rPr>
          <w:t>Table 4.20: Previous vs. Current Ex-Ante Load Impacts, Utility 1-in-2 August 2018 Peak Day</w:t>
        </w:r>
        <w:r w:rsidR="00D100B0">
          <w:rPr>
            <w:noProof/>
            <w:webHidden/>
          </w:rPr>
          <w:tab/>
        </w:r>
        <w:r w:rsidR="00D100B0">
          <w:rPr>
            <w:noProof/>
            <w:webHidden/>
          </w:rPr>
          <w:fldChar w:fldCharType="begin"/>
        </w:r>
        <w:r w:rsidR="00D100B0">
          <w:rPr>
            <w:noProof/>
            <w:webHidden/>
          </w:rPr>
          <w:instrText xml:space="preserve"> PAGEREF _Toc509837403 \h </w:instrText>
        </w:r>
        <w:r w:rsidR="00D100B0">
          <w:rPr>
            <w:noProof/>
            <w:webHidden/>
          </w:rPr>
        </w:r>
        <w:r w:rsidR="00D100B0">
          <w:rPr>
            <w:noProof/>
            <w:webHidden/>
          </w:rPr>
          <w:fldChar w:fldCharType="separate"/>
        </w:r>
        <w:r w:rsidR="005D5C7C">
          <w:rPr>
            <w:noProof/>
            <w:webHidden/>
          </w:rPr>
          <w:t>116</w:t>
        </w:r>
        <w:r w:rsidR="00D100B0">
          <w:rPr>
            <w:noProof/>
            <w:webHidden/>
          </w:rPr>
          <w:fldChar w:fldCharType="end"/>
        </w:r>
      </w:hyperlink>
    </w:p>
    <w:p w14:paraId="105F35E0" w14:textId="0E7849E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4" w:history="1">
        <w:r w:rsidR="00D100B0" w:rsidRPr="00D36DBC">
          <w:rPr>
            <w:rStyle w:val="Hyperlink"/>
            <w:noProof/>
          </w:rPr>
          <w:t>Table 4.21: Comparison of Previous Ex-Ante and Current Ex-Post Impacts</w:t>
        </w:r>
        <w:r w:rsidR="00D100B0">
          <w:rPr>
            <w:noProof/>
            <w:webHidden/>
          </w:rPr>
          <w:tab/>
        </w:r>
        <w:r w:rsidR="00D100B0">
          <w:rPr>
            <w:noProof/>
            <w:webHidden/>
          </w:rPr>
          <w:fldChar w:fldCharType="begin"/>
        </w:r>
        <w:r w:rsidR="00D100B0">
          <w:rPr>
            <w:noProof/>
            <w:webHidden/>
          </w:rPr>
          <w:instrText xml:space="preserve"> PAGEREF _Toc509837404 \h </w:instrText>
        </w:r>
        <w:r w:rsidR="00D100B0">
          <w:rPr>
            <w:noProof/>
            <w:webHidden/>
          </w:rPr>
        </w:r>
        <w:r w:rsidR="00D100B0">
          <w:rPr>
            <w:noProof/>
            <w:webHidden/>
          </w:rPr>
          <w:fldChar w:fldCharType="separate"/>
        </w:r>
        <w:r w:rsidR="005D5C7C">
          <w:rPr>
            <w:noProof/>
            <w:webHidden/>
          </w:rPr>
          <w:t>117</w:t>
        </w:r>
        <w:r w:rsidR="00D100B0">
          <w:rPr>
            <w:noProof/>
            <w:webHidden/>
          </w:rPr>
          <w:fldChar w:fldCharType="end"/>
        </w:r>
      </w:hyperlink>
    </w:p>
    <w:p w14:paraId="2FA29B82" w14:textId="702B2CB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5" w:history="1">
        <w:r w:rsidR="00D100B0" w:rsidRPr="00D36DBC">
          <w:rPr>
            <w:rStyle w:val="Hyperlink"/>
            <w:noProof/>
          </w:rPr>
          <w:t>Table 4.22: Comparison of Current Ex-Post and Ex-Ante Load Impacts</w:t>
        </w:r>
        <w:r w:rsidR="00D100B0">
          <w:rPr>
            <w:noProof/>
            <w:webHidden/>
          </w:rPr>
          <w:tab/>
        </w:r>
        <w:r w:rsidR="00D100B0">
          <w:rPr>
            <w:noProof/>
            <w:webHidden/>
          </w:rPr>
          <w:fldChar w:fldCharType="begin"/>
        </w:r>
        <w:r w:rsidR="00D100B0">
          <w:rPr>
            <w:noProof/>
            <w:webHidden/>
          </w:rPr>
          <w:instrText xml:space="preserve"> PAGEREF _Toc509837405 \h </w:instrText>
        </w:r>
        <w:r w:rsidR="00D100B0">
          <w:rPr>
            <w:noProof/>
            <w:webHidden/>
          </w:rPr>
        </w:r>
        <w:r w:rsidR="00D100B0">
          <w:rPr>
            <w:noProof/>
            <w:webHidden/>
          </w:rPr>
          <w:fldChar w:fldCharType="separate"/>
        </w:r>
        <w:r w:rsidR="005D5C7C">
          <w:rPr>
            <w:noProof/>
            <w:webHidden/>
          </w:rPr>
          <w:t>117</w:t>
        </w:r>
        <w:r w:rsidR="00D100B0">
          <w:rPr>
            <w:noProof/>
            <w:webHidden/>
          </w:rPr>
          <w:fldChar w:fldCharType="end"/>
        </w:r>
      </w:hyperlink>
    </w:p>
    <w:p w14:paraId="0C34887F" w14:textId="2E71DC5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6" w:history="1">
        <w:r w:rsidR="00D100B0" w:rsidRPr="00D36DBC">
          <w:rPr>
            <w:rStyle w:val="Hyperlink"/>
            <w:noProof/>
          </w:rPr>
          <w:t>Table 4.23: Comparison of Ex-Post and Ex-Ante Factors</w:t>
        </w:r>
        <w:r w:rsidR="00D100B0">
          <w:rPr>
            <w:noProof/>
            <w:webHidden/>
          </w:rPr>
          <w:tab/>
        </w:r>
        <w:r w:rsidR="00D100B0">
          <w:rPr>
            <w:noProof/>
            <w:webHidden/>
          </w:rPr>
          <w:fldChar w:fldCharType="begin"/>
        </w:r>
        <w:r w:rsidR="00D100B0">
          <w:rPr>
            <w:noProof/>
            <w:webHidden/>
          </w:rPr>
          <w:instrText xml:space="preserve"> PAGEREF _Toc509837406 \h </w:instrText>
        </w:r>
        <w:r w:rsidR="00D100B0">
          <w:rPr>
            <w:noProof/>
            <w:webHidden/>
          </w:rPr>
        </w:r>
        <w:r w:rsidR="00D100B0">
          <w:rPr>
            <w:noProof/>
            <w:webHidden/>
          </w:rPr>
          <w:fldChar w:fldCharType="separate"/>
        </w:r>
        <w:r w:rsidR="005D5C7C">
          <w:rPr>
            <w:noProof/>
            <w:webHidden/>
          </w:rPr>
          <w:t>118</w:t>
        </w:r>
        <w:r w:rsidR="00D100B0">
          <w:rPr>
            <w:noProof/>
            <w:webHidden/>
          </w:rPr>
          <w:fldChar w:fldCharType="end"/>
        </w:r>
      </w:hyperlink>
    </w:p>
    <w:p w14:paraId="56652170" w14:textId="5D38EA4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7" w:history="1">
        <w:r w:rsidR="00D100B0" w:rsidRPr="00D36DBC">
          <w:rPr>
            <w:rStyle w:val="Hyperlink"/>
            <w:noProof/>
          </w:rPr>
          <w:t>Table 4.24: Current vs. Previous Ex-Post Load Impacts for the Average Event</w:t>
        </w:r>
        <w:r w:rsidR="00D100B0">
          <w:rPr>
            <w:noProof/>
            <w:webHidden/>
          </w:rPr>
          <w:tab/>
        </w:r>
        <w:r w:rsidR="00D100B0">
          <w:rPr>
            <w:noProof/>
            <w:webHidden/>
          </w:rPr>
          <w:fldChar w:fldCharType="begin"/>
        </w:r>
        <w:r w:rsidR="00D100B0">
          <w:rPr>
            <w:noProof/>
            <w:webHidden/>
          </w:rPr>
          <w:instrText xml:space="preserve"> PAGEREF _Toc509837407 \h </w:instrText>
        </w:r>
        <w:r w:rsidR="00D100B0">
          <w:rPr>
            <w:noProof/>
            <w:webHidden/>
          </w:rPr>
        </w:r>
        <w:r w:rsidR="00D100B0">
          <w:rPr>
            <w:noProof/>
            <w:webHidden/>
          </w:rPr>
          <w:fldChar w:fldCharType="separate"/>
        </w:r>
        <w:r w:rsidR="005D5C7C">
          <w:rPr>
            <w:noProof/>
            <w:webHidden/>
          </w:rPr>
          <w:t>119</w:t>
        </w:r>
        <w:r w:rsidR="00D100B0">
          <w:rPr>
            <w:noProof/>
            <w:webHidden/>
          </w:rPr>
          <w:fldChar w:fldCharType="end"/>
        </w:r>
      </w:hyperlink>
    </w:p>
    <w:p w14:paraId="00C0B376" w14:textId="038AF5D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8" w:history="1">
        <w:r w:rsidR="00D100B0" w:rsidRPr="00D36DBC">
          <w:rPr>
            <w:rStyle w:val="Hyperlink"/>
            <w:noProof/>
          </w:rPr>
          <w:t>Table 4.25: Previous vs. Current Ex-Ante Load Impacts, Utility 1-in-2 August 2020 Peak Day</w:t>
        </w:r>
        <w:r w:rsidR="00D100B0">
          <w:rPr>
            <w:noProof/>
            <w:webHidden/>
          </w:rPr>
          <w:tab/>
        </w:r>
        <w:r w:rsidR="00D100B0">
          <w:rPr>
            <w:noProof/>
            <w:webHidden/>
          </w:rPr>
          <w:fldChar w:fldCharType="begin"/>
        </w:r>
        <w:r w:rsidR="00D100B0">
          <w:rPr>
            <w:noProof/>
            <w:webHidden/>
          </w:rPr>
          <w:instrText xml:space="preserve"> PAGEREF _Toc509837408 \h </w:instrText>
        </w:r>
        <w:r w:rsidR="00D100B0">
          <w:rPr>
            <w:noProof/>
            <w:webHidden/>
          </w:rPr>
        </w:r>
        <w:r w:rsidR="00D100B0">
          <w:rPr>
            <w:noProof/>
            <w:webHidden/>
          </w:rPr>
          <w:fldChar w:fldCharType="separate"/>
        </w:r>
        <w:r w:rsidR="005D5C7C">
          <w:rPr>
            <w:noProof/>
            <w:webHidden/>
          </w:rPr>
          <w:t>119</w:t>
        </w:r>
        <w:r w:rsidR="00D100B0">
          <w:rPr>
            <w:noProof/>
            <w:webHidden/>
          </w:rPr>
          <w:fldChar w:fldCharType="end"/>
        </w:r>
      </w:hyperlink>
    </w:p>
    <w:p w14:paraId="7BB16D50" w14:textId="175DFD0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09" w:history="1">
        <w:r w:rsidR="00D100B0" w:rsidRPr="00D36DBC">
          <w:rPr>
            <w:rStyle w:val="Hyperlink"/>
            <w:noProof/>
          </w:rPr>
          <w:t>Table 4.26: Comparison of Previous Ex-Ante and Current Ex-Post Impacts</w:t>
        </w:r>
        <w:r w:rsidR="00D100B0">
          <w:rPr>
            <w:noProof/>
            <w:webHidden/>
          </w:rPr>
          <w:tab/>
        </w:r>
        <w:r w:rsidR="00D100B0">
          <w:rPr>
            <w:noProof/>
            <w:webHidden/>
          </w:rPr>
          <w:fldChar w:fldCharType="begin"/>
        </w:r>
        <w:r w:rsidR="00D100B0">
          <w:rPr>
            <w:noProof/>
            <w:webHidden/>
          </w:rPr>
          <w:instrText xml:space="preserve"> PAGEREF _Toc509837409 \h </w:instrText>
        </w:r>
        <w:r w:rsidR="00D100B0">
          <w:rPr>
            <w:noProof/>
            <w:webHidden/>
          </w:rPr>
        </w:r>
        <w:r w:rsidR="00D100B0">
          <w:rPr>
            <w:noProof/>
            <w:webHidden/>
          </w:rPr>
          <w:fldChar w:fldCharType="separate"/>
        </w:r>
        <w:r w:rsidR="005D5C7C">
          <w:rPr>
            <w:noProof/>
            <w:webHidden/>
          </w:rPr>
          <w:t>120</w:t>
        </w:r>
        <w:r w:rsidR="00D100B0">
          <w:rPr>
            <w:noProof/>
            <w:webHidden/>
          </w:rPr>
          <w:fldChar w:fldCharType="end"/>
        </w:r>
      </w:hyperlink>
    </w:p>
    <w:p w14:paraId="60BB7FC9" w14:textId="1133954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0" w:history="1">
        <w:r w:rsidR="00D100B0" w:rsidRPr="00D36DBC">
          <w:rPr>
            <w:rStyle w:val="Hyperlink"/>
            <w:noProof/>
          </w:rPr>
          <w:t>Table 4.27: Comparison of Current Ex-Post and Ex-Ante Load Impacts</w:t>
        </w:r>
        <w:r w:rsidR="00D100B0">
          <w:rPr>
            <w:noProof/>
            <w:webHidden/>
          </w:rPr>
          <w:tab/>
        </w:r>
        <w:r w:rsidR="00D100B0">
          <w:rPr>
            <w:noProof/>
            <w:webHidden/>
          </w:rPr>
          <w:fldChar w:fldCharType="begin"/>
        </w:r>
        <w:r w:rsidR="00D100B0">
          <w:rPr>
            <w:noProof/>
            <w:webHidden/>
          </w:rPr>
          <w:instrText xml:space="preserve"> PAGEREF _Toc509837410 \h </w:instrText>
        </w:r>
        <w:r w:rsidR="00D100B0">
          <w:rPr>
            <w:noProof/>
            <w:webHidden/>
          </w:rPr>
        </w:r>
        <w:r w:rsidR="00D100B0">
          <w:rPr>
            <w:noProof/>
            <w:webHidden/>
          </w:rPr>
          <w:fldChar w:fldCharType="separate"/>
        </w:r>
        <w:r w:rsidR="005D5C7C">
          <w:rPr>
            <w:noProof/>
            <w:webHidden/>
          </w:rPr>
          <w:t>120</w:t>
        </w:r>
        <w:r w:rsidR="00D100B0">
          <w:rPr>
            <w:noProof/>
            <w:webHidden/>
          </w:rPr>
          <w:fldChar w:fldCharType="end"/>
        </w:r>
      </w:hyperlink>
    </w:p>
    <w:p w14:paraId="142232CA" w14:textId="5857F35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1" w:history="1">
        <w:r w:rsidR="00D100B0" w:rsidRPr="00D36DBC">
          <w:rPr>
            <w:rStyle w:val="Hyperlink"/>
            <w:noProof/>
          </w:rPr>
          <w:t>Table 4.28: Comparison of Ex-Post and Ex-Ante Factors</w:t>
        </w:r>
        <w:r w:rsidR="00D100B0">
          <w:rPr>
            <w:noProof/>
            <w:webHidden/>
          </w:rPr>
          <w:tab/>
        </w:r>
        <w:r w:rsidR="00D100B0">
          <w:rPr>
            <w:noProof/>
            <w:webHidden/>
          </w:rPr>
          <w:fldChar w:fldCharType="begin"/>
        </w:r>
        <w:r w:rsidR="00D100B0">
          <w:rPr>
            <w:noProof/>
            <w:webHidden/>
          </w:rPr>
          <w:instrText xml:space="preserve"> PAGEREF _Toc509837411 \h </w:instrText>
        </w:r>
        <w:r w:rsidR="00D100B0">
          <w:rPr>
            <w:noProof/>
            <w:webHidden/>
          </w:rPr>
        </w:r>
        <w:r w:rsidR="00D100B0">
          <w:rPr>
            <w:noProof/>
            <w:webHidden/>
          </w:rPr>
          <w:fldChar w:fldCharType="separate"/>
        </w:r>
        <w:r w:rsidR="005D5C7C">
          <w:rPr>
            <w:noProof/>
            <w:webHidden/>
          </w:rPr>
          <w:t>121</w:t>
        </w:r>
        <w:r w:rsidR="00D100B0">
          <w:rPr>
            <w:noProof/>
            <w:webHidden/>
          </w:rPr>
          <w:fldChar w:fldCharType="end"/>
        </w:r>
      </w:hyperlink>
    </w:p>
    <w:p w14:paraId="7F033104" w14:textId="77615D6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2" w:history="1">
        <w:r w:rsidR="00D100B0" w:rsidRPr="00D36DBC">
          <w:rPr>
            <w:rStyle w:val="Hyperlink"/>
            <w:noProof/>
          </w:rPr>
          <w:t>Table 5.1: Average Event-Hour Load Impacts by Event, SDG&amp;E Large</w:t>
        </w:r>
        <w:r w:rsidR="00D100B0">
          <w:rPr>
            <w:noProof/>
            <w:webHidden/>
          </w:rPr>
          <w:tab/>
        </w:r>
        <w:r w:rsidR="00D100B0">
          <w:rPr>
            <w:noProof/>
            <w:webHidden/>
          </w:rPr>
          <w:fldChar w:fldCharType="begin"/>
        </w:r>
        <w:r w:rsidR="00D100B0">
          <w:rPr>
            <w:noProof/>
            <w:webHidden/>
          </w:rPr>
          <w:instrText xml:space="preserve"> PAGEREF _Toc509837412 \h </w:instrText>
        </w:r>
        <w:r w:rsidR="00D100B0">
          <w:rPr>
            <w:noProof/>
            <w:webHidden/>
          </w:rPr>
        </w:r>
        <w:r w:rsidR="00D100B0">
          <w:rPr>
            <w:noProof/>
            <w:webHidden/>
          </w:rPr>
          <w:fldChar w:fldCharType="separate"/>
        </w:r>
        <w:r w:rsidR="005D5C7C">
          <w:rPr>
            <w:noProof/>
            <w:webHidden/>
          </w:rPr>
          <w:t>123</w:t>
        </w:r>
        <w:r w:rsidR="00D100B0">
          <w:rPr>
            <w:noProof/>
            <w:webHidden/>
          </w:rPr>
          <w:fldChar w:fldCharType="end"/>
        </w:r>
      </w:hyperlink>
    </w:p>
    <w:p w14:paraId="387C6B27" w14:textId="7727B6F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3" w:history="1">
        <w:r w:rsidR="00D100B0" w:rsidRPr="00D36DBC">
          <w:rPr>
            <w:rStyle w:val="Hyperlink"/>
            <w:noProof/>
          </w:rPr>
          <w:t>Table 5.2: Average Weekday Event Load Impacts and Uncertainty Adjusted Estimates by hour, SDG&amp;E Large</w:t>
        </w:r>
        <w:r w:rsidR="00D100B0">
          <w:rPr>
            <w:noProof/>
            <w:webHidden/>
          </w:rPr>
          <w:tab/>
        </w:r>
        <w:r w:rsidR="00D100B0">
          <w:rPr>
            <w:noProof/>
            <w:webHidden/>
          </w:rPr>
          <w:fldChar w:fldCharType="begin"/>
        </w:r>
        <w:r w:rsidR="00D100B0">
          <w:rPr>
            <w:noProof/>
            <w:webHidden/>
          </w:rPr>
          <w:instrText xml:space="preserve"> PAGEREF _Toc509837413 \h </w:instrText>
        </w:r>
        <w:r w:rsidR="00D100B0">
          <w:rPr>
            <w:noProof/>
            <w:webHidden/>
          </w:rPr>
        </w:r>
        <w:r w:rsidR="00D100B0">
          <w:rPr>
            <w:noProof/>
            <w:webHidden/>
          </w:rPr>
          <w:fldChar w:fldCharType="separate"/>
        </w:r>
        <w:r w:rsidR="005D5C7C">
          <w:rPr>
            <w:noProof/>
            <w:webHidden/>
          </w:rPr>
          <w:t>125</w:t>
        </w:r>
        <w:r w:rsidR="00D100B0">
          <w:rPr>
            <w:noProof/>
            <w:webHidden/>
          </w:rPr>
          <w:fldChar w:fldCharType="end"/>
        </w:r>
      </w:hyperlink>
    </w:p>
    <w:p w14:paraId="18278505" w14:textId="3482830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4" w:history="1">
        <w:r w:rsidR="00D100B0" w:rsidRPr="00D36DBC">
          <w:rPr>
            <w:rStyle w:val="Hyperlink"/>
            <w:noProof/>
          </w:rPr>
          <w:t>Table 5.3: Average Weekday Event Load Impacts by Industry Group, SDG&amp;E Large</w:t>
        </w:r>
        <w:r w:rsidR="00D100B0">
          <w:rPr>
            <w:noProof/>
            <w:webHidden/>
          </w:rPr>
          <w:tab/>
        </w:r>
        <w:r w:rsidR="00D100B0">
          <w:rPr>
            <w:noProof/>
            <w:webHidden/>
          </w:rPr>
          <w:fldChar w:fldCharType="begin"/>
        </w:r>
        <w:r w:rsidR="00D100B0">
          <w:rPr>
            <w:noProof/>
            <w:webHidden/>
          </w:rPr>
          <w:instrText xml:space="preserve"> PAGEREF _Toc509837414 \h </w:instrText>
        </w:r>
        <w:r w:rsidR="00D100B0">
          <w:rPr>
            <w:noProof/>
            <w:webHidden/>
          </w:rPr>
        </w:r>
        <w:r w:rsidR="00D100B0">
          <w:rPr>
            <w:noProof/>
            <w:webHidden/>
          </w:rPr>
          <w:fldChar w:fldCharType="separate"/>
        </w:r>
        <w:r w:rsidR="005D5C7C">
          <w:rPr>
            <w:noProof/>
            <w:webHidden/>
          </w:rPr>
          <w:t>126</w:t>
        </w:r>
        <w:r w:rsidR="00D100B0">
          <w:rPr>
            <w:noProof/>
            <w:webHidden/>
          </w:rPr>
          <w:fldChar w:fldCharType="end"/>
        </w:r>
      </w:hyperlink>
    </w:p>
    <w:p w14:paraId="3F26E017" w14:textId="2EA5B44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5" w:history="1">
        <w:r w:rsidR="00D100B0" w:rsidRPr="00D36DBC">
          <w:rPr>
            <w:rStyle w:val="Hyperlink"/>
            <w:noProof/>
          </w:rPr>
          <w:t>Table 5.4: Average Event-Hour Load Impacts by Event, SDG&amp;E Medium</w:t>
        </w:r>
        <w:r w:rsidR="00D100B0">
          <w:rPr>
            <w:noProof/>
            <w:webHidden/>
          </w:rPr>
          <w:tab/>
        </w:r>
        <w:r w:rsidR="00D100B0">
          <w:rPr>
            <w:noProof/>
            <w:webHidden/>
          </w:rPr>
          <w:fldChar w:fldCharType="begin"/>
        </w:r>
        <w:r w:rsidR="00D100B0">
          <w:rPr>
            <w:noProof/>
            <w:webHidden/>
          </w:rPr>
          <w:instrText xml:space="preserve"> PAGEREF _Toc509837415 \h </w:instrText>
        </w:r>
        <w:r w:rsidR="00D100B0">
          <w:rPr>
            <w:noProof/>
            <w:webHidden/>
          </w:rPr>
        </w:r>
        <w:r w:rsidR="00D100B0">
          <w:rPr>
            <w:noProof/>
            <w:webHidden/>
          </w:rPr>
          <w:fldChar w:fldCharType="separate"/>
        </w:r>
        <w:r w:rsidR="005D5C7C">
          <w:rPr>
            <w:noProof/>
            <w:webHidden/>
          </w:rPr>
          <w:t>128</w:t>
        </w:r>
        <w:r w:rsidR="00D100B0">
          <w:rPr>
            <w:noProof/>
            <w:webHidden/>
          </w:rPr>
          <w:fldChar w:fldCharType="end"/>
        </w:r>
      </w:hyperlink>
    </w:p>
    <w:p w14:paraId="516FB2F0" w14:textId="29DED38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6" w:history="1">
        <w:r w:rsidR="00D100B0" w:rsidRPr="00D36DBC">
          <w:rPr>
            <w:rStyle w:val="Hyperlink"/>
            <w:noProof/>
          </w:rPr>
          <w:t>Table 5.5: Average Weekday Event Load Impacts and Uncertainty Adjusted Estimates by hour, SDG&amp;E Medium</w:t>
        </w:r>
        <w:r w:rsidR="00D100B0">
          <w:rPr>
            <w:noProof/>
            <w:webHidden/>
          </w:rPr>
          <w:tab/>
        </w:r>
        <w:r w:rsidR="00D100B0">
          <w:rPr>
            <w:noProof/>
            <w:webHidden/>
          </w:rPr>
          <w:fldChar w:fldCharType="begin"/>
        </w:r>
        <w:r w:rsidR="00D100B0">
          <w:rPr>
            <w:noProof/>
            <w:webHidden/>
          </w:rPr>
          <w:instrText xml:space="preserve"> PAGEREF _Toc509837416 \h </w:instrText>
        </w:r>
        <w:r w:rsidR="00D100B0">
          <w:rPr>
            <w:noProof/>
            <w:webHidden/>
          </w:rPr>
        </w:r>
        <w:r w:rsidR="00D100B0">
          <w:rPr>
            <w:noProof/>
            <w:webHidden/>
          </w:rPr>
          <w:fldChar w:fldCharType="separate"/>
        </w:r>
        <w:r w:rsidR="005D5C7C">
          <w:rPr>
            <w:noProof/>
            <w:webHidden/>
          </w:rPr>
          <w:t>129</w:t>
        </w:r>
        <w:r w:rsidR="00D100B0">
          <w:rPr>
            <w:noProof/>
            <w:webHidden/>
          </w:rPr>
          <w:fldChar w:fldCharType="end"/>
        </w:r>
      </w:hyperlink>
    </w:p>
    <w:p w14:paraId="45308032" w14:textId="003DDD5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7" w:history="1">
        <w:r w:rsidR="00D100B0" w:rsidRPr="00D36DBC">
          <w:rPr>
            <w:rStyle w:val="Hyperlink"/>
            <w:noProof/>
          </w:rPr>
          <w:t>Table 5.6: Average Weekday Event Load Impacts by Industry Group, SDG&amp;E Medium</w:t>
        </w:r>
        <w:r w:rsidR="00D100B0">
          <w:rPr>
            <w:noProof/>
            <w:webHidden/>
          </w:rPr>
          <w:tab/>
        </w:r>
        <w:r w:rsidR="00D100B0">
          <w:rPr>
            <w:noProof/>
            <w:webHidden/>
          </w:rPr>
          <w:fldChar w:fldCharType="begin"/>
        </w:r>
        <w:r w:rsidR="00D100B0">
          <w:rPr>
            <w:noProof/>
            <w:webHidden/>
          </w:rPr>
          <w:instrText xml:space="preserve"> PAGEREF _Toc509837417 \h </w:instrText>
        </w:r>
        <w:r w:rsidR="00D100B0">
          <w:rPr>
            <w:noProof/>
            <w:webHidden/>
          </w:rPr>
        </w:r>
        <w:r w:rsidR="00D100B0">
          <w:rPr>
            <w:noProof/>
            <w:webHidden/>
          </w:rPr>
          <w:fldChar w:fldCharType="separate"/>
        </w:r>
        <w:r w:rsidR="005D5C7C">
          <w:rPr>
            <w:noProof/>
            <w:webHidden/>
          </w:rPr>
          <w:t>130</w:t>
        </w:r>
        <w:r w:rsidR="00D100B0">
          <w:rPr>
            <w:noProof/>
            <w:webHidden/>
          </w:rPr>
          <w:fldChar w:fldCharType="end"/>
        </w:r>
      </w:hyperlink>
    </w:p>
    <w:p w14:paraId="70B2E44A" w14:textId="4E425FA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8" w:history="1">
        <w:r w:rsidR="00D100B0" w:rsidRPr="00D36DBC">
          <w:rPr>
            <w:rStyle w:val="Hyperlink"/>
            <w:noProof/>
          </w:rPr>
          <w:t>Table 5.7: Average Event-Hour Aggregate Load Impacts by Event, SDG&amp;E Dually Enrolled Customers</w:t>
        </w:r>
        <w:r w:rsidR="00D100B0">
          <w:rPr>
            <w:noProof/>
            <w:webHidden/>
          </w:rPr>
          <w:tab/>
        </w:r>
        <w:r w:rsidR="00D100B0">
          <w:rPr>
            <w:noProof/>
            <w:webHidden/>
          </w:rPr>
          <w:fldChar w:fldCharType="begin"/>
        </w:r>
        <w:r w:rsidR="00D100B0">
          <w:rPr>
            <w:noProof/>
            <w:webHidden/>
          </w:rPr>
          <w:instrText xml:space="preserve"> PAGEREF _Toc509837418 \h </w:instrText>
        </w:r>
        <w:r w:rsidR="00D100B0">
          <w:rPr>
            <w:noProof/>
            <w:webHidden/>
          </w:rPr>
        </w:r>
        <w:r w:rsidR="00D100B0">
          <w:rPr>
            <w:noProof/>
            <w:webHidden/>
          </w:rPr>
          <w:fldChar w:fldCharType="separate"/>
        </w:r>
        <w:r w:rsidR="005D5C7C">
          <w:rPr>
            <w:noProof/>
            <w:webHidden/>
          </w:rPr>
          <w:t>131</w:t>
        </w:r>
        <w:r w:rsidR="00D100B0">
          <w:rPr>
            <w:noProof/>
            <w:webHidden/>
          </w:rPr>
          <w:fldChar w:fldCharType="end"/>
        </w:r>
      </w:hyperlink>
    </w:p>
    <w:p w14:paraId="19ECDAD4" w14:textId="1C5A7E6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19" w:history="1">
        <w:r w:rsidR="00D100B0" w:rsidRPr="00D36DBC">
          <w:rPr>
            <w:rStyle w:val="Hyperlink"/>
            <w:noProof/>
          </w:rPr>
          <w:t xml:space="preserve">Table 5.8: </w:t>
        </w:r>
        <w:r w:rsidR="00D100B0" w:rsidRPr="00D36DBC">
          <w:rPr>
            <w:rStyle w:val="Hyperlink"/>
            <w:noProof/>
            <w:highlight w:val="lightGray"/>
          </w:rPr>
          <w:t>Average Event-Hour Aggregate Load Impacts by Event, SDG&amp;E AutoDR Customers</w:t>
        </w:r>
        <w:r w:rsidR="00D100B0">
          <w:rPr>
            <w:noProof/>
            <w:webHidden/>
          </w:rPr>
          <w:tab/>
        </w:r>
        <w:r w:rsidR="00D100B0">
          <w:rPr>
            <w:noProof/>
            <w:webHidden/>
          </w:rPr>
          <w:fldChar w:fldCharType="begin"/>
        </w:r>
        <w:r w:rsidR="00D100B0">
          <w:rPr>
            <w:noProof/>
            <w:webHidden/>
          </w:rPr>
          <w:instrText xml:space="preserve"> PAGEREF _Toc509837419 \h </w:instrText>
        </w:r>
        <w:r w:rsidR="00D100B0">
          <w:rPr>
            <w:noProof/>
            <w:webHidden/>
          </w:rPr>
        </w:r>
        <w:r w:rsidR="00D100B0">
          <w:rPr>
            <w:noProof/>
            <w:webHidden/>
          </w:rPr>
          <w:fldChar w:fldCharType="separate"/>
        </w:r>
        <w:r w:rsidR="005D5C7C">
          <w:rPr>
            <w:noProof/>
            <w:webHidden/>
          </w:rPr>
          <w:t>132</w:t>
        </w:r>
        <w:r w:rsidR="00D100B0">
          <w:rPr>
            <w:noProof/>
            <w:webHidden/>
          </w:rPr>
          <w:fldChar w:fldCharType="end"/>
        </w:r>
      </w:hyperlink>
    </w:p>
    <w:p w14:paraId="2E93B8E1" w14:textId="31ABED1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0" w:history="1">
        <w:r w:rsidR="00D100B0" w:rsidRPr="00D36DBC">
          <w:rPr>
            <w:rStyle w:val="Hyperlink"/>
            <w:noProof/>
          </w:rPr>
          <w:t>Table 5.9: SDG&amp;E Hourly Categorization of Periods Relating to Change  in CPP Event Window</w:t>
        </w:r>
        <w:r w:rsidR="00D100B0">
          <w:rPr>
            <w:noProof/>
            <w:webHidden/>
          </w:rPr>
          <w:tab/>
        </w:r>
        <w:r w:rsidR="00D100B0">
          <w:rPr>
            <w:noProof/>
            <w:webHidden/>
          </w:rPr>
          <w:fldChar w:fldCharType="begin"/>
        </w:r>
        <w:r w:rsidR="00D100B0">
          <w:rPr>
            <w:noProof/>
            <w:webHidden/>
          </w:rPr>
          <w:instrText xml:space="preserve"> PAGEREF _Toc509837420 \h </w:instrText>
        </w:r>
        <w:r w:rsidR="00D100B0">
          <w:rPr>
            <w:noProof/>
            <w:webHidden/>
          </w:rPr>
        </w:r>
        <w:r w:rsidR="00D100B0">
          <w:rPr>
            <w:noProof/>
            <w:webHidden/>
          </w:rPr>
          <w:fldChar w:fldCharType="separate"/>
        </w:r>
        <w:r w:rsidR="005D5C7C">
          <w:rPr>
            <w:noProof/>
            <w:webHidden/>
          </w:rPr>
          <w:t>133</w:t>
        </w:r>
        <w:r w:rsidR="00D100B0">
          <w:rPr>
            <w:noProof/>
            <w:webHidden/>
          </w:rPr>
          <w:fldChar w:fldCharType="end"/>
        </w:r>
      </w:hyperlink>
    </w:p>
    <w:p w14:paraId="74285C9D" w14:textId="41F9DF5F"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1" w:history="1">
        <w:r w:rsidR="00D100B0" w:rsidRPr="00D36DBC">
          <w:rPr>
            <w:rStyle w:val="Hyperlink"/>
            <w:noProof/>
          </w:rPr>
          <w:t>Table 5.10: Current vs. Previous Ex-Post Load Impacts for the Average Weekday Event,  SDG&amp;E Large</w:t>
        </w:r>
        <w:r w:rsidR="00D100B0">
          <w:rPr>
            <w:noProof/>
            <w:webHidden/>
          </w:rPr>
          <w:tab/>
        </w:r>
        <w:r w:rsidR="00D100B0">
          <w:rPr>
            <w:noProof/>
            <w:webHidden/>
          </w:rPr>
          <w:fldChar w:fldCharType="begin"/>
        </w:r>
        <w:r w:rsidR="00D100B0">
          <w:rPr>
            <w:noProof/>
            <w:webHidden/>
          </w:rPr>
          <w:instrText xml:space="preserve"> PAGEREF _Toc509837421 \h </w:instrText>
        </w:r>
        <w:r w:rsidR="00D100B0">
          <w:rPr>
            <w:noProof/>
            <w:webHidden/>
          </w:rPr>
        </w:r>
        <w:r w:rsidR="00D100B0">
          <w:rPr>
            <w:noProof/>
            <w:webHidden/>
          </w:rPr>
          <w:fldChar w:fldCharType="separate"/>
        </w:r>
        <w:r w:rsidR="005D5C7C">
          <w:rPr>
            <w:noProof/>
            <w:webHidden/>
          </w:rPr>
          <w:t>140</w:t>
        </w:r>
        <w:r w:rsidR="00D100B0">
          <w:rPr>
            <w:noProof/>
            <w:webHidden/>
          </w:rPr>
          <w:fldChar w:fldCharType="end"/>
        </w:r>
      </w:hyperlink>
    </w:p>
    <w:p w14:paraId="4B75DACF" w14:textId="4676A69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2" w:history="1">
        <w:r w:rsidR="00D100B0" w:rsidRPr="00D36DBC">
          <w:rPr>
            <w:rStyle w:val="Hyperlink"/>
            <w:noProof/>
          </w:rPr>
          <w:t>Table 5.11: Previous vs. Current Ex-Ante Load Impacts, Utility 1-in-2  August 2018 Peak Day, SDG&amp;E Large</w:t>
        </w:r>
        <w:r w:rsidR="00D100B0">
          <w:rPr>
            <w:noProof/>
            <w:webHidden/>
          </w:rPr>
          <w:tab/>
        </w:r>
        <w:r w:rsidR="00D100B0">
          <w:rPr>
            <w:noProof/>
            <w:webHidden/>
          </w:rPr>
          <w:fldChar w:fldCharType="begin"/>
        </w:r>
        <w:r w:rsidR="00D100B0">
          <w:rPr>
            <w:noProof/>
            <w:webHidden/>
          </w:rPr>
          <w:instrText xml:space="preserve"> PAGEREF _Toc509837422 \h </w:instrText>
        </w:r>
        <w:r w:rsidR="00D100B0">
          <w:rPr>
            <w:noProof/>
            <w:webHidden/>
          </w:rPr>
        </w:r>
        <w:r w:rsidR="00D100B0">
          <w:rPr>
            <w:noProof/>
            <w:webHidden/>
          </w:rPr>
          <w:fldChar w:fldCharType="separate"/>
        </w:r>
        <w:r w:rsidR="005D5C7C">
          <w:rPr>
            <w:noProof/>
            <w:webHidden/>
          </w:rPr>
          <w:t>140</w:t>
        </w:r>
        <w:r w:rsidR="00D100B0">
          <w:rPr>
            <w:noProof/>
            <w:webHidden/>
          </w:rPr>
          <w:fldChar w:fldCharType="end"/>
        </w:r>
      </w:hyperlink>
    </w:p>
    <w:p w14:paraId="03582712" w14:textId="0CB365C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3" w:history="1">
        <w:r w:rsidR="00D100B0" w:rsidRPr="00D36DBC">
          <w:rPr>
            <w:rStyle w:val="Hyperlink"/>
            <w:noProof/>
          </w:rPr>
          <w:t>Table 5.12: Comparison of Previous Ex-Ante and Current Ex-Post Impacts, SDG&amp;E Large</w:t>
        </w:r>
        <w:r w:rsidR="00D100B0">
          <w:rPr>
            <w:noProof/>
            <w:webHidden/>
          </w:rPr>
          <w:tab/>
        </w:r>
        <w:r w:rsidR="00D100B0">
          <w:rPr>
            <w:noProof/>
            <w:webHidden/>
          </w:rPr>
          <w:fldChar w:fldCharType="begin"/>
        </w:r>
        <w:r w:rsidR="00D100B0">
          <w:rPr>
            <w:noProof/>
            <w:webHidden/>
          </w:rPr>
          <w:instrText xml:space="preserve"> PAGEREF _Toc509837423 \h </w:instrText>
        </w:r>
        <w:r w:rsidR="00D100B0">
          <w:rPr>
            <w:noProof/>
            <w:webHidden/>
          </w:rPr>
        </w:r>
        <w:r w:rsidR="00D100B0">
          <w:rPr>
            <w:noProof/>
            <w:webHidden/>
          </w:rPr>
          <w:fldChar w:fldCharType="separate"/>
        </w:r>
        <w:r w:rsidR="005D5C7C">
          <w:rPr>
            <w:noProof/>
            <w:webHidden/>
          </w:rPr>
          <w:t>141</w:t>
        </w:r>
        <w:r w:rsidR="00D100B0">
          <w:rPr>
            <w:noProof/>
            <w:webHidden/>
          </w:rPr>
          <w:fldChar w:fldCharType="end"/>
        </w:r>
      </w:hyperlink>
    </w:p>
    <w:p w14:paraId="67DF9848" w14:textId="2309F34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4" w:history="1">
        <w:r w:rsidR="00D100B0" w:rsidRPr="00D36DBC">
          <w:rPr>
            <w:rStyle w:val="Hyperlink"/>
            <w:noProof/>
          </w:rPr>
          <w:t>Table 5.13: Comparison of Current Ex-Post and Ex-Ante Load Impacts, SDG&amp;E Large</w:t>
        </w:r>
        <w:r w:rsidR="00D100B0">
          <w:rPr>
            <w:noProof/>
            <w:webHidden/>
          </w:rPr>
          <w:tab/>
        </w:r>
        <w:r w:rsidR="00D100B0">
          <w:rPr>
            <w:noProof/>
            <w:webHidden/>
          </w:rPr>
          <w:fldChar w:fldCharType="begin"/>
        </w:r>
        <w:r w:rsidR="00D100B0">
          <w:rPr>
            <w:noProof/>
            <w:webHidden/>
          </w:rPr>
          <w:instrText xml:space="preserve"> PAGEREF _Toc509837424 \h </w:instrText>
        </w:r>
        <w:r w:rsidR="00D100B0">
          <w:rPr>
            <w:noProof/>
            <w:webHidden/>
          </w:rPr>
        </w:r>
        <w:r w:rsidR="00D100B0">
          <w:rPr>
            <w:noProof/>
            <w:webHidden/>
          </w:rPr>
          <w:fldChar w:fldCharType="separate"/>
        </w:r>
        <w:r w:rsidR="005D5C7C">
          <w:rPr>
            <w:noProof/>
            <w:webHidden/>
          </w:rPr>
          <w:t>141</w:t>
        </w:r>
        <w:r w:rsidR="00D100B0">
          <w:rPr>
            <w:noProof/>
            <w:webHidden/>
          </w:rPr>
          <w:fldChar w:fldCharType="end"/>
        </w:r>
      </w:hyperlink>
    </w:p>
    <w:p w14:paraId="07E1EB96" w14:textId="5A838EC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5" w:history="1">
        <w:r w:rsidR="00D100B0" w:rsidRPr="00D36DBC">
          <w:rPr>
            <w:rStyle w:val="Hyperlink"/>
            <w:noProof/>
          </w:rPr>
          <w:t>Table 5.14: Comparison of Ex-Post and Ex-Ante Factors</w:t>
        </w:r>
        <w:r w:rsidR="00D100B0">
          <w:rPr>
            <w:noProof/>
            <w:webHidden/>
          </w:rPr>
          <w:tab/>
        </w:r>
        <w:r w:rsidR="00D100B0">
          <w:rPr>
            <w:noProof/>
            <w:webHidden/>
          </w:rPr>
          <w:fldChar w:fldCharType="begin"/>
        </w:r>
        <w:r w:rsidR="00D100B0">
          <w:rPr>
            <w:noProof/>
            <w:webHidden/>
          </w:rPr>
          <w:instrText xml:space="preserve"> PAGEREF _Toc509837425 \h </w:instrText>
        </w:r>
        <w:r w:rsidR="00D100B0">
          <w:rPr>
            <w:noProof/>
            <w:webHidden/>
          </w:rPr>
        </w:r>
        <w:r w:rsidR="00D100B0">
          <w:rPr>
            <w:noProof/>
            <w:webHidden/>
          </w:rPr>
          <w:fldChar w:fldCharType="separate"/>
        </w:r>
        <w:r w:rsidR="005D5C7C">
          <w:rPr>
            <w:noProof/>
            <w:webHidden/>
          </w:rPr>
          <w:t>142</w:t>
        </w:r>
        <w:r w:rsidR="00D100B0">
          <w:rPr>
            <w:noProof/>
            <w:webHidden/>
          </w:rPr>
          <w:fldChar w:fldCharType="end"/>
        </w:r>
      </w:hyperlink>
    </w:p>
    <w:p w14:paraId="01177C6A" w14:textId="72AB266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6" w:history="1">
        <w:r w:rsidR="00D100B0" w:rsidRPr="00D36DBC">
          <w:rPr>
            <w:rStyle w:val="Hyperlink"/>
            <w:noProof/>
          </w:rPr>
          <w:t>Table 5.15: Current vs. Previous Ex-Post Load Impacts for the Average Weekday Event,  SDG&amp;E Medium</w:t>
        </w:r>
        <w:r w:rsidR="00D100B0">
          <w:rPr>
            <w:noProof/>
            <w:webHidden/>
          </w:rPr>
          <w:tab/>
        </w:r>
        <w:r w:rsidR="00D100B0">
          <w:rPr>
            <w:noProof/>
            <w:webHidden/>
          </w:rPr>
          <w:fldChar w:fldCharType="begin"/>
        </w:r>
        <w:r w:rsidR="00D100B0">
          <w:rPr>
            <w:noProof/>
            <w:webHidden/>
          </w:rPr>
          <w:instrText xml:space="preserve"> PAGEREF _Toc509837426 \h </w:instrText>
        </w:r>
        <w:r w:rsidR="00D100B0">
          <w:rPr>
            <w:noProof/>
            <w:webHidden/>
          </w:rPr>
        </w:r>
        <w:r w:rsidR="00D100B0">
          <w:rPr>
            <w:noProof/>
            <w:webHidden/>
          </w:rPr>
          <w:fldChar w:fldCharType="separate"/>
        </w:r>
        <w:r w:rsidR="005D5C7C">
          <w:rPr>
            <w:noProof/>
            <w:webHidden/>
          </w:rPr>
          <w:t>143</w:t>
        </w:r>
        <w:r w:rsidR="00D100B0">
          <w:rPr>
            <w:noProof/>
            <w:webHidden/>
          </w:rPr>
          <w:fldChar w:fldCharType="end"/>
        </w:r>
      </w:hyperlink>
    </w:p>
    <w:p w14:paraId="7D0C9458" w14:textId="505C621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7" w:history="1">
        <w:r w:rsidR="00D100B0" w:rsidRPr="00D36DBC">
          <w:rPr>
            <w:rStyle w:val="Hyperlink"/>
            <w:noProof/>
          </w:rPr>
          <w:t>Table 5.16: Previous vs. Current Ex-Ante Load Impacts, Utility 1-in-2  August 2018 Peak Day, SDG&amp;E Medium</w:t>
        </w:r>
        <w:r w:rsidR="00D100B0">
          <w:rPr>
            <w:noProof/>
            <w:webHidden/>
          </w:rPr>
          <w:tab/>
        </w:r>
        <w:r w:rsidR="00D100B0">
          <w:rPr>
            <w:noProof/>
            <w:webHidden/>
          </w:rPr>
          <w:fldChar w:fldCharType="begin"/>
        </w:r>
        <w:r w:rsidR="00D100B0">
          <w:rPr>
            <w:noProof/>
            <w:webHidden/>
          </w:rPr>
          <w:instrText xml:space="preserve"> PAGEREF _Toc509837427 \h </w:instrText>
        </w:r>
        <w:r w:rsidR="00D100B0">
          <w:rPr>
            <w:noProof/>
            <w:webHidden/>
          </w:rPr>
        </w:r>
        <w:r w:rsidR="00D100B0">
          <w:rPr>
            <w:noProof/>
            <w:webHidden/>
          </w:rPr>
          <w:fldChar w:fldCharType="separate"/>
        </w:r>
        <w:r w:rsidR="005D5C7C">
          <w:rPr>
            <w:noProof/>
            <w:webHidden/>
          </w:rPr>
          <w:t>143</w:t>
        </w:r>
        <w:r w:rsidR="00D100B0">
          <w:rPr>
            <w:noProof/>
            <w:webHidden/>
          </w:rPr>
          <w:fldChar w:fldCharType="end"/>
        </w:r>
      </w:hyperlink>
    </w:p>
    <w:p w14:paraId="66A3E9C1" w14:textId="43F94189"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8" w:history="1">
        <w:r w:rsidR="00D100B0" w:rsidRPr="00D36DBC">
          <w:rPr>
            <w:rStyle w:val="Hyperlink"/>
            <w:noProof/>
          </w:rPr>
          <w:t>Table 5.17: Comparison of Previous Ex-Ante and Current Ex-Post Impacts,  SDG&amp;E Medium</w:t>
        </w:r>
        <w:r w:rsidR="00D100B0">
          <w:rPr>
            <w:noProof/>
            <w:webHidden/>
          </w:rPr>
          <w:tab/>
        </w:r>
        <w:r w:rsidR="00D100B0">
          <w:rPr>
            <w:noProof/>
            <w:webHidden/>
          </w:rPr>
          <w:fldChar w:fldCharType="begin"/>
        </w:r>
        <w:r w:rsidR="00D100B0">
          <w:rPr>
            <w:noProof/>
            <w:webHidden/>
          </w:rPr>
          <w:instrText xml:space="preserve"> PAGEREF _Toc509837428 \h </w:instrText>
        </w:r>
        <w:r w:rsidR="00D100B0">
          <w:rPr>
            <w:noProof/>
            <w:webHidden/>
          </w:rPr>
        </w:r>
        <w:r w:rsidR="00D100B0">
          <w:rPr>
            <w:noProof/>
            <w:webHidden/>
          </w:rPr>
          <w:fldChar w:fldCharType="separate"/>
        </w:r>
        <w:r w:rsidR="005D5C7C">
          <w:rPr>
            <w:noProof/>
            <w:webHidden/>
          </w:rPr>
          <w:t>144</w:t>
        </w:r>
        <w:r w:rsidR="00D100B0">
          <w:rPr>
            <w:noProof/>
            <w:webHidden/>
          </w:rPr>
          <w:fldChar w:fldCharType="end"/>
        </w:r>
      </w:hyperlink>
    </w:p>
    <w:p w14:paraId="394B8B2C" w14:textId="2408CB4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29" w:history="1">
        <w:r w:rsidR="00D100B0" w:rsidRPr="00D36DBC">
          <w:rPr>
            <w:rStyle w:val="Hyperlink"/>
            <w:noProof/>
          </w:rPr>
          <w:t>Table 5.18: Comparison of Current Ex-Post and Ex-Ante Load Impacts, SDG&amp;E Medium</w:t>
        </w:r>
        <w:r w:rsidR="00D100B0">
          <w:rPr>
            <w:noProof/>
            <w:webHidden/>
          </w:rPr>
          <w:tab/>
        </w:r>
        <w:r w:rsidR="00D100B0">
          <w:rPr>
            <w:noProof/>
            <w:webHidden/>
          </w:rPr>
          <w:fldChar w:fldCharType="begin"/>
        </w:r>
        <w:r w:rsidR="00D100B0">
          <w:rPr>
            <w:noProof/>
            <w:webHidden/>
          </w:rPr>
          <w:instrText xml:space="preserve"> PAGEREF _Toc509837429 \h </w:instrText>
        </w:r>
        <w:r w:rsidR="00D100B0">
          <w:rPr>
            <w:noProof/>
            <w:webHidden/>
          </w:rPr>
        </w:r>
        <w:r w:rsidR="00D100B0">
          <w:rPr>
            <w:noProof/>
            <w:webHidden/>
          </w:rPr>
          <w:fldChar w:fldCharType="separate"/>
        </w:r>
        <w:r w:rsidR="005D5C7C">
          <w:rPr>
            <w:noProof/>
            <w:webHidden/>
          </w:rPr>
          <w:t>144</w:t>
        </w:r>
        <w:r w:rsidR="00D100B0">
          <w:rPr>
            <w:noProof/>
            <w:webHidden/>
          </w:rPr>
          <w:fldChar w:fldCharType="end"/>
        </w:r>
      </w:hyperlink>
    </w:p>
    <w:p w14:paraId="2226ECB4" w14:textId="7E9E5EC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0" w:history="1">
        <w:r w:rsidR="00D100B0" w:rsidRPr="00D36DBC">
          <w:rPr>
            <w:rStyle w:val="Hyperlink"/>
            <w:noProof/>
          </w:rPr>
          <w:t>Table 5.19: Comparison of Ex-Post and Ex-Ante Factors</w:t>
        </w:r>
        <w:r w:rsidR="00D100B0">
          <w:rPr>
            <w:noProof/>
            <w:webHidden/>
          </w:rPr>
          <w:tab/>
        </w:r>
        <w:r w:rsidR="00D100B0">
          <w:rPr>
            <w:noProof/>
            <w:webHidden/>
          </w:rPr>
          <w:fldChar w:fldCharType="begin"/>
        </w:r>
        <w:r w:rsidR="00D100B0">
          <w:rPr>
            <w:noProof/>
            <w:webHidden/>
          </w:rPr>
          <w:instrText xml:space="preserve"> PAGEREF _Toc509837430 \h </w:instrText>
        </w:r>
        <w:r w:rsidR="00D100B0">
          <w:rPr>
            <w:noProof/>
            <w:webHidden/>
          </w:rPr>
        </w:r>
        <w:r w:rsidR="00D100B0">
          <w:rPr>
            <w:noProof/>
            <w:webHidden/>
          </w:rPr>
          <w:fldChar w:fldCharType="separate"/>
        </w:r>
        <w:r w:rsidR="005D5C7C">
          <w:rPr>
            <w:noProof/>
            <w:webHidden/>
          </w:rPr>
          <w:t>145</w:t>
        </w:r>
        <w:r w:rsidR="00D100B0">
          <w:rPr>
            <w:noProof/>
            <w:webHidden/>
          </w:rPr>
          <w:fldChar w:fldCharType="end"/>
        </w:r>
      </w:hyperlink>
    </w:p>
    <w:p w14:paraId="4A538770" w14:textId="028556B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1" w:history="1">
        <w:r w:rsidR="00D100B0" w:rsidRPr="00D36DBC">
          <w:rPr>
            <w:rStyle w:val="Hyperlink"/>
            <w:noProof/>
          </w:rPr>
          <w:t>Table A.1: Match Quality Statistics, PG&amp;E</w:t>
        </w:r>
        <w:r w:rsidR="00D100B0">
          <w:rPr>
            <w:noProof/>
            <w:webHidden/>
          </w:rPr>
          <w:tab/>
        </w:r>
        <w:r w:rsidR="00D100B0">
          <w:rPr>
            <w:noProof/>
            <w:webHidden/>
          </w:rPr>
          <w:fldChar w:fldCharType="begin"/>
        </w:r>
        <w:r w:rsidR="00D100B0">
          <w:rPr>
            <w:noProof/>
            <w:webHidden/>
          </w:rPr>
          <w:instrText xml:space="preserve"> PAGEREF _Toc509837431 \h </w:instrText>
        </w:r>
        <w:r w:rsidR="00D100B0">
          <w:rPr>
            <w:noProof/>
            <w:webHidden/>
          </w:rPr>
        </w:r>
        <w:r w:rsidR="00D100B0">
          <w:rPr>
            <w:noProof/>
            <w:webHidden/>
          </w:rPr>
          <w:fldChar w:fldCharType="separate"/>
        </w:r>
        <w:r w:rsidR="005D5C7C">
          <w:rPr>
            <w:noProof/>
            <w:webHidden/>
          </w:rPr>
          <w:t>147</w:t>
        </w:r>
        <w:r w:rsidR="00D100B0">
          <w:rPr>
            <w:noProof/>
            <w:webHidden/>
          </w:rPr>
          <w:fldChar w:fldCharType="end"/>
        </w:r>
      </w:hyperlink>
    </w:p>
    <w:p w14:paraId="017FA98F" w14:textId="08811E4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2" w:history="1">
        <w:r w:rsidR="00D100B0" w:rsidRPr="00D36DBC">
          <w:rPr>
            <w:rStyle w:val="Hyperlink"/>
            <w:noProof/>
          </w:rPr>
          <w:t>Table A.2: Match Quality Statistics, SCE</w:t>
        </w:r>
        <w:r w:rsidR="00D100B0">
          <w:rPr>
            <w:noProof/>
            <w:webHidden/>
          </w:rPr>
          <w:tab/>
        </w:r>
        <w:r w:rsidR="00D100B0">
          <w:rPr>
            <w:noProof/>
            <w:webHidden/>
          </w:rPr>
          <w:fldChar w:fldCharType="begin"/>
        </w:r>
        <w:r w:rsidR="00D100B0">
          <w:rPr>
            <w:noProof/>
            <w:webHidden/>
          </w:rPr>
          <w:instrText xml:space="preserve"> PAGEREF _Toc509837432 \h </w:instrText>
        </w:r>
        <w:r w:rsidR="00D100B0">
          <w:rPr>
            <w:noProof/>
            <w:webHidden/>
          </w:rPr>
        </w:r>
        <w:r w:rsidR="00D100B0">
          <w:rPr>
            <w:noProof/>
            <w:webHidden/>
          </w:rPr>
          <w:fldChar w:fldCharType="separate"/>
        </w:r>
        <w:r w:rsidR="005D5C7C">
          <w:rPr>
            <w:noProof/>
            <w:webHidden/>
          </w:rPr>
          <w:t>149</w:t>
        </w:r>
        <w:r w:rsidR="00D100B0">
          <w:rPr>
            <w:noProof/>
            <w:webHidden/>
          </w:rPr>
          <w:fldChar w:fldCharType="end"/>
        </w:r>
      </w:hyperlink>
    </w:p>
    <w:p w14:paraId="19988C92" w14:textId="73DAE79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3" w:history="1">
        <w:r w:rsidR="00D100B0" w:rsidRPr="00D36DBC">
          <w:rPr>
            <w:rStyle w:val="Hyperlink"/>
            <w:noProof/>
          </w:rPr>
          <w:t>Table A.3 Match Quality Statistics, SDG&amp;E</w:t>
        </w:r>
        <w:r w:rsidR="00D100B0">
          <w:rPr>
            <w:noProof/>
            <w:webHidden/>
          </w:rPr>
          <w:tab/>
        </w:r>
        <w:r w:rsidR="00D100B0">
          <w:rPr>
            <w:noProof/>
            <w:webHidden/>
          </w:rPr>
          <w:fldChar w:fldCharType="begin"/>
        </w:r>
        <w:r w:rsidR="00D100B0">
          <w:rPr>
            <w:noProof/>
            <w:webHidden/>
          </w:rPr>
          <w:instrText xml:space="preserve"> PAGEREF _Toc509837433 \h </w:instrText>
        </w:r>
        <w:r w:rsidR="00D100B0">
          <w:rPr>
            <w:noProof/>
            <w:webHidden/>
          </w:rPr>
        </w:r>
        <w:r w:rsidR="00D100B0">
          <w:rPr>
            <w:noProof/>
            <w:webHidden/>
          </w:rPr>
          <w:fldChar w:fldCharType="separate"/>
        </w:r>
        <w:r w:rsidR="005D5C7C">
          <w:rPr>
            <w:noProof/>
            <w:webHidden/>
          </w:rPr>
          <w:t>152</w:t>
        </w:r>
        <w:r w:rsidR="00D100B0">
          <w:rPr>
            <w:noProof/>
            <w:webHidden/>
          </w:rPr>
          <w:fldChar w:fldCharType="end"/>
        </w:r>
      </w:hyperlink>
    </w:p>
    <w:p w14:paraId="5C8A427D" w14:textId="3756F965" w:rsidR="008C53F9" w:rsidRDefault="008C53F9" w:rsidP="00E84DD2">
      <w:pPr>
        <w:spacing w:after="120"/>
      </w:pPr>
      <w:r w:rsidRPr="006B1FF9">
        <w:rPr>
          <w:b/>
          <w:bCs/>
          <w:noProof/>
          <w:sz w:val="22"/>
          <w:szCs w:val="22"/>
        </w:rPr>
        <w:fldChar w:fldCharType="end"/>
      </w:r>
    </w:p>
    <w:p w14:paraId="3F25A248" w14:textId="77777777" w:rsidR="008C53F9" w:rsidRPr="006B553B" w:rsidRDefault="008C53F9" w:rsidP="00E84DD2">
      <w:pPr>
        <w:spacing w:after="120"/>
        <w:jc w:val="center"/>
        <w:rPr>
          <w:b/>
        </w:rPr>
      </w:pPr>
      <w:r>
        <w:br w:type="page"/>
      </w:r>
      <w:r w:rsidRPr="006B553B">
        <w:rPr>
          <w:b/>
        </w:rPr>
        <w:lastRenderedPageBreak/>
        <w:t>List of Figures</w:t>
      </w:r>
    </w:p>
    <w:p w14:paraId="21CF7B13" w14:textId="77777777" w:rsidR="008C53F9" w:rsidRDefault="008C53F9" w:rsidP="00E84DD2">
      <w:pPr>
        <w:spacing w:after="120"/>
      </w:pPr>
    </w:p>
    <w:p w14:paraId="2B00F5EE" w14:textId="0405063B" w:rsidR="00D100B0" w:rsidRDefault="008C53F9">
      <w:pPr>
        <w:pStyle w:val="TableofFigures"/>
        <w:tabs>
          <w:tab w:val="right" w:leader="dot" w:pos="8630"/>
        </w:tabs>
        <w:rPr>
          <w:rFonts w:asciiTheme="minorHAnsi" w:eastAsiaTheme="minorEastAsia" w:hAnsiTheme="minorHAnsi" w:cstheme="minorBidi"/>
          <w:noProof/>
          <w:sz w:val="22"/>
          <w:szCs w:val="22"/>
        </w:rPr>
      </w:pPr>
      <w:r w:rsidRPr="009A1C27">
        <w:rPr>
          <w:sz w:val="22"/>
          <w:szCs w:val="22"/>
        </w:rPr>
        <w:fldChar w:fldCharType="begin"/>
      </w:r>
      <w:r w:rsidRPr="009A1C27">
        <w:rPr>
          <w:sz w:val="22"/>
          <w:szCs w:val="22"/>
        </w:rPr>
        <w:instrText xml:space="preserve"> TOC \h \z \t "Figure Caption" \c </w:instrText>
      </w:r>
      <w:r w:rsidRPr="009A1C27">
        <w:rPr>
          <w:sz w:val="22"/>
          <w:szCs w:val="22"/>
        </w:rPr>
        <w:fldChar w:fldCharType="separate"/>
      </w:r>
      <w:hyperlink w:anchor="_Toc509837434" w:history="1">
        <w:r w:rsidR="00D100B0" w:rsidRPr="00C82CEC">
          <w:rPr>
            <w:rStyle w:val="Hyperlink"/>
            <w:noProof/>
          </w:rPr>
          <w:t>Figure ES.1: Average Event-Hour Load Impacts by Event, PG&amp;E Large</w:t>
        </w:r>
        <w:r w:rsidR="00D100B0">
          <w:rPr>
            <w:noProof/>
            <w:webHidden/>
          </w:rPr>
          <w:tab/>
        </w:r>
        <w:r w:rsidR="00D100B0">
          <w:rPr>
            <w:noProof/>
            <w:webHidden/>
          </w:rPr>
          <w:fldChar w:fldCharType="begin"/>
        </w:r>
        <w:r w:rsidR="00D100B0">
          <w:rPr>
            <w:noProof/>
            <w:webHidden/>
          </w:rPr>
          <w:instrText xml:space="preserve"> PAGEREF _Toc509837434 \h </w:instrText>
        </w:r>
        <w:r w:rsidR="00D100B0">
          <w:rPr>
            <w:noProof/>
            <w:webHidden/>
          </w:rPr>
        </w:r>
        <w:r w:rsidR="00D100B0">
          <w:rPr>
            <w:noProof/>
            <w:webHidden/>
          </w:rPr>
          <w:fldChar w:fldCharType="separate"/>
        </w:r>
        <w:r w:rsidR="005D5C7C">
          <w:rPr>
            <w:noProof/>
            <w:webHidden/>
          </w:rPr>
          <w:t>3</w:t>
        </w:r>
        <w:r w:rsidR="00D100B0">
          <w:rPr>
            <w:noProof/>
            <w:webHidden/>
          </w:rPr>
          <w:fldChar w:fldCharType="end"/>
        </w:r>
      </w:hyperlink>
    </w:p>
    <w:p w14:paraId="5EE77E68" w14:textId="1390820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5" w:history="1">
        <w:r w:rsidR="00D100B0" w:rsidRPr="00C82CEC">
          <w:rPr>
            <w:rStyle w:val="Hyperlink"/>
            <w:noProof/>
          </w:rPr>
          <w:t>Figure ES.2: Average Event-Hour Load Impacts by Event, PG&amp;E SMB</w:t>
        </w:r>
        <w:r w:rsidR="00D100B0">
          <w:rPr>
            <w:noProof/>
            <w:webHidden/>
          </w:rPr>
          <w:tab/>
        </w:r>
        <w:r w:rsidR="00D100B0">
          <w:rPr>
            <w:noProof/>
            <w:webHidden/>
          </w:rPr>
          <w:fldChar w:fldCharType="begin"/>
        </w:r>
        <w:r w:rsidR="00D100B0">
          <w:rPr>
            <w:noProof/>
            <w:webHidden/>
          </w:rPr>
          <w:instrText xml:space="preserve"> PAGEREF _Toc509837435 \h </w:instrText>
        </w:r>
        <w:r w:rsidR="00D100B0">
          <w:rPr>
            <w:noProof/>
            <w:webHidden/>
          </w:rPr>
        </w:r>
        <w:r w:rsidR="00D100B0">
          <w:rPr>
            <w:noProof/>
            <w:webHidden/>
          </w:rPr>
          <w:fldChar w:fldCharType="separate"/>
        </w:r>
        <w:r w:rsidR="005D5C7C">
          <w:rPr>
            <w:noProof/>
            <w:webHidden/>
          </w:rPr>
          <w:t>4</w:t>
        </w:r>
        <w:r w:rsidR="00D100B0">
          <w:rPr>
            <w:noProof/>
            <w:webHidden/>
          </w:rPr>
          <w:fldChar w:fldCharType="end"/>
        </w:r>
      </w:hyperlink>
    </w:p>
    <w:p w14:paraId="71E9388A" w14:textId="7DD3F6C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6" w:history="1">
        <w:r w:rsidR="00D100B0" w:rsidRPr="00C82CEC">
          <w:rPr>
            <w:rStyle w:val="Hyperlink"/>
            <w:noProof/>
          </w:rPr>
          <w:t>Figure ES.3: Average Event-Hour Load Impacts by Event, SCE Large</w:t>
        </w:r>
        <w:r w:rsidR="00D100B0">
          <w:rPr>
            <w:noProof/>
            <w:webHidden/>
          </w:rPr>
          <w:tab/>
        </w:r>
        <w:r w:rsidR="00D100B0">
          <w:rPr>
            <w:noProof/>
            <w:webHidden/>
          </w:rPr>
          <w:fldChar w:fldCharType="begin"/>
        </w:r>
        <w:r w:rsidR="00D100B0">
          <w:rPr>
            <w:noProof/>
            <w:webHidden/>
          </w:rPr>
          <w:instrText xml:space="preserve"> PAGEREF _Toc509837436 \h </w:instrText>
        </w:r>
        <w:r w:rsidR="00D100B0">
          <w:rPr>
            <w:noProof/>
            <w:webHidden/>
          </w:rPr>
        </w:r>
        <w:r w:rsidR="00D100B0">
          <w:rPr>
            <w:noProof/>
            <w:webHidden/>
          </w:rPr>
          <w:fldChar w:fldCharType="separate"/>
        </w:r>
        <w:r w:rsidR="005D5C7C">
          <w:rPr>
            <w:noProof/>
            <w:webHidden/>
          </w:rPr>
          <w:t>5</w:t>
        </w:r>
        <w:r w:rsidR="00D100B0">
          <w:rPr>
            <w:noProof/>
            <w:webHidden/>
          </w:rPr>
          <w:fldChar w:fldCharType="end"/>
        </w:r>
      </w:hyperlink>
    </w:p>
    <w:p w14:paraId="1B2B0164" w14:textId="2BD0C51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7" w:history="1">
        <w:r w:rsidR="00D100B0" w:rsidRPr="00C82CEC">
          <w:rPr>
            <w:rStyle w:val="Hyperlink"/>
            <w:noProof/>
          </w:rPr>
          <w:t>Figure ES.4: Average Event-Hour Load Impacts by Event, SCE SMB</w:t>
        </w:r>
        <w:r w:rsidR="00D100B0">
          <w:rPr>
            <w:noProof/>
            <w:webHidden/>
          </w:rPr>
          <w:tab/>
        </w:r>
        <w:r w:rsidR="00D100B0">
          <w:rPr>
            <w:noProof/>
            <w:webHidden/>
          </w:rPr>
          <w:fldChar w:fldCharType="begin"/>
        </w:r>
        <w:r w:rsidR="00D100B0">
          <w:rPr>
            <w:noProof/>
            <w:webHidden/>
          </w:rPr>
          <w:instrText xml:space="preserve"> PAGEREF _Toc509837437 \h </w:instrText>
        </w:r>
        <w:r w:rsidR="00D100B0">
          <w:rPr>
            <w:noProof/>
            <w:webHidden/>
          </w:rPr>
        </w:r>
        <w:r w:rsidR="00D100B0">
          <w:rPr>
            <w:noProof/>
            <w:webHidden/>
          </w:rPr>
          <w:fldChar w:fldCharType="separate"/>
        </w:r>
        <w:r w:rsidR="005D5C7C">
          <w:rPr>
            <w:noProof/>
            <w:webHidden/>
          </w:rPr>
          <w:t>6</w:t>
        </w:r>
        <w:r w:rsidR="00D100B0">
          <w:rPr>
            <w:noProof/>
            <w:webHidden/>
          </w:rPr>
          <w:fldChar w:fldCharType="end"/>
        </w:r>
      </w:hyperlink>
    </w:p>
    <w:p w14:paraId="5BE12B86" w14:textId="6B3FE20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8" w:history="1">
        <w:r w:rsidR="00D100B0" w:rsidRPr="00C82CEC">
          <w:rPr>
            <w:rStyle w:val="Hyperlink"/>
            <w:noProof/>
          </w:rPr>
          <w:t>Figure ES.5: Average Event-Hour Load Impacts by Event, SDG&amp;E Large</w:t>
        </w:r>
        <w:r w:rsidR="00D100B0">
          <w:rPr>
            <w:noProof/>
            <w:webHidden/>
          </w:rPr>
          <w:tab/>
        </w:r>
        <w:r w:rsidR="00D100B0">
          <w:rPr>
            <w:noProof/>
            <w:webHidden/>
          </w:rPr>
          <w:fldChar w:fldCharType="begin"/>
        </w:r>
        <w:r w:rsidR="00D100B0">
          <w:rPr>
            <w:noProof/>
            <w:webHidden/>
          </w:rPr>
          <w:instrText xml:space="preserve"> PAGEREF _Toc509837438 \h </w:instrText>
        </w:r>
        <w:r w:rsidR="00D100B0">
          <w:rPr>
            <w:noProof/>
            <w:webHidden/>
          </w:rPr>
        </w:r>
        <w:r w:rsidR="00D100B0">
          <w:rPr>
            <w:noProof/>
            <w:webHidden/>
          </w:rPr>
          <w:fldChar w:fldCharType="separate"/>
        </w:r>
        <w:r w:rsidR="005D5C7C">
          <w:rPr>
            <w:noProof/>
            <w:webHidden/>
          </w:rPr>
          <w:t>7</w:t>
        </w:r>
        <w:r w:rsidR="00D100B0">
          <w:rPr>
            <w:noProof/>
            <w:webHidden/>
          </w:rPr>
          <w:fldChar w:fldCharType="end"/>
        </w:r>
      </w:hyperlink>
    </w:p>
    <w:p w14:paraId="684F977B" w14:textId="301545E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39" w:history="1">
        <w:r w:rsidR="00D100B0" w:rsidRPr="00C82CEC">
          <w:rPr>
            <w:rStyle w:val="Hyperlink"/>
            <w:noProof/>
          </w:rPr>
          <w:t>Figure ES.6: Average Event-Hour Load Impacts by Event, SDG&amp;E Medium</w:t>
        </w:r>
        <w:r w:rsidR="00D100B0">
          <w:rPr>
            <w:noProof/>
            <w:webHidden/>
          </w:rPr>
          <w:tab/>
        </w:r>
        <w:r w:rsidR="00D100B0">
          <w:rPr>
            <w:noProof/>
            <w:webHidden/>
          </w:rPr>
          <w:fldChar w:fldCharType="begin"/>
        </w:r>
        <w:r w:rsidR="00D100B0">
          <w:rPr>
            <w:noProof/>
            <w:webHidden/>
          </w:rPr>
          <w:instrText xml:space="preserve"> PAGEREF _Toc509837439 \h </w:instrText>
        </w:r>
        <w:r w:rsidR="00D100B0">
          <w:rPr>
            <w:noProof/>
            <w:webHidden/>
          </w:rPr>
        </w:r>
        <w:r w:rsidR="00D100B0">
          <w:rPr>
            <w:noProof/>
            <w:webHidden/>
          </w:rPr>
          <w:fldChar w:fldCharType="separate"/>
        </w:r>
        <w:r w:rsidR="005D5C7C">
          <w:rPr>
            <w:noProof/>
            <w:webHidden/>
          </w:rPr>
          <w:t>7</w:t>
        </w:r>
        <w:r w:rsidR="00D100B0">
          <w:rPr>
            <w:noProof/>
            <w:webHidden/>
          </w:rPr>
          <w:fldChar w:fldCharType="end"/>
        </w:r>
      </w:hyperlink>
    </w:p>
    <w:p w14:paraId="507347CA" w14:textId="47F2947D"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0" w:history="1">
        <w:r w:rsidR="00D100B0" w:rsidRPr="00C82CEC">
          <w:rPr>
            <w:rStyle w:val="Hyperlink"/>
            <w:noProof/>
          </w:rPr>
          <w:t>Figure ES.7: Aggregate Load Impacts for the Typical Event Day by Year and Weather Scenario over RA Window, PG&amp;E Large</w:t>
        </w:r>
        <w:r w:rsidR="00D100B0">
          <w:rPr>
            <w:noProof/>
            <w:webHidden/>
          </w:rPr>
          <w:tab/>
        </w:r>
        <w:r w:rsidR="00D100B0">
          <w:rPr>
            <w:noProof/>
            <w:webHidden/>
          </w:rPr>
          <w:fldChar w:fldCharType="begin"/>
        </w:r>
        <w:r w:rsidR="00D100B0">
          <w:rPr>
            <w:noProof/>
            <w:webHidden/>
          </w:rPr>
          <w:instrText xml:space="preserve"> PAGEREF _Toc509837440 \h </w:instrText>
        </w:r>
        <w:r w:rsidR="00D100B0">
          <w:rPr>
            <w:noProof/>
            <w:webHidden/>
          </w:rPr>
        </w:r>
        <w:r w:rsidR="00D100B0">
          <w:rPr>
            <w:noProof/>
            <w:webHidden/>
          </w:rPr>
          <w:fldChar w:fldCharType="separate"/>
        </w:r>
        <w:r w:rsidR="005D5C7C">
          <w:rPr>
            <w:noProof/>
            <w:webHidden/>
          </w:rPr>
          <w:t>9</w:t>
        </w:r>
        <w:r w:rsidR="00D100B0">
          <w:rPr>
            <w:noProof/>
            <w:webHidden/>
          </w:rPr>
          <w:fldChar w:fldCharType="end"/>
        </w:r>
      </w:hyperlink>
    </w:p>
    <w:p w14:paraId="7195DEC1" w14:textId="6AEEF76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1" w:history="1">
        <w:r w:rsidR="00D100B0" w:rsidRPr="00C82CEC">
          <w:rPr>
            <w:rStyle w:val="Hyperlink"/>
            <w:noProof/>
          </w:rPr>
          <w:t>Figure ES.8: Aggregate Load Impacts for the Typical Event Day by Year and Weather Scenario over RA Window, PG&amp;E Medium</w:t>
        </w:r>
        <w:r w:rsidR="00D100B0">
          <w:rPr>
            <w:noProof/>
            <w:webHidden/>
          </w:rPr>
          <w:tab/>
        </w:r>
        <w:r w:rsidR="00D100B0">
          <w:rPr>
            <w:noProof/>
            <w:webHidden/>
          </w:rPr>
          <w:fldChar w:fldCharType="begin"/>
        </w:r>
        <w:r w:rsidR="00D100B0">
          <w:rPr>
            <w:noProof/>
            <w:webHidden/>
          </w:rPr>
          <w:instrText xml:space="preserve"> PAGEREF _Toc509837441 \h </w:instrText>
        </w:r>
        <w:r w:rsidR="00D100B0">
          <w:rPr>
            <w:noProof/>
            <w:webHidden/>
          </w:rPr>
        </w:r>
        <w:r w:rsidR="00D100B0">
          <w:rPr>
            <w:noProof/>
            <w:webHidden/>
          </w:rPr>
          <w:fldChar w:fldCharType="separate"/>
        </w:r>
        <w:r w:rsidR="005D5C7C">
          <w:rPr>
            <w:noProof/>
            <w:webHidden/>
          </w:rPr>
          <w:t>10</w:t>
        </w:r>
        <w:r w:rsidR="00D100B0">
          <w:rPr>
            <w:noProof/>
            <w:webHidden/>
          </w:rPr>
          <w:fldChar w:fldCharType="end"/>
        </w:r>
      </w:hyperlink>
    </w:p>
    <w:p w14:paraId="1D8F922B" w14:textId="7F997DD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2" w:history="1">
        <w:r w:rsidR="00D100B0" w:rsidRPr="00C82CEC">
          <w:rPr>
            <w:rStyle w:val="Hyperlink"/>
            <w:noProof/>
          </w:rPr>
          <w:t>Figure ES.9: Aggregate Load Impacts for the Typical Event Day by Year and Weather Scenario over RA Window, PG&amp;E Small</w:t>
        </w:r>
        <w:r w:rsidR="00D100B0">
          <w:rPr>
            <w:noProof/>
            <w:webHidden/>
          </w:rPr>
          <w:tab/>
        </w:r>
        <w:r w:rsidR="00D100B0">
          <w:rPr>
            <w:noProof/>
            <w:webHidden/>
          </w:rPr>
          <w:fldChar w:fldCharType="begin"/>
        </w:r>
        <w:r w:rsidR="00D100B0">
          <w:rPr>
            <w:noProof/>
            <w:webHidden/>
          </w:rPr>
          <w:instrText xml:space="preserve"> PAGEREF _Toc509837442 \h </w:instrText>
        </w:r>
        <w:r w:rsidR="00D100B0">
          <w:rPr>
            <w:noProof/>
            <w:webHidden/>
          </w:rPr>
        </w:r>
        <w:r w:rsidR="00D100B0">
          <w:rPr>
            <w:noProof/>
            <w:webHidden/>
          </w:rPr>
          <w:fldChar w:fldCharType="separate"/>
        </w:r>
        <w:r w:rsidR="005D5C7C">
          <w:rPr>
            <w:noProof/>
            <w:webHidden/>
          </w:rPr>
          <w:t>11</w:t>
        </w:r>
        <w:r w:rsidR="00D100B0">
          <w:rPr>
            <w:noProof/>
            <w:webHidden/>
          </w:rPr>
          <w:fldChar w:fldCharType="end"/>
        </w:r>
      </w:hyperlink>
    </w:p>
    <w:p w14:paraId="27E73F6F" w14:textId="6BC1C57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3" w:history="1">
        <w:r w:rsidR="00D100B0" w:rsidRPr="00C82CEC">
          <w:rPr>
            <w:rStyle w:val="Hyperlink"/>
            <w:noProof/>
          </w:rPr>
          <w:t>Figure ES.10: Aggregate Load Impacts for Typical Event Day by Year and Weather Scenario over RA Window, SCE Large</w:t>
        </w:r>
        <w:r w:rsidR="00D100B0">
          <w:rPr>
            <w:noProof/>
            <w:webHidden/>
          </w:rPr>
          <w:tab/>
        </w:r>
        <w:r w:rsidR="00D100B0">
          <w:rPr>
            <w:noProof/>
            <w:webHidden/>
          </w:rPr>
          <w:fldChar w:fldCharType="begin"/>
        </w:r>
        <w:r w:rsidR="00D100B0">
          <w:rPr>
            <w:noProof/>
            <w:webHidden/>
          </w:rPr>
          <w:instrText xml:space="preserve"> PAGEREF _Toc509837443 \h </w:instrText>
        </w:r>
        <w:r w:rsidR="00D100B0">
          <w:rPr>
            <w:noProof/>
            <w:webHidden/>
          </w:rPr>
        </w:r>
        <w:r w:rsidR="00D100B0">
          <w:rPr>
            <w:noProof/>
            <w:webHidden/>
          </w:rPr>
          <w:fldChar w:fldCharType="separate"/>
        </w:r>
        <w:r w:rsidR="005D5C7C">
          <w:rPr>
            <w:noProof/>
            <w:webHidden/>
          </w:rPr>
          <w:t>12</w:t>
        </w:r>
        <w:r w:rsidR="00D100B0">
          <w:rPr>
            <w:noProof/>
            <w:webHidden/>
          </w:rPr>
          <w:fldChar w:fldCharType="end"/>
        </w:r>
      </w:hyperlink>
    </w:p>
    <w:p w14:paraId="6D79478F" w14:textId="662A058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4" w:history="1">
        <w:r w:rsidR="00D100B0" w:rsidRPr="00C82CEC">
          <w:rPr>
            <w:rStyle w:val="Hyperlink"/>
            <w:noProof/>
          </w:rPr>
          <w:t>Figure ES.11: Aggregate Load Impacts for Typical Event Day by Year and Weather Scenario over RA Window, SCE Medium</w:t>
        </w:r>
        <w:r w:rsidR="00D100B0">
          <w:rPr>
            <w:noProof/>
            <w:webHidden/>
          </w:rPr>
          <w:tab/>
        </w:r>
        <w:r w:rsidR="00D100B0">
          <w:rPr>
            <w:noProof/>
            <w:webHidden/>
          </w:rPr>
          <w:fldChar w:fldCharType="begin"/>
        </w:r>
        <w:r w:rsidR="00D100B0">
          <w:rPr>
            <w:noProof/>
            <w:webHidden/>
          </w:rPr>
          <w:instrText xml:space="preserve"> PAGEREF _Toc509837444 \h </w:instrText>
        </w:r>
        <w:r w:rsidR="00D100B0">
          <w:rPr>
            <w:noProof/>
            <w:webHidden/>
          </w:rPr>
        </w:r>
        <w:r w:rsidR="00D100B0">
          <w:rPr>
            <w:noProof/>
            <w:webHidden/>
          </w:rPr>
          <w:fldChar w:fldCharType="separate"/>
        </w:r>
        <w:r w:rsidR="005D5C7C">
          <w:rPr>
            <w:noProof/>
            <w:webHidden/>
          </w:rPr>
          <w:t>13</w:t>
        </w:r>
        <w:r w:rsidR="00D100B0">
          <w:rPr>
            <w:noProof/>
            <w:webHidden/>
          </w:rPr>
          <w:fldChar w:fldCharType="end"/>
        </w:r>
      </w:hyperlink>
    </w:p>
    <w:p w14:paraId="60BB28AA" w14:textId="489C5C09"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5" w:history="1">
        <w:r w:rsidR="00D100B0" w:rsidRPr="00C82CEC">
          <w:rPr>
            <w:rStyle w:val="Hyperlink"/>
            <w:noProof/>
          </w:rPr>
          <w:t>Figure ES.12: Aggregate Load Impacts for Typical Event Day by Year and Weather Scenario over RA Window, SCE Small</w:t>
        </w:r>
        <w:r w:rsidR="00D100B0">
          <w:rPr>
            <w:noProof/>
            <w:webHidden/>
          </w:rPr>
          <w:tab/>
        </w:r>
        <w:r w:rsidR="00D100B0">
          <w:rPr>
            <w:noProof/>
            <w:webHidden/>
          </w:rPr>
          <w:fldChar w:fldCharType="begin"/>
        </w:r>
        <w:r w:rsidR="00D100B0">
          <w:rPr>
            <w:noProof/>
            <w:webHidden/>
          </w:rPr>
          <w:instrText xml:space="preserve"> PAGEREF _Toc509837445 \h </w:instrText>
        </w:r>
        <w:r w:rsidR="00D100B0">
          <w:rPr>
            <w:noProof/>
            <w:webHidden/>
          </w:rPr>
        </w:r>
        <w:r w:rsidR="00D100B0">
          <w:rPr>
            <w:noProof/>
            <w:webHidden/>
          </w:rPr>
          <w:fldChar w:fldCharType="separate"/>
        </w:r>
        <w:r w:rsidR="005D5C7C">
          <w:rPr>
            <w:noProof/>
            <w:webHidden/>
          </w:rPr>
          <w:t>14</w:t>
        </w:r>
        <w:r w:rsidR="00D100B0">
          <w:rPr>
            <w:noProof/>
            <w:webHidden/>
          </w:rPr>
          <w:fldChar w:fldCharType="end"/>
        </w:r>
      </w:hyperlink>
    </w:p>
    <w:p w14:paraId="0713FB5F" w14:textId="59F3226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6" w:history="1">
        <w:r w:rsidR="00D100B0" w:rsidRPr="00C82CEC">
          <w:rPr>
            <w:rStyle w:val="Hyperlink"/>
            <w:noProof/>
          </w:rPr>
          <w:t>Figure ES.13: Aggregate Load Impacts for Average Weekday Event by Year and Weather Scenario over RA Window, SDG&amp;E Large</w:t>
        </w:r>
        <w:r w:rsidR="00D100B0">
          <w:rPr>
            <w:noProof/>
            <w:webHidden/>
          </w:rPr>
          <w:tab/>
        </w:r>
        <w:r w:rsidR="00D100B0">
          <w:rPr>
            <w:noProof/>
            <w:webHidden/>
          </w:rPr>
          <w:fldChar w:fldCharType="begin"/>
        </w:r>
        <w:r w:rsidR="00D100B0">
          <w:rPr>
            <w:noProof/>
            <w:webHidden/>
          </w:rPr>
          <w:instrText xml:space="preserve"> PAGEREF _Toc509837446 \h </w:instrText>
        </w:r>
        <w:r w:rsidR="00D100B0">
          <w:rPr>
            <w:noProof/>
            <w:webHidden/>
          </w:rPr>
        </w:r>
        <w:r w:rsidR="00D100B0">
          <w:rPr>
            <w:noProof/>
            <w:webHidden/>
          </w:rPr>
          <w:fldChar w:fldCharType="separate"/>
        </w:r>
        <w:r w:rsidR="005D5C7C">
          <w:rPr>
            <w:noProof/>
            <w:webHidden/>
          </w:rPr>
          <w:t>15</w:t>
        </w:r>
        <w:r w:rsidR="00D100B0">
          <w:rPr>
            <w:noProof/>
            <w:webHidden/>
          </w:rPr>
          <w:fldChar w:fldCharType="end"/>
        </w:r>
      </w:hyperlink>
    </w:p>
    <w:p w14:paraId="249F176C" w14:textId="00F60F6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7" w:history="1">
        <w:r w:rsidR="00D100B0" w:rsidRPr="00C82CEC">
          <w:rPr>
            <w:rStyle w:val="Hyperlink"/>
            <w:noProof/>
          </w:rPr>
          <w:t>Figure ES.14: Aggregate Load Impacts for Average Weekday Event by Year and Weather Scenario over RA Window, SDG&amp;E Medium</w:t>
        </w:r>
        <w:r w:rsidR="00D100B0">
          <w:rPr>
            <w:noProof/>
            <w:webHidden/>
          </w:rPr>
          <w:tab/>
        </w:r>
        <w:r w:rsidR="00D100B0">
          <w:rPr>
            <w:noProof/>
            <w:webHidden/>
          </w:rPr>
          <w:fldChar w:fldCharType="begin"/>
        </w:r>
        <w:r w:rsidR="00D100B0">
          <w:rPr>
            <w:noProof/>
            <w:webHidden/>
          </w:rPr>
          <w:instrText xml:space="preserve"> PAGEREF _Toc509837447 \h </w:instrText>
        </w:r>
        <w:r w:rsidR="00D100B0">
          <w:rPr>
            <w:noProof/>
            <w:webHidden/>
          </w:rPr>
        </w:r>
        <w:r w:rsidR="00D100B0">
          <w:rPr>
            <w:noProof/>
            <w:webHidden/>
          </w:rPr>
          <w:fldChar w:fldCharType="separate"/>
        </w:r>
        <w:r w:rsidR="005D5C7C">
          <w:rPr>
            <w:noProof/>
            <w:webHidden/>
          </w:rPr>
          <w:t>15</w:t>
        </w:r>
        <w:r w:rsidR="00D100B0">
          <w:rPr>
            <w:noProof/>
            <w:webHidden/>
          </w:rPr>
          <w:fldChar w:fldCharType="end"/>
        </w:r>
      </w:hyperlink>
    </w:p>
    <w:p w14:paraId="06524EA6" w14:textId="2C8A1D8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8" w:history="1">
        <w:r w:rsidR="00D100B0" w:rsidRPr="00C82CEC">
          <w:rPr>
            <w:rStyle w:val="Hyperlink"/>
            <w:noProof/>
          </w:rPr>
          <w:t>Figure 3.1: Average Event-Hour Load Impacts by Event, PG&amp;E Large</w:t>
        </w:r>
        <w:r w:rsidR="00D100B0">
          <w:rPr>
            <w:noProof/>
            <w:webHidden/>
          </w:rPr>
          <w:tab/>
        </w:r>
        <w:r w:rsidR="00D100B0">
          <w:rPr>
            <w:noProof/>
            <w:webHidden/>
          </w:rPr>
          <w:fldChar w:fldCharType="begin"/>
        </w:r>
        <w:r w:rsidR="00D100B0">
          <w:rPr>
            <w:noProof/>
            <w:webHidden/>
          </w:rPr>
          <w:instrText xml:space="preserve"> PAGEREF _Toc509837448 \h </w:instrText>
        </w:r>
        <w:r w:rsidR="00D100B0">
          <w:rPr>
            <w:noProof/>
            <w:webHidden/>
          </w:rPr>
        </w:r>
        <w:r w:rsidR="00D100B0">
          <w:rPr>
            <w:noProof/>
            <w:webHidden/>
          </w:rPr>
          <w:fldChar w:fldCharType="separate"/>
        </w:r>
        <w:r w:rsidR="005D5C7C">
          <w:rPr>
            <w:noProof/>
            <w:webHidden/>
          </w:rPr>
          <w:t>25</w:t>
        </w:r>
        <w:r w:rsidR="00D100B0">
          <w:rPr>
            <w:noProof/>
            <w:webHidden/>
          </w:rPr>
          <w:fldChar w:fldCharType="end"/>
        </w:r>
      </w:hyperlink>
    </w:p>
    <w:p w14:paraId="1E9FE390" w14:textId="3BEE36A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49" w:history="1">
        <w:r w:rsidR="00D100B0" w:rsidRPr="00C82CEC">
          <w:rPr>
            <w:rStyle w:val="Hyperlink"/>
            <w:noProof/>
          </w:rPr>
          <w:t>Figure 3.2: Typical Event Day Reference Loads and Load Profile, PG&amp;E Large</w:t>
        </w:r>
        <w:r w:rsidR="00D100B0">
          <w:rPr>
            <w:noProof/>
            <w:webHidden/>
          </w:rPr>
          <w:tab/>
        </w:r>
        <w:r w:rsidR="00D100B0">
          <w:rPr>
            <w:noProof/>
            <w:webHidden/>
          </w:rPr>
          <w:fldChar w:fldCharType="begin"/>
        </w:r>
        <w:r w:rsidR="00D100B0">
          <w:rPr>
            <w:noProof/>
            <w:webHidden/>
          </w:rPr>
          <w:instrText xml:space="preserve"> PAGEREF _Toc509837449 \h </w:instrText>
        </w:r>
        <w:r w:rsidR="00D100B0">
          <w:rPr>
            <w:noProof/>
            <w:webHidden/>
          </w:rPr>
        </w:r>
        <w:r w:rsidR="00D100B0">
          <w:rPr>
            <w:noProof/>
            <w:webHidden/>
          </w:rPr>
          <w:fldChar w:fldCharType="separate"/>
        </w:r>
        <w:r w:rsidR="005D5C7C">
          <w:rPr>
            <w:noProof/>
            <w:webHidden/>
          </w:rPr>
          <w:t>27</w:t>
        </w:r>
        <w:r w:rsidR="00D100B0">
          <w:rPr>
            <w:noProof/>
            <w:webHidden/>
          </w:rPr>
          <w:fldChar w:fldCharType="end"/>
        </w:r>
      </w:hyperlink>
    </w:p>
    <w:p w14:paraId="76E9DA0F" w14:textId="36B187E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0" w:history="1">
        <w:r w:rsidR="00D100B0" w:rsidRPr="00C82CEC">
          <w:rPr>
            <w:rStyle w:val="Hyperlink"/>
            <w:noProof/>
            <w:highlight w:val="lightGray"/>
          </w:rPr>
          <w:t>Figure 3.3: Typical Event Day Event-Hour Load Impacts by Industry Group, PG&amp;E Large</w:t>
        </w:r>
        <w:r w:rsidR="00D100B0">
          <w:rPr>
            <w:noProof/>
            <w:webHidden/>
          </w:rPr>
          <w:tab/>
        </w:r>
        <w:r w:rsidR="00D100B0">
          <w:rPr>
            <w:noProof/>
            <w:webHidden/>
          </w:rPr>
          <w:fldChar w:fldCharType="begin"/>
        </w:r>
        <w:r w:rsidR="00D100B0">
          <w:rPr>
            <w:noProof/>
            <w:webHidden/>
          </w:rPr>
          <w:instrText xml:space="preserve"> PAGEREF _Toc509837450 \h </w:instrText>
        </w:r>
        <w:r w:rsidR="00D100B0">
          <w:rPr>
            <w:noProof/>
            <w:webHidden/>
          </w:rPr>
        </w:r>
        <w:r w:rsidR="00D100B0">
          <w:rPr>
            <w:noProof/>
            <w:webHidden/>
          </w:rPr>
          <w:fldChar w:fldCharType="separate"/>
        </w:r>
        <w:r w:rsidR="005D5C7C">
          <w:rPr>
            <w:noProof/>
            <w:webHidden/>
          </w:rPr>
          <w:t>30</w:t>
        </w:r>
        <w:r w:rsidR="00D100B0">
          <w:rPr>
            <w:noProof/>
            <w:webHidden/>
          </w:rPr>
          <w:fldChar w:fldCharType="end"/>
        </w:r>
      </w:hyperlink>
    </w:p>
    <w:p w14:paraId="045F6DFC" w14:textId="5B9ACD6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1" w:history="1">
        <w:r w:rsidR="00D100B0" w:rsidRPr="00C82CEC">
          <w:rPr>
            <w:rStyle w:val="Hyperlink"/>
            <w:noProof/>
            <w:highlight w:val="lightGray"/>
          </w:rPr>
          <w:t>Figure 3.4: Typical Event Day Event-Hour Load Impacts by LCA, PG&amp;E Large</w:t>
        </w:r>
        <w:r w:rsidR="00D100B0">
          <w:rPr>
            <w:noProof/>
            <w:webHidden/>
          </w:rPr>
          <w:tab/>
        </w:r>
        <w:r w:rsidR="00D100B0">
          <w:rPr>
            <w:noProof/>
            <w:webHidden/>
          </w:rPr>
          <w:fldChar w:fldCharType="begin"/>
        </w:r>
        <w:r w:rsidR="00D100B0">
          <w:rPr>
            <w:noProof/>
            <w:webHidden/>
          </w:rPr>
          <w:instrText xml:space="preserve"> PAGEREF _Toc509837451 \h </w:instrText>
        </w:r>
        <w:r w:rsidR="00D100B0">
          <w:rPr>
            <w:noProof/>
            <w:webHidden/>
          </w:rPr>
        </w:r>
        <w:r w:rsidR="00D100B0">
          <w:rPr>
            <w:noProof/>
            <w:webHidden/>
          </w:rPr>
          <w:fldChar w:fldCharType="separate"/>
        </w:r>
        <w:r w:rsidR="005D5C7C">
          <w:rPr>
            <w:noProof/>
            <w:webHidden/>
          </w:rPr>
          <w:t>31</w:t>
        </w:r>
        <w:r w:rsidR="00D100B0">
          <w:rPr>
            <w:noProof/>
            <w:webHidden/>
          </w:rPr>
          <w:fldChar w:fldCharType="end"/>
        </w:r>
      </w:hyperlink>
    </w:p>
    <w:p w14:paraId="5C0B0BD3" w14:textId="7061350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2" w:history="1">
        <w:r w:rsidR="00D100B0" w:rsidRPr="00C82CEC">
          <w:rPr>
            <w:rStyle w:val="Hyperlink"/>
            <w:noProof/>
          </w:rPr>
          <w:t>Figure 3.5: Average Event-Hour Load Impacts by Event, PG&amp;E SMB</w:t>
        </w:r>
        <w:r w:rsidR="00D100B0">
          <w:rPr>
            <w:noProof/>
            <w:webHidden/>
          </w:rPr>
          <w:tab/>
        </w:r>
        <w:r w:rsidR="00D100B0">
          <w:rPr>
            <w:noProof/>
            <w:webHidden/>
          </w:rPr>
          <w:fldChar w:fldCharType="begin"/>
        </w:r>
        <w:r w:rsidR="00D100B0">
          <w:rPr>
            <w:noProof/>
            <w:webHidden/>
          </w:rPr>
          <w:instrText xml:space="preserve"> PAGEREF _Toc509837452 \h </w:instrText>
        </w:r>
        <w:r w:rsidR="00D100B0">
          <w:rPr>
            <w:noProof/>
            <w:webHidden/>
          </w:rPr>
        </w:r>
        <w:r w:rsidR="00D100B0">
          <w:rPr>
            <w:noProof/>
            <w:webHidden/>
          </w:rPr>
          <w:fldChar w:fldCharType="separate"/>
        </w:r>
        <w:r w:rsidR="005D5C7C">
          <w:rPr>
            <w:noProof/>
            <w:webHidden/>
          </w:rPr>
          <w:t>32</w:t>
        </w:r>
        <w:r w:rsidR="00D100B0">
          <w:rPr>
            <w:noProof/>
            <w:webHidden/>
          </w:rPr>
          <w:fldChar w:fldCharType="end"/>
        </w:r>
      </w:hyperlink>
    </w:p>
    <w:p w14:paraId="2ED18F18" w14:textId="060E56F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3" w:history="1">
        <w:r w:rsidR="00D100B0" w:rsidRPr="00C82CEC">
          <w:rPr>
            <w:rStyle w:val="Hyperlink"/>
            <w:noProof/>
          </w:rPr>
          <w:t>Figure 3.6: Typical Event Day Reference Loads and Load Profile, PG&amp;E Medium</w:t>
        </w:r>
        <w:r w:rsidR="00D100B0">
          <w:rPr>
            <w:noProof/>
            <w:webHidden/>
          </w:rPr>
          <w:tab/>
        </w:r>
        <w:r w:rsidR="00D100B0">
          <w:rPr>
            <w:noProof/>
            <w:webHidden/>
          </w:rPr>
          <w:fldChar w:fldCharType="begin"/>
        </w:r>
        <w:r w:rsidR="00D100B0">
          <w:rPr>
            <w:noProof/>
            <w:webHidden/>
          </w:rPr>
          <w:instrText xml:space="preserve"> PAGEREF _Toc509837453 \h </w:instrText>
        </w:r>
        <w:r w:rsidR="00D100B0">
          <w:rPr>
            <w:noProof/>
            <w:webHidden/>
          </w:rPr>
        </w:r>
        <w:r w:rsidR="00D100B0">
          <w:rPr>
            <w:noProof/>
            <w:webHidden/>
          </w:rPr>
          <w:fldChar w:fldCharType="separate"/>
        </w:r>
        <w:r w:rsidR="005D5C7C">
          <w:rPr>
            <w:noProof/>
            <w:webHidden/>
          </w:rPr>
          <w:t>35</w:t>
        </w:r>
        <w:r w:rsidR="00D100B0">
          <w:rPr>
            <w:noProof/>
            <w:webHidden/>
          </w:rPr>
          <w:fldChar w:fldCharType="end"/>
        </w:r>
      </w:hyperlink>
    </w:p>
    <w:p w14:paraId="386B65B5" w14:textId="78DF9D4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4" w:history="1">
        <w:r w:rsidR="00D100B0" w:rsidRPr="00C82CEC">
          <w:rPr>
            <w:rStyle w:val="Hyperlink"/>
            <w:noProof/>
          </w:rPr>
          <w:t>Figure 3.7: Typical Event Day Reference Loads and Load Profile, PG&amp;E Small</w:t>
        </w:r>
        <w:r w:rsidR="00D100B0">
          <w:rPr>
            <w:noProof/>
            <w:webHidden/>
          </w:rPr>
          <w:tab/>
        </w:r>
        <w:r w:rsidR="00D100B0">
          <w:rPr>
            <w:noProof/>
            <w:webHidden/>
          </w:rPr>
          <w:fldChar w:fldCharType="begin"/>
        </w:r>
        <w:r w:rsidR="00D100B0">
          <w:rPr>
            <w:noProof/>
            <w:webHidden/>
          </w:rPr>
          <w:instrText xml:space="preserve"> PAGEREF _Toc509837454 \h </w:instrText>
        </w:r>
        <w:r w:rsidR="00D100B0">
          <w:rPr>
            <w:noProof/>
            <w:webHidden/>
          </w:rPr>
        </w:r>
        <w:r w:rsidR="00D100B0">
          <w:rPr>
            <w:noProof/>
            <w:webHidden/>
          </w:rPr>
          <w:fldChar w:fldCharType="separate"/>
        </w:r>
        <w:r w:rsidR="005D5C7C">
          <w:rPr>
            <w:noProof/>
            <w:webHidden/>
          </w:rPr>
          <w:t>36</w:t>
        </w:r>
        <w:r w:rsidR="00D100B0">
          <w:rPr>
            <w:noProof/>
            <w:webHidden/>
          </w:rPr>
          <w:fldChar w:fldCharType="end"/>
        </w:r>
      </w:hyperlink>
    </w:p>
    <w:p w14:paraId="0B29B05E" w14:textId="3759FA9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5" w:history="1">
        <w:r w:rsidR="00D100B0" w:rsidRPr="00C82CEC">
          <w:rPr>
            <w:rStyle w:val="Hyperlink"/>
            <w:noProof/>
          </w:rPr>
          <w:t>Figure 3.8: Typical Event Day Event-Hour Load Impacts by Industry Group,</w:t>
        </w:r>
        <w:r w:rsidR="00D100B0">
          <w:rPr>
            <w:noProof/>
            <w:webHidden/>
          </w:rPr>
          <w:tab/>
        </w:r>
        <w:r w:rsidR="00D100B0">
          <w:rPr>
            <w:noProof/>
            <w:webHidden/>
          </w:rPr>
          <w:fldChar w:fldCharType="begin"/>
        </w:r>
        <w:r w:rsidR="00D100B0">
          <w:rPr>
            <w:noProof/>
            <w:webHidden/>
          </w:rPr>
          <w:instrText xml:space="preserve"> PAGEREF _Toc509837455 \h </w:instrText>
        </w:r>
        <w:r w:rsidR="00D100B0">
          <w:rPr>
            <w:noProof/>
            <w:webHidden/>
          </w:rPr>
        </w:r>
        <w:r w:rsidR="00D100B0">
          <w:rPr>
            <w:noProof/>
            <w:webHidden/>
          </w:rPr>
          <w:fldChar w:fldCharType="separate"/>
        </w:r>
        <w:r w:rsidR="005D5C7C">
          <w:rPr>
            <w:noProof/>
            <w:webHidden/>
          </w:rPr>
          <w:t>39</w:t>
        </w:r>
        <w:r w:rsidR="00D100B0">
          <w:rPr>
            <w:noProof/>
            <w:webHidden/>
          </w:rPr>
          <w:fldChar w:fldCharType="end"/>
        </w:r>
      </w:hyperlink>
    </w:p>
    <w:p w14:paraId="595FB0EE" w14:textId="163CA7B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6" w:history="1">
        <w:r w:rsidR="00D100B0" w:rsidRPr="00C82CEC">
          <w:rPr>
            <w:rStyle w:val="Hyperlink"/>
            <w:noProof/>
          </w:rPr>
          <w:t>PG&amp;E Medium</w:t>
        </w:r>
        <w:r w:rsidR="00D100B0">
          <w:rPr>
            <w:noProof/>
            <w:webHidden/>
          </w:rPr>
          <w:tab/>
        </w:r>
        <w:r w:rsidR="00D100B0">
          <w:rPr>
            <w:noProof/>
            <w:webHidden/>
          </w:rPr>
          <w:fldChar w:fldCharType="begin"/>
        </w:r>
        <w:r w:rsidR="00D100B0">
          <w:rPr>
            <w:noProof/>
            <w:webHidden/>
          </w:rPr>
          <w:instrText xml:space="preserve"> PAGEREF _Toc509837456 \h </w:instrText>
        </w:r>
        <w:r w:rsidR="00D100B0">
          <w:rPr>
            <w:noProof/>
            <w:webHidden/>
          </w:rPr>
        </w:r>
        <w:r w:rsidR="00D100B0">
          <w:rPr>
            <w:noProof/>
            <w:webHidden/>
          </w:rPr>
          <w:fldChar w:fldCharType="separate"/>
        </w:r>
        <w:r w:rsidR="005D5C7C">
          <w:rPr>
            <w:noProof/>
            <w:webHidden/>
          </w:rPr>
          <w:t>39</w:t>
        </w:r>
        <w:r w:rsidR="00D100B0">
          <w:rPr>
            <w:noProof/>
            <w:webHidden/>
          </w:rPr>
          <w:fldChar w:fldCharType="end"/>
        </w:r>
      </w:hyperlink>
    </w:p>
    <w:p w14:paraId="47138FCC" w14:textId="68E3E86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7" w:history="1">
        <w:r w:rsidR="00D100B0" w:rsidRPr="00C82CEC">
          <w:rPr>
            <w:rStyle w:val="Hyperlink"/>
            <w:noProof/>
          </w:rPr>
          <w:t>Figure 3.9: Typical Event Day Event-Hour Load Impacts by Industry Group,  PG&amp;E Small</w:t>
        </w:r>
        <w:r w:rsidR="00D100B0">
          <w:rPr>
            <w:noProof/>
            <w:webHidden/>
          </w:rPr>
          <w:tab/>
        </w:r>
        <w:r w:rsidR="00D100B0">
          <w:rPr>
            <w:noProof/>
            <w:webHidden/>
          </w:rPr>
          <w:fldChar w:fldCharType="begin"/>
        </w:r>
        <w:r w:rsidR="00D100B0">
          <w:rPr>
            <w:noProof/>
            <w:webHidden/>
          </w:rPr>
          <w:instrText xml:space="preserve"> PAGEREF _Toc509837457 \h </w:instrText>
        </w:r>
        <w:r w:rsidR="00D100B0">
          <w:rPr>
            <w:noProof/>
            <w:webHidden/>
          </w:rPr>
        </w:r>
        <w:r w:rsidR="00D100B0">
          <w:rPr>
            <w:noProof/>
            <w:webHidden/>
          </w:rPr>
          <w:fldChar w:fldCharType="separate"/>
        </w:r>
        <w:r w:rsidR="005D5C7C">
          <w:rPr>
            <w:noProof/>
            <w:webHidden/>
          </w:rPr>
          <w:t>41</w:t>
        </w:r>
        <w:r w:rsidR="00D100B0">
          <w:rPr>
            <w:noProof/>
            <w:webHidden/>
          </w:rPr>
          <w:fldChar w:fldCharType="end"/>
        </w:r>
      </w:hyperlink>
    </w:p>
    <w:p w14:paraId="5480702E" w14:textId="7D8627E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8" w:history="1">
        <w:r w:rsidR="00D100B0" w:rsidRPr="00C82CEC">
          <w:rPr>
            <w:rStyle w:val="Hyperlink"/>
            <w:noProof/>
          </w:rPr>
          <w:t>Figure 3.10: Typical Event Day Event-Hour Load Impacts by LCA, PG&amp;E Medium</w:t>
        </w:r>
        <w:r w:rsidR="00D100B0">
          <w:rPr>
            <w:noProof/>
            <w:webHidden/>
          </w:rPr>
          <w:tab/>
        </w:r>
        <w:r w:rsidR="00D100B0">
          <w:rPr>
            <w:noProof/>
            <w:webHidden/>
          </w:rPr>
          <w:fldChar w:fldCharType="begin"/>
        </w:r>
        <w:r w:rsidR="00D100B0">
          <w:rPr>
            <w:noProof/>
            <w:webHidden/>
          </w:rPr>
          <w:instrText xml:space="preserve"> PAGEREF _Toc509837458 \h </w:instrText>
        </w:r>
        <w:r w:rsidR="00D100B0">
          <w:rPr>
            <w:noProof/>
            <w:webHidden/>
          </w:rPr>
        </w:r>
        <w:r w:rsidR="00D100B0">
          <w:rPr>
            <w:noProof/>
            <w:webHidden/>
          </w:rPr>
          <w:fldChar w:fldCharType="separate"/>
        </w:r>
        <w:r w:rsidR="005D5C7C">
          <w:rPr>
            <w:noProof/>
            <w:webHidden/>
          </w:rPr>
          <w:t>42</w:t>
        </w:r>
        <w:r w:rsidR="00D100B0">
          <w:rPr>
            <w:noProof/>
            <w:webHidden/>
          </w:rPr>
          <w:fldChar w:fldCharType="end"/>
        </w:r>
      </w:hyperlink>
    </w:p>
    <w:p w14:paraId="5E5C8434" w14:textId="0DBC315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59" w:history="1">
        <w:r w:rsidR="00D100B0" w:rsidRPr="00C82CEC">
          <w:rPr>
            <w:rStyle w:val="Hyperlink"/>
            <w:noProof/>
          </w:rPr>
          <w:t>Figure 3.11: Typical Event Day Event-Hour Load Impacts by LCA, PG&amp;E Small</w:t>
        </w:r>
        <w:r w:rsidR="00D100B0">
          <w:rPr>
            <w:noProof/>
            <w:webHidden/>
          </w:rPr>
          <w:tab/>
        </w:r>
        <w:r w:rsidR="00D100B0">
          <w:rPr>
            <w:noProof/>
            <w:webHidden/>
          </w:rPr>
          <w:fldChar w:fldCharType="begin"/>
        </w:r>
        <w:r w:rsidR="00D100B0">
          <w:rPr>
            <w:noProof/>
            <w:webHidden/>
          </w:rPr>
          <w:instrText xml:space="preserve"> PAGEREF _Toc509837459 \h </w:instrText>
        </w:r>
        <w:r w:rsidR="00D100B0">
          <w:rPr>
            <w:noProof/>
            <w:webHidden/>
          </w:rPr>
        </w:r>
        <w:r w:rsidR="00D100B0">
          <w:rPr>
            <w:noProof/>
            <w:webHidden/>
          </w:rPr>
          <w:fldChar w:fldCharType="separate"/>
        </w:r>
        <w:r w:rsidR="005D5C7C">
          <w:rPr>
            <w:noProof/>
            <w:webHidden/>
          </w:rPr>
          <w:t>43</w:t>
        </w:r>
        <w:r w:rsidR="00D100B0">
          <w:rPr>
            <w:noProof/>
            <w:webHidden/>
          </w:rPr>
          <w:fldChar w:fldCharType="end"/>
        </w:r>
      </w:hyperlink>
    </w:p>
    <w:p w14:paraId="1E48A386" w14:textId="0EEE6D1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0" w:history="1">
        <w:r w:rsidR="00D100B0" w:rsidRPr="00C82CEC">
          <w:rPr>
            <w:rStyle w:val="Hyperlink"/>
            <w:noProof/>
            <w:highlight w:val="lightGray"/>
          </w:rPr>
          <w:t>Figure 3.12: Number of Service Accounts and Percentage Load Impacts, PG&amp;E Segmentation 1</w:t>
        </w:r>
        <w:r w:rsidR="00D100B0">
          <w:rPr>
            <w:noProof/>
            <w:webHidden/>
          </w:rPr>
          <w:tab/>
        </w:r>
        <w:r w:rsidR="00D100B0">
          <w:rPr>
            <w:noProof/>
            <w:webHidden/>
          </w:rPr>
          <w:fldChar w:fldCharType="begin"/>
        </w:r>
        <w:r w:rsidR="00D100B0">
          <w:rPr>
            <w:noProof/>
            <w:webHidden/>
          </w:rPr>
          <w:instrText xml:space="preserve"> PAGEREF _Toc509837460 \h </w:instrText>
        </w:r>
        <w:r w:rsidR="00D100B0">
          <w:rPr>
            <w:noProof/>
            <w:webHidden/>
          </w:rPr>
        </w:r>
        <w:r w:rsidR="00D100B0">
          <w:rPr>
            <w:noProof/>
            <w:webHidden/>
          </w:rPr>
          <w:fldChar w:fldCharType="separate"/>
        </w:r>
        <w:r w:rsidR="005D5C7C">
          <w:rPr>
            <w:noProof/>
            <w:webHidden/>
          </w:rPr>
          <w:t>47</w:t>
        </w:r>
        <w:r w:rsidR="00D100B0">
          <w:rPr>
            <w:noProof/>
            <w:webHidden/>
          </w:rPr>
          <w:fldChar w:fldCharType="end"/>
        </w:r>
      </w:hyperlink>
    </w:p>
    <w:p w14:paraId="63B5FCFB" w14:textId="1B94700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1" w:history="1">
        <w:r w:rsidR="00D100B0" w:rsidRPr="00C82CEC">
          <w:rPr>
            <w:rStyle w:val="Hyperlink"/>
            <w:noProof/>
            <w:highlight w:val="lightGray"/>
          </w:rPr>
          <w:t>Figure 3.13: Number of Service Accounts and Percentage Load Impacts, PG&amp;E Segmentation 2</w:t>
        </w:r>
        <w:r w:rsidR="00D100B0">
          <w:rPr>
            <w:noProof/>
            <w:webHidden/>
          </w:rPr>
          <w:tab/>
        </w:r>
        <w:r w:rsidR="00D100B0">
          <w:rPr>
            <w:noProof/>
            <w:webHidden/>
          </w:rPr>
          <w:fldChar w:fldCharType="begin"/>
        </w:r>
        <w:r w:rsidR="00D100B0">
          <w:rPr>
            <w:noProof/>
            <w:webHidden/>
          </w:rPr>
          <w:instrText xml:space="preserve"> PAGEREF _Toc509837461 \h </w:instrText>
        </w:r>
        <w:r w:rsidR="00D100B0">
          <w:rPr>
            <w:noProof/>
            <w:webHidden/>
          </w:rPr>
        </w:r>
        <w:r w:rsidR="00D100B0">
          <w:rPr>
            <w:noProof/>
            <w:webHidden/>
          </w:rPr>
          <w:fldChar w:fldCharType="separate"/>
        </w:r>
        <w:r w:rsidR="005D5C7C">
          <w:rPr>
            <w:noProof/>
            <w:webHidden/>
          </w:rPr>
          <w:t>49</w:t>
        </w:r>
        <w:r w:rsidR="00D100B0">
          <w:rPr>
            <w:noProof/>
            <w:webHidden/>
          </w:rPr>
          <w:fldChar w:fldCharType="end"/>
        </w:r>
      </w:hyperlink>
    </w:p>
    <w:p w14:paraId="57B716F4" w14:textId="2E9CAC2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2" w:history="1">
        <w:r w:rsidR="00D100B0" w:rsidRPr="00C82CEC">
          <w:rPr>
            <w:rStyle w:val="Hyperlink"/>
            <w:noProof/>
          </w:rPr>
          <w:t>Figure 3.14: Average Incremental Event-Day and Everyday Load Impacts, Small Newly Enrolled Customers</w:t>
        </w:r>
        <w:r w:rsidR="00D100B0">
          <w:rPr>
            <w:noProof/>
            <w:webHidden/>
          </w:rPr>
          <w:tab/>
        </w:r>
        <w:r w:rsidR="00D100B0">
          <w:rPr>
            <w:noProof/>
            <w:webHidden/>
          </w:rPr>
          <w:fldChar w:fldCharType="begin"/>
        </w:r>
        <w:r w:rsidR="00D100B0">
          <w:rPr>
            <w:noProof/>
            <w:webHidden/>
          </w:rPr>
          <w:instrText xml:space="preserve"> PAGEREF _Toc509837462 \h </w:instrText>
        </w:r>
        <w:r w:rsidR="00D100B0">
          <w:rPr>
            <w:noProof/>
            <w:webHidden/>
          </w:rPr>
        </w:r>
        <w:r w:rsidR="00D100B0">
          <w:rPr>
            <w:noProof/>
            <w:webHidden/>
          </w:rPr>
          <w:fldChar w:fldCharType="separate"/>
        </w:r>
        <w:r w:rsidR="005D5C7C">
          <w:rPr>
            <w:noProof/>
            <w:webHidden/>
          </w:rPr>
          <w:t>51</w:t>
        </w:r>
        <w:r w:rsidR="00D100B0">
          <w:rPr>
            <w:noProof/>
            <w:webHidden/>
          </w:rPr>
          <w:fldChar w:fldCharType="end"/>
        </w:r>
      </w:hyperlink>
    </w:p>
    <w:p w14:paraId="25F86C74" w14:textId="0555FD1D"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3" w:history="1">
        <w:r w:rsidR="00D100B0" w:rsidRPr="00C82CEC">
          <w:rPr>
            <w:rStyle w:val="Hyperlink"/>
            <w:noProof/>
          </w:rPr>
          <w:t>Figure 3.15: Average Incremental Event-Day and Everyday Load Impacts, Medium Newly Enrolled Customers</w:t>
        </w:r>
        <w:r w:rsidR="00D100B0">
          <w:rPr>
            <w:noProof/>
            <w:webHidden/>
          </w:rPr>
          <w:tab/>
        </w:r>
        <w:r w:rsidR="00D100B0">
          <w:rPr>
            <w:noProof/>
            <w:webHidden/>
          </w:rPr>
          <w:fldChar w:fldCharType="begin"/>
        </w:r>
        <w:r w:rsidR="00D100B0">
          <w:rPr>
            <w:noProof/>
            <w:webHidden/>
          </w:rPr>
          <w:instrText xml:space="preserve"> PAGEREF _Toc509837463 \h </w:instrText>
        </w:r>
        <w:r w:rsidR="00D100B0">
          <w:rPr>
            <w:noProof/>
            <w:webHidden/>
          </w:rPr>
        </w:r>
        <w:r w:rsidR="00D100B0">
          <w:rPr>
            <w:noProof/>
            <w:webHidden/>
          </w:rPr>
          <w:fldChar w:fldCharType="separate"/>
        </w:r>
        <w:r w:rsidR="005D5C7C">
          <w:rPr>
            <w:noProof/>
            <w:webHidden/>
          </w:rPr>
          <w:t>52</w:t>
        </w:r>
        <w:r w:rsidR="00D100B0">
          <w:rPr>
            <w:noProof/>
            <w:webHidden/>
          </w:rPr>
          <w:fldChar w:fldCharType="end"/>
        </w:r>
      </w:hyperlink>
    </w:p>
    <w:p w14:paraId="46656180" w14:textId="579F67ED"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4" w:history="1">
        <w:r w:rsidR="00D100B0" w:rsidRPr="00C82CEC">
          <w:rPr>
            <w:rStyle w:val="Hyperlink"/>
            <w:noProof/>
          </w:rPr>
          <w:t>Figure 3.16: Average Incremental Event-Day and Everyday Load Impacts, Large Newly Enrolled Customers</w:t>
        </w:r>
        <w:r w:rsidR="00D100B0">
          <w:rPr>
            <w:noProof/>
            <w:webHidden/>
          </w:rPr>
          <w:tab/>
        </w:r>
        <w:r w:rsidR="00D100B0">
          <w:rPr>
            <w:noProof/>
            <w:webHidden/>
          </w:rPr>
          <w:fldChar w:fldCharType="begin"/>
        </w:r>
        <w:r w:rsidR="00D100B0">
          <w:rPr>
            <w:noProof/>
            <w:webHidden/>
          </w:rPr>
          <w:instrText xml:space="preserve"> PAGEREF _Toc509837464 \h </w:instrText>
        </w:r>
        <w:r w:rsidR="00D100B0">
          <w:rPr>
            <w:noProof/>
            <w:webHidden/>
          </w:rPr>
        </w:r>
        <w:r w:rsidR="00D100B0">
          <w:rPr>
            <w:noProof/>
            <w:webHidden/>
          </w:rPr>
          <w:fldChar w:fldCharType="separate"/>
        </w:r>
        <w:r w:rsidR="005D5C7C">
          <w:rPr>
            <w:noProof/>
            <w:webHidden/>
          </w:rPr>
          <w:t>53</w:t>
        </w:r>
        <w:r w:rsidR="00D100B0">
          <w:rPr>
            <w:noProof/>
            <w:webHidden/>
          </w:rPr>
          <w:fldChar w:fldCharType="end"/>
        </w:r>
      </w:hyperlink>
    </w:p>
    <w:p w14:paraId="3A5A50A7" w14:textId="55A74BC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5" w:history="1">
        <w:r w:rsidR="00D100B0" w:rsidRPr="00C82CEC">
          <w:rPr>
            <w:rStyle w:val="Hyperlink"/>
            <w:noProof/>
          </w:rPr>
          <w:t>Figure 3.17: PDP Enrollments, PG&amp;E Large</w:t>
        </w:r>
        <w:r w:rsidR="00D100B0">
          <w:rPr>
            <w:noProof/>
            <w:webHidden/>
          </w:rPr>
          <w:tab/>
        </w:r>
        <w:r w:rsidR="00D100B0">
          <w:rPr>
            <w:noProof/>
            <w:webHidden/>
          </w:rPr>
          <w:fldChar w:fldCharType="begin"/>
        </w:r>
        <w:r w:rsidR="00D100B0">
          <w:rPr>
            <w:noProof/>
            <w:webHidden/>
          </w:rPr>
          <w:instrText xml:space="preserve"> PAGEREF _Toc509837465 \h </w:instrText>
        </w:r>
        <w:r w:rsidR="00D100B0">
          <w:rPr>
            <w:noProof/>
            <w:webHidden/>
          </w:rPr>
        </w:r>
        <w:r w:rsidR="00D100B0">
          <w:rPr>
            <w:noProof/>
            <w:webHidden/>
          </w:rPr>
          <w:fldChar w:fldCharType="separate"/>
        </w:r>
        <w:r w:rsidR="005D5C7C">
          <w:rPr>
            <w:noProof/>
            <w:webHidden/>
          </w:rPr>
          <w:t>55</w:t>
        </w:r>
        <w:r w:rsidR="00D100B0">
          <w:rPr>
            <w:noProof/>
            <w:webHidden/>
          </w:rPr>
          <w:fldChar w:fldCharType="end"/>
        </w:r>
      </w:hyperlink>
    </w:p>
    <w:p w14:paraId="35D4F8C0" w14:textId="505E4DC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6" w:history="1">
        <w:r w:rsidR="00D100B0" w:rsidRPr="00C82CEC">
          <w:rPr>
            <w:rStyle w:val="Hyperlink"/>
            <w:noProof/>
          </w:rPr>
          <w:t>Figure 3.18: Aggregate Hourly Loads and Load Impacts in 2022 for PG&amp;E 1-in-2 Typical Event Day, PG&amp;E Large</w:t>
        </w:r>
        <w:r w:rsidR="00D100B0">
          <w:rPr>
            <w:noProof/>
            <w:webHidden/>
          </w:rPr>
          <w:tab/>
        </w:r>
        <w:r w:rsidR="00D100B0">
          <w:rPr>
            <w:noProof/>
            <w:webHidden/>
          </w:rPr>
          <w:fldChar w:fldCharType="begin"/>
        </w:r>
        <w:r w:rsidR="00D100B0">
          <w:rPr>
            <w:noProof/>
            <w:webHidden/>
          </w:rPr>
          <w:instrText xml:space="preserve"> PAGEREF _Toc509837466 \h </w:instrText>
        </w:r>
        <w:r w:rsidR="00D100B0">
          <w:rPr>
            <w:noProof/>
            <w:webHidden/>
          </w:rPr>
        </w:r>
        <w:r w:rsidR="00D100B0">
          <w:rPr>
            <w:noProof/>
            <w:webHidden/>
          </w:rPr>
          <w:fldChar w:fldCharType="separate"/>
        </w:r>
        <w:r w:rsidR="005D5C7C">
          <w:rPr>
            <w:noProof/>
            <w:webHidden/>
          </w:rPr>
          <w:t>56</w:t>
        </w:r>
        <w:r w:rsidR="00D100B0">
          <w:rPr>
            <w:noProof/>
            <w:webHidden/>
          </w:rPr>
          <w:fldChar w:fldCharType="end"/>
        </w:r>
      </w:hyperlink>
    </w:p>
    <w:p w14:paraId="4657AEAC" w14:textId="47A0777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7" w:history="1">
        <w:r w:rsidR="00D100B0" w:rsidRPr="00C82CEC">
          <w:rPr>
            <w:rStyle w:val="Hyperlink"/>
            <w:noProof/>
            <w:highlight w:val="lightGray"/>
          </w:rPr>
          <w:t>Figure 3.19: Share of Load Impacts by LCA in 2022 for PG&amp;E 1-in-2 Typical Event Day, PG&amp;E Large</w:t>
        </w:r>
        <w:r w:rsidR="00D100B0">
          <w:rPr>
            <w:noProof/>
            <w:webHidden/>
          </w:rPr>
          <w:tab/>
        </w:r>
        <w:r w:rsidR="00D100B0">
          <w:rPr>
            <w:noProof/>
            <w:webHidden/>
          </w:rPr>
          <w:fldChar w:fldCharType="begin"/>
        </w:r>
        <w:r w:rsidR="00D100B0">
          <w:rPr>
            <w:noProof/>
            <w:webHidden/>
          </w:rPr>
          <w:instrText xml:space="preserve"> PAGEREF _Toc509837467 \h </w:instrText>
        </w:r>
        <w:r w:rsidR="00D100B0">
          <w:rPr>
            <w:noProof/>
            <w:webHidden/>
          </w:rPr>
        </w:r>
        <w:r w:rsidR="00D100B0">
          <w:rPr>
            <w:noProof/>
            <w:webHidden/>
          </w:rPr>
          <w:fldChar w:fldCharType="separate"/>
        </w:r>
        <w:r w:rsidR="005D5C7C">
          <w:rPr>
            <w:noProof/>
            <w:webHidden/>
          </w:rPr>
          <w:t>57</w:t>
        </w:r>
        <w:r w:rsidR="00D100B0">
          <w:rPr>
            <w:noProof/>
            <w:webHidden/>
          </w:rPr>
          <w:fldChar w:fldCharType="end"/>
        </w:r>
      </w:hyperlink>
    </w:p>
    <w:p w14:paraId="2CD4DCEB" w14:textId="33045A3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8" w:history="1">
        <w:r w:rsidR="00D100B0" w:rsidRPr="00C82CEC">
          <w:rPr>
            <w:rStyle w:val="Hyperlink"/>
            <w:noProof/>
          </w:rPr>
          <w:t>Figure 3.20: Aggregate Load Impacts by Month over RA Window in 2022 for PG&amp;E 1-in-2 Peak Day, PG&amp;E Large</w:t>
        </w:r>
        <w:r w:rsidR="00D100B0">
          <w:rPr>
            <w:noProof/>
            <w:webHidden/>
          </w:rPr>
          <w:tab/>
        </w:r>
        <w:r w:rsidR="00D100B0">
          <w:rPr>
            <w:noProof/>
            <w:webHidden/>
          </w:rPr>
          <w:fldChar w:fldCharType="begin"/>
        </w:r>
        <w:r w:rsidR="00D100B0">
          <w:rPr>
            <w:noProof/>
            <w:webHidden/>
          </w:rPr>
          <w:instrText xml:space="preserve"> PAGEREF _Toc509837468 \h </w:instrText>
        </w:r>
        <w:r w:rsidR="00D100B0">
          <w:rPr>
            <w:noProof/>
            <w:webHidden/>
          </w:rPr>
        </w:r>
        <w:r w:rsidR="00D100B0">
          <w:rPr>
            <w:noProof/>
            <w:webHidden/>
          </w:rPr>
          <w:fldChar w:fldCharType="separate"/>
        </w:r>
        <w:r w:rsidR="005D5C7C">
          <w:rPr>
            <w:noProof/>
            <w:webHidden/>
          </w:rPr>
          <w:t>58</w:t>
        </w:r>
        <w:r w:rsidR="00D100B0">
          <w:rPr>
            <w:noProof/>
            <w:webHidden/>
          </w:rPr>
          <w:fldChar w:fldCharType="end"/>
        </w:r>
      </w:hyperlink>
    </w:p>
    <w:p w14:paraId="7D2BF471" w14:textId="24704F4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69" w:history="1">
        <w:r w:rsidR="00D100B0" w:rsidRPr="00C82CEC">
          <w:rPr>
            <w:rStyle w:val="Hyperlink"/>
            <w:noProof/>
          </w:rPr>
          <w:t>Figure 3.21: Aggregate Load Impacts for the Typical Event Day by Year and Weather Scenario over RA Window, PG&amp;E Large</w:t>
        </w:r>
        <w:r w:rsidR="00D100B0">
          <w:rPr>
            <w:noProof/>
            <w:webHidden/>
          </w:rPr>
          <w:tab/>
        </w:r>
        <w:r w:rsidR="00D100B0">
          <w:rPr>
            <w:noProof/>
            <w:webHidden/>
          </w:rPr>
          <w:fldChar w:fldCharType="begin"/>
        </w:r>
        <w:r w:rsidR="00D100B0">
          <w:rPr>
            <w:noProof/>
            <w:webHidden/>
          </w:rPr>
          <w:instrText xml:space="preserve"> PAGEREF _Toc509837469 \h </w:instrText>
        </w:r>
        <w:r w:rsidR="00D100B0">
          <w:rPr>
            <w:noProof/>
            <w:webHidden/>
          </w:rPr>
        </w:r>
        <w:r w:rsidR="00D100B0">
          <w:rPr>
            <w:noProof/>
            <w:webHidden/>
          </w:rPr>
          <w:fldChar w:fldCharType="separate"/>
        </w:r>
        <w:r w:rsidR="005D5C7C">
          <w:rPr>
            <w:noProof/>
            <w:webHidden/>
          </w:rPr>
          <w:t>59</w:t>
        </w:r>
        <w:r w:rsidR="00D100B0">
          <w:rPr>
            <w:noProof/>
            <w:webHidden/>
          </w:rPr>
          <w:fldChar w:fldCharType="end"/>
        </w:r>
      </w:hyperlink>
    </w:p>
    <w:p w14:paraId="1A4D816C" w14:textId="19E1FDB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0" w:history="1">
        <w:r w:rsidR="00D100B0" w:rsidRPr="00C82CEC">
          <w:rPr>
            <w:rStyle w:val="Hyperlink"/>
            <w:noProof/>
          </w:rPr>
          <w:t>Figure 3.22: PDP Enrollments, PG&amp;E SMB</w:t>
        </w:r>
        <w:r w:rsidR="00D100B0">
          <w:rPr>
            <w:noProof/>
            <w:webHidden/>
          </w:rPr>
          <w:tab/>
        </w:r>
        <w:r w:rsidR="00D100B0">
          <w:rPr>
            <w:noProof/>
            <w:webHidden/>
          </w:rPr>
          <w:fldChar w:fldCharType="begin"/>
        </w:r>
        <w:r w:rsidR="00D100B0">
          <w:rPr>
            <w:noProof/>
            <w:webHidden/>
          </w:rPr>
          <w:instrText xml:space="preserve"> PAGEREF _Toc509837470 \h </w:instrText>
        </w:r>
        <w:r w:rsidR="00D100B0">
          <w:rPr>
            <w:noProof/>
            <w:webHidden/>
          </w:rPr>
        </w:r>
        <w:r w:rsidR="00D100B0">
          <w:rPr>
            <w:noProof/>
            <w:webHidden/>
          </w:rPr>
          <w:fldChar w:fldCharType="separate"/>
        </w:r>
        <w:r w:rsidR="005D5C7C">
          <w:rPr>
            <w:noProof/>
            <w:webHidden/>
          </w:rPr>
          <w:t>60</w:t>
        </w:r>
        <w:r w:rsidR="00D100B0">
          <w:rPr>
            <w:noProof/>
            <w:webHidden/>
          </w:rPr>
          <w:fldChar w:fldCharType="end"/>
        </w:r>
      </w:hyperlink>
    </w:p>
    <w:p w14:paraId="2A6AD524" w14:textId="4477FFC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1" w:history="1">
        <w:r w:rsidR="00D100B0" w:rsidRPr="00C82CEC">
          <w:rPr>
            <w:rStyle w:val="Hyperlink"/>
            <w:noProof/>
          </w:rPr>
          <w:t>Figure 3.23: Aggregate Hourly Loads and Load Impacts in 2022 for PG&amp;E 1-in-2 Typical Event Day, PG&amp;E Medium</w:t>
        </w:r>
        <w:r w:rsidR="00D100B0">
          <w:rPr>
            <w:noProof/>
            <w:webHidden/>
          </w:rPr>
          <w:tab/>
        </w:r>
        <w:r w:rsidR="00D100B0">
          <w:rPr>
            <w:noProof/>
            <w:webHidden/>
          </w:rPr>
          <w:fldChar w:fldCharType="begin"/>
        </w:r>
        <w:r w:rsidR="00D100B0">
          <w:rPr>
            <w:noProof/>
            <w:webHidden/>
          </w:rPr>
          <w:instrText xml:space="preserve"> PAGEREF _Toc509837471 \h </w:instrText>
        </w:r>
        <w:r w:rsidR="00D100B0">
          <w:rPr>
            <w:noProof/>
            <w:webHidden/>
          </w:rPr>
        </w:r>
        <w:r w:rsidR="00D100B0">
          <w:rPr>
            <w:noProof/>
            <w:webHidden/>
          </w:rPr>
          <w:fldChar w:fldCharType="separate"/>
        </w:r>
        <w:r w:rsidR="005D5C7C">
          <w:rPr>
            <w:noProof/>
            <w:webHidden/>
          </w:rPr>
          <w:t>61</w:t>
        </w:r>
        <w:r w:rsidR="00D100B0">
          <w:rPr>
            <w:noProof/>
            <w:webHidden/>
          </w:rPr>
          <w:fldChar w:fldCharType="end"/>
        </w:r>
      </w:hyperlink>
    </w:p>
    <w:p w14:paraId="5F7F95CD" w14:textId="35AAAA7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2" w:history="1">
        <w:r w:rsidR="00D100B0" w:rsidRPr="00C82CEC">
          <w:rPr>
            <w:rStyle w:val="Hyperlink"/>
            <w:noProof/>
          </w:rPr>
          <w:t>Figure 3.24: Aggregate Hourly Loads and Load Impacts in 2022 for PG&amp;E 1-in-2 Typical Event Day, PG&amp;E Small</w:t>
        </w:r>
        <w:r w:rsidR="00D100B0">
          <w:rPr>
            <w:noProof/>
            <w:webHidden/>
          </w:rPr>
          <w:tab/>
        </w:r>
        <w:r w:rsidR="00D100B0">
          <w:rPr>
            <w:noProof/>
            <w:webHidden/>
          </w:rPr>
          <w:fldChar w:fldCharType="begin"/>
        </w:r>
        <w:r w:rsidR="00D100B0">
          <w:rPr>
            <w:noProof/>
            <w:webHidden/>
          </w:rPr>
          <w:instrText xml:space="preserve"> PAGEREF _Toc509837472 \h </w:instrText>
        </w:r>
        <w:r w:rsidR="00D100B0">
          <w:rPr>
            <w:noProof/>
            <w:webHidden/>
          </w:rPr>
        </w:r>
        <w:r w:rsidR="00D100B0">
          <w:rPr>
            <w:noProof/>
            <w:webHidden/>
          </w:rPr>
          <w:fldChar w:fldCharType="separate"/>
        </w:r>
        <w:r w:rsidR="005D5C7C">
          <w:rPr>
            <w:noProof/>
            <w:webHidden/>
          </w:rPr>
          <w:t>62</w:t>
        </w:r>
        <w:r w:rsidR="00D100B0">
          <w:rPr>
            <w:noProof/>
            <w:webHidden/>
          </w:rPr>
          <w:fldChar w:fldCharType="end"/>
        </w:r>
      </w:hyperlink>
    </w:p>
    <w:p w14:paraId="3CA2BD81" w14:textId="1332428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3" w:history="1">
        <w:r w:rsidR="00D100B0" w:rsidRPr="00C82CEC">
          <w:rPr>
            <w:rStyle w:val="Hyperlink"/>
            <w:noProof/>
          </w:rPr>
          <w:t>Figure 3.25: Share of Load Impacts by LCA in 2022 for PG&amp;E 1-in-2 Typical Event Day, PG&amp;E Medium</w:t>
        </w:r>
        <w:r w:rsidR="00D100B0">
          <w:rPr>
            <w:noProof/>
            <w:webHidden/>
          </w:rPr>
          <w:tab/>
        </w:r>
        <w:r w:rsidR="00D100B0">
          <w:rPr>
            <w:noProof/>
            <w:webHidden/>
          </w:rPr>
          <w:fldChar w:fldCharType="begin"/>
        </w:r>
        <w:r w:rsidR="00D100B0">
          <w:rPr>
            <w:noProof/>
            <w:webHidden/>
          </w:rPr>
          <w:instrText xml:space="preserve"> PAGEREF _Toc509837473 \h </w:instrText>
        </w:r>
        <w:r w:rsidR="00D100B0">
          <w:rPr>
            <w:noProof/>
            <w:webHidden/>
          </w:rPr>
        </w:r>
        <w:r w:rsidR="00D100B0">
          <w:rPr>
            <w:noProof/>
            <w:webHidden/>
          </w:rPr>
          <w:fldChar w:fldCharType="separate"/>
        </w:r>
        <w:r w:rsidR="005D5C7C">
          <w:rPr>
            <w:noProof/>
            <w:webHidden/>
          </w:rPr>
          <w:t>63</w:t>
        </w:r>
        <w:r w:rsidR="00D100B0">
          <w:rPr>
            <w:noProof/>
            <w:webHidden/>
          </w:rPr>
          <w:fldChar w:fldCharType="end"/>
        </w:r>
      </w:hyperlink>
    </w:p>
    <w:p w14:paraId="4A4CC425" w14:textId="721DE15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4" w:history="1">
        <w:r w:rsidR="00D100B0" w:rsidRPr="00C82CEC">
          <w:rPr>
            <w:rStyle w:val="Hyperlink"/>
            <w:noProof/>
          </w:rPr>
          <w:t>Figure 3.26: Share of Load Impacts by LCA in 2022 for PG&amp;E 1-in-2 Typical Event Day, PG&amp;E Small</w:t>
        </w:r>
        <w:r w:rsidR="00D100B0">
          <w:rPr>
            <w:noProof/>
            <w:webHidden/>
          </w:rPr>
          <w:tab/>
        </w:r>
        <w:r w:rsidR="00D100B0">
          <w:rPr>
            <w:noProof/>
            <w:webHidden/>
          </w:rPr>
          <w:fldChar w:fldCharType="begin"/>
        </w:r>
        <w:r w:rsidR="00D100B0">
          <w:rPr>
            <w:noProof/>
            <w:webHidden/>
          </w:rPr>
          <w:instrText xml:space="preserve"> PAGEREF _Toc509837474 \h </w:instrText>
        </w:r>
        <w:r w:rsidR="00D100B0">
          <w:rPr>
            <w:noProof/>
            <w:webHidden/>
          </w:rPr>
        </w:r>
        <w:r w:rsidR="00D100B0">
          <w:rPr>
            <w:noProof/>
            <w:webHidden/>
          </w:rPr>
          <w:fldChar w:fldCharType="separate"/>
        </w:r>
        <w:r w:rsidR="005D5C7C">
          <w:rPr>
            <w:noProof/>
            <w:webHidden/>
          </w:rPr>
          <w:t>64</w:t>
        </w:r>
        <w:r w:rsidR="00D100B0">
          <w:rPr>
            <w:noProof/>
            <w:webHidden/>
          </w:rPr>
          <w:fldChar w:fldCharType="end"/>
        </w:r>
      </w:hyperlink>
    </w:p>
    <w:p w14:paraId="7E0DA7D0" w14:textId="2045229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5" w:history="1">
        <w:r w:rsidR="00D100B0" w:rsidRPr="00C82CEC">
          <w:rPr>
            <w:rStyle w:val="Hyperlink"/>
            <w:noProof/>
          </w:rPr>
          <w:t>Figure 3.27: Aggregate Load Impacts by Month over RA Window in 2022 for PG&amp;E 1-in-2 Peak Day, PG&amp;E Medium</w:t>
        </w:r>
        <w:r w:rsidR="00D100B0">
          <w:rPr>
            <w:noProof/>
            <w:webHidden/>
          </w:rPr>
          <w:tab/>
        </w:r>
        <w:r w:rsidR="00D100B0">
          <w:rPr>
            <w:noProof/>
            <w:webHidden/>
          </w:rPr>
          <w:fldChar w:fldCharType="begin"/>
        </w:r>
        <w:r w:rsidR="00D100B0">
          <w:rPr>
            <w:noProof/>
            <w:webHidden/>
          </w:rPr>
          <w:instrText xml:space="preserve"> PAGEREF _Toc509837475 \h </w:instrText>
        </w:r>
        <w:r w:rsidR="00D100B0">
          <w:rPr>
            <w:noProof/>
            <w:webHidden/>
          </w:rPr>
        </w:r>
        <w:r w:rsidR="00D100B0">
          <w:rPr>
            <w:noProof/>
            <w:webHidden/>
          </w:rPr>
          <w:fldChar w:fldCharType="separate"/>
        </w:r>
        <w:r w:rsidR="005D5C7C">
          <w:rPr>
            <w:noProof/>
            <w:webHidden/>
          </w:rPr>
          <w:t>65</w:t>
        </w:r>
        <w:r w:rsidR="00D100B0">
          <w:rPr>
            <w:noProof/>
            <w:webHidden/>
          </w:rPr>
          <w:fldChar w:fldCharType="end"/>
        </w:r>
      </w:hyperlink>
    </w:p>
    <w:p w14:paraId="6CEBD7BD" w14:textId="1C0F8D7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6" w:history="1">
        <w:r w:rsidR="00D100B0" w:rsidRPr="00C82CEC">
          <w:rPr>
            <w:rStyle w:val="Hyperlink"/>
            <w:noProof/>
          </w:rPr>
          <w:t>Figure 3.28: Aggregate Load Impacts by Month over RA Window in 2022 for PG&amp;E 1-in-2 Peak Day, PG&amp;E Small</w:t>
        </w:r>
        <w:r w:rsidR="00D100B0">
          <w:rPr>
            <w:noProof/>
            <w:webHidden/>
          </w:rPr>
          <w:tab/>
        </w:r>
        <w:r w:rsidR="00D100B0">
          <w:rPr>
            <w:noProof/>
            <w:webHidden/>
          </w:rPr>
          <w:fldChar w:fldCharType="begin"/>
        </w:r>
        <w:r w:rsidR="00D100B0">
          <w:rPr>
            <w:noProof/>
            <w:webHidden/>
          </w:rPr>
          <w:instrText xml:space="preserve"> PAGEREF _Toc509837476 \h </w:instrText>
        </w:r>
        <w:r w:rsidR="00D100B0">
          <w:rPr>
            <w:noProof/>
            <w:webHidden/>
          </w:rPr>
        </w:r>
        <w:r w:rsidR="00D100B0">
          <w:rPr>
            <w:noProof/>
            <w:webHidden/>
          </w:rPr>
          <w:fldChar w:fldCharType="separate"/>
        </w:r>
        <w:r w:rsidR="005D5C7C">
          <w:rPr>
            <w:noProof/>
            <w:webHidden/>
          </w:rPr>
          <w:t>66</w:t>
        </w:r>
        <w:r w:rsidR="00D100B0">
          <w:rPr>
            <w:noProof/>
            <w:webHidden/>
          </w:rPr>
          <w:fldChar w:fldCharType="end"/>
        </w:r>
      </w:hyperlink>
    </w:p>
    <w:p w14:paraId="2EC04D32" w14:textId="7FD1DA7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7" w:history="1">
        <w:r w:rsidR="00D100B0" w:rsidRPr="00C82CEC">
          <w:rPr>
            <w:rStyle w:val="Hyperlink"/>
            <w:noProof/>
          </w:rPr>
          <w:t>Figure 3.29: Aggregate Load Impacts for the Typical Event Day by Year and Weather Scenario over RA Window, PG&amp;E Medium</w:t>
        </w:r>
        <w:r w:rsidR="00D100B0">
          <w:rPr>
            <w:noProof/>
            <w:webHidden/>
          </w:rPr>
          <w:tab/>
        </w:r>
        <w:r w:rsidR="00D100B0">
          <w:rPr>
            <w:noProof/>
            <w:webHidden/>
          </w:rPr>
          <w:fldChar w:fldCharType="begin"/>
        </w:r>
        <w:r w:rsidR="00D100B0">
          <w:rPr>
            <w:noProof/>
            <w:webHidden/>
          </w:rPr>
          <w:instrText xml:space="preserve"> PAGEREF _Toc509837477 \h </w:instrText>
        </w:r>
        <w:r w:rsidR="00D100B0">
          <w:rPr>
            <w:noProof/>
            <w:webHidden/>
          </w:rPr>
        </w:r>
        <w:r w:rsidR="00D100B0">
          <w:rPr>
            <w:noProof/>
            <w:webHidden/>
          </w:rPr>
          <w:fldChar w:fldCharType="separate"/>
        </w:r>
        <w:r w:rsidR="005D5C7C">
          <w:rPr>
            <w:noProof/>
            <w:webHidden/>
          </w:rPr>
          <w:t>67</w:t>
        </w:r>
        <w:r w:rsidR="00D100B0">
          <w:rPr>
            <w:noProof/>
            <w:webHidden/>
          </w:rPr>
          <w:fldChar w:fldCharType="end"/>
        </w:r>
      </w:hyperlink>
    </w:p>
    <w:p w14:paraId="225E416C" w14:textId="22808CC9"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8" w:history="1">
        <w:r w:rsidR="00D100B0" w:rsidRPr="00C82CEC">
          <w:rPr>
            <w:rStyle w:val="Hyperlink"/>
            <w:noProof/>
          </w:rPr>
          <w:t>Figure 3.30: Aggregate Load Impacts for the Typical Event Day by Year and Weather Scenario over RA Window, PG&amp;E Small</w:t>
        </w:r>
        <w:r w:rsidR="00D100B0">
          <w:rPr>
            <w:noProof/>
            <w:webHidden/>
          </w:rPr>
          <w:tab/>
        </w:r>
        <w:r w:rsidR="00D100B0">
          <w:rPr>
            <w:noProof/>
            <w:webHidden/>
          </w:rPr>
          <w:fldChar w:fldCharType="begin"/>
        </w:r>
        <w:r w:rsidR="00D100B0">
          <w:rPr>
            <w:noProof/>
            <w:webHidden/>
          </w:rPr>
          <w:instrText xml:space="preserve"> PAGEREF _Toc509837478 \h </w:instrText>
        </w:r>
        <w:r w:rsidR="00D100B0">
          <w:rPr>
            <w:noProof/>
            <w:webHidden/>
          </w:rPr>
        </w:r>
        <w:r w:rsidR="00D100B0">
          <w:rPr>
            <w:noProof/>
            <w:webHidden/>
          </w:rPr>
          <w:fldChar w:fldCharType="separate"/>
        </w:r>
        <w:r w:rsidR="005D5C7C">
          <w:rPr>
            <w:noProof/>
            <w:webHidden/>
          </w:rPr>
          <w:t>68</w:t>
        </w:r>
        <w:r w:rsidR="00D100B0">
          <w:rPr>
            <w:noProof/>
            <w:webHidden/>
          </w:rPr>
          <w:fldChar w:fldCharType="end"/>
        </w:r>
      </w:hyperlink>
    </w:p>
    <w:p w14:paraId="15007FF0" w14:textId="1833722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79" w:history="1">
        <w:r w:rsidR="00D100B0" w:rsidRPr="00C82CEC">
          <w:rPr>
            <w:rStyle w:val="Hyperlink"/>
            <w:noProof/>
          </w:rPr>
          <w:t>Figure 4.1: Average Event-Hour Load Impacts by Event, SCE Large</w:t>
        </w:r>
        <w:r w:rsidR="00D100B0">
          <w:rPr>
            <w:noProof/>
            <w:webHidden/>
          </w:rPr>
          <w:tab/>
        </w:r>
        <w:r w:rsidR="00D100B0">
          <w:rPr>
            <w:noProof/>
            <w:webHidden/>
          </w:rPr>
          <w:fldChar w:fldCharType="begin"/>
        </w:r>
        <w:r w:rsidR="00D100B0">
          <w:rPr>
            <w:noProof/>
            <w:webHidden/>
          </w:rPr>
          <w:instrText xml:space="preserve"> PAGEREF _Toc509837479 \h </w:instrText>
        </w:r>
        <w:r w:rsidR="00D100B0">
          <w:rPr>
            <w:noProof/>
            <w:webHidden/>
          </w:rPr>
        </w:r>
        <w:r w:rsidR="00D100B0">
          <w:rPr>
            <w:noProof/>
            <w:webHidden/>
          </w:rPr>
          <w:fldChar w:fldCharType="separate"/>
        </w:r>
        <w:r w:rsidR="005D5C7C">
          <w:rPr>
            <w:noProof/>
            <w:webHidden/>
          </w:rPr>
          <w:t>76</w:t>
        </w:r>
        <w:r w:rsidR="00D100B0">
          <w:rPr>
            <w:noProof/>
            <w:webHidden/>
          </w:rPr>
          <w:fldChar w:fldCharType="end"/>
        </w:r>
      </w:hyperlink>
    </w:p>
    <w:p w14:paraId="4F38DA67" w14:textId="0F5F8A3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0" w:history="1">
        <w:r w:rsidR="00D100B0" w:rsidRPr="00C82CEC">
          <w:rPr>
            <w:rStyle w:val="Hyperlink"/>
            <w:noProof/>
          </w:rPr>
          <w:t>Figure 4.2: Typical Event Day Reference Loads and Load Profile, SCE Large</w:t>
        </w:r>
        <w:r w:rsidR="00D100B0">
          <w:rPr>
            <w:noProof/>
            <w:webHidden/>
          </w:rPr>
          <w:tab/>
        </w:r>
        <w:r w:rsidR="00D100B0">
          <w:rPr>
            <w:noProof/>
            <w:webHidden/>
          </w:rPr>
          <w:fldChar w:fldCharType="begin"/>
        </w:r>
        <w:r w:rsidR="00D100B0">
          <w:rPr>
            <w:noProof/>
            <w:webHidden/>
          </w:rPr>
          <w:instrText xml:space="preserve"> PAGEREF _Toc509837480 \h </w:instrText>
        </w:r>
        <w:r w:rsidR="00D100B0">
          <w:rPr>
            <w:noProof/>
            <w:webHidden/>
          </w:rPr>
        </w:r>
        <w:r w:rsidR="00D100B0">
          <w:rPr>
            <w:noProof/>
            <w:webHidden/>
          </w:rPr>
          <w:fldChar w:fldCharType="separate"/>
        </w:r>
        <w:r w:rsidR="005D5C7C">
          <w:rPr>
            <w:noProof/>
            <w:webHidden/>
          </w:rPr>
          <w:t>78</w:t>
        </w:r>
        <w:r w:rsidR="00D100B0">
          <w:rPr>
            <w:noProof/>
            <w:webHidden/>
          </w:rPr>
          <w:fldChar w:fldCharType="end"/>
        </w:r>
      </w:hyperlink>
    </w:p>
    <w:p w14:paraId="531F6E72" w14:textId="5D4CB48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1" w:history="1">
        <w:r w:rsidR="00D100B0" w:rsidRPr="00C82CEC">
          <w:rPr>
            <w:rStyle w:val="Hyperlink"/>
            <w:noProof/>
            <w:highlight w:val="lightGray"/>
          </w:rPr>
          <w:t>Figure 4.3: Typical Event Day Event-Hour Load Impacts by Industry Group, SCE Large</w:t>
        </w:r>
        <w:r w:rsidR="00D100B0">
          <w:rPr>
            <w:noProof/>
            <w:webHidden/>
          </w:rPr>
          <w:tab/>
        </w:r>
        <w:r w:rsidR="00D100B0">
          <w:rPr>
            <w:noProof/>
            <w:webHidden/>
          </w:rPr>
          <w:fldChar w:fldCharType="begin"/>
        </w:r>
        <w:r w:rsidR="00D100B0">
          <w:rPr>
            <w:noProof/>
            <w:webHidden/>
          </w:rPr>
          <w:instrText xml:space="preserve"> PAGEREF _Toc509837481 \h </w:instrText>
        </w:r>
        <w:r w:rsidR="00D100B0">
          <w:rPr>
            <w:noProof/>
            <w:webHidden/>
          </w:rPr>
        </w:r>
        <w:r w:rsidR="00D100B0">
          <w:rPr>
            <w:noProof/>
            <w:webHidden/>
          </w:rPr>
          <w:fldChar w:fldCharType="separate"/>
        </w:r>
        <w:r w:rsidR="005D5C7C">
          <w:rPr>
            <w:noProof/>
            <w:webHidden/>
          </w:rPr>
          <w:t>81</w:t>
        </w:r>
        <w:r w:rsidR="00D100B0">
          <w:rPr>
            <w:noProof/>
            <w:webHidden/>
          </w:rPr>
          <w:fldChar w:fldCharType="end"/>
        </w:r>
      </w:hyperlink>
    </w:p>
    <w:p w14:paraId="77DCDAC3" w14:textId="39A1224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2" w:history="1">
        <w:r w:rsidR="00D100B0" w:rsidRPr="00C82CEC">
          <w:rPr>
            <w:rStyle w:val="Hyperlink"/>
            <w:noProof/>
          </w:rPr>
          <w:t>Figure 4.4: Typical Event Day Event-Hour Load Impacts by LCA, SCE Large</w:t>
        </w:r>
        <w:r w:rsidR="00D100B0">
          <w:rPr>
            <w:noProof/>
            <w:webHidden/>
          </w:rPr>
          <w:tab/>
        </w:r>
        <w:r w:rsidR="00D100B0">
          <w:rPr>
            <w:noProof/>
            <w:webHidden/>
          </w:rPr>
          <w:fldChar w:fldCharType="begin"/>
        </w:r>
        <w:r w:rsidR="00D100B0">
          <w:rPr>
            <w:noProof/>
            <w:webHidden/>
          </w:rPr>
          <w:instrText xml:space="preserve"> PAGEREF _Toc509837482 \h </w:instrText>
        </w:r>
        <w:r w:rsidR="00D100B0">
          <w:rPr>
            <w:noProof/>
            <w:webHidden/>
          </w:rPr>
        </w:r>
        <w:r w:rsidR="00D100B0">
          <w:rPr>
            <w:noProof/>
            <w:webHidden/>
          </w:rPr>
          <w:fldChar w:fldCharType="separate"/>
        </w:r>
        <w:r w:rsidR="005D5C7C">
          <w:rPr>
            <w:noProof/>
            <w:webHidden/>
          </w:rPr>
          <w:t>82</w:t>
        </w:r>
        <w:r w:rsidR="00D100B0">
          <w:rPr>
            <w:noProof/>
            <w:webHidden/>
          </w:rPr>
          <w:fldChar w:fldCharType="end"/>
        </w:r>
      </w:hyperlink>
    </w:p>
    <w:p w14:paraId="6EC15263" w14:textId="2F9FE97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3" w:history="1">
        <w:r w:rsidR="00D100B0" w:rsidRPr="00C82CEC">
          <w:rPr>
            <w:rStyle w:val="Hyperlink"/>
            <w:noProof/>
          </w:rPr>
          <w:t>Figure 4.5: Average Event-Hour Load Impacts by Event, SCE SMB</w:t>
        </w:r>
        <w:r w:rsidR="00D100B0">
          <w:rPr>
            <w:noProof/>
            <w:webHidden/>
          </w:rPr>
          <w:tab/>
        </w:r>
        <w:r w:rsidR="00D100B0">
          <w:rPr>
            <w:noProof/>
            <w:webHidden/>
          </w:rPr>
          <w:fldChar w:fldCharType="begin"/>
        </w:r>
        <w:r w:rsidR="00D100B0">
          <w:rPr>
            <w:noProof/>
            <w:webHidden/>
          </w:rPr>
          <w:instrText xml:space="preserve"> PAGEREF _Toc509837483 \h </w:instrText>
        </w:r>
        <w:r w:rsidR="00D100B0">
          <w:rPr>
            <w:noProof/>
            <w:webHidden/>
          </w:rPr>
        </w:r>
        <w:r w:rsidR="00D100B0">
          <w:rPr>
            <w:noProof/>
            <w:webHidden/>
          </w:rPr>
          <w:fldChar w:fldCharType="separate"/>
        </w:r>
        <w:r w:rsidR="005D5C7C">
          <w:rPr>
            <w:noProof/>
            <w:webHidden/>
          </w:rPr>
          <w:t>83</w:t>
        </w:r>
        <w:r w:rsidR="00D100B0">
          <w:rPr>
            <w:noProof/>
            <w:webHidden/>
          </w:rPr>
          <w:fldChar w:fldCharType="end"/>
        </w:r>
      </w:hyperlink>
    </w:p>
    <w:p w14:paraId="0982A15F" w14:textId="1537B8F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4" w:history="1">
        <w:r w:rsidR="00D100B0" w:rsidRPr="00C82CEC">
          <w:rPr>
            <w:rStyle w:val="Hyperlink"/>
            <w:noProof/>
          </w:rPr>
          <w:t>Figure 4.6: Typical Event Day Reference Loads and Load Profile, SCE Medium</w:t>
        </w:r>
        <w:r w:rsidR="00D100B0">
          <w:rPr>
            <w:noProof/>
            <w:webHidden/>
          </w:rPr>
          <w:tab/>
        </w:r>
        <w:r w:rsidR="00D100B0">
          <w:rPr>
            <w:noProof/>
            <w:webHidden/>
          </w:rPr>
          <w:fldChar w:fldCharType="begin"/>
        </w:r>
        <w:r w:rsidR="00D100B0">
          <w:rPr>
            <w:noProof/>
            <w:webHidden/>
          </w:rPr>
          <w:instrText xml:space="preserve"> PAGEREF _Toc509837484 \h </w:instrText>
        </w:r>
        <w:r w:rsidR="00D100B0">
          <w:rPr>
            <w:noProof/>
            <w:webHidden/>
          </w:rPr>
        </w:r>
        <w:r w:rsidR="00D100B0">
          <w:rPr>
            <w:noProof/>
            <w:webHidden/>
          </w:rPr>
          <w:fldChar w:fldCharType="separate"/>
        </w:r>
        <w:r w:rsidR="005D5C7C">
          <w:rPr>
            <w:noProof/>
            <w:webHidden/>
          </w:rPr>
          <w:t>85</w:t>
        </w:r>
        <w:r w:rsidR="00D100B0">
          <w:rPr>
            <w:noProof/>
            <w:webHidden/>
          </w:rPr>
          <w:fldChar w:fldCharType="end"/>
        </w:r>
      </w:hyperlink>
    </w:p>
    <w:p w14:paraId="7375614C" w14:textId="6251A0BF"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5" w:history="1">
        <w:r w:rsidR="00D100B0" w:rsidRPr="00C82CEC">
          <w:rPr>
            <w:rStyle w:val="Hyperlink"/>
            <w:noProof/>
          </w:rPr>
          <w:t>Figure 4.7: Typical Event Day Reference Loads and Load Profile, SCE Small</w:t>
        </w:r>
        <w:r w:rsidR="00D100B0">
          <w:rPr>
            <w:noProof/>
            <w:webHidden/>
          </w:rPr>
          <w:tab/>
        </w:r>
        <w:r w:rsidR="00D100B0">
          <w:rPr>
            <w:noProof/>
            <w:webHidden/>
          </w:rPr>
          <w:fldChar w:fldCharType="begin"/>
        </w:r>
        <w:r w:rsidR="00D100B0">
          <w:rPr>
            <w:noProof/>
            <w:webHidden/>
          </w:rPr>
          <w:instrText xml:space="preserve"> PAGEREF _Toc509837485 \h </w:instrText>
        </w:r>
        <w:r w:rsidR="00D100B0">
          <w:rPr>
            <w:noProof/>
            <w:webHidden/>
          </w:rPr>
        </w:r>
        <w:r w:rsidR="00D100B0">
          <w:rPr>
            <w:noProof/>
            <w:webHidden/>
          </w:rPr>
          <w:fldChar w:fldCharType="separate"/>
        </w:r>
        <w:r w:rsidR="005D5C7C">
          <w:rPr>
            <w:noProof/>
            <w:webHidden/>
          </w:rPr>
          <w:t>87</w:t>
        </w:r>
        <w:r w:rsidR="00D100B0">
          <w:rPr>
            <w:noProof/>
            <w:webHidden/>
          </w:rPr>
          <w:fldChar w:fldCharType="end"/>
        </w:r>
      </w:hyperlink>
    </w:p>
    <w:p w14:paraId="79228BC1" w14:textId="52D1F58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6" w:history="1">
        <w:r w:rsidR="00D100B0" w:rsidRPr="00C82CEC">
          <w:rPr>
            <w:rStyle w:val="Hyperlink"/>
            <w:noProof/>
          </w:rPr>
          <w:t>Figure 4.8: Typical Event Day Event-Hour Load Impacts by Industry Group, SCE SMB</w:t>
        </w:r>
        <w:r w:rsidR="00D100B0">
          <w:rPr>
            <w:noProof/>
            <w:webHidden/>
          </w:rPr>
          <w:tab/>
        </w:r>
        <w:r w:rsidR="00D100B0">
          <w:rPr>
            <w:noProof/>
            <w:webHidden/>
          </w:rPr>
          <w:fldChar w:fldCharType="begin"/>
        </w:r>
        <w:r w:rsidR="00D100B0">
          <w:rPr>
            <w:noProof/>
            <w:webHidden/>
          </w:rPr>
          <w:instrText xml:space="preserve"> PAGEREF _Toc509837486 \h </w:instrText>
        </w:r>
        <w:r w:rsidR="00D100B0">
          <w:rPr>
            <w:noProof/>
            <w:webHidden/>
          </w:rPr>
        </w:r>
        <w:r w:rsidR="00D100B0">
          <w:rPr>
            <w:noProof/>
            <w:webHidden/>
          </w:rPr>
          <w:fldChar w:fldCharType="separate"/>
        </w:r>
        <w:r w:rsidR="005D5C7C">
          <w:rPr>
            <w:noProof/>
            <w:webHidden/>
          </w:rPr>
          <w:t>89</w:t>
        </w:r>
        <w:r w:rsidR="00D100B0">
          <w:rPr>
            <w:noProof/>
            <w:webHidden/>
          </w:rPr>
          <w:fldChar w:fldCharType="end"/>
        </w:r>
      </w:hyperlink>
    </w:p>
    <w:p w14:paraId="3D5861BA" w14:textId="0A26629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7" w:history="1">
        <w:r w:rsidR="00D100B0" w:rsidRPr="00C82CEC">
          <w:rPr>
            <w:rStyle w:val="Hyperlink"/>
            <w:noProof/>
          </w:rPr>
          <w:t>Figure 4.9: Typical Event Day Event-Hour Load Impacts by LCA, SCE SMB</w:t>
        </w:r>
        <w:r w:rsidR="00D100B0">
          <w:rPr>
            <w:noProof/>
            <w:webHidden/>
          </w:rPr>
          <w:tab/>
        </w:r>
        <w:r w:rsidR="00D100B0">
          <w:rPr>
            <w:noProof/>
            <w:webHidden/>
          </w:rPr>
          <w:fldChar w:fldCharType="begin"/>
        </w:r>
        <w:r w:rsidR="00D100B0">
          <w:rPr>
            <w:noProof/>
            <w:webHidden/>
          </w:rPr>
          <w:instrText xml:space="preserve"> PAGEREF _Toc509837487 \h </w:instrText>
        </w:r>
        <w:r w:rsidR="00D100B0">
          <w:rPr>
            <w:noProof/>
            <w:webHidden/>
          </w:rPr>
        </w:r>
        <w:r w:rsidR="00D100B0">
          <w:rPr>
            <w:noProof/>
            <w:webHidden/>
          </w:rPr>
          <w:fldChar w:fldCharType="separate"/>
        </w:r>
        <w:r w:rsidR="005D5C7C">
          <w:rPr>
            <w:noProof/>
            <w:webHidden/>
          </w:rPr>
          <w:t>90</w:t>
        </w:r>
        <w:r w:rsidR="00D100B0">
          <w:rPr>
            <w:noProof/>
            <w:webHidden/>
          </w:rPr>
          <w:fldChar w:fldCharType="end"/>
        </w:r>
      </w:hyperlink>
    </w:p>
    <w:p w14:paraId="02A9E4BB" w14:textId="1FDFB41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8" w:history="1">
        <w:r w:rsidR="00D100B0" w:rsidRPr="00C82CEC">
          <w:rPr>
            <w:rStyle w:val="Hyperlink"/>
            <w:noProof/>
            <w:highlight w:val="lightGray"/>
          </w:rPr>
          <w:t>Figure 4.10: Average Event-Hour Load Impacts by Event, SCE NEM</w:t>
        </w:r>
        <w:r w:rsidR="00D100B0">
          <w:rPr>
            <w:noProof/>
            <w:webHidden/>
          </w:rPr>
          <w:tab/>
        </w:r>
        <w:r w:rsidR="00D100B0">
          <w:rPr>
            <w:noProof/>
            <w:webHidden/>
          </w:rPr>
          <w:fldChar w:fldCharType="begin"/>
        </w:r>
        <w:r w:rsidR="00D100B0">
          <w:rPr>
            <w:noProof/>
            <w:webHidden/>
          </w:rPr>
          <w:instrText xml:space="preserve"> PAGEREF _Toc509837488 \h </w:instrText>
        </w:r>
        <w:r w:rsidR="00D100B0">
          <w:rPr>
            <w:noProof/>
            <w:webHidden/>
          </w:rPr>
        </w:r>
        <w:r w:rsidR="00D100B0">
          <w:rPr>
            <w:noProof/>
            <w:webHidden/>
          </w:rPr>
          <w:fldChar w:fldCharType="separate"/>
        </w:r>
        <w:r w:rsidR="005D5C7C">
          <w:rPr>
            <w:noProof/>
            <w:webHidden/>
          </w:rPr>
          <w:t>91</w:t>
        </w:r>
        <w:r w:rsidR="00D100B0">
          <w:rPr>
            <w:noProof/>
            <w:webHidden/>
          </w:rPr>
          <w:fldChar w:fldCharType="end"/>
        </w:r>
      </w:hyperlink>
    </w:p>
    <w:p w14:paraId="4AB88A56" w14:textId="2BF5965F"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89" w:history="1">
        <w:r w:rsidR="00D100B0" w:rsidRPr="00C82CEC">
          <w:rPr>
            <w:rStyle w:val="Hyperlink"/>
            <w:noProof/>
            <w:highlight w:val="lightGray"/>
          </w:rPr>
          <w:t>Figure 4.11: Typical Event Day Reference Loads and Load Profile, SCE NEM</w:t>
        </w:r>
        <w:r w:rsidR="00D100B0">
          <w:rPr>
            <w:noProof/>
            <w:webHidden/>
          </w:rPr>
          <w:tab/>
        </w:r>
        <w:r w:rsidR="00D100B0">
          <w:rPr>
            <w:noProof/>
            <w:webHidden/>
          </w:rPr>
          <w:fldChar w:fldCharType="begin"/>
        </w:r>
        <w:r w:rsidR="00D100B0">
          <w:rPr>
            <w:noProof/>
            <w:webHidden/>
          </w:rPr>
          <w:instrText xml:space="preserve"> PAGEREF _Toc509837489 \h </w:instrText>
        </w:r>
        <w:r w:rsidR="00D100B0">
          <w:rPr>
            <w:noProof/>
            <w:webHidden/>
          </w:rPr>
        </w:r>
        <w:r w:rsidR="00D100B0">
          <w:rPr>
            <w:noProof/>
            <w:webHidden/>
          </w:rPr>
          <w:fldChar w:fldCharType="separate"/>
        </w:r>
        <w:r w:rsidR="005D5C7C">
          <w:rPr>
            <w:noProof/>
            <w:webHidden/>
          </w:rPr>
          <w:t>93</w:t>
        </w:r>
        <w:r w:rsidR="00D100B0">
          <w:rPr>
            <w:noProof/>
            <w:webHidden/>
          </w:rPr>
          <w:fldChar w:fldCharType="end"/>
        </w:r>
      </w:hyperlink>
    </w:p>
    <w:p w14:paraId="249FEC20" w14:textId="2F7B9DB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0" w:history="1">
        <w:r w:rsidR="00D100B0" w:rsidRPr="00C82CEC">
          <w:rPr>
            <w:rStyle w:val="Hyperlink"/>
            <w:noProof/>
            <w:highlight w:val="lightGray"/>
          </w:rPr>
          <w:t>Figure 4.12 Typical Event Day Event-Hour Load Impacts by Industry Group, SCE NEM</w:t>
        </w:r>
        <w:r w:rsidR="00D100B0">
          <w:rPr>
            <w:noProof/>
            <w:webHidden/>
          </w:rPr>
          <w:tab/>
        </w:r>
        <w:r w:rsidR="00D100B0">
          <w:rPr>
            <w:noProof/>
            <w:webHidden/>
          </w:rPr>
          <w:fldChar w:fldCharType="begin"/>
        </w:r>
        <w:r w:rsidR="00D100B0">
          <w:rPr>
            <w:noProof/>
            <w:webHidden/>
          </w:rPr>
          <w:instrText xml:space="preserve"> PAGEREF _Toc509837490 \h </w:instrText>
        </w:r>
        <w:r w:rsidR="00D100B0">
          <w:rPr>
            <w:noProof/>
            <w:webHidden/>
          </w:rPr>
        </w:r>
        <w:r w:rsidR="00D100B0">
          <w:rPr>
            <w:noProof/>
            <w:webHidden/>
          </w:rPr>
          <w:fldChar w:fldCharType="separate"/>
        </w:r>
        <w:r w:rsidR="005D5C7C">
          <w:rPr>
            <w:noProof/>
            <w:webHidden/>
          </w:rPr>
          <w:t>95</w:t>
        </w:r>
        <w:r w:rsidR="00D100B0">
          <w:rPr>
            <w:noProof/>
            <w:webHidden/>
          </w:rPr>
          <w:fldChar w:fldCharType="end"/>
        </w:r>
      </w:hyperlink>
    </w:p>
    <w:p w14:paraId="26323ACE" w14:textId="58876E4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1" w:history="1">
        <w:r w:rsidR="00D100B0" w:rsidRPr="00C82CEC">
          <w:rPr>
            <w:rStyle w:val="Hyperlink"/>
            <w:noProof/>
            <w:highlight w:val="lightGray"/>
          </w:rPr>
          <w:t>Figure 4.13 Typical Event Day Event-Hour Load Impacts by LCA, SCE NEM</w:t>
        </w:r>
        <w:r w:rsidR="00D100B0">
          <w:rPr>
            <w:noProof/>
            <w:webHidden/>
          </w:rPr>
          <w:tab/>
        </w:r>
        <w:r w:rsidR="00D100B0">
          <w:rPr>
            <w:noProof/>
            <w:webHidden/>
          </w:rPr>
          <w:fldChar w:fldCharType="begin"/>
        </w:r>
        <w:r w:rsidR="00D100B0">
          <w:rPr>
            <w:noProof/>
            <w:webHidden/>
          </w:rPr>
          <w:instrText xml:space="preserve"> PAGEREF _Toc509837491 \h </w:instrText>
        </w:r>
        <w:r w:rsidR="00D100B0">
          <w:rPr>
            <w:noProof/>
            <w:webHidden/>
          </w:rPr>
        </w:r>
        <w:r w:rsidR="00D100B0">
          <w:rPr>
            <w:noProof/>
            <w:webHidden/>
          </w:rPr>
          <w:fldChar w:fldCharType="separate"/>
        </w:r>
        <w:r w:rsidR="005D5C7C">
          <w:rPr>
            <w:noProof/>
            <w:webHidden/>
          </w:rPr>
          <w:t>96</w:t>
        </w:r>
        <w:r w:rsidR="00D100B0">
          <w:rPr>
            <w:noProof/>
            <w:webHidden/>
          </w:rPr>
          <w:fldChar w:fldCharType="end"/>
        </w:r>
      </w:hyperlink>
    </w:p>
    <w:p w14:paraId="7006A6A2" w14:textId="0BA3FBD3"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2" w:history="1">
        <w:r w:rsidR="00D100B0" w:rsidRPr="00C82CEC">
          <w:rPr>
            <w:rStyle w:val="Hyperlink"/>
            <w:noProof/>
          </w:rPr>
          <w:t>Figure 4.14: CPP Enrollments, SCE Large</w:t>
        </w:r>
        <w:r w:rsidR="00D100B0">
          <w:rPr>
            <w:noProof/>
            <w:webHidden/>
          </w:rPr>
          <w:tab/>
        </w:r>
        <w:r w:rsidR="00D100B0">
          <w:rPr>
            <w:noProof/>
            <w:webHidden/>
          </w:rPr>
          <w:fldChar w:fldCharType="begin"/>
        </w:r>
        <w:r w:rsidR="00D100B0">
          <w:rPr>
            <w:noProof/>
            <w:webHidden/>
          </w:rPr>
          <w:instrText xml:space="preserve"> PAGEREF _Toc509837492 \h </w:instrText>
        </w:r>
        <w:r w:rsidR="00D100B0">
          <w:rPr>
            <w:noProof/>
            <w:webHidden/>
          </w:rPr>
        </w:r>
        <w:r w:rsidR="00D100B0">
          <w:rPr>
            <w:noProof/>
            <w:webHidden/>
          </w:rPr>
          <w:fldChar w:fldCharType="separate"/>
        </w:r>
        <w:r w:rsidR="005D5C7C">
          <w:rPr>
            <w:noProof/>
            <w:webHidden/>
          </w:rPr>
          <w:t>102</w:t>
        </w:r>
        <w:r w:rsidR="00D100B0">
          <w:rPr>
            <w:noProof/>
            <w:webHidden/>
          </w:rPr>
          <w:fldChar w:fldCharType="end"/>
        </w:r>
      </w:hyperlink>
    </w:p>
    <w:p w14:paraId="4A337EBA" w14:textId="5D4BC5B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3" w:history="1">
        <w:r w:rsidR="00D100B0" w:rsidRPr="00C82CEC">
          <w:rPr>
            <w:rStyle w:val="Hyperlink"/>
            <w:noProof/>
          </w:rPr>
          <w:t>Figure 4.15: Aggregate Hourly Loads and Load Impacts in 2022 for SCE 1-in-2 Typical Event Day, SCE Large</w:t>
        </w:r>
        <w:r w:rsidR="00D100B0">
          <w:rPr>
            <w:noProof/>
            <w:webHidden/>
          </w:rPr>
          <w:tab/>
        </w:r>
        <w:r w:rsidR="00D100B0">
          <w:rPr>
            <w:noProof/>
            <w:webHidden/>
          </w:rPr>
          <w:fldChar w:fldCharType="begin"/>
        </w:r>
        <w:r w:rsidR="00D100B0">
          <w:rPr>
            <w:noProof/>
            <w:webHidden/>
          </w:rPr>
          <w:instrText xml:space="preserve"> PAGEREF _Toc509837493 \h </w:instrText>
        </w:r>
        <w:r w:rsidR="00D100B0">
          <w:rPr>
            <w:noProof/>
            <w:webHidden/>
          </w:rPr>
        </w:r>
        <w:r w:rsidR="00D100B0">
          <w:rPr>
            <w:noProof/>
            <w:webHidden/>
          </w:rPr>
          <w:fldChar w:fldCharType="separate"/>
        </w:r>
        <w:r w:rsidR="005D5C7C">
          <w:rPr>
            <w:noProof/>
            <w:webHidden/>
          </w:rPr>
          <w:t>103</w:t>
        </w:r>
        <w:r w:rsidR="00D100B0">
          <w:rPr>
            <w:noProof/>
            <w:webHidden/>
          </w:rPr>
          <w:fldChar w:fldCharType="end"/>
        </w:r>
      </w:hyperlink>
    </w:p>
    <w:p w14:paraId="3491725F" w14:textId="5C87F5F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4" w:history="1">
        <w:r w:rsidR="00D100B0" w:rsidRPr="00C82CEC">
          <w:rPr>
            <w:rStyle w:val="Hyperlink"/>
            <w:noProof/>
          </w:rPr>
          <w:t>Figure 4.16: Share of Load Impacts by LCA in 2022 for SCE 1-in-2 Typical Event Day,  SCE Large</w:t>
        </w:r>
        <w:r w:rsidR="00D100B0">
          <w:rPr>
            <w:noProof/>
            <w:webHidden/>
          </w:rPr>
          <w:tab/>
        </w:r>
        <w:r w:rsidR="00D100B0">
          <w:rPr>
            <w:noProof/>
            <w:webHidden/>
          </w:rPr>
          <w:fldChar w:fldCharType="begin"/>
        </w:r>
        <w:r w:rsidR="00D100B0">
          <w:rPr>
            <w:noProof/>
            <w:webHidden/>
          </w:rPr>
          <w:instrText xml:space="preserve"> PAGEREF _Toc509837494 \h </w:instrText>
        </w:r>
        <w:r w:rsidR="00D100B0">
          <w:rPr>
            <w:noProof/>
            <w:webHidden/>
          </w:rPr>
        </w:r>
        <w:r w:rsidR="00D100B0">
          <w:rPr>
            <w:noProof/>
            <w:webHidden/>
          </w:rPr>
          <w:fldChar w:fldCharType="separate"/>
        </w:r>
        <w:r w:rsidR="005D5C7C">
          <w:rPr>
            <w:noProof/>
            <w:webHidden/>
          </w:rPr>
          <w:t>104</w:t>
        </w:r>
        <w:r w:rsidR="00D100B0">
          <w:rPr>
            <w:noProof/>
            <w:webHidden/>
          </w:rPr>
          <w:fldChar w:fldCharType="end"/>
        </w:r>
      </w:hyperlink>
    </w:p>
    <w:p w14:paraId="4ADD8752" w14:textId="12D7C0C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5" w:history="1">
        <w:r w:rsidR="00D100B0" w:rsidRPr="00C82CEC">
          <w:rPr>
            <w:rStyle w:val="Hyperlink"/>
            <w:noProof/>
          </w:rPr>
          <w:t>Figure 4.17: Aggregate Load Impacts by Month over RA Window in 2022 for SCE 1-in-2 Peak Day, SCE Large</w:t>
        </w:r>
        <w:r w:rsidR="00D100B0">
          <w:rPr>
            <w:noProof/>
            <w:webHidden/>
          </w:rPr>
          <w:tab/>
        </w:r>
        <w:r w:rsidR="00D100B0">
          <w:rPr>
            <w:noProof/>
            <w:webHidden/>
          </w:rPr>
          <w:fldChar w:fldCharType="begin"/>
        </w:r>
        <w:r w:rsidR="00D100B0">
          <w:rPr>
            <w:noProof/>
            <w:webHidden/>
          </w:rPr>
          <w:instrText xml:space="preserve"> PAGEREF _Toc509837495 \h </w:instrText>
        </w:r>
        <w:r w:rsidR="00D100B0">
          <w:rPr>
            <w:noProof/>
            <w:webHidden/>
          </w:rPr>
        </w:r>
        <w:r w:rsidR="00D100B0">
          <w:rPr>
            <w:noProof/>
            <w:webHidden/>
          </w:rPr>
          <w:fldChar w:fldCharType="separate"/>
        </w:r>
        <w:r w:rsidR="005D5C7C">
          <w:rPr>
            <w:noProof/>
            <w:webHidden/>
          </w:rPr>
          <w:t>105</w:t>
        </w:r>
        <w:r w:rsidR="00D100B0">
          <w:rPr>
            <w:noProof/>
            <w:webHidden/>
          </w:rPr>
          <w:fldChar w:fldCharType="end"/>
        </w:r>
      </w:hyperlink>
    </w:p>
    <w:p w14:paraId="2F9D2257" w14:textId="76D0164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6" w:history="1">
        <w:r w:rsidR="00D100B0" w:rsidRPr="00C82CEC">
          <w:rPr>
            <w:rStyle w:val="Hyperlink"/>
            <w:noProof/>
          </w:rPr>
          <w:t>Figure 4.18: Aggregate Load Impacts for Typical Event Day by Year and Weather Scenario over RA Window, SCE Large</w:t>
        </w:r>
        <w:r w:rsidR="00D100B0">
          <w:rPr>
            <w:noProof/>
            <w:webHidden/>
          </w:rPr>
          <w:tab/>
        </w:r>
        <w:r w:rsidR="00D100B0">
          <w:rPr>
            <w:noProof/>
            <w:webHidden/>
          </w:rPr>
          <w:fldChar w:fldCharType="begin"/>
        </w:r>
        <w:r w:rsidR="00D100B0">
          <w:rPr>
            <w:noProof/>
            <w:webHidden/>
          </w:rPr>
          <w:instrText xml:space="preserve"> PAGEREF _Toc509837496 \h </w:instrText>
        </w:r>
        <w:r w:rsidR="00D100B0">
          <w:rPr>
            <w:noProof/>
            <w:webHidden/>
          </w:rPr>
        </w:r>
        <w:r w:rsidR="00D100B0">
          <w:rPr>
            <w:noProof/>
            <w:webHidden/>
          </w:rPr>
          <w:fldChar w:fldCharType="separate"/>
        </w:r>
        <w:r w:rsidR="005D5C7C">
          <w:rPr>
            <w:noProof/>
            <w:webHidden/>
          </w:rPr>
          <w:t>106</w:t>
        </w:r>
        <w:r w:rsidR="00D100B0">
          <w:rPr>
            <w:noProof/>
            <w:webHidden/>
          </w:rPr>
          <w:fldChar w:fldCharType="end"/>
        </w:r>
      </w:hyperlink>
    </w:p>
    <w:p w14:paraId="3A3B3D5F" w14:textId="1DAC8FA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7" w:history="1">
        <w:r w:rsidR="00D100B0" w:rsidRPr="00C82CEC">
          <w:rPr>
            <w:rStyle w:val="Hyperlink"/>
            <w:noProof/>
          </w:rPr>
          <w:t>Figure 4.19: CPP Enrollments, SCE SMB</w:t>
        </w:r>
        <w:r w:rsidR="00D100B0">
          <w:rPr>
            <w:noProof/>
            <w:webHidden/>
          </w:rPr>
          <w:tab/>
        </w:r>
        <w:r w:rsidR="00D100B0">
          <w:rPr>
            <w:noProof/>
            <w:webHidden/>
          </w:rPr>
          <w:fldChar w:fldCharType="begin"/>
        </w:r>
        <w:r w:rsidR="00D100B0">
          <w:rPr>
            <w:noProof/>
            <w:webHidden/>
          </w:rPr>
          <w:instrText xml:space="preserve"> PAGEREF _Toc509837497 \h </w:instrText>
        </w:r>
        <w:r w:rsidR="00D100B0">
          <w:rPr>
            <w:noProof/>
            <w:webHidden/>
          </w:rPr>
        </w:r>
        <w:r w:rsidR="00D100B0">
          <w:rPr>
            <w:noProof/>
            <w:webHidden/>
          </w:rPr>
          <w:fldChar w:fldCharType="separate"/>
        </w:r>
        <w:r w:rsidR="005D5C7C">
          <w:rPr>
            <w:noProof/>
            <w:webHidden/>
          </w:rPr>
          <w:t>107</w:t>
        </w:r>
        <w:r w:rsidR="00D100B0">
          <w:rPr>
            <w:noProof/>
            <w:webHidden/>
          </w:rPr>
          <w:fldChar w:fldCharType="end"/>
        </w:r>
      </w:hyperlink>
    </w:p>
    <w:p w14:paraId="0DAE3038" w14:textId="3B1C631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8" w:history="1">
        <w:r w:rsidR="00D100B0" w:rsidRPr="00C82CEC">
          <w:rPr>
            <w:rStyle w:val="Hyperlink"/>
            <w:noProof/>
          </w:rPr>
          <w:t>Figure 4.20: Aggregate Hourly Loads and Load Impacts in 2022 for SCE 1-in-2 Typical Event Day, SCE Medium</w:t>
        </w:r>
        <w:r w:rsidR="00D100B0">
          <w:rPr>
            <w:noProof/>
            <w:webHidden/>
          </w:rPr>
          <w:tab/>
        </w:r>
        <w:r w:rsidR="00D100B0">
          <w:rPr>
            <w:noProof/>
            <w:webHidden/>
          </w:rPr>
          <w:fldChar w:fldCharType="begin"/>
        </w:r>
        <w:r w:rsidR="00D100B0">
          <w:rPr>
            <w:noProof/>
            <w:webHidden/>
          </w:rPr>
          <w:instrText xml:space="preserve"> PAGEREF _Toc509837498 \h </w:instrText>
        </w:r>
        <w:r w:rsidR="00D100B0">
          <w:rPr>
            <w:noProof/>
            <w:webHidden/>
          </w:rPr>
        </w:r>
        <w:r w:rsidR="00D100B0">
          <w:rPr>
            <w:noProof/>
            <w:webHidden/>
          </w:rPr>
          <w:fldChar w:fldCharType="separate"/>
        </w:r>
        <w:r w:rsidR="005D5C7C">
          <w:rPr>
            <w:noProof/>
            <w:webHidden/>
          </w:rPr>
          <w:t>108</w:t>
        </w:r>
        <w:r w:rsidR="00D100B0">
          <w:rPr>
            <w:noProof/>
            <w:webHidden/>
          </w:rPr>
          <w:fldChar w:fldCharType="end"/>
        </w:r>
      </w:hyperlink>
    </w:p>
    <w:p w14:paraId="6E7C8B7D" w14:textId="0CC7342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499" w:history="1">
        <w:r w:rsidR="00D100B0" w:rsidRPr="00C82CEC">
          <w:rPr>
            <w:rStyle w:val="Hyperlink"/>
            <w:noProof/>
          </w:rPr>
          <w:t>Figure 4.21: Aggregate Hourly Loads and Load Impacts in 2022 for SCE 1-in-2 Typical Event Day, SCE Small</w:t>
        </w:r>
        <w:r w:rsidR="00D100B0">
          <w:rPr>
            <w:noProof/>
            <w:webHidden/>
          </w:rPr>
          <w:tab/>
        </w:r>
        <w:r w:rsidR="00D100B0">
          <w:rPr>
            <w:noProof/>
            <w:webHidden/>
          </w:rPr>
          <w:fldChar w:fldCharType="begin"/>
        </w:r>
        <w:r w:rsidR="00D100B0">
          <w:rPr>
            <w:noProof/>
            <w:webHidden/>
          </w:rPr>
          <w:instrText xml:space="preserve"> PAGEREF _Toc509837499 \h </w:instrText>
        </w:r>
        <w:r w:rsidR="00D100B0">
          <w:rPr>
            <w:noProof/>
            <w:webHidden/>
          </w:rPr>
        </w:r>
        <w:r w:rsidR="00D100B0">
          <w:rPr>
            <w:noProof/>
            <w:webHidden/>
          </w:rPr>
          <w:fldChar w:fldCharType="separate"/>
        </w:r>
        <w:r w:rsidR="005D5C7C">
          <w:rPr>
            <w:noProof/>
            <w:webHidden/>
          </w:rPr>
          <w:t>109</w:t>
        </w:r>
        <w:r w:rsidR="00D100B0">
          <w:rPr>
            <w:noProof/>
            <w:webHidden/>
          </w:rPr>
          <w:fldChar w:fldCharType="end"/>
        </w:r>
      </w:hyperlink>
    </w:p>
    <w:p w14:paraId="3B002EA0" w14:textId="04F9A4D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0" w:history="1">
        <w:r w:rsidR="00D100B0" w:rsidRPr="00C82CEC">
          <w:rPr>
            <w:rStyle w:val="Hyperlink"/>
            <w:noProof/>
          </w:rPr>
          <w:t>Figure 4.22: Share of Load Impacts by LCA in 2022 for SCE 1-in-2 Typical Event Day,  SCE Medium</w:t>
        </w:r>
        <w:r w:rsidR="00D100B0">
          <w:rPr>
            <w:noProof/>
            <w:webHidden/>
          </w:rPr>
          <w:tab/>
        </w:r>
        <w:r w:rsidR="00D100B0">
          <w:rPr>
            <w:noProof/>
            <w:webHidden/>
          </w:rPr>
          <w:fldChar w:fldCharType="begin"/>
        </w:r>
        <w:r w:rsidR="00D100B0">
          <w:rPr>
            <w:noProof/>
            <w:webHidden/>
          </w:rPr>
          <w:instrText xml:space="preserve"> PAGEREF _Toc509837500 \h </w:instrText>
        </w:r>
        <w:r w:rsidR="00D100B0">
          <w:rPr>
            <w:noProof/>
            <w:webHidden/>
          </w:rPr>
        </w:r>
        <w:r w:rsidR="00D100B0">
          <w:rPr>
            <w:noProof/>
            <w:webHidden/>
          </w:rPr>
          <w:fldChar w:fldCharType="separate"/>
        </w:r>
        <w:r w:rsidR="005D5C7C">
          <w:rPr>
            <w:noProof/>
            <w:webHidden/>
          </w:rPr>
          <w:t>110</w:t>
        </w:r>
        <w:r w:rsidR="00D100B0">
          <w:rPr>
            <w:noProof/>
            <w:webHidden/>
          </w:rPr>
          <w:fldChar w:fldCharType="end"/>
        </w:r>
      </w:hyperlink>
    </w:p>
    <w:p w14:paraId="11097F7A" w14:textId="57AE2D1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1" w:history="1">
        <w:r w:rsidR="00D100B0" w:rsidRPr="00C82CEC">
          <w:rPr>
            <w:rStyle w:val="Hyperlink"/>
            <w:noProof/>
          </w:rPr>
          <w:t>Figure 4.23: Share of Load Impacts by LCA in 2022 for SCE 1-in-2 Typical Event Day,  SCE Small</w:t>
        </w:r>
        <w:r w:rsidR="00D100B0">
          <w:rPr>
            <w:noProof/>
            <w:webHidden/>
          </w:rPr>
          <w:tab/>
        </w:r>
        <w:r w:rsidR="00D100B0">
          <w:rPr>
            <w:noProof/>
            <w:webHidden/>
          </w:rPr>
          <w:fldChar w:fldCharType="begin"/>
        </w:r>
        <w:r w:rsidR="00D100B0">
          <w:rPr>
            <w:noProof/>
            <w:webHidden/>
          </w:rPr>
          <w:instrText xml:space="preserve"> PAGEREF _Toc509837501 \h </w:instrText>
        </w:r>
        <w:r w:rsidR="00D100B0">
          <w:rPr>
            <w:noProof/>
            <w:webHidden/>
          </w:rPr>
        </w:r>
        <w:r w:rsidR="00D100B0">
          <w:rPr>
            <w:noProof/>
            <w:webHidden/>
          </w:rPr>
          <w:fldChar w:fldCharType="separate"/>
        </w:r>
        <w:r w:rsidR="005D5C7C">
          <w:rPr>
            <w:noProof/>
            <w:webHidden/>
          </w:rPr>
          <w:t>111</w:t>
        </w:r>
        <w:r w:rsidR="00D100B0">
          <w:rPr>
            <w:noProof/>
            <w:webHidden/>
          </w:rPr>
          <w:fldChar w:fldCharType="end"/>
        </w:r>
      </w:hyperlink>
    </w:p>
    <w:p w14:paraId="346C2C82" w14:textId="1BA36D99"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2" w:history="1">
        <w:r w:rsidR="00D100B0" w:rsidRPr="00C82CEC">
          <w:rPr>
            <w:rStyle w:val="Hyperlink"/>
            <w:noProof/>
          </w:rPr>
          <w:t>Figure 4.24: Aggregate Load Impacts by Month over RA Window in 2022 for SCE 1-in-2 Peak Day, SCE Medium</w:t>
        </w:r>
        <w:r w:rsidR="00D100B0">
          <w:rPr>
            <w:noProof/>
            <w:webHidden/>
          </w:rPr>
          <w:tab/>
        </w:r>
        <w:r w:rsidR="00D100B0">
          <w:rPr>
            <w:noProof/>
            <w:webHidden/>
          </w:rPr>
          <w:fldChar w:fldCharType="begin"/>
        </w:r>
        <w:r w:rsidR="00D100B0">
          <w:rPr>
            <w:noProof/>
            <w:webHidden/>
          </w:rPr>
          <w:instrText xml:space="preserve"> PAGEREF _Toc509837502 \h </w:instrText>
        </w:r>
        <w:r w:rsidR="00D100B0">
          <w:rPr>
            <w:noProof/>
            <w:webHidden/>
          </w:rPr>
        </w:r>
        <w:r w:rsidR="00D100B0">
          <w:rPr>
            <w:noProof/>
            <w:webHidden/>
          </w:rPr>
          <w:fldChar w:fldCharType="separate"/>
        </w:r>
        <w:r w:rsidR="005D5C7C">
          <w:rPr>
            <w:noProof/>
            <w:webHidden/>
          </w:rPr>
          <w:t>112</w:t>
        </w:r>
        <w:r w:rsidR="00D100B0">
          <w:rPr>
            <w:noProof/>
            <w:webHidden/>
          </w:rPr>
          <w:fldChar w:fldCharType="end"/>
        </w:r>
      </w:hyperlink>
    </w:p>
    <w:p w14:paraId="34F4521E" w14:textId="700F150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3" w:history="1">
        <w:r w:rsidR="00D100B0" w:rsidRPr="00C82CEC">
          <w:rPr>
            <w:rStyle w:val="Hyperlink"/>
            <w:noProof/>
          </w:rPr>
          <w:t>Figure 4.25: Aggregate Load Impacts by Month over RA Window in 2022 for SCE 1-in-2 Peak Day, SCE Small</w:t>
        </w:r>
        <w:r w:rsidR="00D100B0">
          <w:rPr>
            <w:noProof/>
            <w:webHidden/>
          </w:rPr>
          <w:tab/>
        </w:r>
        <w:r w:rsidR="00D100B0">
          <w:rPr>
            <w:noProof/>
            <w:webHidden/>
          </w:rPr>
          <w:fldChar w:fldCharType="begin"/>
        </w:r>
        <w:r w:rsidR="00D100B0">
          <w:rPr>
            <w:noProof/>
            <w:webHidden/>
          </w:rPr>
          <w:instrText xml:space="preserve"> PAGEREF _Toc509837503 \h </w:instrText>
        </w:r>
        <w:r w:rsidR="00D100B0">
          <w:rPr>
            <w:noProof/>
            <w:webHidden/>
          </w:rPr>
        </w:r>
        <w:r w:rsidR="00D100B0">
          <w:rPr>
            <w:noProof/>
            <w:webHidden/>
          </w:rPr>
          <w:fldChar w:fldCharType="separate"/>
        </w:r>
        <w:r w:rsidR="005D5C7C">
          <w:rPr>
            <w:noProof/>
            <w:webHidden/>
          </w:rPr>
          <w:t>113</w:t>
        </w:r>
        <w:r w:rsidR="00D100B0">
          <w:rPr>
            <w:noProof/>
            <w:webHidden/>
          </w:rPr>
          <w:fldChar w:fldCharType="end"/>
        </w:r>
      </w:hyperlink>
    </w:p>
    <w:p w14:paraId="1BFF090A" w14:textId="7657BC6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4" w:history="1">
        <w:r w:rsidR="00D100B0" w:rsidRPr="00C82CEC">
          <w:rPr>
            <w:rStyle w:val="Hyperlink"/>
            <w:noProof/>
          </w:rPr>
          <w:t>Figure 4.26: Aggregate Load Impacts for Typical Event Day by Year and Weather Scenario over RA Window, SCE Medium</w:t>
        </w:r>
        <w:r w:rsidR="00D100B0">
          <w:rPr>
            <w:noProof/>
            <w:webHidden/>
          </w:rPr>
          <w:tab/>
        </w:r>
        <w:r w:rsidR="00D100B0">
          <w:rPr>
            <w:noProof/>
            <w:webHidden/>
          </w:rPr>
          <w:fldChar w:fldCharType="begin"/>
        </w:r>
        <w:r w:rsidR="00D100B0">
          <w:rPr>
            <w:noProof/>
            <w:webHidden/>
          </w:rPr>
          <w:instrText xml:space="preserve"> PAGEREF _Toc509837504 \h </w:instrText>
        </w:r>
        <w:r w:rsidR="00D100B0">
          <w:rPr>
            <w:noProof/>
            <w:webHidden/>
          </w:rPr>
        </w:r>
        <w:r w:rsidR="00D100B0">
          <w:rPr>
            <w:noProof/>
            <w:webHidden/>
          </w:rPr>
          <w:fldChar w:fldCharType="separate"/>
        </w:r>
        <w:r w:rsidR="005D5C7C">
          <w:rPr>
            <w:noProof/>
            <w:webHidden/>
          </w:rPr>
          <w:t>114</w:t>
        </w:r>
        <w:r w:rsidR="00D100B0">
          <w:rPr>
            <w:noProof/>
            <w:webHidden/>
          </w:rPr>
          <w:fldChar w:fldCharType="end"/>
        </w:r>
      </w:hyperlink>
    </w:p>
    <w:p w14:paraId="220A8AB1" w14:textId="1B455B4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5" w:history="1">
        <w:r w:rsidR="00D100B0" w:rsidRPr="00C82CEC">
          <w:rPr>
            <w:rStyle w:val="Hyperlink"/>
            <w:noProof/>
          </w:rPr>
          <w:t>Figure 4.27: Aggregate Load Impacts for Typical Event Day by Year and Weather Scenario over RA Window, SCE Small</w:t>
        </w:r>
        <w:r w:rsidR="00D100B0">
          <w:rPr>
            <w:noProof/>
            <w:webHidden/>
          </w:rPr>
          <w:tab/>
        </w:r>
        <w:r w:rsidR="00D100B0">
          <w:rPr>
            <w:noProof/>
            <w:webHidden/>
          </w:rPr>
          <w:fldChar w:fldCharType="begin"/>
        </w:r>
        <w:r w:rsidR="00D100B0">
          <w:rPr>
            <w:noProof/>
            <w:webHidden/>
          </w:rPr>
          <w:instrText xml:space="preserve"> PAGEREF _Toc509837505 \h </w:instrText>
        </w:r>
        <w:r w:rsidR="00D100B0">
          <w:rPr>
            <w:noProof/>
            <w:webHidden/>
          </w:rPr>
        </w:r>
        <w:r w:rsidR="00D100B0">
          <w:rPr>
            <w:noProof/>
            <w:webHidden/>
          </w:rPr>
          <w:fldChar w:fldCharType="separate"/>
        </w:r>
        <w:r w:rsidR="005D5C7C">
          <w:rPr>
            <w:noProof/>
            <w:webHidden/>
          </w:rPr>
          <w:t>115</w:t>
        </w:r>
        <w:r w:rsidR="00D100B0">
          <w:rPr>
            <w:noProof/>
            <w:webHidden/>
          </w:rPr>
          <w:fldChar w:fldCharType="end"/>
        </w:r>
      </w:hyperlink>
    </w:p>
    <w:p w14:paraId="09777BC6" w14:textId="72AB16D5"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6" w:history="1">
        <w:r w:rsidR="00D100B0" w:rsidRPr="00C82CEC">
          <w:rPr>
            <w:rStyle w:val="Hyperlink"/>
            <w:noProof/>
          </w:rPr>
          <w:t>Figure 5.1: Average Event-Hour Load Impacts by Event, SDG&amp;E Large</w:t>
        </w:r>
        <w:r w:rsidR="00D100B0">
          <w:rPr>
            <w:noProof/>
            <w:webHidden/>
          </w:rPr>
          <w:tab/>
        </w:r>
        <w:r w:rsidR="00D100B0">
          <w:rPr>
            <w:noProof/>
            <w:webHidden/>
          </w:rPr>
          <w:fldChar w:fldCharType="begin"/>
        </w:r>
        <w:r w:rsidR="00D100B0">
          <w:rPr>
            <w:noProof/>
            <w:webHidden/>
          </w:rPr>
          <w:instrText xml:space="preserve"> PAGEREF _Toc509837506 \h </w:instrText>
        </w:r>
        <w:r w:rsidR="00D100B0">
          <w:rPr>
            <w:noProof/>
            <w:webHidden/>
          </w:rPr>
        </w:r>
        <w:r w:rsidR="00D100B0">
          <w:rPr>
            <w:noProof/>
            <w:webHidden/>
          </w:rPr>
          <w:fldChar w:fldCharType="separate"/>
        </w:r>
        <w:r w:rsidR="005D5C7C">
          <w:rPr>
            <w:noProof/>
            <w:webHidden/>
          </w:rPr>
          <w:t>123</w:t>
        </w:r>
        <w:r w:rsidR="00D100B0">
          <w:rPr>
            <w:noProof/>
            <w:webHidden/>
          </w:rPr>
          <w:fldChar w:fldCharType="end"/>
        </w:r>
      </w:hyperlink>
    </w:p>
    <w:p w14:paraId="47D41BBE" w14:textId="4F50D87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7" w:history="1">
        <w:r w:rsidR="00D100B0" w:rsidRPr="00C82CEC">
          <w:rPr>
            <w:rStyle w:val="Hyperlink"/>
            <w:noProof/>
          </w:rPr>
          <w:t>Figure 5.2: Average Weekday Event Reference Loads and Load Profile, SDG&amp;E Large</w:t>
        </w:r>
        <w:r w:rsidR="00D100B0">
          <w:rPr>
            <w:noProof/>
            <w:webHidden/>
          </w:rPr>
          <w:tab/>
        </w:r>
        <w:r w:rsidR="00D100B0">
          <w:rPr>
            <w:noProof/>
            <w:webHidden/>
          </w:rPr>
          <w:fldChar w:fldCharType="begin"/>
        </w:r>
        <w:r w:rsidR="00D100B0">
          <w:rPr>
            <w:noProof/>
            <w:webHidden/>
          </w:rPr>
          <w:instrText xml:space="preserve"> PAGEREF _Toc509837507 \h </w:instrText>
        </w:r>
        <w:r w:rsidR="00D100B0">
          <w:rPr>
            <w:noProof/>
            <w:webHidden/>
          </w:rPr>
        </w:r>
        <w:r w:rsidR="00D100B0">
          <w:rPr>
            <w:noProof/>
            <w:webHidden/>
          </w:rPr>
          <w:fldChar w:fldCharType="separate"/>
        </w:r>
        <w:r w:rsidR="005D5C7C">
          <w:rPr>
            <w:noProof/>
            <w:webHidden/>
          </w:rPr>
          <w:t>124</w:t>
        </w:r>
        <w:r w:rsidR="00D100B0">
          <w:rPr>
            <w:noProof/>
            <w:webHidden/>
          </w:rPr>
          <w:fldChar w:fldCharType="end"/>
        </w:r>
      </w:hyperlink>
    </w:p>
    <w:p w14:paraId="2F39266F" w14:textId="1A37A6C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8" w:history="1">
        <w:r w:rsidR="00D100B0" w:rsidRPr="00C82CEC">
          <w:rPr>
            <w:rStyle w:val="Hyperlink"/>
            <w:noProof/>
            <w:highlight w:val="lightGray"/>
          </w:rPr>
          <w:t>Figure 5.3: Average Weekday Event-Hour Load Impacts by Industry Group,  SDG&amp;E Large</w:t>
        </w:r>
        <w:r w:rsidR="00D100B0">
          <w:rPr>
            <w:noProof/>
            <w:webHidden/>
          </w:rPr>
          <w:tab/>
        </w:r>
        <w:r w:rsidR="00D100B0">
          <w:rPr>
            <w:noProof/>
            <w:webHidden/>
          </w:rPr>
          <w:fldChar w:fldCharType="begin"/>
        </w:r>
        <w:r w:rsidR="00D100B0">
          <w:rPr>
            <w:noProof/>
            <w:webHidden/>
          </w:rPr>
          <w:instrText xml:space="preserve"> PAGEREF _Toc509837508 \h </w:instrText>
        </w:r>
        <w:r w:rsidR="00D100B0">
          <w:rPr>
            <w:noProof/>
            <w:webHidden/>
          </w:rPr>
        </w:r>
        <w:r w:rsidR="00D100B0">
          <w:rPr>
            <w:noProof/>
            <w:webHidden/>
          </w:rPr>
          <w:fldChar w:fldCharType="separate"/>
        </w:r>
        <w:r w:rsidR="005D5C7C">
          <w:rPr>
            <w:noProof/>
            <w:webHidden/>
          </w:rPr>
          <w:t>126</w:t>
        </w:r>
        <w:r w:rsidR="00D100B0">
          <w:rPr>
            <w:noProof/>
            <w:webHidden/>
          </w:rPr>
          <w:fldChar w:fldCharType="end"/>
        </w:r>
      </w:hyperlink>
    </w:p>
    <w:p w14:paraId="3E844512" w14:textId="339973FC"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09" w:history="1">
        <w:r w:rsidR="00D100B0" w:rsidRPr="00C82CEC">
          <w:rPr>
            <w:rStyle w:val="Hyperlink"/>
            <w:noProof/>
          </w:rPr>
          <w:t>Figure 5.4: Average Event-Hour Load Impacts by Event, SDG&amp;E Medium</w:t>
        </w:r>
        <w:r w:rsidR="00D100B0">
          <w:rPr>
            <w:noProof/>
            <w:webHidden/>
          </w:rPr>
          <w:tab/>
        </w:r>
        <w:r w:rsidR="00D100B0">
          <w:rPr>
            <w:noProof/>
            <w:webHidden/>
          </w:rPr>
          <w:fldChar w:fldCharType="begin"/>
        </w:r>
        <w:r w:rsidR="00D100B0">
          <w:rPr>
            <w:noProof/>
            <w:webHidden/>
          </w:rPr>
          <w:instrText xml:space="preserve"> PAGEREF _Toc509837509 \h </w:instrText>
        </w:r>
        <w:r w:rsidR="00D100B0">
          <w:rPr>
            <w:noProof/>
            <w:webHidden/>
          </w:rPr>
        </w:r>
        <w:r w:rsidR="00D100B0">
          <w:rPr>
            <w:noProof/>
            <w:webHidden/>
          </w:rPr>
          <w:fldChar w:fldCharType="separate"/>
        </w:r>
        <w:r w:rsidR="005D5C7C">
          <w:rPr>
            <w:noProof/>
            <w:webHidden/>
          </w:rPr>
          <w:t>127</w:t>
        </w:r>
        <w:r w:rsidR="00D100B0">
          <w:rPr>
            <w:noProof/>
            <w:webHidden/>
          </w:rPr>
          <w:fldChar w:fldCharType="end"/>
        </w:r>
      </w:hyperlink>
    </w:p>
    <w:p w14:paraId="735A87B9" w14:textId="312AF34B"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0" w:history="1">
        <w:r w:rsidR="00D100B0" w:rsidRPr="00C82CEC">
          <w:rPr>
            <w:rStyle w:val="Hyperlink"/>
            <w:noProof/>
          </w:rPr>
          <w:t>Figure 5.5: Average Weekday Event Reference Load and Load Profile, SDG&amp;E Medium</w:t>
        </w:r>
        <w:r w:rsidR="00D100B0">
          <w:rPr>
            <w:noProof/>
            <w:webHidden/>
          </w:rPr>
          <w:tab/>
        </w:r>
        <w:r w:rsidR="00D100B0">
          <w:rPr>
            <w:noProof/>
            <w:webHidden/>
          </w:rPr>
          <w:fldChar w:fldCharType="begin"/>
        </w:r>
        <w:r w:rsidR="00D100B0">
          <w:rPr>
            <w:noProof/>
            <w:webHidden/>
          </w:rPr>
          <w:instrText xml:space="preserve"> PAGEREF _Toc509837510 \h </w:instrText>
        </w:r>
        <w:r w:rsidR="00D100B0">
          <w:rPr>
            <w:noProof/>
            <w:webHidden/>
          </w:rPr>
        </w:r>
        <w:r w:rsidR="00D100B0">
          <w:rPr>
            <w:noProof/>
            <w:webHidden/>
          </w:rPr>
          <w:fldChar w:fldCharType="separate"/>
        </w:r>
        <w:r w:rsidR="005D5C7C">
          <w:rPr>
            <w:noProof/>
            <w:webHidden/>
          </w:rPr>
          <w:t>128</w:t>
        </w:r>
        <w:r w:rsidR="00D100B0">
          <w:rPr>
            <w:noProof/>
            <w:webHidden/>
          </w:rPr>
          <w:fldChar w:fldCharType="end"/>
        </w:r>
      </w:hyperlink>
    </w:p>
    <w:p w14:paraId="7315A948" w14:textId="14BD018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1" w:history="1">
        <w:r w:rsidR="00D100B0" w:rsidRPr="00C82CEC">
          <w:rPr>
            <w:rStyle w:val="Hyperlink"/>
            <w:noProof/>
          </w:rPr>
          <w:t>Figure 5.6: Average Weekday Event-Hour Load Impacts by Industry Group,  SDG&amp;E Medium</w:t>
        </w:r>
        <w:r w:rsidR="00D100B0">
          <w:rPr>
            <w:noProof/>
            <w:webHidden/>
          </w:rPr>
          <w:tab/>
        </w:r>
        <w:r w:rsidR="00D100B0">
          <w:rPr>
            <w:noProof/>
            <w:webHidden/>
          </w:rPr>
          <w:fldChar w:fldCharType="begin"/>
        </w:r>
        <w:r w:rsidR="00D100B0">
          <w:rPr>
            <w:noProof/>
            <w:webHidden/>
          </w:rPr>
          <w:instrText xml:space="preserve"> PAGEREF _Toc509837511 \h </w:instrText>
        </w:r>
        <w:r w:rsidR="00D100B0">
          <w:rPr>
            <w:noProof/>
            <w:webHidden/>
          </w:rPr>
        </w:r>
        <w:r w:rsidR="00D100B0">
          <w:rPr>
            <w:noProof/>
            <w:webHidden/>
          </w:rPr>
          <w:fldChar w:fldCharType="separate"/>
        </w:r>
        <w:r w:rsidR="005D5C7C">
          <w:rPr>
            <w:noProof/>
            <w:webHidden/>
          </w:rPr>
          <w:t>130</w:t>
        </w:r>
        <w:r w:rsidR="00D100B0">
          <w:rPr>
            <w:noProof/>
            <w:webHidden/>
          </w:rPr>
          <w:fldChar w:fldCharType="end"/>
        </w:r>
      </w:hyperlink>
    </w:p>
    <w:p w14:paraId="210C30B6" w14:textId="7E6CC13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2" w:history="1">
        <w:r w:rsidR="00D100B0" w:rsidRPr="00C82CEC">
          <w:rPr>
            <w:rStyle w:val="Hyperlink"/>
            <w:noProof/>
          </w:rPr>
          <w:t>Figure 5.7: CPP Enrollments, SDG&amp;E Large</w:t>
        </w:r>
        <w:r w:rsidR="00D100B0">
          <w:rPr>
            <w:noProof/>
            <w:webHidden/>
          </w:rPr>
          <w:tab/>
        </w:r>
        <w:r w:rsidR="00D100B0">
          <w:rPr>
            <w:noProof/>
            <w:webHidden/>
          </w:rPr>
          <w:fldChar w:fldCharType="begin"/>
        </w:r>
        <w:r w:rsidR="00D100B0">
          <w:rPr>
            <w:noProof/>
            <w:webHidden/>
          </w:rPr>
          <w:instrText xml:space="preserve"> PAGEREF _Toc509837512 \h </w:instrText>
        </w:r>
        <w:r w:rsidR="00D100B0">
          <w:rPr>
            <w:noProof/>
            <w:webHidden/>
          </w:rPr>
        </w:r>
        <w:r w:rsidR="00D100B0">
          <w:rPr>
            <w:noProof/>
            <w:webHidden/>
          </w:rPr>
          <w:fldChar w:fldCharType="separate"/>
        </w:r>
        <w:r w:rsidR="005D5C7C">
          <w:rPr>
            <w:noProof/>
            <w:webHidden/>
          </w:rPr>
          <w:t>134</w:t>
        </w:r>
        <w:r w:rsidR="00D100B0">
          <w:rPr>
            <w:noProof/>
            <w:webHidden/>
          </w:rPr>
          <w:fldChar w:fldCharType="end"/>
        </w:r>
      </w:hyperlink>
    </w:p>
    <w:p w14:paraId="6BB56BD7" w14:textId="30FFB9E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3" w:history="1">
        <w:r w:rsidR="00D100B0" w:rsidRPr="00C82CEC">
          <w:rPr>
            <w:rStyle w:val="Hyperlink"/>
            <w:noProof/>
          </w:rPr>
          <w:t>Figure 5.8: Aggregate Hourly Loads and Load Impacts in 2022 for SDG&amp;E 1-in-2  Average Weekday Event, SDG&amp;E Large</w:t>
        </w:r>
        <w:r w:rsidR="00D100B0">
          <w:rPr>
            <w:noProof/>
            <w:webHidden/>
          </w:rPr>
          <w:tab/>
        </w:r>
        <w:r w:rsidR="00D100B0">
          <w:rPr>
            <w:noProof/>
            <w:webHidden/>
          </w:rPr>
          <w:fldChar w:fldCharType="begin"/>
        </w:r>
        <w:r w:rsidR="00D100B0">
          <w:rPr>
            <w:noProof/>
            <w:webHidden/>
          </w:rPr>
          <w:instrText xml:space="preserve"> PAGEREF _Toc509837513 \h </w:instrText>
        </w:r>
        <w:r w:rsidR="00D100B0">
          <w:rPr>
            <w:noProof/>
            <w:webHidden/>
          </w:rPr>
        </w:r>
        <w:r w:rsidR="00D100B0">
          <w:rPr>
            <w:noProof/>
            <w:webHidden/>
          </w:rPr>
          <w:fldChar w:fldCharType="separate"/>
        </w:r>
        <w:r w:rsidR="005D5C7C">
          <w:rPr>
            <w:noProof/>
            <w:webHidden/>
          </w:rPr>
          <w:t>134</w:t>
        </w:r>
        <w:r w:rsidR="00D100B0">
          <w:rPr>
            <w:noProof/>
            <w:webHidden/>
          </w:rPr>
          <w:fldChar w:fldCharType="end"/>
        </w:r>
      </w:hyperlink>
    </w:p>
    <w:p w14:paraId="29F6FA03" w14:textId="2D55CA9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4" w:history="1">
        <w:r w:rsidR="00D100B0" w:rsidRPr="00C82CEC">
          <w:rPr>
            <w:rStyle w:val="Hyperlink"/>
            <w:noProof/>
          </w:rPr>
          <w:t>Figure 5.9: Aggregate Load Impacts by Month over RA Window in 2022 for  SDG&amp;E 1-in-2 Peak Day, SDG&amp;E Large</w:t>
        </w:r>
        <w:r w:rsidR="00D100B0">
          <w:rPr>
            <w:noProof/>
            <w:webHidden/>
          </w:rPr>
          <w:tab/>
        </w:r>
        <w:r w:rsidR="00D100B0">
          <w:rPr>
            <w:noProof/>
            <w:webHidden/>
          </w:rPr>
          <w:fldChar w:fldCharType="begin"/>
        </w:r>
        <w:r w:rsidR="00D100B0">
          <w:rPr>
            <w:noProof/>
            <w:webHidden/>
          </w:rPr>
          <w:instrText xml:space="preserve"> PAGEREF _Toc509837514 \h </w:instrText>
        </w:r>
        <w:r w:rsidR="00D100B0">
          <w:rPr>
            <w:noProof/>
            <w:webHidden/>
          </w:rPr>
        </w:r>
        <w:r w:rsidR="00D100B0">
          <w:rPr>
            <w:noProof/>
            <w:webHidden/>
          </w:rPr>
          <w:fldChar w:fldCharType="separate"/>
        </w:r>
        <w:r w:rsidR="005D5C7C">
          <w:rPr>
            <w:noProof/>
            <w:webHidden/>
          </w:rPr>
          <w:t>135</w:t>
        </w:r>
        <w:r w:rsidR="00D100B0">
          <w:rPr>
            <w:noProof/>
            <w:webHidden/>
          </w:rPr>
          <w:fldChar w:fldCharType="end"/>
        </w:r>
      </w:hyperlink>
    </w:p>
    <w:p w14:paraId="02E215F1" w14:textId="192C56AE"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5" w:history="1">
        <w:r w:rsidR="00D100B0" w:rsidRPr="00C82CEC">
          <w:rPr>
            <w:rStyle w:val="Hyperlink"/>
            <w:noProof/>
          </w:rPr>
          <w:t>Figure 5.10: Aggregate Load Impacts for Average Weekday Event by Year and Weather Scenario over RA Window, SDG&amp;E Large</w:t>
        </w:r>
        <w:r w:rsidR="00D100B0">
          <w:rPr>
            <w:noProof/>
            <w:webHidden/>
          </w:rPr>
          <w:tab/>
        </w:r>
        <w:r w:rsidR="00D100B0">
          <w:rPr>
            <w:noProof/>
            <w:webHidden/>
          </w:rPr>
          <w:fldChar w:fldCharType="begin"/>
        </w:r>
        <w:r w:rsidR="00D100B0">
          <w:rPr>
            <w:noProof/>
            <w:webHidden/>
          </w:rPr>
          <w:instrText xml:space="preserve"> PAGEREF _Toc509837515 \h </w:instrText>
        </w:r>
        <w:r w:rsidR="00D100B0">
          <w:rPr>
            <w:noProof/>
            <w:webHidden/>
          </w:rPr>
        </w:r>
        <w:r w:rsidR="00D100B0">
          <w:rPr>
            <w:noProof/>
            <w:webHidden/>
          </w:rPr>
          <w:fldChar w:fldCharType="separate"/>
        </w:r>
        <w:r w:rsidR="005D5C7C">
          <w:rPr>
            <w:noProof/>
            <w:webHidden/>
          </w:rPr>
          <w:t>136</w:t>
        </w:r>
        <w:r w:rsidR="00D100B0">
          <w:rPr>
            <w:noProof/>
            <w:webHidden/>
          </w:rPr>
          <w:fldChar w:fldCharType="end"/>
        </w:r>
      </w:hyperlink>
    </w:p>
    <w:p w14:paraId="367071A7" w14:textId="2955CDF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6" w:history="1">
        <w:r w:rsidR="00D100B0" w:rsidRPr="00C82CEC">
          <w:rPr>
            <w:rStyle w:val="Hyperlink"/>
            <w:noProof/>
          </w:rPr>
          <w:t>Figure 5.11: CPP Enrollments, SDG&amp;E Medium</w:t>
        </w:r>
        <w:r w:rsidR="00D100B0">
          <w:rPr>
            <w:noProof/>
            <w:webHidden/>
          </w:rPr>
          <w:tab/>
        </w:r>
        <w:r w:rsidR="00D100B0">
          <w:rPr>
            <w:noProof/>
            <w:webHidden/>
          </w:rPr>
          <w:fldChar w:fldCharType="begin"/>
        </w:r>
        <w:r w:rsidR="00D100B0">
          <w:rPr>
            <w:noProof/>
            <w:webHidden/>
          </w:rPr>
          <w:instrText xml:space="preserve"> PAGEREF _Toc509837516 \h </w:instrText>
        </w:r>
        <w:r w:rsidR="00D100B0">
          <w:rPr>
            <w:noProof/>
            <w:webHidden/>
          </w:rPr>
        </w:r>
        <w:r w:rsidR="00D100B0">
          <w:rPr>
            <w:noProof/>
            <w:webHidden/>
          </w:rPr>
          <w:fldChar w:fldCharType="separate"/>
        </w:r>
        <w:r w:rsidR="005D5C7C">
          <w:rPr>
            <w:noProof/>
            <w:webHidden/>
          </w:rPr>
          <w:t>136</w:t>
        </w:r>
        <w:r w:rsidR="00D100B0">
          <w:rPr>
            <w:noProof/>
            <w:webHidden/>
          </w:rPr>
          <w:fldChar w:fldCharType="end"/>
        </w:r>
      </w:hyperlink>
    </w:p>
    <w:p w14:paraId="12C4E8DE" w14:textId="4EEEE8B7"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7" w:history="1">
        <w:r w:rsidR="00D100B0" w:rsidRPr="00C82CEC">
          <w:rPr>
            <w:rStyle w:val="Hyperlink"/>
            <w:noProof/>
          </w:rPr>
          <w:t>Figure 5.12: Aggregate Hourly Loads and Load Impacts in 2022 for  SDG&amp;E 1-in-2 Average Weekday Event, SDG&amp;E Medium</w:t>
        </w:r>
        <w:r w:rsidR="00D100B0">
          <w:rPr>
            <w:noProof/>
            <w:webHidden/>
          </w:rPr>
          <w:tab/>
        </w:r>
        <w:r w:rsidR="00D100B0">
          <w:rPr>
            <w:noProof/>
            <w:webHidden/>
          </w:rPr>
          <w:fldChar w:fldCharType="begin"/>
        </w:r>
        <w:r w:rsidR="00D100B0">
          <w:rPr>
            <w:noProof/>
            <w:webHidden/>
          </w:rPr>
          <w:instrText xml:space="preserve"> PAGEREF _Toc509837517 \h </w:instrText>
        </w:r>
        <w:r w:rsidR="00D100B0">
          <w:rPr>
            <w:noProof/>
            <w:webHidden/>
          </w:rPr>
        </w:r>
        <w:r w:rsidR="00D100B0">
          <w:rPr>
            <w:noProof/>
            <w:webHidden/>
          </w:rPr>
          <w:fldChar w:fldCharType="separate"/>
        </w:r>
        <w:r w:rsidR="005D5C7C">
          <w:rPr>
            <w:noProof/>
            <w:webHidden/>
          </w:rPr>
          <w:t>137</w:t>
        </w:r>
        <w:r w:rsidR="00D100B0">
          <w:rPr>
            <w:noProof/>
            <w:webHidden/>
          </w:rPr>
          <w:fldChar w:fldCharType="end"/>
        </w:r>
      </w:hyperlink>
    </w:p>
    <w:p w14:paraId="272644EC" w14:textId="3410C2A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8" w:history="1">
        <w:r w:rsidR="00D100B0" w:rsidRPr="00C82CEC">
          <w:rPr>
            <w:rStyle w:val="Hyperlink"/>
            <w:noProof/>
          </w:rPr>
          <w:t>Figure 5.13: Aggregate Load Impacts by Month over RA Window in 2022 for  SDG&amp;E 1-in-2 Peak Day, SDG&amp;E Medium</w:t>
        </w:r>
        <w:r w:rsidR="00D100B0">
          <w:rPr>
            <w:noProof/>
            <w:webHidden/>
          </w:rPr>
          <w:tab/>
        </w:r>
        <w:r w:rsidR="00D100B0">
          <w:rPr>
            <w:noProof/>
            <w:webHidden/>
          </w:rPr>
          <w:fldChar w:fldCharType="begin"/>
        </w:r>
        <w:r w:rsidR="00D100B0">
          <w:rPr>
            <w:noProof/>
            <w:webHidden/>
          </w:rPr>
          <w:instrText xml:space="preserve"> PAGEREF _Toc509837518 \h </w:instrText>
        </w:r>
        <w:r w:rsidR="00D100B0">
          <w:rPr>
            <w:noProof/>
            <w:webHidden/>
          </w:rPr>
        </w:r>
        <w:r w:rsidR="00D100B0">
          <w:rPr>
            <w:noProof/>
            <w:webHidden/>
          </w:rPr>
          <w:fldChar w:fldCharType="separate"/>
        </w:r>
        <w:r w:rsidR="005D5C7C">
          <w:rPr>
            <w:noProof/>
            <w:webHidden/>
          </w:rPr>
          <w:t>138</w:t>
        </w:r>
        <w:r w:rsidR="00D100B0">
          <w:rPr>
            <w:noProof/>
            <w:webHidden/>
          </w:rPr>
          <w:fldChar w:fldCharType="end"/>
        </w:r>
      </w:hyperlink>
    </w:p>
    <w:p w14:paraId="022ED506" w14:textId="567034AD"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19" w:history="1">
        <w:r w:rsidR="00D100B0" w:rsidRPr="00C82CEC">
          <w:rPr>
            <w:rStyle w:val="Hyperlink"/>
            <w:noProof/>
          </w:rPr>
          <w:t>Figure 5.14: Aggregate Load Impacts for Average Weekday Event by Year and Weather Scenario over RA Window, SDG&amp;E Medium</w:t>
        </w:r>
        <w:r w:rsidR="00D100B0">
          <w:rPr>
            <w:noProof/>
            <w:webHidden/>
          </w:rPr>
          <w:tab/>
        </w:r>
        <w:r w:rsidR="00D100B0">
          <w:rPr>
            <w:noProof/>
            <w:webHidden/>
          </w:rPr>
          <w:fldChar w:fldCharType="begin"/>
        </w:r>
        <w:r w:rsidR="00D100B0">
          <w:rPr>
            <w:noProof/>
            <w:webHidden/>
          </w:rPr>
          <w:instrText xml:space="preserve"> PAGEREF _Toc509837519 \h </w:instrText>
        </w:r>
        <w:r w:rsidR="00D100B0">
          <w:rPr>
            <w:noProof/>
            <w:webHidden/>
          </w:rPr>
        </w:r>
        <w:r w:rsidR="00D100B0">
          <w:rPr>
            <w:noProof/>
            <w:webHidden/>
          </w:rPr>
          <w:fldChar w:fldCharType="separate"/>
        </w:r>
        <w:r w:rsidR="005D5C7C">
          <w:rPr>
            <w:noProof/>
            <w:webHidden/>
          </w:rPr>
          <w:t>139</w:t>
        </w:r>
        <w:r w:rsidR="00D100B0">
          <w:rPr>
            <w:noProof/>
            <w:webHidden/>
          </w:rPr>
          <w:fldChar w:fldCharType="end"/>
        </w:r>
      </w:hyperlink>
    </w:p>
    <w:p w14:paraId="59AEFF00" w14:textId="300A6778"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0" w:history="1">
        <w:r w:rsidR="00D100B0" w:rsidRPr="00C82CEC">
          <w:rPr>
            <w:rStyle w:val="Hyperlink"/>
            <w:noProof/>
          </w:rPr>
          <w:t>Figure A.1: Treatment and Control Non-Event Day Load Profiles, PG&amp;E Small</w:t>
        </w:r>
        <w:r w:rsidR="00D100B0">
          <w:rPr>
            <w:noProof/>
            <w:webHidden/>
          </w:rPr>
          <w:tab/>
        </w:r>
        <w:r w:rsidR="00D100B0">
          <w:rPr>
            <w:noProof/>
            <w:webHidden/>
          </w:rPr>
          <w:fldChar w:fldCharType="begin"/>
        </w:r>
        <w:r w:rsidR="00D100B0">
          <w:rPr>
            <w:noProof/>
            <w:webHidden/>
          </w:rPr>
          <w:instrText xml:space="preserve"> PAGEREF _Toc509837520 \h </w:instrText>
        </w:r>
        <w:r w:rsidR="00D100B0">
          <w:rPr>
            <w:noProof/>
            <w:webHidden/>
          </w:rPr>
        </w:r>
        <w:r w:rsidR="00D100B0">
          <w:rPr>
            <w:noProof/>
            <w:webHidden/>
          </w:rPr>
          <w:fldChar w:fldCharType="separate"/>
        </w:r>
        <w:r w:rsidR="005D5C7C">
          <w:rPr>
            <w:noProof/>
            <w:webHidden/>
          </w:rPr>
          <w:t>148</w:t>
        </w:r>
        <w:r w:rsidR="00D100B0">
          <w:rPr>
            <w:noProof/>
            <w:webHidden/>
          </w:rPr>
          <w:fldChar w:fldCharType="end"/>
        </w:r>
      </w:hyperlink>
    </w:p>
    <w:p w14:paraId="29798935" w14:textId="1C367A01"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1" w:history="1">
        <w:r w:rsidR="00D100B0" w:rsidRPr="00C82CEC">
          <w:rPr>
            <w:rStyle w:val="Hyperlink"/>
            <w:noProof/>
          </w:rPr>
          <w:t>Figure A.2: Treatment and Control Non-Event Day Load Profiles, PG&amp;E Medium</w:t>
        </w:r>
        <w:r w:rsidR="00D100B0">
          <w:rPr>
            <w:noProof/>
            <w:webHidden/>
          </w:rPr>
          <w:tab/>
        </w:r>
        <w:r w:rsidR="00D100B0">
          <w:rPr>
            <w:noProof/>
            <w:webHidden/>
          </w:rPr>
          <w:fldChar w:fldCharType="begin"/>
        </w:r>
        <w:r w:rsidR="00D100B0">
          <w:rPr>
            <w:noProof/>
            <w:webHidden/>
          </w:rPr>
          <w:instrText xml:space="preserve"> PAGEREF _Toc509837521 \h </w:instrText>
        </w:r>
        <w:r w:rsidR="00D100B0">
          <w:rPr>
            <w:noProof/>
            <w:webHidden/>
          </w:rPr>
        </w:r>
        <w:r w:rsidR="00D100B0">
          <w:rPr>
            <w:noProof/>
            <w:webHidden/>
          </w:rPr>
          <w:fldChar w:fldCharType="separate"/>
        </w:r>
        <w:r w:rsidR="005D5C7C">
          <w:rPr>
            <w:noProof/>
            <w:webHidden/>
          </w:rPr>
          <w:t>148</w:t>
        </w:r>
        <w:r w:rsidR="00D100B0">
          <w:rPr>
            <w:noProof/>
            <w:webHidden/>
          </w:rPr>
          <w:fldChar w:fldCharType="end"/>
        </w:r>
      </w:hyperlink>
    </w:p>
    <w:p w14:paraId="36917771" w14:textId="13EFDDB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2" w:history="1">
        <w:r w:rsidR="00D100B0" w:rsidRPr="00C82CEC">
          <w:rPr>
            <w:rStyle w:val="Hyperlink"/>
            <w:noProof/>
          </w:rPr>
          <w:t>Figure A.3: Treatment and Control Non-Event Day Load Profiles, PG&amp;E Large</w:t>
        </w:r>
        <w:r w:rsidR="00D100B0">
          <w:rPr>
            <w:noProof/>
            <w:webHidden/>
          </w:rPr>
          <w:tab/>
        </w:r>
        <w:r w:rsidR="00D100B0">
          <w:rPr>
            <w:noProof/>
            <w:webHidden/>
          </w:rPr>
          <w:fldChar w:fldCharType="begin"/>
        </w:r>
        <w:r w:rsidR="00D100B0">
          <w:rPr>
            <w:noProof/>
            <w:webHidden/>
          </w:rPr>
          <w:instrText xml:space="preserve"> PAGEREF _Toc509837522 \h </w:instrText>
        </w:r>
        <w:r w:rsidR="00D100B0">
          <w:rPr>
            <w:noProof/>
            <w:webHidden/>
          </w:rPr>
        </w:r>
        <w:r w:rsidR="00D100B0">
          <w:rPr>
            <w:noProof/>
            <w:webHidden/>
          </w:rPr>
          <w:fldChar w:fldCharType="separate"/>
        </w:r>
        <w:r w:rsidR="005D5C7C">
          <w:rPr>
            <w:noProof/>
            <w:webHidden/>
          </w:rPr>
          <w:t>149</w:t>
        </w:r>
        <w:r w:rsidR="00D100B0">
          <w:rPr>
            <w:noProof/>
            <w:webHidden/>
          </w:rPr>
          <w:fldChar w:fldCharType="end"/>
        </w:r>
      </w:hyperlink>
    </w:p>
    <w:p w14:paraId="05A004F1" w14:textId="42C6B24A"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3" w:history="1">
        <w:r w:rsidR="00D100B0" w:rsidRPr="00C82CEC">
          <w:rPr>
            <w:rStyle w:val="Hyperlink"/>
            <w:noProof/>
          </w:rPr>
          <w:t>Figure A.4: Treatment and Control Non-Event Day Load Profiles, SCE Small</w:t>
        </w:r>
        <w:r w:rsidR="00D100B0">
          <w:rPr>
            <w:noProof/>
            <w:webHidden/>
          </w:rPr>
          <w:tab/>
        </w:r>
        <w:r w:rsidR="00D100B0">
          <w:rPr>
            <w:noProof/>
            <w:webHidden/>
          </w:rPr>
          <w:fldChar w:fldCharType="begin"/>
        </w:r>
        <w:r w:rsidR="00D100B0">
          <w:rPr>
            <w:noProof/>
            <w:webHidden/>
          </w:rPr>
          <w:instrText xml:space="preserve"> PAGEREF _Toc509837523 \h </w:instrText>
        </w:r>
        <w:r w:rsidR="00D100B0">
          <w:rPr>
            <w:noProof/>
            <w:webHidden/>
          </w:rPr>
        </w:r>
        <w:r w:rsidR="00D100B0">
          <w:rPr>
            <w:noProof/>
            <w:webHidden/>
          </w:rPr>
          <w:fldChar w:fldCharType="separate"/>
        </w:r>
        <w:r w:rsidR="005D5C7C">
          <w:rPr>
            <w:noProof/>
            <w:webHidden/>
          </w:rPr>
          <w:t>150</w:t>
        </w:r>
        <w:r w:rsidR="00D100B0">
          <w:rPr>
            <w:noProof/>
            <w:webHidden/>
          </w:rPr>
          <w:fldChar w:fldCharType="end"/>
        </w:r>
      </w:hyperlink>
    </w:p>
    <w:p w14:paraId="66EA51B0" w14:textId="387DD3D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4" w:history="1">
        <w:r w:rsidR="00D100B0" w:rsidRPr="00C82CEC">
          <w:rPr>
            <w:rStyle w:val="Hyperlink"/>
            <w:noProof/>
          </w:rPr>
          <w:t>Figure A.5: Treatment and Control Non-Event Day Load Profiles, SCE Medium</w:t>
        </w:r>
        <w:r w:rsidR="00D100B0">
          <w:rPr>
            <w:noProof/>
            <w:webHidden/>
          </w:rPr>
          <w:tab/>
        </w:r>
        <w:r w:rsidR="00D100B0">
          <w:rPr>
            <w:noProof/>
            <w:webHidden/>
          </w:rPr>
          <w:fldChar w:fldCharType="begin"/>
        </w:r>
        <w:r w:rsidR="00D100B0">
          <w:rPr>
            <w:noProof/>
            <w:webHidden/>
          </w:rPr>
          <w:instrText xml:space="preserve"> PAGEREF _Toc509837524 \h </w:instrText>
        </w:r>
        <w:r w:rsidR="00D100B0">
          <w:rPr>
            <w:noProof/>
            <w:webHidden/>
          </w:rPr>
        </w:r>
        <w:r w:rsidR="00D100B0">
          <w:rPr>
            <w:noProof/>
            <w:webHidden/>
          </w:rPr>
          <w:fldChar w:fldCharType="separate"/>
        </w:r>
        <w:r w:rsidR="005D5C7C">
          <w:rPr>
            <w:noProof/>
            <w:webHidden/>
          </w:rPr>
          <w:t>151</w:t>
        </w:r>
        <w:r w:rsidR="00D100B0">
          <w:rPr>
            <w:noProof/>
            <w:webHidden/>
          </w:rPr>
          <w:fldChar w:fldCharType="end"/>
        </w:r>
      </w:hyperlink>
    </w:p>
    <w:p w14:paraId="464CB95C" w14:textId="4172A514"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5" w:history="1">
        <w:r w:rsidR="00D100B0" w:rsidRPr="00C82CEC">
          <w:rPr>
            <w:rStyle w:val="Hyperlink"/>
            <w:noProof/>
          </w:rPr>
          <w:t>Figure A.6: Treatment and Control Non-Event Day Load Profiles, SCE Large</w:t>
        </w:r>
        <w:r w:rsidR="00D100B0">
          <w:rPr>
            <w:noProof/>
            <w:webHidden/>
          </w:rPr>
          <w:tab/>
        </w:r>
        <w:r w:rsidR="00D100B0">
          <w:rPr>
            <w:noProof/>
            <w:webHidden/>
          </w:rPr>
          <w:fldChar w:fldCharType="begin"/>
        </w:r>
        <w:r w:rsidR="00D100B0">
          <w:rPr>
            <w:noProof/>
            <w:webHidden/>
          </w:rPr>
          <w:instrText xml:space="preserve"> PAGEREF _Toc509837525 \h </w:instrText>
        </w:r>
        <w:r w:rsidR="00D100B0">
          <w:rPr>
            <w:noProof/>
            <w:webHidden/>
          </w:rPr>
        </w:r>
        <w:r w:rsidR="00D100B0">
          <w:rPr>
            <w:noProof/>
            <w:webHidden/>
          </w:rPr>
          <w:fldChar w:fldCharType="separate"/>
        </w:r>
        <w:r w:rsidR="005D5C7C">
          <w:rPr>
            <w:noProof/>
            <w:webHidden/>
          </w:rPr>
          <w:t>151</w:t>
        </w:r>
        <w:r w:rsidR="00D100B0">
          <w:rPr>
            <w:noProof/>
            <w:webHidden/>
          </w:rPr>
          <w:fldChar w:fldCharType="end"/>
        </w:r>
      </w:hyperlink>
    </w:p>
    <w:p w14:paraId="086FD1E5" w14:textId="766D1746"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6" w:history="1">
        <w:r w:rsidR="00D100B0" w:rsidRPr="00C82CEC">
          <w:rPr>
            <w:rStyle w:val="Hyperlink"/>
            <w:noProof/>
          </w:rPr>
          <w:t>Figure A.7: Treatment and Control Non-Event Day Load Profiles, SCE NEM</w:t>
        </w:r>
        <w:r w:rsidR="00D100B0">
          <w:rPr>
            <w:noProof/>
            <w:webHidden/>
          </w:rPr>
          <w:tab/>
        </w:r>
        <w:r w:rsidR="00D100B0">
          <w:rPr>
            <w:noProof/>
            <w:webHidden/>
          </w:rPr>
          <w:fldChar w:fldCharType="begin"/>
        </w:r>
        <w:r w:rsidR="00D100B0">
          <w:rPr>
            <w:noProof/>
            <w:webHidden/>
          </w:rPr>
          <w:instrText xml:space="preserve"> PAGEREF _Toc509837526 \h </w:instrText>
        </w:r>
        <w:r w:rsidR="00D100B0">
          <w:rPr>
            <w:noProof/>
            <w:webHidden/>
          </w:rPr>
        </w:r>
        <w:r w:rsidR="00D100B0">
          <w:rPr>
            <w:noProof/>
            <w:webHidden/>
          </w:rPr>
          <w:fldChar w:fldCharType="separate"/>
        </w:r>
        <w:r w:rsidR="005D5C7C">
          <w:rPr>
            <w:noProof/>
            <w:webHidden/>
          </w:rPr>
          <w:t>152</w:t>
        </w:r>
        <w:r w:rsidR="00D100B0">
          <w:rPr>
            <w:noProof/>
            <w:webHidden/>
          </w:rPr>
          <w:fldChar w:fldCharType="end"/>
        </w:r>
      </w:hyperlink>
    </w:p>
    <w:p w14:paraId="44D3FF01" w14:textId="16CF71B2"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7" w:history="1">
        <w:r w:rsidR="00D100B0" w:rsidRPr="00C82CEC">
          <w:rPr>
            <w:rStyle w:val="Hyperlink"/>
            <w:noProof/>
          </w:rPr>
          <w:t>Figure A.8: Treatment and Control Non-Event Day Load Profiles, SDG&amp;E Large</w:t>
        </w:r>
        <w:r w:rsidR="00D100B0">
          <w:rPr>
            <w:noProof/>
            <w:webHidden/>
          </w:rPr>
          <w:tab/>
        </w:r>
        <w:r w:rsidR="00D100B0">
          <w:rPr>
            <w:noProof/>
            <w:webHidden/>
          </w:rPr>
          <w:fldChar w:fldCharType="begin"/>
        </w:r>
        <w:r w:rsidR="00D100B0">
          <w:rPr>
            <w:noProof/>
            <w:webHidden/>
          </w:rPr>
          <w:instrText xml:space="preserve"> PAGEREF _Toc509837527 \h </w:instrText>
        </w:r>
        <w:r w:rsidR="00D100B0">
          <w:rPr>
            <w:noProof/>
            <w:webHidden/>
          </w:rPr>
        </w:r>
        <w:r w:rsidR="00D100B0">
          <w:rPr>
            <w:noProof/>
            <w:webHidden/>
          </w:rPr>
          <w:fldChar w:fldCharType="separate"/>
        </w:r>
        <w:r w:rsidR="005D5C7C">
          <w:rPr>
            <w:noProof/>
            <w:webHidden/>
          </w:rPr>
          <w:t>153</w:t>
        </w:r>
        <w:r w:rsidR="00D100B0">
          <w:rPr>
            <w:noProof/>
            <w:webHidden/>
          </w:rPr>
          <w:fldChar w:fldCharType="end"/>
        </w:r>
      </w:hyperlink>
    </w:p>
    <w:p w14:paraId="13EAA7C7" w14:textId="122F97E0" w:rsidR="00D100B0" w:rsidRDefault="006F4399">
      <w:pPr>
        <w:pStyle w:val="TableofFigures"/>
        <w:tabs>
          <w:tab w:val="right" w:leader="dot" w:pos="8630"/>
        </w:tabs>
        <w:rPr>
          <w:rFonts w:asciiTheme="minorHAnsi" w:eastAsiaTheme="minorEastAsia" w:hAnsiTheme="minorHAnsi" w:cstheme="minorBidi"/>
          <w:noProof/>
          <w:sz w:val="22"/>
          <w:szCs w:val="22"/>
        </w:rPr>
      </w:pPr>
      <w:hyperlink w:anchor="_Toc509837528" w:history="1">
        <w:r w:rsidR="00D100B0" w:rsidRPr="00C82CEC">
          <w:rPr>
            <w:rStyle w:val="Hyperlink"/>
            <w:noProof/>
          </w:rPr>
          <w:t>Figure A.9: Treatment and Control Non-Event Day Load Profiles, SDG&amp;E Medium</w:t>
        </w:r>
        <w:r w:rsidR="00D100B0">
          <w:rPr>
            <w:noProof/>
            <w:webHidden/>
          </w:rPr>
          <w:tab/>
        </w:r>
        <w:r w:rsidR="00D100B0">
          <w:rPr>
            <w:noProof/>
            <w:webHidden/>
          </w:rPr>
          <w:fldChar w:fldCharType="begin"/>
        </w:r>
        <w:r w:rsidR="00D100B0">
          <w:rPr>
            <w:noProof/>
            <w:webHidden/>
          </w:rPr>
          <w:instrText xml:space="preserve"> PAGEREF _Toc509837528 \h </w:instrText>
        </w:r>
        <w:r w:rsidR="00D100B0">
          <w:rPr>
            <w:noProof/>
            <w:webHidden/>
          </w:rPr>
        </w:r>
        <w:r w:rsidR="00D100B0">
          <w:rPr>
            <w:noProof/>
            <w:webHidden/>
          </w:rPr>
          <w:fldChar w:fldCharType="separate"/>
        </w:r>
        <w:r w:rsidR="005D5C7C">
          <w:rPr>
            <w:noProof/>
            <w:webHidden/>
          </w:rPr>
          <w:t>154</w:t>
        </w:r>
        <w:r w:rsidR="00D100B0">
          <w:rPr>
            <w:noProof/>
            <w:webHidden/>
          </w:rPr>
          <w:fldChar w:fldCharType="end"/>
        </w:r>
      </w:hyperlink>
    </w:p>
    <w:p w14:paraId="4D2BC7DC" w14:textId="7BDEBCE1" w:rsidR="009B66F6" w:rsidRDefault="008C53F9" w:rsidP="00E84DD2">
      <w:pPr>
        <w:spacing w:after="120" w:line="360" w:lineRule="auto"/>
        <w:ind w:left="1181" w:right="720" w:hanging="1181"/>
        <w:jc w:val="center"/>
        <w:rPr>
          <w:b/>
          <w:sz w:val="28"/>
          <w:szCs w:val="28"/>
        </w:rPr>
        <w:sectPr w:rsidR="009B66F6" w:rsidSect="009B66F6">
          <w:footerReference w:type="default" r:id="rId13"/>
          <w:type w:val="continuous"/>
          <w:pgSz w:w="12240" w:h="15840"/>
          <w:pgMar w:top="1440" w:right="1800" w:bottom="1440" w:left="1800" w:header="720" w:footer="720" w:gutter="0"/>
          <w:pgNumType w:fmt="lowerRoman"/>
          <w:cols w:space="720"/>
          <w:docGrid w:linePitch="360"/>
        </w:sectPr>
      </w:pPr>
      <w:r w:rsidRPr="009A1C27">
        <w:rPr>
          <w:b/>
          <w:bCs/>
          <w:noProof/>
          <w:sz w:val="22"/>
          <w:szCs w:val="22"/>
        </w:rPr>
        <w:fldChar w:fldCharType="end"/>
      </w:r>
    </w:p>
    <w:p w14:paraId="17F5BBD5" w14:textId="03FFDD45" w:rsidR="00BC15AB" w:rsidRDefault="00806460" w:rsidP="00E84DD2">
      <w:pPr>
        <w:tabs>
          <w:tab w:val="left" w:pos="4995"/>
        </w:tabs>
        <w:spacing w:after="120"/>
        <w:rPr>
          <w:rFonts w:ascii="Arial" w:hAnsi="Arial" w:cs="Arial"/>
          <w:b/>
          <w:bCs/>
          <w:kern w:val="32"/>
          <w:sz w:val="32"/>
          <w:szCs w:val="32"/>
        </w:rPr>
      </w:pPr>
      <w:r>
        <w:rPr>
          <w:rFonts w:ascii="Arial" w:hAnsi="Arial" w:cs="Arial"/>
          <w:b/>
          <w:bCs/>
          <w:kern w:val="32"/>
          <w:sz w:val="32"/>
          <w:szCs w:val="32"/>
        </w:rPr>
        <w:tab/>
      </w:r>
    </w:p>
    <w:p w14:paraId="4ED1015D" w14:textId="77777777" w:rsidR="00AE4797" w:rsidRDefault="00AE4797">
      <w:pPr>
        <w:rPr>
          <w:rFonts w:ascii="Arial" w:hAnsi="Arial" w:cs="Arial"/>
          <w:b/>
          <w:bCs/>
          <w:kern w:val="32"/>
          <w:sz w:val="32"/>
          <w:szCs w:val="32"/>
        </w:rPr>
      </w:pPr>
      <w:r>
        <w:br w:type="page"/>
      </w:r>
    </w:p>
    <w:p w14:paraId="6896928F" w14:textId="3127616B" w:rsidR="00321E09" w:rsidRDefault="00321E09" w:rsidP="00F401D7">
      <w:pPr>
        <w:pStyle w:val="Heading1"/>
        <w:numPr>
          <w:ilvl w:val="0"/>
          <w:numId w:val="0"/>
        </w:numPr>
        <w:spacing w:after="120"/>
      </w:pPr>
      <w:bookmarkStart w:id="0" w:name="_Toc509837290"/>
      <w:r w:rsidRPr="009F2964">
        <w:lastRenderedPageBreak/>
        <w:t>Executive Summary</w:t>
      </w:r>
      <w:bookmarkEnd w:id="0"/>
      <w:r w:rsidRPr="00A4025E">
        <w:t xml:space="preserve"> </w:t>
      </w:r>
    </w:p>
    <w:p w14:paraId="2974F4FB" w14:textId="39DF933C" w:rsidR="00681798" w:rsidRDefault="00585BBF" w:rsidP="00681798">
      <w:pPr>
        <w:pStyle w:val="BodyText"/>
      </w:pPr>
      <w:bookmarkStart w:id="1" w:name="_Toc206570216"/>
      <w:bookmarkStart w:id="2" w:name="_Toc257708579"/>
      <w:bookmarkStart w:id="3" w:name="_Toc289180053"/>
      <w:bookmarkStart w:id="4" w:name="_Toc326224610"/>
      <w:bookmarkStart w:id="5" w:name="_Toc352235825"/>
      <w:bookmarkStart w:id="6" w:name="_Toc383774910"/>
      <w:bookmarkStart w:id="7" w:name="_Toc413586704"/>
      <w:r>
        <w:t xml:space="preserve">This report documents </w:t>
      </w:r>
      <w:r w:rsidRPr="00F43309">
        <w:rPr>
          <w:i/>
        </w:rPr>
        <w:t>ex-post</w:t>
      </w:r>
      <w:r>
        <w:t xml:space="preserve"> and </w:t>
      </w:r>
      <w:r w:rsidRPr="00F43309">
        <w:rPr>
          <w:i/>
        </w:rPr>
        <w:t>ex-ante</w:t>
      </w:r>
      <w:r>
        <w:t xml:space="preserve"> load impact evaluations of non-residential critical peak pricing (CPP) rates at the </w:t>
      </w:r>
      <w:proofErr w:type="gramStart"/>
      <w:r>
        <w:t>three major</w:t>
      </w:r>
      <w:proofErr w:type="gramEnd"/>
      <w:r>
        <w:t xml:space="preserve"> investor-owned electric utilities (Joint Utilities):  Pacific Gas and Electric (PG&amp;E), Southern California Edison (SCE) and San Diego Gas &amp; Electric (SDG&amp;E) for 2017. The evaluation produces estimates of the </w:t>
      </w:r>
      <w:r>
        <w:rPr>
          <w:i/>
        </w:rPr>
        <w:t>ex-post</w:t>
      </w:r>
      <w:r>
        <w:t xml:space="preserve"> load impacts for each hour of each of the utilities’ CPP events called in 2017, and it develops </w:t>
      </w:r>
      <w:r>
        <w:rPr>
          <w:i/>
        </w:rPr>
        <w:t>ex-ante</w:t>
      </w:r>
      <w:r>
        <w:t xml:space="preserve"> load impact forecasts of the programs through 2028.</w:t>
      </w:r>
    </w:p>
    <w:p w14:paraId="1D32C3D6" w14:textId="73E96BC1" w:rsidR="00E33213" w:rsidRDefault="00E33213" w:rsidP="008571DF">
      <w:pPr>
        <w:pStyle w:val="Heading2"/>
        <w:numPr>
          <w:ilvl w:val="0"/>
          <w:numId w:val="0"/>
        </w:numPr>
        <w:spacing w:after="120"/>
      </w:pPr>
      <w:bookmarkStart w:id="8" w:name="_Toc509837291"/>
      <w:r>
        <w:t xml:space="preserve">ES.1 </w:t>
      </w:r>
      <w:bookmarkEnd w:id="1"/>
      <w:r w:rsidR="00DA3506">
        <w:t>Resources C</w:t>
      </w:r>
      <w:r>
        <w:t>overed</w:t>
      </w:r>
      <w:bookmarkEnd w:id="2"/>
      <w:bookmarkEnd w:id="3"/>
      <w:bookmarkEnd w:id="4"/>
      <w:bookmarkEnd w:id="5"/>
      <w:bookmarkEnd w:id="6"/>
      <w:bookmarkEnd w:id="7"/>
      <w:bookmarkEnd w:id="8"/>
    </w:p>
    <w:p w14:paraId="74B56E49" w14:textId="294A071A" w:rsidR="00585BBF" w:rsidRDefault="00585BBF" w:rsidP="00585BBF">
      <w:pPr>
        <w:pStyle w:val="BodyText"/>
        <w:rPr>
          <w:szCs w:val="24"/>
        </w:rPr>
      </w:pPr>
      <w:r w:rsidRPr="00AE5453">
        <w:rPr>
          <w:szCs w:val="24"/>
        </w:rPr>
        <w:t xml:space="preserve">California’s CPP programs provide participating customers with lower rates during non-CPP summer season hours and momentary higher rates during CPP periods when an event is called. These “dynamic” pricing rates are designed to encourage price-responsive demand reductions during the higher priced critical periods. </w:t>
      </w:r>
      <w:r>
        <w:t>The rates are similar at the three utilities, though they are referred to by different names (</w:t>
      </w:r>
      <w:r>
        <w:rPr>
          <w:i/>
        </w:rPr>
        <w:t>e.g.</w:t>
      </w:r>
      <w:r>
        <w:t xml:space="preserve">, Peak Day Pricing, or PDP, at PG&amp;E). </w:t>
      </w:r>
      <w:r w:rsidRPr="00AE5453">
        <w:rPr>
          <w:szCs w:val="24"/>
        </w:rPr>
        <w:t>All CPP tariffs are designed for bundled service customers. Various program provisions vary by utility, including the notification period for events, the specific hours when CPP events can be called, the number and duration of CPP events, and the minimum demand requirements for eligible customers.</w:t>
      </w:r>
    </w:p>
    <w:p w14:paraId="5CD7B50F" w14:textId="4B6AB989" w:rsidR="00585BBF" w:rsidRDefault="00585BBF" w:rsidP="00585BBF">
      <w:r>
        <w:t xml:space="preserve">The three utilities began defaulting their large commercial and industrial customer accounts onto CPP rates in 2008 (SDG&amp;E) and 2010 (PG&amp;E and SCE). The utilities have also begun defaulting (or plan to default) small and medium business (SMB) customers onto CPP rates. (SMB customers have been able to participate on a voluntary basis since 2014.) SCE’s medium and small customers are the last groups to be defaulted, which is scheduled for 2019. Note that the analysis of SDG&amp;E’s small CPP customers </w:t>
      </w:r>
      <w:r w:rsidR="007F09A9">
        <w:t xml:space="preserve">is included </w:t>
      </w:r>
      <w:r>
        <w:t>in a different study.</w:t>
      </w:r>
    </w:p>
    <w:p w14:paraId="6F0B8A3E" w14:textId="6CE79EC7" w:rsidR="00585BBF" w:rsidRDefault="00585BBF" w:rsidP="00585BBF"/>
    <w:p w14:paraId="652CE424" w14:textId="77777777" w:rsidR="00585BBF" w:rsidRDefault="00585BBF" w:rsidP="00585BBF">
      <w:pPr>
        <w:spacing w:after="120"/>
      </w:pPr>
      <w:r>
        <w:t>The primary goals of the evaluation include:</w:t>
      </w:r>
    </w:p>
    <w:p w14:paraId="06393204" w14:textId="77777777" w:rsidR="00585BBF" w:rsidRDefault="00585BBF" w:rsidP="00585BBF">
      <w:pPr>
        <w:numPr>
          <w:ilvl w:val="0"/>
          <w:numId w:val="37"/>
        </w:numPr>
        <w:spacing w:after="120"/>
      </w:pPr>
      <w:r>
        <w:t xml:space="preserve">Estimate hourly </w:t>
      </w:r>
      <w:r>
        <w:rPr>
          <w:i/>
        </w:rPr>
        <w:t>ex-post</w:t>
      </w:r>
      <w:r>
        <w:t xml:space="preserve"> load impacts of the CPP rates for each of the Joint Utilities in 2017;</w:t>
      </w:r>
    </w:p>
    <w:p w14:paraId="5B407D5F" w14:textId="77777777" w:rsidR="00585BBF" w:rsidRDefault="00585BBF" w:rsidP="00585BBF">
      <w:pPr>
        <w:keepNext/>
        <w:keepLines/>
        <w:numPr>
          <w:ilvl w:val="0"/>
          <w:numId w:val="37"/>
        </w:numPr>
        <w:spacing w:after="120"/>
      </w:pPr>
      <w:r>
        <w:t xml:space="preserve">Estimate </w:t>
      </w:r>
      <w:r>
        <w:rPr>
          <w:i/>
        </w:rPr>
        <w:t>ex-post</w:t>
      </w:r>
      <w:r>
        <w:t xml:space="preserve"> load impacts for 2017 for each of the utilities’ Technical Assistance and Technology Incentives (TA/TI) and Automated Demand Response (</w:t>
      </w:r>
      <w:proofErr w:type="spellStart"/>
      <w:r>
        <w:t>AutoDR</w:t>
      </w:r>
      <w:proofErr w:type="spellEnd"/>
      <w:r>
        <w:t>) programs for those customers enrolled in those programs;</w:t>
      </w:r>
    </w:p>
    <w:p w14:paraId="54168F03" w14:textId="6AF6A0CD" w:rsidR="00585BBF" w:rsidRDefault="00585BBF" w:rsidP="00585BBF">
      <w:pPr>
        <w:numPr>
          <w:ilvl w:val="0"/>
          <w:numId w:val="37"/>
        </w:numPr>
        <w:spacing w:after="120"/>
      </w:pPr>
      <w:r>
        <w:t xml:space="preserve">Produce </w:t>
      </w:r>
      <w:r>
        <w:rPr>
          <w:i/>
        </w:rPr>
        <w:t>ex-ante</w:t>
      </w:r>
      <w:r>
        <w:t xml:space="preserve"> load impact forecasts for the CPP rates for 2018-2028; and</w:t>
      </w:r>
    </w:p>
    <w:p w14:paraId="00793658" w14:textId="77777777" w:rsidR="00585BBF" w:rsidRPr="00E84DD2" w:rsidRDefault="00585BBF" w:rsidP="00585BBF">
      <w:pPr>
        <w:pStyle w:val="ListParagraph"/>
        <w:numPr>
          <w:ilvl w:val="0"/>
          <w:numId w:val="37"/>
        </w:numPr>
        <w:spacing w:after="120"/>
        <w:rPr>
          <w:rFonts w:asciiTheme="minorHAnsi" w:hAnsiTheme="minorHAnsi" w:cstheme="minorHAnsi"/>
        </w:rPr>
      </w:pPr>
      <w:r w:rsidRPr="00CE28FA">
        <w:rPr>
          <w:rFonts w:asciiTheme="minorHAnsi" w:hAnsiTheme="minorHAnsi" w:cstheme="minorHAnsi"/>
        </w:rPr>
        <w:t>Estimate the incremental CPP load impacts due to technology or dual participation in other programs.</w:t>
      </w:r>
    </w:p>
    <w:p w14:paraId="0CC3320E" w14:textId="45266FB0" w:rsidR="00585BBF" w:rsidRPr="00585BBF" w:rsidRDefault="00585BBF" w:rsidP="00585BBF">
      <w:r>
        <w:t>Secondary goals include estimating the effect of PG&amp;E’s in-season support (</w:t>
      </w:r>
      <w:r>
        <w:rPr>
          <w:i/>
        </w:rPr>
        <w:t>e.g.</w:t>
      </w:r>
      <w:r>
        <w:t>, text notifications and performance feedback) on load impacts; and estimating non-event day load impacts for PG&amp;E’s newly enrolled customers.</w:t>
      </w:r>
    </w:p>
    <w:p w14:paraId="0444C01F" w14:textId="0FFAE936" w:rsidR="00E33213" w:rsidRDefault="00E33213" w:rsidP="008571DF">
      <w:pPr>
        <w:pStyle w:val="Heading2"/>
        <w:numPr>
          <w:ilvl w:val="0"/>
          <w:numId w:val="0"/>
        </w:numPr>
        <w:spacing w:after="120"/>
      </w:pPr>
      <w:bookmarkStart w:id="9" w:name="_Toc206570215"/>
      <w:bookmarkStart w:id="10" w:name="_Toc257708583"/>
      <w:bookmarkStart w:id="11" w:name="_Toc289180057"/>
      <w:bookmarkStart w:id="12" w:name="_Toc326224614"/>
      <w:bookmarkStart w:id="13" w:name="_Toc352235829"/>
      <w:bookmarkStart w:id="14" w:name="_Toc383774914"/>
      <w:bookmarkStart w:id="15" w:name="_Toc413586708"/>
      <w:bookmarkStart w:id="16" w:name="_Toc509837292"/>
      <w:r>
        <w:lastRenderedPageBreak/>
        <w:t>ES.2 Evaluation Methodolog</w:t>
      </w:r>
      <w:r w:rsidR="000F0BD6">
        <w:t>ies</w:t>
      </w:r>
      <w:bookmarkEnd w:id="9"/>
      <w:bookmarkEnd w:id="10"/>
      <w:bookmarkEnd w:id="11"/>
      <w:bookmarkEnd w:id="12"/>
      <w:bookmarkEnd w:id="13"/>
      <w:bookmarkEnd w:id="14"/>
      <w:bookmarkEnd w:id="15"/>
      <w:bookmarkEnd w:id="16"/>
    </w:p>
    <w:p w14:paraId="153FA498" w14:textId="77777777" w:rsidR="00585BBF" w:rsidRDefault="00585BBF" w:rsidP="00585BBF">
      <w:r>
        <w:t xml:space="preserve">In this evaluation, we estimate load impacts using quasi-experimental matched control groups, such that load impacts for CPP participants are estimated by comparing their loads to the control group loads on event days, accounting for differences in their loads on non-event days. The eligible control-group customers consist of customers who opted to leave CPP for a TOU-only rate. </w:t>
      </w:r>
    </w:p>
    <w:p w14:paraId="459A25FF" w14:textId="77777777" w:rsidR="00585BBF" w:rsidRDefault="00585BBF" w:rsidP="00585BBF"/>
    <w:p w14:paraId="27D1806E" w14:textId="45B08C1E" w:rsidR="00585BBF" w:rsidRPr="00585BBF" w:rsidRDefault="00585BBF" w:rsidP="00585BBF">
      <w:r>
        <w:t xml:space="preserve">Matched control-group customers are selected based on both available </w:t>
      </w:r>
      <w:r w:rsidRPr="00E712CF">
        <w:rPr>
          <w:i/>
        </w:rPr>
        <w:t>customer characteristics</w:t>
      </w:r>
      <w:r>
        <w:t xml:space="preserve"> (</w:t>
      </w:r>
      <w:r>
        <w:rPr>
          <w:i/>
        </w:rPr>
        <w:t>e.g.</w:t>
      </w:r>
      <w:r>
        <w:t xml:space="preserve">, LCA, industry group, size category) and </w:t>
      </w:r>
      <w:r w:rsidRPr="00E712CF">
        <w:rPr>
          <w:i/>
        </w:rPr>
        <w:t>usage patterns</w:t>
      </w:r>
      <w:r>
        <w:t xml:space="preserve"> on non-event days that are </w:t>
      </w:r>
      <w:proofErr w:type="gramStart"/>
      <w:r>
        <w:t>similar to</w:t>
      </w:r>
      <w:proofErr w:type="gramEnd"/>
      <w:r>
        <w:t xml:space="preserve"> event days. We then estimate event-day load impacts using a regression-based difference-in-differences (D-in-D) method, which produce estimates of standard errors, and thus confidence intervals around the estimated event-hour or event-day usage reductions. The analysis also accounts for (</w:t>
      </w:r>
      <w:r>
        <w:rPr>
          <w:i/>
        </w:rPr>
        <w:t>i.e.</w:t>
      </w:r>
      <w:r>
        <w:t>, adjust for) differences in usage between the two groups on event-like non-event days, thus representing a D-in-D evaluation approach.</w:t>
      </w:r>
    </w:p>
    <w:p w14:paraId="776E6518" w14:textId="22BD450E" w:rsidR="00E33213" w:rsidRDefault="00E33213" w:rsidP="008571DF">
      <w:pPr>
        <w:pStyle w:val="Heading2"/>
        <w:numPr>
          <w:ilvl w:val="0"/>
          <w:numId w:val="0"/>
        </w:numPr>
        <w:spacing w:after="120"/>
      </w:pPr>
      <w:bookmarkStart w:id="17" w:name="_Toc206570217"/>
      <w:bookmarkStart w:id="18" w:name="_Toc257708584"/>
      <w:bookmarkStart w:id="19" w:name="_Toc289180058"/>
      <w:bookmarkStart w:id="20" w:name="_Toc326224615"/>
      <w:bookmarkStart w:id="21" w:name="_Toc352235830"/>
      <w:bookmarkStart w:id="22" w:name="_Toc383774915"/>
      <w:bookmarkStart w:id="23" w:name="_Toc413586709"/>
      <w:bookmarkStart w:id="24" w:name="_Toc509837293"/>
      <w:r>
        <w:t xml:space="preserve">ES.3 </w:t>
      </w:r>
      <w:bookmarkEnd w:id="17"/>
      <w:r w:rsidRPr="009F20A2">
        <w:t>Ex-</w:t>
      </w:r>
      <w:r w:rsidR="00171887">
        <w:t>P</w:t>
      </w:r>
      <w:r w:rsidRPr="009F20A2">
        <w:t>ost</w:t>
      </w:r>
      <w:r>
        <w:t xml:space="preserve"> Load Impacts</w:t>
      </w:r>
      <w:bookmarkEnd w:id="18"/>
      <w:bookmarkEnd w:id="19"/>
      <w:bookmarkEnd w:id="20"/>
      <w:bookmarkEnd w:id="21"/>
      <w:bookmarkEnd w:id="22"/>
      <w:bookmarkEnd w:id="23"/>
      <w:bookmarkEnd w:id="24"/>
    </w:p>
    <w:p w14:paraId="553B773C" w14:textId="4E767A04" w:rsidR="009B6DB4" w:rsidRDefault="009F2964" w:rsidP="008571DF">
      <w:pPr>
        <w:pStyle w:val="Heading3"/>
        <w:numPr>
          <w:ilvl w:val="0"/>
          <w:numId w:val="0"/>
        </w:numPr>
        <w:spacing w:after="120"/>
        <w:rPr>
          <w:sz w:val="24"/>
        </w:rPr>
      </w:pPr>
      <w:bookmarkStart w:id="25" w:name="_Toc509837294"/>
      <w:r>
        <w:rPr>
          <w:sz w:val="24"/>
        </w:rPr>
        <w:t xml:space="preserve">ES.3.1 </w:t>
      </w:r>
      <w:r w:rsidR="00681798">
        <w:rPr>
          <w:sz w:val="24"/>
        </w:rPr>
        <w:t>PG&amp;E</w:t>
      </w:r>
      <w:bookmarkEnd w:id="25"/>
      <w:r w:rsidR="00681798">
        <w:rPr>
          <w:sz w:val="24"/>
        </w:rPr>
        <w:t xml:space="preserve"> </w:t>
      </w:r>
    </w:p>
    <w:p w14:paraId="22391C80" w14:textId="0AE30B65" w:rsidR="00036580" w:rsidRDefault="00086149" w:rsidP="00036580">
      <w:r>
        <w:t>Figure ES.1 shows the estimates of the average event-hour load impacts by event day, along with an 80 percent confidence interval (corresponding to the 10</w:t>
      </w:r>
      <w:r w:rsidRPr="00086149">
        <w:rPr>
          <w:vertAlign w:val="superscript"/>
        </w:rPr>
        <w:t>th</w:t>
      </w:r>
      <w:r>
        <w:t xml:space="preserve"> and 90</w:t>
      </w:r>
      <w:r w:rsidRPr="00086149">
        <w:rPr>
          <w:vertAlign w:val="superscript"/>
        </w:rPr>
        <w:t>th</w:t>
      </w:r>
      <w:r>
        <w:t xml:space="preserve"> percentile uncertainty-adjusted load impacts)</w:t>
      </w:r>
      <w:r w:rsidR="00331FF4">
        <w:t xml:space="preserve"> for </w:t>
      </w:r>
      <w:r>
        <w:t>PG&amp;E’s large PDP customers</w:t>
      </w:r>
      <w:r w:rsidR="00331FF4">
        <w:t>. These customers</w:t>
      </w:r>
      <w:r>
        <w:t xml:space="preserve"> </w:t>
      </w:r>
      <w:r>
        <w:rPr>
          <w:szCs w:val="32"/>
        </w:rPr>
        <w:t xml:space="preserve">had statistically significant load reductions on each of the 15 event days, ranging from 12 to 34 MWh/hour. The load impact averaged 22 MWh/hour, with 80 percent of the event days having a load impact </w:t>
      </w:r>
      <w:proofErr w:type="gramStart"/>
      <w:r>
        <w:rPr>
          <w:szCs w:val="32"/>
        </w:rPr>
        <w:t>in excess of</w:t>
      </w:r>
      <w:proofErr w:type="gramEnd"/>
      <w:r>
        <w:rPr>
          <w:szCs w:val="32"/>
        </w:rPr>
        <w:t xml:space="preserve"> 20 MWh/hour.</w:t>
      </w:r>
    </w:p>
    <w:p w14:paraId="7C621CD2" w14:textId="77777777" w:rsidR="00086149" w:rsidRDefault="00086149" w:rsidP="00036580"/>
    <w:p w14:paraId="6B3D6A61" w14:textId="53BA503A" w:rsidR="00036580" w:rsidRDefault="00036580" w:rsidP="00036580">
      <w:pPr>
        <w:pStyle w:val="FigureCaption"/>
        <w:rPr>
          <w:i/>
        </w:rPr>
      </w:pPr>
      <w:bookmarkStart w:id="26" w:name="_Toc509837434"/>
      <w:r>
        <w:lastRenderedPageBreak/>
        <w:t xml:space="preserve">Figure ES.1: Average Event-Hour Load Impacts by Event, </w:t>
      </w:r>
      <w:r>
        <w:rPr>
          <w:i/>
        </w:rPr>
        <w:t>PG&amp;E Large</w:t>
      </w:r>
      <w:bookmarkEnd w:id="26"/>
    </w:p>
    <w:p w14:paraId="1D54B876" w14:textId="4A10892D" w:rsidR="00D050F8" w:rsidRDefault="00D050F8" w:rsidP="008571DF">
      <w:pPr>
        <w:jc w:val="center"/>
      </w:pPr>
      <w:r>
        <w:rPr>
          <w:noProof/>
        </w:rPr>
        <w:drawing>
          <wp:inline distT="0" distB="0" distL="0" distR="0" wp14:anchorId="776B61C2" wp14:editId="74E0E64B">
            <wp:extent cx="5486400" cy="3983990"/>
            <wp:effectExtent l="0" t="0" r="0" b="0"/>
            <wp:docPr id="53" name="Chart 53">
              <a:extLst xmlns:a="http://schemas.openxmlformats.org/drawingml/2006/main">
                <a:ext uri="{FF2B5EF4-FFF2-40B4-BE49-F238E27FC236}">
                  <a16:creationId xmlns:a16="http://schemas.microsoft.com/office/drawing/2014/main" id="{48156FD3-2145-41AE-BAA3-469D76115B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24835BD" w14:textId="77777777" w:rsidR="00086149" w:rsidRDefault="00086149" w:rsidP="00036580"/>
    <w:p w14:paraId="5998AB38" w14:textId="294176A8" w:rsidR="00036580" w:rsidRDefault="00086149" w:rsidP="00036580">
      <w:r>
        <w:t xml:space="preserve">Figure ES.2 presents the same information for PG&amp;E’s small and medium business (SMB) customers. </w:t>
      </w:r>
      <w:r>
        <w:rPr>
          <w:szCs w:val="32"/>
        </w:rPr>
        <w:t>Their aggregate load impact ranged from 4 MWh/hour to 30 MWh/hour. The standard deviation of the load impact across event days was 9 MWh/hour, which is somewhat high relative to the average load impact of 15 MWh/hour. The low load impact on September 2</w:t>
      </w:r>
      <w:r w:rsidRPr="00086149">
        <w:rPr>
          <w:szCs w:val="32"/>
          <w:vertAlign w:val="superscript"/>
        </w:rPr>
        <w:t>nd</w:t>
      </w:r>
      <w:r>
        <w:rPr>
          <w:szCs w:val="32"/>
        </w:rPr>
        <w:t xml:space="preserve"> may be attributable to the fact that it was the lone weekend event.</w:t>
      </w:r>
      <w:r w:rsidR="0085208B">
        <w:rPr>
          <w:szCs w:val="32"/>
        </w:rPr>
        <w:t xml:space="preserve"> </w:t>
      </w:r>
      <w:r w:rsidR="00515724">
        <w:rPr>
          <w:szCs w:val="32"/>
        </w:rPr>
        <w:t xml:space="preserve">These load impacts are quite small in percentage terms, ranging from 0.3 to 2.1 percent of the reference load. When load impacts are relatively low, a very high degree of precision is required of the modeling (including the matching and subsequent regression) </w:t>
      </w:r>
      <w:proofErr w:type="gramStart"/>
      <w:r w:rsidR="00515724">
        <w:rPr>
          <w:szCs w:val="32"/>
        </w:rPr>
        <w:t>in order to</w:t>
      </w:r>
      <w:proofErr w:type="gramEnd"/>
      <w:r w:rsidR="00515724">
        <w:rPr>
          <w:szCs w:val="32"/>
        </w:rPr>
        <w:t xml:space="preserve"> identify the “true” load impact. We suspect that the variability in our estimated load impacts for SMB customers partly captures “noise” in the data, perhaps due to omitted variables. We would encourage caution in forecasting load impacts for this customer group.</w:t>
      </w:r>
    </w:p>
    <w:p w14:paraId="18AD070D" w14:textId="3DBC0074" w:rsidR="00036580" w:rsidRDefault="00036580" w:rsidP="00036580"/>
    <w:p w14:paraId="2956894F" w14:textId="7E180B36" w:rsidR="00036580" w:rsidRDefault="00036580" w:rsidP="00036580">
      <w:pPr>
        <w:pStyle w:val="FigureCaption"/>
        <w:rPr>
          <w:i/>
        </w:rPr>
      </w:pPr>
      <w:bookmarkStart w:id="27" w:name="_Toc509837435"/>
      <w:r>
        <w:lastRenderedPageBreak/>
        <w:t xml:space="preserve">Figure ES.2: Average Event-Hour Load Impacts by Event, </w:t>
      </w:r>
      <w:r>
        <w:rPr>
          <w:i/>
        </w:rPr>
        <w:t>PG&amp;E SMB</w:t>
      </w:r>
      <w:bookmarkEnd w:id="27"/>
    </w:p>
    <w:p w14:paraId="75DC6B63" w14:textId="7720B3C3" w:rsidR="00A72057" w:rsidRDefault="00A72057" w:rsidP="008571DF">
      <w:pPr>
        <w:jc w:val="center"/>
      </w:pPr>
      <w:r>
        <w:rPr>
          <w:noProof/>
        </w:rPr>
        <w:drawing>
          <wp:inline distT="0" distB="0" distL="0" distR="0" wp14:anchorId="3C9D3960" wp14:editId="290D84FC">
            <wp:extent cx="5486400" cy="3983990"/>
            <wp:effectExtent l="0" t="0" r="0" b="0"/>
            <wp:docPr id="54" name="Chart 54">
              <a:extLst xmlns:a="http://schemas.openxmlformats.org/drawingml/2006/main">
                <a:ext uri="{FF2B5EF4-FFF2-40B4-BE49-F238E27FC236}">
                  <a16:creationId xmlns:a16="http://schemas.microsoft.com/office/drawing/2014/main" id="{26C34036-AFBC-4CBE-BCBB-C68DB2421D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9F269F9" w14:textId="77777777" w:rsidR="00086149" w:rsidRDefault="00086149" w:rsidP="00036580"/>
    <w:p w14:paraId="6126D80A" w14:textId="30059EDE" w:rsidR="00036580" w:rsidRDefault="00086149" w:rsidP="00036580">
      <w:r>
        <w:t>In addition to these “primary” analyses, we also studied whether newly enrolled PDP customers had load impacts on non-event days; and whether customers who signed up for Enhanced In-Season Support (ISS) had different load impacts from those who did not. (Enhanced ISS provides customers with additional event notifications and a post-event summary of their performance.) We found</w:t>
      </w:r>
      <w:r w:rsidR="00EB5AA9">
        <w:t xml:space="preserve"> little evidence of non-event-day load impacts among newly enrolled customers. In addition, we found that customers receiving Enhanced ISS had higher load impacts than those who did not. Our analysis cannot determine whether the higher load impact is due to the information provided under Enhanced ISS or because high-responding customers tended to sign up for the service.</w:t>
      </w:r>
    </w:p>
    <w:p w14:paraId="6807D6A8" w14:textId="28638771" w:rsidR="00E33213" w:rsidRDefault="009F2964" w:rsidP="008571DF">
      <w:pPr>
        <w:pStyle w:val="Heading3"/>
        <w:numPr>
          <w:ilvl w:val="0"/>
          <w:numId w:val="0"/>
        </w:numPr>
        <w:spacing w:after="120"/>
        <w:rPr>
          <w:sz w:val="24"/>
        </w:rPr>
      </w:pPr>
      <w:bookmarkStart w:id="28" w:name="_Toc509837295"/>
      <w:r>
        <w:rPr>
          <w:sz w:val="24"/>
        </w:rPr>
        <w:t xml:space="preserve">ES.3.2 </w:t>
      </w:r>
      <w:r w:rsidR="00681798">
        <w:rPr>
          <w:sz w:val="24"/>
        </w:rPr>
        <w:t>SCE</w:t>
      </w:r>
      <w:bookmarkEnd w:id="28"/>
    </w:p>
    <w:p w14:paraId="008F668A" w14:textId="53D8EE38" w:rsidR="00036580" w:rsidRDefault="00331FF4" w:rsidP="00036580">
      <w:r>
        <w:t>Figure ES.3 shows the estimates of the average event-hour load impacts by event day, along with an 80 percent confidence interval (corresponding to the 10</w:t>
      </w:r>
      <w:r w:rsidRPr="00086149">
        <w:rPr>
          <w:vertAlign w:val="superscript"/>
        </w:rPr>
        <w:t>th</w:t>
      </w:r>
      <w:r>
        <w:t xml:space="preserve"> and 90</w:t>
      </w:r>
      <w:r w:rsidRPr="00086149">
        <w:rPr>
          <w:vertAlign w:val="superscript"/>
        </w:rPr>
        <w:t>th</w:t>
      </w:r>
      <w:r>
        <w:t xml:space="preserve"> percentile uncertainty-adjusted load impacts) for SCE’s large CPP customers. These customers had statistically significant load reductions on each of the 12 event days, ranging from 16 to 29 MWh/hour. The load impact averaged 22 MWh/hour, with 67 percent of the event days having a load impact </w:t>
      </w:r>
      <w:proofErr w:type="gramStart"/>
      <w:r>
        <w:t>in excess of</w:t>
      </w:r>
      <w:proofErr w:type="gramEnd"/>
      <w:r>
        <w:t xml:space="preserve"> 20 MWh/hour.</w:t>
      </w:r>
    </w:p>
    <w:p w14:paraId="0F363493" w14:textId="376547AA" w:rsidR="00086149" w:rsidRDefault="00086149" w:rsidP="00036580"/>
    <w:p w14:paraId="09DA27CD" w14:textId="39935834" w:rsidR="00086149" w:rsidRDefault="00086149" w:rsidP="00086149">
      <w:pPr>
        <w:pStyle w:val="FigureCaption"/>
        <w:keepLines/>
        <w:rPr>
          <w:i/>
        </w:rPr>
      </w:pPr>
      <w:bookmarkStart w:id="29" w:name="_Toc509837436"/>
      <w:r>
        <w:lastRenderedPageBreak/>
        <w:t xml:space="preserve">Figure ES.3: Average Event-Hour Load Impacts by Event, </w:t>
      </w:r>
      <w:r>
        <w:rPr>
          <w:i/>
        </w:rPr>
        <w:t>SCE Large</w:t>
      </w:r>
      <w:bookmarkEnd w:id="29"/>
    </w:p>
    <w:p w14:paraId="648D19CA" w14:textId="61B42751" w:rsidR="00A72057" w:rsidRDefault="00A72057" w:rsidP="008571DF">
      <w:pPr>
        <w:jc w:val="center"/>
      </w:pPr>
      <w:r>
        <w:rPr>
          <w:noProof/>
        </w:rPr>
        <w:drawing>
          <wp:inline distT="0" distB="0" distL="0" distR="0" wp14:anchorId="57554AE1" wp14:editId="30D51690">
            <wp:extent cx="5486400" cy="3983990"/>
            <wp:effectExtent l="0" t="0" r="0" b="0"/>
            <wp:docPr id="56" name="Chart 56">
              <a:extLst xmlns:a="http://schemas.openxmlformats.org/drawingml/2006/main">
                <a:ext uri="{FF2B5EF4-FFF2-40B4-BE49-F238E27FC236}">
                  <a16:creationId xmlns:a16="http://schemas.microsoft.com/office/drawing/2014/main" id="{FF6D6E1F-6713-483D-A846-1B3F975B15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6D1E12D" w14:textId="055D72BF" w:rsidR="00086149" w:rsidRDefault="00086149" w:rsidP="00036580"/>
    <w:p w14:paraId="6D07B6F1" w14:textId="13D34370" w:rsidR="00086149" w:rsidRDefault="00331FF4" w:rsidP="00036580">
      <w:r>
        <w:t xml:space="preserve">Figure ES.4 presents the same information for SCE’s SMB customers. </w:t>
      </w:r>
      <w:r>
        <w:rPr>
          <w:szCs w:val="32"/>
        </w:rPr>
        <w:t xml:space="preserve">In contrast to SCE’s large customers, the load impacts are not statistically significant </w:t>
      </w:r>
      <w:r w:rsidR="0005693D">
        <w:rPr>
          <w:szCs w:val="32"/>
        </w:rPr>
        <w:t>for every</w:t>
      </w:r>
      <w:r>
        <w:rPr>
          <w:szCs w:val="32"/>
        </w:rPr>
        <w:t xml:space="preserve"> event day. Five events days (July 27</w:t>
      </w:r>
      <w:r w:rsidRPr="009A085E">
        <w:rPr>
          <w:szCs w:val="32"/>
          <w:vertAlign w:val="superscript"/>
        </w:rPr>
        <w:t>th</w:t>
      </w:r>
      <w:r>
        <w:rPr>
          <w:szCs w:val="32"/>
        </w:rPr>
        <w:t>, August 1</w:t>
      </w:r>
      <w:r w:rsidRPr="009A085E">
        <w:rPr>
          <w:szCs w:val="32"/>
          <w:vertAlign w:val="superscript"/>
        </w:rPr>
        <w:t>st</w:t>
      </w:r>
      <w:r>
        <w:rPr>
          <w:szCs w:val="32"/>
        </w:rPr>
        <w:t>, August 28</w:t>
      </w:r>
      <w:r w:rsidRPr="009A085E">
        <w:rPr>
          <w:szCs w:val="32"/>
          <w:vertAlign w:val="superscript"/>
        </w:rPr>
        <w:t>th</w:t>
      </w:r>
      <w:r>
        <w:rPr>
          <w:szCs w:val="32"/>
        </w:rPr>
        <w:t>, August 31</w:t>
      </w:r>
      <w:r w:rsidRPr="009A085E">
        <w:rPr>
          <w:szCs w:val="32"/>
          <w:vertAlign w:val="superscript"/>
        </w:rPr>
        <w:t>st</w:t>
      </w:r>
      <w:r>
        <w:rPr>
          <w:szCs w:val="32"/>
        </w:rPr>
        <w:t>, and September 5</w:t>
      </w:r>
      <w:r w:rsidRPr="009A085E">
        <w:rPr>
          <w:szCs w:val="32"/>
          <w:vertAlign w:val="superscript"/>
        </w:rPr>
        <w:t>th</w:t>
      </w:r>
      <w:r>
        <w:rPr>
          <w:szCs w:val="32"/>
        </w:rPr>
        <w:t>) have small estimated load reductions or increases in load. However, on the remaining seven event days, there are significant load impacts that range between 0.7 and 1.4 MWh/hour with an average of 0.9 MWh/hour (1.5 percent).</w:t>
      </w:r>
    </w:p>
    <w:p w14:paraId="37DE3305" w14:textId="029F6263" w:rsidR="00086149" w:rsidRDefault="00086149" w:rsidP="00036580"/>
    <w:p w14:paraId="34751021" w14:textId="17A78BCE" w:rsidR="00086149" w:rsidRDefault="00086149" w:rsidP="00086149">
      <w:pPr>
        <w:pStyle w:val="FigureCaption"/>
        <w:rPr>
          <w:i/>
        </w:rPr>
      </w:pPr>
      <w:bookmarkStart w:id="30" w:name="_Toc509837437"/>
      <w:r>
        <w:lastRenderedPageBreak/>
        <w:t>Figure ES.4: Average Event-Hour Load Impacts by Event, SC</w:t>
      </w:r>
      <w:r>
        <w:rPr>
          <w:i/>
        </w:rPr>
        <w:t>E SMB</w:t>
      </w:r>
      <w:bookmarkEnd w:id="30"/>
    </w:p>
    <w:p w14:paraId="1277D1B3" w14:textId="1A82CC59" w:rsidR="00A72057" w:rsidRDefault="00A72057" w:rsidP="008571DF">
      <w:pPr>
        <w:jc w:val="center"/>
      </w:pPr>
      <w:r>
        <w:rPr>
          <w:noProof/>
        </w:rPr>
        <w:drawing>
          <wp:inline distT="0" distB="0" distL="0" distR="0" wp14:anchorId="7B931B45" wp14:editId="6EE5D9C7">
            <wp:extent cx="5486400" cy="3983990"/>
            <wp:effectExtent l="0" t="0" r="0" b="0"/>
            <wp:docPr id="57" name="Chart 57">
              <a:extLst xmlns:a="http://schemas.openxmlformats.org/drawingml/2006/main">
                <a:ext uri="{FF2B5EF4-FFF2-40B4-BE49-F238E27FC236}">
                  <a16:creationId xmlns:a16="http://schemas.microsoft.com/office/drawing/2014/main" id="{2E90AA90-3B66-46AD-ACC7-70628F1F92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78E3427" w14:textId="5C1AEA1F" w:rsidR="00086149" w:rsidRDefault="00086149" w:rsidP="00036580"/>
    <w:p w14:paraId="2070E2B3" w14:textId="027DA9C3" w:rsidR="00086149" w:rsidRDefault="00331FF4" w:rsidP="00036580">
      <w:r>
        <w:t>For SCE, we placed net energy metered (NEM) customers in a separate group. Their estimated load impacts are highly variable across event days and rarely statistically significantly different from zero.</w:t>
      </w:r>
    </w:p>
    <w:p w14:paraId="6981D989" w14:textId="77777777" w:rsidR="00086149" w:rsidRPr="00036580" w:rsidRDefault="00086149" w:rsidP="00036580"/>
    <w:p w14:paraId="256EA972" w14:textId="357C96B4" w:rsidR="006D42C7" w:rsidRDefault="009F2964" w:rsidP="008571DF">
      <w:pPr>
        <w:pStyle w:val="Heading3"/>
        <w:numPr>
          <w:ilvl w:val="0"/>
          <w:numId w:val="0"/>
        </w:numPr>
        <w:spacing w:after="120"/>
        <w:rPr>
          <w:sz w:val="24"/>
        </w:rPr>
      </w:pPr>
      <w:bookmarkStart w:id="31" w:name="_Toc509837296"/>
      <w:r>
        <w:rPr>
          <w:sz w:val="24"/>
        </w:rPr>
        <w:t xml:space="preserve">ES.3.3 </w:t>
      </w:r>
      <w:r w:rsidR="00681798">
        <w:rPr>
          <w:sz w:val="24"/>
        </w:rPr>
        <w:t>SDG&amp;E</w:t>
      </w:r>
      <w:bookmarkEnd w:id="31"/>
    </w:p>
    <w:p w14:paraId="2983ACEB" w14:textId="4F1F1F20" w:rsidR="00086149" w:rsidRDefault="00331FF4" w:rsidP="00086149">
      <w:r>
        <w:t>Figure ES.5 shows the estimates of the average event-hour load impacts by event day, along with an 80 percent confidence interval (corresponding to the 10</w:t>
      </w:r>
      <w:r w:rsidRPr="00086149">
        <w:rPr>
          <w:vertAlign w:val="superscript"/>
        </w:rPr>
        <w:t>th</w:t>
      </w:r>
      <w:r>
        <w:t xml:space="preserve"> and 90</w:t>
      </w:r>
      <w:r w:rsidRPr="00086149">
        <w:rPr>
          <w:vertAlign w:val="superscript"/>
        </w:rPr>
        <w:t>th</w:t>
      </w:r>
      <w:r>
        <w:t xml:space="preserve"> percentile uncertainty-adjusted load impacts) for SDG&amp;E’s large CPP customers. </w:t>
      </w:r>
      <w:r>
        <w:rPr>
          <w:szCs w:val="32"/>
        </w:rPr>
        <w:t>The results indicate that SDG&amp;E’s large customers had statistically significant load reductions on each of the three event days, ranging from 9 to 19 MWh/hour. The load impact averaged 15 MWh/hour over the three days or 18 MWh/hour for the</w:t>
      </w:r>
      <w:r w:rsidR="008D1F64">
        <w:rPr>
          <w:szCs w:val="32"/>
        </w:rPr>
        <w:t xml:space="preserve"> average weekday event (August 31</w:t>
      </w:r>
      <w:r w:rsidR="008D1F64" w:rsidRPr="008D1F64">
        <w:rPr>
          <w:szCs w:val="32"/>
          <w:vertAlign w:val="superscript"/>
        </w:rPr>
        <w:t>st</w:t>
      </w:r>
      <w:r w:rsidR="008D1F64">
        <w:rPr>
          <w:szCs w:val="32"/>
        </w:rPr>
        <w:t xml:space="preserve"> and September 1</w:t>
      </w:r>
      <w:r w:rsidR="008D1F64" w:rsidRPr="008D1F64">
        <w:rPr>
          <w:szCs w:val="32"/>
          <w:vertAlign w:val="superscript"/>
        </w:rPr>
        <w:t>st</w:t>
      </w:r>
      <w:r w:rsidR="008D1F64">
        <w:rPr>
          <w:szCs w:val="32"/>
        </w:rPr>
        <w:t>)</w:t>
      </w:r>
      <w:r>
        <w:rPr>
          <w:szCs w:val="32"/>
        </w:rPr>
        <w:t>.</w:t>
      </w:r>
    </w:p>
    <w:p w14:paraId="4E9B8C52" w14:textId="6659BABA" w:rsidR="00086149" w:rsidRPr="00CC2ABE" w:rsidRDefault="00086149" w:rsidP="00086149">
      <w:pPr>
        <w:pStyle w:val="FigureCaption"/>
        <w:rPr>
          <w:i/>
        </w:rPr>
      </w:pPr>
      <w:bookmarkStart w:id="32" w:name="_Toc509837438"/>
      <w:r>
        <w:lastRenderedPageBreak/>
        <w:t xml:space="preserve">Figure ES.5: Average Event-Hour Load Impacts by Event, </w:t>
      </w:r>
      <w:r>
        <w:rPr>
          <w:i/>
        </w:rPr>
        <w:t>SDG&amp;E Large</w:t>
      </w:r>
      <w:bookmarkEnd w:id="32"/>
    </w:p>
    <w:p w14:paraId="4DE9BDFA" w14:textId="143674D3" w:rsidR="00086149" w:rsidRDefault="008D1F64" w:rsidP="008571DF">
      <w:pPr>
        <w:jc w:val="center"/>
      </w:pPr>
      <w:r>
        <w:rPr>
          <w:noProof/>
        </w:rPr>
        <w:drawing>
          <wp:inline distT="0" distB="0" distL="0" distR="0" wp14:anchorId="60B380AB" wp14:editId="082C6DD1">
            <wp:extent cx="4801156" cy="3200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1156" cy="3200400"/>
                    </a:xfrm>
                    <a:prstGeom prst="rect">
                      <a:avLst/>
                    </a:prstGeom>
                    <a:noFill/>
                  </pic:spPr>
                </pic:pic>
              </a:graphicData>
            </a:graphic>
          </wp:inline>
        </w:drawing>
      </w:r>
    </w:p>
    <w:p w14:paraId="13341D5B" w14:textId="77777777" w:rsidR="00086149" w:rsidRDefault="00086149" w:rsidP="00086149"/>
    <w:p w14:paraId="5638E1B4" w14:textId="1CBFF005" w:rsidR="00086149" w:rsidRDefault="00331FF4" w:rsidP="00086149">
      <w:r>
        <w:t xml:space="preserve">Figure ES.6 presents the same information for SDG&amp;E’s medium-sized CPP customers. </w:t>
      </w:r>
      <w:r>
        <w:rPr>
          <w:szCs w:val="32"/>
        </w:rPr>
        <w:t>In contrast to large customers, the load impacts are only statistically significant for the weekend event day (September 2</w:t>
      </w:r>
      <w:r w:rsidRPr="00754414">
        <w:rPr>
          <w:szCs w:val="32"/>
          <w:vertAlign w:val="superscript"/>
        </w:rPr>
        <w:t>nd</w:t>
      </w:r>
      <w:r>
        <w:rPr>
          <w:szCs w:val="32"/>
        </w:rPr>
        <w:t xml:space="preserve">) which also indicates an </w:t>
      </w:r>
      <w:r w:rsidRPr="00754414">
        <w:rPr>
          <w:i/>
          <w:szCs w:val="32"/>
        </w:rPr>
        <w:t>increase</w:t>
      </w:r>
      <w:r>
        <w:rPr>
          <w:szCs w:val="32"/>
        </w:rPr>
        <w:t xml:space="preserve"> in usage. </w:t>
      </w:r>
      <w:r>
        <w:t xml:space="preserve"> </w:t>
      </w:r>
    </w:p>
    <w:p w14:paraId="58F9CA94" w14:textId="15617021" w:rsidR="00086149" w:rsidRDefault="00086149" w:rsidP="00086149"/>
    <w:p w14:paraId="2070EF61" w14:textId="0006753A" w:rsidR="00086149" w:rsidRPr="00754414" w:rsidRDefault="00086149" w:rsidP="00086149">
      <w:pPr>
        <w:pStyle w:val="FigureCaption"/>
        <w:rPr>
          <w:i/>
        </w:rPr>
      </w:pPr>
      <w:bookmarkStart w:id="33" w:name="_Toc509837439"/>
      <w:r>
        <w:t xml:space="preserve">Figure ES.6: Average Event-Hour Load Impacts by Event, </w:t>
      </w:r>
      <w:r>
        <w:rPr>
          <w:i/>
        </w:rPr>
        <w:t>SDG&amp;E Medium</w:t>
      </w:r>
      <w:bookmarkEnd w:id="33"/>
    </w:p>
    <w:p w14:paraId="279C249F" w14:textId="70200755" w:rsidR="00086149" w:rsidRDefault="008D1F64" w:rsidP="00086149">
      <w:pPr>
        <w:spacing w:after="120"/>
        <w:jc w:val="center"/>
        <w:rPr>
          <w:szCs w:val="32"/>
        </w:rPr>
      </w:pPr>
      <w:r>
        <w:rPr>
          <w:noProof/>
          <w:szCs w:val="32"/>
        </w:rPr>
        <w:drawing>
          <wp:inline distT="0" distB="0" distL="0" distR="0" wp14:anchorId="01C513F0" wp14:editId="17C6295D">
            <wp:extent cx="4801156" cy="3200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01156" cy="3200400"/>
                    </a:xfrm>
                    <a:prstGeom prst="rect">
                      <a:avLst/>
                    </a:prstGeom>
                    <a:noFill/>
                  </pic:spPr>
                </pic:pic>
              </a:graphicData>
            </a:graphic>
          </wp:inline>
        </w:drawing>
      </w:r>
    </w:p>
    <w:p w14:paraId="561763C6" w14:textId="0A1B81AD" w:rsidR="00086149" w:rsidRDefault="00086149" w:rsidP="00086149"/>
    <w:p w14:paraId="632FA59B" w14:textId="2FE799FA" w:rsidR="009E44A8" w:rsidRDefault="009E44A8" w:rsidP="008571DF">
      <w:pPr>
        <w:pStyle w:val="Heading2"/>
        <w:numPr>
          <w:ilvl w:val="0"/>
          <w:numId w:val="0"/>
        </w:numPr>
        <w:spacing w:after="120"/>
      </w:pPr>
      <w:bookmarkStart w:id="34" w:name="_Toc289180060"/>
      <w:bookmarkStart w:id="35" w:name="_Toc326224618"/>
      <w:bookmarkStart w:id="36" w:name="_Toc352235833"/>
      <w:bookmarkStart w:id="37" w:name="_Toc383774918"/>
      <w:bookmarkStart w:id="38" w:name="_Toc413586711"/>
      <w:bookmarkStart w:id="39" w:name="_Toc509837297"/>
      <w:r>
        <w:lastRenderedPageBreak/>
        <w:t xml:space="preserve">ES.4 </w:t>
      </w:r>
      <w:r w:rsidR="00171887">
        <w:t>Ex-A</w:t>
      </w:r>
      <w:r w:rsidRPr="009F20A2">
        <w:t>nte</w:t>
      </w:r>
      <w:r>
        <w:t xml:space="preserve"> Load Impacts</w:t>
      </w:r>
      <w:bookmarkEnd w:id="34"/>
      <w:bookmarkEnd w:id="35"/>
      <w:bookmarkEnd w:id="36"/>
      <w:bookmarkEnd w:id="37"/>
      <w:bookmarkEnd w:id="38"/>
      <w:bookmarkEnd w:id="39"/>
    </w:p>
    <w:p w14:paraId="1860B8A0" w14:textId="77777777" w:rsidR="00AF42C7" w:rsidRDefault="00AF42C7" w:rsidP="00AF42C7">
      <w:r w:rsidRPr="00927893">
        <w:rPr>
          <w:i/>
        </w:rPr>
        <w:t>Ex-ante</w:t>
      </w:r>
      <w:r>
        <w:t xml:space="preserve"> load impacts represent forecasts of load impacts that are expected to occur when program events are called in future years under standardized weather conditions.</w:t>
      </w:r>
    </w:p>
    <w:p w14:paraId="51979675" w14:textId="77777777" w:rsidR="00AF42C7" w:rsidRDefault="00AF42C7" w:rsidP="00AF42C7"/>
    <w:p w14:paraId="3F73F985" w14:textId="77777777" w:rsidR="00AF42C7" w:rsidRDefault="00AF42C7" w:rsidP="00AF42C7">
      <w:pPr>
        <w:spacing w:after="120"/>
      </w:pPr>
      <w:r>
        <w:t xml:space="preserve">Estimating </w:t>
      </w:r>
      <w:r>
        <w:rPr>
          <w:i/>
        </w:rPr>
        <w:t>ex-ante</w:t>
      </w:r>
      <w:r>
        <w:t xml:space="preserve"> load impacts requires three key pieces of information:  </w:t>
      </w:r>
    </w:p>
    <w:p w14:paraId="5F38362F" w14:textId="3A0C69E5" w:rsidR="00AF42C7" w:rsidRDefault="00AF42C7" w:rsidP="00AF42C7">
      <w:pPr>
        <w:numPr>
          <w:ilvl w:val="0"/>
          <w:numId w:val="42"/>
        </w:numPr>
      </w:pPr>
      <w:r>
        <w:t xml:space="preserve">Utility-provided </w:t>
      </w:r>
      <w:r w:rsidRPr="00962DC2">
        <w:rPr>
          <w:i/>
        </w:rPr>
        <w:t>enrollment forecast</w:t>
      </w:r>
      <w:r>
        <w:rPr>
          <w:i/>
        </w:rPr>
        <w:t>s</w:t>
      </w:r>
      <w:r>
        <w:t xml:space="preserve"> for relevant components of the program, which consists of forecasts of the number of customers by required type of customer; </w:t>
      </w:r>
    </w:p>
    <w:p w14:paraId="0A83A53C" w14:textId="10D371FB" w:rsidR="00AF42C7" w:rsidRDefault="00AF42C7" w:rsidP="00AF42C7">
      <w:pPr>
        <w:numPr>
          <w:ilvl w:val="0"/>
          <w:numId w:val="42"/>
        </w:numPr>
      </w:pPr>
      <w:r>
        <w:rPr>
          <w:i/>
        </w:rPr>
        <w:t>R</w:t>
      </w:r>
      <w:r w:rsidRPr="00962DC2">
        <w:rPr>
          <w:i/>
        </w:rPr>
        <w:t>eference loads</w:t>
      </w:r>
      <w:r>
        <w:t xml:space="preserve"> by customer type, simulated from regression models plus utility-provided </w:t>
      </w:r>
      <w:r w:rsidRPr="00AF42C7">
        <w:rPr>
          <w:i/>
        </w:rPr>
        <w:t>ex-ante</w:t>
      </w:r>
      <w:r>
        <w:t xml:space="preserve"> weather conditions;</w:t>
      </w:r>
    </w:p>
    <w:p w14:paraId="7766A172" w14:textId="7173B962" w:rsidR="00AF42C7" w:rsidRDefault="00AF42C7" w:rsidP="00AF42C7">
      <w:pPr>
        <w:numPr>
          <w:ilvl w:val="0"/>
          <w:numId w:val="42"/>
        </w:numPr>
      </w:pPr>
      <w:r>
        <w:t xml:space="preserve">A forecast of </w:t>
      </w:r>
      <w:r w:rsidRPr="00962DC2">
        <w:rPr>
          <w:i/>
        </w:rPr>
        <w:t>load impacts per customer</w:t>
      </w:r>
      <w:r>
        <w:t xml:space="preserve">, again by relevant customer type, based on the estimates in the </w:t>
      </w:r>
      <w:r>
        <w:rPr>
          <w:i/>
        </w:rPr>
        <w:t>ex-post</w:t>
      </w:r>
      <w:r>
        <w:t xml:space="preserve"> evaluation.  </w:t>
      </w:r>
    </w:p>
    <w:p w14:paraId="05C092B5" w14:textId="20719BED" w:rsidR="00AF42C7" w:rsidRDefault="00AF42C7" w:rsidP="00AF42C7"/>
    <w:p w14:paraId="41779077" w14:textId="03B1BE06" w:rsidR="00AF42C7" w:rsidRDefault="00AF42C7" w:rsidP="00AF42C7">
      <w:r>
        <w:t xml:space="preserve">We conducted this process for each utility and size group, </w:t>
      </w:r>
      <w:proofErr w:type="gramStart"/>
      <w:r>
        <w:t>with the exception of</w:t>
      </w:r>
      <w:proofErr w:type="gramEnd"/>
      <w:r>
        <w:t xml:space="preserve"> SCE’s SMB customers. For those customers, who are to be defaulted onto CPP in 2019, we relied on the per-customer forecasts from the previous study, re-scaled using SCE’s current enrollment forecast.</w:t>
      </w:r>
    </w:p>
    <w:p w14:paraId="446C1922" w14:textId="5F173532" w:rsidR="00316AA4" w:rsidRDefault="00316AA4" w:rsidP="00E84DD2">
      <w:pPr>
        <w:spacing w:after="120"/>
      </w:pPr>
    </w:p>
    <w:p w14:paraId="4400DE3D" w14:textId="4C4EE8E6" w:rsidR="00316AA4" w:rsidRDefault="00316AA4" w:rsidP="008571DF">
      <w:pPr>
        <w:pStyle w:val="Heading3"/>
        <w:numPr>
          <w:ilvl w:val="0"/>
          <w:numId w:val="0"/>
        </w:numPr>
        <w:spacing w:after="120"/>
        <w:rPr>
          <w:sz w:val="24"/>
          <w:szCs w:val="24"/>
        </w:rPr>
      </w:pPr>
      <w:bookmarkStart w:id="40" w:name="_Toc509837298"/>
      <w:r>
        <w:rPr>
          <w:sz w:val="24"/>
          <w:szCs w:val="24"/>
        </w:rPr>
        <w:t>ES</w:t>
      </w:r>
      <w:r w:rsidRPr="0023738E">
        <w:rPr>
          <w:sz w:val="24"/>
          <w:szCs w:val="24"/>
        </w:rPr>
        <w:t>.</w:t>
      </w:r>
      <w:r>
        <w:rPr>
          <w:sz w:val="24"/>
          <w:szCs w:val="24"/>
        </w:rPr>
        <w:t>4.</w:t>
      </w:r>
      <w:r w:rsidR="000913F8">
        <w:rPr>
          <w:sz w:val="24"/>
          <w:szCs w:val="24"/>
        </w:rPr>
        <w:t>1</w:t>
      </w:r>
      <w:r w:rsidRPr="0023738E">
        <w:rPr>
          <w:sz w:val="24"/>
          <w:szCs w:val="24"/>
        </w:rPr>
        <w:t xml:space="preserve"> </w:t>
      </w:r>
      <w:r w:rsidRPr="00667B8C">
        <w:rPr>
          <w:i/>
          <w:sz w:val="24"/>
          <w:szCs w:val="24"/>
        </w:rPr>
        <w:t>Ex-ante</w:t>
      </w:r>
      <w:r>
        <w:rPr>
          <w:sz w:val="24"/>
          <w:szCs w:val="24"/>
        </w:rPr>
        <w:t xml:space="preserve"> load impacts – </w:t>
      </w:r>
      <w:r w:rsidR="00681798">
        <w:rPr>
          <w:sz w:val="24"/>
          <w:szCs w:val="24"/>
        </w:rPr>
        <w:t>PG&amp;E</w:t>
      </w:r>
      <w:bookmarkEnd w:id="40"/>
      <w:r>
        <w:rPr>
          <w:sz w:val="24"/>
          <w:szCs w:val="24"/>
        </w:rPr>
        <w:t xml:space="preserve"> </w:t>
      </w:r>
    </w:p>
    <w:p w14:paraId="72A9AB00" w14:textId="1922ADB7" w:rsidR="00CA464A" w:rsidRDefault="00AF42C7" w:rsidP="00AF42C7">
      <w:pPr>
        <w:spacing w:after="120"/>
      </w:pPr>
      <w:r>
        <w:t xml:space="preserve">Figures ES.7 through ES.9 summarize the </w:t>
      </w:r>
      <w:r w:rsidRPr="007C0106">
        <w:rPr>
          <w:i/>
        </w:rPr>
        <w:t>ex-ante</w:t>
      </w:r>
      <w:r>
        <w:t xml:space="preserve"> load impacts for PG&amp;E’s Large, Medium, and Small PDP customers, respectively. In each case, the results reflect the Typical Event Day load impacts during the Resource Adequacy (RA) window at August enrollments. The RA window is from 1 to 6 p.m. during August, which includes </w:t>
      </w:r>
      <w:r w:rsidR="00632819">
        <w:t xml:space="preserve">one non-event hour (thus diluting the average load impact compared to an average event-hour summary). For each year, we show the load impact associated with each weather scenario (1-in-2 and 1-in-10 weather conditions associated with each of the utility’s peak day and the CAISO peak day). We assume that per-customer load impacts are constant across forecast years, so the pattern of load impacts across years reflects the underlying enrollment forecast. </w:t>
      </w:r>
    </w:p>
    <w:p w14:paraId="0A1A2BE2" w14:textId="1DE19421" w:rsidR="00632819" w:rsidRDefault="00632819" w:rsidP="00AF42C7">
      <w:pPr>
        <w:spacing w:after="120"/>
      </w:pPr>
      <w:r>
        <w:t>Our forecast calls for an increase in load impacts over time for all three size groups. In each case, the highest load impact within a year is associated with the utility-specific 1-in-10 weather conditions. This is expected, as those weather conditions tend to correspond to the hottest days.</w:t>
      </w:r>
    </w:p>
    <w:p w14:paraId="71FC7A52" w14:textId="77777777" w:rsidR="00966AB1" w:rsidRDefault="00966AB1" w:rsidP="00AF42C7">
      <w:pPr>
        <w:spacing w:after="120"/>
      </w:pPr>
    </w:p>
    <w:p w14:paraId="26C83D1B" w14:textId="64E09893" w:rsidR="00AF42C7" w:rsidRDefault="00AF42C7" w:rsidP="00AF42C7">
      <w:pPr>
        <w:pStyle w:val="FigureCaption"/>
        <w:rPr>
          <w:i/>
        </w:rPr>
      </w:pPr>
      <w:bookmarkStart w:id="41" w:name="_Toc509837440"/>
      <w:r>
        <w:lastRenderedPageBreak/>
        <w:t xml:space="preserve">Figure ES.7: </w:t>
      </w:r>
      <w:r w:rsidRPr="003E379F">
        <w:t xml:space="preserve">Aggregate </w:t>
      </w:r>
      <w:r>
        <w:t>Load Impacts for the T</w:t>
      </w:r>
      <w:r w:rsidR="00515724">
        <w:t xml:space="preserve">ypical </w:t>
      </w:r>
      <w:r>
        <w:t>E</w:t>
      </w:r>
      <w:r w:rsidR="00515724">
        <w:t xml:space="preserve">vent </w:t>
      </w:r>
      <w:r>
        <w:t>D</w:t>
      </w:r>
      <w:r w:rsidR="00515724">
        <w:t>ay</w:t>
      </w:r>
      <w:r>
        <w:t xml:space="preserve"> by Year and Weather Scenario over RA Window, </w:t>
      </w:r>
      <w:r>
        <w:rPr>
          <w:i/>
        </w:rPr>
        <w:t>PG&amp;E Large</w:t>
      </w:r>
      <w:bookmarkEnd w:id="41"/>
    </w:p>
    <w:p w14:paraId="6ADCFCD0" w14:textId="3C87E723" w:rsidR="00AF42C7" w:rsidRDefault="004A028C" w:rsidP="00AF42C7">
      <w:r>
        <w:rPr>
          <w:noProof/>
        </w:rPr>
        <w:drawing>
          <wp:inline distT="0" distB="0" distL="0" distR="0" wp14:anchorId="44BAFA90" wp14:editId="68CB6359">
            <wp:extent cx="5486400" cy="3980815"/>
            <wp:effectExtent l="0" t="0" r="0" b="635"/>
            <wp:docPr id="2" name="Chart 2">
              <a:extLst xmlns:a="http://schemas.openxmlformats.org/drawingml/2006/main">
                <a:ext uri="{FF2B5EF4-FFF2-40B4-BE49-F238E27FC236}">
                  <a16:creationId xmlns:a16="http://schemas.microsoft.com/office/drawing/2014/main" id="{677C3D30-5855-4924-8792-4EEAEF20C6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168EBB7" w14:textId="25619E10" w:rsidR="00AF42C7" w:rsidRDefault="00AF42C7" w:rsidP="00AF42C7">
      <w:pPr>
        <w:spacing w:after="120"/>
      </w:pPr>
    </w:p>
    <w:p w14:paraId="3A6442D7" w14:textId="20F0EE69" w:rsidR="00AF42C7" w:rsidRDefault="00AF42C7" w:rsidP="00AF42C7">
      <w:pPr>
        <w:pStyle w:val="FigureCaption"/>
        <w:rPr>
          <w:i/>
        </w:rPr>
      </w:pPr>
      <w:bookmarkStart w:id="42" w:name="_Toc509837441"/>
      <w:r>
        <w:lastRenderedPageBreak/>
        <w:t xml:space="preserve">Figure ES.8: </w:t>
      </w:r>
      <w:r w:rsidRPr="003E379F">
        <w:t xml:space="preserve">Aggregate </w:t>
      </w:r>
      <w:r>
        <w:t>Load Impacts for the T</w:t>
      </w:r>
      <w:r w:rsidR="00515724">
        <w:t xml:space="preserve">ypical </w:t>
      </w:r>
      <w:r>
        <w:t>E</w:t>
      </w:r>
      <w:r w:rsidR="00515724">
        <w:t xml:space="preserve">vent </w:t>
      </w:r>
      <w:r>
        <w:t>D</w:t>
      </w:r>
      <w:r w:rsidR="00515724">
        <w:t>ay</w:t>
      </w:r>
      <w:r>
        <w:t xml:space="preserve"> by Year and Weather Scenario over RA Window, </w:t>
      </w:r>
      <w:r>
        <w:rPr>
          <w:i/>
        </w:rPr>
        <w:t>PG&amp;E Medium</w:t>
      </w:r>
      <w:bookmarkEnd w:id="42"/>
    </w:p>
    <w:p w14:paraId="4C9F5801" w14:textId="3AF66978" w:rsidR="00AF42C7" w:rsidRDefault="001143E8" w:rsidP="00AF42C7">
      <w:pPr>
        <w:spacing w:after="120"/>
      </w:pPr>
      <w:r>
        <w:rPr>
          <w:noProof/>
        </w:rPr>
        <w:drawing>
          <wp:inline distT="0" distB="0" distL="0" distR="0" wp14:anchorId="1A38E352" wp14:editId="27CE0B16">
            <wp:extent cx="5486400" cy="3980815"/>
            <wp:effectExtent l="0" t="0" r="0" b="635"/>
            <wp:docPr id="5" name="Chart 5">
              <a:extLst xmlns:a="http://schemas.openxmlformats.org/drawingml/2006/main">
                <a:ext uri="{FF2B5EF4-FFF2-40B4-BE49-F238E27FC236}">
                  <a16:creationId xmlns:a16="http://schemas.microsoft.com/office/drawing/2014/main" id="{13069146-4679-474D-A170-E3322DB740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57024A4" w14:textId="55364590" w:rsidR="00AF42C7" w:rsidRDefault="00AF42C7" w:rsidP="00AF42C7">
      <w:pPr>
        <w:spacing w:after="120"/>
      </w:pPr>
    </w:p>
    <w:p w14:paraId="4B913002" w14:textId="0555ED1C" w:rsidR="00AF42C7" w:rsidRDefault="00AF42C7" w:rsidP="00AF42C7">
      <w:pPr>
        <w:pStyle w:val="FigureCaption"/>
        <w:rPr>
          <w:i/>
        </w:rPr>
      </w:pPr>
      <w:bookmarkStart w:id="43" w:name="_Toc509837442"/>
      <w:r>
        <w:lastRenderedPageBreak/>
        <w:t>Figure ES.9:</w:t>
      </w:r>
      <w:r w:rsidRPr="00EE4C42">
        <w:t xml:space="preserve"> </w:t>
      </w:r>
      <w:r w:rsidRPr="003E379F">
        <w:t xml:space="preserve">Aggregate </w:t>
      </w:r>
      <w:r>
        <w:t>Load Impacts for the T</w:t>
      </w:r>
      <w:r w:rsidR="00515724">
        <w:t xml:space="preserve">ypical </w:t>
      </w:r>
      <w:r>
        <w:t>E</w:t>
      </w:r>
      <w:r w:rsidR="00515724">
        <w:t xml:space="preserve">vent </w:t>
      </w:r>
      <w:r>
        <w:t>D</w:t>
      </w:r>
      <w:r w:rsidR="00515724">
        <w:t>ay</w:t>
      </w:r>
      <w:r>
        <w:t xml:space="preserve"> by Year and Weather Scenario over RA Window, </w:t>
      </w:r>
      <w:r>
        <w:rPr>
          <w:i/>
        </w:rPr>
        <w:t>PG&amp;E Small</w:t>
      </w:r>
      <w:bookmarkEnd w:id="43"/>
    </w:p>
    <w:p w14:paraId="1BEB9D3D" w14:textId="2238C457" w:rsidR="00AF42C7" w:rsidRDefault="001143E8" w:rsidP="00AF42C7">
      <w:r>
        <w:rPr>
          <w:noProof/>
        </w:rPr>
        <w:drawing>
          <wp:inline distT="0" distB="0" distL="0" distR="0" wp14:anchorId="76D0F859" wp14:editId="484098AD">
            <wp:extent cx="5486400" cy="3980815"/>
            <wp:effectExtent l="0" t="0" r="0" b="635"/>
            <wp:docPr id="8" name="Chart 8">
              <a:extLst xmlns:a="http://schemas.openxmlformats.org/drawingml/2006/main">
                <a:ext uri="{FF2B5EF4-FFF2-40B4-BE49-F238E27FC236}">
                  <a16:creationId xmlns:a16="http://schemas.microsoft.com/office/drawing/2014/main" id="{60D459AE-7164-4FA3-9085-60B84ECD32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C6FB3CE" w14:textId="77777777" w:rsidR="00AF42C7" w:rsidRPr="00D3703B" w:rsidRDefault="00AF42C7" w:rsidP="00AF42C7">
      <w:pPr>
        <w:spacing w:after="120"/>
      </w:pPr>
    </w:p>
    <w:p w14:paraId="29D017E7" w14:textId="18090689" w:rsidR="00316AA4" w:rsidRDefault="00CA464A" w:rsidP="008571DF">
      <w:pPr>
        <w:pStyle w:val="Heading3"/>
        <w:numPr>
          <w:ilvl w:val="0"/>
          <w:numId w:val="0"/>
        </w:numPr>
        <w:spacing w:after="120"/>
        <w:rPr>
          <w:sz w:val="24"/>
          <w:szCs w:val="24"/>
        </w:rPr>
      </w:pPr>
      <w:bookmarkStart w:id="44" w:name="_Toc509837299"/>
      <w:r w:rsidRPr="00CA464A">
        <w:rPr>
          <w:sz w:val="24"/>
          <w:szCs w:val="24"/>
        </w:rPr>
        <w:t>ES</w:t>
      </w:r>
      <w:r w:rsidR="00316AA4" w:rsidRPr="00CA464A">
        <w:rPr>
          <w:sz w:val="24"/>
          <w:szCs w:val="24"/>
        </w:rPr>
        <w:t>.</w:t>
      </w:r>
      <w:r w:rsidRPr="00CA464A">
        <w:rPr>
          <w:sz w:val="24"/>
          <w:szCs w:val="24"/>
        </w:rPr>
        <w:t>4.</w:t>
      </w:r>
      <w:r w:rsidR="000913F8">
        <w:rPr>
          <w:sz w:val="24"/>
          <w:szCs w:val="24"/>
        </w:rPr>
        <w:t>2</w:t>
      </w:r>
      <w:r w:rsidR="00316AA4" w:rsidRPr="00CA464A">
        <w:rPr>
          <w:sz w:val="24"/>
          <w:szCs w:val="24"/>
        </w:rPr>
        <w:t xml:space="preserve"> </w:t>
      </w:r>
      <w:r w:rsidR="00316AA4" w:rsidRPr="00667B8C">
        <w:rPr>
          <w:i/>
          <w:sz w:val="24"/>
          <w:szCs w:val="24"/>
        </w:rPr>
        <w:t>Ex-Ante</w:t>
      </w:r>
      <w:r w:rsidR="00316AA4" w:rsidRPr="00CA464A">
        <w:rPr>
          <w:sz w:val="24"/>
          <w:szCs w:val="24"/>
        </w:rPr>
        <w:t xml:space="preserve"> load impacts – </w:t>
      </w:r>
      <w:r w:rsidR="00681798">
        <w:rPr>
          <w:sz w:val="24"/>
          <w:szCs w:val="24"/>
        </w:rPr>
        <w:t>SCE</w:t>
      </w:r>
      <w:bookmarkEnd w:id="44"/>
    </w:p>
    <w:p w14:paraId="07E77654" w14:textId="58810240" w:rsidR="007C0106" w:rsidRDefault="007C0106" w:rsidP="007C0106">
      <w:pPr>
        <w:spacing w:after="120"/>
      </w:pPr>
      <w:r>
        <w:t xml:space="preserve">Figures ES.10 through ES.12 summarize the </w:t>
      </w:r>
      <w:r w:rsidRPr="007C0106">
        <w:rPr>
          <w:i/>
        </w:rPr>
        <w:t>ex-ante</w:t>
      </w:r>
      <w:r>
        <w:t xml:space="preserve"> load impacts for SCE’s Large, Medium, and Small CPP customers, respectively. In each case, the results reflect the Typical Event Day load impacts during the Resource Adequacy (RA) window at August enrollments. The RA window is from 1 to 6 p.m. during August, which includes one non-event hour (thus diluting the average load impact compared to an average event-hour summary). For each year, we show the load impact associated with each weather scenario (1-in-2 and 1-in-10 weather conditions associated with each of the utility’s peak day and the CAISO peak day). We assume that per-customer load impacts are constant across forecast years, so the pattern of load impacts across years reflects the underlying enrollment forecast. </w:t>
      </w:r>
    </w:p>
    <w:p w14:paraId="2D4C8412" w14:textId="1D3A66F4" w:rsidR="000913F8" w:rsidRDefault="007C0106" w:rsidP="007C0106">
      <w:r>
        <w:t>SCE intends to default its SMB customers onto CPP in 2019, so there are no load impacts for 2018 (</w:t>
      </w:r>
      <w:r w:rsidRPr="007C0106">
        <w:rPr>
          <w:i/>
        </w:rPr>
        <w:t>i.e.</w:t>
      </w:r>
      <w:r>
        <w:t xml:space="preserve">, enrollment is zero in that year). For these customers, the 2019 load impacts are quite high, but drop off in 2020 (and thereafter) as customers are assumed to opt-out of CPP following the end of their bill protection. SCE’s large customer load impacts are quite stable over the course of the forecast period. </w:t>
      </w:r>
    </w:p>
    <w:p w14:paraId="771AB1E8" w14:textId="2E270E1D" w:rsidR="007C0106" w:rsidRDefault="007C0106" w:rsidP="000913F8"/>
    <w:p w14:paraId="5118803F" w14:textId="2C1DA318" w:rsidR="007C0106" w:rsidRDefault="007C0106" w:rsidP="007C0106">
      <w:pPr>
        <w:pStyle w:val="FigureCaption"/>
        <w:rPr>
          <w:i/>
        </w:rPr>
      </w:pPr>
      <w:bookmarkStart w:id="45" w:name="_Toc509837443"/>
      <w:r>
        <w:lastRenderedPageBreak/>
        <w:t xml:space="preserve">Figure ES.10: </w:t>
      </w:r>
      <w:r w:rsidRPr="003E379F">
        <w:t xml:space="preserve">Aggregate </w:t>
      </w:r>
      <w:r>
        <w:t xml:space="preserve">Load Impacts for </w:t>
      </w:r>
      <w:r w:rsidR="00515724">
        <w:t>Typical Event Day</w:t>
      </w:r>
      <w:r>
        <w:t xml:space="preserve"> by Year and Weather Scenario over RA Window, </w:t>
      </w:r>
      <w:r>
        <w:rPr>
          <w:i/>
        </w:rPr>
        <w:t>SCE Large</w:t>
      </w:r>
      <w:bookmarkEnd w:id="45"/>
    </w:p>
    <w:p w14:paraId="2C420F8A" w14:textId="6A337188" w:rsidR="00A72057" w:rsidRDefault="00A72057" w:rsidP="007C0106">
      <w:r>
        <w:rPr>
          <w:noProof/>
        </w:rPr>
        <w:drawing>
          <wp:inline distT="0" distB="0" distL="0" distR="0" wp14:anchorId="529770A1" wp14:editId="6FED1704">
            <wp:extent cx="5486400" cy="3983990"/>
            <wp:effectExtent l="0" t="0" r="0" b="0"/>
            <wp:docPr id="59" name="Chart 59">
              <a:extLst xmlns:a="http://schemas.openxmlformats.org/drawingml/2006/main">
                <a:ext uri="{FF2B5EF4-FFF2-40B4-BE49-F238E27FC236}">
                  <a16:creationId xmlns:a16="http://schemas.microsoft.com/office/drawing/2014/main" id="{677C3D30-5855-4924-8792-4EEAEF20C6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C6B887E" w14:textId="0C9EF8D7" w:rsidR="007C0106" w:rsidRDefault="007C0106" w:rsidP="000913F8"/>
    <w:p w14:paraId="2A594E13" w14:textId="105D3A4A" w:rsidR="007C0106" w:rsidRDefault="007C0106" w:rsidP="007C0106">
      <w:pPr>
        <w:pStyle w:val="FigureCaption"/>
        <w:rPr>
          <w:i/>
        </w:rPr>
      </w:pPr>
      <w:bookmarkStart w:id="46" w:name="_Toc509837444"/>
      <w:r>
        <w:lastRenderedPageBreak/>
        <w:t xml:space="preserve">Figure ES.11: </w:t>
      </w:r>
      <w:r w:rsidRPr="003E379F">
        <w:t xml:space="preserve">Aggregate </w:t>
      </w:r>
      <w:r>
        <w:t xml:space="preserve">Load Impacts for </w:t>
      </w:r>
      <w:r w:rsidR="00515724">
        <w:t>Typical Event Day</w:t>
      </w:r>
      <w:r>
        <w:t xml:space="preserve"> by Year and Weather Scenario over RA Window, </w:t>
      </w:r>
      <w:r>
        <w:rPr>
          <w:i/>
        </w:rPr>
        <w:t>SCE Medium</w:t>
      </w:r>
      <w:bookmarkEnd w:id="46"/>
    </w:p>
    <w:p w14:paraId="711B2FD2" w14:textId="15034C4D" w:rsidR="00A72057" w:rsidRDefault="00A72057" w:rsidP="007C0106">
      <w:r>
        <w:rPr>
          <w:noProof/>
        </w:rPr>
        <w:drawing>
          <wp:inline distT="0" distB="0" distL="0" distR="0" wp14:anchorId="3A92D627" wp14:editId="13F0165A">
            <wp:extent cx="5486400" cy="3983990"/>
            <wp:effectExtent l="0" t="0" r="0" b="0"/>
            <wp:docPr id="61" name="Chart 61">
              <a:extLst xmlns:a="http://schemas.openxmlformats.org/drawingml/2006/main">
                <a:ext uri="{FF2B5EF4-FFF2-40B4-BE49-F238E27FC236}">
                  <a16:creationId xmlns:a16="http://schemas.microsoft.com/office/drawing/2014/main" id="{13069146-4679-474D-A170-E3322DB740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6274C7B" w14:textId="1D4E1A23" w:rsidR="007C0106" w:rsidRDefault="007C0106" w:rsidP="000913F8"/>
    <w:p w14:paraId="15110BC9" w14:textId="29C3115A" w:rsidR="007C0106" w:rsidRDefault="007C0106" w:rsidP="007C0106">
      <w:pPr>
        <w:pStyle w:val="FigureCaption"/>
        <w:rPr>
          <w:i/>
        </w:rPr>
      </w:pPr>
      <w:bookmarkStart w:id="47" w:name="_Toc509837445"/>
      <w:r>
        <w:lastRenderedPageBreak/>
        <w:t xml:space="preserve">Figure ES.12: </w:t>
      </w:r>
      <w:r w:rsidRPr="003E379F">
        <w:t xml:space="preserve">Aggregate </w:t>
      </w:r>
      <w:r>
        <w:t xml:space="preserve">Load Impacts for </w:t>
      </w:r>
      <w:r w:rsidR="00515724">
        <w:t>Typical Event Day</w:t>
      </w:r>
      <w:r>
        <w:t xml:space="preserve"> by Year and Weather Scenario over RA Window, </w:t>
      </w:r>
      <w:r>
        <w:rPr>
          <w:i/>
        </w:rPr>
        <w:t>SCE Small</w:t>
      </w:r>
      <w:bookmarkEnd w:id="47"/>
    </w:p>
    <w:p w14:paraId="49FDE9B2" w14:textId="29000296" w:rsidR="007C0106" w:rsidRDefault="00A72057" w:rsidP="007C0106">
      <w:r>
        <w:rPr>
          <w:noProof/>
        </w:rPr>
        <w:drawing>
          <wp:inline distT="0" distB="0" distL="0" distR="0" wp14:anchorId="007004BF" wp14:editId="30005213">
            <wp:extent cx="5486400" cy="3983990"/>
            <wp:effectExtent l="0" t="0" r="0" b="0"/>
            <wp:docPr id="62" name="Chart 62">
              <a:extLst xmlns:a="http://schemas.openxmlformats.org/drawingml/2006/main">
                <a:ext uri="{FF2B5EF4-FFF2-40B4-BE49-F238E27FC236}">
                  <a16:creationId xmlns:a16="http://schemas.microsoft.com/office/drawing/2014/main" id="{60D459AE-7164-4FA3-9085-60B84ECD32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84D6756" w14:textId="4208775A" w:rsidR="007C0106" w:rsidRDefault="007C0106" w:rsidP="000913F8"/>
    <w:p w14:paraId="57C42E10" w14:textId="35C14720" w:rsidR="000913F8" w:rsidRDefault="000913F8" w:rsidP="008571DF">
      <w:pPr>
        <w:pStyle w:val="Heading3"/>
        <w:numPr>
          <w:ilvl w:val="0"/>
          <w:numId w:val="0"/>
        </w:numPr>
        <w:spacing w:after="120"/>
        <w:rPr>
          <w:sz w:val="24"/>
          <w:szCs w:val="24"/>
        </w:rPr>
      </w:pPr>
      <w:bookmarkStart w:id="48" w:name="_Toc509837300"/>
      <w:r w:rsidRPr="00CA464A">
        <w:rPr>
          <w:sz w:val="24"/>
          <w:szCs w:val="24"/>
        </w:rPr>
        <w:t>ES.4.</w:t>
      </w:r>
      <w:r>
        <w:rPr>
          <w:sz w:val="24"/>
          <w:szCs w:val="24"/>
        </w:rPr>
        <w:t>3</w:t>
      </w:r>
      <w:r w:rsidRPr="00CA464A">
        <w:rPr>
          <w:sz w:val="24"/>
          <w:szCs w:val="24"/>
        </w:rPr>
        <w:t xml:space="preserve"> </w:t>
      </w:r>
      <w:r w:rsidRPr="00667B8C">
        <w:rPr>
          <w:i/>
          <w:sz w:val="24"/>
          <w:szCs w:val="24"/>
        </w:rPr>
        <w:t>Ex-Ante</w:t>
      </w:r>
      <w:r w:rsidRPr="00CA464A">
        <w:rPr>
          <w:sz w:val="24"/>
          <w:szCs w:val="24"/>
        </w:rPr>
        <w:t xml:space="preserve"> load impacts – </w:t>
      </w:r>
      <w:r>
        <w:rPr>
          <w:sz w:val="24"/>
          <w:szCs w:val="24"/>
        </w:rPr>
        <w:t>SDG&amp;E</w:t>
      </w:r>
      <w:bookmarkEnd w:id="48"/>
    </w:p>
    <w:p w14:paraId="1FE44B60" w14:textId="7A541E18" w:rsidR="004350AB" w:rsidRDefault="007F09A9" w:rsidP="004350AB">
      <w:pPr>
        <w:spacing w:after="120"/>
      </w:pPr>
      <w:r>
        <w:t xml:space="preserve">SDG&amp;E has </w:t>
      </w:r>
      <w:r w:rsidR="002F206E">
        <w:t xml:space="preserve">modified </w:t>
      </w:r>
      <w:r>
        <w:t>the CPP event hours,</w:t>
      </w:r>
      <w:r w:rsidRPr="00D76587">
        <w:t xml:space="preserve"> </w:t>
      </w:r>
      <w:r>
        <w:t xml:space="preserve">reducing the event window of 11 a.m. to 6 p.m. (HE 12 to 18) to an event widow of 2 to 6 p.m. (HE 15 to 18). </w:t>
      </w:r>
      <w:r w:rsidR="004350AB">
        <w:t xml:space="preserve">Figures ES.13 and ES.14 summarize the </w:t>
      </w:r>
      <w:r w:rsidR="004350AB" w:rsidRPr="007C0106">
        <w:rPr>
          <w:i/>
        </w:rPr>
        <w:t>ex-ante</w:t>
      </w:r>
      <w:r w:rsidR="004350AB">
        <w:t xml:space="preserve"> load impacts for SDG&amp;E’s Large and Medium CPP customers, respectively. In each case, the results reflect the </w:t>
      </w:r>
      <w:r w:rsidR="008D1F64">
        <w:t>average weekday event</w:t>
      </w:r>
      <w:r w:rsidR="004350AB">
        <w:t xml:space="preserve"> load impacts during the Resource Adequacy (RA) window at August enrollments. The RA window is from 1 to 6 p.m. during August, which includes one non-event hour (thus diluting the average load impact compared to an average event-hour summary). For each year, we show the load impact associated with each weather scenario (1-in-2 and 1-in-10 weather conditions associated with each of the utility’s peak day and the CAISO peak day). We assume that per-customer load impacts are constant across forecast years, so the pattern of load impacts across years reflects the underlying enrollment forecast. </w:t>
      </w:r>
    </w:p>
    <w:p w14:paraId="761CBB92" w14:textId="24B14FC6" w:rsidR="000913F8" w:rsidRDefault="004350AB" w:rsidP="004350AB">
      <w:r>
        <w:t xml:space="preserve">SDG&amp;E forecasts an increase in large CPP customer enrollment that has a corresponding effect on the forecast load impacts, which increase from approximately 15 MWh/hour to approximately 20 MWh/hour from 2018 through 2028. Conversely, the medium customer enrollment and load impacts are forecast to decline somewhat over time. </w:t>
      </w:r>
      <w:r>
        <w:lastRenderedPageBreak/>
        <w:t xml:space="preserve">Note that the small customer forecast (under 20 kW maximum demand) are included in a separate study. Also, customers participating in </w:t>
      </w:r>
      <w:r>
        <w:rPr>
          <w:szCs w:val="32"/>
        </w:rPr>
        <w:t>Small Customer Technology Deployment (SCTD) are excluded from our analysis and are included in the same study as the small CPP customers.</w:t>
      </w:r>
    </w:p>
    <w:p w14:paraId="32F219D2" w14:textId="77777777" w:rsidR="004350AB" w:rsidRPr="000913F8" w:rsidRDefault="004350AB" w:rsidP="004350AB"/>
    <w:p w14:paraId="6787E25F" w14:textId="42D20F1E" w:rsidR="004350AB" w:rsidRPr="0029418E" w:rsidRDefault="004350AB" w:rsidP="004350AB">
      <w:pPr>
        <w:pStyle w:val="FigureCaption"/>
      </w:pPr>
      <w:bookmarkStart w:id="49" w:name="_Toc509837446"/>
      <w:r>
        <w:t xml:space="preserve">Figure ES.13: Aggregate Load Impacts for </w:t>
      </w:r>
      <w:r w:rsidR="008D1F64">
        <w:t xml:space="preserve">Average Weekday </w:t>
      </w:r>
      <w:r w:rsidR="00515724">
        <w:t xml:space="preserve">Event </w:t>
      </w:r>
      <w:r>
        <w:t xml:space="preserve">by Year and Weather Scenario over RA Window, </w:t>
      </w:r>
      <w:r>
        <w:rPr>
          <w:i/>
        </w:rPr>
        <w:t>SDG&amp;E Large</w:t>
      </w:r>
      <w:bookmarkEnd w:id="49"/>
    </w:p>
    <w:p w14:paraId="63043824" w14:textId="77777777" w:rsidR="004350AB" w:rsidRDefault="004350AB" w:rsidP="004350AB">
      <w:pPr>
        <w:spacing w:after="120"/>
        <w:jc w:val="center"/>
        <w:rPr>
          <w:szCs w:val="32"/>
        </w:rPr>
      </w:pPr>
      <w:r>
        <w:rPr>
          <w:noProof/>
          <w:szCs w:val="32"/>
        </w:rPr>
        <w:drawing>
          <wp:inline distT="0" distB="0" distL="0" distR="0" wp14:anchorId="33EAB0EB" wp14:editId="4D91FA2B">
            <wp:extent cx="4572635" cy="27432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7A3294A5" w14:textId="77777777" w:rsidR="004350AB" w:rsidRDefault="004350AB" w:rsidP="000913F8"/>
    <w:p w14:paraId="112F597E" w14:textId="77D10BBC" w:rsidR="004350AB" w:rsidRPr="005747BA" w:rsidRDefault="004350AB" w:rsidP="004350AB">
      <w:pPr>
        <w:pStyle w:val="FigureCaption"/>
      </w:pPr>
      <w:bookmarkStart w:id="50" w:name="_Toc509837447"/>
      <w:r>
        <w:t xml:space="preserve">Figure ES.14: Aggregate Load Impacts for </w:t>
      </w:r>
      <w:r w:rsidR="008D1F64">
        <w:t xml:space="preserve">Average Weekday </w:t>
      </w:r>
      <w:r w:rsidR="00515724">
        <w:t xml:space="preserve">Event </w:t>
      </w:r>
      <w:r>
        <w:t xml:space="preserve">by Year and Weather Scenario over RA Window, </w:t>
      </w:r>
      <w:r>
        <w:rPr>
          <w:i/>
        </w:rPr>
        <w:t>SDG&amp;E Medium</w:t>
      </w:r>
      <w:bookmarkEnd w:id="50"/>
    </w:p>
    <w:p w14:paraId="0DB7FA77" w14:textId="6088EC32" w:rsidR="004350AB" w:rsidRDefault="004350AB" w:rsidP="008571DF">
      <w:pPr>
        <w:jc w:val="center"/>
      </w:pPr>
      <w:r>
        <w:rPr>
          <w:noProof/>
          <w:szCs w:val="32"/>
        </w:rPr>
        <w:drawing>
          <wp:inline distT="0" distB="0" distL="0" distR="0" wp14:anchorId="7FDA278E" wp14:editId="6F2C7A47">
            <wp:extent cx="4572635" cy="2743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7080B1CE" w14:textId="77777777" w:rsidR="004350AB" w:rsidRPr="000913F8" w:rsidRDefault="004350AB" w:rsidP="000913F8"/>
    <w:p w14:paraId="2041C2E0" w14:textId="51E67D3E" w:rsidR="00321E09" w:rsidRPr="00F401D7" w:rsidRDefault="00321E09" w:rsidP="005D41C6">
      <w:pPr>
        <w:pStyle w:val="Heading1"/>
      </w:pPr>
      <w:r>
        <w:br w:type="page"/>
      </w:r>
      <w:bookmarkStart w:id="51" w:name="_Toc509837301"/>
      <w:r w:rsidRPr="00F401D7">
        <w:lastRenderedPageBreak/>
        <w:t>Introduction and Purpose of the Study</w:t>
      </w:r>
      <w:bookmarkEnd w:id="51"/>
    </w:p>
    <w:p w14:paraId="4550FE63" w14:textId="29BB7D47" w:rsidR="00132CE7" w:rsidRDefault="00321E09" w:rsidP="00132CE7">
      <w:pPr>
        <w:pStyle w:val="BodyText"/>
      </w:pPr>
      <w:r>
        <w:t xml:space="preserve">This report documents </w:t>
      </w:r>
      <w:r w:rsidR="00F43309" w:rsidRPr="00F43309">
        <w:rPr>
          <w:i/>
        </w:rPr>
        <w:t>ex-post</w:t>
      </w:r>
      <w:r>
        <w:t xml:space="preserve"> </w:t>
      </w:r>
      <w:r w:rsidR="00186A8C">
        <w:t xml:space="preserve">and </w:t>
      </w:r>
      <w:r w:rsidR="00F43309" w:rsidRPr="00F43309">
        <w:rPr>
          <w:i/>
        </w:rPr>
        <w:t>ex-ante</w:t>
      </w:r>
      <w:r w:rsidR="00186A8C">
        <w:t xml:space="preserve"> </w:t>
      </w:r>
      <w:r>
        <w:t xml:space="preserve">load impact evaluations </w:t>
      </w:r>
      <w:r w:rsidR="00CA67C0">
        <w:t xml:space="preserve">of non-residential </w:t>
      </w:r>
      <w:r w:rsidR="00964D8B">
        <w:t xml:space="preserve">critical peak pricing (CPP) rates </w:t>
      </w:r>
      <w:r w:rsidR="007504A0">
        <w:t xml:space="preserve">at the </w:t>
      </w:r>
      <w:proofErr w:type="gramStart"/>
      <w:r w:rsidR="007504A0">
        <w:t>three major</w:t>
      </w:r>
      <w:proofErr w:type="gramEnd"/>
      <w:r w:rsidR="007504A0">
        <w:t xml:space="preserve"> investor-owned electric utilities (Joint Utilities)</w:t>
      </w:r>
      <w:r w:rsidR="00E108FB">
        <w:t xml:space="preserve">: </w:t>
      </w:r>
      <w:r w:rsidR="007504A0">
        <w:t xml:space="preserve"> Pacific Gas and Electric (PG&amp;E), Southern California Edison (SCE) and </w:t>
      </w:r>
      <w:r w:rsidR="00AE4797">
        <w:t>San Diego Gas &amp; Electric (</w:t>
      </w:r>
      <w:r w:rsidR="007504A0">
        <w:t>SDG&amp;E</w:t>
      </w:r>
      <w:r w:rsidR="00AE4797">
        <w:t>)</w:t>
      </w:r>
      <w:r w:rsidR="00CE28FA">
        <w:t xml:space="preserve"> </w:t>
      </w:r>
      <w:r w:rsidR="00964D8B">
        <w:t>for 201</w:t>
      </w:r>
      <w:r w:rsidR="00CA67C0">
        <w:t>7</w:t>
      </w:r>
      <w:r w:rsidR="00964D8B">
        <w:t xml:space="preserve">. </w:t>
      </w:r>
      <w:r w:rsidR="00132CE7">
        <w:t xml:space="preserve">The evaluation produces estimates of the </w:t>
      </w:r>
      <w:r w:rsidR="00132CE7">
        <w:rPr>
          <w:i/>
        </w:rPr>
        <w:t>ex-post</w:t>
      </w:r>
      <w:r w:rsidR="00132CE7">
        <w:t xml:space="preserve"> load impacts for each hour of each of the utilities’ CPP events called in 2017, and it develops </w:t>
      </w:r>
      <w:r w:rsidR="00132CE7">
        <w:rPr>
          <w:i/>
        </w:rPr>
        <w:t>ex-ante</w:t>
      </w:r>
      <w:r w:rsidR="00132CE7">
        <w:t xml:space="preserve"> load impact forecasts of the programs through 2028.</w:t>
      </w:r>
    </w:p>
    <w:p w14:paraId="6BCA80F4" w14:textId="77777777" w:rsidR="00132CE7" w:rsidRDefault="00132CE7" w:rsidP="00132CE7">
      <w:pPr>
        <w:pStyle w:val="BodyText"/>
        <w:rPr>
          <w:szCs w:val="24"/>
        </w:rPr>
      </w:pPr>
      <w:r w:rsidRPr="00AE5453">
        <w:rPr>
          <w:szCs w:val="24"/>
        </w:rPr>
        <w:t xml:space="preserve">California’s CPP programs provide participating customers with lower rates during non-CPP summer season hours and momentary higher rates during CPP periods when an event is called. These “dynamic” pricing rates are designed to encourage price-responsive demand reductions during the higher priced critical periods. Customers benefit financially from the longer periods of the lower rates for electricity consumed outside of the CPP periods. New customers on the program may also be eligible for bill protection for an initial period, such as 12 months, so that their energy costs on CPP do not exceed their pre-CPP costs while they learn how to respond. </w:t>
      </w:r>
    </w:p>
    <w:p w14:paraId="572742DB" w14:textId="3C774766" w:rsidR="00132CE7" w:rsidRDefault="00CF10BC" w:rsidP="00132CE7">
      <w:pPr>
        <w:pStyle w:val="BodyText"/>
        <w:rPr>
          <w:szCs w:val="24"/>
        </w:rPr>
      </w:pPr>
      <w:r>
        <w:t>The rates are similar at the three utilities, though they are referred to by different names (</w:t>
      </w:r>
      <w:r>
        <w:rPr>
          <w:i/>
        </w:rPr>
        <w:t>e.g.</w:t>
      </w:r>
      <w:r>
        <w:t xml:space="preserve">, Peak Day Pricing, or PDP, at PG&amp;E). </w:t>
      </w:r>
      <w:r w:rsidR="00132CE7" w:rsidRPr="00AE5453">
        <w:rPr>
          <w:szCs w:val="24"/>
        </w:rPr>
        <w:t xml:space="preserve">All CPP tariffs are designed for bundled service customers. Customers on the CPP tariffs offered by the Joint Utilities are also eligible to participate in </w:t>
      </w:r>
      <w:r w:rsidR="00132CE7">
        <w:rPr>
          <w:szCs w:val="24"/>
        </w:rPr>
        <w:t>Technical Assistance and Technology Incentives (</w:t>
      </w:r>
      <w:r w:rsidR="00132CE7" w:rsidRPr="00AE5453">
        <w:rPr>
          <w:szCs w:val="24"/>
        </w:rPr>
        <w:t>TA</w:t>
      </w:r>
      <w:r w:rsidR="00132CE7">
        <w:rPr>
          <w:szCs w:val="24"/>
        </w:rPr>
        <w:t>/</w:t>
      </w:r>
      <w:r w:rsidR="00132CE7" w:rsidRPr="00AE5453">
        <w:rPr>
          <w:szCs w:val="24"/>
        </w:rPr>
        <w:t>TI</w:t>
      </w:r>
      <w:r w:rsidR="00132CE7">
        <w:rPr>
          <w:szCs w:val="24"/>
        </w:rPr>
        <w:t>)</w:t>
      </w:r>
      <w:r w:rsidR="00132CE7" w:rsidRPr="00AE5453">
        <w:rPr>
          <w:szCs w:val="24"/>
        </w:rPr>
        <w:t xml:space="preserve"> and </w:t>
      </w:r>
      <w:r w:rsidR="00132CE7">
        <w:rPr>
          <w:szCs w:val="24"/>
        </w:rPr>
        <w:t>Automated Demand Response (</w:t>
      </w:r>
      <w:proofErr w:type="spellStart"/>
      <w:r w:rsidR="00132CE7" w:rsidRPr="00AE5453">
        <w:rPr>
          <w:szCs w:val="24"/>
        </w:rPr>
        <w:t>AutoDR</w:t>
      </w:r>
      <w:proofErr w:type="spellEnd"/>
      <w:r w:rsidR="00132CE7">
        <w:rPr>
          <w:szCs w:val="24"/>
        </w:rPr>
        <w:t>)</w:t>
      </w:r>
      <w:r w:rsidR="00132CE7" w:rsidRPr="00AE5453">
        <w:rPr>
          <w:szCs w:val="24"/>
        </w:rPr>
        <w:t xml:space="preserve"> programs. Various program provisions vary by utility, including the notification period for events, the specific hours when CPP events can be called, the number and duration of CPP events, and the minimum demand requirements for eligible customers.</w:t>
      </w:r>
    </w:p>
    <w:p w14:paraId="2F868498" w14:textId="057E80FB" w:rsidR="00132CE7" w:rsidRDefault="0039653F" w:rsidP="00132CE7">
      <w:pPr>
        <w:pStyle w:val="BodyText"/>
        <w:rPr>
          <w:szCs w:val="24"/>
        </w:rPr>
      </w:pPr>
      <w:r>
        <w:t>The three utilities began defaulting their large commercial and industrial customer accounts onto CPP rates in 2008 (SDG&amp;E) and 2010 (PG&amp;E and SCE).</w:t>
      </w:r>
      <w:r>
        <w:rPr>
          <w:rStyle w:val="FootnoteReference"/>
        </w:rPr>
        <w:footnoteReference w:id="1"/>
      </w:r>
      <w:r>
        <w:t xml:space="preserve"> The utilities have also begun defaulting (or plan to default) small and medium business (SMB) customers onto CPP rates. (SMB customers have been able to participate on a voluntary basis since 2014.) </w:t>
      </w:r>
      <w:r w:rsidR="00132CE7">
        <w:rPr>
          <w:szCs w:val="24"/>
        </w:rPr>
        <w:t xml:space="preserve">SCE’s medium and small customers are the last groups to be defaulted, which is scheduled for 2019. The table below summarizes the groups of customers included in the </w:t>
      </w:r>
      <w:r w:rsidR="00132CE7" w:rsidRPr="00AE5453">
        <w:rPr>
          <w:i/>
          <w:szCs w:val="24"/>
        </w:rPr>
        <w:t>ex-post</w:t>
      </w:r>
      <w:r w:rsidR="00132CE7">
        <w:rPr>
          <w:szCs w:val="24"/>
        </w:rPr>
        <w:t xml:space="preserve"> and </w:t>
      </w:r>
      <w:r w:rsidR="00132CE7" w:rsidRPr="00AE5453">
        <w:rPr>
          <w:i/>
          <w:szCs w:val="24"/>
        </w:rPr>
        <w:t>ex-ante</w:t>
      </w:r>
      <w:r w:rsidR="00132CE7">
        <w:rPr>
          <w:szCs w:val="24"/>
        </w:rPr>
        <w:t xml:space="preserve"> portions of this study. Note that the analysis of SDG&amp;E’s small CPP customers will be carried out in a different study.</w:t>
      </w:r>
    </w:p>
    <w:p w14:paraId="5699913C" w14:textId="77777777" w:rsidR="00132CE7" w:rsidRDefault="00132CE7" w:rsidP="00132CE7"/>
    <w:p w14:paraId="1E01BDB1" w14:textId="08924817" w:rsidR="00FD2C3B" w:rsidRDefault="00FD2C3B" w:rsidP="006A4925">
      <w:pPr>
        <w:pStyle w:val="TableCaption"/>
        <w:keepLines/>
      </w:pPr>
      <w:bookmarkStart w:id="52" w:name="_Toc509837354"/>
      <w:r>
        <w:t xml:space="preserve">Table </w:t>
      </w:r>
      <w:fldSimple w:instr=" STYLEREF 1 \s ">
        <w:r w:rsidR="005D5C7C">
          <w:rPr>
            <w:noProof/>
          </w:rPr>
          <w:t>1</w:t>
        </w:r>
      </w:fldSimple>
      <w:r w:rsidR="0069714C">
        <w:t>.</w:t>
      </w:r>
      <w:fldSimple w:instr=" SEQ Table \* ARABIC \s 1 ">
        <w:r w:rsidR="005D5C7C">
          <w:rPr>
            <w:noProof/>
          </w:rPr>
          <w:t>1</w:t>
        </w:r>
      </w:fldSimple>
      <w:r>
        <w:t xml:space="preserve">: </w:t>
      </w:r>
      <w:r w:rsidR="0039653F">
        <w:t>Analyses Included in the Study</w:t>
      </w:r>
      <w:bookmarkEnd w:id="52"/>
    </w:p>
    <w:tbl>
      <w:tblPr>
        <w:tblW w:w="0" w:type="auto"/>
        <w:jc w:val="center"/>
        <w:tblLook w:val="04A0" w:firstRow="1" w:lastRow="0" w:firstColumn="1" w:lastColumn="0" w:noHBand="0" w:noVBand="1"/>
      </w:tblPr>
      <w:tblGrid>
        <w:gridCol w:w="2239"/>
        <w:gridCol w:w="2006"/>
        <w:gridCol w:w="2006"/>
        <w:gridCol w:w="2006"/>
      </w:tblGrid>
      <w:tr w:rsidR="00132CE7" w14:paraId="05D4A3AB" w14:textId="77777777" w:rsidTr="005D41C6">
        <w:trPr>
          <w:trHeight w:val="431"/>
          <w:jc w:val="center"/>
        </w:trPr>
        <w:tc>
          <w:tcPr>
            <w:tcW w:w="0" w:type="auto"/>
            <w:tcBorders>
              <w:left w:val="single" w:sz="4" w:space="0" w:color="auto"/>
              <w:bottom w:val="single" w:sz="4" w:space="0" w:color="auto"/>
              <w:right w:val="single" w:sz="4" w:space="0" w:color="FFFFFF" w:themeColor="background1"/>
            </w:tcBorders>
            <w:shd w:val="clear" w:color="auto" w:fill="0C2577"/>
            <w:vAlign w:val="center"/>
          </w:tcPr>
          <w:p w14:paraId="5C6598B7" w14:textId="77777777" w:rsidR="00132CE7" w:rsidRPr="009D27F3" w:rsidRDefault="00132CE7" w:rsidP="006A4925">
            <w:pPr>
              <w:keepNext/>
              <w:keepLines/>
              <w:jc w:val="center"/>
              <w:rPr>
                <w:rFonts w:ascii="Arial" w:hAnsi="Arial" w:cs="Arial"/>
                <w:b/>
                <w:color w:val="FFFFFF" w:themeColor="background1"/>
                <w:sz w:val="20"/>
                <w:szCs w:val="20"/>
              </w:rPr>
            </w:pPr>
            <w:r w:rsidRPr="009D27F3">
              <w:rPr>
                <w:rFonts w:ascii="Arial" w:hAnsi="Arial" w:cs="Arial"/>
                <w:b/>
                <w:color w:val="FFFFFF" w:themeColor="background1"/>
                <w:sz w:val="20"/>
                <w:szCs w:val="20"/>
              </w:rPr>
              <w:t>Size Group</w:t>
            </w:r>
          </w:p>
        </w:tc>
        <w:tc>
          <w:tcPr>
            <w:tcW w:w="0" w:type="auto"/>
            <w:tcBorders>
              <w:left w:val="single" w:sz="4" w:space="0" w:color="FFFFFF" w:themeColor="background1"/>
              <w:bottom w:val="single" w:sz="4" w:space="0" w:color="auto"/>
              <w:right w:val="single" w:sz="4" w:space="0" w:color="FFFFFF" w:themeColor="background1"/>
            </w:tcBorders>
            <w:shd w:val="clear" w:color="auto" w:fill="0C2577"/>
            <w:vAlign w:val="center"/>
          </w:tcPr>
          <w:p w14:paraId="40A0903A" w14:textId="77777777" w:rsidR="00132CE7" w:rsidRPr="009D27F3" w:rsidRDefault="00132CE7" w:rsidP="006A4925">
            <w:pPr>
              <w:keepNext/>
              <w:keepLines/>
              <w:jc w:val="center"/>
              <w:rPr>
                <w:rFonts w:ascii="Arial" w:hAnsi="Arial" w:cs="Arial"/>
                <w:b/>
                <w:color w:val="FFFFFF" w:themeColor="background1"/>
                <w:sz w:val="20"/>
                <w:szCs w:val="20"/>
              </w:rPr>
            </w:pPr>
            <w:r w:rsidRPr="009D27F3">
              <w:rPr>
                <w:rFonts w:ascii="Arial" w:hAnsi="Arial" w:cs="Arial"/>
                <w:b/>
                <w:color w:val="FFFFFF" w:themeColor="background1"/>
                <w:sz w:val="20"/>
                <w:szCs w:val="20"/>
              </w:rPr>
              <w:t>PG&amp;E</w:t>
            </w:r>
          </w:p>
        </w:tc>
        <w:tc>
          <w:tcPr>
            <w:tcW w:w="0" w:type="auto"/>
            <w:tcBorders>
              <w:left w:val="single" w:sz="4" w:space="0" w:color="FFFFFF" w:themeColor="background1"/>
              <w:bottom w:val="single" w:sz="4" w:space="0" w:color="auto"/>
              <w:right w:val="single" w:sz="4" w:space="0" w:color="FFFFFF" w:themeColor="background1"/>
            </w:tcBorders>
            <w:shd w:val="clear" w:color="auto" w:fill="0C2577"/>
            <w:vAlign w:val="center"/>
          </w:tcPr>
          <w:p w14:paraId="6AC9E28D" w14:textId="77777777" w:rsidR="00132CE7" w:rsidRPr="009D27F3" w:rsidRDefault="00132CE7" w:rsidP="006A4925">
            <w:pPr>
              <w:keepNext/>
              <w:keepLines/>
              <w:jc w:val="center"/>
              <w:rPr>
                <w:rFonts w:ascii="Arial" w:hAnsi="Arial" w:cs="Arial"/>
                <w:b/>
                <w:color w:val="FFFFFF" w:themeColor="background1"/>
                <w:sz w:val="20"/>
                <w:szCs w:val="20"/>
              </w:rPr>
            </w:pPr>
            <w:r w:rsidRPr="009D27F3">
              <w:rPr>
                <w:rFonts w:ascii="Arial" w:hAnsi="Arial" w:cs="Arial"/>
                <w:b/>
                <w:color w:val="FFFFFF" w:themeColor="background1"/>
                <w:sz w:val="20"/>
                <w:szCs w:val="20"/>
              </w:rPr>
              <w:t>SCE</w:t>
            </w:r>
          </w:p>
        </w:tc>
        <w:tc>
          <w:tcPr>
            <w:tcW w:w="0" w:type="auto"/>
            <w:tcBorders>
              <w:left w:val="single" w:sz="4" w:space="0" w:color="FFFFFF" w:themeColor="background1"/>
              <w:bottom w:val="single" w:sz="4" w:space="0" w:color="auto"/>
            </w:tcBorders>
            <w:shd w:val="clear" w:color="auto" w:fill="0C2577"/>
            <w:vAlign w:val="center"/>
          </w:tcPr>
          <w:p w14:paraId="5E052120" w14:textId="77777777" w:rsidR="00132CE7" w:rsidRPr="009D27F3" w:rsidRDefault="00132CE7" w:rsidP="006A4925">
            <w:pPr>
              <w:keepNext/>
              <w:keepLines/>
              <w:jc w:val="center"/>
              <w:rPr>
                <w:rFonts w:ascii="Arial" w:hAnsi="Arial" w:cs="Arial"/>
                <w:b/>
                <w:color w:val="FFFFFF" w:themeColor="background1"/>
                <w:sz w:val="20"/>
                <w:szCs w:val="20"/>
              </w:rPr>
            </w:pPr>
            <w:r w:rsidRPr="009D27F3">
              <w:rPr>
                <w:rFonts w:ascii="Arial" w:hAnsi="Arial" w:cs="Arial"/>
                <w:b/>
                <w:color w:val="FFFFFF" w:themeColor="background1"/>
                <w:sz w:val="20"/>
                <w:szCs w:val="20"/>
              </w:rPr>
              <w:t>SDG&amp;E</w:t>
            </w:r>
          </w:p>
        </w:tc>
      </w:tr>
      <w:tr w:rsidR="00132CE7" w14:paraId="14CBEFAE" w14:textId="77777777" w:rsidTr="00546AA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9977ED5" w14:textId="77777777" w:rsidR="00132CE7" w:rsidRPr="009D27F3" w:rsidRDefault="00132CE7" w:rsidP="006A4925">
            <w:pPr>
              <w:keepNext/>
              <w:keepLines/>
              <w:rPr>
                <w:rFonts w:ascii="Arial" w:hAnsi="Arial" w:cs="Arial"/>
                <w:sz w:val="20"/>
                <w:szCs w:val="20"/>
              </w:rPr>
            </w:pPr>
            <w:r w:rsidRPr="009D27F3">
              <w:rPr>
                <w:rFonts w:ascii="Arial" w:hAnsi="Arial" w:cs="Arial"/>
                <w:sz w:val="20"/>
                <w:szCs w:val="20"/>
              </w:rPr>
              <w:t>Large (Over 200kW)</w:t>
            </w:r>
          </w:p>
        </w:tc>
        <w:tc>
          <w:tcPr>
            <w:tcW w:w="0" w:type="auto"/>
            <w:tcBorders>
              <w:top w:val="single" w:sz="4" w:space="0" w:color="auto"/>
              <w:left w:val="single" w:sz="4" w:space="0" w:color="auto"/>
              <w:bottom w:val="single" w:sz="4" w:space="0" w:color="auto"/>
              <w:right w:val="single" w:sz="4" w:space="0" w:color="auto"/>
            </w:tcBorders>
            <w:vAlign w:val="center"/>
          </w:tcPr>
          <w:p w14:paraId="53E9958F"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Ex-post</w:t>
            </w:r>
            <w:r w:rsidRPr="009D27F3">
              <w:rPr>
                <w:rFonts w:ascii="Arial" w:hAnsi="Arial" w:cs="Arial"/>
                <w:sz w:val="20"/>
                <w:szCs w:val="20"/>
              </w:rPr>
              <w:t xml:space="preserve"> and </w:t>
            </w:r>
            <w:r w:rsidRPr="009D27F3">
              <w:rPr>
                <w:rFonts w:ascii="Arial" w:hAnsi="Arial" w:cs="Arial"/>
                <w:i/>
                <w:sz w:val="20"/>
                <w:szCs w:val="20"/>
              </w:rPr>
              <w:t>ex-ante</w:t>
            </w:r>
          </w:p>
        </w:tc>
        <w:tc>
          <w:tcPr>
            <w:tcW w:w="0" w:type="auto"/>
            <w:tcBorders>
              <w:top w:val="single" w:sz="4" w:space="0" w:color="auto"/>
              <w:left w:val="single" w:sz="4" w:space="0" w:color="auto"/>
              <w:bottom w:val="single" w:sz="4" w:space="0" w:color="auto"/>
              <w:right w:val="single" w:sz="4" w:space="0" w:color="auto"/>
            </w:tcBorders>
            <w:vAlign w:val="center"/>
          </w:tcPr>
          <w:p w14:paraId="431B632B"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Ex-post</w:t>
            </w:r>
            <w:r w:rsidRPr="009D27F3">
              <w:rPr>
                <w:rFonts w:ascii="Arial" w:hAnsi="Arial" w:cs="Arial"/>
                <w:sz w:val="20"/>
                <w:szCs w:val="20"/>
              </w:rPr>
              <w:t xml:space="preserve"> and </w:t>
            </w:r>
            <w:r w:rsidRPr="009D27F3">
              <w:rPr>
                <w:rFonts w:ascii="Arial" w:hAnsi="Arial" w:cs="Arial"/>
                <w:i/>
                <w:sz w:val="20"/>
                <w:szCs w:val="20"/>
              </w:rPr>
              <w:t>ex-ante</w:t>
            </w:r>
          </w:p>
        </w:tc>
        <w:tc>
          <w:tcPr>
            <w:tcW w:w="0" w:type="auto"/>
            <w:tcBorders>
              <w:top w:val="single" w:sz="4" w:space="0" w:color="auto"/>
              <w:left w:val="single" w:sz="4" w:space="0" w:color="auto"/>
              <w:bottom w:val="single" w:sz="4" w:space="0" w:color="auto"/>
              <w:right w:val="single" w:sz="4" w:space="0" w:color="auto"/>
            </w:tcBorders>
            <w:vAlign w:val="center"/>
          </w:tcPr>
          <w:p w14:paraId="0CB848C2"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Ex-post</w:t>
            </w:r>
            <w:r w:rsidRPr="009D27F3">
              <w:rPr>
                <w:rFonts w:ascii="Arial" w:hAnsi="Arial" w:cs="Arial"/>
                <w:sz w:val="20"/>
                <w:szCs w:val="20"/>
              </w:rPr>
              <w:t xml:space="preserve"> and </w:t>
            </w:r>
            <w:r w:rsidRPr="009D27F3">
              <w:rPr>
                <w:rFonts w:ascii="Arial" w:hAnsi="Arial" w:cs="Arial"/>
                <w:i/>
                <w:sz w:val="20"/>
                <w:szCs w:val="20"/>
              </w:rPr>
              <w:t>ex-ante</w:t>
            </w:r>
          </w:p>
        </w:tc>
      </w:tr>
      <w:tr w:rsidR="00132CE7" w14:paraId="11F152B1" w14:textId="77777777" w:rsidTr="00546AA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6EB69856" w14:textId="77777777" w:rsidR="00132CE7" w:rsidRPr="009D27F3" w:rsidRDefault="00132CE7" w:rsidP="006A4925">
            <w:pPr>
              <w:keepNext/>
              <w:keepLines/>
              <w:rPr>
                <w:rFonts w:ascii="Arial" w:hAnsi="Arial" w:cs="Arial"/>
                <w:sz w:val="20"/>
                <w:szCs w:val="20"/>
              </w:rPr>
            </w:pPr>
            <w:r w:rsidRPr="009D27F3">
              <w:rPr>
                <w:rFonts w:ascii="Arial" w:hAnsi="Arial" w:cs="Arial"/>
                <w:sz w:val="20"/>
                <w:szCs w:val="20"/>
              </w:rPr>
              <w:t>Medium (20 to 199kW)</w:t>
            </w:r>
          </w:p>
        </w:tc>
        <w:tc>
          <w:tcPr>
            <w:tcW w:w="0" w:type="auto"/>
            <w:tcBorders>
              <w:top w:val="single" w:sz="4" w:space="0" w:color="auto"/>
              <w:left w:val="single" w:sz="4" w:space="0" w:color="auto"/>
              <w:bottom w:val="single" w:sz="4" w:space="0" w:color="auto"/>
              <w:right w:val="single" w:sz="4" w:space="0" w:color="auto"/>
            </w:tcBorders>
            <w:vAlign w:val="center"/>
          </w:tcPr>
          <w:p w14:paraId="6DFF08EF"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Ex-post</w:t>
            </w:r>
            <w:r w:rsidRPr="009D27F3">
              <w:rPr>
                <w:rFonts w:ascii="Arial" w:hAnsi="Arial" w:cs="Arial"/>
                <w:sz w:val="20"/>
                <w:szCs w:val="20"/>
              </w:rPr>
              <w:t xml:space="preserve"> and </w:t>
            </w:r>
            <w:r w:rsidRPr="009D27F3">
              <w:rPr>
                <w:rFonts w:ascii="Arial" w:hAnsi="Arial" w:cs="Arial"/>
                <w:i/>
                <w:sz w:val="20"/>
                <w:szCs w:val="20"/>
              </w:rPr>
              <w:t>ex-ante</w:t>
            </w:r>
          </w:p>
        </w:tc>
        <w:tc>
          <w:tcPr>
            <w:tcW w:w="0" w:type="auto"/>
            <w:tcBorders>
              <w:top w:val="single" w:sz="4" w:space="0" w:color="auto"/>
              <w:left w:val="single" w:sz="4" w:space="0" w:color="auto"/>
              <w:bottom w:val="single" w:sz="4" w:space="0" w:color="auto"/>
              <w:right w:val="single" w:sz="4" w:space="0" w:color="auto"/>
            </w:tcBorders>
            <w:vAlign w:val="center"/>
          </w:tcPr>
          <w:p w14:paraId="6C06B607" w14:textId="77777777" w:rsidR="00132CE7" w:rsidRPr="009D27F3" w:rsidRDefault="00132CE7" w:rsidP="006A4925">
            <w:pPr>
              <w:keepNext/>
              <w:keepLines/>
              <w:jc w:val="center"/>
              <w:rPr>
                <w:rFonts w:ascii="Arial" w:hAnsi="Arial" w:cs="Arial"/>
                <w:i/>
                <w:sz w:val="20"/>
                <w:szCs w:val="20"/>
              </w:rPr>
            </w:pPr>
            <w:r w:rsidRPr="009D27F3">
              <w:rPr>
                <w:rFonts w:ascii="Arial" w:hAnsi="Arial" w:cs="Arial"/>
                <w:i/>
                <w:sz w:val="20"/>
                <w:szCs w:val="20"/>
              </w:rPr>
              <w:t>Ex-ante only</w:t>
            </w:r>
          </w:p>
        </w:tc>
        <w:tc>
          <w:tcPr>
            <w:tcW w:w="0" w:type="auto"/>
            <w:tcBorders>
              <w:top w:val="single" w:sz="4" w:space="0" w:color="auto"/>
              <w:left w:val="single" w:sz="4" w:space="0" w:color="auto"/>
              <w:bottom w:val="single" w:sz="4" w:space="0" w:color="auto"/>
              <w:right w:val="single" w:sz="4" w:space="0" w:color="auto"/>
            </w:tcBorders>
            <w:vAlign w:val="center"/>
          </w:tcPr>
          <w:p w14:paraId="58821876"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Ex-post</w:t>
            </w:r>
            <w:r w:rsidRPr="009D27F3">
              <w:rPr>
                <w:rFonts w:ascii="Arial" w:hAnsi="Arial" w:cs="Arial"/>
                <w:sz w:val="20"/>
                <w:szCs w:val="20"/>
              </w:rPr>
              <w:t xml:space="preserve"> and </w:t>
            </w:r>
            <w:r w:rsidRPr="009D27F3">
              <w:rPr>
                <w:rFonts w:ascii="Arial" w:hAnsi="Arial" w:cs="Arial"/>
                <w:i/>
                <w:sz w:val="20"/>
                <w:szCs w:val="20"/>
              </w:rPr>
              <w:t>ex-ante</w:t>
            </w:r>
          </w:p>
        </w:tc>
      </w:tr>
      <w:tr w:rsidR="00132CE7" w14:paraId="6364EC01" w14:textId="77777777" w:rsidTr="00546AA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1FE1263" w14:textId="77777777" w:rsidR="00132CE7" w:rsidRPr="009D27F3" w:rsidRDefault="00132CE7" w:rsidP="006A4925">
            <w:pPr>
              <w:keepNext/>
              <w:keepLines/>
              <w:rPr>
                <w:rFonts w:ascii="Arial" w:hAnsi="Arial" w:cs="Arial"/>
                <w:sz w:val="20"/>
                <w:szCs w:val="20"/>
              </w:rPr>
            </w:pPr>
            <w:r w:rsidRPr="009D27F3">
              <w:rPr>
                <w:rFonts w:ascii="Arial" w:hAnsi="Arial" w:cs="Arial"/>
                <w:sz w:val="20"/>
                <w:szCs w:val="20"/>
              </w:rPr>
              <w:t>Small (Under 20kW)</w:t>
            </w:r>
          </w:p>
        </w:tc>
        <w:tc>
          <w:tcPr>
            <w:tcW w:w="0" w:type="auto"/>
            <w:tcBorders>
              <w:top w:val="single" w:sz="4" w:space="0" w:color="auto"/>
              <w:left w:val="single" w:sz="4" w:space="0" w:color="auto"/>
              <w:bottom w:val="single" w:sz="4" w:space="0" w:color="auto"/>
              <w:right w:val="single" w:sz="4" w:space="0" w:color="auto"/>
            </w:tcBorders>
            <w:vAlign w:val="center"/>
          </w:tcPr>
          <w:p w14:paraId="3B1441BF"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Ex-post</w:t>
            </w:r>
            <w:r w:rsidRPr="009D27F3">
              <w:rPr>
                <w:rFonts w:ascii="Arial" w:hAnsi="Arial" w:cs="Arial"/>
                <w:sz w:val="20"/>
                <w:szCs w:val="20"/>
              </w:rPr>
              <w:t xml:space="preserve"> and </w:t>
            </w:r>
            <w:r w:rsidRPr="009D27F3">
              <w:rPr>
                <w:rFonts w:ascii="Arial" w:hAnsi="Arial" w:cs="Arial"/>
                <w:i/>
                <w:sz w:val="20"/>
                <w:szCs w:val="20"/>
              </w:rPr>
              <w:t>ex-ante</w:t>
            </w:r>
          </w:p>
        </w:tc>
        <w:tc>
          <w:tcPr>
            <w:tcW w:w="0" w:type="auto"/>
            <w:tcBorders>
              <w:top w:val="single" w:sz="4" w:space="0" w:color="auto"/>
              <w:left w:val="single" w:sz="4" w:space="0" w:color="auto"/>
              <w:bottom w:val="single" w:sz="4" w:space="0" w:color="auto"/>
              <w:right w:val="single" w:sz="4" w:space="0" w:color="auto"/>
            </w:tcBorders>
            <w:vAlign w:val="center"/>
          </w:tcPr>
          <w:p w14:paraId="132B17E1" w14:textId="77777777" w:rsidR="00132CE7" w:rsidRPr="009D27F3" w:rsidRDefault="00132CE7" w:rsidP="006A4925">
            <w:pPr>
              <w:keepNext/>
              <w:keepLines/>
              <w:jc w:val="center"/>
              <w:rPr>
                <w:rFonts w:ascii="Arial" w:hAnsi="Arial" w:cs="Arial"/>
                <w:sz w:val="20"/>
                <w:szCs w:val="20"/>
              </w:rPr>
            </w:pPr>
            <w:r w:rsidRPr="009D27F3">
              <w:rPr>
                <w:rFonts w:ascii="Arial" w:hAnsi="Arial" w:cs="Arial"/>
                <w:i/>
                <w:sz w:val="20"/>
                <w:szCs w:val="20"/>
              </w:rPr>
              <w:t>Ex-ante only</w:t>
            </w:r>
          </w:p>
        </w:tc>
        <w:tc>
          <w:tcPr>
            <w:tcW w:w="0" w:type="auto"/>
            <w:tcBorders>
              <w:top w:val="single" w:sz="4" w:space="0" w:color="auto"/>
              <w:left w:val="single" w:sz="4" w:space="0" w:color="auto"/>
              <w:bottom w:val="single" w:sz="4" w:space="0" w:color="auto"/>
              <w:right w:val="single" w:sz="4" w:space="0" w:color="auto"/>
            </w:tcBorders>
            <w:vAlign w:val="center"/>
          </w:tcPr>
          <w:p w14:paraId="773FBDE5" w14:textId="77777777" w:rsidR="00132CE7" w:rsidRPr="009D27F3" w:rsidRDefault="00132CE7" w:rsidP="006A4925">
            <w:pPr>
              <w:keepNext/>
              <w:keepLines/>
              <w:jc w:val="center"/>
              <w:rPr>
                <w:rFonts w:ascii="Arial" w:hAnsi="Arial" w:cs="Arial"/>
                <w:sz w:val="20"/>
                <w:szCs w:val="20"/>
              </w:rPr>
            </w:pPr>
            <w:r w:rsidRPr="009D27F3">
              <w:rPr>
                <w:rFonts w:ascii="Arial" w:hAnsi="Arial" w:cs="Arial"/>
                <w:sz w:val="20"/>
                <w:szCs w:val="20"/>
              </w:rPr>
              <w:t>Excluded</w:t>
            </w:r>
          </w:p>
        </w:tc>
      </w:tr>
    </w:tbl>
    <w:p w14:paraId="31BEDF45" w14:textId="77777777" w:rsidR="00132CE7" w:rsidRDefault="00132CE7" w:rsidP="00132CE7"/>
    <w:p w14:paraId="02882C0B" w14:textId="77777777" w:rsidR="00132CE7" w:rsidRDefault="00132CE7" w:rsidP="00132CE7">
      <w:r>
        <w:lastRenderedPageBreak/>
        <w:t xml:space="preserve">The CPP event hours and number of allowed events </w:t>
      </w:r>
      <w:proofErr w:type="gramStart"/>
      <w:r>
        <w:t>vary</w:t>
      </w:r>
      <w:proofErr w:type="gramEnd"/>
      <w:r>
        <w:t xml:space="preserve"> across utilities, as shown in the table below. SDG&amp;E’s program will change beginning in December 2017, with the event period shortened to match that of the other utilities (2 to 6 p.m.).</w:t>
      </w:r>
    </w:p>
    <w:p w14:paraId="3D0E4A88" w14:textId="77777777" w:rsidR="00132CE7" w:rsidRDefault="00132CE7" w:rsidP="00132CE7"/>
    <w:p w14:paraId="64599D7B" w14:textId="0B69677C" w:rsidR="00FD2C3B" w:rsidRDefault="00FD2C3B" w:rsidP="00FD2C3B">
      <w:pPr>
        <w:pStyle w:val="TableCaption"/>
      </w:pPr>
      <w:bookmarkStart w:id="53" w:name="_Toc509837355"/>
      <w:r>
        <w:t xml:space="preserve">Table </w:t>
      </w:r>
      <w:fldSimple w:instr=" STYLEREF 1 \s ">
        <w:r w:rsidR="005D5C7C">
          <w:rPr>
            <w:noProof/>
          </w:rPr>
          <w:t>1</w:t>
        </w:r>
      </w:fldSimple>
      <w:r w:rsidR="0069714C">
        <w:t>.</w:t>
      </w:r>
      <w:fldSimple w:instr=" SEQ Table \* ARABIC \s 1 ">
        <w:r w:rsidR="005D5C7C">
          <w:rPr>
            <w:noProof/>
          </w:rPr>
          <w:t>2</w:t>
        </w:r>
      </w:fldSimple>
      <w:r w:rsidR="0039653F">
        <w:rPr>
          <w:noProof/>
        </w:rPr>
        <w:t>: Event Hours and Allowed Number of Events by Utility</w:t>
      </w:r>
      <w:bookmarkEnd w:id="53"/>
    </w:p>
    <w:tbl>
      <w:tblPr>
        <w:tblW w:w="0" w:type="auto"/>
        <w:jc w:val="center"/>
        <w:tblLook w:val="04A0" w:firstRow="1" w:lastRow="0" w:firstColumn="1" w:lastColumn="0" w:noHBand="0" w:noVBand="1"/>
      </w:tblPr>
      <w:tblGrid>
        <w:gridCol w:w="2429"/>
        <w:gridCol w:w="1161"/>
        <w:gridCol w:w="1161"/>
        <w:gridCol w:w="3129"/>
      </w:tblGrid>
      <w:tr w:rsidR="00132CE7" w14:paraId="65D5F7EE" w14:textId="77777777" w:rsidTr="005D41C6">
        <w:trPr>
          <w:trHeight w:val="431"/>
          <w:jc w:val="center"/>
        </w:trPr>
        <w:tc>
          <w:tcPr>
            <w:tcW w:w="0" w:type="auto"/>
            <w:tcBorders>
              <w:left w:val="single" w:sz="4" w:space="0" w:color="auto"/>
              <w:bottom w:val="single" w:sz="4" w:space="0" w:color="auto"/>
              <w:right w:val="single" w:sz="4" w:space="0" w:color="FFFFFF" w:themeColor="background1"/>
            </w:tcBorders>
            <w:shd w:val="clear" w:color="auto" w:fill="0C2577"/>
            <w:vAlign w:val="center"/>
          </w:tcPr>
          <w:p w14:paraId="684E2783" w14:textId="77777777" w:rsidR="00132CE7" w:rsidRPr="00FD2C3B" w:rsidRDefault="00132CE7" w:rsidP="000755D3">
            <w:pPr>
              <w:keepNext/>
              <w:keepLines/>
              <w:rPr>
                <w:rFonts w:ascii="Arial" w:hAnsi="Arial" w:cs="Arial"/>
                <w:b/>
                <w:color w:val="FFFFFF" w:themeColor="background1"/>
                <w:sz w:val="20"/>
                <w:szCs w:val="20"/>
              </w:rPr>
            </w:pPr>
            <w:r w:rsidRPr="00FD2C3B">
              <w:rPr>
                <w:rFonts w:ascii="Arial" w:hAnsi="Arial" w:cs="Arial"/>
                <w:b/>
                <w:color w:val="FFFFFF" w:themeColor="background1"/>
                <w:sz w:val="20"/>
                <w:szCs w:val="20"/>
              </w:rPr>
              <w:t>Program Characteristic</w:t>
            </w:r>
          </w:p>
        </w:tc>
        <w:tc>
          <w:tcPr>
            <w:tcW w:w="0" w:type="auto"/>
            <w:tcBorders>
              <w:left w:val="single" w:sz="4" w:space="0" w:color="FFFFFF" w:themeColor="background1"/>
              <w:bottom w:val="single" w:sz="4" w:space="0" w:color="auto"/>
              <w:right w:val="single" w:sz="4" w:space="0" w:color="FFFFFF" w:themeColor="background1"/>
            </w:tcBorders>
            <w:shd w:val="clear" w:color="auto" w:fill="0C2577"/>
            <w:vAlign w:val="center"/>
          </w:tcPr>
          <w:p w14:paraId="194EB0D9" w14:textId="77777777" w:rsidR="00132CE7" w:rsidRPr="00FD2C3B" w:rsidRDefault="00132CE7" w:rsidP="000755D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PG&amp;E</w:t>
            </w:r>
          </w:p>
        </w:tc>
        <w:tc>
          <w:tcPr>
            <w:tcW w:w="0" w:type="auto"/>
            <w:tcBorders>
              <w:left w:val="single" w:sz="4" w:space="0" w:color="FFFFFF" w:themeColor="background1"/>
              <w:bottom w:val="single" w:sz="4" w:space="0" w:color="auto"/>
              <w:right w:val="single" w:sz="4" w:space="0" w:color="FFFFFF" w:themeColor="background1"/>
            </w:tcBorders>
            <w:shd w:val="clear" w:color="auto" w:fill="0C2577"/>
            <w:vAlign w:val="center"/>
          </w:tcPr>
          <w:p w14:paraId="7AE329A7" w14:textId="77777777" w:rsidR="00132CE7" w:rsidRPr="00FD2C3B" w:rsidRDefault="00132CE7" w:rsidP="000755D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SCE</w:t>
            </w:r>
          </w:p>
        </w:tc>
        <w:tc>
          <w:tcPr>
            <w:tcW w:w="0" w:type="auto"/>
            <w:tcBorders>
              <w:left w:val="single" w:sz="4" w:space="0" w:color="FFFFFF" w:themeColor="background1"/>
              <w:bottom w:val="single" w:sz="4" w:space="0" w:color="auto"/>
            </w:tcBorders>
            <w:shd w:val="clear" w:color="auto" w:fill="0C2577"/>
            <w:vAlign w:val="center"/>
          </w:tcPr>
          <w:p w14:paraId="77C1EE0A" w14:textId="77777777" w:rsidR="00132CE7" w:rsidRPr="00FD2C3B" w:rsidRDefault="00132CE7" w:rsidP="000755D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SDG&amp;E</w:t>
            </w:r>
          </w:p>
        </w:tc>
      </w:tr>
      <w:tr w:rsidR="00132CE7" w14:paraId="744F315F" w14:textId="77777777" w:rsidTr="00546AA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5C9560DE" w14:textId="77777777" w:rsidR="00132CE7" w:rsidRPr="00FD2C3B" w:rsidRDefault="00132CE7" w:rsidP="000755D3">
            <w:pPr>
              <w:keepNext/>
              <w:keepLines/>
              <w:rPr>
                <w:rFonts w:ascii="Arial" w:hAnsi="Arial" w:cs="Arial"/>
                <w:sz w:val="20"/>
                <w:szCs w:val="20"/>
              </w:rPr>
            </w:pPr>
            <w:r w:rsidRPr="00FD2C3B">
              <w:rPr>
                <w:rFonts w:ascii="Arial" w:hAnsi="Arial" w:cs="Arial"/>
                <w:sz w:val="20"/>
                <w:szCs w:val="20"/>
              </w:rPr>
              <w:t>Event hours</w:t>
            </w:r>
          </w:p>
        </w:tc>
        <w:tc>
          <w:tcPr>
            <w:tcW w:w="0" w:type="auto"/>
            <w:tcBorders>
              <w:top w:val="single" w:sz="4" w:space="0" w:color="auto"/>
              <w:left w:val="single" w:sz="4" w:space="0" w:color="auto"/>
              <w:bottom w:val="single" w:sz="4" w:space="0" w:color="auto"/>
              <w:right w:val="single" w:sz="4" w:space="0" w:color="auto"/>
            </w:tcBorders>
            <w:vAlign w:val="center"/>
          </w:tcPr>
          <w:p w14:paraId="69B204B4"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2 to 6 p.m.</w:t>
            </w:r>
          </w:p>
        </w:tc>
        <w:tc>
          <w:tcPr>
            <w:tcW w:w="0" w:type="auto"/>
            <w:tcBorders>
              <w:top w:val="single" w:sz="4" w:space="0" w:color="auto"/>
              <w:left w:val="single" w:sz="4" w:space="0" w:color="auto"/>
              <w:bottom w:val="single" w:sz="4" w:space="0" w:color="auto"/>
              <w:right w:val="single" w:sz="4" w:space="0" w:color="auto"/>
            </w:tcBorders>
            <w:vAlign w:val="center"/>
          </w:tcPr>
          <w:p w14:paraId="6D6B6858"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2 to 6 p.m.</w:t>
            </w:r>
          </w:p>
        </w:tc>
        <w:tc>
          <w:tcPr>
            <w:tcW w:w="0" w:type="auto"/>
            <w:tcBorders>
              <w:top w:val="single" w:sz="4" w:space="0" w:color="auto"/>
              <w:left w:val="single" w:sz="4" w:space="0" w:color="auto"/>
              <w:bottom w:val="single" w:sz="4" w:space="0" w:color="auto"/>
              <w:right w:val="single" w:sz="4" w:space="0" w:color="auto"/>
            </w:tcBorders>
            <w:vAlign w:val="center"/>
          </w:tcPr>
          <w:p w14:paraId="4C8EFAF1"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Historical: 11 a.m. to 6 p.m.</w:t>
            </w:r>
          </w:p>
          <w:p w14:paraId="243DDCE0"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Beginning Dec. 2017: 2 to 6 p.m.</w:t>
            </w:r>
          </w:p>
        </w:tc>
      </w:tr>
      <w:tr w:rsidR="00132CE7" w14:paraId="3ED06B60" w14:textId="77777777" w:rsidTr="00546AA7">
        <w:trPr>
          <w:trHeight w:val="59"/>
          <w:jc w:val="center"/>
        </w:trPr>
        <w:tc>
          <w:tcPr>
            <w:tcW w:w="0" w:type="auto"/>
            <w:tcBorders>
              <w:top w:val="single" w:sz="4" w:space="0" w:color="auto"/>
              <w:left w:val="single" w:sz="4" w:space="0" w:color="auto"/>
              <w:bottom w:val="single" w:sz="4" w:space="0" w:color="auto"/>
              <w:right w:val="single" w:sz="4" w:space="0" w:color="auto"/>
            </w:tcBorders>
            <w:vAlign w:val="center"/>
          </w:tcPr>
          <w:p w14:paraId="1D260BF7" w14:textId="77777777" w:rsidR="00132CE7" w:rsidRPr="00FD2C3B" w:rsidRDefault="00132CE7" w:rsidP="000755D3">
            <w:pPr>
              <w:keepNext/>
              <w:keepLines/>
              <w:rPr>
                <w:rFonts w:ascii="Arial" w:hAnsi="Arial" w:cs="Arial"/>
                <w:sz w:val="20"/>
                <w:szCs w:val="20"/>
              </w:rPr>
            </w:pPr>
            <w:r w:rsidRPr="00FD2C3B">
              <w:rPr>
                <w:rFonts w:ascii="Arial" w:hAnsi="Arial" w:cs="Arial"/>
                <w:sz w:val="20"/>
                <w:szCs w:val="20"/>
              </w:rPr>
              <w:t>Events / year</w:t>
            </w:r>
          </w:p>
        </w:tc>
        <w:tc>
          <w:tcPr>
            <w:tcW w:w="0" w:type="auto"/>
            <w:tcBorders>
              <w:top w:val="single" w:sz="4" w:space="0" w:color="auto"/>
              <w:left w:val="single" w:sz="4" w:space="0" w:color="auto"/>
              <w:bottom w:val="single" w:sz="4" w:space="0" w:color="auto"/>
              <w:right w:val="single" w:sz="4" w:space="0" w:color="auto"/>
            </w:tcBorders>
            <w:vAlign w:val="center"/>
          </w:tcPr>
          <w:p w14:paraId="57A5BF59"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9 to 15</w:t>
            </w:r>
          </w:p>
        </w:tc>
        <w:tc>
          <w:tcPr>
            <w:tcW w:w="0" w:type="auto"/>
            <w:tcBorders>
              <w:top w:val="single" w:sz="4" w:space="0" w:color="auto"/>
              <w:left w:val="single" w:sz="4" w:space="0" w:color="auto"/>
              <w:bottom w:val="single" w:sz="4" w:space="0" w:color="auto"/>
              <w:right w:val="single" w:sz="4" w:space="0" w:color="auto"/>
            </w:tcBorders>
            <w:vAlign w:val="center"/>
          </w:tcPr>
          <w:p w14:paraId="0CAA9127"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12</w:t>
            </w:r>
          </w:p>
        </w:tc>
        <w:tc>
          <w:tcPr>
            <w:tcW w:w="0" w:type="auto"/>
            <w:tcBorders>
              <w:top w:val="single" w:sz="4" w:space="0" w:color="auto"/>
              <w:left w:val="single" w:sz="4" w:space="0" w:color="auto"/>
              <w:bottom w:val="single" w:sz="4" w:space="0" w:color="auto"/>
              <w:right w:val="single" w:sz="4" w:space="0" w:color="auto"/>
            </w:tcBorders>
            <w:vAlign w:val="center"/>
          </w:tcPr>
          <w:p w14:paraId="068F3427" w14:textId="77777777" w:rsidR="00132CE7" w:rsidRPr="00FD2C3B" w:rsidRDefault="00132CE7" w:rsidP="000755D3">
            <w:pPr>
              <w:keepNext/>
              <w:keepLines/>
              <w:jc w:val="center"/>
              <w:rPr>
                <w:rFonts w:ascii="Arial" w:hAnsi="Arial" w:cs="Arial"/>
                <w:sz w:val="20"/>
                <w:szCs w:val="20"/>
              </w:rPr>
            </w:pPr>
            <w:r w:rsidRPr="00FD2C3B">
              <w:rPr>
                <w:rFonts w:ascii="Arial" w:hAnsi="Arial" w:cs="Arial"/>
                <w:sz w:val="20"/>
                <w:szCs w:val="20"/>
              </w:rPr>
              <w:t>Maximum of 18</w:t>
            </w:r>
          </w:p>
        </w:tc>
      </w:tr>
    </w:tbl>
    <w:p w14:paraId="5CB405FC" w14:textId="77777777" w:rsidR="00132CE7" w:rsidRDefault="00132CE7" w:rsidP="00132CE7"/>
    <w:p w14:paraId="55CD5377" w14:textId="1DBE4EA6" w:rsidR="00CE28FA" w:rsidRDefault="00CF10BC" w:rsidP="00E84DD2">
      <w:pPr>
        <w:pStyle w:val="BodyText"/>
      </w:pPr>
      <w:r>
        <w:t>Newly enrolled customers receive bill protection for the first 12 months. Most of the largest customers at all three utilities have the option of reserving a level of generation capacity (a capacity reservation level, or CRL) to protect a portion of their load on CPP event days.</w:t>
      </w:r>
    </w:p>
    <w:p w14:paraId="3008B185" w14:textId="319CDB49" w:rsidR="00CE28FA" w:rsidRPr="005C61C2" w:rsidRDefault="005C61C2" w:rsidP="005C61C2">
      <w:pPr>
        <w:pStyle w:val="Heading2"/>
        <w:spacing w:after="120"/>
        <w:rPr>
          <w:rFonts w:ascii="Calibri" w:hAnsi="Calibri"/>
          <w:sz w:val="24"/>
          <w:szCs w:val="32"/>
        </w:rPr>
      </w:pPr>
      <w:bookmarkStart w:id="54" w:name="_Toc491436934"/>
      <w:bookmarkStart w:id="55" w:name="_Toc326154171"/>
      <w:bookmarkStart w:id="56" w:name="_Toc326148601"/>
      <w:bookmarkStart w:id="57" w:name="_Ref506975021"/>
      <w:bookmarkStart w:id="58" w:name="_Ref506975036"/>
      <w:bookmarkStart w:id="59" w:name="_Toc509837302"/>
      <w:r>
        <w:t>Project Goals</w:t>
      </w:r>
      <w:bookmarkEnd w:id="54"/>
      <w:bookmarkEnd w:id="55"/>
      <w:bookmarkEnd w:id="56"/>
      <w:bookmarkEnd w:id="57"/>
      <w:bookmarkEnd w:id="58"/>
      <w:bookmarkEnd w:id="59"/>
    </w:p>
    <w:p w14:paraId="588F195A" w14:textId="77777777" w:rsidR="00CE28FA" w:rsidRDefault="00CE28FA" w:rsidP="00E84DD2">
      <w:pPr>
        <w:spacing w:after="120"/>
      </w:pPr>
      <w:r>
        <w:t>The primary goals of the evaluation include:</w:t>
      </w:r>
    </w:p>
    <w:p w14:paraId="04CC69F7" w14:textId="61889F15" w:rsidR="00CE28FA" w:rsidRDefault="00CE28FA" w:rsidP="00E84DD2">
      <w:pPr>
        <w:numPr>
          <w:ilvl w:val="0"/>
          <w:numId w:val="37"/>
        </w:numPr>
        <w:spacing w:after="120"/>
      </w:pPr>
      <w:r>
        <w:t xml:space="preserve">Estimate hourly </w:t>
      </w:r>
      <w:r>
        <w:rPr>
          <w:i/>
        </w:rPr>
        <w:t>ex-post</w:t>
      </w:r>
      <w:r>
        <w:t xml:space="preserve"> load impacts of the CPP rates for each of the Joint Utilities in 2017;</w:t>
      </w:r>
    </w:p>
    <w:p w14:paraId="3109DB29" w14:textId="0D6969B8" w:rsidR="00CE28FA" w:rsidRDefault="00CE28FA" w:rsidP="00E84DD2">
      <w:pPr>
        <w:keepNext/>
        <w:keepLines/>
        <w:numPr>
          <w:ilvl w:val="0"/>
          <w:numId w:val="37"/>
        </w:numPr>
        <w:spacing w:after="120"/>
      </w:pPr>
      <w:r>
        <w:t xml:space="preserve">Estimate </w:t>
      </w:r>
      <w:r>
        <w:rPr>
          <w:i/>
        </w:rPr>
        <w:t>ex-post</w:t>
      </w:r>
      <w:r>
        <w:t xml:space="preserve"> load impacts for 2017 for each of the utilities’ Technical Assistance and Technology Incentives (TA/TI) and Automated Demand Response (</w:t>
      </w:r>
      <w:proofErr w:type="spellStart"/>
      <w:r>
        <w:t>AutoDR</w:t>
      </w:r>
      <w:proofErr w:type="spellEnd"/>
      <w:r>
        <w:t>) programs for those customers enrolled in those programs;</w:t>
      </w:r>
    </w:p>
    <w:p w14:paraId="622970BC" w14:textId="4DEBBB91" w:rsidR="00CE28FA" w:rsidRDefault="00CE28FA" w:rsidP="00E84DD2">
      <w:pPr>
        <w:numPr>
          <w:ilvl w:val="0"/>
          <w:numId w:val="37"/>
        </w:numPr>
        <w:spacing w:after="120"/>
      </w:pPr>
      <w:r>
        <w:t xml:space="preserve">Produce </w:t>
      </w:r>
      <w:r>
        <w:rPr>
          <w:i/>
        </w:rPr>
        <w:t>ex-ante</w:t>
      </w:r>
      <w:r>
        <w:t xml:space="preserve"> load impact forecasts for the CPP rates for 2018-2028;</w:t>
      </w:r>
      <w:r>
        <w:rPr>
          <w:rStyle w:val="FootnoteReference"/>
        </w:rPr>
        <w:footnoteReference w:id="2"/>
      </w:r>
      <w:r w:rsidR="002C5EF2">
        <w:t xml:space="preserve"> and</w:t>
      </w:r>
    </w:p>
    <w:p w14:paraId="4CEA8DCC" w14:textId="15D9B4C0" w:rsidR="00CE28FA" w:rsidRPr="00E84DD2" w:rsidRDefault="00CE28FA" w:rsidP="00E84DD2">
      <w:pPr>
        <w:pStyle w:val="ListParagraph"/>
        <w:numPr>
          <w:ilvl w:val="0"/>
          <w:numId w:val="37"/>
        </w:numPr>
        <w:spacing w:after="120"/>
        <w:rPr>
          <w:rFonts w:asciiTheme="minorHAnsi" w:hAnsiTheme="minorHAnsi" w:cstheme="minorHAnsi"/>
        </w:rPr>
      </w:pPr>
      <w:r w:rsidRPr="00CE28FA">
        <w:rPr>
          <w:rFonts w:asciiTheme="minorHAnsi" w:hAnsiTheme="minorHAnsi" w:cstheme="minorHAnsi"/>
        </w:rPr>
        <w:t>Estimate the incremental CPP load impacts due to technology or dual participation in other programs.</w:t>
      </w:r>
    </w:p>
    <w:p w14:paraId="451CE5E2" w14:textId="20097510" w:rsidR="00B323AF" w:rsidRPr="00CE28FA" w:rsidRDefault="00CE28FA" w:rsidP="00E84DD2">
      <w:pPr>
        <w:pStyle w:val="BodyText"/>
        <w:rPr>
          <w:rFonts w:ascii="Times New Roman" w:hAnsi="Times New Roman"/>
          <w:szCs w:val="24"/>
        </w:rPr>
      </w:pPr>
      <w:r>
        <w:t>Secondary goals include estimating the effect of PG&amp;E’s in-season support (</w:t>
      </w:r>
      <w:r>
        <w:rPr>
          <w:i/>
        </w:rPr>
        <w:t>e.g.</w:t>
      </w:r>
      <w:r>
        <w:t xml:space="preserve">, </w:t>
      </w:r>
      <w:r w:rsidR="00690FA1">
        <w:t xml:space="preserve">text </w:t>
      </w:r>
      <w:r>
        <w:t xml:space="preserve">notifications and performance feedback) on load impacts; </w:t>
      </w:r>
      <w:r w:rsidR="002C5EF2">
        <w:t>and estimating non-event day load impacts for PG&amp;E’s newly enrolled customers</w:t>
      </w:r>
      <w:r>
        <w:t xml:space="preserve">. Finally, the study compares current and previous </w:t>
      </w:r>
      <w:r>
        <w:rPr>
          <w:i/>
        </w:rPr>
        <w:t>ex-post</w:t>
      </w:r>
      <w:r>
        <w:t xml:space="preserve"> and </w:t>
      </w:r>
      <w:r>
        <w:rPr>
          <w:i/>
        </w:rPr>
        <w:t>ex-ante</w:t>
      </w:r>
      <w:r>
        <w:t xml:space="preserve"> load impacts, as an aid in understanding reasons for variability in the </w:t>
      </w:r>
      <w:r>
        <w:rPr>
          <w:i/>
        </w:rPr>
        <w:t>ex-post</w:t>
      </w:r>
      <w:r>
        <w:t xml:space="preserve"> load impacts, and the link between </w:t>
      </w:r>
      <w:r>
        <w:rPr>
          <w:i/>
        </w:rPr>
        <w:t>ex-post</w:t>
      </w:r>
      <w:r>
        <w:t xml:space="preserve"> and </w:t>
      </w:r>
      <w:r>
        <w:rPr>
          <w:i/>
        </w:rPr>
        <w:t>ex-ante</w:t>
      </w:r>
      <w:r>
        <w:t xml:space="preserve"> load impacts. The evaluation conform</w:t>
      </w:r>
      <w:r w:rsidR="00AE4797">
        <w:t>s</w:t>
      </w:r>
      <w:r>
        <w:t xml:space="preserve"> to the Load Impact Protocols adopted by the California Public Utilities Commission (CPUC) in April 2008 (D.08-04-050).</w:t>
      </w:r>
      <w:r>
        <w:rPr>
          <w:rFonts w:ascii="Times New Roman" w:hAnsi="Times New Roman"/>
          <w:szCs w:val="24"/>
        </w:rPr>
        <w:t xml:space="preserve"> </w:t>
      </w:r>
    </w:p>
    <w:p w14:paraId="4620C99F" w14:textId="3B755982" w:rsidR="00CE28FA" w:rsidRDefault="00CE28FA" w:rsidP="00E84DD2">
      <w:pPr>
        <w:spacing w:after="120"/>
        <w:rPr>
          <w:rFonts w:asciiTheme="minorHAnsi" w:hAnsiTheme="minorHAnsi"/>
        </w:rPr>
      </w:pPr>
    </w:p>
    <w:p w14:paraId="19D21BE1" w14:textId="043C2427" w:rsidR="005E455F" w:rsidRDefault="005E455F" w:rsidP="005E455F">
      <w:pPr>
        <w:pStyle w:val="Heading2"/>
        <w:spacing w:after="120"/>
      </w:pPr>
      <w:bookmarkStart w:id="60" w:name="_Toc509837303"/>
      <w:r>
        <w:t>PY2017 Event Days</w:t>
      </w:r>
      <w:bookmarkEnd w:id="60"/>
    </w:p>
    <w:p w14:paraId="12DE957E" w14:textId="77777777" w:rsidR="005E455F" w:rsidRDefault="005E455F" w:rsidP="005E455F">
      <w:pPr>
        <w:rPr>
          <w:rFonts w:asciiTheme="minorHAnsi" w:hAnsiTheme="minorHAnsi" w:cstheme="minorHAnsi"/>
        </w:rPr>
      </w:pPr>
      <w:r>
        <w:rPr>
          <w:rFonts w:asciiTheme="minorHAnsi" w:hAnsiTheme="minorHAnsi" w:cstheme="minorHAnsi"/>
        </w:rPr>
        <w:t>The table below summarizes the CPP events for each utility as of the Project Initiation meeting. PG&amp;E and SCE called the maximum number of allowed events, while SDG&amp;E had called three events.</w:t>
      </w:r>
    </w:p>
    <w:p w14:paraId="0019BC3F" w14:textId="77777777" w:rsidR="005E455F" w:rsidRDefault="005E455F" w:rsidP="005E455F">
      <w:pPr>
        <w:rPr>
          <w:rFonts w:asciiTheme="minorHAnsi" w:hAnsiTheme="minorHAnsi" w:cstheme="minorHAnsi"/>
        </w:rPr>
      </w:pPr>
    </w:p>
    <w:p w14:paraId="76577C93" w14:textId="4B59B8C9" w:rsidR="005E455F" w:rsidRDefault="005E455F" w:rsidP="005E455F">
      <w:pPr>
        <w:pStyle w:val="TableCaption"/>
      </w:pPr>
      <w:bookmarkStart w:id="61" w:name="_Toc509837356"/>
      <w:r>
        <w:t xml:space="preserve">Table </w:t>
      </w:r>
      <w:fldSimple w:instr=" STYLEREF 1 \s ">
        <w:r w:rsidR="005D5C7C">
          <w:rPr>
            <w:noProof/>
          </w:rPr>
          <w:t>1</w:t>
        </w:r>
      </w:fldSimple>
      <w:r w:rsidR="0069714C">
        <w:t>.</w:t>
      </w:r>
      <w:fldSimple w:instr=" SEQ Table \* ARABIC \s 1 ">
        <w:r w:rsidR="005D5C7C">
          <w:rPr>
            <w:noProof/>
          </w:rPr>
          <w:t>3</w:t>
        </w:r>
      </w:fldSimple>
      <w:r>
        <w:t>: PY2017 CPP Event Dates by Utility</w:t>
      </w:r>
      <w:bookmarkEnd w:id="61"/>
      <w:r>
        <w:t xml:space="preserve"> </w:t>
      </w:r>
    </w:p>
    <w:tbl>
      <w:tblPr>
        <w:tblW w:w="0" w:type="auto"/>
        <w:jc w:val="center"/>
        <w:tblLook w:val="04A0" w:firstRow="1" w:lastRow="0" w:firstColumn="1" w:lastColumn="0" w:noHBand="0" w:noVBand="1"/>
      </w:tblPr>
      <w:tblGrid>
        <w:gridCol w:w="1345"/>
        <w:gridCol w:w="1273"/>
        <w:gridCol w:w="1080"/>
        <w:gridCol w:w="932"/>
        <w:gridCol w:w="928"/>
      </w:tblGrid>
      <w:tr w:rsidR="005E455F" w:rsidRPr="00FD2C3B" w14:paraId="5D29DF07" w14:textId="77777777" w:rsidTr="005D41C6">
        <w:trPr>
          <w:jc w:val="center"/>
        </w:trPr>
        <w:tc>
          <w:tcPr>
            <w:tcW w:w="1345" w:type="dxa"/>
            <w:tcBorders>
              <w:left w:val="single" w:sz="4" w:space="0" w:color="auto"/>
              <w:bottom w:val="single" w:sz="4" w:space="0" w:color="auto"/>
              <w:right w:val="single" w:sz="4" w:space="0" w:color="FFFFFF" w:themeColor="background1"/>
            </w:tcBorders>
            <w:shd w:val="clear" w:color="auto" w:fill="0C2577"/>
            <w:vAlign w:val="center"/>
          </w:tcPr>
          <w:p w14:paraId="1552FC62" w14:textId="77777777" w:rsidR="005E455F" w:rsidRPr="00FD2C3B" w:rsidRDefault="005E455F" w:rsidP="002F79C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Date</w:t>
            </w:r>
          </w:p>
        </w:tc>
        <w:tc>
          <w:tcPr>
            <w:tcW w:w="1273" w:type="dxa"/>
            <w:tcBorders>
              <w:left w:val="single" w:sz="4" w:space="0" w:color="FFFFFF" w:themeColor="background1"/>
              <w:bottom w:val="single" w:sz="4" w:space="0" w:color="auto"/>
              <w:right w:val="single" w:sz="4" w:space="0" w:color="FFFFFF" w:themeColor="background1"/>
            </w:tcBorders>
            <w:shd w:val="clear" w:color="auto" w:fill="0C2577"/>
            <w:vAlign w:val="center"/>
          </w:tcPr>
          <w:p w14:paraId="2BA8E8C9" w14:textId="77777777" w:rsidR="005E455F" w:rsidRPr="00FD2C3B" w:rsidRDefault="005E455F" w:rsidP="002F79C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Day of Week</w:t>
            </w:r>
          </w:p>
        </w:tc>
        <w:tc>
          <w:tcPr>
            <w:tcW w:w="1080" w:type="dxa"/>
            <w:tcBorders>
              <w:left w:val="single" w:sz="4" w:space="0" w:color="FFFFFF" w:themeColor="background1"/>
              <w:bottom w:val="single" w:sz="4" w:space="0" w:color="auto"/>
              <w:right w:val="single" w:sz="4" w:space="0" w:color="FFFFFF" w:themeColor="background1"/>
            </w:tcBorders>
            <w:shd w:val="clear" w:color="auto" w:fill="0C2577"/>
            <w:vAlign w:val="center"/>
          </w:tcPr>
          <w:p w14:paraId="09F72ECE" w14:textId="77777777" w:rsidR="005E455F" w:rsidRPr="00FD2C3B" w:rsidRDefault="005E455F" w:rsidP="002F79C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PG&amp;E</w:t>
            </w:r>
          </w:p>
        </w:tc>
        <w:tc>
          <w:tcPr>
            <w:tcW w:w="932" w:type="dxa"/>
            <w:tcBorders>
              <w:left w:val="single" w:sz="4" w:space="0" w:color="FFFFFF" w:themeColor="background1"/>
              <w:bottom w:val="single" w:sz="4" w:space="0" w:color="auto"/>
              <w:right w:val="single" w:sz="4" w:space="0" w:color="FFFFFF" w:themeColor="background1"/>
            </w:tcBorders>
            <w:shd w:val="clear" w:color="auto" w:fill="0C2577"/>
            <w:vAlign w:val="center"/>
          </w:tcPr>
          <w:p w14:paraId="6ACB48C2" w14:textId="77777777" w:rsidR="005E455F" w:rsidRPr="00FD2C3B" w:rsidRDefault="005E455F" w:rsidP="002F79C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SCE</w:t>
            </w:r>
          </w:p>
        </w:tc>
        <w:tc>
          <w:tcPr>
            <w:tcW w:w="0" w:type="auto"/>
            <w:tcBorders>
              <w:left w:val="single" w:sz="4" w:space="0" w:color="FFFFFF" w:themeColor="background1"/>
              <w:bottom w:val="single" w:sz="4" w:space="0" w:color="auto"/>
            </w:tcBorders>
            <w:shd w:val="clear" w:color="auto" w:fill="0C2577"/>
            <w:vAlign w:val="center"/>
          </w:tcPr>
          <w:p w14:paraId="13B335F6" w14:textId="77777777" w:rsidR="005E455F" w:rsidRPr="00FD2C3B" w:rsidRDefault="005E455F" w:rsidP="002F79C3">
            <w:pPr>
              <w:keepNext/>
              <w:keepLines/>
              <w:jc w:val="center"/>
              <w:rPr>
                <w:rFonts w:ascii="Arial" w:hAnsi="Arial" w:cs="Arial"/>
                <w:b/>
                <w:color w:val="FFFFFF" w:themeColor="background1"/>
                <w:sz w:val="20"/>
                <w:szCs w:val="20"/>
              </w:rPr>
            </w:pPr>
            <w:r w:rsidRPr="00FD2C3B">
              <w:rPr>
                <w:rFonts w:ascii="Arial" w:hAnsi="Arial" w:cs="Arial"/>
                <w:b/>
                <w:color w:val="FFFFFF" w:themeColor="background1"/>
                <w:sz w:val="20"/>
                <w:szCs w:val="20"/>
              </w:rPr>
              <w:t>SDG&amp;E</w:t>
            </w:r>
          </w:p>
        </w:tc>
      </w:tr>
      <w:tr w:rsidR="005E455F" w14:paraId="02E421AD"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2A5E0662"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6/16/2017</w:t>
            </w:r>
          </w:p>
        </w:tc>
        <w:tc>
          <w:tcPr>
            <w:tcW w:w="1273" w:type="dxa"/>
            <w:tcBorders>
              <w:top w:val="single" w:sz="4" w:space="0" w:color="auto"/>
              <w:left w:val="single" w:sz="4" w:space="0" w:color="auto"/>
              <w:bottom w:val="single" w:sz="4" w:space="0" w:color="auto"/>
              <w:right w:val="single" w:sz="4" w:space="0" w:color="auto"/>
            </w:tcBorders>
          </w:tcPr>
          <w:p w14:paraId="74279439"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Friday</w:t>
            </w:r>
          </w:p>
        </w:tc>
        <w:tc>
          <w:tcPr>
            <w:tcW w:w="1080" w:type="dxa"/>
            <w:tcBorders>
              <w:top w:val="single" w:sz="4" w:space="0" w:color="auto"/>
              <w:left w:val="single" w:sz="4" w:space="0" w:color="auto"/>
              <w:bottom w:val="single" w:sz="4" w:space="0" w:color="auto"/>
              <w:right w:val="single" w:sz="4" w:space="0" w:color="auto"/>
            </w:tcBorders>
            <w:vAlign w:val="center"/>
          </w:tcPr>
          <w:p w14:paraId="2D6E3882"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787A98FB" w14:textId="77777777" w:rsidR="005E455F" w:rsidRPr="00FD2C3B" w:rsidRDefault="005E455F" w:rsidP="002F79C3">
            <w:pPr>
              <w:keepNext/>
              <w:keepLines/>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14:paraId="124BD983" w14:textId="77777777" w:rsidR="005E455F" w:rsidRPr="00FD2C3B" w:rsidRDefault="005E455F" w:rsidP="002F79C3">
            <w:pPr>
              <w:keepNext/>
              <w:keepLines/>
              <w:jc w:val="center"/>
              <w:rPr>
                <w:rFonts w:ascii="Arial" w:hAnsi="Arial" w:cs="Arial"/>
                <w:sz w:val="20"/>
                <w:szCs w:val="20"/>
              </w:rPr>
            </w:pPr>
          </w:p>
        </w:tc>
      </w:tr>
      <w:tr w:rsidR="005E455F" w14:paraId="0824E2D1"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04ECAE56"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6/19/2017</w:t>
            </w:r>
          </w:p>
        </w:tc>
        <w:tc>
          <w:tcPr>
            <w:tcW w:w="1273" w:type="dxa"/>
            <w:tcBorders>
              <w:top w:val="single" w:sz="4" w:space="0" w:color="auto"/>
              <w:left w:val="single" w:sz="4" w:space="0" w:color="auto"/>
              <w:bottom w:val="single" w:sz="4" w:space="0" w:color="auto"/>
              <w:right w:val="single" w:sz="4" w:space="0" w:color="auto"/>
            </w:tcBorders>
          </w:tcPr>
          <w:p w14:paraId="06E8CD79"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Monday</w:t>
            </w:r>
          </w:p>
        </w:tc>
        <w:tc>
          <w:tcPr>
            <w:tcW w:w="1080" w:type="dxa"/>
            <w:tcBorders>
              <w:top w:val="single" w:sz="4" w:space="0" w:color="auto"/>
              <w:left w:val="single" w:sz="4" w:space="0" w:color="auto"/>
              <w:bottom w:val="single" w:sz="4" w:space="0" w:color="auto"/>
              <w:right w:val="single" w:sz="4" w:space="0" w:color="auto"/>
            </w:tcBorders>
            <w:vAlign w:val="center"/>
          </w:tcPr>
          <w:p w14:paraId="2C1F5638"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493B6090"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05F44C6F" w14:textId="77777777" w:rsidR="005E455F" w:rsidRPr="00FD2C3B" w:rsidRDefault="005E455F" w:rsidP="002F79C3">
            <w:pPr>
              <w:keepNext/>
              <w:keepLines/>
              <w:jc w:val="center"/>
              <w:rPr>
                <w:rFonts w:ascii="Arial" w:hAnsi="Arial" w:cs="Arial"/>
                <w:sz w:val="20"/>
                <w:szCs w:val="20"/>
              </w:rPr>
            </w:pPr>
          </w:p>
        </w:tc>
      </w:tr>
      <w:tr w:rsidR="005E455F" w14:paraId="4F301660"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0A1E3103"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6/20/2017</w:t>
            </w:r>
          </w:p>
        </w:tc>
        <w:tc>
          <w:tcPr>
            <w:tcW w:w="1273" w:type="dxa"/>
            <w:tcBorders>
              <w:top w:val="single" w:sz="4" w:space="0" w:color="auto"/>
              <w:left w:val="single" w:sz="4" w:space="0" w:color="auto"/>
              <w:bottom w:val="single" w:sz="4" w:space="0" w:color="auto"/>
              <w:right w:val="single" w:sz="4" w:space="0" w:color="auto"/>
            </w:tcBorders>
          </w:tcPr>
          <w:p w14:paraId="434B05B3"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Tuesday</w:t>
            </w:r>
          </w:p>
        </w:tc>
        <w:tc>
          <w:tcPr>
            <w:tcW w:w="1080" w:type="dxa"/>
            <w:tcBorders>
              <w:top w:val="single" w:sz="4" w:space="0" w:color="auto"/>
              <w:left w:val="single" w:sz="4" w:space="0" w:color="auto"/>
              <w:bottom w:val="single" w:sz="4" w:space="0" w:color="auto"/>
              <w:right w:val="single" w:sz="4" w:space="0" w:color="auto"/>
            </w:tcBorders>
            <w:vAlign w:val="center"/>
          </w:tcPr>
          <w:p w14:paraId="3026740D"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4E3EF043"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5F941680" w14:textId="77777777" w:rsidR="005E455F" w:rsidRPr="00FD2C3B" w:rsidRDefault="005E455F" w:rsidP="002F79C3">
            <w:pPr>
              <w:keepNext/>
              <w:keepLines/>
              <w:jc w:val="center"/>
              <w:rPr>
                <w:rFonts w:ascii="Arial" w:hAnsi="Arial" w:cs="Arial"/>
                <w:sz w:val="20"/>
                <w:szCs w:val="20"/>
              </w:rPr>
            </w:pPr>
          </w:p>
        </w:tc>
      </w:tr>
      <w:tr w:rsidR="005E455F" w14:paraId="2DA6F43B"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02D72D9B"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6/22/2017</w:t>
            </w:r>
          </w:p>
        </w:tc>
        <w:tc>
          <w:tcPr>
            <w:tcW w:w="1273" w:type="dxa"/>
            <w:tcBorders>
              <w:top w:val="single" w:sz="4" w:space="0" w:color="auto"/>
              <w:left w:val="single" w:sz="4" w:space="0" w:color="auto"/>
              <w:bottom w:val="single" w:sz="4" w:space="0" w:color="auto"/>
              <w:right w:val="single" w:sz="4" w:space="0" w:color="auto"/>
            </w:tcBorders>
          </w:tcPr>
          <w:p w14:paraId="13FD46CA"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Thursday</w:t>
            </w:r>
          </w:p>
        </w:tc>
        <w:tc>
          <w:tcPr>
            <w:tcW w:w="1080" w:type="dxa"/>
            <w:tcBorders>
              <w:top w:val="single" w:sz="4" w:space="0" w:color="auto"/>
              <w:left w:val="single" w:sz="4" w:space="0" w:color="auto"/>
              <w:bottom w:val="single" w:sz="4" w:space="0" w:color="auto"/>
              <w:right w:val="single" w:sz="4" w:space="0" w:color="auto"/>
            </w:tcBorders>
            <w:vAlign w:val="center"/>
          </w:tcPr>
          <w:p w14:paraId="76915EB1"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41EA9CB2" w14:textId="77777777" w:rsidR="005E455F" w:rsidRPr="00FD2C3B" w:rsidRDefault="005E455F" w:rsidP="002F79C3">
            <w:pPr>
              <w:keepNext/>
              <w:keepLines/>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14:paraId="608A1DD2" w14:textId="77777777" w:rsidR="005E455F" w:rsidRPr="00FD2C3B" w:rsidRDefault="005E455F" w:rsidP="002F79C3">
            <w:pPr>
              <w:keepNext/>
              <w:keepLines/>
              <w:jc w:val="center"/>
              <w:rPr>
                <w:rFonts w:ascii="Arial" w:hAnsi="Arial" w:cs="Arial"/>
                <w:sz w:val="20"/>
                <w:szCs w:val="20"/>
              </w:rPr>
            </w:pPr>
          </w:p>
        </w:tc>
      </w:tr>
      <w:tr w:rsidR="005E455F" w14:paraId="6775B236"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78F44755"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6/23/2017</w:t>
            </w:r>
          </w:p>
        </w:tc>
        <w:tc>
          <w:tcPr>
            <w:tcW w:w="1273" w:type="dxa"/>
            <w:tcBorders>
              <w:top w:val="single" w:sz="4" w:space="0" w:color="auto"/>
              <w:left w:val="single" w:sz="4" w:space="0" w:color="auto"/>
              <w:bottom w:val="single" w:sz="4" w:space="0" w:color="auto"/>
              <w:right w:val="single" w:sz="4" w:space="0" w:color="auto"/>
            </w:tcBorders>
          </w:tcPr>
          <w:p w14:paraId="4E618828"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Friday</w:t>
            </w:r>
          </w:p>
        </w:tc>
        <w:tc>
          <w:tcPr>
            <w:tcW w:w="1080" w:type="dxa"/>
            <w:tcBorders>
              <w:top w:val="single" w:sz="4" w:space="0" w:color="auto"/>
              <w:left w:val="single" w:sz="4" w:space="0" w:color="auto"/>
              <w:bottom w:val="single" w:sz="4" w:space="0" w:color="auto"/>
              <w:right w:val="single" w:sz="4" w:space="0" w:color="auto"/>
            </w:tcBorders>
            <w:vAlign w:val="center"/>
          </w:tcPr>
          <w:p w14:paraId="0EB13F2D"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40D15041" w14:textId="77777777" w:rsidR="005E455F" w:rsidRPr="00FD2C3B" w:rsidRDefault="005E455F" w:rsidP="002F79C3">
            <w:pPr>
              <w:keepNext/>
              <w:keepLines/>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14:paraId="39009C37" w14:textId="77777777" w:rsidR="005E455F" w:rsidRPr="00FD2C3B" w:rsidRDefault="005E455F" w:rsidP="002F79C3">
            <w:pPr>
              <w:keepNext/>
              <w:keepLines/>
              <w:jc w:val="center"/>
              <w:rPr>
                <w:rFonts w:ascii="Arial" w:hAnsi="Arial" w:cs="Arial"/>
                <w:sz w:val="20"/>
                <w:szCs w:val="20"/>
              </w:rPr>
            </w:pPr>
          </w:p>
        </w:tc>
      </w:tr>
      <w:tr w:rsidR="005E455F" w14:paraId="7BC1CD58"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29429F5B"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7/6/2017</w:t>
            </w:r>
          </w:p>
        </w:tc>
        <w:tc>
          <w:tcPr>
            <w:tcW w:w="1273" w:type="dxa"/>
            <w:tcBorders>
              <w:top w:val="single" w:sz="4" w:space="0" w:color="auto"/>
              <w:left w:val="single" w:sz="4" w:space="0" w:color="auto"/>
              <w:bottom w:val="single" w:sz="4" w:space="0" w:color="auto"/>
              <w:right w:val="single" w:sz="4" w:space="0" w:color="auto"/>
            </w:tcBorders>
          </w:tcPr>
          <w:p w14:paraId="7BE82273" w14:textId="77777777" w:rsidR="005E455F" w:rsidRPr="00FD2C3B" w:rsidRDefault="005E455F" w:rsidP="002F79C3">
            <w:pPr>
              <w:keepNext/>
              <w:keepLines/>
              <w:jc w:val="center"/>
              <w:rPr>
                <w:rFonts w:ascii="Arial" w:hAnsi="Arial" w:cs="Arial"/>
                <w:sz w:val="20"/>
                <w:szCs w:val="20"/>
              </w:rPr>
            </w:pPr>
            <w:r w:rsidRPr="00FD2C3B">
              <w:rPr>
                <w:rFonts w:ascii="Arial" w:hAnsi="Arial" w:cs="Arial"/>
                <w:sz w:val="20"/>
                <w:szCs w:val="20"/>
              </w:rPr>
              <w:t>Thursday</w:t>
            </w:r>
          </w:p>
        </w:tc>
        <w:tc>
          <w:tcPr>
            <w:tcW w:w="1080" w:type="dxa"/>
            <w:tcBorders>
              <w:top w:val="single" w:sz="4" w:space="0" w:color="auto"/>
              <w:left w:val="single" w:sz="4" w:space="0" w:color="auto"/>
              <w:bottom w:val="single" w:sz="4" w:space="0" w:color="auto"/>
              <w:right w:val="single" w:sz="4" w:space="0" w:color="auto"/>
            </w:tcBorders>
            <w:vAlign w:val="center"/>
          </w:tcPr>
          <w:p w14:paraId="137E7F0E" w14:textId="77777777" w:rsidR="005E455F" w:rsidRPr="00FD2C3B" w:rsidRDefault="005E455F" w:rsidP="002F79C3">
            <w:pPr>
              <w:keepNext/>
              <w:keepLines/>
              <w:jc w:val="center"/>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vAlign w:val="center"/>
          </w:tcPr>
          <w:p w14:paraId="76DCF780"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160FEB47" w14:textId="77777777" w:rsidR="005E455F" w:rsidRPr="00FD2C3B" w:rsidRDefault="005E455F" w:rsidP="002F79C3">
            <w:pPr>
              <w:keepNext/>
              <w:keepLines/>
              <w:jc w:val="center"/>
              <w:rPr>
                <w:rFonts w:ascii="Arial" w:hAnsi="Arial" w:cs="Arial"/>
                <w:sz w:val="20"/>
                <w:szCs w:val="20"/>
              </w:rPr>
            </w:pPr>
          </w:p>
        </w:tc>
      </w:tr>
      <w:tr w:rsidR="005E455F" w14:paraId="75E7C34B"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54EF9EE8"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7/7/2017</w:t>
            </w:r>
          </w:p>
        </w:tc>
        <w:tc>
          <w:tcPr>
            <w:tcW w:w="1273" w:type="dxa"/>
            <w:tcBorders>
              <w:top w:val="single" w:sz="4" w:space="0" w:color="auto"/>
              <w:left w:val="single" w:sz="4" w:space="0" w:color="auto"/>
              <w:bottom w:val="single" w:sz="4" w:space="0" w:color="auto"/>
              <w:right w:val="single" w:sz="4" w:space="0" w:color="auto"/>
            </w:tcBorders>
          </w:tcPr>
          <w:p w14:paraId="07B00087"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Friday</w:t>
            </w:r>
          </w:p>
        </w:tc>
        <w:tc>
          <w:tcPr>
            <w:tcW w:w="1080" w:type="dxa"/>
            <w:tcBorders>
              <w:top w:val="single" w:sz="4" w:space="0" w:color="auto"/>
              <w:left w:val="single" w:sz="4" w:space="0" w:color="auto"/>
              <w:bottom w:val="single" w:sz="4" w:space="0" w:color="auto"/>
              <w:right w:val="single" w:sz="4" w:space="0" w:color="auto"/>
            </w:tcBorders>
            <w:vAlign w:val="center"/>
          </w:tcPr>
          <w:p w14:paraId="0610F125"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52FFD176"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3B137E79" w14:textId="77777777" w:rsidR="005E455F" w:rsidRPr="00FD2C3B" w:rsidRDefault="005E455F" w:rsidP="002F79C3">
            <w:pPr>
              <w:keepNext/>
              <w:keepLines/>
              <w:jc w:val="center"/>
              <w:rPr>
                <w:rFonts w:ascii="Arial" w:hAnsi="Arial" w:cs="Arial"/>
                <w:sz w:val="20"/>
                <w:szCs w:val="20"/>
              </w:rPr>
            </w:pPr>
          </w:p>
        </w:tc>
      </w:tr>
      <w:tr w:rsidR="005E455F" w14:paraId="66C766FE"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573BFE32"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7/27/2017</w:t>
            </w:r>
          </w:p>
        </w:tc>
        <w:tc>
          <w:tcPr>
            <w:tcW w:w="1273" w:type="dxa"/>
            <w:tcBorders>
              <w:top w:val="single" w:sz="4" w:space="0" w:color="auto"/>
              <w:left w:val="single" w:sz="4" w:space="0" w:color="auto"/>
              <w:bottom w:val="single" w:sz="4" w:space="0" w:color="auto"/>
              <w:right w:val="single" w:sz="4" w:space="0" w:color="auto"/>
            </w:tcBorders>
          </w:tcPr>
          <w:p w14:paraId="33939803"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Thursday</w:t>
            </w:r>
          </w:p>
        </w:tc>
        <w:tc>
          <w:tcPr>
            <w:tcW w:w="1080" w:type="dxa"/>
            <w:tcBorders>
              <w:top w:val="single" w:sz="4" w:space="0" w:color="auto"/>
              <w:left w:val="single" w:sz="4" w:space="0" w:color="auto"/>
              <w:bottom w:val="single" w:sz="4" w:space="0" w:color="auto"/>
              <w:right w:val="single" w:sz="4" w:space="0" w:color="auto"/>
            </w:tcBorders>
            <w:vAlign w:val="center"/>
          </w:tcPr>
          <w:p w14:paraId="403B6862"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42204168"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6A7A0965" w14:textId="77777777" w:rsidR="005E455F" w:rsidRPr="00FD2C3B" w:rsidRDefault="005E455F" w:rsidP="002F79C3">
            <w:pPr>
              <w:keepNext/>
              <w:keepLines/>
              <w:jc w:val="center"/>
              <w:rPr>
                <w:rFonts w:ascii="Arial" w:hAnsi="Arial" w:cs="Arial"/>
                <w:sz w:val="20"/>
                <w:szCs w:val="20"/>
              </w:rPr>
            </w:pPr>
          </w:p>
        </w:tc>
      </w:tr>
      <w:tr w:rsidR="005E455F" w14:paraId="6AB63BC1"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0AC70F6B"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7/31/2017</w:t>
            </w:r>
          </w:p>
        </w:tc>
        <w:tc>
          <w:tcPr>
            <w:tcW w:w="1273" w:type="dxa"/>
            <w:tcBorders>
              <w:top w:val="single" w:sz="4" w:space="0" w:color="auto"/>
              <w:left w:val="single" w:sz="4" w:space="0" w:color="auto"/>
              <w:bottom w:val="single" w:sz="4" w:space="0" w:color="auto"/>
              <w:right w:val="single" w:sz="4" w:space="0" w:color="auto"/>
            </w:tcBorders>
          </w:tcPr>
          <w:p w14:paraId="11A739FD"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Monday</w:t>
            </w:r>
          </w:p>
        </w:tc>
        <w:tc>
          <w:tcPr>
            <w:tcW w:w="1080" w:type="dxa"/>
            <w:tcBorders>
              <w:top w:val="single" w:sz="4" w:space="0" w:color="auto"/>
              <w:left w:val="single" w:sz="4" w:space="0" w:color="auto"/>
              <w:bottom w:val="single" w:sz="4" w:space="0" w:color="auto"/>
              <w:right w:val="single" w:sz="4" w:space="0" w:color="auto"/>
            </w:tcBorders>
            <w:vAlign w:val="center"/>
          </w:tcPr>
          <w:p w14:paraId="576868A3"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5B832B3A"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521E2D21" w14:textId="77777777" w:rsidR="005E455F" w:rsidRPr="00FD2C3B" w:rsidRDefault="005E455F" w:rsidP="002F79C3">
            <w:pPr>
              <w:keepNext/>
              <w:keepLines/>
              <w:jc w:val="center"/>
              <w:rPr>
                <w:rFonts w:ascii="Arial" w:hAnsi="Arial" w:cs="Arial"/>
                <w:sz w:val="20"/>
                <w:szCs w:val="20"/>
              </w:rPr>
            </w:pPr>
          </w:p>
        </w:tc>
      </w:tr>
      <w:tr w:rsidR="005E455F" w14:paraId="49CCA028"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6C1F431D"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8/1/2017</w:t>
            </w:r>
          </w:p>
        </w:tc>
        <w:tc>
          <w:tcPr>
            <w:tcW w:w="1273" w:type="dxa"/>
            <w:tcBorders>
              <w:top w:val="single" w:sz="4" w:space="0" w:color="auto"/>
              <w:left w:val="single" w:sz="4" w:space="0" w:color="auto"/>
              <w:bottom w:val="single" w:sz="4" w:space="0" w:color="auto"/>
              <w:right w:val="single" w:sz="4" w:space="0" w:color="auto"/>
            </w:tcBorders>
          </w:tcPr>
          <w:p w14:paraId="065E8DE0"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Tuesday</w:t>
            </w:r>
          </w:p>
        </w:tc>
        <w:tc>
          <w:tcPr>
            <w:tcW w:w="1080" w:type="dxa"/>
            <w:tcBorders>
              <w:top w:val="single" w:sz="4" w:space="0" w:color="auto"/>
              <w:left w:val="single" w:sz="4" w:space="0" w:color="auto"/>
              <w:bottom w:val="single" w:sz="4" w:space="0" w:color="auto"/>
              <w:right w:val="single" w:sz="4" w:space="0" w:color="auto"/>
            </w:tcBorders>
            <w:vAlign w:val="center"/>
          </w:tcPr>
          <w:p w14:paraId="747571DC"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589DFA8F"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3FA220AF" w14:textId="77777777" w:rsidR="005E455F" w:rsidRPr="00FD2C3B" w:rsidRDefault="005E455F" w:rsidP="002F79C3">
            <w:pPr>
              <w:keepNext/>
              <w:keepLines/>
              <w:jc w:val="center"/>
              <w:rPr>
                <w:rFonts w:ascii="Arial" w:hAnsi="Arial" w:cs="Arial"/>
                <w:sz w:val="20"/>
                <w:szCs w:val="20"/>
              </w:rPr>
            </w:pPr>
          </w:p>
        </w:tc>
      </w:tr>
      <w:tr w:rsidR="005E455F" w14:paraId="50D3C5E7"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4A28FC6B"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8/2/2017</w:t>
            </w:r>
          </w:p>
        </w:tc>
        <w:tc>
          <w:tcPr>
            <w:tcW w:w="1273" w:type="dxa"/>
            <w:tcBorders>
              <w:top w:val="single" w:sz="4" w:space="0" w:color="auto"/>
              <w:left w:val="single" w:sz="4" w:space="0" w:color="auto"/>
              <w:bottom w:val="single" w:sz="4" w:space="0" w:color="auto"/>
              <w:right w:val="single" w:sz="4" w:space="0" w:color="auto"/>
            </w:tcBorders>
          </w:tcPr>
          <w:p w14:paraId="21685F34"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Wednesday</w:t>
            </w:r>
          </w:p>
        </w:tc>
        <w:tc>
          <w:tcPr>
            <w:tcW w:w="1080" w:type="dxa"/>
            <w:tcBorders>
              <w:top w:val="single" w:sz="4" w:space="0" w:color="auto"/>
              <w:left w:val="single" w:sz="4" w:space="0" w:color="auto"/>
              <w:bottom w:val="single" w:sz="4" w:space="0" w:color="auto"/>
              <w:right w:val="single" w:sz="4" w:space="0" w:color="auto"/>
            </w:tcBorders>
            <w:vAlign w:val="center"/>
          </w:tcPr>
          <w:p w14:paraId="3C19088F"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276A3868" w14:textId="77777777" w:rsidR="005E455F" w:rsidRPr="00FD2C3B" w:rsidRDefault="005E455F" w:rsidP="002F79C3">
            <w:pPr>
              <w:keepNext/>
              <w:keepLines/>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14:paraId="3102BB2F" w14:textId="77777777" w:rsidR="005E455F" w:rsidRPr="00FD2C3B" w:rsidRDefault="005E455F" w:rsidP="002F79C3">
            <w:pPr>
              <w:keepNext/>
              <w:keepLines/>
              <w:jc w:val="center"/>
              <w:rPr>
                <w:rFonts w:ascii="Arial" w:hAnsi="Arial" w:cs="Arial"/>
                <w:sz w:val="20"/>
                <w:szCs w:val="20"/>
              </w:rPr>
            </w:pPr>
          </w:p>
        </w:tc>
      </w:tr>
      <w:tr w:rsidR="005E455F" w14:paraId="551A7D36"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675C01DD"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8/28/2017</w:t>
            </w:r>
          </w:p>
        </w:tc>
        <w:tc>
          <w:tcPr>
            <w:tcW w:w="1273" w:type="dxa"/>
            <w:tcBorders>
              <w:top w:val="single" w:sz="4" w:space="0" w:color="auto"/>
              <w:left w:val="single" w:sz="4" w:space="0" w:color="auto"/>
              <w:bottom w:val="single" w:sz="4" w:space="0" w:color="auto"/>
              <w:right w:val="single" w:sz="4" w:space="0" w:color="auto"/>
            </w:tcBorders>
          </w:tcPr>
          <w:p w14:paraId="4FC0580C"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Monday</w:t>
            </w:r>
          </w:p>
        </w:tc>
        <w:tc>
          <w:tcPr>
            <w:tcW w:w="1080" w:type="dxa"/>
            <w:tcBorders>
              <w:top w:val="single" w:sz="4" w:space="0" w:color="auto"/>
              <w:left w:val="single" w:sz="4" w:space="0" w:color="auto"/>
              <w:bottom w:val="single" w:sz="4" w:space="0" w:color="auto"/>
              <w:right w:val="single" w:sz="4" w:space="0" w:color="auto"/>
            </w:tcBorders>
            <w:vAlign w:val="center"/>
          </w:tcPr>
          <w:p w14:paraId="20FE9941"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624A24BC"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51701D22" w14:textId="77777777" w:rsidR="005E455F" w:rsidRPr="00FD2C3B" w:rsidRDefault="005E455F" w:rsidP="002F79C3">
            <w:pPr>
              <w:keepNext/>
              <w:keepLines/>
              <w:jc w:val="center"/>
              <w:rPr>
                <w:rFonts w:ascii="Arial" w:hAnsi="Arial" w:cs="Arial"/>
                <w:sz w:val="20"/>
                <w:szCs w:val="20"/>
              </w:rPr>
            </w:pPr>
          </w:p>
        </w:tc>
      </w:tr>
      <w:tr w:rsidR="005E455F" w14:paraId="07262434"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744274FA"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8/29/2017</w:t>
            </w:r>
          </w:p>
        </w:tc>
        <w:tc>
          <w:tcPr>
            <w:tcW w:w="1273" w:type="dxa"/>
            <w:tcBorders>
              <w:top w:val="single" w:sz="4" w:space="0" w:color="auto"/>
              <w:left w:val="single" w:sz="4" w:space="0" w:color="auto"/>
              <w:bottom w:val="single" w:sz="4" w:space="0" w:color="auto"/>
              <w:right w:val="single" w:sz="4" w:space="0" w:color="auto"/>
            </w:tcBorders>
          </w:tcPr>
          <w:p w14:paraId="348E9E65"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Tuesday</w:t>
            </w:r>
          </w:p>
        </w:tc>
        <w:tc>
          <w:tcPr>
            <w:tcW w:w="1080" w:type="dxa"/>
            <w:tcBorders>
              <w:top w:val="single" w:sz="4" w:space="0" w:color="auto"/>
              <w:left w:val="single" w:sz="4" w:space="0" w:color="auto"/>
              <w:bottom w:val="single" w:sz="4" w:space="0" w:color="auto"/>
              <w:right w:val="single" w:sz="4" w:space="0" w:color="auto"/>
            </w:tcBorders>
            <w:vAlign w:val="center"/>
          </w:tcPr>
          <w:p w14:paraId="5E5F6108"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0C1A4FAB"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686F0BD7" w14:textId="77777777" w:rsidR="005E455F" w:rsidRPr="00FD2C3B" w:rsidRDefault="005E455F" w:rsidP="002F79C3">
            <w:pPr>
              <w:keepNext/>
              <w:keepLines/>
              <w:jc w:val="center"/>
              <w:rPr>
                <w:rFonts w:ascii="Arial" w:hAnsi="Arial" w:cs="Arial"/>
                <w:sz w:val="20"/>
                <w:szCs w:val="20"/>
              </w:rPr>
            </w:pPr>
          </w:p>
        </w:tc>
      </w:tr>
      <w:tr w:rsidR="005E455F" w14:paraId="01DE3794"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5D47A459"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8/31/2017</w:t>
            </w:r>
          </w:p>
        </w:tc>
        <w:tc>
          <w:tcPr>
            <w:tcW w:w="1273" w:type="dxa"/>
            <w:tcBorders>
              <w:top w:val="single" w:sz="4" w:space="0" w:color="auto"/>
              <w:left w:val="single" w:sz="4" w:space="0" w:color="auto"/>
              <w:bottom w:val="single" w:sz="4" w:space="0" w:color="auto"/>
              <w:right w:val="single" w:sz="4" w:space="0" w:color="auto"/>
            </w:tcBorders>
          </w:tcPr>
          <w:p w14:paraId="2078D2C9"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Thursday</w:t>
            </w:r>
          </w:p>
        </w:tc>
        <w:tc>
          <w:tcPr>
            <w:tcW w:w="1080" w:type="dxa"/>
            <w:tcBorders>
              <w:top w:val="single" w:sz="4" w:space="0" w:color="auto"/>
              <w:left w:val="single" w:sz="4" w:space="0" w:color="auto"/>
              <w:bottom w:val="single" w:sz="4" w:space="0" w:color="auto"/>
              <w:right w:val="single" w:sz="4" w:space="0" w:color="auto"/>
            </w:tcBorders>
            <w:vAlign w:val="center"/>
          </w:tcPr>
          <w:p w14:paraId="563B2470"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35F1B81A"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15308800"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r>
      <w:tr w:rsidR="005E455F" w14:paraId="0F227F55"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4506D87F"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9/1/2017</w:t>
            </w:r>
          </w:p>
        </w:tc>
        <w:tc>
          <w:tcPr>
            <w:tcW w:w="1273" w:type="dxa"/>
            <w:tcBorders>
              <w:top w:val="single" w:sz="4" w:space="0" w:color="auto"/>
              <w:left w:val="single" w:sz="4" w:space="0" w:color="auto"/>
              <w:bottom w:val="single" w:sz="4" w:space="0" w:color="auto"/>
              <w:right w:val="single" w:sz="4" w:space="0" w:color="auto"/>
            </w:tcBorders>
          </w:tcPr>
          <w:p w14:paraId="32AC4EAA"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Friday</w:t>
            </w:r>
          </w:p>
        </w:tc>
        <w:tc>
          <w:tcPr>
            <w:tcW w:w="1080" w:type="dxa"/>
            <w:tcBorders>
              <w:top w:val="single" w:sz="4" w:space="0" w:color="auto"/>
              <w:left w:val="single" w:sz="4" w:space="0" w:color="auto"/>
              <w:bottom w:val="single" w:sz="4" w:space="0" w:color="auto"/>
              <w:right w:val="single" w:sz="4" w:space="0" w:color="auto"/>
            </w:tcBorders>
            <w:vAlign w:val="center"/>
          </w:tcPr>
          <w:p w14:paraId="1752A807"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5904C6F8" w14:textId="77777777" w:rsidR="005E455F" w:rsidRPr="00FD2C3B" w:rsidRDefault="005E455F" w:rsidP="002F79C3">
            <w:pPr>
              <w:keepNext/>
              <w:keepLines/>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14:paraId="2751FB4D"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r>
      <w:tr w:rsidR="005E455F" w14:paraId="4279368D"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397BA8DC"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9/2/2017</w:t>
            </w:r>
          </w:p>
        </w:tc>
        <w:tc>
          <w:tcPr>
            <w:tcW w:w="1273" w:type="dxa"/>
            <w:tcBorders>
              <w:top w:val="single" w:sz="4" w:space="0" w:color="auto"/>
              <w:left w:val="single" w:sz="4" w:space="0" w:color="auto"/>
              <w:bottom w:val="single" w:sz="4" w:space="0" w:color="auto"/>
              <w:right w:val="single" w:sz="4" w:space="0" w:color="auto"/>
            </w:tcBorders>
          </w:tcPr>
          <w:p w14:paraId="5809D69D" w14:textId="77777777" w:rsidR="005E455F" w:rsidRPr="00FD2C3B" w:rsidRDefault="005E455F" w:rsidP="002F79C3">
            <w:pPr>
              <w:keepNext/>
              <w:keepLines/>
              <w:jc w:val="center"/>
              <w:rPr>
                <w:rFonts w:ascii="Arial" w:hAnsi="Arial" w:cs="Arial"/>
                <w:color w:val="000000"/>
                <w:sz w:val="20"/>
                <w:szCs w:val="20"/>
              </w:rPr>
            </w:pPr>
            <w:r w:rsidRPr="00FD2C3B">
              <w:rPr>
                <w:rFonts w:ascii="Arial" w:hAnsi="Arial" w:cs="Arial"/>
                <w:sz w:val="20"/>
                <w:szCs w:val="20"/>
              </w:rPr>
              <w:t>Saturday</w:t>
            </w:r>
          </w:p>
        </w:tc>
        <w:tc>
          <w:tcPr>
            <w:tcW w:w="1080" w:type="dxa"/>
            <w:tcBorders>
              <w:top w:val="single" w:sz="4" w:space="0" w:color="auto"/>
              <w:left w:val="single" w:sz="4" w:space="0" w:color="auto"/>
              <w:bottom w:val="single" w:sz="4" w:space="0" w:color="auto"/>
              <w:right w:val="single" w:sz="4" w:space="0" w:color="auto"/>
            </w:tcBorders>
            <w:vAlign w:val="center"/>
          </w:tcPr>
          <w:p w14:paraId="0C7B24F2"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932" w:type="dxa"/>
            <w:tcBorders>
              <w:top w:val="single" w:sz="4" w:space="0" w:color="auto"/>
              <w:left w:val="single" w:sz="4" w:space="0" w:color="auto"/>
              <w:bottom w:val="single" w:sz="4" w:space="0" w:color="auto"/>
              <w:right w:val="single" w:sz="4" w:space="0" w:color="auto"/>
            </w:tcBorders>
            <w:vAlign w:val="center"/>
          </w:tcPr>
          <w:p w14:paraId="6B451E92" w14:textId="77777777" w:rsidR="005E455F" w:rsidRPr="00FD2C3B" w:rsidRDefault="005E455F" w:rsidP="002F79C3">
            <w:pPr>
              <w:keepNext/>
              <w:keepLines/>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14:paraId="55B2ABE4"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r>
      <w:tr w:rsidR="005E455F" w14:paraId="0AE97AD1"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3F2E8834"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9/5/2017</w:t>
            </w:r>
          </w:p>
        </w:tc>
        <w:tc>
          <w:tcPr>
            <w:tcW w:w="1273" w:type="dxa"/>
            <w:tcBorders>
              <w:top w:val="single" w:sz="4" w:space="0" w:color="auto"/>
              <w:left w:val="single" w:sz="4" w:space="0" w:color="auto"/>
              <w:bottom w:val="single" w:sz="4" w:space="0" w:color="auto"/>
              <w:right w:val="single" w:sz="4" w:space="0" w:color="auto"/>
            </w:tcBorders>
          </w:tcPr>
          <w:p w14:paraId="772C0994" w14:textId="77777777" w:rsidR="005E455F" w:rsidRPr="00FD2C3B" w:rsidRDefault="005E455F" w:rsidP="002F79C3">
            <w:pPr>
              <w:keepNext/>
              <w:keepLines/>
              <w:jc w:val="center"/>
              <w:rPr>
                <w:rFonts w:ascii="Arial" w:hAnsi="Arial" w:cs="Arial"/>
                <w:sz w:val="20"/>
                <w:szCs w:val="20"/>
              </w:rPr>
            </w:pPr>
            <w:r w:rsidRPr="00FD2C3B">
              <w:rPr>
                <w:rFonts w:ascii="Arial" w:hAnsi="Arial" w:cs="Arial"/>
                <w:sz w:val="20"/>
                <w:szCs w:val="20"/>
              </w:rPr>
              <w:t>Tuesday</w:t>
            </w:r>
          </w:p>
        </w:tc>
        <w:tc>
          <w:tcPr>
            <w:tcW w:w="1080" w:type="dxa"/>
            <w:tcBorders>
              <w:top w:val="single" w:sz="4" w:space="0" w:color="auto"/>
              <w:left w:val="single" w:sz="4" w:space="0" w:color="auto"/>
              <w:bottom w:val="single" w:sz="4" w:space="0" w:color="auto"/>
              <w:right w:val="single" w:sz="4" w:space="0" w:color="auto"/>
            </w:tcBorders>
            <w:vAlign w:val="center"/>
          </w:tcPr>
          <w:p w14:paraId="6F787909" w14:textId="77777777" w:rsidR="005E455F" w:rsidRPr="00FD2C3B" w:rsidRDefault="005E455F" w:rsidP="002F79C3">
            <w:pPr>
              <w:keepNext/>
              <w:keepLines/>
              <w:jc w:val="center"/>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vAlign w:val="center"/>
          </w:tcPr>
          <w:p w14:paraId="7BC83B49"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4B976AD0" w14:textId="77777777" w:rsidR="005E455F" w:rsidRPr="00FD2C3B" w:rsidRDefault="005E455F" w:rsidP="002F79C3">
            <w:pPr>
              <w:keepNext/>
              <w:keepLines/>
              <w:jc w:val="center"/>
              <w:rPr>
                <w:rFonts w:ascii="Arial" w:hAnsi="Arial" w:cs="Arial"/>
                <w:sz w:val="20"/>
                <w:szCs w:val="20"/>
              </w:rPr>
            </w:pPr>
          </w:p>
        </w:tc>
      </w:tr>
      <w:tr w:rsidR="005E455F" w14:paraId="2189D782" w14:textId="77777777" w:rsidTr="002F79C3">
        <w:trPr>
          <w:jc w:val="center"/>
        </w:trPr>
        <w:tc>
          <w:tcPr>
            <w:tcW w:w="1345" w:type="dxa"/>
            <w:tcBorders>
              <w:top w:val="single" w:sz="4" w:space="0" w:color="auto"/>
              <w:left w:val="single" w:sz="4" w:space="0" w:color="auto"/>
              <w:bottom w:val="single" w:sz="4" w:space="0" w:color="auto"/>
              <w:right w:val="single" w:sz="4" w:space="0" w:color="auto"/>
            </w:tcBorders>
            <w:vAlign w:val="bottom"/>
          </w:tcPr>
          <w:p w14:paraId="3A1961D1" w14:textId="77777777" w:rsidR="005E455F" w:rsidRPr="00FD2C3B" w:rsidRDefault="005E455F" w:rsidP="002F79C3">
            <w:pPr>
              <w:keepNext/>
              <w:keepLines/>
              <w:rPr>
                <w:rFonts w:ascii="Arial" w:hAnsi="Arial" w:cs="Arial"/>
                <w:sz w:val="20"/>
                <w:szCs w:val="20"/>
              </w:rPr>
            </w:pPr>
            <w:r w:rsidRPr="00FD2C3B">
              <w:rPr>
                <w:rFonts w:ascii="Arial" w:hAnsi="Arial" w:cs="Arial"/>
                <w:color w:val="000000"/>
                <w:sz w:val="20"/>
                <w:szCs w:val="20"/>
              </w:rPr>
              <w:t>9/12/2017</w:t>
            </w:r>
          </w:p>
        </w:tc>
        <w:tc>
          <w:tcPr>
            <w:tcW w:w="1273" w:type="dxa"/>
            <w:tcBorders>
              <w:top w:val="single" w:sz="4" w:space="0" w:color="auto"/>
              <w:left w:val="single" w:sz="4" w:space="0" w:color="auto"/>
              <w:bottom w:val="single" w:sz="4" w:space="0" w:color="auto"/>
              <w:right w:val="single" w:sz="4" w:space="0" w:color="auto"/>
            </w:tcBorders>
          </w:tcPr>
          <w:p w14:paraId="7ACA6A1C" w14:textId="77777777" w:rsidR="005E455F" w:rsidRPr="00FD2C3B" w:rsidRDefault="005E455F" w:rsidP="002F79C3">
            <w:pPr>
              <w:keepNext/>
              <w:keepLines/>
              <w:jc w:val="center"/>
              <w:rPr>
                <w:rFonts w:ascii="Arial" w:hAnsi="Arial" w:cs="Arial"/>
                <w:sz w:val="20"/>
                <w:szCs w:val="20"/>
              </w:rPr>
            </w:pPr>
            <w:r w:rsidRPr="00FD2C3B">
              <w:rPr>
                <w:rFonts w:ascii="Arial" w:hAnsi="Arial" w:cs="Arial"/>
                <w:sz w:val="20"/>
                <w:szCs w:val="20"/>
              </w:rPr>
              <w:t>Tuesday</w:t>
            </w:r>
          </w:p>
        </w:tc>
        <w:tc>
          <w:tcPr>
            <w:tcW w:w="1080" w:type="dxa"/>
            <w:tcBorders>
              <w:top w:val="single" w:sz="4" w:space="0" w:color="auto"/>
              <w:left w:val="single" w:sz="4" w:space="0" w:color="auto"/>
              <w:bottom w:val="single" w:sz="4" w:space="0" w:color="auto"/>
              <w:right w:val="single" w:sz="4" w:space="0" w:color="auto"/>
            </w:tcBorders>
            <w:vAlign w:val="center"/>
          </w:tcPr>
          <w:p w14:paraId="4255B68C" w14:textId="77777777" w:rsidR="005E455F" w:rsidRPr="00FD2C3B" w:rsidRDefault="005E455F" w:rsidP="002F79C3">
            <w:pPr>
              <w:keepNext/>
              <w:keepLines/>
              <w:jc w:val="center"/>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vAlign w:val="center"/>
          </w:tcPr>
          <w:p w14:paraId="6D48F4CB" w14:textId="77777777" w:rsidR="005E455F" w:rsidRPr="00FD2C3B" w:rsidRDefault="005E455F" w:rsidP="002F79C3">
            <w:pPr>
              <w:keepNext/>
              <w:keepLines/>
              <w:jc w:val="center"/>
              <w:rPr>
                <w:rFonts w:ascii="Arial" w:hAnsi="Arial" w:cs="Arial"/>
                <w:sz w:val="20"/>
                <w:szCs w:val="20"/>
              </w:rPr>
            </w:pPr>
            <w:r w:rsidRPr="00FD2C3B">
              <w:rPr>
                <w:rFonts w:ascii="Arial" w:hAnsi="Arial" w:cs="Arial"/>
                <w:color w:val="000000"/>
                <w:sz w:val="20"/>
                <w:szCs w:val="20"/>
              </w:rPr>
              <w:t>X</w:t>
            </w:r>
          </w:p>
        </w:tc>
        <w:tc>
          <w:tcPr>
            <w:tcW w:w="0" w:type="auto"/>
            <w:tcBorders>
              <w:top w:val="single" w:sz="4" w:space="0" w:color="auto"/>
              <w:left w:val="single" w:sz="4" w:space="0" w:color="auto"/>
              <w:bottom w:val="single" w:sz="4" w:space="0" w:color="auto"/>
              <w:right w:val="single" w:sz="4" w:space="0" w:color="auto"/>
            </w:tcBorders>
            <w:vAlign w:val="center"/>
          </w:tcPr>
          <w:p w14:paraId="22E40B15" w14:textId="77777777" w:rsidR="005E455F" w:rsidRPr="00FD2C3B" w:rsidRDefault="005E455F" w:rsidP="002F79C3">
            <w:pPr>
              <w:keepNext/>
              <w:keepLines/>
              <w:jc w:val="center"/>
              <w:rPr>
                <w:rFonts w:ascii="Arial" w:hAnsi="Arial" w:cs="Arial"/>
                <w:sz w:val="20"/>
                <w:szCs w:val="20"/>
              </w:rPr>
            </w:pPr>
          </w:p>
        </w:tc>
      </w:tr>
    </w:tbl>
    <w:p w14:paraId="401D5684" w14:textId="77777777" w:rsidR="005E455F" w:rsidRDefault="005E455F" w:rsidP="005E455F">
      <w:pPr>
        <w:rPr>
          <w:rFonts w:asciiTheme="minorHAnsi" w:hAnsiTheme="minorHAnsi" w:cstheme="minorHAnsi"/>
        </w:rPr>
      </w:pPr>
    </w:p>
    <w:p w14:paraId="5D5ECF0A" w14:textId="408CD9F3" w:rsidR="005E455F" w:rsidRDefault="005E455F" w:rsidP="005E455F">
      <w:pPr>
        <w:spacing w:after="120"/>
        <w:rPr>
          <w:rFonts w:asciiTheme="minorHAnsi" w:hAnsiTheme="minorHAnsi"/>
        </w:rPr>
      </w:pPr>
      <w:r>
        <w:rPr>
          <w:rFonts w:asciiTheme="minorHAnsi" w:hAnsiTheme="minorHAnsi" w:cstheme="minorHAnsi"/>
        </w:rPr>
        <w:t>While most of the events occurred on a non-holiday weekday, the Saturday, September 2 event at PG&amp;E and SDG&amp;E is the exception. In addition to the events listed above, a statewide Flex Alert (which calls for voluntary reductions in customer usage) was declared for September 1, 2017.</w:t>
      </w:r>
    </w:p>
    <w:p w14:paraId="0461D095" w14:textId="57DD24B1" w:rsidR="00321E09" w:rsidRDefault="007035FF" w:rsidP="00E84DD2">
      <w:pPr>
        <w:pStyle w:val="Heading2"/>
        <w:spacing w:after="120"/>
      </w:pPr>
      <w:bookmarkStart w:id="62" w:name="_Toc509837304"/>
      <w:r>
        <w:t>Report organization</w:t>
      </w:r>
      <w:bookmarkEnd w:id="62"/>
    </w:p>
    <w:p w14:paraId="378B894B" w14:textId="3F0D7888" w:rsidR="00321E09" w:rsidRDefault="00321E09" w:rsidP="00E84DD2">
      <w:pPr>
        <w:spacing w:after="120"/>
      </w:pPr>
      <w:r w:rsidRPr="00812AB6">
        <w:t xml:space="preserve">The report is organized </w:t>
      </w:r>
      <w:r w:rsidR="00D76851" w:rsidRPr="00812AB6">
        <w:t xml:space="preserve">as follows. </w:t>
      </w:r>
      <w:r w:rsidRPr="00812AB6">
        <w:t>Section</w:t>
      </w:r>
      <w:r w:rsidR="00812AB6">
        <w:t xml:space="preserve"> 2</w:t>
      </w:r>
      <w:r w:rsidRPr="00812AB6">
        <w:t xml:space="preserve"> describes the </w:t>
      </w:r>
      <w:r w:rsidR="00FC106E" w:rsidRPr="00812AB6">
        <w:t xml:space="preserve">evaluation </w:t>
      </w:r>
      <w:r w:rsidRPr="00812AB6">
        <w:t>meth</w:t>
      </w:r>
      <w:r w:rsidR="00071500" w:rsidRPr="00812AB6">
        <w:t>ods used in the study; Section</w:t>
      </w:r>
      <w:r w:rsidR="00812AB6">
        <w:t xml:space="preserve"> 3</w:t>
      </w:r>
      <w:r w:rsidRPr="00812AB6">
        <w:t xml:space="preserve"> contains </w:t>
      </w:r>
      <w:r w:rsidR="00812AB6">
        <w:t>PG&amp;E’s</w:t>
      </w:r>
      <w:r w:rsidRPr="00812AB6">
        <w:t xml:space="preserve"> load impact results;</w:t>
      </w:r>
      <w:r w:rsidR="004F33D7" w:rsidRPr="00812AB6">
        <w:t xml:space="preserve"> </w:t>
      </w:r>
      <w:r w:rsidR="00071500" w:rsidRPr="00812AB6">
        <w:t>Section</w:t>
      </w:r>
      <w:r w:rsidR="00812AB6">
        <w:t xml:space="preserve"> 4</w:t>
      </w:r>
      <w:r w:rsidR="004F33D7" w:rsidRPr="00812AB6">
        <w:t xml:space="preserve"> </w:t>
      </w:r>
      <w:r w:rsidR="00812AB6" w:rsidRPr="00812AB6">
        <w:t xml:space="preserve">contains </w:t>
      </w:r>
      <w:r w:rsidR="00812AB6">
        <w:t>SCE’s</w:t>
      </w:r>
      <w:r w:rsidR="00812AB6" w:rsidRPr="00812AB6">
        <w:t xml:space="preserve"> load impact results</w:t>
      </w:r>
      <w:r w:rsidR="00D76851" w:rsidRPr="00812AB6">
        <w:t xml:space="preserve">. </w:t>
      </w:r>
      <w:r w:rsidR="00812AB6" w:rsidRPr="00812AB6">
        <w:t>Section</w:t>
      </w:r>
      <w:r w:rsidR="00812AB6">
        <w:t xml:space="preserve"> 5</w:t>
      </w:r>
      <w:r w:rsidR="00812AB6" w:rsidRPr="00812AB6">
        <w:t xml:space="preserve"> contains </w:t>
      </w:r>
      <w:r w:rsidR="00812AB6">
        <w:t>SDG&amp;E’s</w:t>
      </w:r>
      <w:r w:rsidR="00812AB6" w:rsidRPr="00812AB6">
        <w:t xml:space="preserve"> load impact results.</w:t>
      </w:r>
      <w:r w:rsidR="00812AB6">
        <w:t xml:space="preserve"> </w:t>
      </w:r>
      <w:r w:rsidR="00047B5B" w:rsidRPr="00812AB6">
        <w:t>Section</w:t>
      </w:r>
      <w:r w:rsidR="00812AB6">
        <w:t xml:space="preserve"> 6 </w:t>
      </w:r>
      <w:r w:rsidR="009E5C4E" w:rsidRPr="00812AB6">
        <w:t xml:space="preserve">provides </w:t>
      </w:r>
      <w:r w:rsidRPr="00812AB6">
        <w:t>recommendations.</w:t>
      </w:r>
      <w:r w:rsidRPr="009068D9">
        <w:t xml:space="preserve"> </w:t>
      </w:r>
      <w:r w:rsidR="00812AB6">
        <w:t>Appendices describe the results of our control-group matching process and contain electronic versions of the required Protocol table generators.</w:t>
      </w:r>
    </w:p>
    <w:p w14:paraId="4F147638" w14:textId="46ED9E0A" w:rsidR="000409E9" w:rsidRDefault="006924AF" w:rsidP="00E84DD2">
      <w:pPr>
        <w:pStyle w:val="Heading1"/>
        <w:spacing w:after="120"/>
      </w:pPr>
      <w:bookmarkStart w:id="63" w:name="_Ref506899729"/>
      <w:bookmarkStart w:id="64" w:name="_Toc509837305"/>
      <w:r>
        <w:t xml:space="preserve">Study </w:t>
      </w:r>
      <w:r w:rsidR="00F27AFF">
        <w:t>Methodology</w:t>
      </w:r>
      <w:bookmarkEnd w:id="63"/>
      <w:bookmarkEnd w:id="64"/>
      <w:r w:rsidR="004F33D7">
        <w:t xml:space="preserve"> </w:t>
      </w:r>
    </w:p>
    <w:p w14:paraId="518C34B9" w14:textId="77777777" w:rsidR="000A688F" w:rsidRPr="00A85D9E" w:rsidRDefault="000A688F" w:rsidP="000A688F">
      <w:pPr>
        <w:rPr>
          <w:i/>
        </w:rPr>
      </w:pPr>
      <w:bookmarkStart w:id="65" w:name="_Toc490833538"/>
      <w:bookmarkStart w:id="66" w:name="_Toc491436942"/>
      <w:r w:rsidRPr="00A85D9E">
        <w:rPr>
          <w:i/>
        </w:rPr>
        <w:t>Overview</w:t>
      </w:r>
      <w:bookmarkEnd w:id="65"/>
      <w:bookmarkEnd w:id="66"/>
    </w:p>
    <w:p w14:paraId="0ACF7181" w14:textId="08D8F765" w:rsidR="000A688F" w:rsidRDefault="008C5DE3" w:rsidP="000A688F">
      <w:r>
        <w:t xml:space="preserve">In this </w:t>
      </w:r>
      <w:r w:rsidR="000A688F">
        <w:t>evaluation</w:t>
      </w:r>
      <w:r>
        <w:t xml:space="preserve">, we estimate load impacts using </w:t>
      </w:r>
      <w:r w:rsidR="000A688F">
        <w:t>quasi-experimental matched control group</w:t>
      </w:r>
      <w:r w:rsidR="009D06C7">
        <w:t>s</w:t>
      </w:r>
      <w:r w:rsidR="000A688F">
        <w:t xml:space="preserve">, such that load impacts for CPP participants </w:t>
      </w:r>
      <w:r w:rsidR="009D06C7">
        <w:t>are</w:t>
      </w:r>
      <w:r w:rsidR="000A688F">
        <w:t xml:space="preserve"> estimated by comparing their loads to the control group loads on event days</w:t>
      </w:r>
      <w:r w:rsidR="009D06C7">
        <w:t>, accounting for differences in their loads on non-event days</w:t>
      </w:r>
      <w:r w:rsidR="000A688F">
        <w:t xml:space="preserve">. The eligible control-group customers consist of customers who opted to leave CPP for a TOU-only rate. </w:t>
      </w:r>
    </w:p>
    <w:p w14:paraId="5342229A" w14:textId="77777777" w:rsidR="000A688F" w:rsidRDefault="000A688F" w:rsidP="000A688F"/>
    <w:p w14:paraId="2B364563" w14:textId="6EC5E216" w:rsidR="000A688F" w:rsidRDefault="009D06C7" w:rsidP="000A688F">
      <w:r>
        <w:t>M</w:t>
      </w:r>
      <w:r w:rsidR="000A688F">
        <w:t>atched control</w:t>
      </w:r>
      <w:r>
        <w:t>-</w:t>
      </w:r>
      <w:r w:rsidR="000A688F">
        <w:t>group</w:t>
      </w:r>
      <w:r>
        <w:t xml:space="preserve"> customers are </w:t>
      </w:r>
      <w:r w:rsidR="000A688F">
        <w:t>select</w:t>
      </w:r>
      <w:r>
        <w:t xml:space="preserve">ed </w:t>
      </w:r>
      <w:r w:rsidR="000A688F">
        <w:t xml:space="preserve">based on both available </w:t>
      </w:r>
      <w:r w:rsidR="000A688F" w:rsidRPr="00E712CF">
        <w:rPr>
          <w:i/>
        </w:rPr>
        <w:t>customer characteristics</w:t>
      </w:r>
      <w:r w:rsidR="000A688F">
        <w:t xml:space="preserve"> (</w:t>
      </w:r>
      <w:r w:rsidR="000A688F">
        <w:rPr>
          <w:i/>
        </w:rPr>
        <w:t>e.g.</w:t>
      </w:r>
      <w:r w:rsidR="000A688F">
        <w:t xml:space="preserve">, LCA, industry group, size category) and </w:t>
      </w:r>
      <w:r w:rsidR="000A688F" w:rsidRPr="00E712CF">
        <w:rPr>
          <w:i/>
        </w:rPr>
        <w:t>usage patterns</w:t>
      </w:r>
      <w:r w:rsidR="000A688F">
        <w:t xml:space="preserve"> on non-event days that are </w:t>
      </w:r>
      <w:proofErr w:type="gramStart"/>
      <w:r w:rsidR="000A688F">
        <w:t>similar to</w:t>
      </w:r>
      <w:proofErr w:type="gramEnd"/>
      <w:r w:rsidR="000A688F">
        <w:t xml:space="preserve"> event days. We then estimate event-day load impacts </w:t>
      </w:r>
      <w:r w:rsidR="000A688F">
        <w:lastRenderedPageBreak/>
        <w:t>using a regression-based difference-in-differences (D-in-D) method, which produce estimates of standard errors, and thus confidence intervals around the estimated event-</w:t>
      </w:r>
      <w:r>
        <w:t>hour or event-</w:t>
      </w:r>
      <w:r w:rsidR="000A688F">
        <w:t>day usage reductions. The analysis also account</w:t>
      </w:r>
      <w:r>
        <w:t>s</w:t>
      </w:r>
      <w:r w:rsidR="000A688F">
        <w:t xml:space="preserve"> for (</w:t>
      </w:r>
      <w:r w:rsidR="000A688F">
        <w:rPr>
          <w:i/>
        </w:rPr>
        <w:t>i.e.</w:t>
      </w:r>
      <w:r w:rsidR="000A688F">
        <w:t>, adjust for) differences in usage between the two groups on event-like non-event days, thus representing a D-in-D evaluation approach.</w:t>
      </w:r>
      <w:r w:rsidR="00C93AC2">
        <w:rPr>
          <w:rStyle w:val="FootnoteReference"/>
        </w:rPr>
        <w:footnoteReference w:id="3"/>
      </w:r>
      <w:r w:rsidR="000A688F">
        <w:t xml:space="preserve"> </w:t>
      </w:r>
    </w:p>
    <w:p w14:paraId="5C10BFD4" w14:textId="77777777" w:rsidR="000A688F" w:rsidRDefault="000A688F" w:rsidP="000A688F"/>
    <w:p w14:paraId="4372A40A" w14:textId="77777777" w:rsidR="000A688F" w:rsidRPr="00A85D9E" w:rsidRDefault="000A688F" w:rsidP="000A688F">
      <w:pPr>
        <w:rPr>
          <w:i/>
        </w:rPr>
      </w:pPr>
      <w:bookmarkStart w:id="67" w:name="_Toc490833539"/>
      <w:bookmarkStart w:id="68" w:name="_Toc491436943"/>
      <w:r w:rsidRPr="00A85D9E">
        <w:rPr>
          <w:i/>
        </w:rPr>
        <w:t>Control group selection</w:t>
      </w:r>
      <w:bookmarkEnd w:id="67"/>
      <w:bookmarkEnd w:id="68"/>
    </w:p>
    <w:p w14:paraId="200BDCFD" w14:textId="25349DEC" w:rsidR="000A688F" w:rsidRDefault="000A688F" w:rsidP="000A688F">
      <w:r>
        <w:t xml:space="preserve">The objective in selecting a quasi-experimental matched control group is to identify a group of customers that are as comparable as possible to the treatment customers, particularly in the level and hourly load profile of their usage patterns. </w:t>
      </w:r>
      <w:r w:rsidR="0038652B">
        <w:t>The matching process is based on hourly</w:t>
      </w:r>
      <w:r>
        <w:t xml:space="preserve"> load data for non-event days that are as similar as possible to the actual event days in terms of temperatures and day-type.</w:t>
      </w:r>
      <w:r>
        <w:rPr>
          <w:rStyle w:val="FootnoteReference"/>
        </w:rPr>
        <w:footnoteReference w:id="4"/>
      </w:r>
      <w:r w:rsidR="0038652B">
        <w:t xml:space="preserve"> The event-like non-event days were selected using a Euclidean distance matching method, comparing daily CDD, event-hour temperature, and event-hour relative humidity. The three nearest neighbors were selected for each event day, with the final list trimmed to include only the most relevant days.</w:t>
      </w:r>
    </w:p>
    <w:p w14:paraId="0229A916" w14:textId="15AE4F99" w:rsidR="000A688F" w:rsidRDefault="000A688F" w:rsidP="000A688F"/>
    <w:p w14:paraId="031C0BA7" w14:textId="3002092F" w:rsidR="0038652B" w:rsidRDefault="0038652B" w:rsidP="000A688F">
      <w:r>
        <w:t>The matching is conducted in one or two stages, depending on the ratio of the number of eligible control customers to the number of treatment customers. In most cases</w:t>
      </w:r>
      <w:r w:rsidR="00F773D3">
        <w:t xml:space="preserve"> (all but SCE’s small and medium customers)</w:t>
      </w:r>
      <w:r>
        <w:t>, the pool of eligible control-group customers was relatively small (</w:t>
      </w:r>
      <w:r w:rsidRPr="0038652B">
        <w:rPr>
          <w:i/>
        </w:rPr>
        <w:t>i.e.</w:t>
      </w:r>
      <w:r>
        <w:t xml:space="preserve">, most customers were on the CPP rate) so we conducted a one-stage match using hourly profile data. </w:t>
      </w:r>
      <w:r w:rsidR="00F773D3">
        <w:t>The matches were selected using the Euclidean distance method applied to average hourly load profiles on the event-like non-event days. Two 24-hour profiles were used, one for the hottest days and another for the remainder of the event-like days.</w:t>
      </w:r>
      <w:r w:rsidR="00313A94">
        <w:rPr>
          <w:rStyle w:val="FootnoteReference"/>
        </w:rPr>
        <w:footnoteReference w:id="5"/>
      </w:r>
      <w:r w:rsidR="00F773D3">
        <w:t xml:space="preserve"> </w:t>
      </w:r>
      <w:r w:rsidR="000A688F">
        <w:t xml:space="preserve">To improve the efficiency of the search for comparable customers, we </w:t>
      </w:r>
      <w:r w:rsidR="00F773D3">
        <w:t>f</w:t>
      </w:r>
      <w:r w:rsidR="000A688F">
        <w:t>irst segment CPP customers into groups defined by observable characteristics (</w:t>
      </w:r>
      <w:r w:rsidR="000A688F">
        <w:rPr>
          <w:i/>
        </w:rPr>
        <w:t>e.g.</w:t>
      </w:r>
      <w:r w:rsidR="000A688F">
        <w:t>, utility, size group, climate zone, and industry group).</w:t>
      </w:r>
      <w:r w:rsidR="00313485">
        <w:rPr>
          <w:rStyle w:val="FootnoteReference"/>
        </w:rPr>
        <w:footnoteReference w:id="6"/>
      </w:r>
      <w:r w:rsidR="000A688F">
        <w:t xml:space="preserve"> </w:t>
      </w:r>
    </w:p>
    <w:p w14:paraId="1191CC1C" w14:textId="20B3991A" w:rsidR="0038652B" w:rsidRDefault="0038652B" w:rsidP="000A688F"/>
    <w:p w14:paraId="6E7088CB" w14:textId="52D9B606" w:rsidR="000A688F" w:rsidRPr="00071500" w:rsidRDefault="00F773D3" w:rsidP="000A688F">
      <w:pPr>
        <w:rPr>
          <w:highlight w:val="yellow"/>
        </w:rPr>
      </w:pPr>
      <w:r>
        <w:t xml:space="preserve">For the two cases in which a </w:t>
      </w:r>
      <w:r w:rsidR="000A688F">
        <w:t>large pool of eligible control-group customers</w:t>
      </w:r>
      <w:r>
        <w:t xml:space="preserve"> was available (SCE’s small and medium customers), </w:t>
      </w:r>
      <w:r w:rsidR="000A688F">
        <w:t>we conduc</w:t>
      </w:r>
      <w:r>
        <w:t>ted</w:t>
      </w:r>
      <w:r w:rsidR="000A688F">
        <w:t xml:space="preserve"> a two-stage process. The first stage </w:t>
      </w:r>
      <w:r>
        <w:lastRenderedPageBreak/>
        <w:t>applied Euclidean distance matching to annual usage per day and maximum demand, with matches segmented by size and LCA. The ten nearest neighbors were selected, for which we requested hourly interval data. The second matching stage applies only to these customers, and matches the one-stage process described above. Descriptions of the match quality are provided in the Appendix</w:t>
      </w:r>
      <w:r w:rsidR="00CA1757">
        <w:t xml:space="preserve"> A</w:t>
      </w:r>
      <w:r>
        <w:t>. The load impacts are estimated using a differences-in-differences method described in detail below.</w:t>
      </w:r>
    </w:p>
    <w:p w14:paraId="6E3CD718" w14:textId="0ED214D3" w:rsidR="000A688F" w:rsidRPr="006D46F2" w:rsidRDefault="006D46F2" w:rsidP="000A688F">
      <w:pPr>
        <w:pStyle w:val="Heading2"/>
      </w:pPr>
      <w:bookmarkStart w:id="69" w:name="_Toc326148608"/>
      <w:bookmarkStart w:id="70" w:name="_Toc494460148"/>
      <w:bookmarkStart w:id="71" w:name="_Toc498089312"/>
      <w:bookmarkStart w:id="72" w:name="_Toc509837306"/>
      <w:r w:rsidRPr="006D46F2">
        <w:t>Ex-post Load Impact Evaluation</w:t>
      </w:r>
      <w:bookmarkEnd w:id="69"/>
      <w:bookmarkEnd w:id="70"/>
      <w:bookmarkEnd w:id="71"/>
      <w:bookmarkEnd w:id="72"/>
    </w:p>
    <w:p w14:paraId="2F149D98" w14:textId="035D967F" w:rsidR="000A688F" w:rsidRPr="006A1B70" w:rsidRDefault="000A688F" w:rsidP="000A688F">
      <w:r w:rsidRPr="006A1B70">
        <w:t xml:space="preserve">The objectives of the </w:t>
      </w:r>
      <w:r w:rsidRPr="00F72C7A">
        <w:rPr>
          <w:i/>
        </w:rPr>
        <w:t>ex</w:t>
      </w:r>
      <w:r>
        <w:rPr>
          <w:i/>
        </w:rPr>
        <w:t>-</w:t>
      </w:r>
      <w:r w:rsidRPr="00F72C7A">
        <w:rPr>
          <w:i/>
        </w:rPr>
        <w:t>post</w:t>
      </w:r>
      <w:r w:rsidRPr="006A1B70">
        <w:t xml:space="preserve"> impact evaluation </w:t>
      </w:r>
      <w:r>
        <w:t>were described in Section</w:t>
      </w:r>
      <w:r w:rsidR="00071500">
        <w:t xml:space="preserve"> </w:t>
      </w:r>
      <w:r w:rsidR="00071500">
        <w:fldChar w:fldCharType="begin"/>
      </w:r>
      <w:r w:rsidR="00071500">
        <w:instrText xml:space="preserve"> REF _Ref506975021 \w \h </w:instrText>
      </w:r>
      <w:r w:rsidR="00071500">
        <w:fldChar w:fldCharType="separate"/>
      </w:r>
      <w:r w:rsidR="005D5C7C">
        <w:t>1.1</w:t>
      </w:r>
      <w:r w:rsidR="00071500">
        <w:fldChar w:fldCharType="end"/>
      </w:r>
      <w:r>
        <w:t xml:space="preserve">. </w:t>
      </w:r>
      <w:r w:rsidRPr="006A1B70">
        <w:t xml:space="preserve">This section describes the data and </w:t>
      </w:r>
      <w:r>
        <w:t xml:space="preserve">specific </w:t>
      </w:r>
      <w:r w:rsidRPr="006A1B70">
        <w:t>methods that we use</w:t>
      </w:r>
      <w:r w:rsidR="0024498E">
        <w:t xml:space="preserve"> to meet the objectives</w:t>
      </w:r>
      <w:r w:rsidRPr="006A1B70">
        <w:t>, including a discussion of the estimation of uncertainty-adjusted load impacts and distributions of load impacts.</w:t>
      </w:r>
    </w:p>
    <w:p w14:paraId="44EE9D05" w14:textId="085007BC" w:rsidR="000A688F" w:rsidRPr="00D223A1" w:rsidRDefault="006D46F2" w:rsidP="00D223A1">
      <w:pPr>
        <w:pStyle w:val="Heading3"/>
      </w:pPr>
      <w:bookmarkStart w:id="73" w:name="_Toc509837307"/>
      <w:r w:rsidRPr="00D223A1">
        <w:t>Data</w:t>
      </w:r>
      <w:bookmarkEnd w:id="73"/>
    </w:p>
    <w:p w14:paraId="110AA9A0" w14:textId="52722486" w:rsidR="000A688F" w:rsidRDefault="000A688F" w:rsidP="000A688F">
      <w:r w:rsidRPr="006A1B70">
        <w:t xml:space="preserve">Analysis that addresses each of the load impact objectives listed in Section </w:t>
      </w:r>
      <w:r w:rsidR="00071500">
        <w:fldChar w:fldCharType="begin"/>
      </w:r>
      <w:r w:rsidR="00071500">
        <w:instrText xml:space="preserve"> REF _Ref506975036 \w \h </w:instrText>
      </w:r>
      <w:r w:rsidR="00071500">
        <w:fldChar w:fldCharType="separate"/>
      </w:r>
      <w:r w:rsidR="005D5C7C">
        <w:t>1.1</w:t>
      </w:r>
      <w:r w:rsidR="00071500">
        <w:fldChar w:fldCharType="end"/>
      </w:r>
      <w:r w:rsidRPr="006A1B70">
        <w:t xml:space="preserve"> requires the following types of data:</w:t>
      </w:r>
    </w:p>
    <w:p w14:paraId="611A2CAD" w14:textId="77777777" w:rsidR="000A688F" w:rsidRPr="00CB6333" w:rsidRDefault="000A688F" w:rsidP="000A688F">
      <w:pPr>
        <w:numPr>
          <w:ilvl w:val="0"/>
          <w:numId w:val="35"/>
        </w:numPr>
        <w:rPr>
          <w:szCs w:val="32"/>
        </w:rPr>
      </w:pPr>
      <w:r w:rsidRPr="00CB6333">
        <w:rPr>
          <w:i/>
          <w:szCs w:val="32"/>
        </w:rPr>
        <w:t>Customer</w:t>
      </w:r>
      <w:r w:rsidRPr="00CB6333">
        <w:rPr>
          <w:szCs w:val="32"/>
        </w:rPr>
        <w:t xml:space="preserve"> information for the CPP </w:t>
      </w:r>
      <w:r>
        <w:rPr>
          <w:szCs w:val="32"/>
        </w:rPr>
        <w:t>customers</w:t>
      </w:r>
      <w:r w:rsidRPr="00CB6333">
        <w:rPr>
          <w:szCs w:val="32"/>
        </w:rPr>
        <w:t xml:space="preserve"> and potential control</w:t>
      </w:r>
      <w:r>
        <w:rPr>
          <w:szCs w:val="32"/>
        </w:rPr>
        <w:t>-</w:t>
      </w:r>
      <w:r w:rsidRPr="00CB6333">
        <w:rPr>
          <w:szCs w:val="32"/>
        </w:rPr>
        <w:t>group customers (</w:t>
      </w:r>
      <w:r w:rsidRPr="00CB6333">
        <w:rPr>
          <w:i/>
          <w:szCs w:val="32"/>
        </w:rPr>
        <w:t>e.g</w:t>
      </w:r>
      <w:r w:rsidRPr="00CB6333">
        <w:rPr>
          <w:szCs w:val="32"/>
        </w:rPr>
        <w:t xml:space="preserve">., </w:t>
      </w:r>
      <w:r>
        <w:rPr>
          <w:szCs w:val="32"/>
        </w:rPr>
        <w:t>industry group, weather station, LCA, size group</w:t>
      </w:r>
      <w:r w:rsidRPr="00CB6333">
        <w:rPr>
          <w:szCs w:val="32"/>
        </w:rPr>
        <w:t>);</w:t>
      </w:r>
    </w:p>
    <w:p w14:paraId="4430C29D" w14:textId="77777777" w:rsidR="000A688F" w:rsidRPr="00CB6333" w:rsidRDefault="000A688F" w:rsidP="000A688F">
      <w:pPr>
        <w:numPr>
          <w:ilvl w:val="0"/>
          <w:numId w:val="35"/>
        </w:numPr>
        <w:rPr>
          <w:szCs w:val="32"/>
        </w:rPr>
      </w:pPr>
      <w:r w:rsidRPr="00CB6333">
        <w:rPr>
          <w:szCs w:val="32"/>
        </w:rPr>
        <w:t xml:space="preserve">Billing-based </w:t>
      </w:r>
      <w:r w:rsidRPr="00CB6333">
        <w:rPr>
          <w:i/>
          <w:szCs w:val="32"/>
        </w:rPr>
        <w:t>interval load data</w:t>
      </w:r>
      <w:r>
        <w:rPr>
          <w:i/>
          <w:szCs w:val="32"/>
        </w:rPr>
        <w:t xml:space="preserve"> on event days and event-like non-event days</w:t>
      </w:r>
      <w:r w:rsidRPr="00CB6333">
        <w:rPr>
          <w:szCs w:val="32"/>
        </w:rPr>
        <w:t xml:space="preserve"> (</w:t>
      </w:r>
      <w:r w:rsidRPr="00CB6333">
        <w:rPr>
          <w:i/>
          <w:szCs w:val="32"/>
        </w:rPr>
        <w:t>i.e.</w:t>
      </w:r>
      <w:r w:rsidRPr="00CB6333">
        <w:rPr>
          <w:szCs w:val="32"/>
        </w:rPr>
        <w:t xml:space="preserve">, hourly loads for each </w:t>
      </w:r>
      <w:r>
        <w:rPr>
          <w:szCs w:val="32"/>
        </w:rPr>
        <w:t xml:space="preserve">treatment </w:t>
      </w:r>
      <w:r w:rsidRPr="00CB6333">
        <w:rPr>
          <w:szCs w:val="32"/>
        </w:rPr>
        <w:t>and potential control group customers);</w:t>
      </w:r>
    </w:p>
    <w:p w14:paraId="1DA6CBBE" w14:textId="77777777" w:rsidR="000A688F" w:rsidRPr="00CB6333" w:rsidRDefault="000A688F" w:rsidP="000A688F">
      <w:pPr>
        <w:numPr>
          <w:ilvl w:val="0"/>
          <w:numId w:val="35"/>
        </w:numPr>
        <w:rPr>
          <w:szCs w:val="32"/>
        </w:rPr>
      </w:pPr>
      <w:r w:rsidRPr="00CB6333">
        <w:rPr>
          <w:i/>
          <w:szCs w:val="32"/>
        </w:rPr>
        <w:t>Weather</w:t>
      </w:r>
      <w:r w:rsidRPr="00CB6333">
        <w:rPr>
          <w:szCs w:val="32"/>
        </w:rPr>
        <w:t xml:space="preserve"> </w:t>
      </w:r>
      <w:r w:rsidRPr="00CB6333">
        <w:rPr>
          <w:i/>
          <w:szCs w:val="32"/>
        </w:rPr>
        <w:t>data</w:t>
      </w:r>
      <w:r w:rsidRPr="00CB6333">
        <w:rPr>
          <w:szCs w:val="32"/>
        </w:rPr>
        <w:t xml:space="preserve"> (</w:t>
      </w:r>
      <w:r w:rsidRPr="00CB6333">
        <w:rPr>
          <w:i/>
          <w:szCs w:val="32"/>
        </w:rPr>
        <w:t>i.e.</w:t>
      </w:r>
      <w:r w:rsidRPr="00CB6333">
        <w:rPr>
          <w:szCs w:val="32"/>
        </w:rPr>
        <w:t xml:space="preserve">, hourly temperatures and other variables for the relevant </w:t>
      </w:r>
      <w:proofErr w:type="gramStart"/>
      <w:r w:rsidRPr="00CB6333">
        <w:rPr>
          <w:szCs w:val="32"/>
        </w:rPr>
        <w:t>time period</w:t>
      </w:r>
      <w:proofErr w:type="gramEnd"/>
      <w:r>
        <w:rPr>
          <w:szCs w:val="32"/>
        </w:rPr>
        <w:t>, by weather station</w:t>
      </w:r>
      <w:r w:rsidRPr="00CB6333">
        <w:rPr>
          <w:szCs w:val="32"/>
        </w:rPr>
        <w:t>);</w:t>
      </w:r>
    </w:p>
    <w:p w14:paraId="22E2EF2C" w14:textId="61FD6511" w:rsidR="000A688F" w:rsidRPr="00CB6333" w:rsidRDefault="000A688F" w:rsidP="000A688F">
      <w:pPr>
        <w:numPr>
          <w:ilvl w:val="0"/>
          <w:numId w:val="35"/>
        </w:numPr>
        <w:rPr>
          <w:szCs w:val="32"/>
        </w:rPr>
      </w:pPr>
      <w:r w:rsidRPr="00CB6333">
        <w:rPr>
          <w:i/>
          <w:szCs w:val="32"/>
        </w:rPr>
        <w:t>Program event data</w:t>
      </w:r>
      <w:r w:rsidRPr="00CB6333">
        <w:rPr>
          <w:szCs w:val="32"/>
        </w:rPr>
        <w:t xml:space="preserve"> (</w:t>
      </w:r>
      <w:r w:rsidRPr="00CB6333">
        <w:rPr>
          <w:i/>
          <w:szCs w:val="32"/>
        </w:rPr>
        <w:t>i.e.</w:t>
      </w:r>
      <w:r w:rsidRPr="00CB6333">
        <w:rPr>
          <w:szCs w:val="32"/>
        </w:rPr>
        <w:t>, dates and hours of CPP events</w:t>
      </w:r>
      <w:r w:rsidR="0024498E">
        <w:rPr>
          <w:szCs w:val="32"/>
        </w:rPr>
        <w:t xml:space="preserve"> and any programs in which CPP customers are dually enrolled</w:t>
      </w:r>
      <w:r w:rsidRPr="00CB6333">
        <w:rPr>
          <w:szCs w:val="32"/>
        </w:rPr>
        <w:t>).</w:t>
      </w:r>
      <w:r w:rsidRPr="00CB6333">
        <w:rPr>
          <w:i/>
          <w:szCs w:val="32"/>
        </w:rPr>
        <w:t xml:space="preserve"> </w:t>
      </w:r>
    </w:p>
    <w:p w14:paraId="76FE38D5" w14:textId="2C95576F" w:rsidR="000A688F" w:rsidRPr="00D223A1" w:rsidRDefault="000A688F" w:rsidP="00D223A1">
      <w:pPr>
        <w:pStyle w:val="Heading3"/>
      </w:pPr>
      <w:bookmarkStart w:id="74" w:name="_Toc326148610"/>
      <w:bookmarkStart w:id="75" w:name="_Toc494460150"/>
      <w:bookmarkStart w:id="76" w:name="_Toc498089314"/>
      <w:bookmarkStart w:id="77" w:name="_Ref506888235"/>
      <w:bookmarkStart w:id="78" w:name="_Ref506888287"/>
      <w:bookmarkStart w:id="79" w:name="_Ref506888317"/>
      <w:bookmarkStart w:id="80" w:name="_Ref506974995"/>
      <w:bookmarkStart w:id="81" w:name="_Ref506987984"/>
      <w:bookmarkStart w:id="82" w:name="_Ref506987991"/>
      <w:bookmarkStart w:id="83" w:name="_Ref507503759"/>
      <w:bookmarkStart w:id="84" w:name="_Toc509837308"/>
      <w:r w:rsidRPr="00D223A1">
        <w:t>Analysis Methods</w:t>
      </w:r>
      <w:bookmarkEnd w:id="74"/>
      <w:bookmarkEnd w:id="75"/>
      <w:bookmarkEnd w:id="76"/>
      <w:bookmarkEnd w:id="77"/>
      <w:bookmarkEnd w:id="78"/>
      <w:bookmarkEnd w:id="79"/>
      <w:bookmarkEnd w:id="80"/>
      <w:bookmarkEnd w:id="81"/>
      <w:bookmarkEnd w:id="82"/>
      <w:bookmarkEnd w:id="83"/>
      <w:bookmarkEnd w:id="84"/>
      <w:r w:rsidRPr="00D223A1">
        <w:t xml:space="preserve"> </w:t>
      </w:r>
    </w:p>
    <w:p w14:paraId="11D73905" w14:textId="64F628CD" w:rsidR="000A688F" w:rsidRDefault="003464A8" w:rsidP="000A688F">
      <w:bookmarkStart w:id="85" w:name="_Toc326148611"/>
      <w:bookmarkStart w:id="86" w:name="_Toc326154181"/>
      <w:bookmarkStart w:id="87" w:name="_Toc494460153"/>
      <w:r>
        <w:t>L</w:t>
      </w:r>
      <w:r w:rsidR="000A688F">
        <w:t xml:space="preserve">oad impacts </w:t>
      </w:r>
      <w:r>
        <w:t>are</w:t>
      </w:r>
      <w:r w:rsidR="000A688F">
        <w:t xml:space="preserve"> estimated from panel models estimated separately for each hour of the day and customer sub-group</w:t>
      </w:r>
      <w:r>
        <w:t>, with the model taking the following form</w:t>
      </w:r>
      <w:r w:rsidR="000A688F">
        <w:t>:</w:t>
      </w:r>
    </w:p>
    <w:p w14:paraId="08B32F30" w14:textId="77777777" w:rsidR="000A688F" w:rsidRDefault="000A688F" w:rsidP="000A688F"/>
    <w:p w14:paraId="5D260B05" w14:textId="77777777" w:rsidR="000A688F" w:rsidRDefault="000A688F" w:rsidP="000A688F">
      <w:pPr>
        <w:jc w:val="center"/>
      </w:pPr>
      <w:proofErr w:type="spellStart"/>
      <w:proofErr w:type="gramStart"/>
      <w:r w:rsidRPr="00382333">
        <w:rPr>
          <w:i/>
        </w:rPr>
        <w:t>kW</w:t>
      </w:r>
      <w:r w:rsidRPr="0010173B">
        <w:rPr>
          <w:vertAlign w:val="subscript"/>
        </w:rPr>
        <w:t>c</w:t>
      </w:r>
      <w:r>
        <w:rPr>
          <w:vertAlign w:val="subscript"/>
        </w:rPr>
        <w:t>,</w:t>
      </w:r>
      <w:r w:rsidRPr="0010173B">
        <w:rPr>
          <w:vertAlign w:val="subscript"/>
        </w:rPr>
        <w:t>d</w:t>
      </w:r>
      <w:proofErr w:type="spellEnd"/>
      <w:proofErr w:type="gramEnd"/>
      <w:r>
        <w:t xml:space="preserve"> = β</w:t>
      </w:r>
      <w:r w:rsidRPr="0010173B">
        <w:rPr>
          <w:vertAlign w:val="subscript"/>
        </w:rPr>
        <w:t>0</w:t>
      </w:r>
      <w:r>
        <w:t xml:space="preserve"> + </w:t>
      </w:r>
      <w:proofErr w:type="spellStart"/>
      <w:r>
        <w:t>Σ</w:t>
      </w:r>
      <w:r>
        <w:rPr>
          <w:vertAlign w:val="subscript"/>
        </w:rPr>
        <w:t>Evts</w:t>
      </w:r>
      <w:proofErr w:type="spellEnd"/>
      <w:r>
        <w:rPr>
          <w:vertAlign w:val="subscript"/>
        </w:rPr>
        <w:t>(</w:t>
      </w:r>
      <w:proofErr w:type="spellStart"/>
      <w:r>
        <w:rPr>
          <w:vertAlign w:val="subscript"/>
        </w:rPr>
        <w:t>i</w:t>
      </w:r>
      <w:proofErr w:type="spellEnd"/>
      <w:r>
        <w:rPr>
          <w:vertAlign w:val="subscript"/>
        </w:rPr>
        <w:t>)</w:t>
      </w:r>
      <w:r>
        <w:t xml:space="preserve"> (β</w:t>
      </w:r>
      <w:r w:rsidRPr="0010173B">
        <w:rPr>
          <w:vertAlign w:val="subscript"/>
        </w:rPr>
        <w:t>1</w:t>
      </w:r>
      <w:r>
        <w:rPr>
          <w:vertAlign w:val="subscript"/>
        </w:rPr>
        <w:t>,i</w:t>
      </w:r>
      <w:r>
        <w:t xml:space="preserve"> x </w:t>
      </w:r>
      <w:proofErr w:type="spellStart"/>
      <w:r>
        <w:rPr>
          <w:i/>
        </w:rPr>
        <w:t>CPP</w:t>
      </w:r>
      <w:r w:rsidRPr="0010173B">
        <w:rPr>
          <w:vertAlign w:val="subscript"/>
        </w:rPr>
        <w:t>c</w:t>
      </w:r>
      <w:r>
        <w:rPr>
          <w:vertAlign w:val="subscript"/>
        </w:rPr>
        <w:t>,d</w:t>
      </w:r>
      <w:proofErr w:type="spellEnd"/>
      <w:r>
        <w:t xml:space="preserve"> x </w:t>
      </w:r>
      <w:proofErr w:type="spellStart"/>
      <w:r w:rsidRPr="00382333">
        <w:rPr>
          <w:i/>
        </w:rPr>
        <w:t>Evt</w:t>
      </w:r>
      <w:r>
        <w:rPr>
          <w:vertAlign w:val="subscript"/>
        </w:rPr>
        <w:t>i,d</w:t>
      </w:r>
      <w:proofErr w:type="spellEnd"/>
      <w:r>
        <w:t xml:space="preserve">) + </w:t>
      </w:r>
      <w:r w:rsidRPr="00382333">
        <w:rPr>
          <w:i/>
        </w:rPr>
        <w:t>C</w:t>
      </w:r>
      <w:r w:rsidRPr="00382333">
        <w:rPr>
          <w:i/>
          <w:vertAlign w:val="subscript"/>
        </w:rPr>
        <w:t>c</w:t>
      </w:r>
      <w:r>
        <w:t xml:space="preserve"> + </w:t>
      </w:r>
      <w:proofErr w:type="spellStart"/>
      <w:r w:rsidRPr="00382333">
        <w:rPr>
          <w:i/>
        </w:rPr>
        <w:t>D</w:t>
      </w:r>
      <w:r>
        <w:rPr>
          <w:i/>
          <w:vertAlign w:val="subscript"/>
        </w:rPr>
        <w:t>d</w:t>
      </w:r>
      <w:proofErr w:type="spellEnd"/>
      <w:r>
        <w:t xml:space="preserve"> + </w:t>
      </w:r>
      <w:proofErr w:type="spellStart"/>
      <w:r>
        <w:t>ε</w:t>
      </w:r>
      <w:r w:rsidRPr="00382333">
        <w:rPr>
          <w:vertAlign w:val="subscript"/>
        </w:rPr>
        <w:t>c</w:t>
      </w:r>
      <w:r>
        <w:rPr>
          <w:vertAlign w:val="subscript"/>
        </w:rPr>
        <w:t>,</w:t>
      </w:r>
      <w:r w:rsidRPr="00382333">
        <w:rPr>
          <w:vertAlign w:val="subscript"/>
        </w:rPr>
        <w:t>d</w:t>
      </w:r>
      <w:proofErr w:type="spellEnd"/>
    </w:p>
    <w:p w14:paraId="17819CB4" w14:textId="77777777" w:rsidR="000A688F" w:rsidRDefault="000A688F" w:rsidP="000A688F"/>
    <w:p w14:paraId="62656FB8" w14:textId="77777777" w:rsidR="000A688F" w:rsidRDefault="000A688F" w:rsidP="000A688F">
      <w:r>
        <w:t>The variables and coefficients in the equation are described in the following table:</w:t>
      </w:r>
    </w:p>
    <w:p w14:paraId="687BC6E0" w14:textId="77777777" w:rsidR="000A688F" w:rsidRDefault="000A688F" w:rsidP="000A688F"/>
    <w:p w14:paraId="13A018E9" w14:textId="6100A007" w:rsidR="006D46F2" w:rsidRDefault="006D46F2" w:rsidP="00D41508">
      <w:pPr>
        <w:pStyle w:val="TableCaption"/>
      </w:pPr>
      <w:bookmarkStart w:id="88" w:name="_Toc509837357"/>
      <w:r>
        <w:t xml:space="preserve">Table </w:t>
      </w:r>
      <w:fldSimple w:instr=" STYLEREF 1 \s ">
        <w:r w:rsidR="005D5C7C">
          <w:rPr>
            <w:noProof/>
          </w:rPr>
          <w:t>2</w:t>
        </w:r>
      </w:fldSimple>
      <w:r w:rsidR="0069714C">
        <w:t>.</w:t>
      </w:r>
      <w:fldSimple w:instr=" SEQ Table \* ARABIC \s 1 ">
        <w:r w:rsidR="005D5C7C">
          <w:rPr>
            <w:noProof/>
          </w:rPr>
          <w:t>1</w:t>
        </w:r>
      </w:fldSimple>
      <w:r w:rsidR="00D41508">
        <w:t>:</w:t>
      </w:r>
      <w:r w:rsidR="001210AD">
        <w:t xml:space="preserve"> Panel Model Terms</w:t>
      </w:r>
      <w:bookmarkEnd w:id="88"/>
    </w:p>
    <w:tbl>
      <w:tblPr>
        <w:tblW w:w="0" w:type="auto"/>
        <w:tblLook w:val="04A0" w:firstRow="1" w:lastRow="0" w:firstColumn="1" w:lastColumn="0" w:noHBand="0" w:noVBand="1"/>
      </w:tblPr>
      <w:tblGrid>
        <w:gridCol w:w="1638"/>
        <w:gridCol w:w="6992"/>
      </w:tblGrid>
      <w:tr w:rsidR="000A688F" w14:paraId="7C33C58E" w14:textId="77777777" w:rsidTr="005D41C6">
        <w:tc>
          <w:tcPr>
            <w:tcW w:w="1638" w:type="dxa"/>
            <w:tcBorders>
              <w:left w:val="single" w:sz="4" w:space="0" w:color="auto"/>
              <w:bottom w:val="single" w:sz="4" w:space="0" w:color="auto"/>
              <w:right w:val="single" w:sz="4" w:space="0" w:color="FFFFFF" w:themeColor="background1"/>
            </w:tcBorders>
            <w:shd w:val="clear" w:color="auto" w:fill="0C2577"/>
          </w:tcPr>
          <w:p w14:paraId="6F8961D4" w14:textId="77777777" w:rsidR="000A688F" w:rsidRPr="00D41508" w:rsidRDefault="000A688F" w:rsidP="000755D3">
            <w:pPr>
              <w:keepNext/>
              <w:jc w:val="center"/>
              <w:rPr>
                <w:rFonts w:ascii="Arial" w:hAnsi="Arial" w:cs="Arial"/>
                <w:b/>
                <w:sz w:val="20"/>
              </w:rPr>
            </w:pPr>
            <w:r w:rsidRPr="00D41508">
              <w:rPr>
                <w:rFonts w:ascii="Arial" w:hAnsi="Arial" w:cs="Arial"/>
                <w:b/>
                <w:sz w:val="20"/>
              </w:rPr>
              <w:t>Symbol</w:t>
            </w:r>
          </w:p>
        </w:tc>
        <w:tc>
          <w:tcPr>
            <w:tcW w:w="6992" w:type="dxa"/>
            <w:tcBorders>
              <w:left w:val="single" w:sz="4" w:space="0" w:color="FFFFFF" w:themeColor="background1"/>
              <w:bottom w:val="single" w:sz="4" w:space="0" w:color="auto"/>
            </w:tcBorders>
            <w:shd w:val="clear" w:color="auto" w:fill="0C2577"/>
          </w:tcPr>
          <w:p w14:paraId="047AF5C9" w14:textId="77777777" w:rsidR="000A688F" w:rsidRPr="00D41508" w:rsidRDefault="000A688F" w:rsidP="000755D3">
            <w:pPr>
              <w:keepNext/>
              <w:jc w:val="center"/>
              <w:rPr>
                <w:rFonts w:ascii="Arial" w:hAnsi="Arial" w:cs="Arial"/>
                <w:b/>
                <w:sz w:val="20"/>
              </w:rPr>
            </w:pPr>
            <w:r w:rsidRPr="00D41508">
              <w:rPr>
                <w:rFonts w:ascii="Arial" w:hAnsi="Arial" w:cs="Arial"/>
                <w:b/>
                <w:sz w:val="20"/>
              </w:rPr>
              <w:t>Description</w:t>
            </w:r>
          </w:p>
        </w:tc>
      </w:tr>
      <w:tr w:rsidR="000A688F" w14:paraId="20A64F5E" w14:textId="77777777" w:rsidTr="00546AA7">
        <w:tc>
          <w:tcPr>
            <w:tcW w:w="1638" w:type="dxa"/>
            <w:tcBorders>
              <w:top w:val="single" w:sz="4" w:space="0" w:color="auto"/>
              <w:left w:val="single" w:sz="4" w:space="0" w:color="auto"/>
              <w:bottom w:val="single" w:sz="4" w:space="0" w:color="auto"/>
              <w:right w:val="single" w:sz="4" w:space="0" w:color="auto"/>
            </w:tcBorders>
          </w:tcPr>
          <w:p w14:paraId="692ED8DC" w14:textId="77777777" w:rsidR="000A688F" w:rsidRPr="00D41508" w:rsidRDefault="000A688F" w:rsidP="000755D3">
            <w:pPr>
              <w:keepNext/>
              <w:rPr>
                <w:rFonts w:ascii="Arial" w:hAnsi="Arial" w:cs="Arial"/>
                <w:sz w:val="20"/>
                <w:szCs w:val="22"/>
              </w:rPr>
            </w:pPr>
            <w:proofErr w:type="spellStart"/>
            <w:proofErr w:type="gramStart"/>
            <w:r w:rsidRPr="00D41508">
              <w:rPr>
                <w:rFonts w:ascii="Arial" w:hAnsi="Arial" w:cs="Arial"/>
                <w:i/>
                <w:sz w:val="20"/>
                <w:szCs w:val="22"/>
              </w:rPr>
              <w:t>kW</w:t>
            </w:r>
            <w:r w:rsidRPr="00D41508">
              <w:rPr>
                <w:rFonts w:ascii="Arial" w:hAnsi="Arial" w:cs="Arial"/>
                <w:sz w:val="20"/>
                <w:szCs w:val="22"/>
                <w:vertAlign w:val="subscript"/>
              </w:rPr>
              <w:t>c,d</w:t>
            </w:r>
            <w:proofErr w:type="spellEnd"/>
            <w:proofErr w:type="gramEnd"/>
          </w:p>
        </w:tc>
        <w:tc>
          <w:tcPr>
            <w:tcW w:w="6992" w:type="dxa"/>
            <w:tcBorders>
              <w:top w:val="single" w:sz="4" w:space="0" w:color="auto"/>
              <w:left w:val="single" w:sz="4" w:space="0" w:color="auto"/>
              <w:bottom w:val="single" w:sz="4" w:space="0" w:color="auto"/>
              <w:right w:val="single" w:sz="4" w:space="0" w:color="auto"/>
            </w:tcBorders>
          </w:tcPr>
          <w:p w14:paraId="45426EED" w14:textId="4CA658C3" w:rsidR="000A688F" w:rsidRPr="00D41508" w:rsidRDefault="000A688F" w:rsidP="000755D3">
            <w:pPr>
              <w:keepNext/>
              <w:rPr>
                <w:rFonts w:ascii="Arial" w:hAnsi="Arial" w:cs="Arial"/>
                <w:sz w:val="20"/>
                <w:szCs w:val="22"/>
              </w:rPr>
            </w:pPr>
            <w:r w:rsidRPr="00D41508">
              <w:rPr>
                <w:rFonts w:ascii="Arial" w:hAnsi="Arial" w:cs="Arial"/>
                <w:sz w:val="20"/>
                <w:szCs w:val="22"/>
              </w:rPr>
              <w:t xml:space="preserve">Load </w:t>
            </w:r>
            <w:r w:rsidR="00FB54D3">
              <w:rPr>
                <w:rFonts w:ascii="Arial" w:hAnsi="Arial" w:cs="Arial"/>
                <w:sz w:val="20"/>
                <w:szCs w:val="22"/>
              </w:rPr>
              <w:t>during</w:t>
            </w:r>
            <w:r w:rsidRPr="00D41508">
              <w:rPr>
                <w:rFonts w:ascii="Arial" w:hAnsi="Arial" w:cs="Arial"/>
                <w:sz w:val="20"/>
                <w:szCs w:val="22"/>
              </w:rPr>
              <w:t xml:space="preserve"> a </w:t>
            </w:r>
            <w:r w:rsidR="00FB54D3">
              <w:rPr>
                <w:rFonts w:ascii="Arial" w:hAnsi="Arial" w:cs="Arial"/>
                <w:sz w:val="20"/>
                <w:szCs w:val="22"/>
              </w:rPr>
              <w:t>given</w:t>
            </w:r>
            <w:r w:rsidRPr="00D41508">
              <w:rPr>
                <w:rFonts w:ascii="Arial" w:hAnsi="Arial" w:cs="Arial"/>
                <w:sz w:val="20"/>
                <w:szCs w:val="22"/>
              </w:rPr>
              <w:t xml:space="preserve"> hour for customer </w:t>
            </w:r>
            <w:r w:rsidRPr="00D41508">
              <w:rPr>
                <w:rFonts w:ascii="Arial" w:hAnsi="Arial" w:cs="Arial"/>
                <w:i/>
                <w:sz w:val="20"/>
                <w:szCs w:val="22"/>
              </w:rPr>
              <w:t>c</w:t>
            </w:r>
            <w:r w:rsidRPr="00D41508">
              <w:rPr>
                <w:rFonts w:ascii="Arial" w:hAnsi="Arial" w:cs="Arial"/>
                <w:sz w:val="20"/>
                <w:szCs w:val="22"/>
              </w:rPr>
              <w:t xml:space="preserve"> on day </w:t>
            </w:r>
            <w:r w:rsidRPr="00D41508">
              <w:rPr>
                <w:rFonts w:ascii="Arial" w:hAnsi="Arial" w:cs="Arial"/>
                <w:i/>
                <w:sz w:val="20"/>
                <w:szCs w:val="22"/>
              </w:rPr>
              <w:t>d</w:t>
            </w:r>
          </w:p>
        </w:tc>
      </w:tr>
      <w:tr w:rsidR="000A688F" w14:paraId="10A142EC" w14:textId="77777777" w:rsidTr="00546AA7">
        <w:tc>
          <w:tcPr>
            <w:tcW w:w="1638" w:type="dxa"/>
            <w:tcBorders>
              <w:top w:val="single" w:sz="4" w:space="0" w:color="auto"/>
              <w:left w:val="single" w:sz="4" w:space="0" w:color="auto"/>
              <w:bottom w:val="single" w:sz="4" w:space="0" w:color="auto"/>
              <w:right w:val="single" w:sz="4" w:space="0" w:color="auto"/>
            </w:tcBorders>
          </w:tcPr>
          <w:p w14:paraId="273F97C0" w14:textId="77777777" w:rsidR="000A688F" w:rsidRPr="00D41508" w:rsidRDefault="000A688F" w:rsidP="000755D3">
            <w:pPr>
              <w:keepNext/>
              <w:rPr>
                <w:rFonts w:ascii="Arial" w:hAnsi="Arial" w:cs="Arial"/>
                <w:i/>
                <w:sz w:val="20"/>
                <w:szCs w:val="22"/>
              </w:rPr>
            </w:pPr>
            <w:proofErr w:type="spellStart"/>
            <w:proofErr w:type="gramStart"/>
            <w:r w:rsidRPr="00D41508">
              <w:rPr>
                <w:rFonts w:ascii="Arial" w:hAnsi="Arial" w:cs="Arial"/>
                <w:i/>
                <w:sz w:val="20"/>
                <w:szCs w:val="22"/>
              </w:rPr>
              <w:t>CPP</w:t>
            </w:r>
            <w:r w:rsidRPr="00D41508">
              <w:rPr>
                <w:rFonts w:ascii="Arial" w:hAnsi="Arial" w:cs="Arial"/>
                <w:i/>
                <w:sz w:val="20"/>
                <w:szCs w:val="22"/>
                <w:vertAlign w:val="subscript"/>
              </w:rPr>
              <w:t>c,d</w:t>
            </w:r>
            <w:proofErr w:type="spellEnd"/>
            <w:proofErr w:type="gramEnd"/>
          </w:p>
        </w:tc>
        <w:tc>
          <w:tcPr>
            <w:tcW w:w="6992" w:type="dxa"/>
            <w:tcBorders>
              <w:top w:val="single" w:sz="4" w:space="0" w:color="auto"/>
              <w:left w:val="single" w:sz="4" w:space="0" w:color="auto"/>
              <w:bottom w:val="single" w:sz="4" w:space="0" w:color="auto"/>
              <w:right w:val="single" w:sz="4" w:space="0" w:color="auto"/>
            </w:tcBorders>
          </w:tcPr>
          <w:p w14:paraId="4DAD68FB"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 xml:space="preserve">Variable indicating whether customer </w:t>
            </w:r>
            <w:r w:rsidRPr="00D41508">
              <w:rPr>
                <w:rFonts w:ascii="Arial" w:hAnsi="Arial" w:cs="Arial"/>
                <w:i/>
                <w:sz w:val="20"/>
                <w:szCs w:val="22"/>
              </w:rPr>
              <w:t>c</w:t>
            </w:r>
            <w:r w:rsidRPr="00D41508">
              <w:rPr>
                <w:rFonts w:ascii="Arial" w:hAnsi="Arial" w:cs="Arial"/>
                <w:sz w:val="20"/>
                <w:szCs w:val="22"/>
              </w:rPr>
              <w:t xml:space="preserve"> is a CPP (1) or Control (0) customer </w:t>
            </w:r>
          </w:p>
        </w:tc>
      </w:tr>
      <w:tr w:rsidR="000A688F" w14:paraId="08027144" w14:textId="77777777" w:rsidTr="00546AA7">
        <w:tc>
          <w:tcPr>
            <w:tcW w:w="1638" w:type="dxa"/>
            <w:tcBorders>
              <w:top w:val="single" w:sz="4" w:space="0" w:color="auto"/>
              <w:left w:val="single" w:sz="4" w:space="0" w:color="auto"/>
              <w:bottom w:val="single" w:sz="4" w:space="0" w:color="auto"/>
              <w:right w:val="single" w:sz="4" w:space="0" w:color="auto"/>
            </w:tcBorders>
          </w:tcPr>
          <w:p w14:paraId="15911421" w14:textId="77777777" w:rsidR="000A688F" w:rsidRPr="00D41508" w:rsidRDefault="000A688F" w:rsidP="000755D3">
            <w:pPr>
              <w:keepNext/>
              <w:rPr>
                <w:rFonts w:ascii="Arial" w:hAnsi="Arial" w:cs="Arial"/>
                <w:i/>
                <w:sz w:val="20"/>
                <w:szCs w:val="22"/>
              </w:rPr>
            </w:pPr>
            <w:proofErr w:type="spellStart"/>
            <w:proofErr w:type="gramStart"/>
            <w:r w:rsidRPr="00D41508">
              <w:rPr>
                <w:rFonts w:ascii="Arial" w:hAnsi="Arial" w:cs="Arial"/>
                <w:i/>
                <w:sz w:val="20"/>
                <w:szCs w:val="22"/>
              </w:rPr>
              <w:t>Evt</w:t>
            </w:r>
            <w:r w:rsidRPr="00D41508">
              <w:rPr>
                <w:rFonts w:ascii="Arial" w:hAnsi="Arial" w:cs="Arial"/>
                <w:i/>
                <w:sz w:val="20"/>
                <w:szCs w:val="22"/>
                <w:vertAlign w:val="subscript"/>
              </w:rPr>
              <w:t>i,d</w:t>
            </w:r>
            <w:proofErr w:type="spellEnd"/>
            <w:proofErr w:type="gramEnd"/>
          </w:p>
        </w:tc>
        <w:tc>
          <w:tcPr>
            <w:tcW w:w="6992" w:type="dxa"/>
            <w:tcBorders>
              <w:top w:val="single" w:sz="4" w:space="0" w:color="auto"/>
              <w:left w:val="single" w:sz="4" w:space="0" w:color="auto"/>
              <w:bottom w:val="single" w:sz="4" w:space="0" w:color="auto"/>
              <w:right w:val="single" w:sz="4" w:space="0" w:color="auto"/>
            </w:tcBorders>
          </w:tcPr>
          <w:p w14:paraId="79BDF8E5" w14:textId="64E5D337" w:rsidR="000A688F" w:rsidRPr="00D41508" w:rsidRDefault="000A688F" w:rsidP="000755D3">
            <w:pPr>
              <w:keepNext/>
              <w:rPr>
                <w:rFonts w:ascii="Arial" w:hAnsi="Arial" w:cs="Arial"/>
                <w:sz w:val="20"/>
                <w:szCs w:val="22"/>
              </w:rPr>
            </w:pPr>
            <w:r w:rsidRPr="00D41508">
              <w:rPr>
                <w:rFonts w:ascii="Arial" w:hAnsi="Arial" w:cs="Arial"/>
                <w:sz w:val="20"/>
                <w:szCs w:val="22"/>
              </w:rPr>
              <w:t xml:space="preserve">Variable indicating that day </w:t>
            </w:r>
            <w:r w:rsidRPr="00D41508">
              <w:rPr>
                <w:rFonts w:ascii="Arial" w:hAnsi="Arial" w:cs="Arial"/>
                <w:i/>
                <w:sz w:val="20"/>
                <w:szCs w:val="22"/>
              </w:rPr>
              <w:t>d</w:t>
            </w:r>
            <w:r w:rsidRPr="00D41508">
              <w:rPr>
                <w:rFonts w:ascii="Arial" w:hAnsi="Arial" w:cs="Arial"/>
                <w:sz w:val="20"/>
                <w:szCs w:val="22"/>
              </w:rPr>
              <w:t xml:space="preserve"> is the </w:t>
            </w:r>
            <w:proofErr w:type="spellStart"/>
            <w:r w:rsidRPr="00D41508">
              <w:rPr>
                <w:rFonts w:ascii="Arial" w:hAnsi="Arial" w:cs="Arial"/>
                <w:i/>
                <w:sz w:val="20"/>
                <w:szCs w:val="22"/>
              </w:rPr>
              <w:t>i</w:t>
            </w:r>
            <w:r w:rsidRPr="00D41508">
              <w:rPr>
                <w:rFonts w:ascii="Arial" w:hAnsi="Arial" w:cs="Arial"/>
                <w:sz w:val="20"/>
                <w:szCs w:val="22"/>
                <w:vertAlign w:val="superscript"/>
              </w:rPr>
              <w:t>th</w:t>
            </w:r>
            <w:proofErr w:type="spellEnd"/>
            <w:r w:rsidRPr="00D41508">
              <w:rPr>
                <w:rFonts w:ascii="Arial" w:hAnsi="Arial" w:cs="Arial"/>
                <w:sz w:val="20"/>
                <w:szCs w:val="22"/>
              </w:rPr>
              <w:t xml:space="preserve"> event day (1</w:t>
            </w:r>
            <w:r w:rsidR="00FB54D3">
              <w:rPr>
                <w:rFonts w:ascii="Arial" w:hAnsi="Arial" w:cs="Arial"/>
                <w:sz w:val="20"/>
                <w:szCs w:val="22"/>
              </w:rPr>
              <w:t>) or not (</w:t>
            </w:r>
            <w:r w:rsidRPr="00D41508">
              <w:rPr>
                <w:rFonts w:ascii="Arial" w:hAnsi="Arial" w:cs="Arial"/>
                <w:sz w:val="20"/>
                <w:szCs w:val="22"/>
              </w:rPr>
              <w:t>0)</w:t>
            </w:r>
          </w:p>
        </w:tc>
      </w:tr>
      <w:tr w:rsidR="000A688F" w14:paraId="551C17DD" w14:textId="77777777" w:rsidTr="00546AA7">
        <w:tc>
          <w:tcPr>
            <w:tcW w:w="1638" w:type="dxa"/>
            <w:tcBorders>
              <w:top w:val="single" w:sz="4" w:space="0" w:color="auto"/>
              <w:left w:val="single" w:sz="4" w:space="0" w:color="auto"/>
              <w:bottom w:val="single" w:sz="4" w:space="0" w:color="auto"/>
              <w:right w:val="single" w:sz="4" w:space="0" w:color="auto"/>
            </w:tcBorders>
          </w:tcPr>
          <w:p w14:paraId="60BFEBC8"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β</w:t>
            </w:r>
            <w:r w:rsidRPr="00D41508">
              <w:rPr>
                <w:rFonts w:ascii="Arial" w:hAnsi="Arial" w:cs="Arial"/>
                <w:sz w:val="20"/>
                <w:szCs w:val="22"/>
                <w:vertAlign w:val="subscript"/>
              </w:rPr>
              <w:t>0</w:t>
            </w:r>
          </w:p>
        </w:tc>
        <w:tc>
          <w:tcPr>
            <w:tcW w:w="6992" w:type="dxa"/>
            <w:tcBorders>
              <w:top w:val="single" w:sz="4" w:space="0" w:color="auto"/>
              <w:left w:val="single" w:sz="4" w:space="0" w:color="auto"/>
              <w:bottom w:val="single" w:sz="4" w:space="0" w:color="auto"/>
              <w:right w:val="single" w:sz="4" w:space="0" w:color="auto"/>
            </w:tcBorders>
          </w:tcPr>
          <w:p w14:paraId="3DC54CB2"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Estimated constant coefficient</w:t>
            </w:r>
          </w:p>
        </w:tc>
      </w:tr>
      <w:tr w:rsidR="000A688F" w14:paraId="22AD3354" w14:textId="77777777" w:rsidTr="00546AA7">
        <w:tc>
          <w:tcPr>
            <w:tcW w:w="1638" w:type="dxa"/>
            <w:tcBorders>
              <w:top w:val="single" w:sz="4" w:space="0" w:color="auto"/>
              <w:left w:val="single" w:sz="4" w:space="0" w:color="auto"/>
              <w:bottom w:val="single" w:sz="4" w:space="0" w:color="auto"/>
              <w:right w:val="single" w:sz="4" w:space="0" w:color="auto"/>
            </w:tcBorders>
          </w:tcPr>
          <w:p w14:paraId="31CC52E7"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β</w:t>
            </w:r>
            <w:r w:rsidRPr="00D41508">
              <w:rPr>
                <w:rFonts w:ascii="Arial" w:hAnsi="Arial" w:cs="Arial"/>
                <w:sz w:val="20"/>
                <w:szCs w:val="22"/>
                <w:vertAlign w:val="subscript"/>
              </w:rPr>
              <w:t xml:space="preserve"> </w:t>
            </w:r>
            <w:proofErr w:type="gramStart"/>
            <w:r w:rsidRPr="00D41508">
              <w:rPr>
                <w:rFonts w:ascii="Arial" w:hAnsi="Arial" w:cs="Arial"/>
                <w:sz w:val="20"/>
                <w:szCs w:val="22"/>
                <w:vertAlign w:val="subscript"/>
              </w:rPr>
              <w:t>1,i</w:t>
            </w:r>
            <w:proofErr w:type="gramEnd"/>
          </w:p>
        </w:tc>
        <w:tc>
          <w:tcPr>
            <w:tcW w:w="6992" w:type="dxa"/>
            <w:tcBorders>
              <w:top w:val="single" w:sz="4" w:space="0" w:color="auto"/>
              <w:left w:val="single" w:sz="4" w:space="0" w:color="auto"/>
              <w:bottom w:val="single" w:sz="4" w:space="0" w:color="auto"/>
              <w:right w:val="single" w:sz="4" w:space="0" w:color="auto"/>
            </w:tcBorders>
          </w:tcPr>
          <w:p w14:paraId="069524B0"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 xml:space="preserve">Estimated load impact for event </w:t>
            </w:r>
            <w:proofErr w:type="spellStart"/>
            <w:r w:rsidRPr="00D41508">
              <w:rPr>
                <w:rFonts w:ascii="Arial" w:hAnsi="Arial" w:cs="Arial"/>
                <w:i/>
                <w:sz w:val="20"/>
                <w:szCs w:val="22"/>
              </w:rPr>
              <w:t>i</w:t>
            </w:r>
            <w:proofErr w:type="spellEnd"/>
          </w:p>
        </w:tc>
      </w:tr>
      <w:tr w:rsidR="000A688F" w14:paraId="4B1DA0E9" w14:textId="77777777" w:rsidTr="00546AA7">
        <w:tc>
          <w:tcPr>
            <w:tcW w:w="1638" w:type="dxa"/>
            <w:tcBorders>
              <w:top w:val="single" w:sz="4" w:space="0" w:color="auto"/>
              <w:left w:val="single" w:sz="4" w:space="0" w:color="auto"/>
              <w:bottom w:val="single" w:sz="4" w:space="0" w:color="auto"/>
              <w:right w:val="single" w:sz="4" w:space="0" w:color="auto"/>
            </w:tcBorders>
          </w:tcPr>
          <w:p w14:paraId="6996EA9D" w14:textId="77777777" w:rsidR="000A688F" w:rsidRPr="00D41508" w:rsidRDefault="000A688F" w:rsidP="000755D3">
            <w:pPr>
              <w:keepNext/>
              <w:rPr>
                <w:rFonts w:ascii="Arial" w:hAnsi="Arial" w:cs="Arial"/>
                <w:sz w:val="20"/>
                <w:szCs w:val="22"/>
              </w:rPr>
            </w:pPr>
            <w:r w:rsidRPr="00D41508">
              <w:rPr>
                <w:rFonts w:ascii="Arial" w:hAnsi="Arial" w:cs="Arial"/>
                <w:i/>
                <w:sz w:val="20"/>
                <w:szCs w:val="22"/>
              </w:rPr>
              <w:t>C</w:t>
            </w:r>
            <w:r w:rsidRPr="00D41508">
              <w:rPr>
                <w:rFonts w:ascii="Arial" w:hAnsi="Arial" w:cs="Arial"/>
                <w:i/>
                <w:sz w:val="20"/>
                <w:szCs w:val="22"/>
                <w:vertAlign w:val="subscript"/>
              </w:rPr>
              <w:t>c</w:t>
            </w:r>
          </w:p>
        </w:tc>
        <w:tc>
          <w:tcPr>
            <w:tcW w:w="6992" w:type="dxa"/>
            <w:tcBorders>
              <w:top w:val="single" w:sz="4" w:space="0" w:color="auto"/>
              <w:left w:val="single" w:sz="4" w:space="0" w:color="auto"/>
              <w:bottom w:val="single" w:sz="4" w:space="0" w:color="auto"/>
              <w:right w:val="single" w:sz="4" w:space="0" w:color="auto"/>
            </w:tcBorders>
          </w:tcPr>
          <w:p w14:paraId="5DB385B7"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Customer fixed effects</w:t>
            </w:r>
          </w:p>
        </w:tc>
      </w:tr>
      <w:tr w:rsidR="000A688F" w14:paraId="22B75A28" w14:textId="77777777" w:rsidTr="00546AA7">
        <w:tc>
          <w:tcPr>
            <w:tcW w:w="1638" w:type="dxa"/>
            <w:tcBorders>
              <w:top w:val="single" w:sz="4" w:space="0" w:color="auto"/>
              <w:left w:val="single" w:sz="4" w:space="0" w:color="auto"/>
              <w:bottom w:val="single" w:sz="4" w:space="0" w:color="auto"/>
              <w:right w:val="single" w:sz="4" w:space="0" w:color="auto"/>
            </w:tcBorders>
          </w:tcPr>
          <w:p w14:paraId="4AB2E5E8" w14:textId="77777777" w:rsidR="000A688F" w:rsidRPr="00D41508" w:rsidRDefault="000A688F" w:rsidP="000755D3">
            <w:pPr>
              <w:keepNext/>
              <w:rPr>
                <w:rFonts w:ascii="Arial" w:hAnsi="Arial" w:cs="Arial"/>
                <w:sz w:val="20"/>
                <w:szCs w:val="22"/>
              </w:rPr>
            </w:pPr>
            <w:proofErr w:type="spellStart"/>
            <w:r w:rsidRPr="00D41508">
              <w:rPr>
                <w:rFonts w:ascii="Arial" w:hAnsi="Arial" w:cs="Arial"/>
                <w:i/>
                <w:sz w:val="20"/>
                <w:szCs w:val="22"/>
              </w:rPr>
              <w:t>D</w:t>
            </w:r>
            <w:r w:rsidRPr="00D41508">
              <w:rPr>
                <w:rFonts w:ascii="Arial" w:hAnsi="Arial" w:cs="Arial"/>
                <w:i/>
                <w:sz w:val="20"/>
                <w:szCs w:val="22"/>
                <w:vertAlign w:val="subscript"/>
              </w:rPr>
              <w:t>d</w:t>
            </w:r>
            <w:proofErr w:type="spellEnd"/>
          </w:p>
        </w:tc>
        <w:tc>
          <w:tcPr>
            <w:tcW w:w="6992" w:type="dxa"/>
            <w:tcBorders>
              <w:top w:val="single" w:sz="4" w:space="0" w:color="auto"/>
              <w:left w:val="single" w:sz="4" w:space="0" w:color="auto"/>
              <w:bottom w:val="single" w:sz="4" w:space="0" w:color="auto"/>
              <w:right w:val="single" w:sz="4" w:space="0" w:color="auto"/>
            </w:tcBorders>
          </w:tcPr>
          <w:p w14:paraId="4C2AD843" w14:textId="77777777" w:rsidR="000A688F" w:rsidRPr="00D41508" w:rsidRDefault="000A688F" w:rsidP="000755D3">
            <w:pPr>
              <w:keepNext/>
              <w:rPr>
                <w:rFonts w:ascii="Arial" w:hAnsi="Arial" w:cs="Arial"/>
                <w:sz w:val="20"/>
                <w:szCs w:val="22"/>
              </w:rPr>
            </w:pPr>
            <w:r w:rsidRPr="00D41508">
              <w:rPr>
                <w:rFonts w:ascii="Arial" w:hAnsi="Arial" w:cs="Arial"/>
                <w:sz w:val="20"/>
                <w:szCs w:val="22"/>
              </w:rPr>
              <w:t>Date fixed effects</w:t>
            </w:r>
          </w:p>
        </w:tc>
      </w:tr>
      <w:tr w:rsidR="000A688F" w14:paraId="0CA3832D" w14:textId="77777777" w:rsidTr="00546AA7">
        <w:tc>
          <w:tcPr>
            <w:tcW w:w="1638" w:type="dxa"/>
            <w:tcBorders>
              <w:top w:val="single" w:sz="4" w:space="0" w:color="auto"/>
              <w:left w:val="single" w:sz="4" w:space="0" w:color="auto"/>
              <w:bottom w:val="single" w:sz="4" w:space="0" w:color="auto"/>
              <w:right w:val="single" w:sz="4" w:space="0" w:color="auto"/>
            </w:tcBorders>
          </w:tcPr>
          <w:p w14:paraId="6F0A85DF" w14:textId="77777777" w:rsidR="000A688F" w:rsidRPr="00D41508" w:rsidRDefault="000A688F" w:rsidP="000755D3">
            <w:pPr>
              <w:keepNext/>
              <w:rPr>
                <w:rFonts w:ascii="Arial" w:hAnsi="Arial" w:cs="Arial"/>
                <w:sz w:val="20"/>
                <w:szCs w:val="22"/>
              </w:rPr>
            </w:pPr>
            <w:proofErr w:type="spellStart"/>
            <w:r w:rsidRPr="00D41508">
              <w:rPr>
                <w:rFonts w:ascii="Arial" w:hAnsi="Arial" w:cs="Arial"/>
                <w:sz w:val="20"/>
                <w:szCs w:val="22"/>
              </w:rPr>
              <w:t>ε</w:t>
            </w:r>
            <w:proofErr w:type="gramStart"/>
            <w:r w:rsidRPr="00D41508">
              <w:rPr>
                <w:rFonts w:ascii="Arial" w:hAnsi="Arial" w:cs="Arial"/>
                <w:sz w:val="20"/>
                <w:szCs w:val="22"/>
                <w:vertAlign w:val="subscript"/>
              </w:rPr>
              <w:t>c,d</w:t>
            </w:r>
            <w:proofErr w:type="spellEnd"/>
            <w:proofErr w:type="gramEnd"/>
          </w:p>
        </w:tc>
        <w:tc>
          <w:tcPr>
            <w:tcW w:w="6992" w:type="dxa"/>
            <w:tcBorders>
              <w:top w:val="single" w:sz="4" w:space="0" w:color="auto"/>
              <w:left w:val="single" w:sz="4" w:space="0" w:color="auto"/>
              <w:bottom w:val="single" w:sz="4" w:space="0" w:color="auto"/>
              <w:right w:val="single" w:sz="4" w:space="0" w:color="auto"/>
            </w:tcBorders>
          </w:tcPr>
          <w:p w14:paraId="01BEB7F2" w14:textId="384AEB03" w:rsidR="000A688F" w:rsidRPr="00D41508" w:rsidRDefault="000A688F" w:rsidP="000755D3">
            <w:pPr>
              <w:keepNext/>
              <w:rPr>
                <w:rFonts w:ascii="Arial" w:hAnsi="Arial" w:cs="Arial"/>
                <w:sz w:val="20"/>
                <w:szCs w:val="22"/>
              </w:rPr>
            </w:pPr>
            <w:r w:rsidRPr="00D41508">
              <w:rPr>
                <w:rFonts w:ascii="Arial" w:hAnsi="Arial" w:cs="Arial"/>
                <w:sz w:val="20"/>
                <w:szCs w:val="22"/>
              </w:rPr>
              <w:t>Error term</w:t>
            </w:r>
            <w:r w:rsidR="00FB54D3">
              <w:rPr>
                <w:rFonts w:ascii="Arial" w:hAnsi="Arial" w:cs="Arial"/>
                <w:sz w:val="20"/>
                <w:szCs w:val="22"/>
              </w:rPr>
              <w:t xml:space="preserve"> (correlated at the customer level) </w:t>
            </w:r>
          </w:p>
        </w:tc>
      </w:tr>
    </w:tbl>
    <w:p w14:paraId="77EC1B08" w14:textId="77777777" w:rsidR="000A688F" w:rsidRDefault="000A688F" w:rsidP="000A688F"/>
    <w:p w14:paraId="37D5EFE4" w14:textId="467D7103" w:rsidR="000A688F" w:rsidRDefault="00025EDD" w:rsidP="000A688F">
      <w:r>
        <w:lastRenderedPageBreak/>
        <w:t xml:space="preserve">The model includes date and customer fixed effects to account for factors that commonly affect all customers over time such as weather and </w:t>
      </w:r>
      <w:r w:rsidR="003464A8">
        <w:t xml:space="preserve">time-invariant </w:t>
      </w:r>
      <w:r>
        <w:t>customer characteristics (such as establishment size). In addition, the model can include additional variables, including indicators for other program events in which treatment customers are dually enrolled; weather variables such as the mean temperature across the first 17 hours of the day</w:t>
      </w:r>
      <w:r>
        <w:rPr>
          <w:rStyle w:val="FootnoteReference"/>
        </w:rPr>
        <w:footnoteReference w:id="7"/>
      </w:r>
      <w:r>
        <w:t>; and a “morning load” variable, which is the average usage during the first 10 hours the day.</w:t>
      </w:r>
      <w:r>
        <w:rPr>
          <w:rStyle w:val="FootnoteReference"/>
        </w:rPr>
        <w:footnoteReference w:id="8"/>
      </w:r>
      <w:r>
        <w:t xml:space="preserve"> The </w:t>
      </w:r>
      <w:r w:rsidRPr="00271447">
        <w:rPr>
          <w:rFonts w:ascii="Symbol" w:hAnsi="Symbol"/>
          <w:i/>
        </w:rPr>
        <w:t></w:t>
      </w:r>
      <w:proofErr w:type="gramStart"/>
      <w:r w:rsidRPr="00271447">
        <w:rPr>
          <w:i/>
          <w:vertAlign w:val="subscript"/>
        </w:rPr>
        <w:t>1,i</w:t>
      </w:r>
      <w:proofErr w:type="gramEnd"/>
      <w:r>
        <w:t xml:space="preserve"> coefficients represent the estimated load impacts for each hour of every event day.</w:t>
      </w:r>
    </w:p>
    <w:p w14:paraId="2560E169" w14:textId="77777777" w:rsidR="000A688F" w:rsidRDefault="000A688F" w:rsidP="000A688F"/>
    <w:p w14:paraId="10B43BFC" w14:textId="2BB18E2D" w:rsidR="000A688F" w:rsidRDefault="000A688F" w:rsidP="000A688F">
      <w:r>
        <w:t xml:space="preserve">This model </w:t>
      </w:r>
      <w:r w:rsidR="003464A8">
        <w:t>is</w:t>
      </w:r>
      <w:r>
        <w:t xml:space="preserve"> estimated separately for each hour of the day using only event and event-like non-event days, and </w:t>
      </w:r>
      <w:r w:rsidR="003464A8">
        <w:t>is</w:t>
      </w:r>
      <w:r>
        <w:t xml:space="preserve"> estimated for all required sub-groups. </w:t>
      </w:r>
    </w:p>
    <w:p w14:paraId="6D6DE6EB" w14:textId="77777777" w:rsidR="000A688F" w:rsidRDefault="000A688F" w:rsidP="000A688F"/>
    <w:p w14:paraId="3C7A0A2F" w14:textId="77777777" w:rsidR="000A688F" w:rsidRPr="00947F99" w:rsidRDefault="000A688F" w:rsidP="003464A8">
      <w:pPr>
        <w:spacing w:after="120"/>
        <w:rPr>
          <w:i/>
        </w:rPr>
      </w:pPr>
      <w:r w:rsidRPr="00947F99">
        <w:rPr>
          <w:i/>
        </w:rPr>
        <w:t>Estimating distributions of load impacts for different customer segments</w:t>
      </w:r>
      <w:bookmarkEnd w:id="85"/>
      <w:bookmarkEnd w:id="86"/>
      <w:bookmarkEnd w:id="87"/>
    </w:p>
    <w:p w14:paraId="30E57096" w14:textId="0D08E178" w:rsidR="000A688F" w:rsidRDefault="003464A8" w:rsidP="000A688F">
      <w:pPr>
        <w:rPr>
          <w:szCs w:val="32"/>
        </w:rPr>
      </w:pPr>
      <w:r>
        <w:t>T</w:t>
      </w:r>
      <w:r w:rsidR="000A688F">
        <w:t>he distribution of load impacts across different subgroups of customers</w:t>
      </w:r>
      <w:r>
        <w:t xml:space="preserve"> is explored </w:t>
      </w:r>
      <w:r w:rsidR="00D777DE">
        <w:t>by performing load impact analys</w:t>
      </w:r>
      <w:r>
        <w:t>e</w:t>
      </w:r>
      <w:r w:rsidR="00D777DE">
        <w:t>s at the subgroup level</w:t>
      </w:r>
      <w:r w:rsidR="007155F7">
        <w:t xml:space="preserve"> (</w:t>
      </w:r>
      <w:r w:rsidR="007155F7" w:rsidRPr="003464A8">
        <w:rPr>
          <w:i/>
        </w:rPr>
        <w:t>e.g.</w:t>
      </w:r>
      <w:r>
        <w:t>,</w:t>
      </w:r>
      <w:r w:rsidR="007155F7">
        <w:t xml:space="preserve"> load impacts for </w:t>
      </w:r>
      <w:proofErr w:type="spellStart"/>
      <w:r w:rsidR="007155F7">
        <w:t>AutoDR</w:t>
      </w:r>
      <w:proofErr w:type="spellEnd"/>
      <w:r w:rsidR="007155F7">
        <w:t xml:space="preserve"> and TA/TI participants, </w:t>
      </w:r>
      <w:r>
        <w:t>by LCA, or industry group</w:t>
      </w:r>
      <w:r w:rsidR="007155F7">
        <w:t>)</w:t>
      </w:r>
      <w:r w:rsidR="00D777DE">
        <w:t>.</w:t>
      </w:r>
    </w:p>
    <w:p w14:paraId="6D1CF737" w14:textId="77777777" w:rsidR="000A688F" w:rsidRPr="004132DB" w:rsidRDefault="000A688F" w:rsidP="000A688F">
      <w:pPr>
        <w:rPr>
          <w:szCs w:val="32"/>
        </w:rPr>
      </w:pPr>
    </w:p>
    <w:p w14:paraId="0B44F930" w14:textId="77777777" w:rsidR="000A688F" w:rsidRPr="00947F99" w:rsidRDefault="000A688F" w:rsidP="003464A8">
      <w:pPr>
        <w:spacing w:after="120"/>
        <w:rPr>
          <w:i/>
        </w:rPr>
      </w:pPr>
      <w:bookmarkStart w:id="89" w:name="_Toc326154182"/>
      <w:bookmarkStart w:id="90" w:name="_Toc494460154"/>
      <w:r w:rsidRPr="00947F99">
        <w:rPr>
          <w:i/>
        </w:rPr>
        <w:t>Calculating uncertainty-adjusted load impacts</w:t>
      </w:r>
      <w:bookmarkEnd w:id="89"/>
      <w:bookmarkEnd w:id="90"/>
    </w:p>
    <w:p w14:paraId="701851D2" w14:textId="102A1FFD" w:rsidR="000A688F" w:rsidRDefault="000A688F" w:rsidP="000A688F">
      <w:r w:rsidRPr="00D377BF">
        <w:t xml:space="preserve">The Load Impact Protocols require the estimation of uncertainty-adjusted load impacts. </w:t>
      </w:r>
      <w:r>
        <w:t xml:space="preserve">Thus, in addition to producing point estimates of the </w:t>
      </w:r>
      <w:r w:rsidRPr="00234447">
        <w:rPr>
          <w:i/>
        </w:rPr>
        <w:t>ex-post</w:t>
      </w:r>
      <w:r>
        <w:t xml:space="preserve"> load impacts, we produce </w:t>
      </w:r>
      <w:r>
        <w:rPr>
          <w:i/>
        </w:rPr>
        <w:t>uncertainty</w:t>
      </w:r>
      <w:r w:rsidRPr="00433724">
        <w:rPr>
          <w:i/>
        </w:rPr>
        <w:t>-adjusted</w:t>
      </w:r>
      <w:r>
        <w:t xml:space="preserve"> program impacts for each event, which show the uncertainty around the estimated impacts, as required by the Protocols. These methods use the estimated load-impact parameter values and the associated variances to derive scenarios of hourly load impacts. We also report the uncertainty associated with the average event hour, both on an event-specific basi</w:t>
      </w:r>
      <w:r w:rsidR="0045495C">
        <w:t>s and for the typical event day, which are based on the standard errors from regression models that aggregate the corresponding load impacts (</w:t>
      </w:r>
      <w:r w:rsidR="0045495C" w:rsidRPr="0045495C">
        <w:rPr>
          <w:i/>
        </w:rPr>
        <w:t>e.g.</w:t>
      </w:r>
      <w:r w:rsidR="0045495C">
        <w:t>, by estimating a single average event-hour load impact).</w:t>
      </w:r>
    </w:p>
    <w:p w14:paraId="7007C5A5" w14:textId="77777777" w:rsidR="000A688F" w:rsidRPr="004132DB" w:rsidRDefault="000A688F" w:rsidP="000A688F">
      <w:pPr>
        <w:rPr>
          <w:szCs w:val="32"/>
        </w:rPr>
      </w:pPr>
    </w:p>
    <w:p w14:paraId="75363B8E" w14:textId="77777777" w:rsidR="000A688F" w:rsidRPr="00947F99" w:rsidRDefault="000A688F" w:rsidP="003464A8">
      <w:pPr>
        <w:spacing w:after="120"/>
        <w:rPr>
          <w:i/>
        </w:rPr>
      </w:pPr>
      <w:bookmarkStart w:id="91" w:name="_Toc326148613"/>
      <w:bookmarkStart w:id="92" w:name="_Toc326154183"/>
      <w:bookmarkStart w:id="93" w:name="_Toc494460155"/>
      <w:r w:rsidRPr="00947F99">
        <w:rPr>
          <w:i/>
        </w:rPr>
        <w:t>Validity assessment</w:t>
      </w:r>
      <w:bookmarkEnd w:id="91"/>
      <w:bookmarkEnd w:id="92"/>
      <w:bookmarkEnd w:id="93"/>
    </w:p>
    <w:p w14:paraId="2357B49D" w14:textId="5B4524C3" w:rsidR="000A688F" w:rsidRDefault="007155F7" w:rsidP="000A688F">
      <w:r>
        <w:t>To assess the</w:t>
      </w:r>
      <w:r w:rsidR="000A688F">
        <w:t xml:space="preserve"> validity</w:t>
      </w:r>
      <w:r w:rsidR="00927893">
        <w:t xml:space="preserve"> </w:t>
      </w:r>
      <w:r w:rsidR="000A688F">
        <w:t xml:space="preserve">of the </w:t>
      </w:r>
      <w:r w:rsidR="00927893">
        <w:t xml:space="preserve">control-group </w:t>
      </w:r>
      <w:r w:rsidR="000A688F">
        <w:t>matching processes</w:t>
      </w:r>
      <w:r w:rsidR="00927893">
        <w:t xml:space="preserve">, </w:t>
      </w:r>
      <w:r w:rsidR="000A688F">
        <w:t xml:space="preserve">we </w:t>
      </w:r>
      <w:r w:rsidR="00927893">
        <w:t xml:space="preserve">compare the characteristics and non-event-day load profiles of </w:t>
      </w:r>
      <w:r w:rsidR="000A688F">
        <w:t xml:space="preserve">the matched control-group </w:t>
      </w:r>
      <w:r w:rsidR="00927893">
        <w:t xml:space="preserve">and treatment </w:t>
      </w:r>
      <w:r w:rsidR="000A688F">
        <w:t xml:space="preserve">customers. In addition, </w:t>
      </w:r>
      <w:r w:rsidR="00156FAB">
        <w:t>we perform various consistency checks of the panel model estimated load impacts compared to</w:t>
      </w:r>
      <w:r w:rsidR="00927893">
        <w:t>:</w:t>
      </w:r>
      <w:r w:rsidR="00156FAB">
        <w:t xml:space="preserve"> 1)</w:t>
      </w:r>
      <w:r w:rsidR="000A688F">
        <w:t xml:space="preserve"> simple </w:t>
      </w:r>
      <w:r w:rsidR="00927893">
        <w:t xml:space="preserve">difference-in-differences </w:t>
      </w:r>
      <w:r w:rsidR="000A688F">
        <w:t>calculations (</w:t>
      </w:r>
      <w:r w:rsidR="000A688F" w:rsidRPr="00AA14D1">
        <w:rPr>
          <w:i/>
        </w:rPr>
        <w:t>i.e.</w:t>
      </w:r>
      <w:r w:rsidR="000A688F">
        <w:t>, from means of data rather than regression analyses),</w:t>
      </w:r>
      <w:r w:rsidR="00156FAB">
        <w:t xml:space="preserve"> 2)</w:t>
      </w:r>
      <w:r w:rsidR="000A688F">
        <w:t xml:space="preserve"> program-level </w:t>
      </w:r>
      <w:r w:rsidR="000A688F">
        <w:lastRenderedPageBreak/>
        <w:t>day matching comparisons</w:t>
      </w:r>
      <w:r w:rsidR="00927893">
        <w:t xml:space="preserve"> (</w:t>
      </w:r>
      <w:r w:rsidR="00927893" w:rsidRPr="00927893">
        <w:rPr>
          <w:i/>
        </w:rPr>
        <w:t>i.e.</w:t>
      </w:r>
      <w:r w:rsidR="00927893">
        <w:t>, by comparing event-day program loads to event-like non-event day program loads)</w:t>
      </w:r>
      <w:r w:rsidR="000A688F">
        <w:t xml:space="preserve">, and </w:t>
      </w:r>
      <w:r w:rsidR="00156FAB">
        <w:t xml:space="preserve">3) </w:t>
      </w:r>
      <w:r w:rsidR="000A688F">
        <w:t xml:space="preserve">estimates from prior evaluations. </w:t>
      </w:r>
    </w:p>
    <w:p w14:paraId="27E74840" w14:textId="3D24C4F9" w:rsidR="000A688F" w:rsidRDefault="000A688F" w:rsidP="00D223A1">
      <w:pPr>
        <w:pStyle w:val="Heading2"/>
      </w:pPr>
      <w:bookmarkStart w:id="94" w:name="_Toc326148614"/>
      <w:bookmarkStart w:id="95" w:name="_Toc494460156"/>
      <w:bookmarkStart w:id="96" w:name="_Toc498089315"/>
      <w:bookmarkStart w:id="97" w:name="_Ref507242366"/>
      <w:bookmarkStart w:id="98" w:name="_Toc509837309"/>
      <w:bookmarkStart w:id="99" w:name="OLE_LINK24"/>
      <w:bookmarkStart w:id="100" w:name="OLE_LINK25"/>
      <w:r w:rsidRPr="00D223A1">
        <w:t>Developing Ex-Ante Load Impacts</w:t>
      </w:r>
      <w:bookmarkEnd w:id="94"/>
      <w:bookmarkEnd w:id="95"/>
      <w:bookmarkEnd w:id="96"/>
      <w:bookmarkEnd w:id="97"/>
      <w:bookmarkEnd w:id="98"/>
    </w:p>
    <w:p w14:paraId="65F6A100" w14:textId="77777777" w:rsidR="006A7F87" w:rsidRDefault="006A7F87" w:rsidP="006A7F87">
      <w:r w:rsidRPr="00927893">
        <w:rPr>
          <w:i/>
        </w:rPr>
        <w:t>Ex-ante</w:t>
      </w:r>
      <w:r>
        <w:t xml:space="preserve"> load impacts represent forecasts of load impacts that are expected to occur when program events are called in future years under standardized weather conditions.</w:t>
      </w:r>
    </w:p>
    <w:p w14:paraId="46A55CB9" w14:textId="62510EB3" w:rsidR="006A7F87" w:rsidRDefault="006A7F87" w:rsidP="006A7F87"/>
    <w:bookmarkEnd w:id="99"/>
    <w:bookmarkEnd w:id="100"/>
    <w:p w14:paraId="6ECB7D5D" w14:textId="38921ED5" w:rsidR="000A688F" w:rsidRDefault="000A688F" w:rsidP="000A688F">
      <w:pPr>
        <w:spacing w:after="120"/>
      </w:pPr>
      <w:r>
        <w:t xml:space="preserve">Estimating </w:t>
      </w:r>
      <w:r>
        <w:rPr>
          <w:i/>
        </w:rPr>
        <w:t>ex-ante</w:t>
      </w:r>
      <w:r>
        <w:t xml:space="preserve"> load impacts requires three key pieces of information:  </w:t>
      </w:r>
    </w:p>
    <w:p w14:paraId="0F9548E2" w14:textId="77777777" w:rsidR="000A688F" w:rsidRDefault="000A688F" w:rsidP="000A688F">
      <w:pPr>
        <w:numPr>
          <w:ilvl w:val="0"/>
          <w:numId w:val="42"/>
        </w:numPr>
      </w:pPr>
      <w:r>
        <w:t xml:space="preserve">An </w:t>
      </w:r>
      <w:r w:rsidRPr="00962DC2">
        <w:rPr>
          <w:i/>
        </w:rPr>
        <w:t>enrollment forecast</w:t>
      </w:r>
      <w:r>
        <w:t xml:space="preserve"> for relevant components of the program, which consists of forecasts of the number of customers by required type of customer; </w:t>
      </w:r>
    </w:p>
    <w:p w14:paraId="6D19AF62" w14:textId="77777777" w:rsidR="000A688F" w:rsidRDefault="000A688F" w:rsidP="000A688F">
      <w:pPr>
        <w:numPr>
          <w:ilvl w:val="0"/>
          <w:numId w:val="42"/>
        </w:numPr>
      </w:pPr>
      <w:r>
        <w:rPr>
          <w:i/>
        </w:rPr>
        <w:t>R</w:t>
      </w:r>
      <w:r w:rsidRPr="00962DC2">
        <w:rPr>
          <w:i/>
        </w:rPr>
        <w:t>eference loads</w:t>
      </w:r>
      <w:r>
        <w:t xml:space="preserve"> by customer type;</w:t>
      </w:r>
    </w:p>
    <w:p w14:paraId="0D6A4607" w14:textId="77777777" w:rsidR="000A688F" w:rsidRDefault="000A688F" w:rsidP="000A688F">
      <w:pPr>
        <w:numPr>
          <w:ilvl w:val="0"/>
          <w:numId w:val="42"/>
        </w:numPr>
      </w:pPr>
      <w:r>
        <w:t xml:space="preserve">A forecast of </w:t>
      </w:r>
      <w:r w:rsidRPr="00962DC2">
        <w:rPr>
          <w:i/>
        </w:rPr>
        <w:t>load impacts per customer</w:t>
      </w:r>
      <w:r>
        <w:t xml:space="preserve">, again by relevant customer type, where the load impact forecast also varies with weather conditions (if applicable), as determined in the </w:t>
      </w:r>
      <w:r>
        <w:rPr>
          <w:i/>
        </w:rPr>
        <w:t>ex-post</w:t>
      </w:r>
      <w:r>
        <w:t xml:space="preserve"> evaluation.  </w:t>
      </w:r>
    </w:p>
    <w:p w14:paraId="410D4519" w14:textId="77777777" w:rsidR="000A688F" w:rsidRDefault="000A688F" w:rsidP="000A688F"/>
    <w:p w14:paraId="35209FA8" w14:textId="031BE071" w:rsidR="000A688F" w:rsidRDefault="000A688F" w:rsidP="000A688F">
      <w:pPr>
        <w:spacing w:after="120"/>
      </w:pPr>
      <w:r w:rsidRPr="0071306D">
        <w:rPr>
          <w:i/>
        </w:rPr>
        <w:t>E</w:t>
      </w:r>
      <w:r w:rsidRPr="001E1106">
        <w:rPr>
          <w:i/>
        </w:rPr>
        <w:t>x-ante</w:t>
      </w:r>
      <w:r>
        <w:t xml:space="preserve"> load impacts</w:t>
      </w:r>
      <w:r w:rsidR="00702DFA">
        <w:t xml:space="preserve"> are</w:t>
      </w:r>
      <w:r>
        <w:t xml:space="preserve"> developed for the following subgroups of customers:</w:t>
      </w:r>
    </w:p>
    <w:p w14:paraId="3F99C620" w14:textId="0DB5573F" w:rsidR="000A688F" w:rsidRPr="00702DFA" w:rsidRDefault="000A688F" w:rsidP="000A688F">
      <w:pPr>
        <w:pStyle w:val="ListParagraph"/>
        <w:numPr>
          <w:ilvl w:val="0"/>
          <w:numId w:val="40"/>
        </w:numPr>
        <w:rPr>
          <w:rFonts w:asciiTheme="minorHAnsi" w:hAnsiTheme="minorHAnsi" w:cstheme="minorHAnsi"/>
        </w:rPr>
      </w:pPr>
      <w:r w:rsidRPr="00702DFA">
        <w:rPr>
          <w:rFonts w:asciiTheme="minorHAnsi" w:hAnsiTheme="minorHAnsi" w:cstheme="minorHAnsi"/>
        </w:rPr>
        <w:t>Utilit</w:t>
      </w:r>
      <w:r w:rsidR="00702DFA">
        <w:rPr>
          <w:rFonts w:asciiTheme="minorHAnsi" w:hAnsiTheme="minorHAnsi" w:cstheme="minorHAnsi"/>
        </w:rPr>
        <w:t>y;</w:t>
      </w:r>
    </w:p>
    <w:p w14:paraId="5CFC63EE" w14:textId="77777777" w:rsidR="00702DFA" w:rsidRDefault="00702DFA" w:rsidP="000A688F">
      <w:pPr>
        <w:pStyle w:val="ListParagraph"/>
        <w:numPr>
          <w:ilvl w:val="0"/>
          <w:numId w:val="40"/>
        </w:numPr>
        <w:rPr>
          <w:rFonts w:asciiTheme="minorHAnsi" w:hAnsiTheme="minorHAnsi" w:cstheme="minorHAnsi"/>
        </w:rPr>
      </w:pPr>
      <w:r>
        <w:rPr>
          <w:rFonts w:asciiTheme="minorHAnsi" w:hAnsiTheme="minorHAnsi" w:cstheme="minorHAnsi"/>
        </w:rPr>
        <w:t>Size group;</w:t>
      </w:r>
    </w:p>
    <w:p w14:paraId="09528827" w14:textId="07943D32" w:rsidR="000A688F" w:rsidRPr="00702DFA" w:rsidRDefault="000A688F" w:rsidP="000A688F">
      <w:pPr>
        <w:pStyle w:val="ListParagraph"/>
        <w:numPr>
          <w:ilvl w:val="0"/>
          <w:numId w:val="40"/>
        </w:numPr>
        <w:rPr>
          <w:rFonts w:asciiTheme="minorHAnsi" w:hAnsiTheme="minorHAnsi" w:cstheme="minorHAnsi"/>
        </w:rPr>
      </w:pPr>
      <w:r w:rsidRPr="00702DFA">
        <w:rPr>
          <w:rFonts w:asciiTheme="minorHAnsi" w:hAnsiTheme="minorHAnsi" w:cstheme="minorHAnsi"/>
        </w:rPr>
        <w:t>LCA;</w:t>
      </w:r>
    </w:p>
    <w:p w14:paraId="6BC9BAD1" w14:textId="77777777" w:rsidR="000A688F" w:rsidRPr="00702DFA" w:rsidRDefault="000A688F" w:rsidP="000A688F">
      <w:pPr>
        <w:pStyle w:val="ListParagraph"/>
        <w:numPr>
          <w:ilvl w:val="0"/>
          <w:numId w:val="40"/>
        </w:numPr>
        <w:rPr>
          <w:rFonts w:asciiTheme="minorHAnsi" w:hAnsiTheme="minorHAnsi" w:cstheme="minorHAnsi"/>
        </w:rPr>
      </w:pPr>
      <w:r w:rsidRPr="00702DFA">
        <w:rPr>
          <w:rFonts w:asciiTheme="minorHAnsi" w:hAnsiTheme="minorHAnsi" w:cstheme="minorHAnsi"/>
        </w:rPr>
        <w:t>Busbar (by November 1, 2018); and</w:t>
      </w:r>
    </w:p>
    <w:p w14:paraId="3510C64F" w14:textId="77777777" w:rsidR="000A688F" w:rsidRPr="00702DFA" w:rsidRDefault="000A688F" w:rsidP="000A688F">
      <w:pPr>
        <w:pStyle w:val="ListParagraph"/>
        <w:numPr>
          <w:ilvl w:val="0"/>
          <w:numId w:val="40"/>
        </w:numPr>
        <w:rPr>
          <w:rFonts w:asciiTheme="minorHAnsi" w:hAnsiTheme="minorHAnsi" w:cstheme="minorHAnsi"/>
        </w:rPr>
      </w:pPr>
      <w:r w:rsidRPr="00702DFA">
        <w:rPr>
          <w:rFonts w:asciiTheme="minorHAnsi" w:hAnsiTheme="minorHAnsi" w:cstheme="minorHAnsi"/>
        </w:rPr>
        <w:t>Program vs. portfolio load impacts based on dual enrollment status.</w:t>
      </w:r>
    </w:p>
    <w:p w14:paraId="5F948B35" w14:textId="77777777" w:rsidR="000A688F" w:rsidRPr="00702DFA" w:rsidRDefault="000A688F" w:rsidP="000A688F">
      <w:pPr>
        <w:rPr>
          <w:rFonts w:asciiTheme="minorHAnsi" w:hAnsiTheme="minorHAnsi" w:cstheme="minorHAnsi"/>
        </w:rPr>
      </w:pPr>
    </w:p>
    <w:p w14:paraId="60AD472B" w14:textId="59DC641B" w:rsidR="000A688F" w:rsidRPr="006259DE" w:rsidRDefault="000A688F" w:rsidP="000A688F">
      <w:pPr>
        <w:keepNext/>
        <w:rPr>
          <w:rFonts w:asciiTheme="minorHAnsi" w:hAnsiTheme="minorHAnsi"/>
        </w:rPr>
      </w:pPr>
      <w:r w:rsidRPr="006259DE">
        <w:rPr>
          <w:rFonts w:asciiTheme="minorHAnsi" w:hAnsiTheme="minorHAnsi"/>
        </w:rPr>
        <w:t xml:space="preserve">The load impacts are </w:t>
      </w:r>
      <w:r>
        <w:rPr>
          <w:rFonts w:asciiTheme="minorHAnsi" w:hAnsiTheme="minorHAnsi"/>
        </w:rPr>
        <w:t xml:space="preserve">also </w:t>
      </w:r>
      <w:r w:rsidRPr="006259DE">
        <w:rPr>
          <w:rFonts w:asciiTheme="minorHAnsi" w:hAnsiTheme="minorHAnsi"/>
        </w:rPr>
        <w:t xml:space="preserve">provided </w:t>
      </w:r>
      <w:r w:rsidRPr="007903FA">
        <w:rPr>
          <w:rFonts w:asciiTheme="minorHAnsi" w:hAnsiTheme="minorHAnsi"/>
        </w:rPr>
        <w:t xml:space="preserve">for </w:t>
      </w:r>
      <w:r w:rsidR="00702DFA">
        <w:rPr>
          <w:rFonts w:asciiTheme="minorHAnsi" w:hAnsiTheme="minorHAnsi"/>
        </w:rPr>
        <w:t>the years 2018</w:t>
      </w:r>
      <w:r>
        <w:rPr>
          <w:rFonts w:asciiTheme="minorHAnsi" w:hAnsiTheme="minorHAnsi"/>
        </w:rPr>
        <w:t xml:space="preserve"> through 2028,</w:t>
      </w:r>
      <w:r w:rsidR="00702DFA">
        <w:rPr>
          <w:rStyle w:val="FootnoteReference"/>
          <w:rFonts w:asciiTheme="minorHAnsi" w:hAnsiTheme="minorHAnsi"/>
        </w:rPr>
        <w:footnoteReference w:id="9"/>
      </w:r>
      <w:r>
        <w:rPr>
          <w:rFonts w:asciiTheme="minorHAnsi" w:hAnsiTheme="minorHAnsi"/>
        </w:rPr>
        <w:t xml:space="preserve"> </w:t>
      </w:r>
      <w:r w:rsidRPr="006259DE">
        <w:rPr>
          <w:rFonts w:asciiTheme="minorHAnsi" w:hAnsiTheme="minorHAnsi"/>
        </w:rPr>
        <w:t xml:space="preserve">for </w:t>
      </w:r>
      <w:proofErr w:type="gramStart"/>
      <w:r w:rsidRPr="006259DE">
        <w:rPr>
          <w:rFonts w:asciiTheme="minorHAnsi" w:hAnsiTheme="minorHAnsi"/>
        </w:rPr>
        <w:t>a number of</w:t>
      </w:r>
      <w:proofErr w:type="gramEnd"/>
      <w:r w:rsidRPr="006259DE">
        <w:rPr>
          <w:rFonts w:asciiTheme="minorHAnsi" w:hAnsiTheme="minorHAnsi"/>
        </w:rPr>
        <w:t xml:space="preserve"> day types, and weather scenarios, including the following:</w:t>
      </w:r>
    </w:p>
    <w:p w14:paraId="7290316E" w14:textId="77777777" w:rsidR="000A688F" w:rsidRDefault="000A688F" w:rsidP="000A688F"/>
    <w:p w14:paraId="20C54FFC" w14:textId="70E10718" w:rsidR="000A688F" w:rsidRPr="007903FA" w:rsidRDefault="000A688F" w:rsidP="000A688F">
      <w:pPr>
        <w:pStyle w:val="ListParagraph"/>
        <w:numPr>
          <w:ilvl w:val="0"/>
          <w:numId w:val="41"/>
        </w:numPr>
        <w:rPr>
          <w:rFonts w:asciiTheme="minorHAnsi" w:hAnsiTheme="minorHAnsi"/>
        </w:rPr>
      </w:pPr>
      <w:r w:rsidRPr="007903FA">
        <w:rPr>
          <w:rFonts w:asciiTheme="minorHAnsi" w:hAnsiTheme="minorHAnsi"/>
        </w:rPr>
        <w:t xml:space="preserve">Estimates are provided </w:t>
      </w:r>
      <w:r>
        <w:rPr>
          <w:rFonts w:asciiTheme="minorHAnsi" w:hAnsiTheme="minorHAnsi"/>
        </w:rPr>
        <w:t xml:space="preserve">for </w:t>
      </w:r>
      <w:r w:rsidRPr="007903FA">
        <w:rPr>
          <w:rFonts w:asciiTheme="minorHAnsi" w:hAnsiTheme="minorHAnsi"/>
        </w:rPr>
        <w:t xml:space="preserve">a typical event day under the four scenarios defined by both </w:t>
      </w:r>
      <w:r>
        <w:rPr>
          <w:rFonts w:asciiTheme="minorHAnsi" w:hAnsiTheme="minorHAnsi"/>
        </w:rPr>
        <w:t>utility-specific</w:t>
      </w:r>
      <w:r w:rsidRPr="007903FA">
        <w:rPr>
          <w:rFonts w:asciiTheme="minorHAnsi" w:hAnsiTheme="minorHAnsi"/>
        </w:rPr>
        <w:t xml:space="preserve"> and CAISO peaking conditions in both 1-in-2 (normal) and 1-in-10 (extreme) scenarios; and </w:t>
      </w:r>
    </w:p>
    <w:p w14:paraId="4C9A364F" w14:textId="77777777" w:rsidR="000A688F" w:rsidRDefault="000A688F" w:rsidP="000A688F">
      <w:pPr>
        <w:pStyle w:val="ListParagraph"/>
        <w:numPr>
          <w:ilvl w:val="0"/>
          <w:numId w:val="41"/>
        </w:numPr>
        <w:rPr>
          <w:rFonts w:asciiTheme="minorHAnsi" w:hAnsiTheme="minorHAnsi"/>
        </w:rPr>
      </w:pPr>
      <w:r w:rsidRPr="007903FA">
        <w:rPr>
          <w:rFonts w:asciiTheme="minorHAnsi" w:hAnsiTheme="minorHAnsi"/>
        </w:rPr>
        <w:t>The monthly sys</w:t>
      </w:r>
      <w:r>
        <w:rPr>
          <w:rFonts w:asciiTheme="minorHAnsi" w:hAnsiTheme="minorHAnsi"/>
        </w:rPr>
        <w:t>tem peak load day of each month</w:t>
      </w:r>
      <w:r w:rsidRPr="007903FA">
        <w:rPr>
          <w:rFonts w:asciiTheme="minorHAnsi" w:hAnsiTheme="minorHAnsi"/>
        </w:rPr>
        <w:t>, again under the above four scenarios.</w:t>
      </w:r>
    </w:p>
    <w:p w14:paraId="532264A4" w14:textId="77777777" w:rsidR="000A688F" w:rsidRDefault="000A688F" w:rsidP="000A688F"/>
    <w:p w14:paraId="697BCFA7" w14:textId="218894CF" w:rsidR="000A688F" w:rsidRDefault="000A688F" w:rsidP="000A688F">
      <w:r>
        <w:t>The utilities provide</w:t>
      </w:r>
      <w:r w:rsidR="00702DFA">
        <w:t>d t</w:t>
      </w:r>
      <w:r>
        <w:t>he enrollment forecasts</w:t>
      </w:r>
      <w:r w:rsidR="00702DFA">
        <w:t xml:space="preserve"> and </w:t>
      </w:r>
      <w:r w:rsidR="00702DFA" w:rsidRPr="00702DFA">
        <w:rPr>
          <w:i/>
        </w:rPr>
        <w:t>ex-ante</w:t>
      </w:r>
      <w:r w:rsidR="00702DFA">
        <w:t xml:space="preserve"> weather conditions for each required scenario</w:t>
      </w:r>
      <w:r>
        <w:t xml:space="preserve">. The </w:t>
      </w:r>
      <w:r w:rsidRPr="00DD71EB">
        <w:t xml:space="preserve">per-customer reference loads </w:t>
      </w:r>
      <w:r w:rsidR="00702DFA">
        <w:t>are</w:t>
      </w:r>
      <w:r w:rsidRPr="00DD71EB">
        <w:t xml:space="preserve"> simulated based on regression models designed to reflect customer load patterns on non-event days during summer and non-summer months,</w:t>
      </w:r>
      <w:r w:rsidRPr="00FD68C3">
        <w:rPr>
          <w:rStyle w:val="FootnoteReference"/>
        </w:rPr>
        <w:t xml:space="preserve"> </w:t>
      </w:r>
      <w:r w:rsidRPr="00B23926">
        <w:rPr>
          <w:rStyle w:val="FootnoteReference"/>
          <w:vertAlign w:val="baseline"/>
        </w:rPr>
        <w:t>accounting for weather and seasonal usage patterns</w:t>
      </w:r>
      <w:r w:rsidRPr="00DD71EB">
        <w:t xml:space="preserve">. </w:t>
      </w:r>
      <w:r>
        <w:t xml:space="preserve">The reference load regression models require 8760 load profile data (as opposed to the </w:t>
      </w:r>
      <w:r w:rsidRPr="00430079">
        <w:rPr>
          <w:i/>
        </w:rPr>
        <w:t>ex-post</w:t>
      </w:r>
      <w:r>
        <w:t xml:space="preserve"> regression models, which include only event and event-like days), which we request</w:t>
      </w:r>
      <w:r w:rsidR="00702DFA">
        <w:t>ed</w:t>
      </w:r>
      <w:r>
        <w:t xml:space="preserve"> for </w:t>
      </w:r>
      <w:r w:rsidR="00702DFA">
        <w:t xml:space="preserve">either all CPP customers or </w:t>
      </w:r>
      <w:r>
        <w:t>a representative sample of treatment customers</w:t>
      </w:r>
      <w:r w:rsidR="00702DFA">
        <w:t xml:space="preserve"> (where the number of customers is high, such as PG&amp;E’s small customers)</w:t>
      </w:r>
      <w:r>
        <w:t xml:space="preserve">. </w:t>
      </w:r>
      <w:r w:rsidRPr="00DD71EB">
        <w:t>Reference loads are simulated using</w:t>
      </w:r>
      <w:r w:rsidRPr="000D19FB">
        <w:t xml:space="preserve"> the appropriate weather </w:t>
      </w:r>
      <w:r>
        <w:t xml:space="preserve">scenario </w:t>
      </w:r>
      <w:r w:rsidRPr="000D19FB">
        <w:t>data (</w:t>
      </w:r>
      <w:r w:rsidRPr="000D19FB">
        <w:rPr>
          <w:i/>
        </w:rPr>
        <w:t>i.e.</w:t>
      </w:r>
      <w:r w:rsidRPr="000D19FB">
        <w:t xml:space="preserve">, the 1-in-2 and 1-in-10 weather-year conditions to be provided by </w:t>
      </w:r>
      <w:r>
        <w:t>the utilities</w:t>
      </w:r>
      <w:r w:rsidRPr="000D19FB">
        <w:t xml:space="preserve">) and </w:t>
      </w:r>
      <w:r>
        <w:t>month</w:t>
      </w:r>
      <w:r w:rsidRPr="000D19FB">
        <w:t>.</w:t>
      </w:r>
      <w:r>
        <w:t xml:space="preserve">  </w:t>
      </w:r>
    </w:p>
    <w:p w14:paraId="4DDA1EF8" w14:textId="77777777" w:rsidR="000A688F" w:rsidRDefault="000A688F" w:rsidP="000A688F"/>
    <w:p w14:paraId="43E3001D" w14:textId="69506AE8" w:rsidR="000A688F" w:rsidRDefault="000A688F" w:rsidP="000A688F">
      <w:r>
        <w:t xml:space="preserve">The </w:t>
      </w:r>
      <w:r>
        <w:rPr>
          <w:rFonts w:asciiTheme="minorHAnsi" w:hAnsiTheme="minorHAnsi"/>
          <w:i/>
        </w:rPr>
        <w:t>per-customer l</w:t>
      </w:r>
      <w:r w:rsidRPr="009F1F3A">
        <w:rPr>
          <w:rFonts w:asciiTheme="minorHAnsi" w:hAnsiTheme="minorHAnsi"/>
          <w:i/>
        </w:rPr>
        <w:t>oad impacts</w:t>
      </w:r>
      <w:r w:rsidRPr="009F1F3A">
        <w:rPr>
          <w:rFonts w:asciiTheme="minorHAnsi" w:hAnsiTheme="minorHAnsi"/>
        </w:rPr>
        <w:t xml:space="preserve"> </w:t>
      </w:r>
      <w:r w:rsidR="00702DFA">
        <w:rPr>
          <w:rFonts w:asciiTheme="minorHAnsi" w:hAnsiTheme="minorHAnsi"/>
        </w:rPr>
        <w:t>are</w:t>
      </w:r>
      <w:r w:rsidRPr="009F1F3A">
        <w:rPr>
          <w:rFonts w:asciiTheme="minorHAnsi" w:hAnsiTheme="minorHAnsi"/>
        </w:rPr>
        <w:t xml:space="preserve"> derived from </w:t>
      </w:r>
      <w:r>
        <w:rPr>
          <w:rFonts w:asciiTheme="minorHAnsi" w:hAnsiTheme="minorHAnsi"/>
        </w:rPr>
        <w:t xml:space="preserve">an analysis of </w:t>
      </w:r>
      <w:r w:rsidRPr="009F1F3A">
        <w:rPr>
          <w:rFonts w:asciiTheme="minorHAnsi" w:hAnsiTheme="minorHAnsi"/>
        </w:rPr>
        <w:t xml:space="preserve">the </w:t>
      </w:r>
      <w:r>
        <w:rPr>
          <w:rFonts w:asciiTheme="minorHAnsi" w:hAnsiTheme="minorHAnsi"/>
        </w:rPr>
        <w:t xml:space="preserve">current and previous </w:t>
      </w:r>
      <w:r w:rsidRPr="00977D44">
        <w:rPr>
          <w:rFonts w:asciiTheme="minorHAnsi" w:hAnsiTheme="minorHAnsi"/>
          <w:i/>
        </w:rPr>
        <w:t>ex-post</w:t>
      </w:r>
      <w:r w:rsidRPr="009F1F3A">
        <w:rPr>
          <w:rFonts w:asciiTheme="minorHAnsi" w:hAnsiTheme="minorHAnsi"/>
        </w:rPr>
        <w:t xml:space="preserve"> load impact evaluation</w:t>
      </w:r>
      <w:r>
        <w:rPr>
          <w:rFonts w:asciiTheme="minorHAnsi" w:hAnsiTheme="minorHAnsi"/>
        </w:rPr>
        <w:t>s, with a focus on the effect</w:t>
      </w:r>
      <w:r w:rsidR="0041532A">
        <w:rPr>
          <w:rFonts w:asciiTheme="minorHAnsi" w:hAnsiTheme="minorHAnsi"/>
        </w:rPr>
        <w:t>, if any,</w:t>
      </w:r>
      <w:r>
        <w:rPr>
          <w:rFonts w:asciiTheme="minorHAnsi" w:hAnsiTheme="minorHAnsi"/>
        </w:rPr>
        <w:t xml:space="preserve"> of weather on the estimated load impacts</w:t>
      </w:r>
      <w:r w:rsidRPr="009F1F3A">
        <w:rPr>
          <w:rFonts w:asciiTheme="minorHAnsi" w:hAnsiTheme="minorHAnsi"/>
        </w:rPr>
        <w:t>.</w:t>
      </w:r>
      <w:r>
        <w:rPr>
          <w:rFonts w:asciiTheme="minorHAnsi" w:hAnsiTheme="minorHAnsi"/>
        </w:rPr>
        <w:t xml:space="preserve"> </w:t>
      </w:r>
      <w:r>
        <w:t xml:space="preserve">The resulting per-customer load impacts are then applied to the appropriate reference loads to develop the forecast load impacts and (by extension) event-day reference load profiles. CPP load impacts must be forecast for both winter and summer months. </w:t>
      </w:r>
      <w:r w:rsidR="00702DFA">
        <w:t>Because we don’t observe winter event days, we assume that winter percentage load impacts are equal to the summer percentage load impacts.</w:t>
      </w:r>
    </w:p>
    <w:p w14:paraId="36688DB2" w14:textId="77777777" w:rsidR="0065579E" w:rsidRDefault="0065579E" w:rsidP="000A688F"/>
    <w:p w14:paraId="76882136" w14:textId="4C2A023D" w:rsidR="000A688F" w:rsidRDefault="0065579E" w:rsidP="000A688F">
      <w:r>
        <w:t xml:space="preserve">In practice, the </w:t>
      </w:r>
      <w:r w:rsidRPr="0065579E">
        <w:rPr>
          <w:i/>
        </w:rPr>
        <w:t>ex-ante</w:t>
      </w:r>
      <w:r>
        <w:t xml:space="preserve"> percentage load impacts are based on regressions of the group-level percentage load impact as a function of a constant term and a weekend indicator variable, as follows (where </w:t>
      </w:r>
      <w:proofErr w:type="spellStart"/>
      <w:r w:rsidRPr="0065579E">
        <w:rPr>
          <w:i/>
        </w:rPr>
        <w:t>e</w:t>
      </w:r>
      <w:r>
        <w:rPr>
          <w:i/>
        </w:rPr>
        <w:t>vt</w:t>
      </w:r>
      <w:proofErr w:type="spellEnd"/>
      <w:r>
        <w:t xml:space="preserve"> indexes event days and </w:t>
      </w:r>
      <w:r w:rsidRPr="0065579E">
        <w:rPr>
          <w:i/>
        </w:rPr>
        <w:t>h</w:t>
      </w:r>
      <w:r>
        <w:t xml:space="preserve"> indexes hours):</w:t>
      </w:r>
    </w:p>
    <w:p w14:paraId="5B10CE7C" w14:textId="7209AE4C" w:rsidR="0065579E" w:rsidRDefault="0065579E" w:rsidP="000A688F"/>
    <w:p w14:paraId="78709636" w14:textId="730A8EC2" w:rsidR="0065579E" w:rsidRPr="0065579E" w:rsidRDefault="0065579E" w:rsidP="000A688F">
      <w:proofErr w:type="spellStart"/>
      <w:proofErr w:type="gramStart"/>
      <w:r w:rsidRPr="0065579E">
        <w:rPr>
          <w:i/>
        </w:rPr>
        <w:t>PctImpact</w:t>
      </w:r>
      <w:r w:rsidRPr="0065579E">
        <w:rPr>
          <w:i/>
          <w:vertAlign w:val="subscript"/>
        </w:rPr>
        <w:t>e</w:t>
      </w:r>
      <w:r>
        <w:rPr>
          <w:i/>
          <w:vertAlign w:val="subscript"/>
        </w:rPr>
        <w:t>vt,h</w:t>
      </w:r>
      <w:proofErr w:type="spellEnd"/>
      <w:proofErr w:type="gramEnd"/>
      <w:r>
        <w:t xml:space="preserve"> = </w:t>
      </w:r>
      <w:r w:rsidRPr="0065579E">
        <w:rPr>
          <w:i/>
        </w:rPr>
        <w:t>a</w:t>
      </w:r>
      <w:r>
        <w:t xml:space="preserve"> + </w:t>
      </w:r>
      <w:r w:rsidRPr="0065579E">
        <w:rPr>
          <w:i/>
        </w:rPr>
        <w:t>b</w:t>
      </w:r>
      <w:r>
        <w:t xml:space="preserve"> x </w:t>
      </w:r>
      <w:proofErr w:type="spellStart"/>
      <w:r w:rsidRPr="0065579E">
        <w:rPr>
          <w:i/>
        </w:rPr>
        <w:t>Weekend</w:t>
      </w:r>
      <w:r w:rsidRPr="0065579E">
        <w:rPr>
          <w:i/>
          <w:vertAlign w:val="subscript"/>
        </w:rPr>
        <w:t>e</w:t>
      </w:r>
      <w:r>
        <w:rPr>
          <w:i/>
          <w:vertAlign w:val="subscript"/>
        </w:rPr>
        <w:t>vt,h</w:t>
      </w:r>
      <w:proofErr w:type="spellEnd"/>
      <w:r>
        <w:t xml:space="preserve"> + </w:t>
      </w:r>
      <w:proofErr w:type="spellStart"/>
      <w:r>
        <w:t>e</w:t>
      </w:r>
      <w:r w:rsidRPr="0065579E">
        <w:rPr>
          <w:i/>
          <w:vertAlign w:val="subscript"/>
        </w:rPr>
        <w:t>e</w:t>
      </w:r>
      <w:r>
        <w:rPr>
          <w:i/>
          <w:vertAlign w:val="subscript"/>
        </w:rPr>
        <w:t>vt,h</w:t>
      </w:r>
      <w:proofErr w:type="spellEnd"/>
    </w:p>
    <w:p w14:paraId="30F38BDF" w14:textId="1E205F71" w:rsidR="0065579E" w:rsidRDefault="0065579E" w:rsidP="000A688F"/>
    <w:p w14:paraId="5AFA4632" w14:textId="59FC194A" w:rsidR="0065579E" w:rsidRDefault="0065579E" w:rsidP="000A688F">
      <w:r>
        <w:t>Separate models are estimated by customer group (</w:t>
      </w:r>
      <w:r w:rsidRPr="0065579E">
        <w:rPr>
          <w:i/>
        </w:rPr>
        <w:t>e.g.</w:t>
      </w:r>
      <w:r>
        <w:t>, by size and LCA for PG&amp;E), and hour of the day. The estimated constant term (</w:t>
      </w:r>
      <w:r w:rsidRPr="0065579E">
        <w:rPr>
          <w:i/>
        </w:rPr>
        <w:t>a</w:t>
      </w:r>
      <w:r>
        <w:t xml:space="preserve">) is average weekday percentage load impact for the modeled customer group and hour of the day. The standard error of the constant is the basis for the uncertainty-adjusted load impacts. </w:t>
      </w:r>
    </w:p>
    <w:p w14:paraId="2A2411D1" w14:textId="31AF65A8" w:rsidR="0065579E" w:rsidRDefault="0065579E" w:rsidP="000A688F"/>
    <w:p w14:paraId="30DBA2F7" w14:textId="5F7E3745" w:rsidR="0065579E" w:rsidRDefault="0065579E" w:rsidP="000A688F">
      <w:r>
        <w:t>For SCE and PG&amp;E, we tested an alternate specification that modeled the relationship between the load impact and weather conditions:</w:t>
      </w:r>
    </w:p>
    <w:p w14:paraId="081B4CA7" w14:textId="7635C326" w:rsidR="0065579E" w:rsidRDefault="0065579E" w:rsidP="000A688F"/>
    <w:p w14:paraId="7CEDEBE9" w14:textId="3C64D346" w:rsidR="0065579E" w:rsidRPr="0065579E" w:rsidRDefault="0065579E" w:rsidP="0065579E">
      <w:proofErr w:type="spellStart"/>
      <w:proofErr w:type="gramStart"/>
      <w:r w:rsidRPr="0065579E">
        <w:rPr>
          <w:i/>
        </w:rPr>
        <w:t>Impact</w:t>
      </w:r>
      <w:r w:rsidRPr="0065579E">
        <w:rPr>
          <w:i/>
          <w:vertAlign w:val="subscript"/>
        </w:rPr>
        <w:t>e</w:t>
      </w:r>
      <w:r>
        <w:rPr>
          <w:i/>
          <w:vertAlign w:val="subscript"/>
        </w:rPr>
        <w:t>vt,h</w:t>
      </w:r>
      <w:proofErr w:type="spellEnd"/>
      <w:proofErr w:type="gramEnd"/>
      <w:r>
        <w:t xml:space="preserve"> = </w:t>
      </w:r>
      <w:r w:rsidRPr="0065579E">
        <w:rPr>
          <w:i/>
        </w:rPr>
        <w:t>a</w:t>
      </w:r>
      <w:r>
        <w:t xml:space="preserve"> + </w:t>
      </w:r>
      <w:proofErr w:type="spellStart"/>
      <w:r w:rsidRPr="0065579E">
        <w:rPr>
          <w:i/>
        </w:rPr>
        <w:t>b</w:t>
      </w:r>
      <w:r>
        <w:rPr>
          <w:i/>
          <w:vertAlign w:val="subscript"/>
        </w:rPr>
        <w:t>WE</w:t>
      </w:r>
      <w:proofErr w:type="spellEnd"/>
      <w:r>
        <w:t xml:space="preserve"> x </w:t>
      </w:r>
      <w:proofErr w:type="spellStart"/>
      <w:r w:rsidRPr="0065579E">
        <w:rPr>
          <w:i/>
        </w:rPr>
        <w:t>Weekend</w:t>
      </w:r>
      <w:r w:rsidRPr="0065579E">
        <w:rPr>
          <w:i/>
          <w:vertAlign w:val="subscript"/>
        </w:rPr>
        <w:t>e</w:t>
      </w:r>
      <w:r>
        <w:rPr>
          <w:i/>
          <w:vertAlign w:val="subscript"/>
        </w:rPr>
        <w:t>vt,h</w:t>
      </w:r>
      <w:proofErr w:type="spellEnd"/>
      <w:r>
        <w:rPr>
          <w:i/>
        </w:rPr>
        <w:t xml:space="preserve"> </w:t>
      </w:r>
      <w:r>
        <w:t xml:space="preserve">+ </w:t>
      </w:r>
      <w:proofErr w:type="spellStart"/>
      <w:r w:rsidRPr="0065579E">
        <w:rPr>
          <w:i/>
        </w:rPr>
        <w:t>b</w:t>
      </w:r>
      <w:r>
        <w:rPr>
          <w:i/>
          <w:vertAlign w:val="subscript"/>
        </w:rPr>
        <w:t>CDD</w:t>
      </w:r>
      <w:proofErr w:type="spellEnd"/>
      <w:r>
        <w:t xml:space="preserve"> x </w:t>
      </w:r>
      <w:r>
        <w:rPr>
          <w:i/>
        </w:rPr>
        <w:t>CDD60</w:t>
      </w:r>
      <w:r w:rsidRPr="0065579E">
        <w:rPr>
          <w:i/>
          <w:vertAlign w:val="subscript"/>
        </w:rPr>
        <w:t>e</w:t>
      </w:r>
      <w:r>
        <w:rPr>
          <w:i/>
          <w:vertAlign w:val="subscript"/>
        </w:rPr>
        <w:t>vt,h</w:t>
      </w:r>
      <w:r>
        <w:t xml:space="preserve"> + </w:t>
      </w:r>
      <w:proofErr w:type="spellStart"/>
      <w:r>
        <w:t>e</w:t>
      </w:r>
      <w:r w:rsidRPr="0065579E">
        <w:rPr>
          <w:i/>
          <w:vertAlign w:val="subscript"/>
        </w:rPr>
        <w:t>e</w:t>
      </w:r>
      <w:r>
        <w:rPr>
          <w:i/>
          <w:vertAlign w:val="subscript"/>
        </w:rPr>
        <w:t>vt,h</w:t>
      </w:r>
      <w:proofErr w:type="spellEnd"/>
    </w:p>
    <w:p w14:paraId="078C81BE" w14:textId="20A266F6" w:rsidR="0065579E" w:rsidRDefault="0065579E" w:rsidP="000A688F"/>
    <w:p w14:paraId="1154A0F2" w14:textId="5712D8D1" w:rsidR="0065579E" w:rsidRDefault="0065579E" w:rsidP="000A688F">
      <w:r>
        <w:t xml:space="preserve">This version of the model uses the per-customer load impact (in kWh/hour/customer) rather than the percentage load impact and included cooling degree days as an explanatory variable. We </w:t>
      </w:r>
      <w:r w:rsidR="00000FFA">
        <w:t xml:space="preserve">concluded that </w:t>
      </w:r>
      <w:r>
        <w:t xml:space="preserve">the relationship between weather and load impacts was not reliable, </w:t>
      </w:r>
      <w:r w:rsidR="00000FFA">
        <w:t>and therefore adopted the average percentage load impact approach described above.</w:t>
      </w:r>
    </w:p>
    <w:p w14:paraId="1545ED8F" w14:textId="77777777" w:rsidR="0065579E" w:rsidRDefault="0065579E" w:rsidP="000A688F"/>
    <w:p w14:paraId="201058EA" w14:textId="5552E121" w:rsidR="000A688F" w:rsidRDefault="000A688F" w:rsidP="000A688F">
      <w:pPr>
        <w:rPr>
          <w:rFonts w:asciiTheme="minorHAnsi" w:hAnsiTheme="minorHAnsi"/>
        </w:rPr>
      </w:pPr>
      <w:r>
        <w:rPr>
          <w:rFonts w:asciiTheme="minorHAnsi" w:hAnsiTheme="minorHAnsi"/>
        </w:rPr>
        <w:t xml:space="preserve">As in all recent load impact evaluations, we present results of analyses of the relationship between current </w:t>
      </w:r>
      <w:r w:rsidRPr="00AF1E0D">
        <w:rPr>
          <w:rFonts w:asciiTheme="minorHAnsi" w:hAnsiTheme="minorHAnsi"/>
          <w:i/>
        </w:rPr>
        <w:t>ex-post</w:t>
      </w:r>
      <w:r>
        <w:rPr>
          <w:rFonts w:asciiTheme="minorHAnsi" w:hAnsiTheme="minorHAnsi"/>
        </w:rPr>
        <w:t xml:space="preserve"> and </w:t>
      </w:r>
      <w:r w:rsidRPr="00AF1E0D">
        <w:rPr>
          <w:rFonts w:asciiTheme="minorHAnsi" w:hAnsiTheme="minorHAnsi"/>
          <w:i/>
        </w:rPr>
        <w:t>ex-ante</w:t>
      </w:r>
      <w:r>
        <w:rPr>
          <w:rFonts w:asciiTheme="minorHAnsi" w:hAnsiTheme="minorHAnsi"/>
        </w:rPr>
        <w:t xml:space="preserve"> load impacts, focusing on key factors causing differences between them (</w:t>
      </w:r>
      <w:r>
        <w:rPr>
          <w:rFonts w:asciiTheme="minorHAnsi" w:hAnsiTheme="minorHAnsi"/>
          <w:i/>
        </w:rPr>
        <w:t>e.g.</w:t>
      </w:r>
      <w:r>
        <w:rPr>
          <w:rFonts w:asciiTheme="minorHAnsi" w:hAnsiTheme="minorHAnsi"/>
        </w:rPr>
        <w:t xml:space="preserve">, differences between observed temperatures in 2017 and the temperatures in the various weather scenarios). We will also compare current and previous </w:t>
      </w:r>
      <w:r w:rsidRPr="00AF1E0D">
        <w:rPr>
          <w:rFonts w:asciiTheme="minorHAnsi" w:hAnsiTheme="minorHAnsi"/>
          <w:i/>
        </w:rPr>
        <w:t>ex-post</w:t>
      </w:r>
      <w:r>
        <w:rPr>
          <w:rFonts w:asciiTheme="minorHAnsi" w:hAnsiTheme="minorHAnsi"/>
        </w:rPr>
        <w:t xml:space="preserve"> load impacts, and current and previous </w:t>
      </w:r>
      <w:r w:rsidRPr="00AF1E0D">
        <w:rPr>
          <w:rFonts w:asciiTheme="minorHAnsi" w:hAnsiTheme="minorHAnsi"/>
          <w:i/>
        </w:rPr>
        <w:t>ex-ante</w:t>
      </w:r>
      <w:r>
        <w:rPr>
          <w:rFonts w:asciiTheme="minorHAnsi" w:hAnsiTheme="minorHAnsi"/>
        </w:rPr>
        <w:t xml:space="preserve"> load impacts.</w:t>
      </w:r>
    </w:p>
    <w:p w14:paraId="2E2FD177" w14:textId="77777777" w:rsidR="000A688F" w:rsidRDefault="000A688F" w:rsidP="000A688F">
      <w:pPr>
        <w:rPr>
          <w:rFonts w:asciiTheme="minorHAnsi" w:hAnsiTheme="minorHAnsi"/>
        </w:rPr>
      </w:pPr>
    </w:p>
    <w:p w14:paraId="35309099" w14:textId="7C1709FB" w:rsidR="00132CE7" w:rsidRDefault="000A688F" w:rsidP="000A688F">
      <w:pPr>
        <w:spacing w:after="120"/>
      </w:pPr>
      <w:r>
        <w:rPr>
          <w:rFonts w:asciiTheme="minorHAnsi" w:hAnsiTheme="minorHAnsi"/>
        </w:rPr>
        <w:t xml:space="preserve">SCE will be defaulting SMB customers in 2019. For these customer groups, the </w:t>
      </w:r>
      <w:r w:rsidRPr="00BE0AA9">
        <w:rPr>
          <w:rFonts w:asciiTheme="minorHAnsi" w:hAnsiTheme="minorHAnsi"/>
          <w:i/>
        </w:rPr>
        <w:t>ex-ante</w:t>
      </w:r>
      <w:r>
        <w:rPr>
          <w:rFonts w:asciiTheme="minorHAnsi" w:hAnsiTheme="minorHAnsi"/>
        </w:rPr>
        <w:t xml:space="preserve"> forecast use</w:t>
      </w:r>
      <w:r w:rsidR="00AA2C74">
        <w:rPr>
          <w:rFonts w:asciiTheme="minorHAnsi" w:hAnsiTheme="minorHAnsi"/>
        </w:rPr>
        <w:t>s</w:t>
      </w:r>
      <w:r>
        <w:rPr>
          <w:rFonts w:asciiTheme="minorHAnsi" w:hAnsiTheme="minorHAnsi"/>
        </w:rPr>
        <w:t xml:space="preserve"> the reference loads </w:t>
      </w:r>
      <w:r w:rsidR="00AA2C74">
        <w:rPr>
          <w:rFonts w:asciiTheme="minorHAnsi" w:hAnsiTheme="minorHAnsi"/>
        </w:rPr>
        <w:t xml:space="preserve">and load impacts </w:t>
      </w:r>
      <w:r>
        <w:rPr>
          <w:rFonts w:asciiTheme="minorHAnsi" w:hAnsiTheme="minorHAnsi"/>
        </w:rPr>
        <w:t>developed as part of the PY2016 evaluation</w:t>
      </w:r>
      <w:r w:rsidR="00AA2C74">
        <w:rPr>
          <w:rFonts w:asciiTheme="minorHAnsi" w:hAnsiTheme="minorHAnsi"/>
        </w:rPr>
        <w:t xml:space="preserve"> (in which percentage load impacts were adapted from </w:t>
      </w:r>
      <w:r w:rsidR="00AA2C74" w:rsidRPr="00AA2C74">
        <w:rPr>
          <w:rFonts w:asciiTheme="minorHAnsi" w:hAnsiTheme="minorHAnsi"/>
          <w:i/>
        </w:rPr>
        <w:t>ex-post</w:t>
      </w:r>
      <w:r w:rsidR="00AA2C74">
        <w:rPr>
          <w:rFonts w:asciiTheme="minorHAnsi" w:hAnsiTheme="minorHAnsi"/>
        </w:rPr>
        <w:t xml:space="preserve"> studies of PG&amp;E’s SMB customers)</w:t>
      </w:r>
      <w:r>
        <w:rPr>
          <w:rFonts w:asciiTheme="minorHAnsi" w:hAnsiTheme="minorHAnsi"/>
        </w:rPr>
        <w:t xml:space="preserve">. </w:t>
      </w:r>
      <w:r w:rsidR="00AA2C74">
        <w:rPr>
          <w:rFonts w:asciiTheme="minorHAnsi" w:hAnsiTheme="minorHAnsi"/>
        </w:rPr>
        <w:t xml:space="preserve">In this evaluation, we re-scaled the per-customer forecasts from the PY2016 evaluation to the current </w:t>
      </w:r>
      <w:r w:rsidR="00AA2C74" w:rsidRPr="00AA2C74">
        <w:rPr>
          <w:rFonts w:asciiTheme="minorHAnsi" w:hAnsiTheme="minorHAnsi"/>
          <w:i/>
        </w:rPr>
        <w:t>ex-ante</w:t>
      </w:r>
      <w:r w:rsidR="00AA2C74">
        <w:rPr>
          <w:rFonts w:asciiTheme="minorHAnsi" w:hAnsiTheme="minorHAnsi"/>
        </w:rPr>
        <w:t xml:space="preserve"> enrollment forecast provided by SCE. </w:t>
      </w:r>
    </w:p>
    <w:p w14:paraId="4C2F4F07" w14:textId="78714A97" w:rsidR="00F27AFF" w:rsidRDefault="00F27AFF" w:rsidP="00E84DD2">
      <w:pPr>
        <w:pStyle w:val="Heading1"/>
        <w:spacing w:before="480" w:after="120"/>
      </w:pPr>
      <w:bookmarkStart w:id="101" w:name="_Ref506974892"/>
      <w:bookmarkStart w:id="102" w:name="_Toc509837310"/>
      <w:r>
        <w:lastRenderedPageBreak/>
        <w:t>PG&amp;E</w:t>
      </w:r>
      <w:bookmarkEnd w:id="101"/>
      <w:bookmarkEnd w:id="102"/>
    </w:p>
    <w:p w14:paraId="29B596FA" w14:textId="1ADDCA58" w:rsidR="006D207D" w:rsidRDefault="003A20DB" w:rsidP="006D207D">
      <w:pPr>
        <w:pStyle w:val="Heading2"/>
        <w:spacing w:after="120"/>
      </w:pPr>
      <w:bookmarkStart w:id="103" w:name="_Ref507146274"/>
      <w:bookmarkStart w:id="104" w:name="_Ref507146280"/>
      <w:bookmarkStart w:id="105" w:name="_Toc509837311"/>
      <w:r>
        <w:t>PG&amp;E Ex-Post Load Impacts</w:t>
      </w:r>
      <w:bookmarkEnd w:id="103"/>
      <w:bookmarkEnd w:id="104"/>
      <w:bookmarkEnd w:id="105"/>
    </w:p>
    <w:p w14:paraId="5E7AF598" w14:textId="77777777" w:rsidR="00025EDD" w:rsidRDefault="00025EDD" w:rsidP="00025EDD">
      <w:r>
        <w:t xml:space="preserve">This section documents the findings from the </w:t>
      </w:r>
      <w:r w:rsidRPr="00E6482F">
        <w:rPr>
          <w:i/>
        </w:rPr>
        <w:t>ex-post</w:t>
      </w:r>
      <w:r>
        <w:t xml:space="preserve"> load impact analysis for PG&amp;E. The primary load impact results include estimates of average event-hour load impacts, in aggregate and per-customer, for the typical event day as well as for each individual event. Results for all hours for the typical event day are also illustrated in figures and presented in data tables.</w:t>
      </w:r>
      <w:r w:rsidRPr="003915B7">
        <w:t xml:space="preserve"> </w:t>
      </w:r>
      <w:r w:rsidRPr="00822514">
        <w:t xml:space="preserve">Detailed results for each hour </w:t>
      </w:r>
      <w:r>
        <w:t xml:space="preserve">for each event are available </w:t>
      </w:r>
      <w:r w:rsidRPr="00822514">
        <w:t>in electronic form in Protocol table generators provided along with this report.</w:t>
      </w:r>
    </w:p>
    <w:p w14:paraId="2E2CB9E3" w14:textId="77777777" w:rsidR="00025EDD" w:rsidRDefault="00025EDD" w:rsidP="00025EDD"/>
    <w:p w14:paraId="77E7CCF1" w14:textId="6703B973" w:rsidR="00B23926" w:rsidRDefault="00025EDD" w:rsidP="00025EDD">
      <w:r>
        <w:t xml:space="preserve">As described in Section </w:t>
      </w:r>
      <w:r>
        <w:fldChar w:fldCharType="begin"/>
      </w:r>
      <w:r>
        <w:instrText xml:space="preserve"> REF _Ref506899729 \n \h </w:instrText>
      </w:r>
      <w:r>
        <w:fldChar w:fldCharType="separate"/>
      </w:r>
      <w:r w:rsidR="005D5C7C">
        <w:t>2</w:t>
      </w:r>
      <w:r>
        <w:fldChar w:fldCharType="end"/>
      </w:r>
      <w:r>
        <w:t xml:space="preserve">, all results presented in this section are derived from panel fixed-effects regression analyses of hourly data for PDP customers and a matched control group. The evaluation of match quality and a discussion thereof is presented in the appendix. The estimated model is described in Section </w:t>
      </w:r>
      <w:r>
        <w:fldChar w:fldCharType="begin"/>
      </w:r>
      <w:r>
        <w:instrText xml:space="preserve"> REF _Ref506888235 \r \h </w:instrText>
      </w:r>
      <w:r>
        <w:fldChar w:fldCharType="separate"/>
      </w:r>
      <w:r w:rsidR="005D5C7C">
        <w:t>2.1.2</w:t>
      </w:r>
      <w:r>
        <w:fldChar w:fldCharType="end"/>
      </w:r>
      <w:r>
        <w:t>, including the morning load variable. Furthermore, we control for concurrent events that are called for other programs, including BIP and CBP, by including indicators for customers who are dually enrolled and who are called (or in the case of CBP, nominated when their aggregator is called) for a given event that occurs during an event or non-event day.</w:t>
      </w:r>
    </w:p>
    <w:p w14:paraId="32EB79A1" w14:textId="4E588469" w:rsidR="003A20DB" w:rsidRDefault="003A20DB" w:rsidP="003A20DB">
      <w:pPr>
        <w:pStyle w:val="Heading3"/>
      </w:pPr>
      <w:bookmarkStart w:id="106" w:name="_Toc509837312"/>
      <w:r>
        <w:t>Large Customers</w:t>
      </w:r>
      <w:bookmarkEnd w:id="106"/>
    </w:p>
    <w:p w14:paraId="1E1C9A85" w14:textId="78C68716" w:rsidR="00025EDD" w:rsidRDefault="00025EDD" w:rsidP="00025EDD">
      <w:pPr>
        <w:spacing w:after="120"/>
        <w:rPr>
          <w:szCs w:val="32"/>
        </w:rPr>
      </w:pPr>
      <w:r>
        <w:rPr>
          <w:szCs w:val="32"/>
        </w:rPr>
        <w:t>This section summarizes results for all large PG&amp;E customers, defined as customers with maximum demand over 200 kW. The presented results include: the average event-hour load impact by event day; the hourly load impact for the average event day; and load impacts by industry group and LCA for the average event hour. Summaries of load impacts for dually enrolled customers</w:t>
      </w:r>
      <w:r w:rsidR="00A23FEA">
        <w:rPr>
          <w:szCs w:val="32"/>
        </w:rPr>
        <w:t xml:space="preserve"> and</w:t>
      </w:r>
      <w:r>
        <w:rPr>
          <w:szCs w:val="32"/>
        </w:rPr>
        <w:t xml:space="preserve"> </w:t>
      </w:r>
      <w:proofErr w:type="spellStart"/>
      <w:r>
        <w:rPr>
          <w:szCs w:val="32"/>
        </w:rPr>
        <w:t>AutoDR</w:t>
      </w:r>
      <w:proofErr w:type="spellEnd"/>
      <w:r>
        <w:rPr>
          <w:szCs w:val="32"/>
        </w:rPr>
        <w:t xml:space="preserve"> customers are presented in subsequent sub-sections.</w:t>
      </w:r>
    </w:p>
    <w:p w14:paraId="4A609BA9" w14:textId="3E2512DD" w:rsidR="00025EDD" w:rsidRDefault="00025EDD" w:rsidP="00025EDD">
      <w:pPr>
        <w:spacing w:after="120"/>
        <w:rPr>
          <w:szCs w:val="32"/>
        </w:rPr>
      </w:pPr>
      <w:r>
        <w:rPr>
          <w:szCs w:val="32"/>
        </w:rPr>
        <w:t xml:space="preserve">The </w:t>
      </w:r>
      <w:r w:rsidRPr="00E6482F">
        <w:rPr>
          <w:i/>
          <w:szCs w:val="32"/>
        </w:rPr>
        <w:t>ex-post</w:t>
      </w:r>
      <w:r>
        <w:rPr>
          <w:szCs w:val="32"/>
        </w:rPr>
        <w:t xml:space="preserve"> load impacts for PG&amp;E’s large PDP customers are summarized for all 15 events in</w:t>
      </w:r>
      <w:r w:rsidR="0013628E">
        <w:rPr>
          <w:szCs w:val="32"/>
        </w:rPr>
        <w:t xml:space="preserve"> </w:t>
      </w:r>
      <w:r w:rsidR="0013628E">
        <w:rPr>
          <w:szCs w:val="32"/>
        </w:rPr>
        <w:fldChar w:fldCharType="begin"/>
      </w:r>
      <w:r w:rsidR="0013628E">
        <w:rPr>
          <w:szCs w:val="32"/>
        </w:rPr>
        <w:instrText xml:space="preserve"> REF _Ref507494669 \h </w:instrText>
      </w:r>
      <w:r w:rsidR="0013628E">
        <w:rPr>
          <w:szCs w:val="32"/>
        </w:rPr>
      </w:r>
      <w:r w:rsidR="0013628E">
        <w:rPr>
          <w:szCs w:val="32"/>
        </w:rPr>
        <w:fldChar w:fldCharType="separate"/>
      </w:r>
      <w:r w:rsidR="005D5C7C">
        <w:t xml:space="preserve">Figure </w:t>
      </w:r>
      <w:r w:rsidR="005D5C7C">
        <w:rPr>
          <w:noProof/>
        </w:rPr>
        <w:t>3</w:t>
      </w:r>
      <w:r w:rsidR="005D5C7C">
        <w:t>.</w:t>
      </w:r>
      <w:r w:rsidR="005D5C7C">
        <w:rPr>
          <w:noProof/>
        </w:rPr>
        <w:t>1</w:t>
      </w:r>
      <w:r w:rsidR="0013628E">
        <w:rPr>
          <w:szCs w:val="32"/>
        </w:rPr>
        <w:fldChar w:fldCharType="end"/>
      </w:r>
      <w:r>
        <w:rPr>
          <w:szCs w:val="32"/>
        </w:rPr>
        <w:t>. The blue bars indicate the magnitude of the aggregate load impact (in MWh/hour). The green bands correspond to 80 percent confidence intervals around these estimates (</w:t>
      </w:r>
      <w:r w:rsidRPr="00E6482F">
        <w:rPr>
          <w:i/>
          <w:szCs w:val="32"/>
        </w:rPr>
        <w:t>i.e.</w:t>
      </w:r>
      <w:r>
        <w:rPr>
          <w:szCs w:val="32"/>
        </w:rPr>
        <w:t>, the 10</w:t>
      </w:r>
      <w:r w:rsidRPr="00E6482F">
        <w:rPr>
          <w:szCs w:val="32"/>
          <w:vertAlign w:val="superscript"/>
        </w:rPr>
        <w:t>th</w:t>
      </w:r>
      <w:r>
        <w:rPr>
          <w:szCs w:val="32"/>
        </w:rPr>
        <w:t xml:space="preserve"> and 90</w:t>
      </w:r>
      <w:r w:rsidRPr="00E6482F">
        <w:rPr>
          <w:szCs w:val="32"/>
          <w:vertAlign w:val="superscript"/>
        </w:rPr>
        <w:t>th</w:t>
      </w:r>
      <w:r>
        <w:rPr>
          <w:szCs w:val="32"/>
        </w:rPr>
        <w:t xml:space="preserve"> percentile scenarios from the uncertainty-adjusted load impacts). The orange line represents the average temperatures experienced by the customers during the event hours.  </w:t>
      </w:r>
    </w:p>
    <w:p w14:paraId="774076D6" w14:textId="063528CD" w:rsidR="00025EDD" w:rsidRDefault="00025EDD" w:rsidP="00025EDD">
      <w:pPr>
        <w:spacing w:after="120"/>
        <w:rPr>
          <w:szCs w:val="32"/>
        </w:rPr>
      </w:pPr>
      <w:r>
        <w:rPr>
          <w:szCs w:val="32"/>
        </w:rPr>
        <w:t xml:space="preserve">These results indicate that large customers had statistically significant load reductions on each of the 15 event days, ranging from 12 to 34 MWh/hour. The load impact averaged 22 MWh/hour, with 80 percent of the event days having a load impact </w:t>
      </w:r>
      <w:proofErr w:type="gramStart"/>
      <w:r>
        <w:rPr>
          <w:szCs w:val="32"/>
        </w:rPr>
        <w:t>in excess of</w:t>
      </w:r>
      <w:proofErr w:type="gramEnd"/>
      <w:r>
        <w:rPr>
          <w:szCs w:val="32"/>
        </w:rPr>
        <w:t xml:space="preserve"> 20 MWh/hour.</w:t>
      </w:r>
      <w:r w:rsidR="0013628E">
        <w:rPr>
          <w:szCs w:val="32"/>
        </w:rPr>
        <w:t xml:space="preserve"> </w:t>
      </w:r>
      <w:r w:rsidR="0013628E">
        <w:rPr>
          <w:szCs w:val="32"/>
        </w:rPr>
        <w:fldChar w:fldCharType="begin"/>
      </w:r>
      <w:r w:rsidR="0013628E">
        <w:rPr>
          <w:szCs w:val="32"/>
        </w:rPr>
        <w:instrText xml:space="preserve"> REF _Ref507494669 \h </w:instrText>
      </w:r>
      <w:r w:rsidR="0013628E">
        <w:rPr>
          <w:szCs w:val="32"/>
        </w:rPr>
      </w:r>
      <w:r w:rsidR="0013628E">
        <w:rPr>
          <w:szCs w:val="32"/>
        </w:rPr>
        <w:fldChar w:fldCharType="separate"/>
      </w:r>
      <w:r w:rsidR="005D5C7C">
        <w:t xml:space="preserve">Figure </w:t>
      </w:r>
      <w:r w:rsidR="005D5C7C">
        <w:rPr>
          <w:noProof/>
        </w:rPr>
        <w:t>3</w:t>
      </w:r>
      <w:r w:rsidR="005D5C7C">
        <w:t>.</w:t>
      </w:r>
      <w:r w:rsidR="005D5C7C">
        <w:rPr>
          <w:noProof/>
        </w:rPr>
        <w:t>1</w:t>
      </w:r>
      <w:r w:rsidR="0013628E">
        <w:rPr>
          <w:szCs w:val="32"/>
        </w:rPr>
        <w:fldChar w:fldCharType="end"/>
      </w:r>
      <w:r>
        <w:rPr>
          <w:szCs w:val="32"/>
        </w:rPr>
        <w:t xml:space="preserve"> shows some evidence of a relationship between load impacts and average temperatures. The two events with the lowest load impacts (July 31</w:t>
      </w:r>
      <w:r w:rsidRPr="00E6482F">
        <w:rPr>
          <w:szCs w:val="32"/>
          <w:vertAlign w:val="superscript"/>
        </w:rPr>
        <w:t>st</w:t>
      </w:r>
      <w:r>
        <w:rPr>
          <w:szCs w:val="32"/>
        </w:rPr>
        <w:t xml:space="preserve"> and August 29</w:t>
      </w:r>
      <w:r w:rsidRPr="00E6482F">
        <w:rPr>
          <w:szCs w:val="32"/>
          <w:vertAlign w:val="superscript"/>
        </w:rPr>
        <w:t>th</w:t>
      </w:r>
      <w:r>
        <w:rPr>
          <w:szCs w:val="32"/>
        </w:rPr>
        <w:t xml:space="preserve">) experienced lower average temperatures (approximately 88 </w:t>
      </w:r>
      <w:r>
        <w:rPr>
          <w:rFonts w:cs="Calibri"/>
          <w:szCs w:val="32"/>
        </w:rPr>
        <w:t>°</w:t>
      </w:r>
      <w:r>
        <w:rPr>
          <w:szCs w:val="32"/>
        </w:rPr>
        <w:t xml:space="preserve">F on both dates), while the event with the highest load impact (September </w:t>
      </w:r>
      <w:r w:rsidRPr="00BB214E">
        <w:rPr>
          <w:szCs w:val="32"/>
        </w:rPr>
        <w:t>1</w:t>
      </w:r>
      <w:r w:rsidRPr="00E6482F">
        <w:rPr>
          <w:szCs w:val="32"/>
          <w:vertAlign w:val="superscript"/>
        </w:rPr>
        <w:t>st</w:t>
      </w:r>
      <w:r>
        <w:rPr>
          <w:szCs w:val="32"/>
        </w:rPr>
        <w:t xml:space="preserve">), had a much higher average temperature of 103 </w:t>
      </w:r>
      <w:r>
        <w:rPr>
          <w:rFonts w:cs="Calibri"/>
          <w:szCs w:val="32"/>
        </w:rPr>
        <w:t>°</w:t>
      </w:r>
      <w:r>
        <w:rPr>
          <w:szCs w:val="32"/>
        </w:rPr>
        <w:t>F. Note that September 2</w:t>
      </w:r>
      <w:r w:rsidRPr="00E6482F">
        <w:rPr>
          <w:szCs w:val="32"/>
          <w:vertAlign w:val="superscript"/>
        </w:rPr>
        <w:t>nd</w:t>
      </w:r>
      <w:r>
        <w:rPr>
          <w:szCs w:val="32"/>
        </w:rPr>
        <w:t xml:space="preserve"> was the lone weekend event, which may explain the relatively low estimated load impact despite being the hottest event day.</w:t>
      </w:r>
    </w:p>
    <w:p w14:paraId="6C249C01" w14:textId="7957F997" w:rsidR="00025EDD" w:rsidRDefault="00025EDD" w:rsidP="00025EDD">
      <w:pPr>
        <w:pStyle w:val="FigureCaption"/>
        <w:rPr>
          <w:i/>
        </w:rPr>
      </w:pPr>
      <w:bookmarkStart w:id="107" w:name="_Ref507494669"/>
      <w:bookmarkStart w:id="108" w:name="_Toc509837448"/>
      <w:r>
        <w:lastRenderedPageBreak/>
        <w:t xml:space="preserve">Figure </w:t>
      </w:r>
      <w:fldSimple w:instr=" STYLEREF 1 \s ">
        <w:r w:rsidR="005D5C7C">
          <w:rPr>
            <w:noProof/>
          </w:rPr>
          <w:t>3</w:t>
        </w:r>
      </w:fldSimple>
      <w:r w:rsidR="00A11E78">
        <w:t>.</w:t>
      </w:r>
      <w:fldSimple w:instr=" SEQ Figure \* ARABIC \s 1 ">
        <w:r w:rsidR="005D5C7C">
          <w:rPr>
            <w:noProof/>
          </w:rPr>
          <w:t>1</w:t>
        </w:r>
      </w:fldSimple>
      <w:bookmarkEnd w:id="107"/>
      <w:r>
        <w:t xml:space="preserve">: Average Event-Hour Load Impacts by Event, </w:t>
      </w:r>
      <w:r>
        <w:rPr>
          <w:i/>
        </w:rPr>
        <w:t>PG&amp;E Large</w:t>
      </w:r>
      <w:bookmarkEnd w:id="108"/>
    </w:p>
    <w:p w14:paraId="2A5283F4" w14:textId="3FDC27FA" w:rsidR="009E04B1" w:rsidRDefault="00A72057" w:rsidP="00627028">
      <w:r>
        <w:rPr>
          <w:noProof/>
        </w:rPr>
        <w:drawing>
          <wp:inline distT="0" distB="0" distL="0" distR="0" wp14:anchorId="7BF6706B" wp14:editId="3FB21152">
            <wp:extent cx="5486400" cy="3983990"/>
            <wp:effectExtent l="0" t="0" r="0" b="0"/>
            <wp:docPr id="63" name="Chart 63">
              <a:extLst xmlns:a="http://schemas.openxmlformats.org/drawingml/2006/main">
                <a:ext uri="{FF2B5EF4-FFF2-40B4-BE49-F238E27FC236}">
                  <a16:creationId xmlns:a16="http://schemas.microsoft.com/office/drawing/2014/main" id="{48156FD3-2145-41AE-BAA3-469D76115B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381B9FD" w14:textId="30C5259D" w:rsidR="00025EDD" w:rsidRDefault="00025EDD" w:rsidP="00025EDD">
      <w:pPr>
        <w:spacing w:after="120"/>
        <w:rPr>
          <w:szCs w:val="32"/>
        </w:rPr>
      </w:pPr>
    </w:p>
    <w:p w14:paraId="64322174" w14:textId="4361DC48" w:rsidR="00025EDD" w:rsidRDefault="00025EDD" w:rsidP="00025EDD">
      <w:pPr>
        <w:spacing w:after="120"/>
        <w:rPr>
          <w:szCs w:val="32"/>
        </w:rPr>
      </w:pPr>
      <w:r>
        <w:rPr>
          <w:szCs w:val="32"/>
        </w:rPr>
        <w:fldChar w:fldCharType="begin"/>
      </w:r>
      <w:r>
        <w:rPr>
          <w:szCs w:val="32"/>
        </w:rPr>
        <w:instrText xml:space="preserve"> REF _Ref506893348 \h </w:instrText>
      </w:r>
      <w:r>
        <w:rPr>
          <w:szCs w:val="32"/>
        </w:rPr>
      </w:r>
      <w:r>
        <w:rPr>
          <w:szCs w:val="32"/>
        </w:rPr>
        <w:fldChar w:fldCharType="separate"/>
      </w:r>
      <w:r w:rsidR="005D5C7C">
        <w:t xml:space="preserve">Table </w:t>
      </w:r>
      <w:r w:rsidR="005D5C7C">
        <w:rPr>
          <w:noProof/>
        </w:rPr>
        <w:t>3</w:t>
      </w:r>
      <w:r w:rsidR="005D5C7C">
        <w:t>.</w:t>
      </w:r>
      <w:r w:rsidR="005D5C7C">
        <w:rPr>
          <w:noProof/>
        </w:rPr>
        <w:t>1</w:t>
      </w:r>
      <w:r>
        <w:rPr>
          <w:szCs w:val="32"/>
        </w:rPr>
        <w:fldChar w:fldCharType="end"/>
      </w:r>
      <w:r>
        <w:rPr>
          <w:szCs w:val="32"/>
        </w:rPr>
        <w:t xml:space="preserve"> summarizes enrollments, average event-hour load impacts, and reference loads for each event day and the average event. There was a slight decrease in the number of enrolled large customers over the course of the season, which may explain some of the lower aggregate load impacts in the second half of the season. Estimated load reductions averaged 11 kWh/hour/customer across event days, which amounts to a 4 percent load reduction.</w:t>
      </w:r>
    </w:p>
    <w:p w14:paraId="723A47D0" w14:textId="5CE504F2" w:rsidR="00025EDD" w:rsidRDefault="00025EDD" w:rsidP="00025EDD">
      <w:pPr>
        <w:pStyle w:val="TableCaption"/>
      </w:pPr>
      <w:bookmarkStart w:id="109" w:name="_Ref506893348"/>
      <w:bookmarkStart w:id="110" w:name="_Ref506893344"/>
      <w:bookmarkStart w:id="111" w:name="_Toc506907158"/>
      <w:bookmarkStart w:id="112" w:name="_Toc509837358"/>
      <w:r>
        <w:lastRenderedPageBreak/>
        <w:t xml:space="preserve">Table </w:t>
      </w:r>
      <w:fldSimple w:instr=" STYLEREF 1 \s ">
        <w:r w:rsidR="005D5C7C">
          <w:rPr>
            <w:noProof/>
          </w:rPr>
          <w:t>3</w:t>
        </w:r>
      </w:fldSimple>
      <w:r w:rsidR="0069714C">
        <w:t>.</w:t>
      </w:r>
      <w:fldSimple w:instr=" SEQ Table \* ARABIC \s 1 ">
        <w:r w:rsidR="005D5C7C">
          <w:rPr>
            <w:noProof/>
          </w:rPr>
          <w:t>1</w:t>
        </w:r>
      </w:fldSimple>
      <w:bookmarkEnd w:id="109"/>
      <w:r>
        <w:t xml:space="preserve">: Average Event-Hour Load Impacts by Event, </w:t>
      </w:r>
      <w:r w:rsidRPr="00283F52">
        <w:rPr>
          <w:i/>
        </w:rPr>
        <w:t xml:space="preserve">PG&amp;E </w:t>
      </w:r>
      <w:r>
        <w:rPr>
          <w:i/>
        </w:rPr>
        <w:t>Large</w:t>
      </w:r>
      <w:bookmarkEnd w:id="110"/>
      <w:bookmarkEnd w:id="111"/>
      <w:bookmarkEnd w:id="112"/>
    </w:p>
    <w:tbl>
      <w:tblPr>
        <w:tblW w:w="8658" w:type="dxa"/>
        <w:tblInd w:w="198" w:type="dxa"/>
        <w:tblLayout w:type="fixed"/>
        <w:tblLook w:val="04A0" w:firstRow="1" w:lastRow="0" w:firstColumn="1" w:lastColumn="0" w:noHBand="0" w:noVBand="1"/>
      </w:tblPr>
      <w:tblGrid>
        <w:gridCol w:w="1980"/>
        <w:gridCol w:w="1080"/>
        <w:gridCol w:w="990"/>
        <w:gridCol w:w="990"/>
        <w:gridCol w:w="990"/>
        <w:gridCol w:w="900"/>
        <w:gridCol w:w="920"/>
        <w:gridCol w:w="808"/>
      </w:tblGrid>
      <w:tr w:rsidR="00025EDD" w:rsidRPr="00944D51" w14:paraId="6AE975BA" w14:textId="77777777" w:rsidTr="005D41C6">
        <w:trPr>
          <w:trHeight w:val="300"/>
        </w:trPr>
        <w:tc>
          <w:tcPr>
            <w:tcW w:w="1980" w:type="dxa"/>
            <w:vMerge w:val="restart"/>
            <w:tcBorders>
              <w:left w:val="single" w:sz="4" w:space="0" w:color="auto"/>
              <w:bottom w:val="single" w:sz="4" w:space="0" w:color="auto"/>
              <w:right w:val="single" w:sz="4" w:space="0" w:color="FFFFFF"/>
            </w:tcBorders>
            <w:shd w:val="clear" w:color="auto" w:fill="0C2577"/>
            <w:noWrap/>
            <w:vAlign w:val="center"/>
            <w:hideMark/>
          </w:tcPr>
          <w:p w14:paraId="40E1ED40" w14:textId="77777777" w:rsidR="00025EDD" w:rsidRPr="009C2731" w:rsidRDefault="00025EDD" w:rsidP="00EB4ED3">
            <w:pPr>
              <w:keepNext/>
              <w:keepLines/>
              <w:jc w:val="center"/>
              <w:rPr>
                <w:rFonts w:ascii="Arial" w:hAnsi="Arial" w:cs="Arial"/>
                <w:sz w:val="20"/>
                <w:szCs w:val="20"/>
              </w:rPr>
            </w:pPr>
            <w:r w:rsidRPr="009C2731">
              <w:rPr>
                <w:rFonts w:ascii="Arial" w:hAnsi="Arial" w:cs="Arial"/>
                <w:b/>
                <w:bCs/>
                <w:sz w:val="20"/>
                <w:szCs w:val="20"/>
              </w:rPr>
              <w:t>Event Date</w:t>
            </w:r>
          </w:p>
        </w:tc>
        <w:tc>
          <w:tcPr>
            <w:tcW w:w="1080" w:type="dxa"/>
            <w:vMerge w:val="restart"/>
            <w:tcBorders>
              <w:left w:val="single" w:sz="4" w:space="0" w:color="FFFFFF"/>
              <w:right w:val="single" w:sz="4" w:space="0" w:color="FFFFFF"/>
            </w:tcBorders>
            <w:shd w:val="clear" w:color="auto" w:fill="0C2577"/>
            <w:noWrap/>
            <w:vAlign w:val="center"/>
            <w:hideMark/>
          </w:tcPr>
          <w:p w14:paraId="36577F4D" w14:textId="77777777" w:rsidR="00025EDD" w:rsidRPr="009C2731" w:rsidRDefault="00025EDD" w:rsidP="00EB4ED3">
            <w:pPr>
              <w:keepNext/>
              <w:keepLines/>
              <w:jc w:val="center"/>
              <w:rPr>
                <w:rFonts w:ascii="Arial" w:hAnsi="Arial" w:cs="Arial"/>
                <w:sz w:val="20"/>
                <w:szCs w:val="20"/>
              </w:rPr>
            </w:pPr>
          </w:p>
          <w:p w14:paraId="55BB78A6" w14:textId="77777777" w:rsidR="00025EDD" w:rsidRPr="009C2731" w:rsidRDefault="00025EDD" w:rsidP="00EB4ED3">
            <w:pPr>
              <w:keepNext/>
              <w:keepLines/>
              <w:jc w:val="center"/>
              <w:rPr>
                <w:rFonts w:ascii="Arial" w:hAnsi="Arial" w:cs="Arial"/>
                <w:sz w:val="20"/>
                <w:szCs w:val="20"/>
              </w:rPr>
            </w:pPr>
            <w:r w:rsidRPr="009C2731">
              <w:rPr>
                <w:rFonts w:ascii="Arial" w:hAnsi="Arial" w:cs="Arial"/>
                <w:b/>
                <w:bCs/>
                <w:sz w:val="20"/>
                <w:szCs w:val="20"/>
              </w:rPr>
              <w:t># Enrolled</w:t>
            </w:r>
          </w:p>
        </w:tc>
        <w:tc>
          <w:tcPr>
            <w:tcW w:w="1980" w:type="dxa"/>
            <w:gridSpan w:val="2"/>
            <w:tcBorders>
              <w:left w:val="single" w:sz="4" w:space="0" w:color="FFFFFF"/>
              <w:bottom w:val="single" w:sz="4" w:space="0" w:color="FFFFFF"/>
              <w:right w:val="single" w:sz="4" w:space="0" w:color="FFFFFF"/>
            </w:tcBorders>
            <w:shd w:val="clear" w:color="auto" w:fill="0C2577"/>
            <w:noWrap/>
            <w:vAlign w:val="center"/>
            <w:hideMark/>
          </w:tcPr>
          <w:p w14:paraId="141063AE" w14:textId="77777777" w:rsidR="00025EDD" w:rsidRPr="009C2731" w:rsidRDefault="00025EDD" w:rsidP="00EB4ED3">
            <w:pPr>
              <w:keepNext/>
              <w:keepLines/>
              <w:jc w:val="center"/>
              <w:rPr>
                <w:rFonts w:ascii="Arial" w:hAnsi="Arial" w:cs="Arial"/>
                <w:b/>
                <w:bCs/>
                <w:sz w:val="20"/>
                <w:szCs w:val="20"/>
              </w:rPr>
            </w:pPr>
            <w:r w:rsidRPr="009C2731">
              <w:rPr>
                <w:rFonts w:ascii="Arial" w:hAnsi="Arial" w:cs="Arial"/>
                <w:b/>
                <w:bCs/>
                <w:sz w:val="20"/>
                <w:szCs w:val="20"/>
              </w:rPr>
              <w:t>Aggregate</w:t>
            </w:r>
            <w:r>
              <w:rPr>
                <w:rFonts w:ascii="Arial" w:hAnsi="Arial" w:cs="Arial"/>
                <w:b/>
                <w:bCs/>
                <w:sz w:val="20"/>
                <w:szCs w:val="20"/>
              </w:rPr>
              <w:t xml:space="preserve"> </w:t>
            </w:r>
            <w:r w:rsidRPr="009C2731">
              <w:rPr>
                <w:rFonts w:ascii="Arial" w:hAnsi="Arial" w:cs="Arial"/>
                <w:b/>
                <w:bCs/>
                <w:sz w:val="20"/>
                <w:szCs w:val="20"/>
              </w:rPr>
              <w:t>(MW</w:t>
            </w:r>
            <w:r>
              <w:rPr>
                <w:rFonts w:ascii="Arial" w:hAnsi="Arial" w:cs="Arial"/>
                <w:b/>
                <w:bCs/>
                <w:sz w:val="20"/>
                <w:szCs w:val="20"/>
              </w:rPr>
              <w:t>h/hour</w:t>
            </w:r>
            <w:r w:rsidRPr="009C2731">
              <w:rPr>
                <w:rFonts w:ascii="Arial" w:hAnsi="Arial" w:cs="Arial"/>
                <w:b/>
                <w:bCs/>
                <w:sz w:val="20"/>
                <w:szCs w:val="20"/>
              </w:rPr>
              <w:t>)</w:t>
            </w:r>
          </w:p>
        </w:tc>
        <w:tc>
          <w:tcPr>
            <w:tcW w:w="1890" w:type="dxa"/>
            <w:gridSpan w:val="2"/>
            <w:tcBorders>
              <w:left w:val="single" w:sz="4" w:space="0" w:color="FFFFFF"/>
              <w:bottom w:val="single" w:sz="4" w:space="0" w:color="FFFFFF"/>
              <w:right w:val="single" w:sz="4" w:space="0" w:color="FFFFFF"/>
            </w:tcBorders>
            <w:shd w:val="clear" w:color="auto" w:fill="0C2577"/>
            <w:noWrap/>
            <w:vAlign w:val="center"/>
            <w:hideMark/>
          </w:tcPr>
          <w:p w14:paraId="53CCC8DA" w14:textId="77777777" w:rsidR="00025EDD" w:rsidRPr="009C2731" w:rsidRDefault="00025EDD" w:rsidP="00EB4ED3">
            <w:pPr>
              <w:keepNext/>
              <w:keepLines/>
              <w:jc w:val="center"/>
              <w:rPr>
                <w:rFonts w:ascii="Arial" w:hAnsi="Arial" w:cs="Arial"/>
                <w:b/>
                <w:bCs/>
                <w:sz w:val="20"/>
                <w:szCs w:val="20"/>
              </w:rPr>
            </w:pPr>
            <w:r w:rsidRPr="009C2731">
              <w:rPr>
                <w:rFonts w:ascii="Arial" w:hAnsi="Arial" w:cs="Arial"/>
                <w:b/>
                <w:bCs/>
                <w:sz w:val="20"/>
                <w:szCs w:val="20"/>
              </w:rPr>
              <w:t>Per-Customer</w:t>
            </w:r>
            <w:r>
              <w:rPr>
                <w:rFonts w:ascii="Arial" w:hAnsi="Arial" w:cs="Arial"/>
                <w:b/>
                <w:bCs/>
                <w:sz w:val="20"/>
                <w:szCs w:val="20"/>
              </w:rPr>
              <w:t xml:space="preserve"> </w:t>
            </w:r>
            <w:r w:rsidRPr="009C2731">
              <w:rPr>
                <w:rFonts w:ascii="Arial" w:hAnsi="Arial" w:cs="Arial"/>
                <w:b/>
                <w:bCs/>
                <w:sz w:val="20"/>
                <w:szCs w:val="20"/>
              </w:rPr>
              <w:t>(kW</w:t>
            </w:r>
            <w:r>
              <w:rPr>
                <w:rFonts w:ascii="Arial" w:hAnsi="Arial" w:cs="Arial"/>
                <w:b/>
                <w:bCs/>
                <w:sz w:val="20"/>
                <w:szCs w:val="20"/>
              </w:rPr>
              <w:t>h/hour</w:t>
            </w:r>
            <w:r w:rsidRPr="009C2731">
              <w:rPr>
                <w:rFonts w:ascii="Arial" w:hAnsi="Arial" w:cs="Arial"/>
                <w:b/>
                <w:bCs/>
                <w:sz w:val="20"/>
                <w:szCs w:val="20"/>
              </w:rPr>
              <w:t>)</w:t>
            </w:r>
          </w:p>
        </w:tc>
        <w:tc>
          <w:tcPr>
            <w:tcW w:w="920" w:type="dxa"/>
            <w:vMerge w:val="restart"/>
            <w:tcBorders>
              <w:left w:val="single" w:sz="4" w:space="0" w:color="FFFFFF"/>
              <w:right w:val="single" w:sz="4" w:space="0" w:color="FFFFFF"/>
            </w:tcBorders>
            <w:shd w:val="clear" w:color="auto" w:fill="0C2577"/>
            <w:noWrap/>
            <w:vAlign w:val="center"/>
            <w:hideMark/>
          </w:tcPr>
          <w:p w14:paraId="72422756" w14:textId="77777777" w:rsidR="00025EDD" w:rsidRPr="009C2731" w:rsidRDefault="00025EDD" w:rsidP="00EB4ED3">
            <w:pPr>
              <w:keepNext/>
              <w:keepLines/>
              <w:jc w:val="center"/>
              <w:rPr>
                <w:rFonts w:ascii="Arial" w:hAnsi="Arial" w:cs="Arial"/>
                <w:sz w:val="20"/>
                <w:szCs w:val="20"/>
              </w:rPr>
            </w:pPr>
          </w:p>
          <w:p w14:paraId="6EEC0DC5" w14:textId="77777777" w:rsidR="00025EDD" w:rsidRPr="009C2731" w:rsidRDefault="00025EDD" w:rsidP="00EB4ED3">
            <w:pPr>
              <w:keepNext/>
              <w:keepLines/>
              <w:jc w:val="center"/>
              <w:rPr>
                <w:rFonts w:ascii="Arial" w:hAnsi="Arial" w:cs="Arial"/>
                <w:sz w:val="20"/>
                <w:szCs w:val="20"/>
              </w:rPr>
            </w:pPr>
            <w:r w:rsidRPr="009C2731">
              <w:rPr>
                <w:rFonts w:ascii="Arial" w:hAnsi="Arial" w:cs="Arial"/>
                <w:b/>
                <w:bCs/>
                <w:sz w:val="20"/>
                <w:szCs w:val="20"/>
              </w:rPr>
              <w:t>% Load Impact</w:t>
            </w:r>
          </w:p>
        </w:tc>
        <w:tc>
          <w:tcPr>
            <w:tcW w:w="808" w:type="dxa"/>
            <w:vMerge w:val="restart"/>
            <w:tcBorders>
              <w:left w:val="single" w:sz="4" w:space="0" w:color="FFFFFF"/>
            </w:tcBorders>
            <w:shd w:val="clear" w:color="auto" w:fill="0C2577"/>
            <w:noWrap/>
            <w:vAlign w:val="center"/>
            <w:hideMark/>
          </w:tcPr>
          <w:p w14:paraId="70D91E66" w14:textId="77777777" w:rsidR="00025EDD" w:rsidRPr="009C2731" w:rsidRDefault="00025EDD" w:rsidP="00EB4ED3">
            <w:pPr>
              <w:keepNext/>
              <w:keepLines/>
              <w:jc w:val="center"/>
              <w:rPr>
                <w:rFonts w:ascii="Arial" w:hAnsi="Arial" w:cs="Arial"/>
                <w:sz w:val="20"/>
                <w:szCs w:val="20"/>
              </w:rPr>
            </w:pPr>
          </w:p>
          <w:p w14:paraId="5470152E" w14:textId="77777777" w:rsidR="00025EDD" w:rsidRPr="009C2731" w:rsidRDefault="00025EDD" w:rsidP="00EB4ED3">
            <w:pPr>
              <w:keepNext/>
              <w:keepLines/>
              <w:jc w:val="center"/>
              <w:rPr>
                <w:rFonts w:ascii="Arial" w:hAnsi="Arial" w:cs="Arial"/>
                <w:sz w:val="20"/>
                <w:szCs w:val="20"/>
              </w:rPr>
            </w:pPr>
            <w:r>
              <w:rPr>
                <w:rFonts w:ascii="Arial" w:hAnsi="Arial" w:cs="Arial"/>
                <w:b/>
                <w:bCs/>
                <w:sz w:val="20"/>
                <w:szCs w:val="20"/>
              </w:rPr>
              <w:t>Avg</w:t>
            </w:r>
            <w:r w:rsidRPr="009C2731">
              <w:rPr>
                <w:rFonts w:ascii="Arial" w:hAnsi="Arial" w:cs="Arial"/>
                <w:b/>
                <w:bCs/>
                <w:sz w:val="20"/>
                <w:szCs w:val="20"/>
              </w:rPr>
              <w:t>. Event Temp.</w:t>
            </w:r>
          </w:p>
        </w:tc>
      </w:tr>
      <w:tr w:rsidR="00025EDD" w:rsidRPr="00944D51" w14:paraId="2F815276" w14:textId="77777777" w:rsidTr="005D41C6">
        <w:trPr>
          <w:trHeight w:val="900"/>
        </w:trPr>
        <w:tc>
          <w:tcPr>
            <w:tcW w:w="1980" w:type="dxa"/>
            <w:vMerge/>
            <w:tcBorders>
              <w:left w:val="single" w:sz="4" w:space="0" w:color="auto"/>
              <w:bottom w:val="single" w:sz="4" w:space="0" w:color="auto"/>
              <w:right w:val="single" w:sz="4" w:space="0" w:color="FFFFFF"/>
            </w:tcBorders>
            <w:shd w:val="clear" w:color="auto" w:fill="B4C6E7" w:themeFill="accent5" w:themeFillTint="66"/>
            <w:vAlign w:val="center"/>
            <w:hideMark/>
          </w:tcPr>
          <w:p w14:paraId="19564F9E" w14:textId="77777777" w:rsidR="00025EDD" w:rsidRPr="009C2731" w:rsidRDefault="00025EDD" w:rsidP="00EB4ED3">
            <w:pPr>
              <w:keepNext/>
              <w:keepLines/>
              <w:jc w:val="center"/>
              <w:rPr>
                <w:rFonts w:ascii="Arial" w:hAnsi="Arial" w:cs="Arial"/>
                <w:b/>
                <w:bCs/>
                <w:sz w:val="20"/>
                <w:szCs w:val="20"/>
              </w:rPr>
            </w:pPr>
          </w:p>
        </w:tc>
        <w:tc>
          <w:tcPr>
            <w:tcW w:w="1080"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1F391B5F" w14:textId="77777777" w:rsidR="00025EDD" w:rsidRPr="009C2731" w:rsidRDefault="00025EDD" w:rsidP="00EB4ED3">
            <w:pPr>
              <w:keepNext/>
              <w:keepLines/>
              <w:jc w:val="center"/>
              <w:rPr>
                <w:rFonts w:ascii="Arial" w:hAnsi="Arial" w:cs="Arial"/>
                <w:b/>
                <w:bCs/>
                <w:sz w:val="20"/>
                <w:szCs w:val="20"/>
              </w:rPr>
            </w:pPr>
          </w:p>
        </w:tc>
        <w:tc>
          <w:tcPr>
            <w:tcW w:w="990"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6CDBBD1D" w14:textId="77777777" w:rsidR="00025EDD" w:rsidRPr="009C2731" w:rsidRDefault="00025EDD" w:rsidP="00EB4ED3">
            <w:pPr>
              <w:keepNext/>
              <w:keepLines/>
              <w:jc w:val="center"/>
              <w:rPr>
                <w:rFonts w:ascii="Arial" w:hAnsi="Arial" w:cs="Arial"/>
                <w:b/>
                <w:bCs/>
                <w:sz w:val="20"/>
                <w:szCs w:val="20"/>
              </w:rPr>
            </w:pPr>
            <w:r w:rsidRPr="009C2731">
              <w:rPr>
                <w:rFonts w:ascii="Arial" w:hAnsi="Arial" w:cs="Arial"/>
                <w:b/>
                <w:bCs/>
                <w:sz w:val="20"/>
                <w:szCs w:val="20"/>
              </w:rPr>
              <w:t xml:space="preserve">Ref. Load </w:t>
            </w:r>
          </w:p>
        </w:tc>
        <w:tc>
          <w:tcPr>
            <w:tcW w:w="990"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44F2E4D1" w14:textId="77777777" w:rsidR="00025EDD" w:rsidRPr="009C2731" w:rsidRDefault="00025EDD" w:rsidP="00EB4ED3">
            <w:pPr>
              <w:keepNext/>
              <w:keepLines/>
              <w:jc w:val="center"/>
              <w:rPr>
                <w:rFonts w:ascii="Arial" w:hAnsi="Arial" w:cs="Arial"/>
                <w:b/>
                <w:bCs/>
                <w:sz w:val="20"/>
                <w:szCs w:val="20"/>
              </w:rPr>
            </w:pPr>
            <w:r w:rsidRPr="009C2731">
              <w:rPr>
                <w:rFonts w:ascii="Arial" w:hAnsi="Arial" w:cs="Arial"/>
                <w:b/>
                <w:bCs/>
                <w:sz w:val="20"/>
                <w:szCs w:val="20"/>
              </w:rPr>
              <w:t xml:space="preserve">Load Impact </w:t>
            </w:r>
          </w:p>
        </w:tc>
        <w:tc>
          <w:tcPr>
            <w:tcW w:w="990"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3540F354" w14:textId="77777777" w:rsidR="00025EDD" w:rsidRPr="009C2731" w:rsidRDefault="00025EDD" w:rsidP="00EB4ED3">
            <w:pPr>
              <w:keepNext/>
              <w:keepLines/>
              <w:jc w:val="center"/>
              <w:rPr>
                <w:rFonts w:ascii="Arial" w:hAnsi="Arial" w:cs="Arial"/>
                <w:b/>
                <w:bCs/>
                <w:sz w:val="20"/>
                <w:szCs w:val="20"/>
              </w:rPr>
            </w:pPr>
            <w:r w:rsidRPr="009C2731">
              <w:rPr>
                <w:rFonts w:ascii="Arial" w:hAnsi="Arial" w:cs="Arial"/>
                <w:b/>
                <w:bCs/>
                <w:sz w:val="20"/>
                <w:szCs w:val="20"/>
              </w:rPr>
              <w:t xml:space="preserve">Ref. Load </w:t>
            </w:r>
          </w:p>
        </w:tc>
        <w:tc>
          <w:tcPr>
            <w:tcW w:w="900"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17C3A959" w14:textId="77777777" w:rsidR="00025EDD" w:rsidRPr="009C2731" w:rsidRDefault="00025EDD" w:rsidP="00EB4ED3">
            <w:pPr>
              <w:keepNext/>
              <w:keepLines/>
              <w:jc w:val="center"/>
              <w:rPr>
                <w:rFonts w:ascii="Arial" w:hAnsi="Arial" w:cs="Arial"/>
                <w:b/>
                <w:bCs/>
                <w:sz w:val="20"/>
                <w:szCs w:val="20"/>
              </w:rPr>
            </w:pPr>
            <w:r w:rsidRPr="009C2731">
              <w:rPr>
                <w:rFonts w:ascii="Arial" w:hAnsi="Arial" w:cs="Arial"/>
                <w:b/>
                <w:bCs/>
                <w:sz w:val="20"/>
                <w:szCs w:val="20"/>
              </w:rPr>
              <w:t xml:space="preserve">Load Impact </w:t>
            </w:r>
          </w:p>
        </w:tc>
        <w:tc>
          <w:tcPr>
            <w:tcW w:w="920"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484467EA" w14:textId="77777777" w:rsidR="00025EDD" w:rsidRPr="009C2731" w:rsidRDefault="00025EDD" w:rsidP="00EB4ED3">
            <w:pPr>
              <w:keepNext/>
              <w:keepLines/>
              <w:jc w:val="center"/>
              <w:rPr>
                <w:rFonts w:ascii="Arial" w:hAnsi="Arial" w:cs="Arial"/>
                <w:b/>
                <w:bCs/>
                <w:sz w:val="20"/>
                <w:szCs w:val="20"/>
              </w:rPr>
            </w:pPr>
          </w:p>
        </w:tc>
        <w:tc>
          <w:tcPr>
            <w:tcW w:w="808" w:type="dxa"/>
            <w:vMerge/>
            <w:tcBorders>
              <w:left w:val="single" w:sz="4" w:space="0" w:color="FFFFFF"/>
              <w:bottom w:val="single" w:sz="4" w:space="0" w:color="auto"/>
            </w:tcBorders>
            <w:shd w:val="clear" w:color="auto" w:fill="B4C6E7" w:themeFill="accent5" w:themeFillTint="66"/>
            <w:vAlign w:val="center"/>
            <w:hideMark/>
          </w:tcPr>
          <w:p w14:paraId="035358C6" w14:textId="77777777" w:rsidR="00025EDD" w:rsidRPr="009C2731" w:rsidRDefault="00025EDD" w:rsidP="00EB4ED3">
            <w:pPr>
              <w:keepNext/>
              <w:keepLines/>
              <w:jc w:val="center"/>
              <w:rPr>
                <w:rFonts w:ascii="Arial" w:hAnsi="Arial" w:cs="Arial"/>
                <w:b/>
                <w:bCs/>
                <w:sz w:val="20"/>
                <w:szCs w:val="20"/>
              </w:rPr>
            </w:pPr>
          </w:p>
        </w:tc>
      </w:tr>
      <w:tr w:rsidR="00DE7D01" w:rsidRPr="00944D51" w14:paraId="1F721746"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0F454AFF"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6/16/2017</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ABFBF" w14:textId="0E658D08"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2,023</w:t>
            </w:r>
          </w:p>
        </w:tc>
        <w:tc>
          <w:tcPr>
            <w:tcW w:w="990" w:type="dxa"/>
            <w:tcBorders>
              <w:top w:val="single" w:sz="4" w:space="0" w:color="auto"/>
              <w:left w:val="nil"/>
              <w:bottom w:val="single" w:sz="4" w:space="0" w:color="auto"/>
              <w:right w:val="single" w:sz="4" w:space="0" w:color="auto"/>
            </w:tcBorders>
            <w:shd w:val="clear" w:color="auto" w:fill="auto"/>
            <w:noWrap/>
            <w:vAlign w:val="center"/>
          </w:tcPr>
          <w:p w14:paraId="647AFB8B" w14:textId="7C59BF2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521.1</w:t>
            </w:r>
          </w:p>
        </w:tc>
        <w:tc>
          <w:tcPr>
            <w:tcW w:w="990" w:type="dxa"/>
            <w:tcBorders>
              <w:top w:val="single" w:sz="4" w:space="0" w:color="auto"/>
              <w:left w:val="nil"/>
              <w:bottom w:val="single" w:sz="4" w:space="0" w:color="auto"/>
              <w:right w:val="single" w:sz="4" w:space="0" w:color="auto"/>
            </w:tcBorders>
            <w:shd w:val="clear" w:color="auto" w:fill="auto"/>
            <w:noWrap/>
            <w:vAlign w:val="center"/>
          </w:tcPr>
          <w:p w14:paraId="5D10F8C2" w14:textId="236652B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26.8</w:t>
            </w:r>
          </w:p>
        </w:tc>
        <w:tc>
          <w:tcPr>
            <w:tcW w:w="990" w:type="dxa"/>
            <w:tcBorders>
              <w:top w:val="single" w:sz="4" w:space="0" w:color="auto"/>
              <w:left w:val="nil"/>
              <w:bottom w:val="single" w:sz="4" w:space="0" w:color="auto"/>
              <w:right w:val="single" w:sz="4" w:space="0" w:color="auto"/>
            </w:tcBorders>
            <w:shd w:val="clear" w:color="auto" w:fill="auto"/>
            <w:noWrap/>
            <w:vAlign w:val="center"/>
          </w:tcPr>
          <w:p w14:paraId="6F240E94" w14:textId="6D25FCE1"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257.6</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55503761" w14:textId="2794DB61"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13.3</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01696892" w14:textId="5E5013F8"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5.1%</w:t>
            </w:r>
          </w:p>
        </w:tc>
        <w:tc>
          <w:tcPr>
            <w:tcW w:w="808" w:type="dxa"/>
            <w:tcBorders>
              <w:top w:val="single" w:sz="4" w:space="0" w:color="auto"/>
              <w:left w:val="nil"/>
              <w:bottom w:val="single" w:sz="4" w:space="0" w:color="auto"/>
              <w:right w:val="single" w:sz="4" w:space="0" w:color="auto"/>
            </w:tcBorders>
            <w:shd w:val="clear" w:color="auto" w:fill="auto"/>
            <w:noWrap/>
            <w:vAlign w:val="center"/>
          </w:tcPr>
          <w:p w14:paraId="43DD64D5" w14:textId="42C76C92"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87.2</w:t>
            </w:r>
          </w:p>
        </w:tc>
      </w:tr>
      <w:tr w:rsidR="00DE7D01" w:rsidRPr="00944D51" w14:paraId="72CEBAA1"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76F399D7"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6/19/2017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7A61BCE5" w14:textId="5C617FC7"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2,018</w:t>
            </w:r>
          </w:p>
        </w:tc>
        <w:tc>
          <w:tcPr>
            <w:tcW w:w="990" w:type="dxa"/>
            <w:tcBorders>
              <w:top w:val="nil"/>
              <w:left w:val="nil"/>
              <w:bottom w:val="single" w:sz="4" w:space="0" w:color="auto"/>
              <w:right w:val="single" w:sz="4" w:space="0" w:color="auto"/>
            </w:tcBorders>
            <w:shd w:val="clear" w:color="auto" w:fill="auto"/>
            <w:noWrap/>
            <w:vAlign w:val="center"/>
          </w:tcPr>
          <w:p w14:paraId="12989DB2" w14:textId="172A31D5"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551.4</w:t>
            </w:r>
          </w:p>
        </w:tc>
        <w:tc>
          <w:tcPr>
            <w:tcW w:w="990" w:type="dxa"/>
            <w:tcBorders>
              <w:top w:val="nil"/>
              <w:left w:val="nil"/>
              <w:bottom w:val="single" w:sz="4" w:space="0" w:color="auto"/>
              <w:right w:val="single" w:sz="4" w:space="0" w:color="auto"/>
            </w:tcBorders>
            <w:shd w:val="clear" w:color="auto" w:fill="auto"/>
            <w:noWrap/>
            <w:vAlign w:val="center"/>
          </w:tcPr>
          <w:p w14:paraId="03E67CED" w14:textId="7FC57AFC"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20.9</w:t>
            </w:r>
          </w:p>
        </w:tc>
        <w:tc>
          <w:tcPr>
            <w:tcW w:w="990" w:type="dxa"/>
            <w:tcBorders>
              <w:top w:val="nil"/>
              <w:left w:val="nil"/>
              <w:bottom w:val="single" w:sz="4" w:space="0" w:color="auto"/>
              <w:right w:val="single" w:sz="4" w:space="0" w:color="auto"/>
            </w:tcBorders>
            <w:shd w:val="clear" w:color="auto" w:fill="auto"/>
            <w:noWrap/>
            <w:vAlign w:val="center"/>
          </w:tcPr>
          <w:p w14:paraId="3C53399C" w14:textId="2882FA4F"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273.2</w:t>
            </w:r>
          </w:p>
        </w:tc>
        <w:tc>
          <w:tcPr>
            <w:tcW w:w="900" w:type="dxa"/>
            <w:tcBorders>
              <w:top w:val="nil"/>
              <w:left w:val="nil"/>
              <w:bottom w:val="single" w:sz="4" w:space="0" w:color="auto"/>
              <w:right w:val="single" w:sz="4" w:space="0" w:color="auto"/>
            </w:tcBorders>
            <w:shd w:val="clear" w:color="auto" w:fill="auto"/>
            <w:noWrap/>
            <w:vAlign w:val="center"/>
          </w:tcPr>
          <w:p w14:paraId="5FD5E146" w14:textId="22C1AF6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10.4</w:t>
            </w:r>
          </w:p>
        </w:tc>
        <w:tc>
          <w:tcPr>
            <w:tcW w:w="920" w:type="dxa"/>
            <w:tcBorders>
              <w:top w:val="nil"/>
              <w:left w:val="nil"/>
              <w:bottom w:val="single" w:sz="4" w:space="0" w:color="auto"/>
              <w:right w:val="single" w:sz="4" w:space="0" w:color="auto"/>
            </w:tcBorders>
            <w:shd w:val="clear" w:color="auto" w:fill="auto"/>
            <w:noWrap/>
            <w:vAlign w:val="center"/>
          </w:tcPr>
          <w:p w14:paraId="2B301ED6" w14:textId="000E467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3.8%</w:t>
            </w:r>
          </w:p>
        </w:tc>
        <w:tc>
          <w:tcPr>
            <w:tcW w:w="808" w:type="dxa"/>
            <w:tcBorders>
              <w:top w:val="nil"/>
              <w:left w:val="nil"/>
              <w:bottom w:val="single" w:sz="4" w:space="0" w:color="auto"/>
              <w:right w:val="single" w:sz="4" w:space="0" w:color="auto"/>
            </w:tcBorders>
            <w:shd w:val="clear" w:color="auto" w:fill="auto"/>
            <w:noWrap/>
            <w:vAlign w:val="center"/>
          </w:tcPr>
          <w:p w14:paraId="701BBA80" w14:textId="23E06143"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92.9</w:t>
            </w:r>
          </w:p>
        </w:tc>
      </w:tr>
      <w:tr w:rsidR="00DE7D01" w:rsidRPr="00944D51" w14:paraId="008BD2BC"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7FDAB5AF"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6/20/2017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0478FCE1" w14:textId="05DE233D"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2,016</w:t>
            </w:r>
          </w:p>
        </w:tc>
        <w:tc>
          <w:tcPr>
            <w:tcW w:w="990" w:type="dxa"/>
            <w:tcBorders>
              <w:top w:val="nil"/>
              <w:left w:val="nil"/>
              <w:bottom w:val="single" w:sz="4" w:space="0" w:color="auto"/>
              <w:right w:val="single" w:sz="4" w:space="0" w:color="auto"/>
            </w:tcBorders>
            <w:shd w:val="clear" w:color="auto" w:fill="auto"/>
            <w:noWrap/>
            <w:vAlign w:val="center"/>
          </w:tcPr>
          <w:p w14:paraId="3089F26B" w14:textId="66B7E679"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542.0</w:t>
            </w:r>
          </w:p>
        </w:tc>
        <w:tc>
          <w:tcPr>
            <w:tcW w:w="990" w:type="dxa"/>
            <w:tcBorders>
              <w:top w:val="nil"/>
              <w:left w:val="nil"/>
              <w:bottom w:val="single" w:sz="4" w:space="0" w:color="auto"/>
              <w:right w:val="single" w:sz="4" w:space="0" w:color="auto"/>
            </w:tcBorders>
            <w:shd w:val="clear" w:color="auto" w:fill="auto"/>
            <w:noWrap/>
            <w:vAlign w:val="center"/>
          </w:tcPr>
          <w:p w14:paraId="3725D2EE" w14:textId="174FC13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23.8</w:t>
            </w:r>
          </w:p>
        </w:tc>
        <w:tc>
          <w:tcPr>
            <w:tcW w:w="990" w:type="dxa"/>
            <w:tcBorders>
              <w:top w:val="nil"/>
              <w:left w:val="nil"/>
              <w:bottom w:val="single" w:sz="4" w:space="0" w:color="auto"/>
              <w:right w:val="single" w:sz="4" w:space="0" w:color="auto"/>
            </w:tcBorders>
            <w:shd w:val="clear" w:color="auto" w:fill="auto"/>
            <w:noWrap/>
            <w:vAlign w:val="center"/>
          </w:tcPr>
          <w:p w14:paraId="4119C90E" w14:textId="36882AA2"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268.8</w:t>
            </w:r>
          </w:p>
        </w:tc>
        <w:tc>
          <w:tcPr>
            <w:tcW w:w="900" w:type="dxa"/>
            <w:tcBorders>
              <w:top w:val="nil"/>
              <w:left w:val="nil"/>
              <w:bottom w:val="single" w:sz="4" w:space="0" w:color="auto"/>
              <w:right w:val="single" w:sz="4" w:space="0" w:color="auto"/>
            </w:tcBorders>
            <w:shd w:val="clear" w:color="auto" w:fill="auto"/>
            <w:noWrap/>
            <w:vAlign w:val="center"/>
          </w:tcPr>
          <w:p w14:paraId="1542FAB3" w14:textId="25AE503D"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11.8</w:t>
            </w:r>
          </w:p>
        </w:tc>
        <w:tc>
          <w:tcPr>
            <w:tcW w:w="920" w:type="dxa"/>
            <w:tcBorders>
              <w:top w:val="nil"/>
              <w:left w:val="nil"/>
              <w:bottom w:val="single" w:sz="4" w:space="0" w:color="auto"/>
              <w:right w:val="single" w:sz="4" w:space="0" w:color="auto"/>
            </w:tcBorders>
            <w:shd w:val="clear" w:color="auto" w:fill="auto"/>
            <w:noWrap/>
            <w:vAlign w:val="center"/>
          </w:tcPr>
          <w:p w14:paraId="45986BFC" w14:textId="27A3219D"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4.4%</w:t>
            </w:r>
          </w:p>
        </w:tc>
        <w:tc>
          <w:tcPr>
            <w:tcW w:w="808" w:type="dxa"/>
            <w:tcBorders>
              <w:top w:val="nil"/>
              <w:left w:val="nil"/>
              <w:bottom w:val="single" w:sz="4" w:space="0" w:color="auto"/>
              <w:right w:val="single" w:sz="4" w:space="0" w:color="auto"/>
            </w:tcBorders>
            <w:shd w:val="clear" w:color="auto" w:fill="auto"/>
            <w:noWrap/>
            <w:vAlign w:val="center"/>
          </w:tcPr>
          <w:p w14:paraId="03737CEA" w14:textId="05FE26C4"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90.5</w:t>
            </w:r>
          </w:p>
        </w:tc>
      </w:tr>
      <w:tr w:rsidR="00DE7D01" w:rsidRPr="00944D51" w14:paraId="4100CDBE"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0F2032D8"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6/22/2017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614B32F4" w14:textId="6750D4EB"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2,012</w:t>
            </w:r>
          </w:p>
        </w:tc>
        <w:tc>
          <w:tcPr>
            <w:tcW w:w="990" w:type="dxa"/>
            <w:tcBorders>
              <w:top w:val="nil"/>
              <w:left w:val="nil"/>
              <w:bottom w:val="single" w:sz="4" w:space="0" w:color="auto"/>
              <w:right w:val="single" w:sz="4" w:space="0" w:color="auto"/>
            </w:tcBorders>
            <w:shd w:val="clear" w:color="auto" w:fill="auto"/>
            <w:noWrap/>
            <w:vAlign w:val="center"/>
          </w:tcPr>
          <w:p w14:paraId="1CEE9F9C" w14:textId="16D1CCDD"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555.0</w:t>
            </w:r>
          </w:p>
        </w:tc>
        <w:tc>
          <w:tcPr>
            <w:tcW w:w="990" w:type="dxa"/>
            <w:tcBorders>
              <w:top w:val="nil"/>
              <w:left w:val="nil"/>
              <w:bottom w:val="single" w:sz="4" w:space="0" w:color="auto"/>
              <w:right w:val="single" w:sz="4" w:space="0" w:color="auto"/>
            </w:tcBorders>
            <w:shd w:val="clear" w:color="auto" w:fill="auto"/>
            <w:noWrap/>
            <w:vAlign w:val="center"/>
          </w:tcPr>
          <w:p w14:paraId="096DE11E" w14:textId="48E5522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27.7</w:t>
            </w:r>
          </w:p>
        </w:tc>
        <w:tc>
          <w:tcPr>
            <w:tcW w:w="990" w:type="dxa"/>
            <w:tcBorders>
              <w:top w:val="nil"/>
              <w:left w:val="nil"/>
              <w:bottom w:val="single" w:sz="4" w:space="0" w:color="auto"/>
              <w:right w:val="single" w:sz="4" w:space="0" w:color="auto"/>
            </w:tcBorders>
            <w:shd w:val="clear" w:color="auto" w:fill="auto"/>
            <w:noWrap/>
            <w:vAlign w:val="center"/>
          </w:tcPr>
          <w:p w14:paraId="5761ED46" w14:textId="4757D17F"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275.9</w:t>
            </w:r>
          </w:p>
        </w:tc>
        <w:tc>
          <w:tcPr>
            <w:tcW w:w="900" w:type="dxa"/>
            <w:tcBorders>
              <w:top w:val="nil"/>
              <w:left w:val="nil"/>
              <w:bottom w:val="single" w:sz="4" w:space="0" w:color="auto"/>
              <w:right w:val="single" w:sz="4" w:space="0" w:color="auto"/>
            </w:tcBorders>
            <w:shd w:val="clear" w:color="auto" w:fill="auto"/>
            <w:noWrap/>
            <w:vAlign w:val="center"/>
          </w:tcPr>
          <w:p w14:paraId="62D88B2B" w14:textId="7975BE1A"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13.8</w:t>
            </w:r>
          </w:p>
        </w:tc>
        <w:tc>
          <w:tcPr>
            <w:tcW w:w="920" w:type="dxa"/>
            <w:tcBorders>
              <w:top w:val="nil"/>
              <w:left w:val="nil"/>
              <w:bottom w:val="single" w:sz="4" w:space="0" w:color="auto"/>
              <w:right w:val="single" w:sz="4" w:space="0" w:color="auto"/>
            </w:tcBorders>
            <w:shd w:val="clear" w:color="auto" w:fill="auto"/>
            <w:noWrap/>
            <w:vAlign w:val="center"/>
          </w:tcPr>
          <w:p w14:paraId="285FCA50" w14:textId="7D13871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5.0%</w:t>
            </w:r>
          </w:p>
        </w:tc>
        <w:tc>
          <w:tcPr>
            <w:tcW w:w="808" w:type="dxa"/>
            <w:tcBorders>
              <w:top w:val="nil"/>
              <w:left w:val="nil"/>
              <w:bottom w:val="single" w:sz="4" w:space="0" w:color="auto"/>
              <w:right w:val="single" w:sz="4" w:space="0" w:color="auto"/>
            </w:tcBorders>
            <w:shd w:val="clear" w:color="auto" w:fill="auto"/>
            <w:noWrap/>
            <w:vAlign w:val="center"/>
          </w:tcPr>
          <w:p w14:paraId="7DE122CB" w14:textId="3555F352"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93.3</w:t>
            </w:r>
          </w:p>
        </w:tc>
      </w:tr>
      <w:tr w:rsidR="00DE7D01" w:rsidRPr="00944D51" w14:paraId="1D603B92"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56E1BF93"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6/23/2017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2D7F442B" w14:textId="4E9B0856"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2,005</w:t>
            </w:r>
          </w:p>
        </w:tc>
        <w:tc>
          <w:tcPr>
            <w:tcW w:w="990" w:type="dxa"/>
            <w:tcBorders>
              <w:top w:val="nil"/>
              <w:left w:val="nil"/>
              <w:bottom w:val="single" w:sz="4" w:space="0" w:color="auto"/>
              <w:right w:val="single" w:sz="4" w:space="0" w:color="auto"/>
            </w:tcBorders>
            <w:shd w:val="clear" w:color="auto" w:fill="auto"/>
            <w:noWrap/>
            <w:vAlign w:val="center"/>
          </w:tcPr>
          <w:p w14:paraId="0666F054" w14:textId="68A3391C"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517.6</w:t>
            </w:r>
          </w:p>
        </w:tc>
        <w:tc>
          <w:tcPr>
            <w:tcW w:w="990" w:type="dxa"/>
            <w:tcBorders>
              <w:top w:val="nil"/>
              <w:left w:val="nil"/>
              <w:bottom w:val="single" w:sz="4" w:space="0" w:color="auto"/>
              <w:right w:val="single" w:sz="4" w:space="0" w:color="auto"/>
            </w:tcBorders>
            <w:shd w:val="clear" w:color="auto" w:fill="auto"/>
            <w:noWrap/>
            <w:vAlign w:val="center"/>
          </w:tcPr>
          <w:p w14:paraId="361E7DAA" w14:textId="2DBE22A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25.4</w:t>
            </w:r>
          </w:p>
        </w:tc>
        <w:tc>
          <w:tcPr>
            <w:tcW w:w="990" w:type="dxa"/>
            <w:tcBorders>
              <w:top w:val="nil"/>
              <w:left w:val="nil"/>
              <w:bottom w:val="single" w:sz="4" w:space="0" w:color="auto"/>
              <w:right w:val="single" w:sz="4" w:space="0" w:color="auto"/>
            </w:tcBorders>
            <w:shd w:val="clear" w:color="auto" w:fill="auto"/>
            <w:noWrap/>
            <w:vAlign w:val="center"/>
          </w:tcPr>
          <w:p w14:paraId="4AC7B09C" w14:textId="3C073B9C"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258.2</w:t>
            </w:r>
          </w:p>
        </w:tc>
        <w:tc>
          <w:tcPr>
            <w:tcW w:w="900" w:type="dxa"/>
            <w:tcBorders>
              <w:top w:val="nil"/>
              <w:left w:val="nil"/>
              <w:bottom w:val="single" w:sz="4" w:space="0" w:color="auto"/>
              <w:right w:val="single" w:sz="4" w:space="0" w:color="auto"/>
            </w:tcBorders>
            <w:shd w:val="clear" w:color="auto" w:fill="auto"/>
            <w:noWrap/>
            <w:vAlign w:val="center"/>
          </w:tcPr>
          <w:p w14:paraId="69CF1FF2" w14:textId="5430632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12.7</w:t>
            </w:r>
          </w:p>
        </w:tc>
        <w:tc>
          <w:tcPr>
            <w:tcW w:w="920" w:type="dxa"/>
            <w:tcBorders>
              <w:top w:val="nil"/>
              <w:left w:val="nil"/>
              <w:bottom w:val="single" w:sz="4" w:space="0" w:color="auto"/>
              <w:right w:val="single" w:sz="4" w:space="0" w:color="auto"/>
            </w:tcBorders>
            <w:shd w:val="clear" w:color="auto" w:fill="auto"/>
            <w:noWrap/>
            <w:vAlign w:val="center"/>
          </w:tcPr>
          <w:p w14:paraId="4A09677F" w14:textId="3F3151DE"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4.9%</w:t>
            </w:r>
          </w:p>
        </w:tc>
        <w:tc>
          <w:tcPr>
            <w:tcW w:w="808" w:type="dxa"/>
            <w:tcBorders>
              <w:top w:val="nil"/>
              <w:left w:val="nil"/>
              <w:bottom w:val="single" w:sz="4" w:space="0" w:color="auto"/>
              <w:right w:val="single" w:sz="4" w:space="0" w:color="auto"/>
            </w:tcBorders>
            <w:shd w:val="clear" w:color="auto" w:fill="auto"/>
            <w:noWrap/>
            <w:vAlign w:val="center"/>
          </w:tcPr>
          <w:p w14:paraId="65D45225" w14:textId="4997C38C"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87.2</w:t>
            </w:r>
          </w:p>
        </w:tc>
      </w:tr>
      <w:tr w:rsidR="00DE7D01" w:rsidRPr="00944D51" w14:paraId="159636EC"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0FDA199F"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7/7/2017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3D15AA79" w14:textId="4B734A6C"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1,976</w:t>
            </w:r>
          </w:p>
        </w:tc>
        <w:tc>
          <w:tcPr>
            <w:tcW w:w="990" w:type="dxa"/>
            <w:tcBorders>
              <w:top w:val="nil"/>
              <w:left w:val="nil"/>
              <w:bottom w:val="single" w:sz="4" w:space="0" w:color="auto"/>
              <w:right w:val="single" w:sz="4" w:space="0" w:color="auto"/>
            </w:tcBorders>
            <w:shd w:val="clear" w:color="auto" w:fill="auto"/>
            <w:noWrap/>
            <w:vAlign w:val="center"/>
          </w:tcPr>
          <w:p w14:paraId="0339C944" w14:textId="5866238D"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517.5</w:t>
            </w:r>
          </w:p>
        </w:tc>
        <w:tc>
          <w:tcPr>
            <w:tcW w:w="990" w:type="dxa"/>
            <w:tcBorders>
              <w:top w:val="nil"/>
              <w:left w:val="nil"/>
              <w:bottom w:val="single" w:sz="4" w:space="0" w:color="auto"/>
              <w:right w:val="single" w:sz="4" w:space="0" w:color="auto"/>
            </w:tcBorders>
            <w:shd w:val="clear" w:color="auto" w:fill="auto"/>
            <w:noWrap/>
            <w:vAlign w:val="center"/>
          </w:tcPr>
          <w:p w14:paraId="5AEAD8FE" w14:textId="7107C695"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27.9</w:t>
            </w:r>
          </w:p>
        </w:tc>
        <w:tc>
          <w:tcPr>
            <w:tcW w:w="990" w:type="dxa"/>
            <w:tcBorders>
              <w:top w:val="nil"/>
              <w:left w:val="nil"/>
              <w:bottom w:val="single" w:sz="4" w:space="0" w:color="auto"/>
              <w:right w:val="single" w:sz="4" w:space="0" w:color="auto"/>
            </w:tcBorders>
            <w:shd w:val="clear" w:color="auto" w:fill="auto"/>
            <w:noWrap/>
            <w:vAlign w:val="center"/>
          </w:tcPr>
          <w:p w14:paraId="7E937751" w14:textId="69A46029"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261.9</w:t>
            </w:r>
          </w:p>
        </w:tc>
        <w:tc>
          <w:tcPr>
            <w:tcW w:w="900" w:type="dxa"/>
            <w:tcBorders>
              <w:top w:val="nil"/>
              <w:left w:val="nil"/>
              <w:bottom w:val="single" w:sz="4" w:space="0" w:color="auto"/>
              <w:right w:val="single" w:sz="4" w:space="0" w:color="auto"/>
            </w:tcBorders>
            <w:shd w:val="clear" w:color="auto" w:fill="auto"/>
            <w:noWrap/>
            <w:vAlign w:val="center"/>
          </w:tcPr>
          <w:p w14:paraId="7A55569C" w14:textId="33D7544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14.1</w:t>
            </w:r>
          </w:p>
        </w:tc>
        <w:tc>
          <w:tcPr>
            <w:tcW w:w="920" w:type="dxa"/>
            <w:tcBorders>
              <w:top w:val="nil"/>
              <w:left w:val="nil"/>
              <w:bottom w:val="single" w:sz="4" w:space="0" w:color="auto"/>
              <w:right w:val="single" w:sz="4" w:space="0" w:color="auto"/>
            </w:tcBorders>
            <w:shd w:val="clear" w:color="auto" w:fill="auto"/>
            <w:noWrap/>
            <w:vAlign w:val="center"/>
          </w:tcPr>
          <w:p w14:paraId="36E88600" w14:textId="1C551018"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5.4%</w:t>
            </w:r>
          </w:p>
        </w:tc>
        <w:tc>
          <w:tcPr>
            <w:tcW w:w="808" w:type="dxa"/>
            <w:tcBorders>
              <w:top w:val="nil"/>
              <w:left w:val="nil"/>
              <w:bottom w:val="single" w:sz="4" w:space="0" w:color="auto"/>
              <w:right w:val="single" w:sz="4" w:space="0" w:color="auto"/>
            </w:tcBorders>
            <w:shd w:val="clear" w:color="auto" w:fill="auto"/>
            <w:noWrap/>
            <w:vAlign w:val="center"/>
          </w:tcPr>
          <w:p w14:paraId="11697410" w14:textId="5B3FA987"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93.5</w:t>
            </w:r>
          </w:p>
        </w:tc>
      </w:tr>
      <w:tr w:rsidR="00DE7D01" w:rsidRPr="00944D51" w14:paraId="18914D67"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3EC5BC8C"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7/27/2017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42DF2545" w14:textId="1C13B775"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1,969</w:t>
            </w:r>
          </w:p>
        </w:tc>
        <w:tc>
          <w:tcPr>
            <w:tcW w:w="990" w:type="dxa"/>
            <w:tcBorders>
              <w:top w:val="nil"/>
              <w:left w:val="nil"/>
              <w:bottom w:val="single" w:sz="4" w:space="0" w:color="auto"/>
              <w:right w:val="single" w:sz="4" w:space="0" w:color="auto"/>
            </w:tcBorders>
            <w:shd w:val="clear" w:color="auto" w:fill="auto"/>
            <w:noWrap/>
            <w:vAlign w:val="center"/>
          </w:tcPr>
          <w:p w14:paraId="05A59CD0" w14:textId="141571E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516.9</w:t>
            </w:r>
          </w:p>
        </w:tc>
        <w:tc>
          <w:tcPr>
            <w:tcW w:w="990" w:type="dxa"/>
            <w:tcBorders>
              <w:top w:val="nil"/>
              <w:left w:val="nil"/>
              <w:bottom w:val="single" w:sz="4" w:space="0" w:color="auto"/>
              <w:right w:val="single" w:sz="4" w:space="0" w:color="auto"/>
            </w:tcBorders>
            <w:shd w:val="clear" w:color="auto" w:fill="auto"/>
            <w:noWrap/>
            <w:vAlign w:val="center"/>
          </w:tcPr>
          <w:p w14:paraId="3D7D9BBF" w14:textId="6A9AAE98"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23.4</w:t>
            </w:r>
          </w:p>
        </w:tc>
        <w:tc>
          <w:tcPr>
            <w:tcW w:w="990" w:type="dxa"/>
            <w:tcBorders>
              <w:top w:val="nil"/>
              <w:left w:val="nil"/>
              <w:bottom w:val="single" w:sz="4" w:space="0" w:color="auto"/>
              <w:right w:val="single" w:sz="4" w:space="0" w:color="auto"/>
            </w:tcBorders>
            <w:shd w:val="clear" w:color="auto" w:fill="auto"/>
            <w:noWrap/>
            <w:vAlign w:val="center"/>
          </w:tcPr>
          <w:p w14:paraId="16CCD378" w14:textId="7A087E05"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262.5</w:t>
            </w:r>
          </w:p>
        </w:tc>
        <w:tc>
          <w:tcPr>
            <w:tcW w:w="900" w:type="dxa"/>
            <w:tcBorders>
              <w:top w:val="nil"/>
              <w:left w:val="nil"/>
              <w:bottom w:val="single" w:sz="4" w:space="0" w:color="auto"/>
              <w:right w:val="single" w:sz="4" w:space="0" w:color="auto"/>
            </w:tcBorders>
            <w:shd w:val="clear" w:color="auto" w:fill="auto"/>
            <w:noWrap/>
            <w:vAlign w:val="center"/>
          </w:tcPr>
          <w:p w14:paraId="4AD95758" w14:textId="12D84D2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11.9</w:t>
            </w:r>
          </w:p>
        </w:tc>
        <w:tc>
          <w:tcPr>
            <w:tcW w:w="920" w:type="dxa"/>
            <w:tcBorders>
              <w:top w:val="nil"/>
              <w:left w:val="nil"/>
              <w:bottom w:val="single" w:sz="4" w:space="0" w:color="auto"/>
              <w:right w:val="single" w:sz="4" w:space="0" w:color="auto"/>
            </w:tcBorders>
            <w:shd w:val="clear" w:color="auto" w:fill="auto"/>
            <w:noWrap/>
            <w:vAlign w:val="center"/>
          </w:tcPr>
          <w:p w14:paraId="0EF8A004" w14:textId="1B63627A"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4.5%</w:t>
            </w:r>
          </w:p>
        </w:tc>
        <w:tc>
          <w:tcPr>
            <w:tcW w:w="808" w:type="dxa"/>
            <w:tcBorders>
              <w:top w:val="nil"/>
              <w:left w:val="nil"/>
              <w:bottom w:val="single" w:sz="4" w:space="0" w:color="auto"/>
              <w:right w:val="single" w:sz="4" w:space="0" w:color="auto"/>
            </w:tcBorders>
            <w:shd w:val="clear" w:color="auto" w:fill="auto"/>
            <w:noWrap/>
            <w:vAlign w:val="center"/>
          </w:tcPr>
          <w:p w14:paraId="731F7325" w14:textId="1015C1FF"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89.4</w:t>
            </w:r>
          </w:p>
        </w:tc>
      </w:tr>
      <w:tr w:rsidR="00DE7D01" w:rsidRPr="00944D51" w14:paraId="098BF3F8"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19531EBE"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7/31/2017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24CF2CF3" w14:textId="3B64CF21"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1,969</w:t>
            </w:r>
          </w:p>
        </w:tc>
        <w:tc>
          <w:tcPr>
            <w:tcW w:w="990" w:type="dxa"/>
            <w:tcBorders>
              <w:top w:val="nil"/>
              <w:left w:val="nil"/>
              <w:bottom w:val="single" w:sz="4" w:space="0" w:color="auto"/>
              <w:right w:val="single" w:sz="4" w:space="0" w:color="auto"/>
            </w:tcBorders>
            <w:shd w:val="clear" w:color="auto" w:fill="auto"/>
            <w:noWrap/>
            <w:vAlign w:val="center"/>
          </w:tcPr>
          <w:p w14:paraId="3AFC3C85" w14:textId="1465C0B3"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501.7</w:t>
            </w:r>
          </w:p>
        </w:tc>
        <w:tc>
          <w:tcPr>
            <w:tcW w:w="990" w:type="dxa"/>
            <w:tcBorders>
              <w:top w:val="nil"/>
              <w:left w:val="nil"/>
              <w:bottom w:val="single" w:sz="4" w:space="0" w:color="auto"/>
              <w:right w:val="single" w:sz="4" w:space="0" w:color="auto"/>
            </w:tcBorders>
            <w:shd w:val="clear" w:color="auto" w:fill="auto"/>
            <w:noWrap/>
            <w:vAlign w:val="center"/>
          </w:tcPr>
          <w:p w14:paraId="79AA96C6" w14:textId="3AD81F75"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12.7</w:t>
            </w:r>
          </w:p>
        </w:tc>
        <w:tc>
          <w:tcPr>
            <w:tcW w:w="990" w:type="dxa"/>
            <w:tcBorders>
              <w:top w:val="nil"/>
              <w:left w:val="nil"/>
              <w:bottom w:val="single" w:sz="4" w:space="0" w:color="auto"/>
              <w:right w:val="single" w:sz="4" w:space="0" w:color="auto"/>
            </w:tcBorders>
            <w:shd w:val="clear" w:color="auto" w:fill="auto"/>
            <w:noWrap/>
            <w:vAlign w:val="center"/>
          </w:tcPr>
          <w:p w14:paraId="20672FAE" w14:textId="5843752B"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254.8</w:t>
            </w:r>
          </w:p>
        </w:tc>
        <w:tc>
          <w:tcPr>
            <w:tcW w:w="900" w:type="dxa"/>
            <w:tcBorders>
              <w:top w:val="nil"/>
              <w:left w:val="nil"/>
              <w:bottom w:val="single" w:sz="4" w:space="0" w:color="auto"/>
              <w:right w:val="single" w:sz="4" w:space="0" w:color="auto"/>
            </w:tcBorders>
            <w:shd w:val="clear" w:color="auto" w:fill="auto"/>
            <w:noWrap/>
            <w:vAlign w:val="center"/>
          </w:tcPr>
          <w:p w14:paraId="319CE288" w14:textId="3774902E"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6.4</w:t>
            </w:r>
          </w:p>
        </w:tc>
        <w:tc>
          <w:tcPr>
            <w:tcW w:w="920" w:type="dxa"/>
            <w:tcBorders>
              <w:top w:val="nil"/>
              <w:left w:val="nil"/>
              <w:bottom w:val="single" w:sz="4" w:space="0" w:color="auto"/>
              <w:right w:val="single" w:sz="4" w:space="0" w:color="auto"/>
            </w:tcBorders>
            <w:shd w:val="clear" w:color="auto" w:fill="auto"/>
            <w:noWrap/>
            <w:vAlign w:val="center"/>
          </w:tcPr>
          <w:p w14:paraId="6AAB3759" w14:textId="6928DF74"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2.5%</w:t>
            </w:r>
          </w:p>
        </w:tc>
        <w:tc>
          <w:tcPr>
            <w:tcW w:w="808" w:type="dxa"/>
            <w:tcBorders>
              <w:top w:val="nil"/>
              <w:left w:val="nil"/>
              <w:bottom w:val="single" w:sz="4" w:space="0" w:color="auto"/>
              <w:right w:val="single" w:sz="4" w:space="0" w:color="auto"/>
            </w:tcBorders>
            <w:shd w:val="clear" w:color="auto" w:fill="auto"/>
            <w:noWrap/>
            <w:vAlign w:val="center"/>
          </w:tcPr>
          <w:p w14:paraId="45773729" w14:textId="11818B29"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87.3</w:t>
            </w:r>
          </w:p>
        </w:tc>
      </w:tr>
      <w:tr w:rsidR="00DE7D01" w:rsidRPr="00944D51" w14:paraId="389382EB"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591B1CED"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8/1/2017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003193E8" w14:textId="53F40DB6"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1,968</w:t>
            </w:r>
          </w:p>
        </w:tc>
        <w:tc>
          <w:tcPr>
            <w:tcW w:w="990" w:type="dxa"/>
            <w:tcBorders>
              <w:top w:val="nil"/>
              <w:left w:val="nil"/>
              <w:bottom w:val="single" w:sz="4" w:space="0" w:color="auto"/>
              <w:right w:val="single" w:sz="4" w:space="0" w:color="auto"/>
            </w:tcBorders>
            <w:shd w:val="clear" w:color="auto" w:fill="auto"/>
            <w:noWrap/>
            <w:vAlign w:val="center"/>
          </w:tcPr>
          <w:p w14:paraId="0903DCAA" w14:textId="3723315C"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524.2</w:t>
            </w:r>
          </w:p>
        </w:tc>
        <w:tc>
          <w:tcPr>
            <w:tcW w:w="990" w:type="dxa"/>
            <w:tcBorders>
              <w:top w:val="nil"/>
              <w:left w:val="nil"/>
              <w:bottom w:val="single" w:sz="4" w:space="0" w:color="auto"/>
              <w:right w:val="single" w:sz="4" w:space="0" w:color="auto"/>
            </w:tcBorders>
            <w:shd w:val="clear" w:color="auto" w:fill="auto"/>
            <w:noWrap/>
            <w:vAlign w:val="center"/>
          </w:tcPr>
          <w:p w14:paraId="74350DC5" w14:textId="3BE1763B"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20.8</w:t>
            </w:r>
          </w:p>
        </w:tc>
        <w:tc>
          <w:tcPr>
            <w:tcW w:w="990" w:type="dxa"/>
            <w:tcBorders>
              <w:top w:val="nil"/>
              <w:left w:val="nil"/>
              <w:bottom w:val="single" w:sz="4" w:space="0" w:color="auto"/>
              <w:right w:val="single" w:sz="4" w:space="0" w:color="auto"/>
            </w:tcBorders>
            <w:shd w:val="clear" w:color="auto" w:fill="auto"/>
            <w:noWrap/>
            <w:vAlign w:val="center"/>
          </w:tcPr>
          <w:p w14:paraId="325E26A2" w14:textId="295D04E4"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266.4</w:t>
            </w:r>
          </w:p>
        </w:tc>
        <w:tc>
          <w:tcPr>
            <w:tcW w:w="900" w:type="dxa"/>
            <w:tcBorders>
              <w:top w:val="nil"/>
              <w:left w:val="nil"/>
              <w:bottom w:val="single" w:sz="4" w:space="0" w:color="auto"/>
              <w:right w:val="single" w:sz="4" w:space="0" w:color="auto"/>
            </w:tcBorders>
            <w:shd w:val="clear" w:color="auto" w:fill="auto"/>
            <w:noWrap/>
            <w:vAlign w:val="center"/>
          </w:tcPr>
          <w:p w14:paraId="60FCEAF1" w14:textId="1725716D"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10.6</w:t>
            </w:r>
          </w:p>
        </w:tc>
        <w:tc>
          <w:tcPr>
            <w:tcW w:w="920" w:type="dxa"/>
            <w:tcBorders>
              <w:top w:val="nil"/>
              <w:left w:val="nil"/>
              <w:bottom w:val="single" w:sz="4" w:space="0" w:color="auto"/>
              <w:right w:val="single" w:sz="4" w:space="0" w:color="auto"/>
            </w:tcBorders>
            <w:shd w:val="clear" w:color="auto" w:fill="auto"/>
            <w:noWrap/>
            <w:vAlign w:val="center"/>
          </w:tcPr>
          <w:p w14:paraId="61CE1470" w14:textId="65A792D8"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4.0%</w:t>
            </w:r>
          </w:p>
        </w:tc>
        <w:tc>
          <w:tcPr>
            <w:tcW w:w="808" w:type="dxa"/>
            <w:tcBorders>
              <w:top w:val="nil"/>
              <w:left w:val="nil"/>
              <w:bottom w:val="single" w:sz="4" w:space="0" w:color="auto"/>
              <w:right w:val="single" w:sz="4" w:space="0" w:color="auto"/>
            </w:tcBorders>
            <w:shd w:val="clear" w:color="auto" w:fill="auto"/>
            <w:noWrap/>
            <w:vAlign w:val="center"/>
          </w:tcPr>
          <w:p w14:paraId="39F2F450" w14:textId="2B9B240A"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90.7</w:t>
            </w:r>
          </w:p>
        </w:tc>
      </w:tr>
      <w:tr w:rsidR="00DE7D01" w:rsidRPr="00944D51" w14:paraId="76D2A322"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0E1253C1"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8/2/2017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7023D98B" w14:textId="2E6540E1"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1,968</w:t>
            </w:r>
          </w:p>
        </w:tc>
        <w:tc>
          <w:tcPr>
            <w:tcW w:w="990" w:type="dxa"/>
            <w:tcBorders>
              <w:top w:val="nil"/>
              <w:left w:val="nil"/>
              <w:bottom w:val="single" w:sz="4" w:space="0" w:color="auto"/>
              <w:right w:val="single" w:sz="4" w:space="0" w:color="auto"/>
            </w:tcBorders>
            <w:shd w:val="clear" w:color="auto" w:fill="auto"/>
            <w:noWrap/>
            <w:vAlign w:val="center"/>
          </w:tcPr>
          <w:p w14:paraId="2A5D9FCF" w14:textId="4ED214C9"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544.9</w:t>
            </w:r>
          </w:p>
        </w:tc>
        <w:tc>
          <w:tcPr>
            <w:tcW w:w="990" w:type="dxa"/>
            <w:tcBorders>
              <w:top w:val="nil"/>
              <w:left w:val="nil"/>
              <w:bottom w:val="single" w:sz="4" w:space="0" w:color="auto"/>
              <w:right w:val="single" w:sz="4" w:space="0" w:color="auto"/>
            </w:tcBorders>
            <w:shd w:val="clear" w:color="auto" w:fill="auto"/>
            <w:noWrap/>
            <w:vAlign w:val="center"/>
          </w:tcPr>
          <w:p w14:paraId="64C89AD8" w14:textId="453AF3F8"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20.1</w:t>
            </w:r>
          </w:p>
        </w:tc>
        <w:tc>
          <w:tcPr>
            <w:tcW w:w="990" w:type="dxa"/>
            <w:tcBorders>
              <w:top w:val="nil"/>
              <w:left w:val="nil"/>
              <w:bottom w:val="single" w:sz="4" w:space="0" w:color="auto"/>
              <w:right w:val="single" w:sz="4" w:space="0" w:color="auto"/>
            </w:tcBorders>
            <w:shd w:val="clear" w:color="auto" w:fill="auto"/>
            <w:noWrap/>
            <w:vAlign w:val="center"/>
          </w:tcPr>
          <w:p w14:paraId="7EE937B7" w14:textId="16D9805C"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276.9</w:t>
            </w:r>
          </w:p>
        </w:tc>
        <w:tc>
          <w:tcPr>
            <w:tcW w:w="900" w:type="dxa"/>
            <w:tcBorders>
              <w:top w:val="nil"/>
              <w:left w:val="nil"/>
              <w:bottom w:val="single" w:sz="4" w:space="0" w:color="auto"/>
              <w:right w:val="single" w:sz="4" w:space="0" w:color="auto"/>
            </w:tcBorders>
            <w:shd w:val="clear" w:color="auto" w:fill="auto"/>
            <w:noWrap/>
            <w:vAlign w:val="center"/>
          </w:tcPr>
          <w:p w14:paraId="540B7339" w14:textId="69A687C2"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10.2</w:t>
            </w:r>
          </w:p>
        </w:tc>
        <w:tc>
          <w:tcPr>
            <w:tcW w:w="920" w:type="dxa"/>
            <w:tcBorders>
              <w:top w:val="nil"/>
              <w:left w:val="nil"/>
              <w:bottom w:val="single" w:sz="4" w:space="0" w:color="auto"/>
              <w:right w:val="single" w:sz="4" w:space="0" w:color="auto"/>
            </w:tcBorders>
            <w:shd w:val="clear" w:color="auto" w:fill="auto"/>
            <w:noWrap/>
            <w:vAlign w:val="center"/>
          </w:tcPr>
          <w:p w14:paraId="56502267" w14:textId="536A31B5"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3.7%</w:t>
            </w:r>
          </w:p>
        </w:tc>
        <w:tc>
          <w:tcPr>
            <w:tcW w:w="808" w:type="dxa"/>
            <w:tcBorders>
              <w:top w:val="nil"/>
              <w:left w:val="nil"/>
              <w:bottom w:val="single" w:sz="4" w:space="0" w:color="auto"/>
              <w:right w:val="single" w:sz="4" w:space="0" w:color="auto"/>
            </w:tcBorders>
            <w:shd w:val="clear" w:color="auto" w:fill="auto"/>
            <w:noWrap/>
            <w:vAlign w:val="center"/>
          </w:tcPr>
          <w:p w14:paraId="5B44BB4F" w14:textId="59B3F7D5"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91.9</w:t>
            </w:r>
          </w:p>
        </w:tc>
      </w:tr>
      <w:tr w:rsidR="00DE7D01" w:rsidRPr="00944D51" w14:paraId="4D73DBB9"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09C93C9A"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8/28/2017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08268D21" w14:textId="3497D202"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1,965</w:t>
            </w:r>
          </w:p>
        </w:tc>
        <w:tc>
          <w:tcPr>
            <w:tcW w:w="990" w:type="dxa"/>
            <w:tcBorders>
              <w:top w:val="nil"/>
              <w:left w:val="nil"/>
              <w:bottom w:val="single" w:sz="4" w:space="0" w:color="auto"/>
              <w:right w:val="single" w:sz="4" w:space="0" w:color="auto"/>
            </w:tcBorders>
            <w:shd w:val="clear" w:color="auto" w:fill="auto"/>
            <w:noWrap/>
            <w:vAlign w:val="center"/>
          </w:tcPr>
          <w:p w14:paraId="4A00F2C5" w14:textId="6FD432FA"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551.0</w:t>
            </w:r>
          </w:p>
        </w:tc>
        <w:tc>
          <w:tcPr>
            <w:tcW w:w="990" w:type="dxa"/>
            <w:tcBorders>
              <w:top w:val="nil"/>
              <w:left w:val="nil"/>
              <w:bottom w:val="single" w:sz="4" w:space="0" w:color="auto"/>
              <w:right w:val="single" w:sz="4" w:space="0" w:color="auto"/>
            </w:tcBorders>
            <w:shd w:val="clear" w:color="auto" w:fill="auto"/>
            <w:noWrap/>
            <w:vAlign w:val="center"/>
          </w:tcPr>
          <w:p w14:paraId="216E49DB" w14:textId="3D58E319"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18.3</w:t>
            </w:r>
          </w:p>
        </w:tc>
        <w:tc>
          <w:tcPr>
            <w:tcW w:w="990" w:type="dxa"/>
            <w:tcBorders>
              <w:top w:val="nil"/>
              <w:left w:val="nil"/>
              <w:bottom w:val="single" w:sz="4" w:space="0" w:color="auto"/>
              <w:right w:val="single" w:sz="4" w:space="0" w:color="auto"/>
            </w:tcBorders>
            <w:shd w:val="clear" w:color="auto" w:fill="auto"/>
            <w:noWrap/>
            <w:vAlign w:val="center"/>
          </w:tcPr>
          <w:p w14:paraId="1F142BAE" w14:textId="0E81BE6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280.4</w:t>
            </w:r>
          </w:p>
        </w:tc>
        <w:tc>
          <w:tcPr>
            <w:tcW w:w="900" w:type="dxa"/>
            <w:tcBorders>
              <w:top w:val="nil"/>
              <w:left w:val="nil"/>
              <w:bottom w:val="single" w:sz="4" w:space="0" w:color="auto"/>
              <w:right w:val="single" w:sz="4" w:space="0" w:color="auto"/>
            </w:tcBorders>
            <w:shd w:val="clear" w:color="auto" w:fill="auto"/>
            <w:noWrap/>
            <w:vAlign w:val="center"/>
          </w:tcPr>
          <w:p w14:paraId="63DC72DF" w14:textId="0EA0A18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9.3</w:t>
            </w:r>
          </w:p>
        </w:tc>
        <w:tc>
          <w:tcPr>
            <w:tcW w:w="920" w:type="dxa"/>
            <w:tcBorders>
              <w:top w:val="nil"/>
              <w:left w:val="nil"/>
              <w:bottom w:val="single" w:sz="4" w:space="0" w:color="auto"/>
              <w:right w:val="single" w:sz="4" w:space="0" w:color="auto"/>
            </w:tcBorders>
            <w:shd w:val="clear" w:color="auto" w:fill="auto"/>
            <w:noWrap/>
            <w:vAlign w:val="center"/>
          </w:tcPr>
          <w:p w14:paraId="1B2FCBDA" w14:textId="61EF1C9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3.3%</w:t>
            </w:r>
          </w:p>
        </w:tc>
        <w:tc>
          <w:tcPr>
            <w:tcW w:w="808" w:type="dxa"/>
            <w:tcBorders>
              <w:top w:val="nil"/>
              <w:left w:val="nil"/>
              <w:bottom w:val="single" w:sz="4" w:space="0" w:color="auto"/>
              <w:right w:val="single" w:sz="4" w:space="0" w:color="auto"/>
            </w:tcBorders>
            <w:shd w:val="clear" w:color="auto" w:fill="auto"/>
            <w:noWrap/>
            <w:vAlign w:val="center"/>
          </w:tcPr>
          <w:p w14:paraId="13AC20D2" w14:textId="09D24063"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93.1</w:t>
            </w:r>
          </w:p>
        </w:tc>
      </w:tr>
      <w:tr w:rsidR="00DE7D01" w:rsidRPr="00944D51" w14:paraId="451BD4F3"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70C13453"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8/29/2017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3F01587A" w14:textId="37B4FDA6"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1,966</w:t>
            </w:r>
          </w:p>
        </w:tc>
        <w:tc>
          <w:tcPr>
            <w:tcW w:w="990" w:type="dxa"/>
            <w:tcBorders>
              <w:top w:val="nil"/>
              <w:left w:val="nil"/>
              <w:bottom w:val="single" w:sz="4" w:space="0" w:color="auto"/>
              <w:right w:val="single" w:sz="4" w:space="0" w:color="auto"/>
            </w:tcBorders>
            <w:shd w:val="clear" w:color="auto" w:fill="auto"/>
            <w:noWrap/>
            <w:vAlign w:val="center"/>
          </w:tcPr>
          <w:p w14:paraId="31AC11C5" w14:textId="2F7A7D4C"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528.7</w:t>
            </w:r>
          </w:p>
        </w:tc>
        <w:tc>
          <w:tcPr>
            <w:tcW w:w="990" w:type="dxa"/>
            <w:tcBorders>
              <w:top w:val="nil"/>
              <w:left w:val="nil"/>
              <w:bottom w:val="single" w:sz="4" w:space="0" w:color="auto"/>
              <w:right w:val="single" w:sz="4" w:space="0" w:color="auto"/>
            </w:tcBorders>
            <w:shd w:val="clear" w:color="auto" w:fill="auto"/>
            <w:noWrap/>
            <w:vAlign w:val="center"/>
          </w:tcPr>
          <w:p w14:paraId="3132770D" w14:textId="023914EE"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11.8</w:t>
            </w:r>
          </w:p>
        </w:tc>
        <w:tc>
          <w:tcPr>
            <w:tcW w:w="990" w:type="dxa"/>
            <w:tcBorders>
              <w:top w:val="nil"/>
              <w:left w:val="nil"/>
              <w:bottom w:val="single" w:sz="4" w:space="0" w:color="auto"/>
              <w:right w:val="single" w:sz="4" w:space="0" w:color="auto"/>
            </w:tcBorders>
            <w:shd w:val="clear" w:color="auto" w:fill="auto"/>
            <w:noWrap/>
            <w:vAlign w:val="center"/>
          </w:tcPr>
          <w:p w14:paraId="780E084F" w14:textId="79029BE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268.9</w:t>
            </w:r>
          </w:p>
        </w:tc>
        <w:tc>
          <w:tcPr>
            <w:tcW w:w="900" w:type="dxa"/>
            <w:tcBorders>
              <w:top w:val="nil"/>
              <w:left w:val="nil"/>
              <w:bottom w:val="single" w:sz="4" w:space="0" w:color="auto"/>
              <w:right w:val="single" w:sz="4" w:space="0" w:color="auto"/>
            </w:tcBorders>
            <w:shd w:val="clear" w:color="auto" w:fill="auto"/>
            <w:noWrap/>
            <w:vAlign w:val="center"/>
          </w:tcPr>
          <w:p w14:paraId="4D61AFB1" w14:textId="1D5E7D4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6.0</w:t>
            </w:r>
          </w:p>
        </w:tc>
        <w:tc>
          <w:tcPr>
            <w:tcW w:w="920" w:type="dxa"/>
            <w:tcBorders>
              <w:top w:val="nil"/>
              <w:left w:val="nil"/>
              <w:bottom w:val="single" w:sz="4" w:space="0" w:color="auto"/>
              <w:right w:val="single" w:sz="4" w:space="0" w:color="auto"/>
            </w:tcBorders>
            <w:shd w:val="clear" w:color="auto" w:fill="auto"/>
            <w:noWrap/>
            <w:vAlign w:val="center"/>
          </w:tcPr>
          <w:p w14:paraId="379DEFD8" w14:textId="7CA1B7FF"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2.2%</w:t>
            </w:r>
          </w:p>
        </w:tc>
        <w:tc>
          <w:tcPr>
            <w:tcW w:w="808" w:type="dxa"/>
            <w:tcBorders>
              <w:top w:val="nil"/>
              <w:left w:val="nil"/>
              <w:bottom w:val="single" w:sz="4" w:space="0" w:color="auto"/>
              <w:right w:val="single" w:sz="4" w:space="0" w:color="auto"/>
            </w:tcBorders>
            <w:shd w:val="clear" w:color="auto" w:fill="auto"/>
            <w:noWrap/>
            <w:vAlign w:val="center"/>
          </w:tcPr>
          <w:p w14:paraId="41070371" w14:textId="5CF0ED18"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87.6</w:t>
            </w:r>
          </w:p>
        </w:tc>
      </w:tr>
      <w:tr w:rsidR="00DE7D01" w:rsidRPr="00944D51" w14:paraId="541B6998"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57C55261"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8/31/2017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47F646DA" w14:textId="0FE233D1"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1,960</w:t>
            </w:r>
          </w:p>
        </w:tc>
        <w:tc>
          <w:tcPr>
            <w:tcW w:w="990" w:type="dxa"/>
            <w:tcBorders>
              <w:top w:val="nil"/>
              <w:left w:val="nil"/>
              <w:bottom w:val="single" w:sz="4" w:space="0" w:color="auto"/>
              <w:right w:val="single" w:sz="4" w:space="0" w:color="auto"/>
            </w:tcBorders>
            <w:shd w:val="clear" w:color="auto" w:fill="auto"/>
            <w:noWrap/>
            <w:vAlign w:val="center"/>
          </w:tcPr>
          <w:p w14:paraId="4E08FD73" w14:textId="0A946083"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550.5</w:t>
            </w:r>
          </w:p>
        </w:tc>
        <w:tc>
          <w:tcPr>
            <w:tcW w:w="990" w:type="dxa"/>
            <w:tcBorders>
              <w:top w:val="nil"/>
              <w:left w:val="nil"/>
              <w:bottom w:val="single" w:sz="4" w:space="0" w:color="auto"/>
              <w:right w:val="single" w:sz="4" w:space="0" w:color="auto"/>
            </w:tcBorders>
            <w:shd w:val="clear" w:color="auto" w:fill="auto"/>
            <w:noWrap/>
            <w:vAlign w:val="center"/>
          </w:tcPr>
          <w:p w14:paraId="49EFFFF7" w14:textId="3D3B8E4B"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22.2</w:t>
            </w:r>
          </w:p>
        </w:tc>
        <w:tc>
          <w:tcPr>
            <w:tcW w:w="990" w:type="dxa"/>
            <w:tcBorders>
              <w:top w:val="nil"/>
              <w:left w:val="nil"/>
              <w:bottom w:val="single" w:sz="4" w:space="0" w:color="auto"/>
              <w:right w:val="single" w:sz="4" w:space="0" w:color="auto"/>
            </w:tcBorders>
            <w:shd w:val="clear" w:color="auto" w:fill="auto"/>
            <w:noWrap/>
            <w:vAlign w:val="center"/>
          </w:tcPr>
          <w:p w14:paraId="173B82BF" w14:textId="053766A2"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280.9</w:t>
            </w:r>
          </w:p>
        </w:tc>
        <w:tc>
          <w:tcPr>
            <w:tcW w:w="900" w:type="dxa"/>
            <w:tcBorders>
              <w:top w:val="nil"/>
              <w:left w:val="nil"/>
              <w:bottom w:val="single" w:sz="4" w:space="0" w:color="auto"/>
              <w:right w:val="single" w:sz="4" w:space="0" w:color="auto"/>
            </w:tcBorders>
            <w:shd w:val="clear" w:color="auto" w:fill="auto"/>
            <w:noWrap/>
            <w:vAlign w:val="center"/>
          </w:tcPr>
          <w:p w14:paraId="61138EF5" w14:textId="0B88A62D"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11.3</w:t>
            </w:r>
          </w:p>
        </w:tc>
        <w:tc>
          <w:tcPr>
            <w:tcW w:w="920" w:type="dxa"/>
            <w:tcBorders>
              <w:top w:val="nil"/>
              <w:left w:val="nil"/>
              <w:bottom w:val="single" w:sz="4" w:space="0" w:color="auto"/>
              <w:right w:val="single" w:sz="4" w:space="0" w:color="auto"/>
            </w:tcBorders>
            <w:shd w:val="clear" w:color="auto" w:fill="auto"/>
            <w:noWrap/>
            <w:vAlign w:val="center"/>
          </w:tcPr>
          <w:p w14:paraId="46604856" w14:textId="204AC2C6"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4.0%</w:t>
            </w:r>
          </w:p>
        </w:tc>
        <w:tc>
          <w:tcPr>
            <w:tcW w:w="808" w:type="dxa"/>
            <w:tcBorders>
              <w:top w:val="nil"/>
              <w:left w:val="nil"/>
              <w:bottom w:val="single" w:sz="4" w:space="0" w:color="auto"/>
              <w:right w:val="single" w:sz="4" w:space="0" w:color="auto"/>
            </w:tcBorders>
            <w:shd w:val="clear" w:color="auto" w:fill="auto"/>
            <w:noWrap/>
            <w:vAlign w:val="center"/>
          </w:tcPr>
          <w:p w14:paraId="76C3E454" w14:textId="0EE5ECAE"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94.2</w:t>
            </w:r>
          </w:p>
        </w:tc>
      </w:tr>
      <w:tr w:rsidR="00DE7D01" w:rsidRPr="00944D51" w14:paraId="04E5B564"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3AAEC875"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9/1/2017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5E4CFAFB" w14:textId="3EB6F35F"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1,957</w:t>
            </w:r>
          </w:p>
        </w:tc>
        <w:tc>
          <w:tcPr>
            <w:tcW w:w="990" w:type="dxa"/>
            <w:tcBorders>
              <w:top w:val="nil"/>
              <w:left w:val="nil"/>
              <w:bottom w:val="single" w:sz="4" w:space="0" w:color="auto"/>
              <w:right w:val="single" w:sz="4" w:space="0" w:color="auto"/>
            </w:tcBorders>
            <w:shd w:val="clear" w:color="auto" w:fill="auto"/>
            <w:noWrap/>
            <w:vAlign w:val="center"/>
          </w:tcPr>
          <w:p w14:paraId="4A455E27" w14:textId="11FF7CE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566.6</w:t>
            </w:r>
          </w:p>
        </w:tc>
        <w:tc>
          <w:tcPr>
            <w:tcW w:w="990" w:type="dxa"/>
            <w:tcBorders>
              <w:top w:val="nil"/>
              <w:left w:val="nil"/>
              <w:bottom w:val="single" w:sz="4" w:space="0" w:color="auto"/>
              <w:right w:val="single" w:sz="4" w:space="0" w:color="auto"/>
            </w:tcBorders>
            <w:shd w:val="clear" w:color="auto" w:fill="auto"/>
            <w:noWrap/>
            <w:vAlign w:val="center"/>
          </w:tcPr>
          <w:p w14:paraId="6239D861" w14:textId="1E07838F"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33.6</w:t>
            </w:r>
          </w:p>
        </w:tc>
        <w:tc>
          <w:tcPr>
            <w:tcW w:w="990" w:type="dxa"/>
            <w:tcBorders>
              <w:top w:val="nil"/>
              <w:left w:val="nil"/>
              <w:bottom w:val="single" w:sz="4" w:space="0" w:color="auto"/>
              <w:right w:val="single" w:sz="4" w:space="0" w:color="auto"/>
            </w:tcBorders>
            <w:shd w:val="clear" w:color="auto" w:fill="auto"/>
            <w:noWrap/>
            <w:vAlign w:val="center"/>
          </w:tcPr>
          <w:p w14:paraId="602EF5C0" w14:textId="657BAE75"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289.5</w:t>
            </w:r>
          </w:p>
        </w:tc>
        <w:tc>
          <w:tcPr>
            <w:tcW w:w="900" w:type="dxa"/>
            <w:tcBorders>
              <w:top w:val="nil"/>
              <w:left w:val="nil"/>
              <w:bottom w:val="single" w:sz="4" w:space="0" w:color="auto"/>
              <w:right w:val="single" w:sz="4" w:space="0" w:color="auto"/>
            </w:tcBorders>
            <w:shd w:val="clear" w:color="auto" w:fill="auto"/>
            <w:noWrap/>
            <w:vAlign w:val="center"/>
          </w:tcPr>
          <w:p w14:paraId="0496B1E7" w14:textId="4763B81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17.2</w:t>
            </w:r>
          </w:p>
        </w:tc>
        <w:tc>
          <w:tcPr>
            <w:tcW w:w="920" w:type="dxa"/>
            <w:tcBorders>
              <w:top w:val="nil"/>
              <w:left w:val="nil"/>
              <w:bottom w:val="single" w:sz="4" w:space="0" w:color="auto"/>
              <w:right w:val="single" w:sz="4" w:space="0" w:color="auto"/>
            </w:tcBorders>
            <w:shd w:val="clear" w:color="auto" w:fill="auto"/>
            <w:noWrap/>
            <w:vAlign w:val="center"/>
          </w:tcPr>
          <w:p w14:paraId="243394A8" w14:textId="4DB0B7C0"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5.9%</w:t>
            </w:r>
          </w:p>
        </w:tc>
        <w:tc>
          <w:tcPr>
            <w:tcW w:w="808" w:type="dxa"/>
            <w:tcBorders>
              <w:top w:val="nil"/>
              <w:left w:val="nil"/>
              <w:bottom w:val="single" w:sz="4" w:space="0" w:color="auto"/>
              <w:right w:val="single" w:sz="4" w:space="0" w:color="auto"/>
            </w:tcBorders>
            <w:shd w:val="clear" w:color="auto" w:fill="auto"/>
            <w:noWrap/>
            <w:vAlign w:val="center"/>
          </w:tcPr>
          <w:p w14:paraId="69DAAB2C" w14:textId="29C4C15A"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102.8</w:t>
            </w:r>
          </w:p>
        </w:tc>
      </w:tr>
      <w:tr w:rsidR="00DE7D01" w:rsidRPr="00944D51" w14:paraId="7A2995F3" w14:textId="77777777" w:rsidTr="00D00404">
        <w:trPr>
          <w:trHeight w:val="300"/>
        </w:trPr>
        <w:tc>
          <w:tcPr>
            <w:tcW w:w="1980" w:type="dxa"/>
            <w:tcBorders>
              <w:top w:val="single" w:sz="4" w:space="0" w:color="auto"/>
              <w:left w:val="single" w:sz="4" w:space="0" w:color="auto"/>
              <w:bottom w:val="single" w:sz="4" w:space="0" w:color="auto"/>
              <w:right w:val="single" w:sz="4" w:space="0" w:color="auto"/>
            </w:tcBorders>
            <w:noWrap/>
            <w:vAlign w:val="center"/>
          </w:tcPr>
          <w:p w14:paraId="7B6C8136" w14:textId="77777777" w:rsidR="00DE7D01" w:rsidRPr="009C2731" w:rsidRDefault="00DE7D01" w:rsidP="00DE7D01">
            <w:pPr>
              <w:keepNext/>
              <w:keepLines/>
              <w:jc w:val="center"/>
              <w:rPr>
                <w:rFonts w:ascii="Arial" w:hAnsi="Arial" w:cs="Arial"/>
                <w:sz w:val="20"/>
                <w:szCs w:val="20"/>
              </w:rPr>
            </w:pPr>
            <w:r w:rsidRPr="009C2731">
              <w:rPr>
                <w:rFonts w:ascii="Arial" w:hAnsi="Arial" w:cs="Arial"/>
                <w:color w:val="000000"/>
                <w:sz w:val="20"/>
                <w:szCs w:val="20"/>
              </w:rPr>
              <w:t>9/2/2017</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0CA5E430" w14:textId="681BEFB3"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1,957</w:t>
            </w:r>
          </w:p>
        </w:tc>
        <w:tc>
          <w:tcPr>
            <w:tcW w:w="990" w:type="dxa"/>
            <w:tcBorders>
              <w:top w:val="nil"/>
              <w:left w:val="nil"/>
              <w:bottom w:val="single" w:sz="4" w:space="0" w:color="auto"/>
              <w:right w:val="single" w:sz="4" w:space="0" w:color="auto"/>
            </w:tcBorders>
            <w:shd w:val="clear" w:color="auto" w:fill="auto"/>
            <w:noWrap/>
            <w:vAlign w:val="center"/>
          </w:tcPr>
          <w:p w14:paraId="532FCABF" w14:textId="0E528D5A"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438.5</w:t>
            </w:r>
          </w:p>
        </w:tc>
        <w:tc>
          <w:tcPr>
            <w:tcW w:w="990" w:type="dxa"/>
            <w:tcBorders>
              <w:top w:val="nil"/>
              <w:left w:val="nil"/>
              <w:bottom w:val="single" w:sz="4" w:space="0" w:color="auto"/>
              <w:right w:val="single" w:sz="4" w:space="0" w:color="auto"/>
            </w:tcBorders>
            <w:shd w:val="clear" w:color="auto" w:fill="auto"/>
            <w:noWrap/>
            <w:vAlign w:val="center"/>
          </w:tcPr>
          <w:p w14:paraId="6B81DBE6" w14:textId="3D4CAFE1"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20.6</w:t>
            </w:r>
          </w:p>
        </w:tc>
        <w:tc>
          <w:tcPr>
            <w:tcW w:w="990" w:type="dxa"/>
            <w:tcBorders>
              <w:top w:val="nil"/>
              <w:left w:val="nil"/>
              <w:bottom w:val="single" w:sz="4" w:space="0" w:color="auto"/>
              <w:right w:val="single" w:sz="4" w:space="0" w:color="auto"/>
            </w:tcBorders>
            <w:shd w:val="clear" w:color="auto" w:fill="auto"/>
            <w:noWrap/>
            <w:vAlign w:val="center"/>
          </w:tcPr>
          <w:p w14:paraId="6FDDF093" w14:textId="30A939B8"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224.0</w:t>
            </w:r>
          </w:p>
        </w:tc>
        <w:tc>
          <w:tcPr>
            <w:tcW w:w="900" w:type="dxa"/>
            <w:tcBorders>
              <w:top w:val="nil"/>
              <w:left w:val="nil"/>
              <w:bottom w:val="single" w:sz="4" w:space="0" w:color="auto"/>
              <w:right w:val="single" w:sz="4" w:space="0" w:color="auto"/>
            </w:tcBorders>
            <w:shd w:val="clear" w:color="auto" w:fill="auto"/>
            <w:noWrap/>
            <w:vAlign w:val="center"/>
          </w:tcPr>
          <w:p w14:paraId="30633881" w14:textId="2294D679"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10.5</w:t>
            </w:r>
          </w:p>
        </w:tc>
        <w:tc>
          <w:tcPr>
            <w:tcW w:w="920" w:type="dxa"/>
            <w:tcBorders>
              <w:top w:val="nil"/>
              <w:left w:val="nil"/>
              <w:bottom w:val="single" w:sz="4" w:space="0" w:color="auto"/>
              <w:right w:val="single" w:sz="4" w:space="0" w:color="auto"/>
            </w:tcBorders>
            <w:shd w:val="clear" w:color="auto" w:fill="auto"/>
            <w:noWrap/>
            <w:vAlign w:val="center"/>
          </w:tcPr>
          <w:p w14:paraId="697B8580" w14:textId="406925B7" w:rsidR="00DE7D01" w:rsidRPr="009C2731" w:rsidRDefault="00DE7D01" w:rsidP="00DE7D01">
            <w:pPr>
              <w:keepNext/>
              <w:keepLines/>
              <w:ind w:firstLineChars="100" w:firstLine="200"/>
              <w:jc w:val="center"/>
              <w:rPr>
                <w:rFonts w:ascii="Arial" w:hAnsi="Arial" w:cs="Arial"/>
                <w:sz w:val="20"/>
                <w:szCs w:val="20"/>
              </w:rPr>
            </w:pPr>
            <w:r>
              <w:rPr>
                <w:rFonts w:ascii="Arial" w:hAnsi="Arial" w:cs="Arial"/>
                <w:color w:val="000000"/>
                <w:sz w:val="20"/>
                <w:szCs w:val="20"/>
              </w:rPr>
              <w:t>4.7%</w:t>
            </w:r>
          </w:p>
        </w:tc>
        <w:tc>
          <w:tcPr>
            <w:tcW w:w="808" w:type="dxa"/>
            <w:tcBorders>
              <w:top w:val="nil"/>
              <w:left w:val="nil"/>
              <w:bottom w:val="single" w:sz="4" w:space="0" w:color="auto"/>
              <w:right w:val="single" w:sz="4" w:space="0" w:color="auto"/>
            </w:tcBorders>
            <w:shd w:val="clear" w:color="auto" w:fill="auto"/>
            <w:noWrap/>
            <w:vAlign w:val="center"/>
          </w:tcPr>
          <w:p w14:paraId="42BD7B22" w14:textId="3F70E84F" w:rsidR="00DE7D01" w:rsidRPr="009C2731" w:rsidRDefault="00DE7D01" w:rsidP="00DE7D01">
            <w:pPr>
              <w:keepNext/>
              <w:keepLines/>
              <w:jc w:val="center"/>
              <w:rPr>
                <w:rFonts w:ascii="Arial" w:hAnsi="Arial" w:cs="Arial"/>
                <w:sz w:val="20"/>
                <w:szCs w:val="20"/>
              </w:rPr>
            </w:pPr>
            <w:r>
              <w:rPr>
                <w:rFonts w:ascii="Arial" w:hAnsi="Arial" w:cs="Arial"/>
                <w:color w:val="000000"/>
                <w:sz w:val="20"/>
                <w:szCs w:val="20"/>
              </w:rPr>
              <w:t>104.0</w:t>
            </w:r>
          </w:p>
        </w:tc>
      </w:tr>
      <w:tr w:rsidR="00DE7D01" w:rsidRPr="00944D51" w14:paraId="4AD929A9" w14:textId="77777777" w:rsidTr="00D00404">
        <w:trPr>
          <w:trHeight w:val="302"/>
        </w:trPr>
        <w:tc>
          <w:tcPr>
            <w:tcW w:w="1980" w:type="dxa"/>
            <w:tcBorders>
              <w:top w:val="single" w:sz="4" w:space="0" w:color="auto"/>
              <w:left w:val="single" w:sz="4" w:space="0" w:color="auto"/>
              <w:bottom w:val="single" w:sz="4" w:space="0" w:color="auto"/>
              <w:right w:val="single" w:sz="4" w:space="0" w:color="auto"/>
            </w:tcBorders>
            <w:vAlign w:val="center"/>
            <w:hideMark/>
          </w:tcPr>
          <w:p w14:paraId="286A79E0" w14:textId="77777777" w:rsidR="00DE7D01" w:rsidRPr="009C2731" w:rsidRDefault="00DE7D01" w:rsidP="00DE7D01">
            <w:pPr>
              <w:keepNext/>
              <w:keepLines/>
              <w:jc w:val="center"/>
              <w:rPr>
                <w:rFonts w:ascii="Arial" w:hAnsi="Arial" w:cs="Arial"/>
                <w:b/>
                <w:bCs/>
                <w:sz w:val="20"/>
                <w:szCs w:val="20"/>
              </w:rPr>
            </w:pPr>
            <w:r w:rsidRPr="009C2731">
              <w:rPr>
                <w:rFonts w:ascii="Arial" w:hAnsi="Arial" w:cs="Arial"/>
                <w:b/>
                <w:bCs/>
                <w:sz w:val="20"/>
                <w:szCs w:val="20"/>
              </w:rPr>
              <w:t>Typical Event Day</w:t>
            </w:r>
          </w:p>
        </w:tc>
        <w:tc>
          <w:tcPr>
            <w:tcW w:w="1080" w:type="dxa"/>
            <w:tcBorders>
              <w:top w:val="nil"/>
              <w:left w:val="single" w:sz="4" w:space="0" w:color="auto"/>
              <w:bottom w:val="single" w:sz="4" w:space="0" w:color="auto"/>
              <w:right w:val="single" w:sz="4" w:space="0" w:color="auto"/>
            </w:tcBorders>
            <w:shd w:val="clear" w:color="auto" w:fill="auto"/>
            <w:noWrap/>
            <w:vAlign w:val="center"/>
          </w:tcPr>
          <w:p w14:paraId="17D23DC0" w14:textId="5F13A438" w:rsidR="00DE7D01" w:rsidRPr="00F13EDC" w:rsidRDefault="00DE7D01" w:rsidP="00DE7D01">
            <w:pPr>
              <w:keepNext/>
              <w:keepLines/>
              <w:jc w:val="center"/>
              <w:rPr>
                <w:rFonts w:ascii="Arial" w:hAnsi="Arial" w:cs="Arial"/>
                <w:b/>
                <w:bCs/>
                <w:sz w:val="20"/>
                <w:szCs w:val="20"/>
              </w:rPr>
            </w:pPr>
            <w:r>
              <w:rPr>
                <w:rFonts w:ascii="Arial" w:hAnsi="Arial" w:cs="Arial"/>
                <w:b/>
                <w:bCs/>
                <w:color w:val="000000"/>
                <w:sz w:val="20"/>
                <w:szCs w:val="20"/>
              </w:rPr>
              <w:t>1,982</w:t>
            </w:r>
          </w:p>
        </w:tc>
        <w:tc>
          <w:tcPr>
            <w:tcW w:w="990" w:type="dxa"/>
            <w:tcBorders>
              <w:top w:val="nil"/>
              <w:left w:val="nil"/>
              <w:bottom w:val="single" w:sz="4" w:space="0" w:color="auto"/>
              <w:right w:val="single" w:sz="4" w:space="0" w:color="auto"/>
            </w:tcBorders>
            <w:shd w:val="clear" w:color="auto" w:fill="auto"/>
            <w:noWrap/>
            <w:vAlign w:val="center"/>
          </w:tcPr>
          <w:p w14:paraId="7797AB24" w14:textId="1D39D2D5" w:rsidR="00DE7D01" w:rsidRPr="00F13EDC" w:rsidRDefault="00DE7D01" w:rsidP="00DE7D01">
            <w:pPr>
              <w:keepNext/>
              <w:keepLines/>
              <w:ind w:firstLineChars="100" w:firstLine="201"/>
              <w:jc w:val="center"/>
              <w:rPr>
                <w:rFonts w:ascii="Arial" w:hAnsi="Arial" w:cs="Arial"/>
                <w:b/>
                <w:bCs/>
                <w:sz w:val="20"/>
                <w:szCs w:val="20"/>
              </w:rPr>
            </w:pPr>
            <w:r>
              <w:rPr>
                <w:rFonts w:ascii="Arial" w:hAnsi="Arial" w:cs="Arial"/>
                <w:b/>
                <w:bCs/>
                <w:color w:val="000000"/>
                <w:sz w:val="20"/>
                <w:szCs w:val="20"/>
              </w:rPr>
              <w:t>528.5</w:t>
            </w:r>
          </w:p>
        </w:tc>
        <w:tc>
          <w:tcPr>
            <w:tcW w:w="990" w:type="dxa"/>
            <w:tcBorders>
              <w:top w:val="nil"/>
              <w:left w:val="nil"/>
              <w:bottom w:val="single" w:sz="4" w:space="0" w:color="auto"/>
              <w:right w:val="single" w:sz="4" w:space="0" w:color="auto"/>
            </w:tcBorders>
            <w:shd w:val="clear" w:color="auto" w:fill="auto"/>
            <w:noWrap/>
            <w:vAlign w:val="center"/>
          </w:tcPr>
          <w:p w14:paraId="108D6D5B" w14:textId="6CD64DBE" w:rsidR="00DE7D01" w:rsidRPr="00F13EDC" w:rsidRDefault="00DE7D01" w:rsidP="00DE7D01">
            <w:pPr>
              <w:keepNext/>
              <w:keepLines/>
              <w:ind w:firstLineChars="100" w:firstLine="201"/>
              <w:jc w:val="center"/>
              <w:rPr>
                <w:rFonts w:ascii="Arial" w:hAnsi="Arial" w:cs="Arial"/>
                <w:b/>
                <w:bCs/>
                <w:sz w:val="20"/>
                <w:szCs w:val="20"/>
              </w:rPr>
            </w:pPr>
            <w:r>
              <w:rPr>
                <w:rFonts w:ascii="Arial" w:hAnsi="Arial" w:cs="Arial"/>
                <w:b/>
                <w:bCs/>
                <w:color w:val="000000"/>
                <w:sz w:val="20"/>
                <w:szCs w:val="20"/>
              </w:rPr>
              <w:t>22.4</w:t>
            </w:r>
          </w:p>
        </w:tc>
        <w:tc>
          <w:tcPr>
            <w:tcW w:w="990" w:type="dxa"/>
            <w:tcBorders>
              <w:top w:val="nil"/>
              <w:left w:val="nil"/>
              <w:bottom w:val="single" w:sz="4" w:space="0" w:color="auto"/>
              <w:right w:val="single" w:sz="4" w:space="0" w:color="auto"/>
            </w:tcBorders>
            <w:shd w:val="clear" w:color="auto" w:fill="auto"/>
            <w:noWrap/>
            <w:vAlign w:val="center"/>
          </w:tcPr>
          <w:p w14:paraId="1CA8F77B" w14:textId="3C524E2F" w:rsidR="00DE7D01" w:rsidRPr="00F13EDC" w:rsidRDefault="00DE7D01" w:rsidP="00DE7D01">
            <w:pPr>
              <w:keepNext/>
              <w:keepLines/>
              <w:ind w:firstLineChars="100" w:firstLine="201"/>
              <w:jc w:val="center"/>
              <w:rPr>
                <w:rFonts w:ascii="Arial" w:hAnsi="Arial" w:cs="Arial"/>
                <w:b/>
                <w:bCs/>
                <w:sz w:val="20"/>
                <w:szCs w:val="20"/>
              </w:rPr>
            </w:pPr>
            <w:r>
              <w:rPr>
                <w:rFonts w:ascii="Arial" w:hAnsi="Arial" w:cs="Arial"/>
                <w:b/>
                <w:bCs/>
                <w:color w:val="000000"/>
                <w:sz w:val="20"/>
                <w:szCs w:val="20"/>
              </w:rPr>
              <w:t>266.7</w:t>
            </w:r>
          </w:p>
        </w:tc>
        <w:tc>
          <w:tcPr>
            <w:tcW w:w="900" w:type="dxa"/>
            <w:tcBorders>
              <w:top w:val="nil"/>
              <w:left w:val="nil"/>
              <w:bottom w:val="single" w:sz="4" w:space="0" w:color="auto"/>
              <w:right w:val="single" w:sz="4" w:space="0" w:color="auto"/>
            </w:tcBorders>
            <w:shd w:val="clear" w:color="auto" w:fill="auto"/>
            <w:noWrap/>
            <w:vAlign w:val="center"/>
          </w:tcPr>
          <w:p w14:paraId="192ADEBC" w14:textId="36D03C2E" w:rsidR="00DE7D01" w:rsidRPr="00F13EDC" w:rsidRDefault="00DE7D01" w:rsidP="00DE7D01">
            <w:pPr>
              <w:keepNext/>
              <w:keepLines/>
              <w:ind w:firstLineChars="100" w:firstLine="201"/>
              <w:jc w:val="center"/>
              <w:rPr>
                <w:rFonts w:ascii="Arial" w:hAnsi="Arial" w:cs="Arial"/>
                <w:b/>
                <w:bCs/>
                <w:sz w:val="20"/>
                <w:szCs w:val="20"/>
              </w:rPr>
            </w:pPr>
            <w:r>
              <w:rPr>
                <w:rFonts w:ascii="Arial" w:hAnsi="Arial" w:cs="Arial"/>
                <w:b/>
                <w:bCs/>
                <w:color w:val="000000"/>
                <w:sz w:val="20"/>
                <w:szCs w:val="20"/>
              </w:rPr>
              <w:t>11.3</w:t>
            </w:r>
          </w:p>
        </w:tc>
        <w:tc>
          <w:tcPr>
            <w:tcW w:w="920" w:type="dxa"/>
            <w:tcBorders>
              <w:top w:val="nil"/>
              <w:left w:val="nil"/>
              <w:bottom w:val="single" w:sz="4" w:space="0" w:color="auto"/>
              <w:right w:val="single" w:sz="4" w:space="0" w:color="auto"/>
            </w:tcBorders>
            <w:shd w:val="clear" w:color="auto" w:fill="auto"/>
            <w:noWrap/>
            <w:vAlign w:val="center"/>
          </w:tcPr>
          <w:p w14:paraId="1CAF9CDA" w14:textId="6A8F0668" w:rsidR="00DE7D01" w:rsidRPr="00F13EDC" w:rsidRDefault="00DE7D01" w:rsidP="00DE7D01">
            <w:pPr>
              <w:keepNext/>
              <w:keepLines/>
              <w:ind w:firstLineChars="100" w:firstLine="201"/>
              <w:jc w:val="center"/>
              <w:rPr>
                <w:rFonts w:ascii="Arial" w:hAnsi="Arial" w:cs="Arial"/>
                <w:b/>
                <w:bCs/>
                <w:sz w:val="20"/>
                <w:szCs w:val="20"/>
              </w:rPr>
            </w:pPr>
            <w:r>
              <w:rPr>
                <w:rFonts w:ascii="Arial" w:hAnsi="Arial" w:cs="Arial"/>
                <w:b/>
                <w:bCs/>
                <w:color w:val="000000"/>
                <w:sz w:val="20"/>
                <w:szCs w:val="20"/>
              </w:rPr>
              <w:t>4.2%</w:t>
            </w:r>
          </w:p>
        </w:tc>
        <w:tc>
          <w:tcPr>
            <w:tcW w:w="808" w:type="dxa"/>
            <w:tcBorders>
              <w:top w:val="nil"/>
              <w:left w:val="nil"/>
              <w:bottom w:val="single" w:sz="4" w:space="0" w:color="auto"/>
              <w:right w:val="single" w:sz="4" w:space="0" w:color="auto"/>
            </w:tcBorders>
            <w:shd w:val="clear" w:color="auto" w:fill="auto"/>
            <w:noWrap/>
            <w:vAlign w:val="center"/>
          </w:tcPr>
          <w:p w14:paraId="182126C6" w14:textId="6E32EECE" w:rsidR="00DE7D01" w:rsidRPr="00F13EDC" w:rsidRDefault="00DE7D01" w:rsidP="00DE7D01">
            <w:pPr>
              <w:keepNext/>
              <w:keepLines/>
              <w:jc w:val="center"/>
              <w:rPr>
                <w:rFonts w:ascii="Arial" w:hAnsi="Arial" w:cs="Arial"/>
                <w:b/>
                <w:bCs/>
                <w:sz w:val="20"/>
                <w:szCs w:val="20"/>
              </w:rPr>
            </w:pPr>
            <w:r>
              <w:rPr>
                <w:rFonts w:ascii="Arial" w:hAnsi="Arial" w:cs="Arial"/>
                <w:b/>
                <w:bCs/>
                <w:color w:val="000000"/>
                <w:sz w:val="20"/>
                <w:szCs w:val="20"/>
              </w:rPr>
              <w:t>92.4</w:t>
            </w:r>
          </w:p>
        </w:tc>
      </w:tr>
    </w:tbl>
    <w:p w14:paraId="082006EC" w14:textId="77777777" w:rsidR="00025EDD" w:rsidRDefault="00025EDD" w:rsidP="00025EDD">
      <w:pPr>
        <w:keepNext/>
        <w:jc w:val="center"/>
      </w:pPr>
    </w:p>
    <w:p w14:paraId="4FB64CFF" w14:textId="1BEAECE8" w:rsidR="00025EDD" w:rsidRDefault="00025EDD" w:rsidP="00025EDD">
      <w:pPr>
        <w:keepNext/>
      </w:pPr>
      <w:r>
        <w:fldChar w:fldCharType="begin"/>
      </w:r>
      <w:r>
        <w:instrText xml:space="preserve"> REF _Ref506895201 \h </w:instrText>
      </w:r>
      <w:r>
        <w:fldChar w:fldCharType="separate"/>
      </w:r>
      <w:r w:rsidR="005D5C7C">
        <w:t xml:space="preserve">Figure </w:t>
      </w:r>
      <w:r w:rsidR="005D5C7C">
        <w:rPr>
          <w:noProof/>
        </w:rPr>
        <w:t>3</w:t>
      </w:r>
      <w:r w:rsidR="005D5C7C">
        <w:t>.</w:t>
      </w:r>
      <w:r w:rsidR="005D5C7C">
        <w:rPr>
          <w:noProof/>
        </w:rPr>
        <w:t>2</w:t>
      </w:r>
      <w:r>
        <w:fldChar w:fldCharType="end"/>
      </w:r>
      <w:r>
        <w:t xml:space="preserve"> shows the aggregate hourly reference loads, observed loads, and estimated load impacts on the typical event day. </w:t>
      </w:r>
      <w:r>
        <w:fldChar w:fldCharType="begin"/>
      </w:r>
      <w:r>
        <w:instrText xml:space="preserve"> REF _Ref506897850 \h </w:instrText>
      </w:r>
      <w:r>
        <w:fldChar w:fldCharType="separate"/>
      </w:r>
      <w:r w:rsidR="005D5C7C">
        <w:t xml:space="preserve">Table </w:t>
      </w:r>
      <w:r w:rsidR="005D5C7C">
        <w:rPr>
          <w:noProof/>
        </w:rPr>
        <w:t>3</w:t>
      </w:r>
      <w:r w:rsidR="005D5C7C">
        <w:t>.</w:t>
      </w:r>
      <w:r w:rsidR="005D5C7C">
        <w:rPr>
          <w:noProof/>
        </w:rPr>
        <w:t>2</w:t>
      </w:r>
      <w:r>
        <w:fldChar w:fldCharType="end"/>
      </w:r>
      <w:r>
        <w:t xml:space="preserve"> contains the hourly typical event day results in the manner required by the Protocols, including hourly temperatures and uncertainty adjusted load impacts. Notice that the highest load impact tends to occur in the third hour of the event (4:00 to 5:00 p.m.). The hourly load impact estimates do not show evidence of significant pre-cooling or post-event snapback, which would appear as load increases in the hours surrounding the event. Rather, there are smaller load impacts of approximate</w:t>
      </w:r>
      <w:r w:rsidR="00844E20">
        <w:t>ly</w:t>
      </w:r>
      <w:r>
        <w:t xml:space="preserve"> </w:t>
      </w:r>
      <w:r w:rsidR="00B57035">
        <w:t xml:space="preserve">9 </w:t>
      </w:r>
      <w:r>
        <w:t>MWh</w:t>
      </w:r>
      <w:r w:rsidR="00627028">
        <w:t>/hour</w:t>
      </w:r>
      <w:r>
        <w:t xml:space="preserve"> in the hour immediately preceding (1:00 to 2:00 p.m.) </w:t>
      </w:r>
      <w:r w:rsidR="00844E20">
        <w:t xml:space="preserve">and 8 MWh/hour in the hour following </w:t>
      </w:r>
      <w:r>
        <w:t>(6:00 to 7:00 p.m</w:t>
      </w:r>
      <w:r w:rsidR="002C1A9D">
        <w:t>.)</w:t>
      </w:r>
      <w:r w:rsidR="00844E20">
        <w:t xml:space="preserve"> the event</w:t>
      </w:r>
      <w:r w:rsidR="002C1A9D">
        <w:t>. Overall, these results do no</w:t>
      </w:r>
      <w:r>
        <w:t>t suggest that large customers are responding to events by shifting event-hour loads to hours outside the event window.</w:t>
      </w:r>
    </w:p>
    <w:p w14:paraId="1FB4B47F" w14:textId="5482F6A1" w:rsidR="00025EDD" w:rsidRDefault="00025EDD" w:rsidP="00025EDD">
      <w:pPr>
        <w:pStyle w:val="FigureCaption"/>
        <w:keepLines/>
        <w:pageBreakBefore/>
        <w:rPr>
          <w:i/>
        </w:rPr>
      </w:pPr>
      <w:bookmarkStart w:id="113" w:name="_Ref506895201"/>
      <w:bookmarkStart w:id="114" w:name="_Toc506907187"/>
      <w:bookmarkStart w:id="115" w:name="_Toc509837449"/>
      <w:r>
        <w:lastRenderedPageBreak/>
        <w:t xml:space="preserve">Figure </w:t>
      </w:r>
      <w:fldSimple w:instr=" STYLEREF 1 \s ">
        <w:r w:rsidR="005D5C7C">
          <w:rPr>
            <w:noProof/>
          </w:rPr>
          <w:t>3</w:t>
        </w:r>
      </w:fldSimple>
      <w:r w:rsidR="00A11E78">
        <w:t>.</w:t>
      </w:r>
      <w:fldSimple w:instr=" SEQ Figure \* ARABIC \s 1 ">
        <w:r w:rsidR="005D5C7C">
          <w:rPr>
            <w:noProof/>
          </w:rPr>
          <w:t>2</w:t>
        </w:r>
      </w:fldSimple>
      <w:bookmarkEnd w:id="113"/>
      <w:r w:rsidR="002C1A9D">
        <w:t xml:space="preserve">: Typical Event Day </w:t>
      </w:r>
      <w:r>
        <w:t xml:space="preserve">Reference Loads and Load Profile, </w:t>
      </w:r>
      <w:r>
        <w:rPr>
          <w:i/>
        </w:rPr>
        <w:t>PG&amp;E Large</w:t>
      </w:r>
      <w:bookmarkEnd w:id="114"/>
      <w:bookmarkEnd w:id="115"/>
    </w:p>
    <w:p w14:paraId="10FB13FC" w14:textId="283D3118" w:rsidR="00F3243D" w:rsidRDefault="00F3243D" w:rsidP="00627028">
      <w:r>
        <w:rPr>
          <w:noProof/>
        </w:rPr>
        <w:drawing>
          <wp:inline distT="0" distB="0" distL="0" distR="0" wp14:anchorId="4E9122A3" wp14:editId="5856FF03">
            <wp:extent cx="5486400" cy="3983990"/>
            <wp:effectExtent l="0" t="0" r="0" b="0"/>
            <wp:docPr id="116" name="Chart 116">
              <a:extLst xmlns:a="http://schemas.openxmlformats.org/drawingml/2006/main">
                <a:ext uri="{FF2B5EF4-FFF2-40B4-BE49-F238E27FC236}">
                  <a16:creationId xmlns:a16="http://schemas.microsoft.com/office/drawing/2014/main" id="{F257872B-48CD-499B-9AE2-0DD6153B2B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2D7FAF2A" w14:textId="1899C489" w:rsidR="00435BE7" w:rsidRDefault="00435BE7" w:rsidP="00627028"/>
    <w:p w14:paraId="04D4EF00" w14:textId="4D8552E9" w:rsidR="00E9688B" w:rsidRDefault="00E9688B" w:rsidP="00E9688B"/>
    <w:p w14:paraId="23901D1E" w14:textId="1DD29239" w:rsidR="00E9688B" w:rsidRDefault="00E9688B" w:rsidP="00E9688B"/>
    <w:p w14:paraId="3504407B" w14:textId="0468E680" w:rsidR="00546AA7" w:rsidRDefault="00546AA7" w:rsidP="00546AA7"/>
    <w:p w14:paraId="7A01C83D" w14:textId="214AB7C1" w:rsidR="00546AA7" w:rsidRDefault="00546AA7" w:rsidP="00546AA7"/>
    <w:p w14:paraId="727D2827" w14:textId="2F268931" w:rsidR="00025EDD" w:rsidRDefault="00025EDD" w:rsidP="00025EDD">
      <w:pPr>
        <w:spacing w:after="120"/>
        <w:rPr>
          <w:szCs w:val="32"/>
        </w:rPr>
      </w:pPr>
    </w:p>
    <w:p w14:paraId="467A4CF7" w14:textId="77EB088C" w:rsidR="00025EDD" w:rsidRDefault="00025EDD" w:rsidP="00025EDD">
      <w:pPr>
        <w:pStyle w:val="TableCaption"/>
        <w:rPr>
          <w:i/>
        </w:rPr>
      </w:pPr>
      <w:bookmarkStart w:id="116" w:name="_Ref506897850"/>
      <w:bookmarkStart w:id="117" w:name="_Toc506907159"/>
      <w:bookmarkStart w:id="118" w:name="_Toc509837359"/>
      <w:r>
        <w:lastRenderedPageBreak/>
        <w:t xml:space="preserve">Table </w:t>
      </w:r>
      <w:fldSimple w:instr=" STYLEREF 1 \s ">
        <w:r w:rsidR="005D5C7C">
          <w:rPr>
            <w:noProof/>
          </w:rPr>
          <w:t>3</w:t>
        </w:r>
      </w:fldSimple>
      <w:r w:rsidR="0069714C">
        <w:t>.</w:t>
      </w:r>
      <w:fldSimple w:instr=" SEQ Table \* ARABIC \s 1 ">
        <w:r w:rsidR="005D5C7C">
          <w:rPr>
            <w:noProof/>
          </w:rPr>
          <w:t>2</w:t>
        </w:r>
      </w:fldSimple>
      <w:bookmarkEnd w:id="116"/>
      <w:r>
        <w:t>:</w:t>
      </w:r>
      <w:r w:rsidRPr="009300C9">
        <w:t xml:space="preserve"> </w:t>
      </w:r>
      <w:r w:rsidR="00515724">
        <w:t>Typical Event Day</w:t>
      </w:r>
      <w:r>
        <w:t xml:space="preserve"> Load Impacts and Uncertainty Adjusted Estimates by </w:t>
      </w:r>
      <w:r w:rsidR="00515724">
        <w:t>h</w:t>
      </w:r>
      <w:r>
        <w:t>our</w:t>
      </w:r>
      <w:r w:rsidRPr="009300C9">
        <w:rPr>
          <w:i/>
        </w:rPr>
        <w:t>, PG&amp;E Large</w:t>
      </w:r>
      <w:bookmarkEnd w:id="117"/>
      <w:bookmarkEnd w:id="118"/>
    </w:p>
    <w:p w14:paraId="2449B091" w14:textId="42E7C546" w:rsidR="00FD4BEF" w:rsidRDefault="00FD4BEF" w:rsidP="00025EDD">
      <w:pPr>
        <w:spacing w:after="120"/>
        <w:rPr>
          <w:szCs w:val="32"/>
        </w:rPr>
      </w:pPr>
      <w:r w:rsidRPr="00FD4BEF">
        <w:rPr>
          <w:noProof/>
        </w:rPr>
        <w:drawing>
          <wp:inline distT="0" distB="0" distL="0" distR="0" wp14:anchorId="7BC2A4C6" wp14:editId="6745E683">
            <wp:extent cx="5486400" cy="4410519"/>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86400" cy="4410519"/>
                    </a:xfrm>
                    <a:prstGeom prst="rect">
                      <a:avLst/>
                    </a:prstGeom>
                    <a:noFill/>
                    <a:ln>
                      <a:noFill/>
                    </a:ln>
                  </pic:spPr>
                </pic:pic>
              </a:graphicData>
            </a:graphic>
          </wp:inline>
        </w:drawing>
      </w:r>
    </w:p>
    <w:p w14:paraId="35B438C8" w14:textId="77777777" w:rsidR="00025EDD" w:rsidRDefault="00025EDD" w:rsidP="00025EDD">
      <w:pPr>
        <w:spacing w:after="120"/>
        <w:rPr>
          <w:szCs w:val="32"/>
        </w:rPr>
      </w:pPr>
    </w:p>
    <w:p w14:paraId="5DF330F0" w14:textId="2B6DF491" w:rsidR="00025EDD" w:rsidRDefault="00EB41EA" w:rsidP="00025EDD">
      <w:pPr>
        <w:spacing w:after="120"/>
        <w:rPr>
          <w:szCs w:val="32"/>
        </w:rPr>
      </w:pPr>
      <w:r>
        <w:rPr>
          <w:noProof/>
          <w:szCs w:val="32"/>
        </w:rPr>
        <mc:AlternateContent>
          <mc:Choice Requires="wps">
            <w:drawing>
              <wp:anchor distT="0" distB="0" distL="114300" distR="114300" simplePos="0" relativeHeight="251660288" behindDoc="0" locked="0" layoutInCell="1" allowOverlap="1" wp14:anchorId="11123C4C" wp14:editId="41E55C17">
                <wp:simplePos x="0" y="0"/>
                <wp:positionH relativeFrom="margin">
                  <wp:align>center</wp:align>
                </wp:positionH>
                <wp:positionV relativeFrom="paragraph">
                  <wp:posOffset>3293579</wp:posOffset>
                </wp:positionV>
                <wp:extent cx="5422789" cy="397566"/>
                <wp:effectExtent l="0" t="0" r="26035" b="21590"/>
                <wp:wrapNone/>
                <wp:docPr id="9" name="Text Box 9"/>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3F3FD14" w14:textId="4ABA310D" w:rsidR="006F4399" w:rsidRPr="00EB41EA" w:rsidRDefault="006F4399">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123C4C" id="Text Box 9" o:spid="_x0000_s1027" type="#_x0000_t202" style="position:absolute;margin-left:0;margin-top:259.35pt;width:427pt;height:31.3pt;z-index:251660288;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" fillcolor="white [3201]" strokeweight=".5pt">
                <v:textbox>
                  <w:txbxContent>
                    <w:p w14:paraId="63F3FD14" w14:textId="4ABA310D" w:rsidR="006F4399" w:rsidRPr="00EB41EA" w:rsidRDefault="006F4399">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025EDD">
        <w:rPr>
          <w:szCs w:val="32"/>
        </w:rPr>
        <w:t xml:space="preserve">Next, we look at PG&amp;E large customer estimates by industry group. </w:t>
      </w:r>
      <w:r w:rsidR="00025EDD">
        <w:rPr>
          <w:szCs w:val="32"/>
        </w:rPr>
        <w:fldChar w:fldCharType="begin"/>
      </w:r>
      <w:r w:rsidR="00025EDD">
        <w:rPr>
          <w:szCs w:val="32"/>
        </w:rPr>
        <w:instrText xml:space="preserve"> REF _Ref506901552 \h </w:instrText>
      </w:r>
      <w:r w:rsidR="00025EDD">
        <w:rPr>
          <w:szCs w:val="32"/>
        </w:rPr>
      </w:r>
      <w:r w:rsidR="00025EDD">
        <w:rPr>
          <w:szCs w:val="32"/>
        </w:rPr>
        <w:fldChar w:fldCharType="separate"/>
      </w:r>
      <w:r w:rsidR="005D5C7C">
        <w:t xml:space="preserve">Table </w:t>
      </w:r>
      <w:r w:rsidR="005D5C7C">
        <w:rPr>
          <w:noProof/>
        </w:rPr>
        <w:t>3</w:t>
      </w:r>
      <w:r w:rsidR="005D5C7C">
        <w:t>.</w:t>
      </w:r>
      <w:r w:rsidR="005D5C7C">
        <w:rPr>
          <w:noProof/>
        </w:rPr>
        <w:t>3</w:t>
      </w:r>
      <w:r w:rsidR="00025EDD">
        <w:rPr>
          <w:szCs w:val="32"/>
        </w:rPr>
        <w:fldChar w:fldCharType="end"/>
      </w:r>
      <w:r w:rsidR="00025EDD">
        <w:rPr>
          <w:szCs w:val="32"/>
        </w:rPr>
        <w:t xml:space="preserve"> summarizes aggregate event-hour results for the typical event day for eight industry groups, including the number of enrolled customers, the reference and observed loads, and the estimated load impacts (in MWh/hour and as a percentage of the reference load). Enrollments are concentrated in the Agriculture, Mining, &amp; Construction and Offices, Hotels, Health &amp; Services groups, which represent a combined </w:t>
      </w:r>
      <w:r w:rsidR="002056C9" w:rsidRPr="002056C9">
        <w:rPr>
          <w:szCs w:val="32"/>
          <w:highlight w:val="black"/>
        </w:rPr>
        <w:t>---</w:t>
      </w:r>
      <w:r w:rsidR="00025EDD">
        <w:rPr>
          <w:szCs w:val="32"/>
        </w:rPr>
        <w:t xml:space="preserve"> percent of large customers. These two groups also have the largest estimated reference loads of </w:t>
      </w:r>
      <w:r w:rsidR="002056C9" w:rsidRPr="002056C9">
        <w:rPr>
          <w:szCs w:val="32"/>
          <w:highlight w:val="black"/>
        </w:rPr>
        <w:noBreakHyphen/>
      </w:r>
      <w:r w:rsidR="002056C9" w:rsidRPr="002056C9">
        <w:rPr>
          <w:szCs w:val="32"/>
          <w:highlight w:val="black"/>
        </w:rPr>
        <w:noBreakHyphen/>
      </w:r>
      <w:r w:rsidR="002056C9" w:rsidRPr="002056C9">
        <w:rPr>
          <w:szCs w:val="32"/>
          <w:highlight w:val="black"/>
        </w:rPr>
        <w:noBreakHyphen/>
      </w:r>
      <w:r w:rsidR="002056C9" w:rsidRPr="002056C9">
        <w:rPr>
          <w:szCs w:val="32"/>
          <w:highlight w:val="black"/>
        </w:rPr>
        <w:noBreakHyphen/>
      </w:r>
      <w:r w:rsidR="00025EDD">
        <w:rPr>
          <w:szCs w:val="32"/>
        </w:rPr>
        <w:t xml:space="preserve"> MWh/hour and 154 MWh/</w:t>
      </w:r>
      <w:r w:rsidR="00025EDD" w:rsidRPr="003E01D7">
        <w:rPr>
          <w:rFonts w:asciiTheme="minorHAnsi" w:hAnsiTheme="minorHAnsi"/>
        </w:rPr>
        <w:t>hour, respectively.</w:t>
      </w:r>
      <w:r w:rsidR="00025EDD">
        <w:rPr>
          <w:rFonts w:asciiTheme="minorHAnsi" w:hAnsiTheme="minorHAnsi"/>
        </w:rPr>
        <w:t xml:space="preserve"> </w:t>
      </w:r>
      <w:r w:rsidR="00025EDD" w:rsidRPr="003E01D7">
        <w:rPr>
          <w:rFonts w:asciiTheme="minorHAnsi" w:hAnsiTheme="minorHAnsi"/>
        </w:rPr>
        <w:t xml:space="preserve">However, despite the high loads </w:t>
      </w:r>
      <w:r w:rsidR="00025EDD">
        <w:rPr>
          <w:rFonts w:asciiTheme="minorHAnsi" w:hAnsiTheme="minorHAnsi"/>
        </w:rPr>
        <w:t xml:space="preserve">of </w:t>
      </w:r>
      <w:r w:rsidR="00025EDD" w:rsidRPr="003E01D7">
        <w:rPr>
          <w:rFonts w:asciiTheme="minorHAnsi" w:hAnsiTheme="minorHAnsi"/>
        </w:rPr>
        <w:t>these industr</w:t>
      </w:r>
      <w:r w:rsidR="00025EDD">
        <w:rPr>
          <w:rFonts w:asciiTheme="minorHAnsi" w:hAnsiTheme="minorHAnsi"/>
        </w:rPr>
        <w:t>y group</w:t>
      </w:r>
      <w:r w:rsidR="00025EDD" w:rsidRPr="003E01D7">
        <w:rPr>
          <w:rFonts w:asciiTheme="minorHAnsi" w:hAnsiTheme="minorHAnsi"/>
        </w:rPr>
        <w:t xml:space="preserve">s, the estimated </w:t>
      </w:r>
      <w:r w:rsidR="00025EDD" w:rsidRPr="00E6482F">
        <w:rPr>
          <w:rFonts w:asciiTheme="minorHAnsi" w:hAnsiTheme="minorHAnsi"/>
          <w:i/>
        </w:rPr>
        <w:t>load impacts</w:t>
      </w:r>
      <w:r w:rsidR="00025EDD" w:rsidRPr="003E01D7">
        <w:rPr>
          <w:rFonts w:asciiTheme="minorHAnsi" w:hAnsiTheme="minorHAnsi"/>
        </w:rPr>
        <w:t xml:space="preserve"> are largest for </w:t>
      </w:r>
      <w:r w:rsidR="00025EDD">
        <w:rPr>
          <w:rFonts w:asciiTheme="minorHAnsi" w:hAnsiTheme="minorHAnsi"/>
        </w:rPr>
        <w:t xml:space="preserve">the </w:t>
      </w:r>
      <w:r w:rsidR="00025EDD" w:rsidRPr="003E01D7">
        <w:rPr>
          <w:rFonts w:asciiTheme="minorHAnsi" w:hAnsiTheme="minorHAnsi"/>
        </w:rPr>
        <w:t>Manufacturing and Wholesale, Transportation &amp; Other Utilities</w:t>
      </w:r>
      <w:r w:rsidR="00025EDD">
        <w:rPr>
          <w:rFonts w:asciiTheme="minorHAnsi" w:hAnsiTheme="minorHAnsi"/>
        </w:rPr>
        <w:t xml:space="preserve"> groups</w:t>
      </w:r>
      <w:r w:rsidR="00025EDD" w:rsidRPr="003E01D7">
        <w:rPr>
          <w:rFonts w:asciiTheme="minorHAnsi" w:hAnsiTheme="minorHAnsi"/>
        </w:rPr>
        <w:t xml:space="preserve">, which have estimated loads impact of 9 MWh/hour </w:t>
      </w:r>
      <w:r w:rsidR="00025EDD">
        <w:rPr>
          <w:rFonts w:asciiTheme="minorHAnsi" w:hAnsiTheme="minorHAnsi"/>
        </w:rPr>
        <w:t xml:space="preserve">(9 percent) </w:t>
      </w:r>
      <w:r w:rsidR="00025EDD" w:rsidRPr="003E01D7">
        <w:rPr>
          <w:rFonts w:asciiTheme="minorHAnsi" w:hAnsiTheme="minorHAnsi"/>
        </w:rPr>
        <w:t>and 7 MWh/hour</w:t>
      </w:r>
      <w:r w:rsidR="00025EDD">
        <w:rPr>
          <w:rFonts w:asciiTheme="minorHAnsi" w:hAnsiTheme="minorHAnsi"/>
        </w:rPr>
        <w:t xml:space="preserve"> (11 percent)</w:t>
      </w:r>
      <w:r w:rsidR="00025EDD" w:rsidRPr="003E01D7">
        <w:rPr>
          <w:rFonts w:asciiTheme="minorHAnsi" w:hAnsiTheme="minorHAnsi"/>
        </w:rPr>
        <w:t>, respectively. There are four industr</w:t>
      </w:r>
      <w:r w:rsidR="00025EDD">
        <w:rPr>
          <w:rFonts w:asciiTheme="minorHAnsi" w:hAnsiTheme="minorHAnsi"/>
        </w:rPr>
        <w:t>y group</w:t>
      </w:r>
      <w:r w:rsidR="00025EDD" w:rsidRPr="003E01D7">
        <w:rPr>
          <w:rFonts w:asciiTheme="minorHAnsi" w:hAnsiTheme="minorHAnsi"/>
        </w:rPr>
        <w:t>s that achieve less than 1 MWh/hour of load</w:t>
      </w:r>
      <w:r w:rsidR="00025EDD">
        <w:rPr>
          <w:rFonts w:asciiTheme="minorHAnsi" w:hAnsiTheme="minorHAnsi"/>
        </w:rPr>
        <w:t xml:space="preserve"> reduction, </w:t>
      </w:r>
      <w:r w:rsidR="00025EDD" w:rsidRPr="003E01D7">
        <w:rPr>
          <w:rFonts w:asciiTheme="minorHAnsi" w:hAnsiTheme="minorHAnsi"/>
        </w:rPr>
        <w:t>includ</w:t>
      </w:r>
      <w:r w:rsidR="00025EDD">
        <w:rPr>
          <w:rFonts w:asciiTheme="minorHAnsi" w:hAnsiTheme="minorHAnsi"/>
        </w:rPr>
        <w:t>ing</w:t>
      </w:r>
      <w:r w:rsidR="00025EDD" w:rsidRPr="003E01D7">
        <w:rPr>
          <w:rFonts w:asciiTheme="minorHAnsi" w:hAnsiTheme="minorHAnsi"/>
        </w:rPr>
        <w:t xml:space="preserve"> Agriculture, Mining, &amp; Construction; Retail Stores; Schools (which notably has a small but statistically insignificant </w:t>
      </w:r>
      <w:r w:rsidR="00025EDD" w:rsidRPr="00E6482F">
        <w:rPr>
          <w:rFonts w:asciiTheme="minorHAnsi" w:hAnsiTheme="minorHAnsi"/>
          <w:i/>
        </w:rPr>
        <w:t>increase</w:t>
      </w:r>
      <w:r w:rsidR="00025EDD" w:rsidRPr="003E01D7">
        <w:rPr>
          <w:rFonts w:asciiTheme="minorHAnsi" w:hAnsiTheme="minorHAnsi"/>
        </w:rPr>
        <w:t xml:space="preserve"> in load); and </w:t>
      </w:r>
      <w:r w:rsidR="00025EDD" w:rsidRPr="003E01D7">
        <w:rPr>
          <w:rFonts w:asciiTheme="minorHAnsi" w:hAnsiTheme="minorHAnsi" w:cs="Arial"/>
        </w:rPr>
        <w:t>Entertainment, Other Services, Government</w:t>
      </w:r>
      <w:r w:rsidR="00025EDD">
        <w:rPr>
          <w:rFonts w:asciiTheme="minorHAnsi" w:hAnsiTheme="minorHAnsi" w:cs="Arial"/>
        </w:rPr>
        <w:t>.</w:t>
      </w:r>
    </w:p>
    <w:p w14:paraId="55A950AF" w14:textId="77777777" w:rsidR="00025EDD" w:rsidRDefault="00025EDD" w:rsidP="00025EDD">
      <w:pPr>
        <w:spacing w:after="120"/>
        <w:rPr>
          <w:szCs w:val="32"/>
        </w:rPr>
      </w:pPr>
    </w:p>
    <w:p w14:paraId="5B89402F" w14:textId="1B51772A" w:rsidR="00025EDD" w:rsidRDefault="00025EDD" w:rsidP="00025EDD">
      <w:pPr>
        <w:pStyle w:val="TableCaption"/>
      </w:pPr>
      <w:bookmarkStart w:id="119" w:name="_Ref506901552"/>
      <w:bookmarkStart w:id="120" w:name="_Ref506901547"/>
      <w:bookmarkStart w:id="121" w:name="_Toc506907160"/>
      <w:bookmarkStart w:id="122" w:name="_Toc509837360"/>
      <w:r>
        <w:t xml:space="preserve">Table </w:t>
      </w:r>
      <w:fldSimple w:instr=" STYLEREF 1 \s ">
        <w:r w:rsidR="005D5C7C">
          <w:rPr>
            <w:noProof/>
          </w:rPr>
          <w:t>3</w:t>
        </w:r>
      </w:fldSimple>
      <w:r w:rsidR="0069714C">
        <w:t>.</w:t>
      </w:r>
      <w:fldSimple w:instr=" SEQ Table \* ARABIC \s 1 ">
        <w:r w:rsidR="005D5C7C">
          <w:rPr>
            <w:noProof/>
          </w:rPr>
          <w:t>3</w:t>
        </w:r>
      </w:fldSimple>
      <w:bookmarkEnd w:id="119"/>
      <w:r>
        <w:t>: Typical Event Day Load Impacts b</w:t>
      </w:r>
      <w:r w:rsidRPr="006C0719">
        <w:t xml:space="preserve">y Industry Group, </w:t>
      </w:r>
      <w:r w:rsidRPr="006C0719">
        <w:rPr>
          <w:i/>
        </w:rPr>
        <w:t>PG&amp;E</w:t>
      </w:r>
      <w:r>
        <w:rPr>
          <w:i/>
        </w:rPr>
        <w:t xml:space="preserve"> Large</w:t>
      </w:r>
      <w:bookmarkEnd w:id="120"/>
      <w:bookmarkEnd w:id="121"/>
      <w:bookmarkEnd w:id="122"/>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5"/>
        <w:gridCol w:w="1170"/>
        <w:gridCol w:w="1440"/>
        <w:gridCol w:w="1350"/>
        <w:gridCol w:w="1350"/>
        <w:gridCol w:w="1345"/>
      </w:tblGrid>
      <w:tr w:rsidR="00025EDD" w14:paraId="74A12D92" w14:textId="77777777" w:rsidTr="00AB5B34">
        <w:trPr>
          <w:jc w:val="center"/>
        </w:trPr>
        <w:tc>
          <w:tcPr>
            <w:tcW w:w="1975" w:type="dxa"/>
            <w:tcBorders>
              <w:right w:val="single" w:sz="4" w:space="0" w:color="FFFFFF" w:themeColor="background1"/>
            </w:tcBorders>
            <w:shd w:val="clear" w:color="auto" w:fill="0C2577"/>
            <w:vAlign w:val="center"/>
          </w:tcPr>
          <w:p w14:paraId="3B703985" w14:textId="77777777" w:rsidR="00025EDD" w:rsidRPr="007E0A27" w:rsidRDefault="00025EDD" w:rsidP="00EB4ED3">
            <w:pPr>
              <w:keepNext/>
              <w:keepLines/>
              <w:jc w:val="center"/>
              <w:rPr>
                <w:rFonts w:ascii="Arial" w:hAnsi="Arial" w:cs="Arial"/>
                <w:b/>
                <w:sz w:val="20"/>
                <w:szCs w:val="20"/>
              </w:rPr>
            </w:pPr>
            <w:bookmarkStart w:id="123" w:name="_Hlk506370635"/>
            <w:r w:rsidRPr="007E0A27">
              <w:rPr>
                <w:rFonts w:ascii="Arial" w:hAnsi="Arial" w:cs="Arial"/>
                <w:b/>
                <w:sz w:val="20"/>
                <w:szCs w:val="20"/>
              </w:rPr>
              <w:t>Industry Group</w:t>
            </w:r>
          </w:p>
        </w:tc>
        <w:tc>
          <w:tcPr>
            <w:tcW w:w="1170" w:type="dxa"/>
            <w:tcBorders>
              <w:left w:val="single" w:sz="4" w:space="0" w:color="FFFFFF" w:themeColor="background1"/>
              <w:right w:val="single" w:sz="4" w:space="0" w:color="FFFFFF" w:themeColor="background1"/>
            </w:tcBorders>
            <w:shd w:val="clear" w:color="auto" w:fill="0C2577"/>
            <w:vAlign w:val="center"/>
          </w:tcPr>
          <w:p w14:paraId="5B5B731D" w14:textId="77777777" w:rsidR="00025EDD" w:rsidRPr="007E0A27" w:rsidRDefault="00025EDD" w:rsidP="00EB4ED3">
            <w:pPr>
              <w:keepNext/>
              <w:keepLines/>
              <w:jc w:val="center"/>
              <w:rPr>
                <w:rFonts w:ascii="Arial" w:hAnsi="Arial" w:cs="Arial"/>
                <w:b/>
                <w:sz w:val="20"/>
                <w:szCs w:val="20"/>
              </w:rPr>
            </w:pPr>
            <w:r>
              <w:rPr>
                <w:rFonts w:ascii="Arial" w:hAnsi="Arial" w:cs="Arial"/>
                <w:b/>
                <w:sz w:val="20"/>
                <w:szCs w:val="20"/>
              </w:rPr>
              <w:t># of Service Accounts</w:t>
            </w:r>
          </w:p>
        </w:tc>
        <w:tc>
          <w:tcPr>
            <w:tcW w:w="1440" w:type="dxa"/>
            <w:tcBorders>
              <w:left w:val="single" w:sz="4" w:space="0" w:color="FFFFFF" w:themeColor="background1"/>
              <w:right w:val="single" w:sz="4" w:space="0" w:color="FFFFFF" w:themeColor="background1"/>
            </w:tcBorders>
            <w:shd w:val="clear" w:color="auto" w:fill="0C2577"/>
            <w:vAlign w:val="center"/>
          </w:tcPr>
          <w:p w14:paraId="5E5C0A88" w14:textId="0A2B7BA9"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Estimated Reference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0C0CEBEF" w14:textId="2C83C17B"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Observed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66C3F235" w14:textId="2D155B58"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Estimated Load Impact (MW</w:t>
            </w:r>
            <w:r w:rsidR="00AB5B34">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062FD8EA" w14:textId="77777777"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 LI</w:t>
            </w:r>
          </w:p>
        </w:tc>
      </w:tr>
      <w:bookmarkEnd w:id="123"/>
      <w:tr w:rsidR="009E04B1" w14:paraId="360B3ECA" w14:textId="77777777" w:rsidTr="002056C9">
        <w:trPr>
          <w:jc w:val="center"/>
        </w:trPr>
        <w:tc>
          <w:tcPr>
            <w:tcW w:w="1975" w:type="dxa"/>
            <w:vAlign w:val="center"/>
          </w:tcPr>
          <w:p w14:paraId="665E2C74"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Agriculture, Mining, &amp; Construction</w:t>
            </w:r>
          </w:p>
        </w:tc>
        <w:tc>
          <w:tcPr>
            <w:tcW w:w="1170" w:type="dxa"/>
            <w:shd w:val="clear" w:color="auto" w:fill="000000" w:themeFill="text1"/>
            <w:vAlign w:val="center"/>
          </w:tcPr>
          <w:p w14:paraId="45DC4611" w14:textId="29EF1CFF" w:rsidR="009E04B1" w:rsidRPr="00D23CC4" w:rsidRDefault="009E04B1" w:rsidP="00627028">
            <w:pPr>
              <w:jc w:val="center"/>
              <w:rPr>
                <w:rFonts w:ascii="Arial" w:hAnsi="Arial" w:cs="Arial"/>
                <w:sz w:val="20"/>
                <w:szCs w:val="20"/>
              </w:rPr>
            </w:pPr>
          </w:p>
        </w:tc>
        <w:tc>
          <w:tcPr>
            <w:tcW w:w="1440" w:type="dxa"/>
            <w:shd w:val="clear" w:color="auto" w:fill="000000" w:themeFill="text1"/>
            <w:vAlign w:val="center"/>
          </w:tcPr>
          <w:p w14:paraId="2E78D18B" w14:textId="327ABE9B" w:rsidR="009E04B1" w:rsidRPr="00D23CC4" w:rsidRDefault="009E04B1" w:rsidP="00627028">
            <w:pPr>
              <w:jc w:val="center"/>
              <w:rPr>
                <w:rFonts w:ascii="Arial" w:hAnsi="Arial" w:cs="Arial"/>
                <w:sz w:val="20"/>
                <w:szCs w:val="20"/>
              </w:rPr>
            </w:pPr>
          </w:p>
        </w:tc>
        <w:tc>
          <w:tcPr>
            <w:tcW w:w="1350" w:type="dxa"/>
            <w:shd w:val="clear" w:color="auto" w:fill="000000" w:themeFill="text1"/>
            <w:vAlign w:val="center"/>
          </w:tcPr>
          <w:p w14:paraId="6C0B9364" w14:textId="74D88BDE" w:rsidR="009E04B1" w:rsidRPr="00D23CC4" w:rsidRDefault="009E04B1" w:rsidP="00627028">
            <w:pPr>
              <w:jc w:val="center"/>
              <w:rPr>
                <w:rFonts w:ascii="Arial" w:hAnsi="Arial" w:cs="Arial"/>
                <w:sz w:val="20"/>
                <w:szCs w:val="20"/>
              </w:rPr>
            </w:pPr>
          </w:p>
        </w:tc>
        <w:tc>
          <w:tcPr>
            <w:tcW w:w="1350" w:type="dxa"/>
            <w:shd w:val="clear" w:color="auto" w:fill="000000" w:themeFill="text1"/>
            <w:vAlign w:val="center"/>
          </w:tcPr>
          <w:p w14:paraId="132251A0" w14:textId="350DFE10" w:rsidR="009E04B1" w:rsidRPr="009E04B1" w:rsidRDefault="009E04B1" w:rsidP="00627028">
            <w:pPr>
              <w:jc w:val="center"/>
              <w:rPr>
                <w:rFonts w:ascii="Arial" w:hAnsi="Arial" w:cs="Arial"/>
                <w:sz w:val="20"/>
                <w:szCs w:val="20"/>
              </w:rPr>
            </w:pPr>
          </w:p>
        </w:tc>
        <w:tc>
          <w:tcPr>
            <w:tcW w:w="1345" w:type="dxa"/>
            <w:shd w:val="clear" w:color="auto" w:fill="000000" w:themeFill="text1"/>
            <w:vAlign w:val="center"/>
          </w:tcPr>
          <w:p w14:paraId="26A228FD" w14:textId="0FEA92CA" w:rsidR="009E04B1" w:rsidRPr="00D23CC4" w:rsidRDefault="009E04B1" w:rsidP="00627028">
            <w:pPr>
              <w:jc w:val="center"/>
              <w:rPr>
                <w:rFonts w:ascii="Arial" w:hAnsi="Arial" w:cs="Arial"/>
                <w:sz w:val="20"/>
                <w:szCs w:val="20"/>
              </w:rPr>
            </w:pPr>
          </w:p>
        </w:tc>
      </w:tr>
      <w:tr w:rsidR="009E04B1" w14:paraId="08329C3F" w14:textId="77777777" w:rsidTr="00627028">
        <w:trPr>
          <w:jc w:val="center"/>
        </w:trPr>
        <w:tc>
          <w:tcPr>
            <w:tcW w:w="1975" w:type="dxa"/>
            <w:vAlign w:val="center"/>
          </w:tcPr>
          <w:p w14:paraId="68748CCB"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Manufacturing</w:t>
            </w:r>
          </w:p>
        </w:tc>
        <w:tc>
          <w:tcPr>
            <w:tcW w:w="1170" w:type="dxa"/>
            <w:shd w:val="clear" w:color="auto" w:fill="auto"/>
            <w:vAlign w:val="center"/>
          </w:tcPr>
          <w:p w14:paraId="5A4A378A"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299</w:t>
            </w:r>
          </w:p>
        </w:tc>
        <w:tc>
          <w:tcPr>
            <w:tcW w:w="1440" w:type="dxa"/>
            <w:shd w:val="clear" w:color="auto" w:fill="auto"/>
            <w:vAlign w:val="center"/>
          </w:tcPr>
          <w:p w14:paraId="6C418345"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98.0</w:t>
            </w:r>
          </w:p>
        </w:tc>
        <w:tc>
          <w:tcPr>
            <w:tcW w:w="1350" w:type="dxa"/>
            <w:shd w:val="clear" w:color="auto" w:fill="auto"/>
            <w:vAlign w:val="center"/>
          </w:tcPr>
          <w:p w14:paraId="2855DB9D"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89.2</w:t>
            </w:r>
          </w:p>
        </w:tc>
        <w:tc>
          <w:tcPr>
            <w:tcW w:w="1350" w:type="dxa"/>
            <w:shd w:val="clear" w:color="auto" w:fill="auto"/>
            <w:vAlign w:val="center"/>
          </w:tcPr>
          <w:p w14:paraId="00D6DF18" w14:textId="54235ACA" w:rsidR="009E04B1" w:rsidRPr="009E04B1" w:rsidRDefault="009E04B1" w:rsidP="00627028">
            <w:pPr>
              <w:jc w:val="center"/>
              <w:rPr>
                <w:rFonts w:ascii="Arial" w:hAnsi="Arial" w:cs="Arial"/>
                <w:sz w:val="20"/>
                <w:szCs w:val="20"/>
              </w:rPr>
            </w:pPr>
            <w:r w:rsidRPr="00627028">
              <w:rPr>
                <w:rFonts w:ascii="Arial" w:hAnsi="Arial" w:cs="Arial"/>
                <w:sz w:val="20"/>
                <w:szCs w:val="20"/>
              </w:rPr>
              <w:t>8.76</w:t>
            </w:r>
          </w:p>
        </w:tc>
        <w:tc>
          <w:tcPr>
            <w:tcW w:w="1345" w:type="dxa"/>
            <w:shd w:val="clear" w:color="auto" w:fill="auto"/>
            <w:vAlign w:val="center"/>
          </w:tcPr>
          <w:p w14:paraId="4E395304"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8.9%</w:t>
            </w:r>
          </w:p>
        </w:tc>
      </w:tr>
      <w:tr w:rsidR="009E04B1" w14:paraId="6CC51C48" w14:textId="77777777" w:rsidTr="00627028">
        <w:trPr>
          <w:jc w:val="center"/>
        </w:trPr>
        <w:tc>
          <w:tcPr>
            <w:tcW w:w="1975" w:type="dxa"/>
            <w:vAlign w:val="center"/>
          </w:tcPr>
          <w:p w14:paraId="18A0C906"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Wholesale, Transportation, &amp; Other Utilities</w:t>
            </w:r>
          </w:p>
        </w:tc>
        <w:tc>
          <w:tcPr>
            <w:tcW w:w="1170" w:type="dxa"/>
            <w:shd w:val="clear" w:color="auto" w:fill="auto"/>
            <w:vAlign w:val="center"/>
          </w:tcPr>
          <w:p w14:paraId="6B4C9E21"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313</w:t>
            </w:r>
          </w:p>
        </w:tc>
        <w:tc>
          <w:tcPr>
            <w:tcW w:w="1440" w:type="dxa"/>
            <w:shd w:val="clear" w:color="auto" w:fill="auto"/>
            <w:vAlign w:val="center"/>
          </w:tcPr>
          <w:p w14:paraId="755B459B"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60.7</w:t>
            </w:r>
          </w:p>
        </w:tc>
        <w:tc>
          <w:tcPr>
            <w:tcW w:w="1350" w:type="dxa"/>
            <w:shd w:val="clear" w:color="auto" w:fill="auto"/>
            <w:vAlign w:val="center"/>
          </w:tcPr>
          <w:p w14:paraId="498A419F"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54.1</w:t>
            </w:r>
          </w:p>
        </w:tc>
        <w:tc>
          <w:tcPr>
            <w:tcW w:w="1350" w:type="dxa"/>
            <w:shd w:val="clear" w:color="auto" w:fill="auto"/>
            <w:vAlign w:val="center"/>
          </w:tcPr>
          <w:p w14:paraId="58044368" w14:textId="6B5ED065" w:rsidR="009E04B1" w:rsidRPr="009E04B1" w:rsidRDefault="009E04B1" w:rsidP="00627028">
            <w:pPr>
              <w:jc w:val="center"/>
              <w:rPr>
                <w:rFonts w:ascii="Arial" w:hAnsi="Arial" w:cs="Arial"/>
                <w:sz w:val="20"/>
                <w:szCs w:val="20"/>
              </w:rPr>
            </w:pPr>
            <w:r w:rsidRPr="00627028">
              <w:rPr>
                <w:rFonts w:ascii="Arial" w:hAnsi="Arial" w:cs="Arial"/>
                <w:sz w:val="20"/>
                <w:szCs w:val="20"/>
              </w:rPr>
              <w:t>6.52</w:t>
            </w:r>
          </w:p>
        </w:tc>
        <w:tc>
          <w:tcPr>
            <w:tcW w:w="1345" w:type="dxa"/>
            <w:shd w:val="clear" w:color="auto" w:fill="auto"/>
            <w:vAlign w:val="center"/>
          </w:tcPr>
          <w:p w14:paraId="369AD409"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10.7%</w:t>
            </w:r>
          </w:p>
        </w:tc>
      </w:tr>
      <w:tr w:rsidR="009E04B1" w14:paraId="3433843C" w14:textId="77777777" w:rsidTr="00627028">
        <w:trPr>
          <w:jc w:val="center"/>
        </w:trPr>
        <w:tc>
          <w:tcPr>
            <w:tcW w:w="1975" w:type="dxa"/>
            <w:vAlign w:val="center"/>
          </w:tcPr>
          <w:p w14:paraId="60DAED24"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Retail Stores</w:t>
            </w:r>
          </w:p>
        </w:tc>
        <w:tc>
          <w:tcPr>
            <w:tcW w:w="1170" w:type="dxa"/>
            <w:shd w:val="clear" w:color="auto" w:fill="auto"/>
            <w:vAlign w:val="center"/>
          </w:tcPr>
          <w:p w14:paraId="49C86900"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76</w:t>
            </w:r>
          </w:p>
        </w:tc>
        <w:tc>
          <w:tcPr>
            <w:tcW w:w="1440" w:type="dxa"/>
            <w:shd w:val="clear" w:color="auto" w:fill="auto"/>
            <w:vAlign w:val="center"/>
          </w:tcPr>
          <w:p w14:paraId="2871068F"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19.1</w:t>
            </w:r>
          </w:p>
        </w:tc>
        <w:tc>
          <w:tcPr>
            <w:tcW w:w="1350" w:type="dxa"/>
            <w:shd w:val="clear" w:color="auto" w:fill="auto"/>
            <w:vAlign w:val="center"/>
          </w:tcPr>
          <w:p w14:paraId="13156276"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18.5</w:t>
            </w:r>
          </w:p>
        </w:tc>
        <w:tc>
          <w:tcPr>
            <w:tcW w:w="1350" w:type="dxa"/>
            <w:shd w:val="clear" w:color="auto" w:fill="auto"/>
            <w:vAlign w:val="center"/>
          </w:tcPr>
          <w:p w14:paraId="366EF96C" w14:textId="2F6DAACE" w:rsidR="009E04B1" w:rsidRPr="009E04B1" w:rsidRDefault="009E04B1" w:rsidP="00627028">
            <w:pPr>
              <w:jc w:val="center"/>
              <w:rPr>
                <w:rFonts w:ascii="Arial" w:hAnsi="Arial" w:cs="Arial"/>
                <w:sz w:val="20"/>
                <w:szCs w:val="20"/>
              </w:rPr>
            </w:pPr>
            <w:r w:rsidRPr="00627028">
              <w:rPr>
                <w:rFonts w:ascii="Arial" w:hAnsi="Arial" w:cs="Arial"/>
                <w:sz w:val="20"/>
                <w:szCs w:val="20"/>
              </w:rPr>
              <w:t>0.52</w:t>
            </w:r>
          </w:p>
        </w:tc>
        <w:tc>
          <w:tcPr>
            <w:tcW w:w="1345" w:type="dxa"/>
            <w:shd w:val="clear" w:color="auto" w:fill="auto"/>
            <w:vAlign w:val="center"/>
          </w:tcPr>
          <w:p w14:paraId="5A6372AF"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2.7%</w:t>
            </w:r>
          </w:p>
        </w:tc>
      </w:tr>
      <w:tr w:rsidR="009E04B1" w14:paraId="636FA51A" w14:textId="77777777" w:rsidTr="00627028">
        <w:trPr>
          <w:jc w:val="center"/>
        </w:trPr>
        <w:tc>
          <w:tcPr>
            <w:tcW w:w="1975" w:type="dxa"/>
            <w:vAlign w:val="center"/>
          </w:tcPr>
          <w:p w14:paraId="3764B169"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Offices, Hotels, Health, Services</w:t>
            </w:r>
          </w:p>
        </w:tc>
        <w:tc>
          <w:tcPr>
            <w:tcW w:w="1170" w:type="dxa"/>
            <w:shd w:val="clear" w:color="auto" w:fill="auto"/>
            <w:vAlign w:val="center"/>
          </w:tcPr>
          <w:p w14:paraId="2CF6EB27"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459</w:t>
            </w:r>
          </w:p>
        </w:tc>
        <w:tc>
          <w:tcPr>
            <w:tcW w:w="1440" w:type="dxa"/>
            <w:shd w:val="clear" w:color="auto" w:fill="auto"/>
            <w:vAlign w:val="center"/>
          </w:tcPr>
          <w:p w14:paraId="17A80120"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153.5</w:t>
            </w:r>
          </w:p>
        </w:tc>
        <w:tc>
          <w:tcPr>
            <w:tcW w:w="1350" w:type="dxa"/>
            <w:shd w:val="clear" w:color="auto" w:fill="auto"/>
            <w:vAlign w:val="center"/>
          </w:tcPr>
          <w:p w14:paraId="233FE6D1"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149.1</w:t>
            </w:r>
          </w:p>
        </w:tc>
        <w:tc>
          <w:tcPr>
            <w:tcW w:w="1350" w:type="dxa"/>
            <w:shd w:val="clear" w:color="auto" w:fill="auto"/>
            <w:vAlign w:val="center"/>
          </w:tcPr>
          <w:p w14:paraId="6586B09F" w14:textId="1D3E5AE8" w:rsidR="009E04B1" w:rsidRPr="009E04B1" w:rsidRDefault="009E04B1" w:rsidP="00627028">
            <w:pPr>
              <w:jc w:val="center"/>
              <w:rPr>
                <w:rFonts w:ascii="Arial" w:hAnsi="Arial" w:cs="Arial"/>
                <w:sz w:val="20"/>
                <w:szCs w:val="20"/>
              </w:rPr>
            </w:pPr>
            <w:r w:rsidRPr="00627028">
              <w:rPr>
                <w:rFonts w:ascii="Arial" w:hAnsi="Arial" w:cs="Arial"/>
                <w:sz w:val="20"/>
                <w:szCs w:val="20"/>
              </w:rPr>
              <w:t>4.42</w:t>
            </w:r>
          </w:p>
        </w:tc>
        <w:tc>
          <w:tcPr>
            <w:tcW w:w="1345" w:type="dxa"/>
            <w:shd w:val="clear" w:color="auto" w:fill="auto"/>
            <w:vAlign w:val="center"/>
          </w:tcPr>
          <w:p w14:paraId="7B32B5A6"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2.9%</w:t>
            </w:r>
          </w:p>
        </w:tc>
      </w:tr>
      <w:tr w:rsidR="009E04B1" w14:paraId="15F4B789" w14:textId="77777777" w:rsidTr="002056C9">
        <w:trPr>
          <w:jc w:val="center"/>
        </w:trPr>
        <w:tc>
          <w:tcPr>
            <w:tcW w:w="1975" w:type="dxa"/>
            <w:vAlign w:val="center"/>
          </w:tcPr>
          <w:p w14:paraId="4D1DC3C4"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Schools</w:t>
            </w:r>
          </w:p>
        </w:tc>
        <w:tc>
          <w:tcPr>
            <w:tcW w:w="1170" w:type="dxa"/>
            <w:shd w:val="clear" w:color="auto" w:fill="000000" w:themeFill="text1"/>
            <w:vAlign w:val="center"/>
          </w:tcPr>
          <w:p w14:paraId="09EC1092" w14:textId="24F7BD36" w:rsidR="009E04B1" w:rsidRPr="00D23CC4" w:rsidRDefault="009E04B1" w:rsidP="00627028">
            <w:pPr>
              <w:jc w:val="center"/>
              <w:rPr>
                <w:rFonts w:ascii="Arial" w:hAnsi="Arial" w:cs="Arial"/>
                <w:sz w:val="20"/>
                <w:szCs w:val="20"/>
              </w:rPr>
            </w:pPr>
          </w:p>
        </w:tc>
        <w:tc>
          <w:tcPr>
            <w:tcW w:w="1440" w:type="dxa"/>
            <w:shd w:val="clear" w:color="auto" w:fill="000000" w:themeFill="text1"/>
            <w:vAlign w:val="center"/>
          </w:tcPr>
          <w:p w14:paraId="404466C3" w14:textId="68EE9C86" w:rsidR="009E04B1" w:rsidRPr="00D23CC4" w:rsidRDefault="009E04B1" w:rsidP="00627028">
            <w:pPr>
              <w:jc w:val="center"/>
              <w:rPr>
                <w:rFonts w:ascii="Arial" w:hAnsi="Arial" w:cs="Arial"/>
                <w:sz w:val="20"/>
                <w:szCs w:val="20"/>
              </w:rPr>
            </w:pPr>
          </w:p>
        </w:tc>
        <w:tc>
          <w:tcPr>
            <w:tcW w:w="1350" w:type="dxa"/>
            <w:shd w:val="clear" w:color="auto" w:fill="000000" w:themeFill="text1"/>
            <w:vAlign w:val="center"/>
          </w:tcPr>
          <w:p w14:paraId="1B2729BF" w14:textId="58A5BA72" w:rsidR="009E04B1" w:rsidRPr="00D23CC4" w:rsidRDefault="009E04B1" w:rsidP="00627028">
            <w:pPr>
              <w:jc w:val="center"/>
              <w:rPr>
                <w:rFonts w:ascii="Arial" w:hAnsi="Arial" w:cs="Arial"/>
                <w:sz w:val="20"/>
                <w:szCs w:val="20"/>
              </w:rPr>
            </w:pPr>
          </w:p>
        </w:tc>
        <w:tc>
          <w:tcPr>
            <w:tcW w:w="1350" w:type="dxa"/>
            <w:shd w:val="clear" w:color="auto" w:fill="000000" w:themeFill="text1"/>
            <w:vAlign w:val="center"/>
          </w:tcPr>
          <w:p w14:paraId="4879553C" w14:textId="6BC3FBF4" w:rsidR="009E04B1" w:rsidRPr="009E04B1" w:rsidRDefault="009E04B1" w:rsidP="00627028">
            <w:pPr>
              <w:jc w:val="center"/>
              <w:rPr>
                <w:rFonts w:ascii="Arial" w:hAnsi="Arial" w:cs="Arial"/>
                <w:sz w:val="20"/>
                <w:szCs w:val="20"/>
              </w:rPr>
            </w:pPr>
          </w:p>
        </w:tc>
        <w:tc>
          <w:tcPr>
            <w:tcW w:w="1345" w:type="dxa"/>
            <w:shd w:val="clear" w:color="auto" w:fill="000000" w:themeFill="text1"/>
            <w:vAlign w:val="center"/>
          </w:tcPr>
          <w:p w14:paraId="71C7B842" w14:textId="7FFB6E50" w:rsidR="009E04B1" w:rsidRPr="00D23CC4" w:rsidRDefault="009E04B1" w:rsidP="00627028">
            <w:pPr>
              <w:jc w:val="center"/>
              <w:rPr>
                <w:rFonts w:ascii="Arial" w:hAnsi="Arial" w:cs="Arial"/>
                <w:sz w:val="20"/>
                <w:szCs w:val="20"/>
              </w:rPr>
            </w:pPr>
          </w:p>
        </w:tc>
      </w:tr>
      <w:tr w:rsidR="009E04B1" w14:paraId="6F5EAE19" w14:textId="77777777" w:rsidTr="00627028">
        <w:trPr>
          <w:jc w:val="center"/>
        </w:trPr>
        <w:tc>
          <w:tcPr>
            <w:tcW w:w="1975" w:type="dxa"/>
            <w:vAlign w:val="center"/>
          </w:tcPr>
          <w:p w14:paraId="6831CA79" w14:textId="77777777" w:rsidR="009E04B1" w:rsidRPr="007E0A27" w:rsidRDefault="009E04B1" w:rsidP="009E04B1">
            <w:pPr>
              <w:keepNext/>
              <w:keepLines/>
              <w:rPr>
                <w:rFonts w:ascii="Arial" w:hAnsi="Arial" w:cs="Arial"/>
                <w:sz w:val="20"/>
                <w:szCs w:val="20"/>
              </w:rPr>
            </w:pPr>
            <w:r w:rsidRPr="007E0A27">
              <w:rPr>
                <w:rFonts w:ascii="Arial" w:hAnsi="Arial" w:cs="Arial"/>
                <w:sz w:val="20"/>
                <w:szCs w:val="20"/>
              </w:rPr>
              <w:t>Entertainment, Other Services, Government</w:t>
            </w:r>
          </w:p>
        </w:tc>
        <w:tc>
          <w:tcPr>
            <w:tcW w:w="1170" w:type="dxa"/>
            <w:shd w:val="clear" w:color="auto" w:fill="auto"/>
            <w:vAlign w:val="center"/>
          </w:tcPr>
          <w:p w14:paraId="59317DA4"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139</w:t>
            </w:r>
          </w:p>
        </w:tc>
        <w:tc>
          <w:tcPr>
            <w:tcW w:w="1440" w:type="dxa"/>
            <w:shd w:val="clear" w:color="auto" w:fill="auto"/>
            <w:vAlign w:val="center"/>
          </w:tcPr>
          <w:p w14:paraId="5AADD5D1"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34.8</w:t>
            </w:r>
          </w:p>
        </w:tc>
        <w:tc>
          <w:tcPr>
            <w:tcW w:w="1350" w:type="dxa"/>
            <w:shd w:val="clear" w:color="auto" w:fill="auto"/>
            <w:vAlign w:val="center"/>
          </w:tcPr>
          <w:p w14:paraId="59F09994"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34.4</w:t>
            </w:r>
          </w:p>
        </w:tc>
        <w:tc>
          <w:tcPr>
            <w:tcW w:w="1350" w:type="dxa"/>
            <w:shd w:val="clear" w:color="auto" w:fill="auto"/>
            <w:vAlign w:val="center"/>
          </w:tcPr>
          <w:p w14:paraId="7E4096C2" w14:textId="2FE83611" w:rsidR="009E04B1" w:rsidRPr="009E04B1" w:rsidRDefault="009E04B1" w:rsidP="00627028">
            <w:pPr>
              <w:jc w:val="center"/>
              <w:rPr>
                <w:rFonts w:ascii="Arial" w:hAnsi="Arial" w:cs="Arial"/>
                <w:sz w:val="20"/>
                <w:szCs w:val="20"/>
              </w:rPr>
            </w:pPr>
            <w:r w:rsidRPr="00627028">
              <w:rPr>
                <w:rFonts w:ascii="Arial" w:hAnsi="Arial" w:cs="Arial"/>
                <w:sz w:val="20"/>
                <w:szCs w:val="20"/>
              </w:rPr>
              <w:t>0.42</w:t>
            </w:r>
          </w:p>
        </w:tc>
        <w:tc>
          <w:tcPr>
            <w:tcW w:w="1345" w:type="dxa"/>
            <w:shd w:val="clear" w:color="auto" w:fill="auto"/>
            <w:vAlign w:val="center"/>
          </w:tcPr>
          <w:p w14:paraId="0EE48212"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1.2%</w:t>
            </w:r>
          </w:p>
        </w:tc>
      </w:tr>
      <w:tr w:rsidR="009E04B1" w14:paraId="74AA76FA" w14:textId="77777777" w:rsidTr="00627028">
        <w:trPr>
          <w:jc w:val="center"/>
        </w:trPr>
        <w:tc>
          <w:tcPr>
            <w:tcW w:w="1975" w:type="dxa"/>
            <w:vAlign w:val="center"/>
          </w:tcPr>
          <w:p w14:paraId="1E49F2D0" w14:textId="77777777" w:rsidR="009E04B1" w:rsidRPr="007E0A27" w:rsidRDefault="009E04B1" w:rsidP="009E04B1">
            <w:pPr>
              <w:keepNext/>
              <w:keepLines/>
              <w:rPr>
                <w:rFonts w:ascii="Arial" w:hAnsi="Arial" w:cs="Arial"/>
                <w:sz w:val="20"/>
                <w:szCs w:val="20"/>
              </w:rPr>
            </w:pPr>
            <w:r>
              <w:rPr>
                <w:rFonts w:ascii="Arial" w:hAnsi="Arial" w:cs="Arial"/>
                <w:sz w:val="20"/>
                <w:szCs w:val="20"/>
              </w:rPr>
              <w:t>Other or unknown</w:t>
            </w:r>
          </w:p>
        </w:tc>
        <w:tc>
          <w:tcPr>
            <w:tcW w:w="1170" w:type="dxa"/>
            <w:shd w:val="clear" w:color="auto" w:fill="auto"/>
            <w:vAlign w:val="center"/>
          </w:tcPr>
          <w:p w14:paraId="15F4E79D"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107</w:t>
            </w:r>
          </w:p>
        </w:tc>
        <w:tc>
          <w:tcPr>
            <w:tcW w:w="1440" w:type="dxa"/>
            <w:shd w:val="clear" w:color="auto" w:fill="auto"/>
            <w:vAlign w:val="center"/>
          </w:tcPr>
          <w:p w14:paraId="6F66218A"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29.9</w:t>
            </w:r>
          </w:p>
        </w:tc>
        <w:tc>
          <w:tcPr>
            <w:tcW w:w="1350" w:type="dxa"/>
            <w:shd w:val="clear" w:color="auto" w:fill="auto"/>
            <w:vAlign w:val="center"/>
          </w:tcPr>
          <w:p w14:paraId="3C218B1E"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28.5</w:t>
            </w:r>
          </w:p>
        </w:tc>
        <w:tc>
          <w:tcPr>
            <w:tcW w:w="1350" w:type="dxa"/>
            <w:shd w:val="clear" w:color="auto" w:fill="auto"/>
            <w:vAlign w:val="center"/>
          </w:tcPr>
          <w:p w14:paraId="6DE2CB99" w14:textId="7A6EF314" w:rsidR="009E04B1" w:rsidRPr="009E04B1" w:rsidRDefault="009E04B1" w:rsidP="00627028">
            <w:pPr>
              <w:jc w:val="center"/>
              <w:rPr>
                <w:rFonts w:ascii="Arial" w:hAnsi="Arial" w:cs="Arial"/>
                <w:sz w:val="20"/>
                <w:szCs w:val="20"/>
              </w:rPr>
            </w:pPr>
            <w:r w:rsidRPr="00627028">
              <w:rPr>
                <w:rFonts w:ascii="Arial" w:hAnsi="Arial" w:cs="Arial"/>
                <w:sz w:val="20"/>
                <w:szCs w:val="20"/>
              </w:rPr>
              <w:t>1.44</w:t>
            </w:r>
          </w:p>
        </w:tc>
        <w:tc>
          <w:tcPr>
            <w:tcW w:w="1345" w:type="dxa"/>
            <w:shd w:val="clear" w:color="auto" w:fill="auto"/>
            <w:vAlign w:val="center"/>
          </w:tcPr>
          <w:p w14:paraId="30A99449" w14:textId="77777777" w:rsidR="009E04B1" w:rsidRPr="00D23CC4" w:rsidRDefault="009E04B1" w:rsidP="00627028">
            <w:pPr>
              <w:jc w:val="center"/>
              <w:rPr>
                <w:rFonts w:ascii="Arial" w:hAnsi="Arial" w:cs="Arial"/>
                <w:sz w:val="20"/>
                <w:szCs w:val="20"/>
              </w:rPr>
            </w:pPr>
            <w:r w:rsidRPr="00D23CC4">
              <w:rPr>
                <w:rFonts w:ascii="Arial" w:hAnsi="Arial" w:cs="Arial"/>
                <w:sz w:val="20"/>
                <w:szCs w:val="20"/>
              </w:rPr>
              <w:t>4.8%</w:t>
            </w:r>
          </w:p>
        </w:tc>
      </w:tr>
    </w:tbl>
    <w:p w14:paraId="4AA35971" w14:textId="77777777" w:rsidR="00025EDD" w:rsidRDefault="00025EDD" w:rsidP="00025EDD">
      <w:pPr>
        <w:spacing w:after="120"/>
        <w:rPr>
          <w:szCs w:val="32"/>
        </w:rPr>
      </w:pPr>
    </w:p>
    <w:p w14:paraId="77AB315E" w14:textId="3A9F5C24" w:rsidR="00025EDD" w:rsidRDefault="00025EDD" w:rsidP="00025EDD">
      <w:pPr>
        <w:spacing w:after="120"/>
        <w:rPr>
          <w:szCs w:val="32"/>
        </w:rPr>
      </w:pPr>
      <w:r>
        <w:rPr>
          <w:szCs w:val="32"/>
        </w:rPr>
        <w:t xml:space="preserve">To better understand the distribution of results across industries, we look at the shares of estimated load impacts, reference loads, and enrollments by industry group in </w:t>
      </w:r>
      <w:r>
        <w:rPr>
          <w:szCs w:val="32"/>
        </w:rPr>
        <w:fldChar w:fldCharType="begin"/>
      </w:r>
      <w:r>
        <w:rPr>
          <w:szCs w:val="32"/>
        </w:rPr>
        <w:instrText xml:space="preserve"> REF _Ref506903022 \h </w:instrText>
      </w:r>
      <w:r>
        <w:rPr>
          <w:szCs w:val="32"/>
        </w:rPr>
      </w:r>
      <w:r>
        <w:rPr>
          <w:szCs w:val="32"/>
        </w:rPr>
        <w:fldChar w:fldCharType="separate"/>
      </w:r>
      <w:r w:rsidR="005D5C7C" w:rsidRPr="00D90CBD">
        <w:rPr>
          <w:highlight w:val="lightGray"/>
        </w:rPr>
        <w:t xml:space="preserve">Figure </w:t>
      </w:r>
      <w:r w:rsidR="005D5C7C">
        <w:rPr>
          <w:noProof/>
          <w:highlight w:val="lightGray"/>
        </w:rPr>
        <w:t>3</w:t>
      </w:r>
      <w:r w:rsidR="005D5C7C" w:rsidRPr="00D90CBD">
        <w:rPr>
          <w:highlight w:val="lightGray"/>
        </w:rPr>
        <w:t>.</w:t>
      </w:r>
      <w:r w:rsidR="005D5C7C">
        <w:rPr>
          <w:noProof/>
          <w:highlight w:val="lightGray"/>
        </w:rPr>
        <w:t>3</w:t>
      </w:r>
      <w:r>
        <w:rPr>
          <w:szCs w:val="32"/>
        </w:rPr>
        <w:fldChar w:fldCharType="end"/>
      </w:r>
      <w:r>
        <w:rPr>
          <w:szCs w:val="32"/>
        </w:rPr>
        <w:t xml:space="preserve">. The load impacts for large customers are mainly driven by three industry groups (Manufacturing; Wholesale, Transport &amp; Other Utilities; and Other or Unknown), which have a higher share of load impacts than of enrollments or reference loads. All other industries have a lower share of load impact than share of enrollments or reference loads. </w:t>
      </w:r>
    </w:p>
    <w:p w14:paraId="7D91E3DF" w14:textId="07F2CD7B" w:rsidR="00025EDD" w:rsidRDefault="00F7523F" w:rsidP="00025EDD">
      <w:pPr>
        <w:spacing w:after="120"/>
        <w:rPr>
          <w:szCs w:val="32"/>
        </w:rPr>
      </w:pPr>
      <w:r>
        <w:rPr>
          <w:noProof/>
          <w:szCs w:val="32"/>
        </w:rPr>
        <mc:AlternateContent>
          <mc:Choice Requires="wps">
            <w:drawing>
              <wp:anchor distT="0" distB="0" distL="114300" distR="114300" simplePos="0" relativeHeight="251662336" behindDoc="0" locked="0" layoutInCell="1" allowOverlap="1" wp14:anchorId="6CA61562" wp14:editId="269D730B">
                <wp:simplePos x="0" y="0"/>
                <wp:positionH relativeFrom="margin">
                  <wp:align>right</wp:align>
                </wp:positionH>
                <wp:positionV relativeFrom="paragraph">
                  <wp:posOffset>3649649</wp:posOffset>
                </wp:positionV>
                <wp:extent cx="5422789" cy="397566"/>
                <wp:effectExtent l="0" t="0" r="26035" b="21590"/>
                <wp:wrapNone/>
                <wp:docPr id="10" name="Text Box 10"/>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317ED55D"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A61562" id="Text Box 10" o:spid="_x0000_s1028" type="#_x0000_t202" style="position:absolute;margin-left:375.8pt;margin-top:287.35pt;width:427pt;height:31.3pt;z-index:25166233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" fillcolor="white [3201]" strokeweight=".5pt">
                <v:textbox>
                  <w:txbxContent>
                    <w:p w14:paraId="317ED55D"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025EDD">
        <w:rPr>
          <w:szCs w:val="32"/>
        </w:rPr>
        <w:t xml:space="preserve"> </w:t>
      </w:r>
    </w:p>
    <w:p w14:paraId="60DFE49C" w14:textId="30366DAD" w:rsidR="00025EDD" w:rsidRDefault="00025EDD" w:rsidP="00025EDD">
      <w:pPr>
        <w:pStyle w:val="FigureCaption"/>
      </w:pPr>
      <w:bookmarkStart w:id="124" w:name="_Ref506903022"/>
      <w:bookmarkStart w:id="125" w:name="_Toc506907188"/>
      <w:bookmarkStart w:id="126" w:name="_Toc509837450"/>
      <w:r w:rsidRPr="00D90CBD">
        <w:rPr>
          <w:highlight w:val="lightGray"/>
        </w:rPr>
        <w:lastRenderedPageBreak/>
        <w:t xml:space="preserve">Figure </w:t>
      </w:r>
      <w:r w:rsidR="00D90CBD" w:rsidRPr="00D90CBD">
        <w:rPr>
          <w:highlight w:val="lightGray"/>
        </w:rPr>
        <w:fldChar w:fldCharType="begin"/>
      </w:r>
      <w:r w:rsidR="00D90CBD" w:rsidRPr="00D90CBD">
        <w:rPr>
          <w:highlight w:val="lightGray"/>
        </w:rPr>
        <w:instrText xml:space="preserve"> STYLEREF 1 \s </w:instrText>
      </w:r>
      <w:r w:rsidR="00D90CBD" w:rsidRPr="00D90CBD">
        <w:rPr>
          <w:highlight w:val="lightGray"/>
        </w:rPr>
        <w:fldChar w:fldCharType="separate"/>
      </w:r>
      <w:r w:rsidR="005D5C7C">
        <w:rPr>
          <w:noProof/>
          <w:highlight w:val="lightGray"/>
        </w:rPr>
        <w:t>3</w:t>
      </w:r>
      <w:r w:rsidR="00D90CBD" w:rsidRPr="00D90CBD">
        <w:rPr>
          <w:noProof/>
          <w:highlight w:val="lightGray"/>
        </w:rPr>
        <w:fldChar w:fldCharType="end"/>
      </w:r>
      <w:r w:rsidR="00A11E78" w:rsidRPr="00D90CBD">
        <w:rPr>
          <w:highlight w:val="lightGray"/>
        </w:rPr>
        <w:t>.</w:t>
      </w:r>
      <w:r w:rsidR="00D90CBD" w:rsidRPr="00D90CBD">
        <w:rPr>
          <w:highlight w:val="lightGray"/>
        </w:rPr>
        <w:fldChar w:fldCharType="begin"/>
      </w:r>
      <w:r w:rsidR="00D90CBD" w:rsidRPr="00D90CBD">
        <w:rPr>
          <w:highlight w:val="lightGray"/>
        </w:rPr>
        <w:instrText xml:space="preserve"> SEQ Figure \* ARABIC \s 1 </w:instrText>
      </w:r>
      <w:r w:rsidR="00D90CBD" w:rsidRPr="00D90CBD">
        <w:rPr>
          <w:highlight w:val="lightGray"/>
        </w:rPr>
        <w:fldChar w:fldCharType="separate"/>
      </w:r>
      <w:r w:rsidR="005D5C7C">
        <w:rPr>
          <w:noProof/>
          <w:highlight w:val="lightGray"/>
        </w:rPr>
        <w:t>3</w:t>
      </w:r>
      <w:r w:rsidR="00D90CBD" w:rsidRPr="00D90CBD">
        <w:rPr>
          <w:noProof/>
          <w:highlight w:val="lightGray"/>
        </w:rPr>
        <w:fldChar w:fldCharType="end"/>
      </w:r>
      <w:bookmarkEnd w:id="124"/>
      <w:r w:rsidRPr="00D90CBD">
        <w:rPr>
          <w:highlight w:val="lightGray"/>
        </w:rPr>
        <w:t xml:space="preserve">: Typical Event Day Event-Hour Load Impacts by Industry Group, </w:t>
      </w:r>
      <w:r w:rsidRPr="00D90CBD">
        <w:rPr>
          <w:i/>
          <w:highlight w:val="lightGray"/>
        </w:rPr>
        <w:t>PG&amp;E Large</w:t>
      </w:r>
      <w:bookmarkEnd w:id="125"/>
      <w:bookmarkEnd w:id="126"/>
      <w:r>
        <w:t xml:space="preserve"> </w:t>
      </w:r>
    </w:p>
    <w:p w14:paraId="405BCC69" w14:textId="687B5D18" w:rsidR="00FD4BEF" w:rsidRDefault="002056C9" w:rsidP="002056C9">
      <w:pPr>
        <w:spacing w:after="120"/>
        <w:jc w:val="center"/>
        <w:rPr>
          <w:szCs w:val="32"/>
        </w:rPr>
      </w:pPr>
      <w:r>
        <w:rPr>
          <w:noProof/>
        </w:rPr>
        <w:drawing>
          <wp:inline distT="0" distB="0" distL="0" distR="0" wp14:anchorId="5FAF4931" wp14:editId="557CF641">
            <wp:extent cx="5287010" cy="3927944"/>
            <wp:effectExtent l="0" t="0" r="8890" b="15875"/>
            <wp:docPr id="27" name="Chart 27">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781E5DD" w14:textId="77777777" w:rsidR="00EB4ED3" w:rsidRDefault="00EB4ED3" w:rsidP="00025EDD">
      <w:pPr>
        <w:spacing w:after="120"/>
        <w:rPr>
          <w:szCs w:val="32"/>
        </w:rPr>
      </w:pPr>
    </w:p>
    <w:p w14:paraId="2864384F" w14:textId="5BC22DDF" w:rsidR="00EB4ED3" w:rsidRDefault="00025EDD" w:rsidP="00025EDD">
      <w:pPr>
        <w:spacing w:after="120"/>
        <w:rPr>
          <w:szCs w:val="32"/>
        </w:rPr>
      </w:pPr>
      <w:r>
        <w:rPr>
          <w:szCs w:val="32"/>
        </w:rPr>
        <w:fldChar w:fldCharType="begin"/>
      </w:r>
      <w:r>
        <w:rPr>
          <w:szCs w:val="32"/>
        </w:rPr>
        <w:instrText xml:space="preserve"> REF _Ref506904130 \h </w:instrText>
      </w:r>
      <w:r>
        <w:rPr>
          <w:szCs w:val="32"/>
        </w:rPr>
      </w:r>
      <w:r>
        <w:rPr>
          <w:szCs w:val="32"/>
        </w:rPr>
        <w:fldChar w:fldCharType="separate"/>
      </w:r>
      <w:r w:rsidR="005D5C7C">
        <w:t xml:space="preserve">Table </w:t>
      </w:r>
      <w:r w:rsidR="005D5C7C">
        <w:rPr>
          <w:noProof/>
        </w:rPr>
        <w:t>3</w:t>
      </w:r>
      <w:r w:rsidR="005D5C7C">
        <w:t>.</w:t>
      </w:r>
      <w:r w:rsidR="005D5C7C">
        <w:rPr>
          <w:noProof/>
        </w:rPr>
        <w:t>4</w:t>
      </w:r>
      <w:r>
        <w:rPr>
          <w:szCs w:val="32"/>
        </w:rPr>
        <w:fldChar w:fldCharType="end"/>
      </w:r>
      <w:r>
        <w:rPr>
          <w:szCs w:val="32"/>
        </w:rPr>
        <w:t xml:space="preserve"> and </w:t>
      </w:r>
      <w:r>
        <w:rPr>
          <w:szCs w:val="32"/>
        </w:rPr>
        <w:fldChar w:fldCharType="begin"/>
      </w:r>
      <w:r>
        <w:rPr>
          <w:szCs w:val="32"/>
        </w:rPr>
        <w:instrText xml:space="preserve"> REF _Ref506904156 \h </w:instrText>
      </w:r>
      <w:r>
        <w:rPr>
          <w:szCs w:val="32"/>
        </w:rPr>
      </w:r>
      <w:r>
        <w:rPr>
          <w:szCs w:val="32"/>
        </w:rPr>
        <w:fldChar w:fldCharType="separate"/>
      </w:r>
      <w:r w:rsidR="005D5C7C" w:rsidRPr="00D90CBD">
        <w:rPr>
          <w:highlight w:val="lightGray"/>
        </w:rPr>
        <w:t xml:space="preserve">Figure </w:t>
      </w:r>
      <w:r w:rsidR="005D5C7C">
        <w:rPr>
          <w:noProof/>
          <w:highlight w:val="lightGray"/>
        </w:rPr>
        <w:t>3</w:t>
      </w:r>
      <w:r w:rsidR="005D5C7C" w:rsidRPr="00D90CBD">
        <w:rPr>
          <w:highlight w:val="lightGray"/>
        </w:rPr>
        <w:t>.</w:t>
      </w:r>
      <w:r w:rsidR="005D5C7C">
        <w:rPr>
          <w:noProof/>
          <w:highlight w:val="lightGray"/>
        </w:rPr>
        <w:t>4</w:t>
      </w:r>
      <w:r>
        <w:rPr>
          <w:szCs w:val="32"/>
        </w:rPr>
        <w:fldChar w:fldCharType="end"/>
      </w:r>
      <w:r>
        <w:rPr>
          <w:szCs w:val="32"/>
        </w:rPr>
        <w:t xml:space="preserve"> provide the same summaries as above by LCA. Large customers are concentrated in the Greater Bay Area and outside of any LCA (Other LCA), which have average reference loads of 214 MWh/hour and 134 MWh/hour, respectively. These two LCAs also account for the </w:t>
      </w:r>
      <w:proofErr w:type="gramStart"/>
      <w:r>
        <w:rPr>
          <w:szCs w:val="32"/>
        </w:rPr>
        <w:t>vast majority</w:t>
      </w:r>
      <w:proofErr w:type="gramEnd"/>
      <w:r>
        <w:rPr>
          <w:szCs w:val="32"/>
        </w:rPr>
        <w:t xml:space="preserve"> of the total load impact. The Greater Bay Area achieved a </w:t>
      </w:r>
      <w:r w:rsidR="00391D31">
        <w:rPr>
          <w:szCs w:val="32"/>
        </w:rPr>
        <w:t>7</w:t>
      </w:r>
      <w:r>
        <w:rPr>
          <w:szCs w:val="32"/>
        </w:rPr>
        <w:t xml:space="preserve"> MWh/hour (3 percent) reduction in aggregate loads while the Other LCA realized a 1</w:t>
      </w:r>
      <w:r w:rsidR="00391D31">
        <w:rPr>
          <w:szCs w:val="32"/>
        </w:rPr>
        <w:t>2</w:t>
      </w:r>
      <w:r>
        <w:rPr>
          <w:szCs w:val="32"/>
        </w:rPr>
        <w:t xml:space="preserve"> MWh/hour (</w:t>
      </w:r>
      <w:r w:rsidR="00391D31">
        <w:rPr>
          <w:szCs w:val="32"/>
        </w:rPr>
        <w:t>9</w:t>
      </w:r>
      <w:r>
        <w:rPr>
          <w:szCs w:val="32"/>
        </w:rPr>
        <w:t xml:space="preserve"> percent) load reduction. </w:t>
      </w:r>
      <w:r>
        <w:rPr>
          <w:szCs w:val="32"/>
        </w:rPr>
        <w:fldChar w:fldCharType="begin"/>
      </w:r>
      <w:r>
        <w:rPr>
          <w:szCs w:val="32"/>
        </w:rPr>
        <w:instrText xml:space="preserve"> REF _Ref506904156 \h </w:instrText>
      </w:r>
      <w:r>
        <w:rPr>
          <w:szCs w:val="32"/>
        </w:rPr>
      </w:r>
      <w:r>
        <w:rPr>
          <w:szCs w:val="32"/>
        </w:rPr>
        <w:fldChar w:fldCharType="separate"/>
      </w:r>
      <w:r w:rsidR="005D5C7C" w:rsidRPr="00D90CBD">
        <w:rPr>
          <w:highlight w:val="lightGray"/>
        </w:rPr>
        <w:t xml:space="preserve">Figure </w:t>
      </w:r>
      <w:r w:rsidR="005D5C7C">
        <w:rPr>
          <w:noProof/>
          <w:highlight w:val="lightGray"/>
        </w:rPr>
        <w:t>3</w:t>
      </w:r>
      <w:r w:rsidR="005D5C7C" w:rsidRPr="00D90CBD">
        <w:rPr>
          <w:highlight w:val="lightGray"/>
        </w:rPr>
        <w:t>.</w:t>
      </w:r>
      <w:r w:rsidR="005D5C7C">
        <w:rPr>
          <w:noProof/>
          <w:highlight w:val="lightGray"/>
        </w:rPr>
        <w:t>4</w:t>
      </w:r>
      <w:r>
        <w:rPr>
          <w:szCs w:val="32"/>
        </w:rPr>
        <w:fldChar w:fldCharType="end"/>
      </w:r>
      <w:r>
        <w:rPr>
          <w:szCs w:val="32"/>
        </w:rPr>
        <w:t xml:space="preserve"> reflects the prominence of these two LCAs.</w:t>
      </w:r>
    </w:p>
    <w:p w14:paraId="026D0F0F" w14:textId="6D8AA895" w:rsidR="00025EDD" w:rsidRDefault="00025EDD" w:rsidP="00EB4ED3">
      <w:pPr>
        <w:pStyle w:val="TableCaption"/>
      </w:pPr>
      <w:r>
        <w:rPr>
          <w:szCs w:val="32"/>
        </w:rPr>
        <w:t xml:space="preserve"> </w:t>
      </w:r>
      <w:bookmarkStart w:id="127" w:name="_Ref506904130"/>
      <w:bookmarkStart w:id="128" w:name="_Toc506907161"/>
      <w:bookmarkStart w:id="129" w:name="_Toc509837361"/>
      <w:r>
        <w:t xml:space="preserve">Table </w:t>
      </w:r>
      <w:fldSimple w:instr=" STYLEREF 1 \s ">
        <w:r w:rsidR="005D5C7C">
          <w:rPr>
            <w:noProof/>
          </w:rPr>
          <w:t>3</w:t>
        </w:r>
      </w:fldSimple>
      <w:r w:rsidR="0069714C">
        <w:t>.</w:t>
      </w:r>
      <w:fldSimple w:instr=" SEQ Table \* ARABIC \s 1 ">
        <w:r w:rsidR="005D5C7C">
          <w:rPr>
            <w:noProof/>
          </w:rPr>
          <w:t>4</w:t>
        </w:r>
      </w:fldSimple>
      <w:bookmarkEnd w:id="127"/>
      <w:r>
        <w:t>: Typical Event Day Event-Hour Load Impacts b</w:t>
      </w:r>
      <w:r w:rsidRPr="006C0719">
        <w:t xml:space="preserve">y </w:t>
      </w:r>
      <w:r>
        <w:t>LCA</w:t>
      </w:r>
      <w:r w:rsidRPr="006C0719">
        <w:t xml:space="preserve">, </w:t>
      </w:r>
      <w:r w:rsidRPr="006C0719">
        <w:rPr>
          <w:i/>
        </w:rPr>
        <w:t>PG&amp;E</w:t>
      </w:r>
      <w:r>
        <w:rPr>
          <w:i/>
        </w:rPr>
        <w:t xml:space="preserve"> Large</w:t>
      </w:r>
      <w:bookmarkEnd w:id="128"/>
      <w:bookmarkEnd w:id="129"/>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170"/>
        <w:gridCol w:w="1350"/>
        <w:gridCol w:w="1350"/>
        <w:gridCol w:w="1350"/>
        <w:gridCol w:w="1345"/>
      </w:tblGrid>
      <w:tr w:rsidR="00025EDD" w14:paraId="3B027B59" w14:textId="77777777" w:rsidTr="00AB5B34">
        <w:trPr>
          <w:jc w:val="center"/>
        </w:trPr>
        <w:tc>
          <w:tcPr>
            <w:tcW w:w="2065" w:type="dxa"/>
            <w:tcBorders>
              <w:right w:val="single" w:sz="4" w:space="0" w:color="FFFFFF" w:themeColor="background1"/>
            </w:tcBorders>
            <w:shd w:val="clear" w:color="auto" w:fill="0C2577"/>
            <w:vAlign w:val="center"/>
          </w:tcPr>
          <w:p w14:paraId="2CE75A9D" w14:textId="77777777" w:rsidR="00025EDD" w:rsidRPr="007E0A27" w:rsidRDefault="00025EDD" w:rsidP="00EB4ED3">
            <w:pPr>
              <w:keepNext/>
              <w:keepLines/>
              <w:jc w:val="center"/>
              <w:rPr>
                <w:rFonts w:ascii="Arial" w:hAnsi="Arial" w:cs="Arial"/>
                <w:b/>
                <w:sz w:val="20"/>
                <w:szCs w:val="20"/>
              </w:rPr>
            </w:pPr>
            <w:r>
              <w:rPr>
                <w:rFonts w:ascii="Arial" w:hAnsi="Arial" w:cs="Arial"/>
                <w:b/>
                <w:sz w:val="20"/>
                <w:szCs w:val="20"/>
              </w:rPr>
              <w:t>LCA</w:t>
            </w:r>
          </w:p>
        </w:tc>
        <w:tc>
          <w:tcPr>
            <w:tcW w:w="1170" w:type="dxa"/>
            <w:tcBorders>
              <w:left w:val="single" w:sz="4" w:space="0" w:color="FFFFFF" w:themeColor="background1"/>
              <w:right w:val="single" w:sz="4" w:space="0" w:color="FFFFFF" w:themeColor="background1"/>
            </w:tcBorders>
            <w:shd w:val="clear" w:color="auto" w:fill="0C2577"/>
            <w:vAlign w:val="center"/>
          </w:tcPr>
          <w:p w14:paraId="428BFA4D" w14:textId="77777777" w:rsidR="00025EDD" w:rsidRPr="007E0A27" w:rsidRDefault="00025EDD" w:rsidP="00EB4ED3">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0F0E2E79" w14:textId="6D337B89"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Estimated Reference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2E198AE9" w14:textId="5D101884"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Observed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24F2D3E7" w14:textId="0DD1477F"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Estimated Load Impact (MW</w:t>
            </w:r>
            <w:r w:rsidR="00AB5B34">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12B814CB" w14:textId="77777777" w:rsidR="00025EDD" w:rsidRPr="007E0A27" w:rsidRDefault="00025EDD" w:rsidP="00EB4ED3">
            <w:pPr>
              <w:keepNext/>
              <w:keepLines/>
              <w:jc w:val="center"/>
              <w:rPr>
                <w:rFonts w:ascii="Arial" w:hAnsi="Arial" w:cs="Arial"/>
                <w:b/>
                <w:sz w:val="20"/>
                <w:szCs w:val="20"/>
              </w:rPr>
            </w:pPr>
            <w:r w:rsidRPr="007E0A27">
              <w:rPr>
                <w:rFonts w:ascii="Arial" w:hAnsi="Arial" w:cs="Arial"/>
                <w:b/>
                <w:sz w:val="20"/>
                <w:szCs w:val="20"/>
              </w:rPr>
              <w:t>% LI</w:t>
            </w:r>
          </w:p>
        </w:tc>
      </w:tr>
      <w:tr w:rsidR="00391D31" w14:paraId="0341B316" w14:textId="77777777" w:rsidTr="00B2641D">
        <w:trPr>
          <w:jc w:val="center"/>
        </w:trPr>
        <w:tc>
          <w:tcPr>
            <w:tcW w:w="2065" w:type="dxa"/>
            <w:vAlign w:val="center"/>
          </w:tcPr>
          <w:p w14:paraId="6942E9BC" w14:textId="77777777" w:rsidR="00391D31" w:rsidRPr="007E0A27" w:rsidRDefault="00391D31" w:rsidP="00391D31">
            <w:pPr>
              <w:keepNext/>
              <w:keepLines/>
              <w:rPr>
                <w:rFonts w:ascii="Arial" w:hAnsi="Arial" w:cs="Arial"/>
                <w:sz w:val="20"/>
                <w:szCs w:val="20"/>
              </w:rPr>
            </w:pPr>
            <w:r>
              <w:rPr>
                <w:rFonts w:ascii="Arial" w:hAnsi="Arial" w:cs="Arial"/>
                <w:sz w:val="20"/>
                <w:szCs w:val="20"/>
              </w:rPr>
              <w:t>Greater Bay Area</w:t>
            </w:r>
          </w:p>
        </w:tc>
        <w:tc>
          <w:tcPr>
            <w:tcW w:w="1170" w:type="dxa"/>
            <w:shd w:val="clear" w:color="auto" w:fill="auto"/>
            <w:vAlign w:val="center"/>
          </w:tcPr>
          <w:p w14:paraId="470DBA6C" w14:textId="2399B631" w:rsidR="00391D31" w:rsidRPr="00391D31" w:rsidRDefault="00391D31" w:rsidP="00B2641D">
            <w:pPr>
              <w:jc w:val="center"/>
              <w:rPr>
                <w:rFonts w:ascii="Arial" w:hAnsi="Arial" w:cs="Arial"/>
                <w:sz w:val="20"/>
                <w:szCs w:val="20"/>
              </w:rPr>
            </w:pPr>
            <w:r w:rsidRPr="00B2641D">
              <w:rPr>
                <w:rFonts w:ascii="Arial" w:hAnsi="Arial" w:cs="Arial"/>
                <w:sz w:val="20"/>
                <w:szCs w:val="20"/>
              </w:rPr>
              <w:t>691</w:t>
            </w:r>
          </w:p>
        </w:tc>
        <w:tc>
          <w:tcPr>
            <w:tcW w:w="1350" w:type="dxa"/>
            <w:shd w:val="clear" w:color="auto" w:fill="auto"/>
            <w:vAlign w:val="center"/>
          </w:tcPr>
          <w:p w14:paraId="74B59500" w14:textId="5AEF42AD" w:rsidR="00391D31" w:rsidRPr="00391D31" w:rsidRDefault="00391D31" w:rsidP="00B2641D">
            <w:pPr>
              <w:jc w:val="center"/>
              <w:rPr>
                <w:rFonts w:ascii="Arial" w:hAnsi="Arial" w:cs="Arial"/>
                <w:sz w:val="20"/>
                <w:szCs w:val="20"/>
              </w:rPr>
            </w:pPr>
            <w:r w:rsidRPr="00B2641D">
              <w:rPr>
                <w:rFonts w:ascii="Arial" w:hAnsi="Arial" w:cs="Arial"/>
                <w:sz w:val="20"/>
                <w:szCs w:val="20"/>
              </w:rPr>
              <w:t>214.4</w:t>
            </w:r>
          </w:p>
        </w:tc>
        <w:tc>
          <w:tcPr>
            <w:tcW w:w="1350" w:type="dxa"/>
            <w:shd w:val="clear" w:color="auto" w:fill="auto"/>
            <w:vAlign w:val="center"/>
          </w:tcPr>
          <w:p w14:paraId="7522240C" w14:textId="27DDCEA0" w:rsidR="00391D31" w:rsidRPr="00391D31" w:rsidRDefault="00391D31" w:rsidP="00B2641D">
            <w:pPr>
              <w:jc w:val="center"/>
              <w:rPr>
                <w:rFonts w:ascii="Arial" w:hAnsi="Arial" w:cs="Arial"/>
                <w:sz w:val="20"/>
                <w:szCs w:val="20"/>
              </w:rPr>
            </w:pPr>
            <w:r w:rsidRPr="00B2641D">
              <w:rPr>
                <w:rFonts w:ascii="Arial" w:hAnsi="Arial" w:cs="Arial"/>
                <w:sz w:val="20"/>
                <w:szCs w:val="20"/>
              </w:rPr>
              <w:t>207.8</w:t>
            </w:r>
          </w:p>
        </w:tc>
        <w:tc>
          <w:tcPr>
            <w:tcW w:w="1350" w:type="dxa"/>
            <w:shd w:val="clear" w:color="auto" w:fill="auto"/>
            <w:vAlign w:val="center"/>
          </w:tcPr>
          <w:p w14:paraId="39CDD4B9" w14:textId="034C998F" w:rsidR="00391D31" w:rsidRPr="00391D31" w:rsidRDefault="00391D31" w:rsidP="00B2641D">
            <w:pPr>
              <w:jc w:val="center"/>
              <w:rPr>
                <w:rFonts w:ascii="Arial" w:hAnsi="Arial" w:cs="Arial"/>
                <w:sz w:val="20"/>
                <w:szCs w:val="20"/>
              </w:rPr>
            </w:pPr>
            <w:r w:rsidRPr="00B2641D">
              <w:rPr>
                <w:rFonts w:ascii="Arial" w:hAnsi="Arial" w:cs="Arial"/>
                <w:sz w:val="20"/>
                <w:szCs w:val="20"/>
              </w:rPr>
              <w:t>6.54</w:t>
            </w:r>
          </w:p>
        </w:tc>
        <w:tc>
          <w:tcPr>
            <w:tcW w:w="1345" w:type="dxa"/>
            <w:shd w:val="clear" w:color="auto" w:fill="auto"/>
            <w:vAlign w:val="center"/>
          </w:tcPr>
          <w:p w14:paraId="28669A7F" w14:textId="2CABB6BA" w:rsidR="00391D31" w:rsidRPr="00391D31" w:rsidRDefault="00391D31" w:rsidP="00B2641D">
            <w:pPr>
              <w:jc w:val="center"/>
              <w:rPr>
                <w:rFonts w:ascii="Arial" w:hAnsi="Arial" w:cs="Arial"/>
                <w:sz w:val="20"/>
                <w:szCs w:val="20"/>
              </w:rPr>
            </w:pPr>
            <w:r w:rsidRPr="00B2641D">
              <w:rPr>
                <w:rFonts w:ascii="Arial" w:hAnsi="Arial" w:cs="Arial"/>
                <w:sz w:val="20"/>
                <w:szCs w:val="20"/>
              </w:rPr>
              <w:t>3.1%</w:t>
            </w:r>
          </w:p>
        </w:tc>
      </w:tr>
      <w:tr w:rsidR="00391D31" w14:paraId="65495B5C" w14:textId="77777777" w:rsidTr="00B2641D">
        <w:trPr>
          <w:jc w:val="center"/>
        </w:trPr>
        <w:tc>
          <w:tcPr>
            <w:tcW w:w="2065" w:type="dxa"/>
            <w:vAlign w:val="center"/>
          </w:tcPr>
          <w:p w14:paraId="0A800845" w14:textId="77777777" w:rsidR="00391D31" w:rsidRPr="007E0A27" w:rsidRDefault="00391D31" w:rsidP="00391D31">
            <w:pPr>
              <w:keepNext/>
              <w:keepLines/>
              <w:rPr>
                <w:rFonts w:ascii="Arial" w:hAnsi="Arial" w:cs="Arial"/>
                <w:sz w:val="20"/>
                <w:szCs w:val="20"/>
              </w:rPr>
            </w:pPr>
            <w:r>
              <w:rPr>
                <w:rFonts w:ascii="Arial" w:hAnsi="Arial" w:cs="Arial"/>
                <w:sz w:val="20"/>
                <w:szCs w:val="20"/>
              </w:rPr>
              <w:t>Greater Fresno Area</w:t>
            </w:r>
          </w:p>
        </w:tc>
        <w:tc>
          <w:tcPr>
            <w:tcW w:w="1170" w:type="dxa"/>
            <w:shd w:val="clear" w:color="auto" w:fill="auto"/>
            <w:vAlign w:val="center"/>
          </w:tcPr>
          <w:p w14:paraId="6CC9F829" w14:textId="528DC4C1" w:rsidR="00391D31" w:rsidRPr="00391D31" w:rsidRDefault="00391D31" w:rsidP="00B2641D">
            <w:pPr>
              <w:jc w:val="center"/>
              <w:rPr>
                <w:rFonts w:ascii="Arial" w:hAnsi="Arial" w:cs="Arial"/>
                <w:sz w:val="20"/>
                <w:szCs w:val="20"/>
              </w:rPr>
            </w:pPr>
            <w:r w:rsidRPr="00B2641D">
              <w:rPr>
                <w:rFonts w:ascii="Arial" w:hAnsi="Arial" w:cs="Arial"/>
                <w:sz w:val="20"/>
                <w:szCs w:val="20"/>
              </w:rPr>
              <w:t>289</w:t>
            </w:r>
          </w:p>
        </w:tc>
        <w:tc>
          <w:tcPr>
            <w:tcW w:w="1350" w:type="dxa"/>
            <w:shd w:val="clear" w:color="auto" w:fill="auto"/>
            <w:vAlign w:val="center"/>
          </w:tcPr>
          <w:p w14:paraId="1B423D77" w14:textId="23C20006" w:rsidR="00391D31" w:rsidRPr="00391D31" w:rsidRDefault="00391D31" w:rsidP="00B2641D">
            <w:pPr>
              <w:jc w:val="center"/>
              <w:rPr>
                <w:rFonts w:ascii="Arial" w:hAnsi="Arial" w:cs="Arial"/>
                <w:sz w:val="20"/>
                <w:szCs w:val="20"/>
              </w:rPr>
            </w:pPr>
            <w:r w:rsidRPr="00B2641D">
              <w:rPr>
                <w:rFonts w:ascii="Arial" w:hAnsi="Arial" w:cs="Arial"/>
                <w:sz w:val="20"/>
                <w:szCs w:val="20"/>
              </w:rPr>
              <w:t>63.4</w:t>
            </w:r>
          </w:p>
        </w:tc>
        <w:tc>
          <w:tcPr>
            <w:tcW w:w="1350" w:type="dxa"/>
            <w:shd w:val="clear" w:color="auto" w:fill="auto"/>
            <w:vAlign w:val="center"/>
          </w:tcPr>
          <w:p w14:paraId="573CBD3E" w14:textId="6487ACD6" w:rsidR="00391D31" w:rsidRPr="00391D31" w:rsidRDefault="00391D31" w:rsidP="00B2641D">
            <w:pPr>
              <w:jc w:val="center"/>
              <w:rPr>
                <w:rFonts w:ascii="Arial" w:hAnsi="Arial" w:cs="Arial"/>
                <w:sz w:val="20"/>
                <w:szCs w:val="20"/>
              </w:rPr>
            </w:pPr>
            <w:r w:rsidRPr="00B2641D">
              <w:rPr>
                <w:rFonts w:ascii="Arial" w:hAnsi="Arial" w:cs="Arial"/>
                <w:sz w:val="20"/>
                <w:szCs w:val="20"/>
              </w:rPr>
              <w:t>63.3</w:t>
            </w:r>
          </w:p>
        </w:tc>
        <w:tc>
          <w:tcPr>
            <w:tcW w:w="1350" w:type="dxa"/>
            <w:shd w:val="clear" w:color="auto" w:fill="auto"/>
            <w:vAlign w:val="center"/>
          </w:tcPr>
          <w:p w14:paraId="5034EA82" w14:textId="43FE7299" w:rsidR="00391D31" w:rsidRPr="00391D31" w:rsidRDefault="00391D31" w:rsidP="00B2641D">
            <w:pPr>
              <w:jc w:val="center"/>
              <w:rPr>
                <w:rFonts w:ascii="Arial" w:hAnsi="Arial" w:cs="Arial"/>
                <w:sz w:val="20"/>
                <w:szCs w:val="20"/>
              </w:rPr>
            </w:pPr>
            <w:r w:rsidRPr="00B2641D">
              <w:rPr>
                <w:rFonts w:ascii="Arial" w:hAnsi="Arial" w:cs="Arial"/>
                <w:sz w:val="20"/>
                <w:szCs w:val="20"/>
              </w:rPr>
              <w:t>0.16</w:t>
            </w:r>
          </w:p>
        </w:tc>
        <w:tc>
          <w:tcPr>
            <w:tcW w:w="1345" w:type="dxa"/>
            <w:shd w:val="clear" w:color="auto" w:fill="auto"/>
            <w:vAlign w:val="center"/>
          </w:tcPr>
          <w:p w14:paraId="19156827" w14:textId="137F1DCB" w:rsidR="00391D31" w:rsidRPr="00391D31" w:rsidRDefault="00391D31" w:rsidP="00B2641D">
            <w:pPr>
              <w:jc w:val="center"/>
              <w:rPr>
                <w:rFonts w:ascii="Arial" w:hAnsi="Arial" w:cs="Arial"/>
                <w:sz w:val="20"/>
                <w:szCs w:val="20"/>
              </w:rPr>
            </w:pPr>
            <w:r w:rsidRPr="00B2641D">
              <w:rPr>
                <w:rFonts w:ascii="Arial" w:hAnsi="Arial" w:cs="Arial"/>
                <w:sz w:val="20"/>
                <w:szCs w:val="20"/>
              </w:rPr>
              <w:t>0.2%</w:t>
            </w:r>
          </w:p>
        </w:tc>
      </w:tr>
      <w:tr w:rsidR="00391D31" w14:paraId="3FDED839" w14:textId="77777777" w:rsidTr="002056C9">
        <w:trPr>
          <w:jc w:val="center"/>
        </w:trPr>
        <w:tc>
          <w:tcPr>
            <w:tcW w:w="2065" w:type="dxa"/>
            <w:vAlign w:val="center"/>
          </w:tcPr>
          <w:p w14:paraId="4A42C54B" w14:textId="77777777" w:rsidR="00391D31" w:rsidRPr="007E0A27" w:rsidRDefault="00391D31" w:rsidP="00391D31">
            <w:pPr>
              <w:keepNext/>
              <w:keepLines/>
              <w:rPr>
                <w:rFonts w:ascii="Arial" w:hAnsi="Arial" w:cs="Arial"/>
                <w:sz w:val="20"/>
                <w:szCs w:val="20"/>
              </w:rPr>
            </w:pPr>
            <w:r>
              <w:rPr>
                <w:rFonts w:ascii="Arial" w:hAnsi="Arial" w:cs="Arial"/>
                <w:sz w:val="20"/>
                <w:szCs w:val="20"/>
              </w:rPr>
              <w:t>Humboldt</w:t>
            </w:r>
          </w:p>
        </w:tc>
        <w:tc>
          <w:tcPr>
            <w:tcW w:w="1170" w:type="dxa"/>
            <w:shd w:val="clear" w:color="auto" w:fill="000000" w:themeFill="text1"/>
            <w:vAlign w:val="center"/>
          </w:tcPr>
          <w:p w14:paraId="7E97A529" w14:textId="780C486D" w:rsidR="00391D31" w:rsidRPr="00391D31" w:rsidRDefault="00391D31" w:rsidP="00B2641D">
            <w:pPr>
              <w:jc w:val="center"/>
              <w:rPr>
                <w:rFonts w:ascii="Arial" w:hAnsi="Arial" w:cs="Arial"/>
                <w:sz w:val="20"/>
                <w:szCs w:val="20"/>
              </w:rPr>
            </w:pPr>
          </w:p>
        </w:tc>
        <w:tc>
          <w:tcPr>
            <w:tcW w:w="1350" w:type="dxa"/>
            <w:shd w:val="clear" w:color="auto" w:fill="000000" w:themeFill="text1"/>
            <w:vAlign w:val="center"/>
          </w:tcPr>
          <w:p w14:paraId="1AA80AB6" w14:textId="74F1B727" w:rsidR="00391D31" w:rsidRPr="00391D31" w:rsidRDefault="00391D31" w:rsidP="00B2641D">
            <w:pPr>
              <w:jc w:val="center"/>
              <w:rPr>
                <w:rFonts w:ascii="Arial" w:hAnsi="Arial" w:cs="Arial"/>
                <w:sz w:val="20"/>
                <w:szCs w:val="20"/>
              </w:rPr>
            </w:pPr>
          </w:p>
        </w:tc>
        <w:tc>
          <w:tcPr>
            <w:tcW w:w="1350" w:type="dxa"/>
            <w:shd w:val="clear" w:color="auto" w:fill="000000" w:themeFill="text1"/>
            <w:vAlign w:val="center"/>
          </w:tcPr>
          <w:p w14:paraId="3BAFA27D" w14:textId="4D37E8FB" w:rsidR="00391D31" w:rsidRPr="00391D31" w:rsidRDefault="00391D31" w:rsidP="00B2641D">
            <w:pPr>
              <w:jc w:val="center"/>
              <w:rPr>
                <w:rFonts w:ascii="Arial" w:hAnsi="Arial" w:cs="Arial"/>
                <w:sz w:val="20"/>
                <w:szCs w:val="20"/>
              </w:rPr>
            </w:pPr>
          </w:p>
        </w:tc>
        <w:tc>
          <w:tcPr>
            <w:tcW w:w="1350" w:type="dxa"/>
            <w:shd w:val="clear" w:color="auto" w:fill="000000" w:themeFill="text1"/>
            <w:vAlign w:val="center"/>
          </w:tcPr>
          <w:p w14:paraId="5BF95BFE" w14:textId="36935530" w:rsidR="00391D31" w:rsidRPr="00391D31" w:rsidRDefault="00391D31" w:rsidP="00B2641D">
            <w:pPr>
              <w:jc w:val="center"/>
              <w:rPr>
                <w:rFonts w:ascii="Arial" w:hAnsi="Arial" w:cs="Arial"/>
                <w:sz w:val="20"/>
                <w:szCs w:val="20"/>
              </w:rPr>
            </w:pPr>
          </w:p>
        </w:tc>
        <w:tc>
          <w:tcPr>
            <w:tcW w:w="1345" w:type="dxa"/>
            <w:shd w:val="clear" w:color="auto" w:fill="000000" w:themeFill="text1"/>
            <w:vAlign w:val="center"/>
          </w:tcPr>
          <w:p w14:paraId="084AFD2A" w14:textId="220F0DDB" w:rsidR="00391D31" w:rsidRPr="00391D31" w:rsidRDefault="00391D31" w:rsidP="00B2641D">
            <w:pPr>
              <w:jc w:val="center"/>
              <w:rPr>
                <w:rFonts w:ascii="Arial" w:hAnsi="Arial" w:cs="Arial"/>
                <w:sz w:val="20"/>
                <w:szCs w:val="20"/>
              </w:rPr>
            </w:pPr>
          </w:p>
        </w:tc>
      </w:tr>
      <w:tr w:rsidR="00391D31" w14:paraId="2C5BB0F3" w14:textId="77777777" w:rsidTr="002056C9">
        <w:trPr>
          <w:jc w:val="center"/>
        </w:trPr>
        <w:tc>
          <w:tcPr>
            <w:tcW w:w="2065" w:type="dxa"/>
            <w:vAlign w:val="center"/>
          </w:tcPr>
          <w:p w14:paraId="6319E3BD" w14:textId="77777777" w:rsidR="00391D31" w:rsidRPr="007E0A27" w:rsidRDefault="00391D31" w:rsidP="00391D31">
            <w:pPr>
              <w:keepNext/>
              <w:keepLines/>
              <w:rPr>
                <w:rFonts w:ascii="Arial" w:hAnsi="Arial" w:cs="Arial"/>
                <w:sz w:val="20"/>
                <w:szCs w:val="20"/>
              </w:rPr>
            </w:pPr>
            <w:r>
              <w:rPr>
                <w:rFonts w:ascii="Arial" w:hAnsi="Arial" w:cs="Arial"/>
                <w:sz w:val="20"/>
                <w:szCs w:val="20"/>
              </w:rPr>
              <w:t>Kern</w:t>
            </w:r>
          </w:p>
        </w:tc>
        <w:tc>
          <w:tcPr>
            <w:tcW w:w="1170" w:type="dxa"/>
            <w:shd w:val="clear" w:color="auto" w:fill="000000" w:themeFill="text1"/>
            <w:vAlign w:val="center"/>
          </w:tcPr>
          <w:p w14:paraId="7342AC1D" w14:textId="172BE730" w:rsidR="00391D31" w:rsidRPr="00391D31" w:rsidRDefault="00391D31" w:rsidP="00B2641D">
            <w:pPr>
              <w:jc w:val="center"/>
              <w:rPr>
                <w:rFonts w:ascii="Arial" w:hAnsi="Arial" w:cs="Arial"/>
                <w:sz w:val="20"/>
                <w:szCs w:val="20"/>
              </w:rPr>
            </w:pPr>
          </w:p>
        </w:tc>
        <w:tc>
          <w:tcPr>
            <w:tcW w:w="1350" w:type="dxa"/>
            <w:shd w:val="clear" w:color="auto" w:fill="000000" w:themeFill="text1"/>
            <w:vAlign w:val="center"/>
          </w:tcPr>
          <w:p w14:paraId="5FD1C84C" w14:textId="45277E7A" w:rsidR="00391D31" w:rsidRPr="00391D31" w:rsidRDefault="00391D31" w:rsidP="00B2641D">
            <w:pPr>
              <w:jc w:val="center"/>
              <w:rPr>
                <w:rFonts w:ascii="Arial" w:hAnsi="Arial" w:cs="Arial"/>
                <w:sz w:val="20"/>
                <w:szCs w:val="20"/>
              </w:rPr>
            </w:pPr>
          </w:p>
        </w:tc>
        <w:tc>
          <w:tcPr>
            <w:tcW w:w="1350" w:type="dxa"/>
            <w:shd w:val="clear" w:color="auto" w:fill="000000" w:themeFill="text1"/>
            <w:vAlign w:val="center"/>
          </w:tcPr>
          <w:p w14:paraId="0DFDFDE1" w14:textId="079DA09E" w:rsidR="00391D31" w:rsidRPr="00391D31" w:rsidRDefault="00391D31" w:rsidP="00B2641D">
            <w:pPr>
              <w:jc w:val="center"/>
              <w:rPr>
                <w:rFonts w:ascii="Arial" w:hAnsi="Arial" w:cs="Arial"/>
                <w:sz w:val="20"/>
                <w:szCs w:val="20"/>
              </w:rPr>
            </w:pPr>
          </w:p>
        </w:tc>
        <w:tc>
          <w:tcPr>
            <w:tcW w:w="1350" w:type="dxa"/>
            <w:shd w:val="clear" w:color="auto" w:fill="000000" w:themeFill="text1"/>
            <w:vAlign w:val="center"/>
          </w:tcPr>
          <w:p w14:paraId="64015449" w14:textId="5BCAA15F" w:rsidR="00391D31" w:rsidRPr="00391D31" w:rsidRDefault="00391D31" w:rsidP="00B2641D">
            <w:pPr>
              <w:jc w:val="center"/>
              <w:rPr>
                <w:rFonts w:ascii="Arial" w:hAnsi="Arial" w:cs="Arial"/>
                <w:sz w:val="20"/>
                <w:szCs w:val="20"/>
              </w:rPr>
            </w:pPr>
          </w:p>
        </w:tc>
        <w:tc>
          <w:tcPr>
            <w:tcW w:w="1345" w:type="dxa"/>
            <w:shd w:val="clear" w:color="auto" w:fill="000000" w:themeFill="text1"/>
            <w:vAlign w:val="center"/>
          </w:tcPr>
          <w:p w14:paraId="220B7386" w14:textId="0A438825" w:rsidR="00391D31" w:rsidRPr="00391D31" w:rsidRDefault="00391D31" w:rsidP="00B2641D">
            <w:pPr>
              <w:jc w:val="center"/>
              <w:rPr>
                <w:rFonts w:ascii="Arial" w:hAnsi="Arial" w:cs="Arial"/>
                <w:sz w:val="20"/>
                <w:szCs w:val="20"/>
              </w:rPr>
            </w:pPr>
          </w:p>
        </w:tc>
      </w:tr>
      <w:tr w:rsidR="00391D31" w14:paraId="773DE801" w14:textId="77777777" w:rsidTr="00B2641D">
        <w:trPr>
          <w:jc w:val="center"/>
        </w:trPr>
        <w:tc>
          <w:tcPr>
            <w:tcW w:w="2065" w:type="dxa"/>
            <w:vAlign w:val="center"/>
          </w:tcPr>
          <w:p w14:paraId="54A028E0" w14:textId="77777777" w:rsidR="00391D31" w:rsidRPr="007E0A27" w:rsidRDefault="00391D31" w:rsidP="00391D31">
            <w:pPr>
              <w:keepNext/>
              <w:keepLines/>
              <w:rPr>
                <w:rFonts w:ascii="Arial" w:hAnsi="Arial" w:cs="Arial"/>
                <w:sz w:val="20"/>
                <w:szCs w:val="20"/>
              </w:rPr>
            </w:pPr>
            <w:r>
              <w:rPr>
                <w:rFonts w:ascii="Arial" w:hAnsi="Arial" w:cs="Arial"/>
                <w:sz w:val="20"/>
                <w:szCs w:val="20"/>
              </w:rPr>
              <w:t>Northern Coast</w:t>
            </w:r>
          </w:p>
        </w:tc>
        <w:tc>
          <w:tcPr>
            <w:tcW w:w="1170" w:type="dxa"/>
            <w:shd w:val="clear" w:color="auto" w:fill="auto"/>
            <w:vAlign w:val="center"/>
          </w:tcPr>
          <w:p w14:paraId="1F4D07F9" w14:textId="43CF1906" w:rsidR="00391D31" w:rsidRPr="00391D31" w:rsidRDefault="00391D31" w:rsidP="00B2641D">
            <w:pPr>
              <w:jc w:val="center"/>
              <w:rPr>
                <w:rFonts w:ascii="Arial" w:hAnsi="Arial" w:cs="Arial"/>
                <w:sz w:val="20"/>
                <w:szCs w:val="20"/>
              </w:rPr>
            </w:pPr>
            <w:r w:rsidRPr="00B2641D">
              <w:rPr>
                <w:rFonts w:ascii="Arial" w:hAnsi="Arial" w:cs="Arial"/>
                <w:sz w:val="20"/>
                <w:szCs w:val="20"/>
              </w:rPr>
              <w:t>23</w:t>
            </w:r>
          </w:p>
        </w:tc>
        <w:tc>
          <w:tcPr>
            <w:tcW w:w="1350" w:type="dxa"/>
            <w:shd w:val="clear" w:color="auto" w:fill="auto"/>
            <w:vAlign w:val="center"/>
          </w:tcPr>
          <w:p w14:paraId="693792D4" w14:textId="7AFFCB93" w:rsidR="00391D31" w:rsidRPr="00391D31" w:rsidRDefault="00391D31" w:rsidP="00B2641D">
            <w:pPr>
              <w:jc w:val="center"/>
              <w:rPr>
                <w:rFonts w:ascii="Arial" w:hAnsi="Arial" w:cs="Arial"/>
                <w:sz w:val="20"/>
                <w:szCs w:val="20"/>
              </w:rPr>
            </w:pPr>
            <w:r w:rsidRPr="00B2641D">
              <w:rPr>
                <w:rFonts w:ascii="Arial" w:hAnsi="Arial" w:cs="Arial"/>
                <w:sz w:val="20"/>
                <w:szCs w:val="20"/>
              </w:rPr>
              <w:t>4.3</w:t>
            </w:r>
          </w:p>
        </w:tc>
        <w:tc>
          <w:tcPr>
            <w:tcW w:w="1350" w:type="dxa"/>
            <w:shd w:val="clear" w:color="auto" w:fill="auto"/>
            <w:vAlign w:val="center"/>
          </w:tcPr>
          <w:p w14:paraId="1408B1C6" w14:textId="4231C2C9" w:rsidR="00391D31" w:rsidRPr="00391D31" w:rsidRDefault="00391D31" w:rsidP="00B2641D">
            <w:pPr>
              <w:jc w:val="center"/>
              <w:rPr>
                <w:rFonts w:ascii="Arial" w:hAnsi="Arial" w:cs="Arial"/>
                <w:sz w:val="20"/>
                <w:szCs w:val="20"/>
              </w:rPr>
            </w:pPr>
            <w:r w:rsidRPr="00B2641D">
              <w:rPr>
                <w:rFonts w:ascii="Arial" w:hAnsi="Arial" w:cs="Arial"/>
                <w:sz w:val="20"/>
                <w:szCs w:val="20"/>
              </w:rPr>
              <w:t>4.0</w:t>
            </w:r>
          </w:p>
        </w:tc>
        <w:tc>
          <w:tcPr>
            <w:tcW w:w="1350" w:type="dxa"/>
            <w:shd w:val="clear" w:color="auto" w:fill="auto"/>
            <w:vAlign w:val="center"/>
          </w:tcPr>
          <w:p w14:paraId="2C98BBD8" w14:textId="0A0A6094" w:rsidR="00391D31" w:rsidRPr="00391D31" w:rsidRDefault="00391D31" w:rsidP="00B2641D">
            <w:pPr>
              <w:jc w:val="center"/>
              <w:rPr>
                <w:rFonts w:ascii="Arial" w:hAnsi="Arial" w:cs="Arial"/>
                <w:sz w:val="20"/>
                <w:szCs w:val="20"/>
              </w:rPr>
            </w:pPr>
            <w:r w:rsidRPr="00B2641D">
              <w:rPr>
                <w:rFonts w:ascii="Arial" w:hAnsi="Arial" w:cs="Arial"/>
                <w:sz w:val="20"/>
                <w:szCs w:val="20"/>
              </w:rPr>
              <w:t>0.30</w:t>
            </w:r>
          </w:p>
        </w:tc>
        <w:tc>
          <w:tcPr>
            <w:tcW w:w="1345" w:type="dxa"/>
            <w:shd w:val="clear" w:color="auto" w:fill="auto"/>
            <w:vAlign w:val="center"/>
          </w:tcPr>
          <w:p w14:paraId="7A6B08CF" w14:textId="4B27D326" w:rsidR="00391D31" w:rsidRPr="00391D31" w:rsidRDefault="00391D31" w:rsidP="00B2641D">
            <w:pPr>
              <w:jc w:val="center"/>
              <w:rPr>
                <w:rFonts w:ascii="Arial" w:hAnsi="Arial" w:cs="Arial"/>
                <w:sz w:val="20"/>
                <w:szCs w:val="20"/>
              </w:rPr>
            </w:pPr>
            <w:r w:rsidRPr="00B2641D">
              <w:rPr>
                <w:rFonts w:ascii="Arial" w:hAnsi="Arial" w:cs="Arial"/>
                <w:sz w:val="20"/>
                <w:szCs w:val="20"/>
              </w:rPr>
              <w:t>6.9%</w:t>
            </w:r>
          </w:p>
        </w:tc>
      </w:tr>
      <w:tr w:rsidR="00391D31" w14:paraId="17D9DC12" w14:textId="77777777" w:rsidTr="00B2641D">
        <w:trPr>
          <w:jc w:val="center"/>
        </w:trPr>
        <w:tc>
          <w:tcPr>
            <w:tcW w:w="2065" w:type="dxa"/>
            <w:vAlign w:val="center"/>
          </w:tcPr>
          <w:p w14:paraId="1CFA637B" w14:textId="77777777" w:rsidR="00391D31" w:rsidRPr="007E0A27" w:rsidRDefault="00391D31" w:rsidP="00391D31">
            <w:pPr>
              <w:keepNext/>
              <w:keepLines/>
              <w:rPr>
                <w:rFonts w:ascii="Arial" w:hAnsi="Arial" w:cs="Arial"/>
                <w:sz w:val="20"/>
                <w:szCs w:val="20"/>
              </w:rPr>
            </w:pPr>
            <w:r>
              <w:rPr>
                <w:rFonts w:ascii="Arial" w:hAnsi="Arial" w:cs="Arial"/>
                <w:sz w:val="20"/>
                <w:szCs w:val="20"/>
              </w:rPr>
              <w:t>Other</w:t>
            </w:r>
          </w:p>
        </w:tc>
        <w:tc>
          <w:tcPr>
            <w:tcW w:w="1170" w:type="dxa"/>
            <w:shd w:val="clear" w:color="auto" w:fill="auto"/>
            <w:vAlign w:val="center"/>
          </w:tcPr>
          <w:p w14:paraId="4CC71590" w14:textId="51DC3A49" w:rsidR="00391D31" w:rsidRPr="00391D31" w:rsidRDefault="00391D31" w:rsidP="00B2641D">
            <w:pPr>
              <w:jc w:val="center"/>
              <w:rPr>
                <w:rFonts w:ascii="Arial" w:hAnsi="Arial" w:cs="Arial"/>
                <w:sz w:val="20"/>
                <w:szCs w:val="20"/>
              </w:rPr>
            </w:pPr>
            <w:r w:rsidRPr="00B2641D">
              <w:rPr>
                <w:rFonts w:ascii="Arial" w:hAnsi="Arial" w:cs="Arial"/>
                <w:sz w:val="20"/>
                <w:szCs w:val="20"/>
              </w:rPr>
              <w:t>495</w:t>
            </w:r>
          </w:p>
        </w:tc>
        <w:tc>
          <w:tcPr>
            <w:tcW w:w="1350" w:type="dxa"/>
            <w:shd w:val="clear" w:color="auto" w:fill="auto"/>
            <w:vAlign w:val="center"/>
          </w:tcPr>
          <w:p w14:paraId="0C9311C7" w14:textId="08B4E86D" w:rsidR="00391D31" w:rsidRPr="00391D31" w:rsidRDefault="00391D31" w:rsidP="00B2641D">
            <w:pPr>
              <w:jc w:val="center"/>
              <w:rPr>
                <w:rFonts w:ascii="Arial" w:hAnsi="Arial" w:cs="Arial"/>
                <w:sz w:val="20"/>
                <w:szCs w:val="20"/>
              </w:rPr>
            </w:pPr>
            <w:r w:rsidRPr="00B2641D">
              <w:rPr>
                <w:rFonts w:ascii="Arial" w:hAnsi="Arial" w:cs="Arial"/>
                <w:sz w:val="20"/>
                <w:szCs w:val="20"/>
              </w:rPr>
              <w:t>133.6</w:t>
            </w:r>
          </w:p>
        </w:tc>
        <w:tc>
          <w:tcPr>
            <w:tcW w:w="1350" w:type="dxa"/>
            <w:shd w:val="clear" w:color="auto" w:fill="auto"/>
            <w:vAlign w:val="center"/>
          </w:tcPr>
          <w:p w14:paraId="011DB851" w14:textId="1F455246" w:rsidR="00391D31" w:rsidRPr="00391D31" w:rsidRDefault="00391D31" w:rsidP="00B2641D">
            <w:pPr>
              <w:jc w:val="center"/>
              <w:rPr>
                <w:rFonts w:ascii="Arial" w:hAnsi="Arial" w:cs="Arial"/>
                <w:sz w:val="20"/>
                <w:szCs w:val="20"/>
              </w:rPr>
            </w:pPr>
            <w:r w:rsidRPr="00B2641D">
              <w:rPr>
                <w:rFonts w:ascii="Arial" w:hAnsi="Arial" w:cs="Arial"/>
                <w:sz w:val="20"/>
                <w:szCs w:val="20"/>
              </w:rPr>
              <w:t>122.1</w:t>
            </w:r>
          </w:p>
        </w:tc>
        <w:tc>
          <w:tcPr>
            <w:tcW w:w="1350" w:type="dxa"/>
            <w:shd w:val="clear" w:color="auto" w:fill="auto"/>
            <w:vAlign w:val="center"/>
          </w:tcPr>
          <w:p w14:paraId="6C34B7AA" w14:textId="41721581" w:rsidR="00391D31" w:rsidRPr="00391D31" w:rsidRDefault="00391D31" w:rsidP="00B2641D">
            <w:pPr>
              <w:jc w:val="center"/>
              <w:rPr>
                <w:rFonts w:ascii="Arial" w:hAnsi="Arial" w:cs="Arial"/>
                <w:sz w:val="20"/>
                <w:szCs w:val="20"/>
              </w:rPr>
            </w:pPr>
            <w:r w:rsidRPr="00B2641D">
              <w:rPr>
                <w:rFonts w:ascii="Arial" w:hAnsi="Arial" w:cs="Arial"/>
                <w:sz w:val="20"/>
                <w:szCs w:val="20"/>
              </w:rPr>
              <w:t>11.46</w:t>
            </w:r>
          </w:p>
        </w:tc>
        <w:tc>
          <w:tcPr>
            <w:tcW w:w="1345" w:type="dxa"/>
            <w:shd w:val="clear" w:color="auto" w:fill="auto"/>
            <w:vAlign w:val="center"/>
          </w:tcPr>
          <w:p w14:paraId="3D76F676" w14:textId="50AFDA0B" w:rsidR="00391D31" w:rsidRPr="00391D31" w:rsidRDefault="00391D31" w:rsidP="00B2641D">
            <w:pPr>
              <w:jc w:val="center"/>
              <w:rPr>
                <w:rFonts w:ascii="Arial" w:hAnsi="Arial" w:cs="Arial"/>
                <w:sz w:val="20"/>
                <w:szCs w:val="20"/>
              </w:rPr>
            </w:pPr>
            <w:r w:rsidRPr="00B2641D">
              <w:rPr>
                <w:rFonts w:ascii="Arial" w:hAnsi="Arial" w:cs="Arial"/>
                <w:sz w:val="20"/>
                <w:szCs w:val="20"/>
              </w:rPr>
              <w:t>8.6%</w:t>
            </w:r>
          </w:p>
        </w:tc>
      </w:tr>
      <w:tr w:rsidR="00391D31" w14:paraId="4868AA94" w14:textId="77777777" w:rsidTr="00B2641D">
        <w:trPr>
          <w:jc w:val="center"/>
        </w:trPr>
        <w:tc>
          <w:tcPr>
            <w:tcW w:w="2065" w:type="dxa"/>
            <w:vAlign w:val="center"/>
          </w:tcPr>
          <w:p w14:paraId="1BDC51CB" w14:textId="77777777" w:rsidR="00391D31" w:rsidRPr="007E0A27" w:rsidRDefault="00391D31" w:rsidP="00391D31">
            <w:pPr>
              <w:keepNext/>
              <w:keepLines/>
              <w:rPr>
                <w:rFonts w:ascii="Arial" w:hAnsi="Arial" w:cs="Arial"/>
                <w:sz w:val="20"/>
                <w:szCs w:val="20"/>
              </w:rPr>
            </w:pPr>
            <w:r>
              <w:rPr>
                <w:rFonts w:ascii="Arial" w:hAnsi="Arial" w:cs="Arial"/>
                <w:sz w:val="20"/>
                <w:szCs w:val="20"/>
              </w:rPr>
              <w:t>Sierra</w:t>
            </w:r>
          </w:p>
        </w:tc>
        <w:tc>
          <w:tcPr>
            <w:tcW w:w="1170" w:type="dxa"/>
            <w:shd w:val="clear" w:color="auto" w:fill="auto"/>
            <w:vAlign w:val="center"/>
          </w:tcPr>
          <w:p w14:paraId="6E3A9583" w14:textId="054CAC38" w:rsidR="00391D31" w:rsidRPr="00391D31" w:rsidRDefault="00391D31" w:rsidP="00B2641D">
            <w:pPr>
              <w:jc w:val="center"/>
              <w:rPr>
                <w:rFonts w:ascii="Arial" w:hAnsi="Arial" w:cs="Arial"/>
                <w:sz w:val="20"/>
                <w:szCs w:val="20"/>
              </w:rPr>
            </w:pPr>
            <w:r w:rsidRPr="00B2641D">
              <w:rPr>
                <w:rFonts w:ascii="Arial" w:hAnsi="Arial" w:cs="Arial"/>
                <w:sz w:val="20"/>
                <w:szCs w:val="20"/>
              </w:rPr>
              <w:t>90</w:t>
            </w:r>
          </w:p>
        </w:tc>
        <w:tc>
          <w:tcPr>
            <w:tcW w:w="1350" w:type="dxa"/>
            <w:shd w:val="clear" w:color="auto" w:fill="auto"/>
            <w:vAlign w:val="center"/>
          </w:tcPr>
          <w:p w14:paraId="5886A857" w14:textId="69779A1C" w:rsidR="00391D31" w:rsidRPr="00391D31" w:rsidRDefault="00391D31" w:rsidP="00B2641D">
            <w:pPr>
              <w:jc w:val="center"/>
              <w:rPr>
                <w:rFonts w:ascii="Arial" w:hAnsi="Arial" w:cs="Arial"/>
                <w:sz w:val="20"/>
                <w:szCs w:val="20"/>
              </w:rPr>
            </w:pPr>
            <w:r w:rsidRPr="00B2641D">
              <w:rPr>
                <w:rFonts w:ascii="Arial" w:hAnsi="Arial" w:cs="Arial"/>
                <w:sz w:val="20"/>
                <w:szCs w:val="20"/>
              </w:rPr>
              <w:t>14.9</w:t>
            </w:r>
          </w:p>
        </w:tc>
        <w:tc>
          <w:tcPr>
            <w:tcW w:w="1350" w:type="dxa"/>
            <w:shd w:val="clear" w:color="auto" w:fill="auto"/>
            <w:vAlign w:val="center"/>
          </w:tcPr>
          <w:p w14:paraId="40F50538" w14:textId="2C602619" w:rsidR="00391D31" w:rsidRPr="00391D31" w:rsidRDefault="00391D31" w:rsidP="00B2641D">
            <w:pPr>
              <w:jc w:val="center"/>
              <w:rPr>
                <w:rFonts w:ascii="Arial" w:hAnsi="Arial" w:cs="Arial"/>
                <w:sz w:val="20"/>
                <w:szCs w:val="20"/>
              </w:rPr>
            </w:pPr>
            <w:r w:rsidRPr="00B2641D">
              <w:rPr>
                <w:rFonts w:ascii="Arial" w:hAnsi="Arial" w:cs="Arial"/>
                <w:sz w:val="20"/>
                <w:szCs w:val="20"/>
              </w:rPr>
              <w:t>14.1</w:t>
            </w:r>
          </w:p>
        </w:tc>
        <w:tc>
          <w:tcPr>
            <w:tcW w:w="1350" w:type="dxa"/>
            <w:shd w:val="clear" w:color="auto" w:fill="auto"/>
            <w:vAlign w:val="center"/>
          </w:tcPr>
          <w:p w14:paraId="12D6199A" w14:textId="7FA26592" w:rsidR="00391D31" w:rsidRPr="00391D31" w:rsidRDefault="00391D31" w:rsidP="00B2641D">
            <w:pPr>
              <w:jc w:val="center"/>
              <w:rPr>
                <w:rFonts w:ascii="Arial" w:hAnsi="Arial" w:cs="Arial"/>
                <w:sz w:val="20"/>
                <w:szCs w:val="20"/>
              </w:rPr>
            </w:pPr>
            <w:r w:rsidRPr="00B2641D">
              <w:rPr>
                <w:rFonts w:ascii="Arial" w:hAnsi="Arial" w:cs="Arial"/>
                <w:sz w:val="20"/>
                <w:szCs w:val="20"/>
              </w:rPr>
              <w:t>0.81</w:t>
            </w:r>
          </w:p>
        </w:tc>
        <w:tc>
          <w:tcPr>
            <w:tcW w:w="1345" w:type="dxa"/>
            <w:shd w:val="clear" w:color="auto" w:fill="auto"/>
            <w:vAlign w:val="center"/>
          </w:tcPr>
          <w:p w14:paraId="3AA0DDC5" w14:textId="141F7FBD" w:rsidR="00391D31" w:rsidRPr="00391D31" w:rsidRDefault="00391D31" w:rsidP="00B2641D">
            <w:pPr>
              <w:jc w:val="center"/>
              <w:rPr>
                <w:rFonts w:ascii="Arial" w:hAnsi="Arial" w:cs="Arial"/>
                <w:sz w:val="20"/>
                <w:szCs w:val="20"/>
              </w:rPr>
            </w:pPr>
            <w:r w:rsidRPr="00B2641D">
              <w:rPr>
                <w:rFonts w:ascii="Arial" w:hAnsi="Arial" w:cs="Arial"/>
                <w:sz w:val="20"/>
                <w:szCs w:val="20"/>
              </w:rPr>
              <w:t>5.4%</w:t>
            </w:r>
          </w:p>
        </w:tc>
      </w:tr>
      <w:tr w:rsidR="00391D31" w14:paraId="00865B73" w14:textId="77777777" w:rsidTr="00B2641D">
        <w:trPr>
          <w:jc w:val="center"/>
        </w:trPr>
        <w:tc>
          <w:tcPr>
            <w:tcW w:w="2065" w:type="dxa"/>
            <w:vAlign w:val="center"/>
          </w:tcPr>
          <w:p w14:paraId="7264CBB3" w14:textId="77777777" w:rsidR="00391D31" w:rsidRDefault="00391D31" w:rsidP="00391D31">
            <w:pPr>
              <w:keepNext/>
              <w:keepLines/>
              <w:rPr>
                <w:rFonts w:ascii="Arial" w:hAnsi="Arial" w:cs="Arial"/>
                <w:sz w:val="20"/>
                <w:szCs w:val="20"/>
              </w:rPr>
            </w:pPr>
            <w:r>
              <w:rPr>
                <w:rFonts w:ascii="Arial" w:hAnsi="Arial" w:cs="Arial"/>
                <w:sz w:val="20"/>
                <w:szCs w:val="20"/>
              </w:rPr>
              <w:t>Stockton</w:t>
            </w:r>
          </w:p>
        </w:tc>
        <w:tc>
          <w:tcPr>
            <w:tcW w:w="1170" w:type="dxa"/>
            <w:shd w:val="clear" w:color="auto" w:fill="auto"/>
            <w:vAlign w:val="center"/>
          </w:tcPr>
          <w:p w14:paraId="1FE78D5D" w14:textId="17742624" w:rsidR="00391D31" w:rsidRPr="00391D31" w:rsidRDefault="00391D31" w:rsidP="00B2641D">
            <w:pPr>
              <w:jc w:val="center"/>
              <w:rPr>
                <w:rFonts w:ascii="Arial" w:hAnsi="Arial" w:cs="Arial"/>
                <w:sz w:val="20"/>
                <w:szCs w:val="20"/>
              </w:rPr>
            </w:pPr>
            <w:r w:rsidRPr="00B2641D">
              <w:rPr>
                <w:rFonts w:ascii="Arial" w:hAnsi="Arial" w:cs="Arial"/>
                <w:sz w:val="20"/>
                <w:szCs w:val="20"/>
              </w:rPr>
              <w:t>151</w:t>
            </w:r>
          </w:p>
        </w:tc>
        <w:tc>
          <w:tcPr>
            <w:tcW w:w="1350" w:type="dxa"/>
            <w:shd w:val="clear" w:color="auto" w:fill="auto"/>
            <w:vAlign w:val="center"/>
          </w:tcPr>
          <w:p w14:paraId="1126DBAA" w14:textId="5DE7FA8F" w:rsidR="00391D31" w:rsidRPr="00391D31" w:rsidRDefault="00391D31" w:rsidP="00B2641D">
            <w:pPr>
              <w:jc w:val="center"/>
              <w:rPr>
                <w:rFonts w:ascii="Arial" w:hAnsi="Arial" w:cs="Arial"/>
                <w:sz w:val="20"/>
                <w:szCs w:val="20"/>
              </w:rPr>
            </w:pPr>
            <w:r w:rsidRPr="00B2641D">
              <w:rPr>
                <w:rFonts w:ascii="Arial" w:hAnsi="Arial" w:cs="Arial"/>
                <w:sz w:val="20"/>
                <w:szCs w:val="20"/>
              </w:rPr>
              <w:t>35.2</w:t>
            </w:r>
          </w:p>
        </w:tc>
        <w:tc>
          <w:tcPr>
            <w:tcW w:w="1350" w:type="dxa"/>
            <w:shd w:val="clear" w:color="auto" w:fill="auto"/>
            <w:vAlign w:val="center"/>
          </w:tcPr>
          <w:p w14:paraId="1AC5C90D" w14:textId="278424BB" w:rsidR="00391D31" w:rsidRPr="00391D31" w:rsidRDefault="00391D31" w:rsidP="00B2641D">
            <w:pPr>
              <w:jc w:val="center"/>
              <w:rPr>
                <w:rFonts w:ascii="Arial" w:hAnsi="Arial" w:cs="Arial"/>
                <w:sz w:val="20"/>
                <w:szCs w:val="20"/>
              </w:rPr>
            </w:pPr>
            <w:r w:rsidRPr="00B2641D">
              <w:rPr>
                <w:rFonts w:ascii="Arial" w:hAnsi="Arial" w:cs="Arial"/>
                <w:sz w:val="20"/>
                <w:szCs w:val="20"/>
              </w:rPr>
              <w:t>33.2</w:t>
            </w:r>
          </w:p>
        </w:tc>
        <w:tc>
          <w:tcPr>
            <w:tcW w:w="1350" w:type="dxa"/>
            <w:shd w:val="clear" w:color="auto" w:fill="auto"/>
            <w:vAlign w:val="center"/>
          </w:tcPr>
          <w:p w14:paraId="30BEA55B" w14:textId="1381D92D" w:rsidR="00391D31" w:rsidRPr="00391D31" w:rsidRDefault="00391D31" w:rsidP="00B2641D">
            <w:pPr>
              <w:jc w:val="center"/>
              <w:rPr>
                <w:rFonts w:ascii="Arial" w:hAnsi="Arial" w:cs="Arial"/>
                <w:sz w:val="20"/>
                <w:szCs w:val="20"/>
              </w:rPr>
            </w:pPr>
            <w:r w:rsidRPr="00B2641D">
              <w:rPr>
                <w:rFonts w:ascii="Arial" w:hAnsi="Arial" w:cs="Arial"/>
                <w:sz w:val="20"/>
                <w:szCs w:val="20"/>
              </w:rPr>
              <w:t>1.96</w:t>
            </w:r>
          </w:p>
        </w:tc>
        <w:tc>
          <w:tcPr>
            <w:tcW w:w="1345" w:type="dxa"/>
            <w:shd w:val="clear" w:color="auto" w:fill="auto"/>
            <w:vAlign w:val="center"/>
          </w:tcPr>
          <w:p w14:paraId="1CDA5F4A" w14:textId="77755282" w:rsidR="00391D31" w:rsidRPr="00391D31" w:rsidRDefault="00391D31" w:rsidP="00B2641D">
            <w:pPr>
              <w:jc w:val="center"/>
              <w:rPr>
                <w:rFonts w:ascii="Arial" w:hAnsi="Arial" w:cs="Arial"/>
                <w:sz w:val="20"/>
                <w:szCs w:val="20"/>
              </w:rPr>
            </w:pPr>
            <w:r w:rsidRPr="00B2641D">
              <w:rPr>
                <w:rFonts w:ascii="Arial" w:hAnsi="Arial" w:cs="Arial"/>
                <w:sz w:val="20"/>
                <w:szCs w:val="20"/>
              </w:rPr>
              <w:t>5.6%</w:t>
            </w:r>
          </w:p>
        </w:tc>
      </w:tr>
    </w:tbl>
    <w:p w14:paraId="3D6EFBC8" w14:textId="355174D1" w:rsidR="00025EDD" w:rsidRDefault="00F7523F" w:rsidP="00025EDD">
      <w:pPr>
        <w:spacing w:after="120"/>
        <w:rPr>
          <w:szCs w:val="32"/>
        </w:rPr>
      </w:pPr>
      <w:r>
        <w:rPr>
          <w:noProof/>
          <w:szCs w:val="32"/>
        </w:rPr>
        <mc:AlternateContent>
          <mc:Choice Requires="wps">
            <w:drawing>
              <wp:anchor distT="0" distB="0" distL="114300" distR="114300" simplePos="0" relativeHeight="251664384" behindDoc="0" locked="0" layoutInCell="1" allowOverlap="1" wp14:anchorId="10FB50D1" wp14:editId="3C50C8EA">
                <wp:simplePos x="0" y="0"/>
                <wp:positionH relativeFrom="margin">
                  <wp:align>right</wp:align>
                </wp:positionH>
                <wp:positionV relativeFrom="paragraph">
                  <wp:posOffset>485029</wp:posOffset>
                </wp:positionV>
                <wp:extent cx="5422789" cy="397566"/>
                <wp:effectExtent l="0" t="0" r="26035" b="21590"/>
                <wp:wrapNone/>
                <wp:docPr id="11" name="Text Box 11"/>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42FD3123"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FB50D1" id="Text Box 11" o:spid="_x0000_s1029" type="#_x0000_t202" style="position:absolute;margin-left:375.8pt;margin-top:38.2pt;width:427pt;height:31.3pt;z-index:2516643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" fillcolor="white [3201]" strokeweight=".5pt">
                <v:textbox>
                  <w:txbxContent>
                    <w:p w14:paraId="42FD3123"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65BDF98D" w14:textId="2FA98CBC" w:rsidR="00025EDD" w:rsidRDefault="00025EDD" w:rsidP="00025EDD">
      <w:pPr>
        <w:pStyle w:val="FigureCaption"/>
      </w:pPr>
      <w:bookmarkStart w:id="130" w:name="_Ref506904156"/>
      <w:bookmarkStart w:id="131" w:name="_Toc506907189"/>
      <w:bookmarkStart w:id="132" w:name="_Toc509837451"/>
      <w:r w:rsidRPr="00D90CBD">
        <w:rPr>
          <w:highlight w:val="lightGray"/>
        </w:rPr>
        <w:lastRenderedPageBreak/>
        <w:t xml:space="preserve">Figure </w:t>
      </w:r>
      <w:r w:rsidR="00D90CBD" w:rsidRPr="00D90CBD">
        <w:rPr>
          <w:highlight w:val="lightGray"/>
        </w:rPr>
        <w:fldChar w:fldCharType="begin"/>
      </w:r>
      <w:r w:rsidR="00D90CBD" w:rsidRPr="00D90CBD">
        <w:rPr>
          <w:highlight w:val="lightGray"/>
        </w:rPr>
        <w:instrText xml:space="preserve"> STYLEREF 1 \s </w:instrText>
      </w:r>
      <w:r w:rsidR="00D90CBD" w:rsidRPr="00D90CBD">
        <w:rPr>
          <w:highlight w:val="lightGray"/>
        </w:rPr>
        <w:fldChar w:fldCharType="separate"/>
      </w:r>
      <w:r w:rsidR="005D5C7C">
        <w:rPr>
          <w:noProof/>
          <w:highlight w:val="lightGray"/>
        </w:rPr>
        <w:t>3</w:t>
      </w:r>
      <w:r w:rsidR="00D90CBD" w:rsidRPr="00D90CBD">
        <w:rPr>
          <w:noProof/>
          <w:highlight w:val="lightGray"/>
        </w:rPr>
        <w:fldChar w:fldCharType="end"/>
      </w:r>
      <w:r w:rsidR="00A11E78" w:rsidRPr="00D90CBD">
        <w:rPr>
          <w:highlight w:val="lightGray"/>
        </w:rPr>
        <w:t>.</w:t>
      </w:r>
      <w:r w:rsidR="00D90CBD" w:rsidRPr="00D90CBD">
        <w:rPr>
          <w:highlight w:val="lightGray"/>
        </w:rPr>
        <w:fldChar w:fldCharType="begin"/>
      </w:r>
      <w:r w:rsidR="00D90CBD" w:rsidRPr="00D90CBD">
        <w:rPr>
          <w:highlight w:val="lightGray"/>
        </w:rPr>
        <w:instrText xml:space="preserve"> SEQ Figure \* ARABIC \s 1 </w:instrText>
      </w:r>
      <w:r w:rsidR="00D90CBD" w:rsidRPr="00D90CBD">
        <w:rPr>
          <w:highlight w:val="lightGray"/>
        </w:rPr>
        <w:fldChar w:fldCharType="separate"/>
      </w:r>
      <w:r w:rsidR="005D5C7C">
        <w:rPr>
          <w:noProof/>
          <w:highlight w:val="lightGray"/>
        </w:rPr>
        <w:t>4</w:t>
      </w:r>
      <w:r w:rsidR="00D90CBD" w:rsidRPr="00D90CBD">
        <w:rPr>
          <w:noProof/>
          <w:highlight w:val="lightGray"/>
        </w:rPr>
        <w:fldChar w:fldCharType="end"/>
      </w:r>
      <w:bookmarkEnd w:id="130"/>
      <w:r w:rsidRPr="00D90CBD">
        <w:rPr>
          <w:highlight w:val="lightGray"/>
        </w:rPr>
        <w:t xml:space="preserve">: Typical Event Day Event-Hour Load Impacts by LCA, </w:t>
      </w:r>
      <w:r w:rsidRPr="00D90CBD">
        <w:rPr>
          <w:i/>
          <w:highlight w:val="lightGray"/>
        </w:rPr>
        <w:t>PG&amp;E Large</w:t>
      </w:r>
      <w:bookmarkEnd w:id="131"/>
      <w:bookmarkEnd w:id="132"/>
    </w:p>
    <w:p w14:paraId="5E000AB8" w14:textId="5C5EB028" w:rsidR="00FD4BEF" w:rsidRDefault="002056C9" w:rsidP="002056C9">
      <w:pPr>
        <w:spacing w:after="120"/>
        <w:jc w:val="center"/>
        <w:rPr>
          <w:szCs w:val="32"/>
        </w:rPr>
      </w:pPr>
      <w:r>
        <w:rPr>
          <w:noProof/>
        </w:rPr>
        <w:drawing>
          <wp:inline distT="0" distB="0" distL="0" distR="0" wp14:anchorId="3798D4E2" wp14:editId="6AA54A1E">
            <wp:extent cx="5120640" cy="3951798"/>
            <wp:effectExtent l="0" t="0" r="3810" b="10795"/>
            <wp:docPr id="93" name="Chart 93">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06F7064" w14:textId="77777777" w:rsidR="00025EDD" w:rsidRDefault="00025EDD" w:rsidP="00025EDD">
      <w:pPr>
        <w:spacing w:after="120"/>
        <w:rPr>
          <w:szCs w:val="32"/>
        </w:rPr>
      </w:pPr>
    </w:p>
    <w:p w14:paraId="366E6096" w14:textId="7C9BE5E5" w:rsidR="006D207D" w:rsidRDefault="001C1578" w:rsidP="003A20DB">
      <w:pPr>
        <w:pStyle w:val="Heading3"/>
      </w:pPr>
      <w:bookmarkStart w:id="133" w:name="_Toc509837313"/>
      <w:r>
        <w:t>SMB</w:t>
      </w:r>
      <w:r w:rsidR="006D207D">
        <w:t xml:space="preserve"> Customers</w:t>
      </w:r>
      <w:bookmarkEnd w:id="133"/>
    </w:p>
    <w:p w14:paraId="0309C640" w14:textId="44679A65" w:rsidR="00BD57B0" w:rsidRDefault="00BD57B0" w:rsidP="00BD57B0">
      <w:pPr>
        <w:spacing w:after="120"/>
        <w:rPr>
          <w:szCs w:val="32"/>
        </w:rPr>
      </w:pPr>
      <w:r>
        <w:rPr>
          <w:szCs w:val="32"/>
        </w:rPr>
        <w:t>This section summarizes results for PG&amp;E’s small and medium business (SMB) customers for the average event hour for each event day as well as for the average event day.</w:t>
      </w:r>
      <w:r>
        <w:rPr>
          <w:rStyle w:val="FootnoteReference"/>
          <w:szCs w:val="32"/>
        </w:rPr>
        <w:footnoteReference w:id="10"/>
      </w:r>
      <w:r>
        <w:rPr>
          <w:szCs w:val="32"/>
        </w:rPr>
        <w:t xml:space="preserve"> Results for each hour for the typical event day are presented separately for small and medium customers. Finally, we examine how estimated load impacts are distributed across industry groups and LCAs separately for small and medium customers.  </w:t>
      </w:r>
    </w:p>
    <w:p w14:paraId="3F55CFE2" w14:textId="2852F659" w:rsidR="006A4488" w:rsidRDefault="00F7523F" w:rsidP="00BD57B0">
      <w:pPr>
        <w:spacing w:after="120"/>
        <w:rPr>
          <w:szCs w:val="32"/>
        </w:rPr>
      </w:pPr>
      <w:r>
        <w:rPr>
          <w:noProof/>
          <w:szCs w:val="32"/>
        </w:rPr>
        <mc:AlternateContent>
          <mc:Choice Requires="wps">
            <w:drawing>
              <wp:anchor distT="0" distB="0" distL="114300" distR="114300" simplePos="0" relativeHeight="251666432" behindDoc="0" locked="0" layoutInCell="1" allowOverlap="1" wp14:anchorId="37CF326B" wp14:editId="1671EB6D">
                <wp:simplePos x="0" y="0"/>
                <wp:positionH relativeFrom="margin">
                  <wp:align>right</wp:align>
                </wp:positionH>
                <wp:positionV relativeFrom="paragraph">
                  <wp:posOffset>2621666</wp:posOffset>
                </wp:positionV>
                <wp:extent cx="5422789" cy="397566"/>
                <wp:effectExtent l="0" t="0" r="26035" b="21590"/>
                <wp:wrapNone/>
                <wp:docPr id="18" name="Text Box 18"/>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189B55A8"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CF326B" id="Text Box 18" o:spid="_x0000_s1030" type="#_x0000_t202" style="position:absolute;margin-left:375.8pt;margin-top:206.45pt;width:427pt;height:31.3pt;z-index:2516664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" fillcolor="white [3201]" strokeweight=".5pt">
                <v:textbox>
                  <w:txbxContent>
                    <w:p w14:paraId="189B55A8"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BD57B0">
        <w:rPr>
          <w:szCs w:val="32"/>
        </w:rPr>
        <w:t xml:space="preserve">The </w:t>
      </w:r>
      <w:r w:rsidR="00BD57B0" w:rsidRPr="006A4925">
        <w:rPr>
          <w:i/>
          <w:szCs w:val="32"/>
        </w:rPr>
        <w:t>ex-post</w:t>
      </w:r>
      <w:r w:rsidR="00BD57B0">
        <w:rPr>
          <w:szCs w:val="32"/>
        </w:rPr>
        <w:t xml:space="preserve"> load impacts for PG&amp;E’s SMB PDP customers are summarized for all 15 events in </w:t>
      </w:r>
      <w:r w:rsidR="00BD57B0">
        <w:rPr>
          <w:szCs w:val="32"/>
        </w:rPr>
        <w:fldChar w:fldCharType="begin"/>
      </w:r>
      <w:r w:rsidR="00BD57B0">
        <w:rPr>
          <w:szCs w:val="32"/>
        </w:rPr>
        <w:instrText xml:space="preserve"> REF _Ref506910369 \h </w:instrText>
      </w:r>
      <w:r w:rsidR="00BD57B0">
        <w:rPr>
          <w:szCs w:val="32"/>
        </w:rPr>
      </w:r>
      <w:r w:rsidR="00BD57B0">
        <w:rPr>
          <w:szCs w:val="32"/>
        </w:rPr>
        <w:fldChar w:fldCharType="separate"/>
      </w:r>
      <w:r w:rsidR="005D5C7C">
        <w:t xml:space="preserve">Figure </w:t>
      </w:r>
      <w:r w:rsidR="005D5C7C">
        <w:rPr>
          <w:noProof/>
        </w:rPr>
        <w:t>3</w:t>
      </w:r>
      <w:r w:rsidR="005D5C7C">
        <w:t>.</w:t>
      </w:r>
      <w:r w:rsidR="005D5C7C">
        <w:rPr>
          <w:noProof/>
        </w:rPr>
        <w:t>5</w:t>
      </w:r>
      <w:r w:rsidR="00BD57B0">
        <w:rPr>
          <w:szCs w:val="32"/>
        </w:rPr>
        <w:fldChar w:fldCharType="end"/>
      </w:r>
      <w:r w:rsidR="00BD57B0">
        <w:rPr>
          <w:szCs w:val="32"/>
        </w:rPr>
        <w:t xml:space="preserve">. Although there are statistically significant load impacts on each event day, there is much more variation in the load impact across event days for SMB customers than for large customers. The aggregate load impacts range from 4 MWh/hour to 30 MWh/hour. The standard deviation of the load impact across event days was 9 MWh/hour, which is somewhat high relative to the average load impact of 15 MWh/hour. SMB customers are </w:t>
      </w:r>
      <w:proofErr w:type="gramStart"/>
      <w:r w:rsidR="00BD57B0">
        <w:rPr>
          <w:szCs w:val="32"/>
        </w:rPr>
        <w:t>similar to</w:t>
      </w:r>
      <w:proofErr w:type="gramEnd"/>
      <w:r w:rsidR="00BD57B0">
        <w:rPr>
          <w:szCs w:val="32"/>
        </w:rPr>
        <w:t xml:space="preserve"> large customers in having a low load impact (especially given the hot temperatures) for the only weekend event (September </w:t>
      </w:r>
      <w:r w:rsidR="00BD57B0">
        <w:rPr>
          <w:szCs w:val="32"/>
        </w:rPr>
        <w:lastRenderedPageBreak/>
        <w:t>2</w:t>
      </w:r>
      <w:r w:rsidR="00BD57B0" w:rsidRPr="006A4925">
        <w:rPr>
          <w:szCs w:val="32"/>
          <w:vertAlign w:val="superscript"/>
        </w:rPr>
        <w:t>nd</w:t>
      </w:r>
      <w:r w:rsidR="00BD57B0">
        <w:rPr>
          <w:szCs w:val="32"/>
        </w:rPr>
        <w:t xml:space="preserve">) </w:t>
      </w:r>
      <w:r w:rsidR="00890C77">
        <w:rPr>
          <w:szCs w:val="32"/>
        </w:rPr>
        <w:t>despite overall</w:t>
      </w:r>
      <w:r w:rsidR="00BD57B0">
        <w:rPr>
          <w:szCs w:val="32"/>
        </w:rPr>
        <w:t xml:space="preserve"> having a positive relationship between the magnitude of the load impact and the average temperature.</w:t>
      </w:r>
    </w:p>
    <w:p w14:paraId="709C58D6" w14:textId="77777777" w:rsidR="00D062F5" w:rsidRDefault="00D062F5" w:rsidP="006A4488">
      <w:pPr>
        <w:spacing w:after="120"/>
        <w:rPr>
          <w:szCs w:val="32"/>
        </w:rPr>
      </w:pPr>
    </w:p>
    <w:p w14:paraId="1F06F36F" w14:textId="3C2E5920" w:rsidR="00BF6234" w:rsidRDefault="00BF6234" w:rsidP="00BF6234">
      <w:pPr>
        <w:pStyle w:val="FigureCaption"/>
        <w:rPr>
          <w:i/>
        </w:rPr>
      </w:pPr>
      <w:bookmarkStart w:id="134" w:name="_Ref506910369"/>
      <w:bookmarkStart w:id="135" w:name="_Toc509837452"/>
      <w:r>
        <w:t xml:space="preserve">Figure </w:t>
      </w:r>
      <w:fldSimple w:instr=" STYLEREF 1 \s ">
        <w:r w:rsidR="005D5C7C">
          <w:rPr>
            <w:noProof/>
          </w:rPr>
          <w:t>3</w:t>
        </w:r>
      </w:fldSimple>
      <w:r w:rsidR="00A11E78">
        <w:t>.</w:t>
      </w:r>
      <w:fldSimple w:instr=" SEQ Figure \* ARABIC \s 1 ">
        <w:r w:rsidR="005D5C7C">
          <w:rPr>
            <w:noProof/>
          </w:rPr>
          <w:t>5</w:t>
        </w:r>
      </w:fldSimple>
      <w:bookmarkEnd w:id="134"/>
      <w:r>
        <w:t xml:space="preserve">: Average Event-Hour Load Impacts by Event, </w:t>
      </w:r>
      <w:r>
        <w:rPr>
          <w:i/>
        </w:rPr>
        <w:t>PG&amp;E SMB</w:t>
      </w:r>
      <w:bookmarkEnd w:id="135"/>
    </w:p>
    <w:p w14:paraId="3EE47EB8" w14:textId="65B3CCC8" w:rsidR="00D062F5" w:rsidRDefault="00FD4BEF" w:rsidP="001C1578">
      <w:pPr>
        <w:spacing w:after="120"/>
        <w:rPr>
          <w:szCs w:val="32"/>
        </w:rPr>
      </w:pPr>
      <w:r>
        <w:rPr>
          <w:noProof/>
        </w:rPr>
        <w:drawing>
          <wp:inline distT="0" distB="0" distL="0" distR="0" wp14:anchorId="3DC3F5B0" wp14:editId="55EFE0CE">
            <wp:extent cx="5486400" cy="3983990"/>
            <wp:effectExtent l="0" t="0" r="0" b="0"/>
            <wp:docPr id="84" name="Chart 84">
              <a:extLst xmlns:a="http://schemas.openxmlformats.org/drawingml/2006/main">
                <a:ext uri="{FF2B5EF4-FFF2-40B4-BE49-F238E27FC236}">
                  <a16:creationId xmlns:a16="http://schemas.microsoft.com/office/drawing/2014/main" id="{26C34036-AFBC-4CBE-BCBB-C68DB2421D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11174A9F" w14:textId="77777777" w:rsidR="00391D31" w:rsidRDefault="00391D31" w:rsidP="001C1578">
      <w:pPr>
        <w:spacing w:after="120"/>
        <w:rPr>
          <w:szCs w:val="32"/>
        </w:rPr>
      </w:pPr>
    </w:p>
    <w:p w14:paraId="7BFE85A4" w14:textId="695F8B0C" w:rsidR="00BD57B0" w:rsidRDefault="00BD57B0" w:rsidP="00BD57B0">
      <w:pPr>
        <w:spacing w:after="120"/>
        <w:rPr>
          <w:szCs w:val="32"/>
        </w:rPr>
      </w:pPr>
      <w:r>
        <w:rPr>
          <w:szCs w:val="32"/>
        </w:rPr>
        <w:fldChar w:fldCharType="begin"/>
      </w:r>
      <w:r>
        <w:rPr>
          <w:szCs w:val="32"/>
        </w:rPr>
        <w:instrText xml:space="preserve"> REF _Ref506911226 \h </w:instrText>
      </w:r>
      <w:r>
        <w:rPr>
          <w:szCs w:val="32"/>
        </w:rPr>
      </w:r>
      <w:r>
        <w:rPr>
          <w:szCs w:val="32"/>
        </w:rPr>
        <w:fldChar w:fldCharType="separate"/>
      </w:r>
      <w:r w:rsidR="005D5C7C">
        <w:t xml:space="preserve">Table </w:t>
      </w:r>
      <w:r w:rsidR="005D5C7C">
        <w:rPr>
          <w:noProof/>
        </w:rPr>
        <w:t>3</w:t>
      </w:r>
      <w:r w:rsidR="005D5C7C">
        <w:t>.</w:t>
      </w:r>
      <w:r w:rsidR="005D5C7C">
        <w:rPr>
          <w:noProof/>
        </w:rPr>
        <w:t>5</w:t>
      </w:r>
      <w:r>
        <w:rPr>
          <w:szCs w:val="32"/>
        </w:rPr>
        <w:fldChar w:fldCharType="end"/>
      </w:r>
      <w:r>
        <w:rPr>
          <w:szCs w:val="32"/>
        </w:rPr>
        <w:t xml:space="preserve"> summarizes enrollments, estimated load impacts, and reference loads for SMB customers on each event day as well as for the average event. SMB enrollment in PDP decreased over the season by more than 4,000 customers. SMB customers also had much smaller percentage load reductions (ranging from 0.3 to 2.1 percent) than the large customers (which ranged from 2.2 to 5.9 percent). </w:t>
      </w:r>
    </w:p>
    <w:p w14:paraId="6AB6C06D" w14:textId="77777777" w:rsidR="00D84AB5" w:rsidRDefault="00D84AB5" w:rsidP="00BD57B0">
      <w:pPr>
        <w:spacing w:after="120"/>
        <w:rPr>
          <w:szCs w:val="32"/>
        </w:rPr>
      </w:pPr>
    </w:p>
    <w:p w14:paraId="4E1650FF" w14:textId="55BD0509" w:rsidR="00D84AB5" w:rsidRPr="00D84AB5" w:rsidRDefault="00D84AB5" w:rsidP="009577F5">
      <w:pPr>
        <w:spacing w:after="120"/>
        <w:rPr>
          <w:i/>
          <w:szCs w:val="32"/>
        </w:rPr>
      </w:pPr>
      <w:r w:rsidRPr="00D84AB5">
        <w:rPr>
          <w:i/>
          <w:szCs w:val="32"/>
        </w:rPr>
        <w:t>Investigation of SMB Load Impact Variability</w:t>
      </w:r>
    </w:p>
    <w:p w14:paraId="35623EF8" w14:textId="5D4F810A" w:rsidR="009577F5" w:rsidRDefault="009577F5" w:rsidP="009577F5">
      <w:pPr>
        <w:spacing w:after="120"/>
        <w:rPr>
          <w:szCs w:val="32"/>
        </w:rPr>
      </w:pPr>
      <w:proofErr w:type="gramStart"/>
      <w:r>
        <w:rPr>
          <w:szCs w:val="32"/>
        </w:rPr>
        <w:t>In order to</w:t>
      </w:r>
      <w:proofErr w:type="gramEnd"/>
      <w:r>
        <w:rPr>
          <w:szCs w:val="32"/>
        </w:rPr>
        <w:t xml:space="preserve"> better understand the variability of SMB load impacts, we conducted a detailed analysis of one customer sub-group: medium-sized customers in the offices, hotels, health, and services industry group, of which there are approximately 17,700. This group was selected for three reasons: we expect their loads to predictable relative to other industry groups; the estimated load impact was highly variable across event days; and some of the load impact differences could not be explained by temperatures </w:t>
      </w:r>
      <w:r>
        <w:rPr>
          <w:szCs w:val="32"/>
        </w:rPr>
        <w:lastRenderedPageBreak/>
        <w:t xml:space="preserve">or the day of week. The average event-hour load impact for this group was 1.9 MWh/hour, while the standard deviation across event days was 2.4 MWh/hour. </w:t>
      </w:r>
    </w:p>
    <w:p w14:paraId="15167FAC" w14:textId="58D02DF3" w:rsidR="009577F5" w:rsidRDefault="009577F5" w:rsidP="009577F5">
      <w:pPr>
        <w:spacing w:after="120"/>
        <w:rPr>
          <w:szCs w:val="32"/>
        </w:rPr>
      </w:pPr>
      <w:r>
        <w:rPr>
          <w:szCs w:val="32"/>
        </w:rPr>
        <w:t xml:space="preserve">In our investigation, we found that the control group was a good match for the treatment group, with an event-hour </w:t>
      </w:r>
      <w:r w:rsidR="0060340B">
        <w:rPr>
          <w:szCs w:val="32"/>
        </w:rPr>
        <w:t>mean absolute percentage error (</w:t>
      </w:r>
      <w:r>
        <w:rPr>
          <w:szCs w:val="32"/>
        </w:rPr>
        <w:t>MAPE</w:t>
      </w:r>
      <w:r w:rsidR="0060340B">
        <w:rPr>
          <w:szCs w:val="32"/>
        </w:rPr>
        <w:t>)</w:t>
      </w:r>
      <w:r>
        <w:rPr>
          <w:szCs w:val="32"/>
        </w:rPr>
        <w:t xml:space="preserve"> of 1.1 percent on non-event days.</w:t>
      </w:r>
      <w:r w:rsidR="005B049F">
        <w:rPr>
          <w:rStyle w:val="FootnoteReference"/>
          <w:szCs w:val="32"/>
        </w:rPr>
        <w:footnoteReference w:id="11"/>
      </w:r>
      <w:r>
        <w:rPr>
          <w:szCs w:val="32"/>
        </w:rPr>
        <w:t xml:space="preserve"> In addition, we did not find evidence that a small number of outlier customers were driving the differences in load impacts across event days.</w:t>
      </w:r>
      <w:r>
        <w:rPr>
          <w:rStyle w:val="FootnoteReference"/>
          <w:szCs w:val="32"/>
        </w:rPr>
        <w:footnoteReference w:id="12"/>
      </w:r>
      <w:r>
        <w:rPr>
          <w:szCs w:val="32"/>
        </w:rPr>
        <w:t xml:space="preserve"> We also found a close correspondence between treatment and control-group customer loads across days, with a correlation of average event-hour load across event days of 0.99. </w:t>
      </w:r>
    </w:p>
    <w:p w14:paraId="08F57300" w14:textId="1B2C9937" w:rsidR="00EA2CEC" w:rsidRDefault="009577F5" w:rsidP="009577F5">
      <w:pPr>
        <w:spacing w:after="120"/>
        <w:rPr>
          <w:szCs w:val="32"/>
        </w:rPr>
      </w:pPr>
      <w:r>
        <w:rPr>
          <w:szCs w:val="32"/>
        </w:rPr>
        <w:t xml:space="preserve">The explanation appears to be that the estimated load impacts are very low in percentage terms, averaging 0.5 percent and ranging from -0.3 percent to 1.7 percent across the 15 event days. When load impacts are relatively low (which we would expect for this group relative to, say, manufacturing customers), a very high degree of precision is required of the modeling (including the matching and subsequent regression) </w:t>
      </w:r>
      <w:proofErr w:type="gramStart"/>
      <w:r>
        <w:rPr>
          <w:szCs w:val="32"/>
        </w:rPr>
        <w:t>in order to</w:t>
      </w:r>
      <w:proofErr w:type="gramEnd"/>
      <w:r>
        <w:rPr>
          <w:szCs w:val="32"/>
        </w:rPr>
        <w:t xml:space="preserve"> identify the “true” load impact. We suspect that the variability in our estimated load impacts for this group partly capture “noise” in the data, perhaps due to omitted variables. We would encourage caution in forecasting load impacts from groups such as these (with low expected percentage load impacts and high variability across event days).</w:t>
      </w:r>
    </w:p>
    <w:p w14:paraId="54CC5F16" w14:textId="3133C8D2" w:rsidR="00BF6234" w:rsidRDefault="00BF6234" w:rsidP="00BF6234">
      <w:pPr>
        <w:pStyle w:val="TableCaption"/>
        <w:keepLines/>
        <w:pageBreakBefore/>
      </w:pPr>
      <w:bookmarkStart w:id="136" w:name="_Ref506911226"/>
      <w:bookmarkStart w:id="137" w:name="_Toc509837362"/>
      <w:r>
        <w:lastRenderedPageBreak/>
        <w:t xml:space="preserve">Table </w:t>
      </w:r>
      <w:fldSimple w:instr=" STYLEREF 1 \s ">
        <w:r w:rsidR="005D5C7C">
          <w:rPr>
            <w:noProof/>
          </w:rPr>
          <w:t>3</w:t>
        </w:r>
      </w:fldSimple>
      <w:r w:rsidR="0069714C">
        <w:t>.</w:t>
      </w:r>
      <w:fldSimple w:instr=" SEQ Table \* ARABIC \s 1 ">
        <w:r w:rsidR="005D5C7C">
          <w:rPr>
            <w:noProof/>
          </w:rPr>
          <w:t>5</w:t>
        </w:r>
      </w:fldSimple>
      <w:bookmarkEnd w:id="136"/>
      <w:r>
        <w:t xml:space="preserve">: Average Event-Hour Load Impacts by Event, </w:t>
      </w:r>
      <w:r w:rsidRPr="00283F52">
        <w:rPr>
          <w:i/>
        </w:rPr>
        <w:t xml:space="preserve">PG&amp;E </w:t>
      </w:r>
      <w:r>
        <w:rPr>
          <w:i/>
        </w:rPr>
        <w:t>SMB</w:t>
      </w:r>
      <w:bookmarkEnd w:id="137"/>
    </w:p>
    <w:tbl>
      <w:tblPr>
        <w:tblW w:w="8280" w:type="dxa"/>
        <w:jc w:val="center"/>
        <w:tblLayout w:type="fixed"/>
        <w:tblLook w:val="04A0" w:firstRow="1" w:lastRow="0" w:firstColumn="1" w:lastColumn="0" w:noHBand="0" w:noVBand="1"/>
      </w:tblPr>
      <w:tblGrid>
        <w:gridCol w:w="1980"/>
        <w:gridCol w:w="1170"/>
        <w:gridCol w:w="900"/>
        <w:gridCol w:w="900"/>
        <w:gridCol w:w="720"/>
        <w:gridCol w:w="900"/>
        <w:gridCol w:w="900"/>
        <w:gridCol w:w="810"/>
      </w:tblGrid>
      <w:tr w:rsidR="00BF6234" w:rsidRPr="00BF6234" w14:paraId="5C692CEF" w14:textId="77777777" w:rsidTr="005D41C6">
        <w:trPr>
          <w:cantSplit/>
          <w:trHeight w:val="555"/>
          <w:jc w:val="center"/>
        </w:trPr>
        <w:tc>
          <w:tcPr>
            <w:tcW w:w="1980" w:type="dxa"/>
            <w:vMerge w:val="restart"/>
            <w:tcBorders>
              <w:top w:val="nil"/>
              <w:left w:val="single" w:sz="4" w:space="0" w:color="auto"/>
              <w:bottom w:val="single" w:sz="4" w:space="0" w:color="auto"/>
              <w:right w:val="single" w:sz="4" w:space="0" w:color="FFFFFF"/>
            </w:tcBorders>
            <w:shd w:val="clear" w:color="000000" w:fill="0C2577"/>
            <w:noWrap/>
            <w:vAlign w:val="bottom"/>
            <w:hideMark/>
          </w:tcPr>
          <w:p w14:paraId="451F9839" w14:textId="77777777" w:rsidR="00BF6234" w:rsidRPr="00BF6234" w:rsidRDefault="00BF6234" w:rsidP="00BF6234">
            <w:pPr>
              <w:jc w:val="center"/>
              <w:rPr>
                <w:rFonts w:ascii="Arial" w:hAnsi="Arial" w:cs="Arial"/>
                <w:b/>
                <w:bCs/>
                <w:color w:val="FFFFFF"/>
                <w:sz w:val="20"/>
                <w:szCs w:val="20"/>
              </w:rPr>
            </w:pPr>
            <w:r w:rsidRPr="00BF6234">
              <w:rPr>
                <w:rFonts w:ascii="Arial" w:hAnsi="Arial" w:cs="Arial"/>
                <w:b/>
                <w:bCs/>
                <w:color w:val="FFFFFF"/>
                <w:sz w:val="20"/>
                <w:szCs w:val="20"/>
              </w:rPr>
              <w:t>Event Date</w:t>
            </w:r>
          </w:p>
        </w:tc>
        <w:tc>
          <w:tcPr>
            <w:tcW w:w="1170" w:type="dxa"/>
            <w:vMerge w:val="restart"/>
            <w:tcBorders>
              <w:top w:val="nil"/>
              <w:left w:val="nil"/>
              <w:bottom w:val="nil"/>
              <w:right w:val="single" w:sz="4" w:space="0" w:color="FFFFFF"/>
            </w:tcBorders>
            <w:shd w:val="clear" w:color="000000" w:fill="0C2577"/>
            <w:vAlign w:val="bottom"/>
            <w:hideMark/>
          </w:tcPr>
          <w:p w14:paraId="681F94FA" w14:textId="77777777" w:rsidR="00BF6234" w:rsidRPr="00BF6234" w:rsidRDefault="00BF6234" w:rsidP="00BF6234">
            <w:pPr>
              <w:jc w:val="center"/>
              <w:rPr>
                <w:rFonts w:ascii="Arial" w:hAnsi="Arial" w:cs="Arial"/>
                <w:b/>
                <w:bCs/>
                <w:color w:val="FFFFFF"/>
                <w:sz w:val="20"/>
                <w:szCs w:val="20"/>
              </w:rPr>
            </w:pPr>
            <w:r w:rsidRPr="00BF6234">
              <w:rPr>
                <w:rFonts w:ascii="Arial" w:hAnsi="Arial" w:cs="Arial"/>
                <w:b/>
                <w:bCs/>
                <w:color w:val="FFFFFF"/>
                <w:sz w:val="20"/>
                <w:szCs w:val="20"/>
              </w:rPr>
              <w:t># Enrolled</w:t>
            </w:r>
          </w:p>
        </w:tc>
        <w:tc>
          <w:tcPr>
            <w:tcW w:w="1800" w:type="dxa"/>
            <w:gridSpan w:val="2"/>
            <w:tcBorders>
              <w:top w:val="nil"/>
              <w:left w:val="nil"/>
              <w:bottom w:val="nil"/>
              <w:right w:val="nil"/>
            </w:tcBorders>
            <w:shd w:val="clear" w:color="000000" w:fill="0C2577"/>
            <w:vAlign w:val="bottom"/>
            <w:hideMark/>
          </w:tcPr>
          <w:p w14:paraId="1EA32598" w14:textId="77777777" w:rsidR="00BF6234" w:rsidRPr="00BF6234" w:rsidRDefault="00BF6234" w:rsidP="00BF6234">
            <w:pPr>
              <w:jc w:val="center"/>
              <w:rPr>
                <w:rFonts w:ascii="Arial" w:hAnsi="Arial" w:cs="Arial"/>
                <w:b/>
                <w:bCs/>
                <w:color w:val="FFFFFF"/>
                <w:sz w:val="20"/>
                <w:szCs w:val="20"/>
              </w:rPr>
            </w:pPr>
            <w:r w:rsidRPr="00BF6234">
              <w:rPr>
                <w:rFonts w:ascii="Arial" w:hAnsi="Arial" w:cs="Arial"/>
                <w:b/>
                <w:bCs/>
                <w:color w:val="FFFFFF"/>
                <w:sz w:val="20"/>
                <w:szCs w:val="20"/>
              </w:rPr>
              <w:t>Aggregate (MWh/hour)</w:t>
            </w:r>
          </w:p>
        </w:tc>
        <w:tc>
          <w:tcPr>
            <w:tcW w:w="1620" w:type="dxa"/>
            <w:gridSpan w:val="2"/>
            <w:tcBorders>
              <w:top w:val="nil"/>
              <w:left w:val="single" w:sz="4" w:space="0" w:color="FFFFFF"/>
              <w:bottom w:val="single" w:sz="4" w:space="0" w:color="FFFFFF"/>
              <w:right w:val="nil"/>
            </w:tcBorders>
            <w:shd w:val="clear" w:color="000000" w:fill="0C2577"/>
            <w:vAlign w:val="bottom"/>
            <w:hideMark/>
          </w:tcPr>
          <w:p w14:paraId="73E60BD6" w14:textId="77777777" w:rsidR="00BF6234" w:rsidRPr="00BF6234" w:rsidRDefault="00BF6234" w:rsidP="00BF6234">
            <w:pPr>
              <w:jc w:val="center"/>
              <w:rPr>
                <w:rFonts w:ascii="Arial" w:hAnsi="Arial" w:cs="Arial"/>
                <w:b/>
                <w:bCs/>
                <w:color w:val="FFFFFF"/>
                <w:sz w:val="20"/>
                <w:szCs w:val="20"/>
              </w:rPr>
            </w:pPr>
            <w:r w:rsidRPr="00BF6234">
              <w:rPr>
                <w:rFonts w:ascii="Arial" w:hAnsi="Arial" w:cs="Arial"/>
                <w:b/>
                <w:bCs/>
                <w:color w:val="FFFFFF"/>
                <w:sz w:val="20"/>
                <w:szCs w:val="20"/>
              </w:rPr>
              <w:t xml:space="preserve"> Per-Customer (kWh/hour) </w:t>
            </w:r>
          </w:p>
        </w:tc>
        <w:tc>
          <w:tcPr>
            <w:tcW w:w="900" w:type="dxa"/>
            <w:vMerge w:val="restart"/>
            <w:tcBorders>
              <w:top w:val="nil"/>
              <w:left w:val="single" w:sz="4" w:space="0" w:color="FFFFFF"/>
              <w:bottom w:val="nil"/>
              <w:right w:val="single" w:sz="4" w:space="0" w:color="FFFFFF"/>
            </w:tcBorders>
            <w:shd w:val="clear" w:color="000000" w:fill="0C2577"/>
            <w:vAlign w:val="bottom"/>
            <w:hideMark/>
          </w:tcPr>
          <w:p w14:paraId="5B6105DB" w14:textId="77777777" w:rsidR="00BF6234" w:rsidRPr="00BF6234" w:rsidRDefault="00BF6234" w:rsidP="00BF6234">
            <w:pPr>
              <w:jc w:val="center"/>
              <w:rPr>
                <w:rFonts w:ascii="Arial" w:hAnsi="Arial" w:cs="Arial"/>
                <w:b/>
                <w:bCs/>
                <w:color w:val="FFFFFF"/>
                <w:sz w:val="20"/>
                <w:szCs w:val="20"/>
              </w:rPr>
            </w:pPr>
            <w:r w:rsidRPr="00BF6234">
              <w:rPr>
                <w:rFonts w:ascii="Arial" w:hAnsi="Arial" w:cs="Arial"/>
                <w:b/>
                <w:bCs/>
                <w:color w:val="FFFFFF"/>
                <w:sz w:val="20"/>
                <w:szCs w:val="20"/>
              </w:rPr>
              <w:t>% Load Impact</w:t>
            </w:r>
          </w:p>
        </w:tc>
        <w:tc>
          <w:tcPr>
            <w:tcW w:w="810" w:type="dxa"/>
            <w:vMerge w:val="restart"/>
            <w:tcBorders>
              <w:top w:val="nil"/>
              <w:left w:val="nil"/>
              <w:bottom w:val="nil"/>
              <w:right w:val="nil"/>
            </w:tcBorders>
            <w:shd w:val="clear" w:color="000000" w:fill="0C2577"/>
            <w:vAlign w:val="bottom"/>
            <w:hideMark/>
          </w:tcPr>
          <w:p w14:paraId="342A78CD" w14:textId="77777777" w:rsidR="00BF6234" w:rsidRPr="00BF6234" w:rsidRDefault="00BF6234" w:rsidP="00BF6234">
            <w:pPr>
              <w:jc w:val="center"/>
              <w:rPr>
                <w:rFonts w:ascii="Arial" w:hAnsi="Arial" w:cs="Arial"/>
                <w:b/>
                <w:bCs/>
                <w:color w:val="FFFFFF"/>
                <w:sz w:val="20"/>
                <w:szCs w:val="20"/>
              </w:rPr>
            </w:pPr>
            <w:r w:rsidRPr="00BF6234">
              <w:rPr>
                <w:rFonts w:ascii="Arial" w:hAnsi="Arial" w:cs="Arial"/>
                <w:b/>
                <w:bCs/>
                <w:color w:val="FFFFFF"/>
                <w:sz w:val="20"/>
                <w:szCs w:val="20"/>
              </w:rPr>
              <w:t>Ave. Event Temp.</w:t>
            </w:r>
          </w:p>
        </w:tc>
      </w:tr>
      <w:tr w:rsidR="00BF6234" w:rsidRPr="00BF6234" w14:paraId="03147262" w14:textId="77777777" w:rsidTr="005D41C6">
        <w:trPr>
          <w:cantSplit/>
          <w:trHeight w:val="510"/>
          <w:jc w:val="center"/>
        </w:trPr>
        <w:tc>
          <w:tcPr>
            <w:tcW w:w="1980" w:type="dxa"/>
            <w:vMerge/>
            <w:tcBorders>
              <w:top w:val="nil"/>
              <w:left w:val="single" w:sz="4" w:space="0" w:color="auto"/>
              <w:bottom w:val="single" w:sz="4" w:space="0" w:color="auto"/>
              <w:right w:val="single" w:sz="4" w:space="0" w:color="FFFFFF"/>
            </w:tcBorders>
            <w:vAlign w:val="center"/>
            <w:hideMark/>
          </w:tcPr>
          <w:p w14:paraId="49EDAC35" w14:textId="77777777" w:rsidR="00BF6234" w:rsidRPr="00BF6234" w:rsidRDefault="00BF6234" w:rsidP="00BF6234">
            <w:pPr>
              <w:rPr>
                <w:rFonts w:ascii="Arial" w:hAnsi="Arial" w:cs="Arial"/>
                <w:b/>
                <w:bCs/>
                <w:color w:val="FFFFFF"/>
                <w:sz w:val="20"/>
                <w:szCs w:val="20"/>
              </w:rPr>
            </w:pPr>
          </w:p>
        </w:tc>
        <w:tc>
          <w:tcPr>
            <w:tcW w:w="1170" w:type="dxa"/>
            <w:vMerge/>
            <w:tcBorders>
              <w:top w:val="nil"/>
              <w:left w:val="nil"/>
              <w:bottom w:val="nil"/>
              <w:right w:val="single" w:sz="4" w:space="0" w:color="FFFFFF"/>
            </w:tcBorders>
            <w:vAlign w:val="center"/>
            <w:hideMark/>
          </w:tcPr>
          <w:p w14:paraId="3DF44FDC" w14:textId="77777777" w:rsidR="00BF6234" w:rsidRPr="00BF6234" w:rsidRDefault="00BF6234" w:rsidP="00BF6234">
            <w:pPr>
              <w:rPr>
                <w:rFonts w:ascii="Arial" w:hAnsi="Arial" w:cs="Arial"/>
                <w:b/>
                <w:bCs/>
                <w:color w:val="FFFFFF"/>
                <w:sz w:val="20"/>
                <w:szCs w:val="20"/>
              </w:rPr>
            </w:pPr>
          </w:p>
        </w:tc>
        <w:tc>
          <w:tcPr>
            <w:tcW w:w="900" w:type="dxa"/>
            <w:tcBorders>
              <w:top w:val="single" w:sz="4" w:space="0" w:color="FFFFFF"/>
              <w:left w:val="nil"/>
              <w:bottom w:val="nil"/>
              <w:right w:val="nil"/>
            </w:tcBorders>
            <w:shd w:val="clear" w:color="000000" w:fill="0C2577"/>
            <w:vAlign w:val="bottom"/>
            <w:hideMark/>
          </w:tcPr>
          <w:p w14:paraId="60A88642" w14:textId="77777777" w:rsidR="00BF6234" w:rsidRPr="00BF6234" w:rsidRDefault="00BF6234" w:rsidP="00BF6234">
            <w:pPr>
              <w:rPr>
                <w:rFonts w:ascii="Arial" w:hAnsi="Arial" w:cs="Arial"/>
                <w:b/>
                <w:bCs/>
                <w:color w:val="FFFFFF"/>
                <w:sz w:val="20"/>
                <w:szCs w:val="20"/>
              </w:rPr>
            </w:pPr>
            <w:r w:rsidRPr="00BF6234">
              <w:rPr>
                <w:rFonts w:ascii="Arial" w:hAnsi="Arial" w:cs="Arial"/>
                <w:b/>
                <w:bCs/>
                <w:color w:val="FFFFFF"/>
                <w:sz w:val="20"/>
                <w:szCs w:val="20"/>
              </w:rPr>
              <w:t>Ref. Load</w:t>
            </w:r>
          </w:p>
        </w:tc>
        <w:tc>
          <w:tcPr>
            <w:tcW w:w="900" w:type="dxa"/>
            <w:tcBorders>
              <w:top w:val="single" w:sz="4" w:space="0" w:color="FFFFFF"/>
              <w:left w:val="single" w:sz="4" w:space="0" w:color="FFFFFF"/>
              <w:bottom w:val="nil"/>
              <w:right w:val="single" w:sz="4" w:space="0" w:color="FFFFFF"/>
            </w:tcBorders>
            <w:shd w:val="clear" w:color="000000" w:fill="0C2577"/>
            <w:vAlign w:val="bottom"/>
            <w:hideMark/>
          </w:tcPr>
          <w:p w14:paraId="3C337BED" w14:textId="77777777" w:rsidR="00BF6234" w:rsidRPr="00BF6234" w:rsidRDefault="00BF6234" w:rsidP="00BF6234">
            <w:pPr>
              <w:rPr>
                <w:rFonts w:ascii="Arial" w:hAnsi="Arial" w:cs="Arial"/>
                <w:b/>
                <w:bCs/>
                <w:color w:val="FFFFFF"/>
                <w:sz w:val="20"/>
                <w:szCs w:val="20"/>
              </w:rPr>
            </w:pPr>
            <w:r w:rsidRPr="00BF6234">
              <w:rPr>
                <w:rFonts w:ascii="Arial" w:hAnsi="Arial" w:cs="Arial"/>
                <w:b/>
                <w:bCs/>
                <w:color w:val="FFFFFF"/>
                <w:sz w:val="20"/>
                <w:szCs w:val="20"/>
              </w:rPr>
              <w:t xml:space="preserve"> Load Impact  </w:t>
            </w:r>
          </w:p>
        </w:tc>
        <w:tc>
          <w:tcPr>
            <w:tcW w:w="720" w:type="dxa"/>
            <w:tcBorders>
              <w:top w:val="nil"/>
              <w:left w:val="nil"/>
              <w:bottom w:val="nil"/>
              <w:right w:val="single" w:sz="4" w:space="0" w:color="FFFFFF"/>
            </w:tcBorders>
            <w:shd w:val="clear" w:color="000000" w:fill="0C2577"/>
            <w:vAlign w:val="bottom"/>
            <w:hideMark/>
          </w:tcPr>
          <w:p w14:paraId="1E2606CC" w14:textId="77777777" w:rsidR="00BF6234" w:rsidRPr="00BF6234" w:rsidRDefault="00BF6234" w:rsidP="00BF6234">
            <w:pPr>
              <w:rPr>
                <w:rFonts w:ascii="Arial" w:hAnsi="Arial" w:cs="Arial"/>
                <w:b/>
                <w:bCs/>
                <w:color w:val="FFFFFF"/>
                <w:sz w:val="20"/>
                <w:szCs w:val="20"/>
              </w:rPr>
            </w:pPr>
            <w:r w:rsidRPr="00BF6234">
              <w:rPr>
                <w:rFonts w:ascii="Arial" w:hAnsi="Arial" w:cs="Arial"/>
                <w:b/>
                <w:bCs/>
                <w:color w:val="FFFFFF"/>
                <w:sz w:val="20"/>
                <w:szCs w:val="20"/>
              </w:rPr>
              <w:t xml:space="preserve">Ref. Load </w:t>
            </w:r>
          </w:p>
        </w:tc>
        <w:tc>
          <w:tcPr>
            <w:tcW w:w="900" w:type="dxa"/>
            <w:tcBorders>
              <w:top w:val="nil"/>
              <w:left w:val="nil"/>
              <w:bottom w:val="nil"/>
              <w:right w:val="nil"/>
            </w:tcBorders>
            <w:shd w:val="clear" w:color="000000" w:fill="0C2577"/>
            <w:vAlign w:val="bottom"/>
            <w:hideMark/>
          </w:tcPr>
          <w:p w14:paraId="33DF6F77" w14:textId="77777777" w:rsidR="00BF6234" w:rsidRPr="00BF6234" w:rsidRDefault="00BF6234" w:rsidP="00BF6234">
            <w:pPr>
              <w:rPr>
                <w:rFonts w:ascii="Arial" w:hAnsi="Arial" w:cs="Arial"/>
                <w:b/>
                <w:bCs/>
                <w:color w:val="FFFFFF"/>
                <w:sz w:val="20"/>
                <w:szCs w:val="20"/>
              </w:rPr>
            </w:pPr>
            <w:r w:rsidRPr="00BF6234">
              <w:rPr>
                <w:rFonts w:ascii="Arial" w:hAnsi="Arial" w:cs="Arial"/>
                <w:b/>
                <w:bCs/>
                <w:color w:val="FFFFFF"/>
                <w:sz w:val="20"/>
                <w:szCs w:val="20"/>
              </w:rPr>
              <w:t xml:space="preserve">Load Impact </w:t>
            </w:r>
          </w:p>
        </w:tc>
        <w:tc>
          <w:tcPr>
            <w:tcW w:w="900" w:type="dxa"/>
            <w:vMerge/>
            <w:tcBorders>
              <w:top w:val="nil"/>
              <w:left w:val="single" w:sz="4" w:space="0" w:color="FFFFFF"/>
              <w:bottom w:val="nil"/>
              <w:right w:val="single" w:sz="4" w:space="0" w:color="FFFFFF"/>
            </w:tcBorders>
            <w:vAlign w:val="center"/>
            <w:hideMark/>
          </w:tcPr>
          <w:p w14:paraId="1DC3FA48" w14:textId="77777777" w:rsidR="00BF6234" w:rsidRPr="00BF6234" w:rsidRDefault="00BF6234" w:rsidP="00BF6234">
            <w:pPr>
              <w:rPr>
                <w:rFonts w:ascii="Arial" w:hAnsi="Arial" w:cs="Arial"/>
                <w:b/>
                <w:bCs/>
                <w:color w:val="FFFFFF"/>
                <w:sz w:val="20"/>
                <w:szCs w:val="20"/>
              </w:rPr>
            </w:pPr>
          </w:p>
        </w:tc>
        <w:tc>
          <w:tcPr>
            <w:tcW w:w="810" w:type="dxa"/>
            <w:vMerge/>
            <w:tcBorders>
              <w:top w:val="nil"/>
              <w:left w:val="nil"/>
              <w:bottom w:val="nil"/>
              <w:right w:val="nil"/>
            </w:tcBorders>
            <w:vAlign w:val="center"/>
            <w:hideMark/>
          </w:tcPr>
          <w:p w14:paraId="02654BAA" w14:textId="77777777" w:rsidR="00BF6234" w:rsidRPr="00BF6234" w:rsidRDefault="00BF6234" w:rsidP="00BF6234">
            <w:pPr>
              <w:rPr>
                <w:rFonts w:ascii="Arial" w:hAnsi="Arial" w:cs="Arial"/>
                <w:b/>
                <w:bCs/>
                <w:color w:val="FFFFFF"/>
                <w:sz w:val="20"/>
                <w:szCs w:val="20"/>
              </w:rPr>
            </w:pPr>
          </w:p>
        </w:tc>
      </w:tr>
      <w:tr w:rsidR="00FD4BEF" w:rsidRPr="00BF6234" w14:paraId="5BEBCC87" w14:textId="77777777" w:rsidTr="00D00404">
        <w:trPr>
          <w:cantSplit/>
          <w:trHeight w:val="255"/>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74C0DE"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6/16/2017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17D605" w14:textId="6309566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205,362</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717A33B0" w14:textId="78445E7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1,233.9</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781DD7C7" w14:textId="576C6D0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11.3</w:t>
            </w:r>
          </w:p>
        </w:tc>
        <w:tc>
          <w:tcPr>
            <w:tcW w:w="720" w:type="dxa"/>
            <w:tcBorders>
              <w:top w:val="single" w:sz="4" w:space="0" w:color="auto"/>
              <w:left w:val="nil"/>
              <w:bottom w:val="single" w:sz="4" w:space="0" w:color="auto"/>
              <w:right w:val="single" w:sz="4" w:space="0" w:color="auto"/>
            </w:tcBorders>
            <w:shd w:val="clear" w:color="auto" w:fill="auto"/>
            <w:noWrap/>
            <w:vAlign w:val="bottom"/>
            <w:hideMark/>
          </w:tcPr>
          <w:p w14:paraId="2BEBDC6A" w14:textId="2F01A848"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6.0</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273905F" w14:textId="6E89A4B8"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single" w:sz="4" w:space="0" w:color="auto"/>
              <w:left w:val="nil"/>
              <w:bottom w:val="single" w:sz="4" w:space="0" w:color="auto"/>
              <w:right w:val="single" w:sz="4" w:space="0" w:color="auto"/>
            </w:tcBorders>
            <w:shd w:val="clear" w:color="auto" w:fill="auto"/>
            <w:vAlign w:val="bottom"/>
            <w:hideMark/>
          </w:tcPr>
          <w:p w14:paraId="76765963" w14:textId="41DDD374"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0.9%</w:t>
            </w:r>
          </w:p>
        </w:tc>
        <w:tc>
          <w:tcPr>
            <w:tcW w:w="810" w:type="dxa"/>
            <w:tcBorders>
              <w:top w:val="single" w:sz="4" w:space="0" w:color="auto"/>
              <w:left w:val="nil"/>
              <w:bottom w:val="single" w:sz="4" w:space="0" w:color="auto"/>
              <w:right w:val="single" w:sz="4" w:space="0" w:color="auto"/>
            </w:tcBorders>
            <w:shd w:val="clear" w:color="auto" w:fill="auto"/>
            <w:vAlign w:val="bottom"/>
            <w:hideMark/>
          </w:tcPr>
          <w:p w14:paraId="355012BE" w14:textId="5985B88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88.9</w:t>
            </w:r>
          </w:p>
        </w:tc>
      </w:tr>
      <w:tr w:rsidR="00FD4BEF" w:rsidRPr="00BF6234" w14:paraId="69D3AD49"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00123827"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6/19/2017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5600F33A" w14:textId="71EA070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205,288</w:t>
            </w:r>
          </w:p>
        </w:tc>
        <w:tc>
          <w:tcPr>
            <w:tcW w:w="900" w:type="dxa"/>
            <w:tcBorders>
              <w:top w:val="nil"/>
              <w:left w:val="nil"/>
              <w:bottom w:val="single" w:sz="4" w:space="0" w:color="auto"/>
              <w:right w:val="single" w:sz="4" w:space="0" w:color="auto"/>
            </w:tcBorders>
            <w:shd w:val="clear" w:color="auto" w:fill="auto"/>
            <w:noWrap/>
            <w:vAlign w:val="bottom"/>
            <w:hideMark/>
          </w:tcPr>
          <w:p w14:paraId="7D7FE7B6" w14:textId="3A1B755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1,390.1</w:t>
            </w:r>
          </w:p>
        </w:tc>
        <w:tc>
          <w:tcPr>
            <w:tcW w:w="900" w:type="dxa"/>
            <w:tcBorders>
              <w:top w:val="nil"/>
              <w:left w:val="nil"/>
              <w:bottom w:val="single" w:sz="4" w:space="0" w:color="auto"/>
              <w:right w:val="single" w:sz="4" w:space="0" w:color="auto"/>
            </w:tcBorders>
            <w:shd w:val="clear" w:color="auto" w:fill="auto"/>
            <w:noWrap/>
            <w:vAlign w:val="bottom"/>
            <w:hideMark/>
          </w:tcPr>
          <w:p w14:paraId="2EE93152" w14:textId="57F4C83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28.4</w:t>
            </w:r>
          </w:p>
        </w:tc>
        <w:tc>
          <w:tcPr>
            <w:tcW w:w="720" w:type="dxa"/>
            <w:tcBorders>
              <w:top w:val="nil"/>
              <w:left w:val="nil"/>
              <w:bottom w:val="single" w:sz="4" w:space="0" w:color="auto"/>
              <w:right w:val="single" w:sz="4" w:space="0" w:color="auto"/>
            </w:tcBorders>
            <w:shd w:val="clear" w:color="auto" w:fill="auto"/>
            <w:noWrap/>
            <w:vAlign w:val="bottom"/>
            <w:hideMark/>
          </w:tcPr>
          <w:p w14:paraId="4315E889" w14:textId="05F838A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6.8</w:t>
            </w:r>
          </w:p>
        </w:tc>
        <w:tc>
          <w:tcPr>
            <w:tcW w:w="900" w:type="dxa"/>
            <w:tcBorders>
              <w:top w:val="nil"/>
              <w:left w:val="nil"/>
              <w:bottom w:val="single" w:sz="4" w:space="0" w:color="auto"/>
              <w:right w:val="single" w:sz="4" w:space="0" w:color="auto"/>
            </w:tcBorders>
            <w:shd w:val="clear" w:color="auto" w:fill="auto"/>
            <w:noWrap/>
            <w:vAlign w:val="bottom"/>
            <w:hideMark/>
          </w:tcPr>
          <w:p w14:paraId="3A86B021" w14:textId="33A5AFB7"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5C1FAC17" w14:textId="621A7F7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w:t>
            </w:r>
          </w:p>
        </w:tc>
        <w:tc>
          <w:tcPr>
            <w:tcW w:w="810" w:type="dxa"/>
            <w:tcBorders>
              <w:top w:val="nil"/>
              <w:left w:val="nil"/>
              <w:bottom w:val="single" w:sz="4" w:space="0" w:color="auto"/>
              <w:right w:val="single" w:sz="4" w:space="0" w:color="auto"/>
            </w:tcBorders>
            <w:shd w:val="clear" w:color="auto" w:fill="auto"/>
            <w:vAlign w:val="bottom"/>
            <w:hideMark/>
          </w:tcPr>
          <w:p w14:paraId="4619E0D9" w14:textId="579AF26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95.5</w:t>
            </w:r>
          </w:p>
        </w:tc>
      </w:tr>
      <w:tr w:rsidR="00FD4BEF" w:rsidRPr="00BF6234" w14:paraId="1B08607B"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8ABBC28"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6/20/2017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6F5E4749" w14:textId="4A70C16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205,225</w:t>
            </w:r>
          </w:p>
        </w:tc>
        <w:tc>
          <w:tcPr>
            <w:tcW w:w="900" w:type="dxa"/>
            <w:tcBorders>
              <w:top w:val="nil"/>
              <w:left w:val="nil"/>
              <w:bottom w:val="single" w:sz="4" w:space="0" w:color="auto"/>
              <w:right w:val="single" w:sz="4" w:space="0" w:color="auto"/>
            </w:tcBorders>
            <w:shd w:val="clear" w:color="auto" w:fill="auto"/>
            <w:noWrap/>
            <w:vAlign w:val="bottom"/>
            <w:hideMark/>
          </w:tcPr>
          <w:p w14:paraId="0EE1A5FF" w14:textId="62B8547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1,376.9</w:t>
            </w:r>
          </w:p>
        </w:tc>
        <w:tc>
          <w:tcPr>
            <w:tcW w:w="900" w:type="dxa"/>
            <w:tcBorders>
              <w:top w:val="nil"/>
              <w:left w:val="nil"/>
              <w:bottom w:val="single" w:sz="4" w:space="0" w:color="auto"/>
              <w:right w:val="single" w:sz="4" w:space="0" w:color="auto"/>
            </w:tcBorders>
            <w:shd w:val="clear" w:color="auto" w:fill="auto"/>
            <w:noWrap/>
            <w:vAlign w:val="bottom"/>
            <w:hideMark/>
          </w:tcPr>
          <w:p w14:paraId="01A9DF76" w14:textId="006E3E7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23.0</w:t>
            </w:r>
          </w:p>
        </w:tc>
        <w:tc>
          <w:tcPr>
            <w:tcW w:w="720" w:type="dxa"/>
            <w:tcBorders>
              <w:top w:val="nil"/>
              <w:left w:val="nil"/>
              <w:bottom w:val="single" w:sz="4" w:space="0" w:color="auto"/>
              <w:right w:val="single" w:sz="4" w:space="0" w:color="auto"/>
            </w:tcBorders>
            <w:shd w:val="clear" w:color="auto" w:fill="auto"/>
            <w:noWrap/>
            <w:vAlign w:val="bottom"/>
            <w:hideMark/>
          </w:tcPr>
          <w:p w14:paraId="6CEE71B4" w14:textId="6F839D8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6.7</w:t>
            </w:r>
          </w:p>
        </w:tc>
        <w:tc>
          <w:tcPr>
            <w:tcW w:w="900" w:type="dxa"/>
            <w:tcBorders>
              <w:top w:val="nil"/>
              <w:left w:val="nil"/>
              <w:bottom w:val="single" w:sz="4" w:space="0" w:color="auto"/>
              <w:right w:val="single" w:sz="4" w:space="0" w:color="auto"/>
            </w:tcBorders>
            <w:shd w:val="clear" w:color="auto" w:fill="auto"/>
            <w:noWrap/>
            <w:vAlign w:val="bottom"/>
            <w:hideMark/>
          </w:tcPr>
          <w:p w14:paraId="128CFD4E" w14:textId="1544203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45DE628A" w14:textId="54E02D0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1.7%</w:t>
            </w:r>
          </w:p>
        </w:tc>
        <w:tc>
          <w:tcPr>
            <w:tcW w:w="810" w:type="dxa"/>
            <w:tcBorders>
              <w:top w:val="nil"/>
              <w:left w:val="nil"/>
              <w:bottom w:val="single" w:sz="4" w:space="0" w:color="auto"/>
              <w:right w:val="single" w:sz="4" w:space="0" w:color="auto"/>
            </w:tcBorders>
            <w:shd w:val="clear" w:color="auto" w:fill="auto"/>
            <w:vAlign w:val="bottom"/>
            <w:hideMark/>
          </w:tcPr>
          <w:p w14:paraId="7F7733BA" w14:textId="6882F027"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93.4</w:t>
            </w:r>
          </w:p>
        </w:tc>
      </w:tr>
      <w:tr w:rsidR="00FD4BEF" w:rsidRPr="00BF6234" w14:paraId="240AB501"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2B6A168B"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6/22/2017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1FEF8D64" w14:textId="548E824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205,061</w:t>
            </w:r>
          </w:p>
        </w:tc>
        <w:tc>
          <w:tcPr>
            <w:tcW w:w="900" w:type="dxa"/>
            <w:tcBorders>
              <w:top w:val="nil"/>
              <w:left w:val="nil"/>
              <w:bottom w:val="single" w:sz="4" w:space="0" w:color="auto"/>
              <w:right w:val="single" w:sz="4" w:space="0" w:color="auto"/>
            </w:tcBorders>
            <w:shd w:val="clear" w:color="auto" w:fill="auto"/>
            <w:noWrap/>
            <w:vAlign w:val="bottom"/>
            <w:hideMark/>
          </w:tcPr>
          <w:p w14:paraId="44100653" w14:textId="7A29889B"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1,409.5</w:t>
            </w:r>
          </w:p>
        </w:tc>
        <w:tc>
          <w:tcPr>
            <w:tcW w:w="900" w:type="dxa"/>
            <w:tcBorders>
              <w:top w:val="nil"/>
              <w:left w:val="nil"/>
              <w:bottom w:val="single" w:sz="4" w:space="0" w:color="auto"/>
              <w:right w:val="single" w:sz="4" w:space="0" w:color="auto"/>
            </w:tcBorders>
            <w:shd w:val="clear" w:color="auto" w:fill="auto"/>
            <w:noWrap/>
            <w:vAlign w:val="bottom"/>
            <w:hideMark/>
          </w:tcPr>
          <w:p w14:paraId="35CF858E" w14:textId="14E02C4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26.9</w:t>
            </w:r>
          </w:p>
        </w:tc>
        <w:tc>
          <w:tcPr>
            <w:tcW w:w="720" w:type="dxa"/>
            <w:tcBorders>
              <w:top w:val="nil"/>
              <w:left w:val="nil"/>
              <w:bottom w:val="single" w:sz="4" w:space="0" w:color="auto"/>
              <w:right w:val="single" w:sz="4" w:space="0" w:color="auto"/>
            </w:tcBorders>
            <w:shd w:val="clear" w:color="auto" w:fill="auto"/>
            <w:noWrap/>
            <w:vAlign w:val="bottom"/>
            <w:hideMark/>
          </w:tcPr>
          <w:p w14:paraId="75436589" w14:textId="190D168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6.9</w:t>
            </w:r>
          </w:p>
        </w:tc>
        <w:tc>
          <w:tcPr>
            <w:tcW w:w="900" w:type="dxa"/>
            <w:tcBorders>
              <w:top w:val="nil"/>
              <w:left w:val="nil"/>
              <w:bottom w:val="single" w:sz="4" w:space="0" w:color="auto"/>
              <w:right w:val="single" w:sz="4" w:space="0" w:color="auto"/>
            </w:tcBorders>
            <w:shd w:val="clear" w:color="auto" w:fill="auto"/>
            <w:noWrap/>
            <w:vAlign w:val="bottom"/>
            <w:hideMark/>
          </w:tcPr>
          <w:p w14:paraId="359B2784" w14:textId="426C929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1C47B86A" w14:textId="23534178"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1.9%</w:t>
            </w:r>
          </w:p>
        </w:tc>
        <w:tc>
          <w:tcPr>
            <w:tcW w:w="810" w:type="dxa"/>
            <w:tcBorders>
              <w:top w:val="nil"/>
              <w:left w:val="nil"/>
              <w:bottom w:val="single" w:sz="4" w:space="0" w:color="auto"/>
              <w:right w:val="single" w:sz="4" w:space="0" w:color="auto"/>
            </w:tcBorders>
            <w:shd w:val="clear" w:color="auto" w:fill="auto"/>
            <w:vAlign w:val="bottom"/>
            <w:hideMark/>
          </w:tcPr>
          <w:p w14:paraId="067A7C99" w14:textId="371C8E1B"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95.8</w:t>
            </w:r>
          </w:p>
        </w:tc>
      </w:tr>
      <w:tr w:rsidR="00FD4BEF" w:rsidRPr="00BF6234" w14:paraId="7743D148"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9CE9C6A"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6/23/2017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16535910" w14:textId="266A8AD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204,993</w:t>
            </w:r>
          </w:p>
        </w:tc>
        <w:tc>
          <w:tcPr>
            <w:tcW w:w="900" w:type="dxa"/>
            <w:tcBorders>
              <w:top w:val="nil"/>
              <w:left w:val="nil"/>
              <w:bottom w:val="single" w:sz="4" w:space="0" w:color="auto"/>
              <w:right w:val="single" w:sz="4" w:space="0" w:color="auto"/>
            </w:tcBorders>
            <w:shd w:val="clear" w:color="auto" w:fill="auto"/>
            <w:noWrap/>
            <w:vAlign w:val="bottom"/>
            <w:hideMark/>
          </w:tcPr>
          <w:p w14:paraId="168C8A64" w14:textId="605CF634"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1,283.9</w:t>
            </w:r>
          </w:p>
        </w:tc>
        <w:tc>
          <w:tcPr>
            <w:tcW w:w="900" w:type="dxa"/>
            <w:tcBorders>
              <w:top w:val="nil"/>
              <w:left w:val="nil"/>
              <w:bottom w:val="single" w:sz="4" w:space="0" w:color="auto"/>
              <w:right w:val="single" w:sz="4" w:space="0" w:color="auto"/>
            </w:tcBorders>
            <w:shd w:val="clear" w:color="auto" w:fill="auto"/>
            <w:noWrap/>
            <w:vAlign w:val="bottom"/>
            <w:hideMark/>
          </w:tcPr>
          <w:p w14:paraId="28A5CE0F" w14:textId="12418A1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4.3</w:t>
            </w:r>
          </w:p>
        </w:tc>
        <w:tc>
          <w:tcPr>
            <w:tcW w:w="720" w:type="dxa"/>
            <w:tcBorders>
              <w:top w:val="nil"/>
              <w:left w:val="nil"/>
              <w:bottom w:val="single" w:sz="4" w:space="0" w:color="auto"/>
              <w:right w:val="single" w:sz="4" w:space="0" w:color="auto"/>
            </w:tcBorders>
            <w:shd w:val="clear" w:color="auto" w:fill="auto"/>
            <w:noWrap/>
            <w:vAlign w:val="bottom"/>
            <w:hideMark/>
          </w:tcPr>
          <w:p w14:paraId="7BDEE3F9" w14:textId="315EFC0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6.3</w:t>
            </w:r>
          </w:p>
        </w:tc>
        <w:tc>
          <w:tcPr>
            <w:tcW w:w="900" w:type="dxa"/>
            <w:tcBorders>
              <w:top w:val="nil"/>
              <w:left w:val="nil"/>
              <w:bottom w:val="single" w:sz="4" w:space="0" w:color="auto"/>
              <w:right w:val="single" w:sz="4" w:space="0" w:color="auto"/>
            </w:tcBorders>
            <w:shd w:val="clear" w:color="auto" w:fill="auto"/>
            <w:noWrap/>
            <w:vAlign w:val="bottom"/>
            <w:hideMark/>
          </w:tcPr>
          <w:p w14:paraId="30DCAF16" w14:textId="5F8E401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0.0</w:t>
            </w:r>
          </w:p>
        </w:tc>
        <w:tc>
          <w:tcPr>
            <w:tcW w:w="900" w:type="dxa"/>
            <w:tcBorders>
              <w:top w:val="nil"/>
              <w:left w:val="nil"/>
              <w:bottom w:val="single" w:sz="4" w:space="0" w:color="auto"/>
              <w:right w:val="single" w:sz="4" w:space="0" w:color="auto"/>
            </w:tcBorders>
            <w:shd w:val="clear" w:color="auto" w:fill="auto"/>
            <w:vAlign w:val="bottom"/>
            <w:hideMark/>
          </w:tcPr>
          <w:p w14:paraId="1D359A90" w14:textId="4697828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0.3%</w:t>
            </w:r>
          </w:p>
        </w:tc>
        <w:tc>
          <w:tcPr>
            <w:tcW w:w="810" w:type="dxa"/>
            <w:tcBorders>
              <w:top w:val="nil"/>
              <w:left w:val="nil"/>
              <w:bottom w:val="single" w:sz="4" w:space="0" w:color="auto"/>
              <w:right w:val="single" w:sz="4" w:space="0" w:color="auto"/>
            </w:tcBorders>
            <w:shd w:val="clear" w:color="auto" w:fill="auto"/>
            <w:vAlign w:val="bottom"/>
            <w:hideMark/>
          </w:tcPr>
          <w:p w14:paraId="2C77494D" w14:textId="7C015F1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89.9</w:t>
            </w:r>
          </w:p>
        </w:tc>
      </w:tr>
      <w:tr w:rsidR="00FD4BEF" w:rsidRPr="00BF6234" w14:paraId="28EE751E"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FC0ADD7"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7/7/2017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1DDA0685" w14:textId="695E072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203,963</w:t>
            </w:r>
          </w:p>
        </w:tc>
        <w:tc>
          <w:tcPr>
            <w:tcW w:w="900" w:type="dxa"/>
            <w:tcBorders>
              <w:top w:val="nil"/>
              <w:left w:val="nil"/>
              <w:bottom w:val="single" w:sz="4" w:space="0" w:color="auto"/>
              <w:right w:val="single" w:sz="4" w:space="0" w:color="auto"/>
            </w:tcBorders>
            <w:shd w:val="clear" w:color="auto" w:fill="auto"/>
            <w:noWrap/>
            <w:vAlign w:val="bottom"/>
            <w:hideMark/>
          </w:tcPr>
          <w:p w14:paraId="5038E811" w14:textId="574529F9"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1,315.8</w:t>
            </w:r>
          </w:p>
        </w:tc>
        <w:tc>
          <w:tcPr>
            <w:tcW w:w="900" w:type="dxa"/>
            <w:tcBorders>
              <w:top w:val="nil"/>
              <w:left w:val="nil"/>
              <w:bottom w:val="single" w:sz="4" w:space="0" w:color="auto"/>
              <w:right w:val="single" w:sz="4" w:space="0" w:color="auto"/>
            </w:tcBorders>
            <w:shd w:val="clear" w:color="auto" w:fill="auto"/>
            <w:noWrap/>
            <w:vAlign w:val="bottom"/>
            <w:hideMark/>
          </w:tcPr>
          <w:p w14:paraId="322BC684" w14:textId="3B95F8C2"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14.1</w:t>
            </w:r>
          </w:p>
        </w:tc>
        <w:tc>
          <w:tcPr>
            <w:tcW w:w="720" w:type="dxa"/>
            <w:tcBorders>
              <w:top w:val="nil"/>
              <w:left w:val="nil"/>
              <w:bottom w:val="single" w:sz="4" w:space="0" w:color="auto"/>
              <w:right w:val="single" w:sz="4" w:space="0" w:color="auto"/>
            </w:tcBorders>
            <w:shd w:val="clear" w:color="auto" w:fill="auto"/>
            <w:noWrap/>
            <w:vAlign w:val="bottom"/>
            <w:hideMark/>
          </w:tcPr>
          <w:p w14:paraId="546B96D6" w14:textId="38116D2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6.5</w:t>
            </w:r>
          </w:p>
        </w:tc>
        <w:tc>
          <w:tcPr>
            <w:tcW w:w="900" w:type="dxa"/>
            <w:tcBorders>
              <w:top w:val="nil"/>
              <w:left w:val="nil"/>
              <w:bottom w:val="single" w:sz="4" w:space="0" w:color="auto"/>
              <w:right w:val="single" w:sz="4" w:space="0" w:color="auto"/>
            </w:tcBorders>
            <w:shd w:val="clear" w:color="auto" w:fill="auto"/>
            <w:noWrap/>
            <w:vAlign w:val="bottom"/>
            <w:hideMark/>
          </w:tcPr>
          <w:p w14:paraId="3E866443" w14:textId="156D309D"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44C133FC" w14:textId="18778519"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1.1%</w:t>
            </w:r>
          </w:p>
        </w:tc>
        <w:tc>
          <w:tcPr>
            <w:tcW w:w="810" w:type="dxa"/>
            <w:tcBorders>
              <w:top w:val="nil"/>
              <w:left w:val="nil"/>
              <w:bottom w:val="single" w:sz="4" w:space="0" w:color="auto"/>
              <w:right w:val="single" w:sz="4" w:space="0" w:color="auto"/>
            </w:tcBorders>
            <w:shd w:val="clear" w:color="auto" w:fill="auto"/>
            <w:vAlign w:val="bottom"/>
            <w:hideMark/>
          </w:tcPr>
          <w:p w14:paraId="42F415A0" w14:textId="12491182"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96.0</w:t>
            </w:r>
          </w:p>
        </w:tc>
      </w:tr>
      <w:tr w:rsidR="00FD4BEF" w:rsidRPr="00BF6234" w14:paraId="5E020F6A"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5F0FB924"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7/27/2017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793E9196" w14:textId="1368284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203,037</w:t>
            </w:r>
          </w:p>
        </w:tc>
        <w:tc>
          <w:tcPr>
            <w:tcW w:w="900" w:type="dxa"/>
            <w:tcBorders>
              <w:top w:val="nil"/>
              <w:left w:val="nil"/>
              <w:bottom w:val="single" w:sz="4" w:space="0" w:color="auto"/>
              <w:right w:val="single" w:sz="4" w:space="0" w:color="auto"/>
            </w:tcBorders>
            <w:shd w:val="clear" w:color="auto" w:fill="auto"/>
            <w:noWrap/>
            <w:vAlign w:val="bottom"/>
            <w:hideMark/>
          </w:tcPr>
          <w:p w14:paraId="70641CD4" w14:textId="1DDCDD38"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1,277.1</w:t>
            </w:r>
          </w:p>
        </w:tc>
        <w:tc>
          <w:tcPr>
            <w:tcW w:w="900" w:type="dxa"/>
            <w:tcBorders>
              <w:top w:val="nil"/>
              <w:left w:val="nil"/>
              <w:bottom w:val="single" w:sz="4" w:space="0" w:color="auto"/>
              <w:right w:val="single" w:sz="4" w:space="0" w:color="auto"/>
            </w:tcBorders>
            <w:shd w:val="clear" w:color="auto" w:fill="auto"/>
            <w:noWrap/>
            <w:vAlign w:val="bottom"/>
            <w:hideMark/>
          </w:tcPr>
          <w:p w14:paraId="4BB2DC3D" w14:textId="7319361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4.7</w:t>
            </w:r>
          </w:p>
        </w:tc>
        <w:tc>
          <w:tcPr>
            <w:tcW w:w="720" w:type="dxa"/>
            <w:tcBorders>
              <w:top w:val="nil"/>
              <w:left w:val="nil"/>
              <w:bottom w:val="single" w:sz="4" w:space="0" w:color="auto"/>
              <w:right w:val="single" w:sz="4" w:space="0" w:color="auto"/>
            </w:tcBorders>
            <w:shd w:val="clear" w:color="auto" w:fill="auto"/>
            <w:noWrap/>
            <w:vAlign w:val="bottom"/>
            <w:hideMark/>
          </w:tcPr>
          <w:p w14:paraId="27B7E74E" w14:textId="7F3EF617"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6.3</w:t>
            </w:r>
          </w:p>
        </w:tc>
        <w:tc>
          <w:tcPr>
            <w:tcW w:w="900" w:type="dxa"/>
            <w:tcBorders>
              <w:top w:val="nil"/>
              <w:left w:val="nil"/>
              <w:bottom w:val="single" w:sz="4" w:space="0" w:color="auto"/>
              <w:right w:val="single" w:sz="4" w:space="0" w:color="auto"/>
            </w:tcBorders>
            <w:shd w:val="clear" w:color="auto" w:fill="auto"/>
            <w:noWrap/>
            <w:vAlign w:val="bottom"/>
            <w:hideMark/>
          </w:tcPr>
          <w:p w14:paraId="55315854" w14:textId="4D7F820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0.0</w:t>
            </w:r>
          </w:p>
        </w:tc>
        <w:tc>
          <w:tcPr>
            <w:tcW w:w="900" w:type="dxa"/>
            <w:tcBorders>
              <w:top w:val="nil"/>
              <w:left w:val="nil"/>
              <w:bottom w:val="single" w:sz="4" w:space="0" w:color="auto"/>
              <w:right w:val="single" w:sz="4" w:space="0" w:color="auto"/>
            </w:tcBorders>
            <w:shd w:val="clear" w:color="auto" w:fill="auto"/>
            <w:vAlign w:val="bottom"/>
            <w:hideMark/>
          </w:tcPr>
          <w:p w14:paraId="611662CF" w14:textId="59C1AD9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0.4%</w:t>
            </w:r>
          </w:p>
        </w:tc>
        <w:tc>
          <w:tcPr>
            <w:tcW w:w="810" w:type="dxa"/>
            <w:tcBorders>
              <w:top w:val="nil"/>
              <w:left w:val="nil"/>
              <w:bottom w:val="single" w:sz="4" w:space="0" w:color="auto"/>
              <w:right w:val="single" w:sz="4" w:space="0" w:color="auto"/>
            </w:tcBorders>
            <w:shd w:val="clear" w:color="auto" w:fill="auto"/>
            <w:vAlign w:val="bottom"/>
            <w:hideMark/>
          </w:tcPr>
          <w:p w14:paraId="32D9864D" w14:textId="3BDDE252"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91.5</w:t>
            </w:r>
          </w:p>
        </w:tc>
      </w:tr>
      <w:tr w:rsidR="00FD4BEF" w:rsidRPr="00BF6234" w14:paraId="029BF476"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10162E60"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7/31/2017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3DFDDCB0" w14:textId="3D1F692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202,851</w:t>
            </w:r>
          </w:p>
        </w:tc>
        <w:tc>
          <w:tcPr>
            <w:tcW w:w="900" w:type="dxa"/>
            <w:tcBorders>
              <w:top w:val="nil"/>
              <w:left w:val="nil"/>
              <w:bottom w:val="single" w:sz="4" w:space="0" w:color="auto"/>
              <w:right w:val="single" w:sz="4" w:space="0" w:color="auto"/>
            </w:tcBorders>
            <w:shd w:val="clear" w:color="auto" w:fill="auto"/>
            <w:noWrap/>
            <w:vAlign w:val="bottom"/>
            <w:hideMark/>
          </w:tcPr>
          <w:p w14:paraId="4F080E2C" w14:textId="79113B9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1,241.4</w:t>
            </w:r>
          </w:p>
        </w:tc>
        <w:tc>
          <w:tcPr>
            <w:tcW w:w="900" w:type="dxa"/>
            <w:tcBorders>
              <w:top w:val="nil"/>
              <w:left w:val="nil"/>
              <w:bottom w:val="single" w:sz="4" w:space="0" w:color="auto"/>
              <w:right w:val="single" w:sz="4" w:space="0" w:color="auto"/>
            </w:tcBorders>
            <w:shd w:val="clear" w:color="auto" w:fill="auto"/>
            <w:noWrap/>
            <w:vAlign w:val="bottom"/>
            <w:hideMark/>
          </w:tcPr>
          <w:p w14:paraId="03149DB5" w14:textId="5ADB9034"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12.7</w:t>
            </w:r>
          </w:p>
        </w:tc>
        <w:tc>
          <w:tcPr>
            <w:tcW w:w="720" w:type="dxa"/>
            <w:tcBorders>
              <w:top w:val="nil"/>
              <w:left w:val="nil"/>
              <w:bottom w:val="single" w:sz="4" w:space="0" w:color="auto"/>
              <w:right w:val="single" w:sz="4" w:space="0" w:color="auto"/>
            </w:tcBorders>
            <w:shd w:val="clear" w:color="auto" w:fill="auto"/>
            <w:noWrap/>
            <w:vAlign w:val="bottom"/>
            <w:hideMark/>
          </w:tcPr>
          <w:p w14:paraId="48F2D590" w14:textId="60D445B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6.1</w:t>
            </w:r>
          </w:p>
        </w:tc>
        <w:tc>
          <w:tcPr>
            <w:tcW w:w="900" w:type="dxa"/>
            <w:tcBorders>
              <w:top w:val="nil"/>
              <w:left w:val="nil"/>
              <w:bottom w:val="single" w:sz="4" w:space="0" w:color="auto"/>
              <w:right w:val="single" w:sz="4" w:space="0" w:color="auto"/>
            </w:tcBorders>
            <w:shd w:val="clear" w:color="auto" w:fill="auto"/>
            <w:noWrap/>
            <w:vAlign w:val="bottom"/>
            <w:hideMark/>
          </w:tcPr>
          <w:p w14:paraId="26F7C09F" w14:textId="0B57AB7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09A54CF0" w14:textId="0FD4776D"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nil"/>
              <w:left w:val="nil"/>
              <w:bottom w:val="single" w:sz="4" w:space="0" w:color="auto"/>
              <w:right w:val="single" w:sz="4" w:space="0" w:color="auto"/>
            </w:tcBorders>
            <w:shd w:val="clear" w:color="auto" w:fill="auto"/>
            <w:vAlign w:val="bottom"/>
            <w:hideMark/>
          </w:tcPr>
          <w:p w14:paraId="25853701" w14:textId="58C645B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89.6</w:t>
            </w:r>
          </w:p>
        </w:tc>
      </w:tr>
      <w:tr w:rsidR="00FD4BEF" w:rsidRPr="00BF6234" w14:paraId="564769B2"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3FE1734"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8/1/2017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35CCF28C" w14:textId="2528859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202,629</w:t>
            </w:r>
          </w:p>
        </w:tc>
        <w:tc>
          <w:tcPr>
            <w:tcW w:w="900" w:type="dxa"/>
            <w:tcBorders>
              <w:top w:val="nil"/>
              <w:left w:val="nil"/>
              <w:bottom w:val="single" w:sz="4" w:space="0" w:color="auto"/>
              <w:right w:val="single" w:sz="4" w:space="0" w:color="auto"/>
            </w:tcBorders>
            <w:shd w:val="clear" w:color="auto" w:fill="auto"/>
            <w:noWrap/>
            <w:vAlign w:val="bottom"/>
            <w:hideMark/>
          </w:tcPr>
          <w:p w14:paraId="1281A85F" w14:textId="1E9AF63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1,312.9</w:t>
            </w:r>
          </w:p>
        </w:tc>
        <w:tc>
          <w:tcPr>
            <w:tcW w:w="900" w:type="dxa"/>
            <w:tcBorders>
              <w:top w:val="nil"/>
              <w:left w:val="nil"/>
              <w:bottom w:val="single" w:sz="4" w:space="0" w:color="auto"/>
              <w:right w:val="single" w:sz="4" w:space="0" w:color="auto"/>
            </w:tcBorders>
            <w:shd w:val="clear" w:color="auto" w:fill="auto"/>
            <w:noWrap/>
            <w:vAlign w:val="bottom"/>
            <w:hideMark/>
          </w:tcPr>
          <w:p w14:paraId="1325113E" w14:textId="016D10F2"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12.3</w:t>
            </w:r>
          </w:p>
        </w:tc>
        <w:tc>
          <w:tcPr>
            <w:tcW w:w="720" w:type="dxa"/>
            <w:tcBorders>
              <w:top w:val="nil"/>
              <w:left w:val="nil"/>
              <w:bottom w:val="single" w:sz="4" w:space="0" w:color="auto"/>
              <w:right w:val="single" w:sz="4" w:space="0" w:color="auto"/>
            </w:tcBorders>
            <w:shd w:val="clear" w:color="auto" w:fill="auto"/>
            <w:noWrap/>
            <w:vAlign w:val="bottom"/>
            <w:hideMark/>
          </w:tcPr>
          <w:p w14:paraId="10132B01" w14:textId="5451956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6.5</w:t>
            </w:r>
          </w:p>
        </w:tc>
        <w:tc>
          <w:tcPr>
            <w:tcW w:w="900" w:type="dxa"/>
            <w:tcBorders>
              <w:top w:val="nil"/>
              <w:left w:val="nil"/>
              <w:bottom w:val="single" w:sz="4" w:space="0" w:color="auto"/>
              <w:right w:val="single" w:sz="4" w:space="0" w:color="auto"/>
            </w:tcBorders>
            <w:shd w:val="clear" w:color="auto" w:fill="auto"/>
            <w:noWrap/>
            <w:vAlign w:val="bottom"/>
            <w:hideMark/>
          </w:tcPr>
          <w:p w14:paraId="4A6570AC" w14:textId="205ED272"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30A04FE0" w14:textId="7DC83CF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0.9%</w:t>
            </w:r>
          </w:p>
        </w:tc>
        <w:tc>
          <w:tcPr>
            <w:tcW w:w="810" w:type="dxa"/>
            <w:tcBorders>
              <w:top w:val="nil"/>
              <w:left w:val="nil"/>
              <w:bottom w:val="single" w:sz="4" w:space="0" w:color="auto"/>
              <w:right w:val="single" w:sz="4" w:space="0" w:color="auto"/>
            </w:tcBorders>
            <w:shd w:val="clear" w:color="auto" w:fill="auto"/>
            <w:vAlign w:val="bottom"/>
            <w:hideMark/>
          </w:tcPr>
          <w:p w14:paraId="1125129A" w14:textId="5D3B2B1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93.1</w:t>
            </w:r>
          </w:p>
        </w:tc>
      </w:tr>
      <w:tr w:rsidR="00FD4BEF" w:rsidRPr="00BF6234" w14:paraId="298E78E4"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0CAEC402"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8/2/2017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27A23B3F" w14:textId="39E43A1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202,563</w:t>
            </w:r>
          </w:p>
        </w:tc>
        <w:tc>
          <w:tcPr>
            <w:tcW w:w="900" w:type="dxa"/>
            <w:tcBorders>
              <w:top w:val="nil"/>
              <w:left w:val="nil"/>
              <w:bottom w:val="single" w:sz="4" w:space="0" w:color="auto"/>
              <w:right w:val="single" w:sz="4" w:space="0" w:color="auto"/>
            </w:tcBorders>
            <w:shd w:val="clear" w:color="auto" w:fill="auto"/>
            <w:noWrap/>
            <w:vAlign w:val="bottom"/>
            <w:hideMark/>
          </w:tcPr>
          <w:p w14:paraId="15C7B469" w14:textId="0395D20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1,346.8</w:t>
            </w:r>
          </w:p>
        </w:tc>
        <w:tc>
          <w:tcPr>
            <w:tcW w:w="900" w:type="dxa"/>
            <w:tcBorders>
              <w:top w:val="nil"/>
              <w:left w:val="nil"/>
              <w:bottom w:val="single" w:sz="4" w:space="0" w:color="auto"/>
              <w:right w:val="single" w:sz="4" w:space="0" w:color="auto"/>
            </w:tcBorders>
            <w:shd w:val="clear" w:color="auto" w:fill="auto"/>
            <w:noWrap/>
            <w:vAlign w:val="bottom"/>
            <w:hideMark/>
          </w:tcPr>
          <w:p w14:paraId="2960CF6D" w14:textId="60B6BFB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6.1</w:t>
            </w:r>
          </w:p>
        </w:tc>
        <w:tc>
          <w:tcPr>
            <w:tcW w:w="720" w:type="dxa"/>
            <w:tcBorders>
              <w:top w:val="nil"/>
              <w:left w:val="nil"/>
              <w:bottom w:val="single" w:sz="4" w:space="0" w:color="auto"/>
              <w:right w:val="single" w:sz="4" w:space="0" w:color="auto"/>
            </w:tcBorders>
            <w:shd w:val="clear" w:color="auto" w:fill="auto"/>
            <w:noWrap/>
            <w:vAlign w:val="bottom"/>
            <w:hideMark/>
          </w:tcPr>
          <w:p w14:paraId="020253AE" w14:textId="27762EE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6.6</w:t>
            </w:r>
          </w:p>
        </w:tc>
        <w:tc>
          <w:tcPr>
            <w:tcW w:w="900" w:type="dxa"/>
            <w:tcBorders>
              <w:top w:val="nil"/>
              <w:left w:val="nil"/>
              <w:bottom w:val="single" w:sz="4" w:space="0" w:color="auto"/>
              <w:right w:val="single" w:sz="4" w:space="0" w:color="auto"/>
            </w:tcBorders>
            <w:shd w:val="clear" w:color="auto" w:fill="auto"/>
            <w:noWrap/>
            <w:vAlign w:val="bottom"/>
            <w:hideMark/>
          </w:tcPr>
          <w:p w14:paraId="2E50EDD7" w14:textId="7A24706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0.0</w:t>
            </w:r>
          </w:p>
        </w:tc>
        <w:tc>
          <w:tcPr>
            <w:tcW w:w="900" w:type="dxa"/>
            <w:tcBorders>
              <w:top w:val="nil"/>
              <w:left w:val="nil"/>
              <w:bottom w:val="single" w:sz="4" w:space="0" w:color="auto"/>
              <w:right w:val="single" w:sz="4" w:space="0" w:color="auto"/>
            </w:tcBorders>
            <w:shd w:val="clear" w:color="auto" w:fill="auto"/>
            <w:vAlign w:val="bottom"/>
            <w:hideMark/>
          </w:tcPr>
          <w:p w14:paraId="71C10A5A" w14:textId="284B0E6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0.4%</w:t>
            </w:r>
          </w:p>
        </w:tc>
        <w:tc>
          <w:tcPr>
            <w:tcW w:w="810" w:type="dxa"/>
            <w:tcBorders>
              <w:top w:val="nil"/>
              <w:left w:val="nil"/>
              <w:bottom w:val="single" w:sz="4" w:space="0" w:color="auto"/>
              <w:right w:val="single" w:sz="4" w:space="0" w:color="auto"/>
            </w:tcBorders>
            <w:shd w:val="clear" w:color="auto" w:fill="auto"/>
            <w:vAlign w:val="bottom"/>
            <w:hideMark/>
          </w:tcPr>
          <w:p w14:paraId="15B706D9" w14:textId="51C8DA3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93.2</w:t>
            </w:r>
          </w:p>
        </w:tc>
      </w:tr>
      <w:tr w:rsidR="00FD4BEF" w:rsidRPr="00BF6234" w14:paraId="79F84726"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59C0964C"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8/28/2017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4C52C8C9" w14:textId="25A76DE6"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201,555</w:t>
            </w:r>
          </w:p>
        </w:tc>
        <w:tc>
          <w:tcPr>
            <w:tcW w:w="900" w:type="dxa"/>
            <w:tcBorders>
              <w:top w:val="nil"/>
              <w:left w:val="nil"/>
              <w:bottom w:val="single" w:sz="4" w:space="0" w:color="auto"/>
              <w:right w:val="single" w:sz="4" w:space="0" w:color="auto"/>
            </w:tcBorders>
            <w:shd w:val="clear" w:color="auto" w:fill="auto"/>
            <w:noWrap/>
            <w:vAlign w:val="bottom"/>
            <w:hideMark/>
          </w:tcPr>
          <w:p w14:paraId="1EEDA56E" w14:textId="232FE719"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1,383.3</w:t>
            </w:r>
          </w:p>
        </w:tc>
        <w:tc>
          <w:tcPr>
            <w:tcW w:w="900" w:type="dxa"/>
            <w:tcBorders>
              <w:top w:val="nil"/>
              <w:left w:val="nil"/>
              <w:bottom w:val="single" w:sz="4" w:space="0" w:color="auto"/>
              <w:right w:val="single" w:sz="4" w:space="0" w:color="auto"/>
            </w:tcBorders>
            <w:shd w:val="clear" w:color="auto" w:fill="auto"/>
            <w:noWrap/>
            <w:vAlign w:val="bottom"/>
            <w:hideMark/>
          </w:tcPr>
          <w:p w14:paraId="1DF041B5" w14:textId="54907B4F"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25.5</w:t>
            </w:r>
          </w:p>
        </w:tc>
        <w:tc>
          <w:tcPr>
            <w:tcW w:w="720" w:type="dxa"/>
            <w:tcBorders>
              <w:top w:val="nil"/>
              <w:left w:val="nil"/>
              <w:bottom w:val="single" w:sz="4" w:space="0" w:color="auto"/>
              <w:right w:val="single" w:sz="4" w:space="0" w:color="auto"/>
            </w:tcBorders>
            <w:shd w:val="clear" w:color="auto" w:fill="auto"/>
            <w:noWrap/>
            <w:vAlign w:val="bottom"/>
            <w:hideMark/>
          </w:tcPr>
          <w:p w14:paraId="251580F1" w14:textId="72AFA058"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6.9</w:t>
            </w:r>
          </w:p>
        </w:tc>
        <w:tc>
          <w:tcPr>
            <w:tcW w:w="900" w:type="dxa"/>
            <w:tcBorders>
              <w:top w:val="nil"/>
              <w:left w:val="nil"/>
              <w:bottom w:val="single" w:sz="4" w:space="0" w:color="auto"/>
              <w:right w:val="single" w:sz="4" w:space="0" w:color="auto"/>
            </w:tcBorders>
            <w:shd w:val="clear" w:color="auto" w:fill="auto"/>
            <w:noWrap/>
            <w:vAlign w:val="bottom"/>
            <w:hideMark/>
          </w:tcPr>
          <w:p w14:paraId="45005C44" w14:textId="6B6DDD2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39E077D1" w14:textId="094BB72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1.8%</w:t>
            </w:r>
          </w:p>
        </w:tc>
        <w:tc>
          <w:tcPr>
            <w:tcW w:w="810" w:type="dxa"/>
            <w:tcBorders>
              <w:top w:val="nil"/>
              <w:left w:val="nil"/>
              <w:bottom w:val="single" w:sz="4" w:space="0" w:color="auto"/>
              <w:right w:val="single" w:sz="4" w:space="0" w:color="auto"/>
            </w:tcBorders>
            <w:shd w:val="clear" w:color="auto" w:fill="auto"/>
            <w:vAlign w:val="bottom"/>
            <w:hideMark/>
          </w:tcPr>
          <w:p w14:paraId="736161F7" w14:textId="58D022E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95.8</w:t>
            </w:r>
          </w:p>
        </w:tc>
      </w:tr>
      <w:tr w:rsidR="00FD4BEF" w:rsidRPr="00BF6234" w14:paraId="61BEFF1D"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4CE77E9"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8/29/2017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3FDB1045" w14:textId="7FC17C0D"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201,521</w:t>
            </w:r>
          </w:p>
        </w:tc>
        <w:tc>
          <w:tcPr>
            <w:tcW w:w="900" w:type="dxa"/>
            <w:tcBorders>
              <w:top w:val="nil"/>
              <w:left w:val="nil"/>
              <w:bottom w:val="single" w:sz="4" w:space="0" w:color="auto"/>
              <w:right w:val="single" w:sz="4" w:space="0" w:color="auto"/>
            </w:tcBorders>
            <w:shd w:val="clear" w:color="auto" w:fill="auto"/>
            <w:noWrap/>
            <w:vAlign w:val="bottom"/>
            <w:hideMark/>
          </w:tcPr>
          <w:p w14:paraId="520BECC0" w14:textId="3CC0F3F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1,306.0</w:t>
            </w:r>
          </w:p>
        </w:tc>
        <w:tc>
          <w:tcPr>
            <w:tcW w:w="900" w:type="dxa"/>
            <w:tcBorders>
              <w:top w:val="nil"/>
              <w:left w:val="nil"/>
              <w:bottom w:val="single" w:sz="4" w:space="0" w:color="auto"/>
              <w:right w:val="single" w:sz="4" w:space="0" w:color="auto"/>
            </w:tcBorders>
            <w:shd w:val="clear" w:color="auto" w:fill="auto"/>
            <w:noWrap/>
            <w:vAlign w:val="bottom"/>
            <w:hideMark/>
          </w:tcPr>
          <w:p w14:paraId="2E8658BE" w14:textId="729D12A9"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8.1</w:t>
            </w:r>
          </w:p>
        </w:tc>
        <w:tc>
          <w:tcPr>
            <w:tcW w:w="720" w:type="dxa"/>
            <w:tcBorders>
              <w:top w:val="nil"/>
              <w:left w:val="nil"/>
              <w:bottom w:val="single" w:sz="4" w:space="0" w:color="auto"/>
              <w:right w:val="single" w:sz="4" w:space="0" w:color="auto"/>
            </w:tcBorders>
            <w:shd w:val="clear" w:color="auto" w:fill="auto"/>
            <w:noWrap/>
            <w:vAlign w:val="bottom"/>
            <w:hideMark/>
          </w:tcPr>
          <w:p w14:paraId="73074670" w14:textId="07CBA1A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6.5</w:t>
            </w:r>
          </w:p>
        </w:tc>
        <w:tc>
          <w:tcPr>
            <w:tcW w:w="900" w:type="dxa"/>
            <w:tcBorders>
              <w:top w:val="nil"/>
              <w:left w:val="nil"/>
              <w:bottom w:val="single" w:sz="4" w:space="0" w:color="auto"/>
              <w:right w:val="single" w:sz="4" w:space="0" w:color="auto"/>
            </w:tcBorders>
            <w:shd w:val="clear" w:color="auto" w:fill="auto"/>
            <w:noWrap/>
            <w:vAlign w:val="bottom"/>
            <w:hideMark/>
          </w:tcPr>
          <w:p w14:paraId="79263996" w14:textId="4EAA19B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0.0</w:t>
            </w:r>
          </w:p>
        </w:tc>
        <w:tc>
          <w:tcPr>
            <w:tcW w:w="900" w:type="dxa"/>
            <w:tcBorders>
              <w:top w:val="nil"/>
              <w:left w:val="nil"/>
              <w:bottom w:val="single" w:sz="4" w:space="0" w:color="auto"/>
              <w:right w:val="single" w:sz="4" w:space="0" w:color="auto"/>
            </w:tcBorders>
            <w:shd w:val="clear" w:color="auto" w:fill="auto"/>
            <w:vAlign w:val="bottom"/>
            <w:hideMark/>
          </w:tcPr>
          <w:p w14:paraId="4A7C15EB" w14:textId="1286155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0.6%</w:t>
            </w:r>
          </w:p>
        </w:tc>
        <w:tc>
          <w:tcPr>
            <w:tcW w:w="810" w:type="dxa"/>
            <w:tcBorders>
              <w:top w:val="nil"/>
              <w:left w:val="nil"/>
              <w:bottom w:val="single" w:sz="4" w:space="0" w:color="auto"/>
              <w:right w:val="single" w:sz="4" w:space="0" w:color="auto"/>
            </w:tcBorders>
            <w:shd w:val="clear" w:color="auto" w:fill="auto"/>
            <w:vAlign w:val="bottom"/>
            <w:hideMark/>
          </w:tcPr>
          <w:p w14:paraId="1561BDE7" w14:textId="1670CD0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89.8</w:t>
            </w:r>
          </w:p>
        </w:tc>
      </w:tr>
      <w:tr w:rsidR="00FD4BEF" w:rsidRPr="00BF6234" w14:paraId="21599967"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74DDE36"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8/31/2017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0152C64A" w14:textId="515CEEB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201,360</w:t>
            </w:r>
          </w:p>
        </w:tc>
        <w:tc>
          <w:tcPr>
            <w:tcW w:w="900" w:type="dxa"/>
            <w:tcBorders>
              <w:top w:val="nil"/>
              <w:left w:val="nil"/>
              <w:bottom w:val="single" w:sz="4" w:space="0" w:color="auto"/>
              <w:right w:val="single" w:sz="4" w:space="0" w:color="auto"/>
            </w:tcBorders>
            <w:shd w:val="clear" w:color="auto" w:fill="auto"/>
            <w:noWrap/>
            <w:vAlign w:val="bottom"/>
            <w:hideMark/>
          </w:tcPr>
          <w:p w14:paraId="5F8DC458" w14:textId="753F29C9"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1,337.1</w:t>
            </w:r>
          </w:p>
        </w:tc>
        <w:tc>
          <w:tcPr>
            <w:tcW w:w="900" w:type="dxa"/>
            <w:tcBorders>
              <w:top w:val="nil"/>
              <w:left w:val="nil"/>
              <w:bottom w:val="single" w:sz="4" w:space="0" w:color="auto"/>
              <w:right w:val="single" w:sz="4" w:space="0" w:color="auto"/>
            </w:tcBorders>
            <w:shd w:val="clear" w:color="auto" w:fill="auto"/>
            <w:noWrap/>
            <w:vAlign w:val="bottom"/>
            <w:hideMark/>
          </w:tcPr>
          <w:p w14:paraId="5CB25E67" w14:textId="1CCA9D2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12.9</w:t>
            </w:r>
          </w:p>
        </w:tc>
        <w:tc>
          <w:tcPr>
            <w:tcW w:w="720" w:type="dxa"/>
            <w:tcBorders>
              <w:top w:val="nil"/>
              <w:left w:val="nil"/>
              <w:bottom w:val="single" w:sz="4" w:space="0" w:color="auto"/>
              <w:right w:val="single" w:sz="4" w:space="0" w:color="auto"/>
            </w:tcBorders>
            <w:shd w:val="clear" w:color="auto" w:fill="auto"/>
            <w:noWrap/>
            <w:vAlign w:val="bottom"/>
            <w:hideMark/>
          </w:tcPr>
          <w:p w14:paraId="41DC7314" w14:textId="5C8C276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6.6</w:t>
            </w:r>
          </w:p>
        </w:tc>
        <w:tc>
          <w:tcPr>
            <w:tcW w:w="900" w:type="dxa"/>
            <w:tcBorders>
              <w:top w:val="nil"/>
              <w:left w:val="nil"/>
              <w:bottom w:val="single" w:sz="4" w:space="0" w:color="auto"/>
              <w:right w:val="single" w:sz="4" w:space="0" w:color="auto"/>
            </w:tcBorders>
            <w:shd w:val="clear" w:color="auto" w:fill="auto"/>
            <w:noWrap/>
            <w:vAlign w:val="bottom"/>
            <w:hideMark/>
          </w:tcPr>
          <w:p w14:paraId="4137A20E" w14:textId="56C0272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0E50BA1F" w14:textId="2A5A531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nil"/>
              <w:left w:val="nil"/>
              <w:bottom w:val="single" w:sz="4" w:space="0" w:color="auto"/>
              <w:right w:val="single" w:sz="4" w:space="0" w:color="auto"/>
            </w:tcBorders>
            <w:shd w:val="clear" w:color="auto" w:fill="auto"/>
            <w:vAlign w:val="bottom"/>
            <w:hideMark/>
          </w:tcPr>
          <w:p w14:paraId="4A00F23B" w14:textId="10922277"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95.1</w:t>
            </w:r>
          </w:p>
        </w:tc>
      </w:tr>
      <w:tr w:rsidR="00FD4BEF" w:rsidRPr="00BF6234" w14:paraId="6E5D6CB5"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055EC157"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9/1/2017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1F2BCD92" w14:textId="13330A85"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201,172</w:t>
            </w:r>
          </w:p>
        </w:tc>
        <w:tc>
          <w:tcPr>
            <w:tcW w:w="900" w:type="dxa"/>
            <w:tcBorders>
              <w:top w:val="nil"/>
              <w:left w:val="nil"/>
              <w:bottom w:val="single" w:sz="4" w:space="0" w:color="auto"/>
              <w:right w:val="single" w:sz="4" w:space="0" w:color="auto"/>
            </w:tcBorders>
            <w:shd w:val="clear" w:color="auto" w:fill="auto"/>
            <w:noWrap/>
            <w:vAlign w:val="bottom"/>
            <w:hideMark/>
          </w:tcPr>
          <w:p w14:paraId="6E7A1EE5" w14:textId="28274598"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1,413.9</w:t>
            </w:r>
          </w:p>
        </w:tc>
        <w:tc>
          <w:tcPr>
            <w:tcW w:w="900" w:type="dxa"/>
            <w:tcBorders>
              <w:top w:val="nil"/>
              <w:left w:val="nil"/>
              <w:bottom w:val="single" w:sz="4" w:space="0" w:color="auto"/>
              <w:right w:val="single" w:sz="4" w:space="0" w:color="auto"/>
            </w:tcBorders>
            <w:shd w:val="clear" w:color="auto" w:fill="auto"/>
            <w:noWrap/>
            <w:vAlign w:val="bottom"/>
            <w:hideMark/>
          </w:tcPr>
          <w:p w14:paraId="5E00349F" w14:textId="590165CC"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30.2</w:t>
            </w:r>
          </w:p>
        </w:tc>
        <w:tc>
          <w:tcPr>
            <w:tcW w:w="720" w:type="dxa"/>
            <w:tcBorders>
              <w:top w:val="nil"/>
              <w:left w:val="nil"/>
              <w:bottom w:val="single" w:sz="4" w:space="0" w:color="auto"/>
              <w:right w:val="single" w:sz="4" w:space="0" w:color="auto"/>
            </w:tcBorders>
            <w:shd w:val="clear" w:color="auto" w:fill="auto"/>
            <w:noWrap/>
            <w:vAlign w:val="bottom"/>
            <w:hideMark/>
          </w:tcPr>
          <w:p w14:paraId="48EF944C" w14:textId="325F927B"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7.0</w:t>
            </w:r>
          </w:p>
        </w:tc>
        <w:tc>
          <w:tcPr>
            <w:tcW w:w="900" w:type="dxa"/>
            <w:tcBorders>
              <w:top w:val="nil"/>
              <w:left w:val="nil"/>
              <w:bottom w:val="single" w:sz="4" w:space="0" w:color="auto"/>
              <w:right w:val="single" w:sz="4" w:space="0" w:color="auto"/>
            </w:tcBorders>
            <w:shd w:val="clear" w:color="auto" w:fill="auto"/>
            <w:noWrap/>
            <w:vAlign w:val="bottom"/>
            <w:hideMark/>
          </w:tcPr>
          <w:p w14:paraId="2A190DF7" w14:textId="24E7A602"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1E3974DB" w14:textId="38819870"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2.1%</w:t>
            </w:r>
          </w:p>
        </w:tc>
        <w:tc>
          <w:tcPr>
            <w:tcW w:w="810" w:type="dxa"/>
            <w:tcBorders>
              <w:top w:val="nil"/>
              <w:left w:val="nil"/>
              <w:bottom w:val="single" w:sz="4" w:space="0" w:color="auto"/>
              <w:right w:val="single" w:sz="4" w:space="0" w:color="auto"/>
            </w:tcBorders>
            <w:shd w:val="clear" w:color="auto" w:fill="auto"/>
            <w:vAlign w:val="bottom"/>
            <w:hideMark/>
          </w:tcPr>
          <w:p w14:paraId="1D44AAE9" w14:textId="4F92AB9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103.2</w:t>
            </w:r>
          </w:p>
        </w:tc>
      </w:tr>
      <w:tr w:rsidR="00FD4BEF" w:rsidRPr="00BF6234" w14:paraId="40BB3587"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11204136" w14:textId="77777777" w:rsidR="00FD4BEF" w:rsidRPr="00BF6234" w:rsidRDefault="00FD4BEF" w:rsidP="00FD4BEF">
            <w:pPr>
              <w:jc w:val="center"/>
              <w:rPr>
                <w:rFonts w:ascii="Arial" w:hAnsi="Arial" w:cs="Arial"/>
                <w:color w:val="000000"/>
                <w:sz w:val="20"/>
                <w:szCs w:val="20"/>
              </w:rPr>
            </w:pPr>
            <w:r w:rsidRPr="00BF6234">
              <w:rPr>
                <w:rFonts w:ascii="Arial" w:hAnsi="Arial" w:cs="Arial"/>
                <w:color w:val="000000"/>
                <w:sz w:val="20"/>
                <w:szCs w:val="20"/>
              </w:rPr>
              <w:t>9/2/2017</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1D7265FF" w14:textId="05A59151"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201,167</w:t>
            </w:r>
          </w:p>
        </w:tc>
        <w:tc>
          <w:tcPr>
            <w:tcW w:w="900" w:type="dxa"/>
            <w:tcBorders>
              <w:top w:val="nil"/>
              <w:left w:val="nil"/>
              <w:bottom w:val="single" w:sz="4" w:space="0" w:color="auto"/>
              <w:right w:val="single" w:sz="4" w:space="0" w:color="auto"/>
            </w:tcBorders>
            <w:shd w:val="clear" w:color="auto" w:fill="auto"/>
            <w:noWrap/>
            <w:vAlign w:val="bottom"/>
            <w:hideMark/>
          </w:tcPr>
          <w:p w14:paraId="48BFB603" w14:textId="3BC493A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1,145.8</w:t>
            </w:r>
          </w:p>
        </w:tc>
        <w:tc>
          <w:tcPr>
            <w:tcW w:w="900" w:type="dxa"/>
            <w:tcBorders>
              <w:top w:val="nil"/>
              <w:left w:val="nil"/>
              <w:bottom w:val="single" w:sz="4" w:space="0" w:color="auto"/>
              <w:right w:val="single" w:sz="4" w:space="0" w:color="auto"/>
            </w:tcBorders>
            <w:shd w:val="clear" w:color="auto" w:fill="auto"/>
            <w:noWrap/>
            <w:vAlign w:val="bottom"/>
            <w:hideMark/>
          </w:tcPr>
          <w:p w14:paraId="7DB66AC7" w14:textId="281D25FE"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4.0</w:t>
            </w:r>
          </w:p>
        </w:tc>
        <w:tc>
          <w:tcPr>
            <w:tcW w:w="720" w:type="dxa"/>
            <w:tcBorders>
              <w:top w:val="nil"/>
              <w:left w:val="nil"/>
              <w:bottom w:val="single" w:sz="4" w:space="0" w:color="auto"/>
              <w:right w:val="single" w:sz="4" w:space="0" w:color="auto"/>
            </w:tcBorders>
            <w:shd w:val="clear" w:color="auto" w:fill="auto"/>
            <w:noWrap/>
            <w:vAlign w:val="bottom"/>
            <w:hideMark/>
          </w:tcPr>
          <w:p w14:paraId="5A2B3E64" w14:textId="26463E53"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5.7</w:t>
            </w:r>
          </w:p>
        </w:tc>
        <w:tc>
          <w:tcPr>
            <w:tcW w:w="900" w:type="dxa"/>
            <w:tcBorders>
              <w:top w:val="nil"/>
              <w:left w:val="nil"/>
              <w:bottom w:val="single" w:sz="4" w:space="0" w:color="auto"/>
              <w:right w:val="single" w:sz="4" w:space="0" w:color="auto"/>
            </w:tcBorders>
            <w:shd w:val="clear" w:color="auto" w:fill="auto"/>
            <w:noWrap/>
            <w:vAlign w:val="bottom"/>
            <w:hideMark/>
          </w:tcPr>
          <w:p w14:paraId="480563F6" w14:textId="5E19CC79"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0.0</w:t>
            </w:r>
          </w:p>
        </w:tc>
        <w:tc>
          <w:tcPr>
            <w:tcW w:w="900" w:type="dxa"/>
            <w:tcBorders>
              <w:top w:val="nil"/>
              <w:left w:val="nil"/>
              <w:bottom w:val="single" w:sz="4" w:space="0" w:color="auto"/>
              <w:right w:val="single" w:sz="4" w:space="0" w:color="auto"/>
            </w:tcBorders>
            <w:shd w:val="clear" w:color="auto" w:fill="auto"/>
            <w:vAlign w:val="bottom"/>
            <w:hideMark/>
          </w:tcPr>
          <w:p w14:paraId="11D8A1D9" w14:textId="32A266BA"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0.3%</w:t>
            </w:r>
          </w:p>
        </w:tc>
        <w:tc>
          <w:tcPr>
            <w:tcW w:w="810" w:type="dxa"/>
            <w:tcBorders>
              <w:top w:val="nil"/>
              <w:left w:val="nil"/>
              <w:bottom w:val="single" w:sz="4" w:space="0" w:color="auto"/>
              <w:right w:val="single" w:sz="4" w:space="0" w:color="auto"/>
            </w:tcBorders>
            <w:shd w:val="clear" w:color="auto" w:fill="auto"/>
            <w:vAlign w:val="bottom"/>
            <w:hideMark/>
          </w:tcPr>
          <w:p w14:paraId="3EC5AE44" w14:textId="4539584D" w:rsidR="00FD4BEF" w:rsidRPr="00BF6234" w:rsidRDefault="00FD4BEF" w:rsidP="00FD4BEF">
            <w:pPr>
              <w:jc w:val="center"/>
              <w:rPr>
                <w:rFonts w:ascii="Arial" w:hAnsi="Arial" w:cs="Arial"/>
                <w:color w:val="000000"/>
                <w:sz w:val="20"/>
                <w:szCs w:val="20"/>
              </w:rPr>
            </w:pPr>
            <w:r>
              <w:rPr>
                <w:rFonts w:ascii="Arial" w:hAnsi="Arial" w:cs="Arial"/>
                <w:color w:val="000000"/>
                <w:sz w:val="20"/>
                <w:szCs w:val="20"/>
              </w:rPr>
              <w:t>104.3</w:t>
            </w:r>
          </w:p>
        </w:tc>
      </w:tr>
      <w:tr w:rsidR="00FD4BEF" w:rsidRPr="00BF6234" w14:paraId="4A483991" w14:textId="77777777" w:rsidTr="00D00404">
        <w:trPr>
          <w:cantSplit/>
          <w:trHeight w:val="255"/>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6901592D" w14:textId="77777777" w:rsidR="00FD4BEF" w:rsidRPr="00BF6234" w:rsidRDefault="00FD4BEF" w:rsidP="00FD4BEF">
            <w:pPr>
              <w:jc w:val="center"/>
              <w:rPr>
                <w:rFonts w:ascii="Arial" w:hAnsi="Arial" w:cs="Arial"/>
                <w:b/>
                <w:bCs/>
                <w:color w:val="000000"/>
                <w:sz w:val="20"/>
                <w:szCs w:val="20"/>
              </w:rPr>
            </w:pPr>
            <w:r w:rsidRPr="00BF6234">
              <w:rPr>
                <w:rFonts w:ascii="Arial" w:hAnsi="Arial" w:cs="Arial"/>
                <w:b/>
                <w:bCs/>
                <w:color w:val="000000"/>
                <w:sz w:val="20"/>
                <w:szCs w:val="20"/>
              </w:rPr>
              <w:t>Typical Event Day</w:t>
            </w:r>
          </w:p>
        </w:tc>
        <w:tc>
          <w:tcPr>
            <w:tcW w:w="1170" w:type="dxa"/>
            <w:tcBorders>
              <w:top w:val="nil"/>
              <w:left w:val="single" w:sz="4" w:space="0" w:color="auto"/>
              <w:bottom w:val="single" w:sz="4" w:space="0" w:color="auto"/>
              <w:right w:val="single" w:sz="4" w:space="0" w:color="auto"/>
            </w:tcBorders>
            <w:shd w:val="clear" w:color="auto" w:fill="auto"/>
            <w:noWrap/>
            <w:vAlign w:val="bottom"/>
            <w:hideMark/>
          </w:tcPr>
          <w:p w14:paraId="73C70B15" w14:textId="7F60AB6E"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203,183</w:t>
            </w:r>
          </w:p>
        </w:tc>
        <w:tc>
          <w:tcPr>
            <w:tcW w:w="900" w:type="dxa"/>
            <w:tcBorders>
              <w:top w:val="nil"/>
              <w:left w:val="nil"/>
              <w:bottom w:val="single" w:sz="4" w:space="0" w:color="auto"/>
              <w:right w:val="single" w:sz="4" w:space="0" w:color="auto"/>
            </w:tcBorders>
            <w:shd w:val="clear" w:color="auto" w:fill="auto"/>
            <w:noWrap/>
            <w:vAlign w:val="bottom"/>
            <w:hideMark/>
          </w:tcPr>
          <w:p w14:paraId="36010882" w14:textId="3A9D8549"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1,318.3</w:t>
            </w:r>
          </w:p>
        </w:tc>
        <w:tc>
          <w:tcPr>
            <w:tcW w:w="900" w:type="dxa"/>
            <w:tcBorders>
              <w:top w:val="nil"/>
              <w:left w:val="nil"/>
              <w:bottom w:val="single" w:sz="4" w:space="0" w:color="auto"/>
              <w:right w:val="single" w:sz="4" w:space="0" w:color="auto"/>
            </w:tcBorders>
            <w:shd w:val="clear" w:color="auto" w:fill="auto"/>
            <w:noWrap/>
            <w:vAlign w:val="bottom"/>
            <w:hideMark/>
          </w:tcPr>
          <w:p w14:paraId="60B04202" w14:textId="2B756374"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15.0</w:t>
            </w:r>
          </w:p>
        </w:tc>
        <w:tc>
          <w:tcPr>
            <w:tcW w:w="720" w:type="dxa"/>
            <w:tcBorders>
              <w:top w:val="nil"/>
              <w:left w:val="nil"/>
              <w:bottom w:val="single" w:sz="4" w:space="0" w:color="auto"/>
              <w:right w:val="single" w:sz="4" w:space="0" w:color="auto"/>
            </w:tcBorders>
            <w:shd w:val="clear" w:color="auto" w:fill="auto"/>
            <w:noWrap/>
            <w:vAlign w:val="bottom"/>
            <w:hideMark/>
          </w:tcPr>
          <w:p w14:paraId="64E13E4F" w14:textId="17CFDD41"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6.5</w:t>
            </w:r>
          </w:p>
        </w:tc>
        <w:tc>
          <w:tcPr>
            <w:tcW w:w="900" w:type="dxa"/>
            <w:tcBorders>
              <w:top w:val="nil"/>
              <w:left w:val="nil"/>
              <w:bottom w:val="single" w:sz="4" w:space="0" w:color="auto"/>
              <w:right w:val="single" w:sz="4" w:space="0" w:color="auto"/>
            </w:tcBorders>
            <w:shd w:val="clear" w:color="auto" w:fill="auto"/>
            <w:noWrap/>
            <w:vAlign w:val="bottom"/>
            <w:hideMark/>
          </w:tcPr>
          <w:p w14:paraId="30205902" w14:textId="5609AB9B"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0.1</w:t>
            </w:r>
          </w:p>
        </w:tc>
        <w:tc>
          <w:tcPr>
            <w:tcW w:w="900" w:type="dxa"/>
            <w:tcBorders>
              <w:top w:val="nil"/>
              <w:left w:val="nil"/>
              <w:bottom w:val="single" w:sz="4" w:space="0" w:color="auto"/>
              <w:right w:val="single" w:sz="4" w:space="0" w:color="auto"/>
            </w:tcBorders>
            <w:shd w:val="clear" w:color="auto" w:fill="auto"/>
            <w:vAlign w:val="bottom"/>
            <w:hideMark/>
          </w:tcPr>
          <w:p w14:paraId="64036250" w14:textId="1C51988F"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1.1%</w:t>
            </w:r>
          </w:p>
        </w:tc>
        <w:tc>
          <w:tcPr>
            <w:tcW w:w="810" w:type="dxa"/>
            <w:tcBorders>
              <w:top w:val="nil"/>
              <w:left w:val="nil"/>
              <w:bottom w:val="single" w:sz="4" w:space="0" w:color="auto"/>
              <w:right w:val="single" w:sz="4" w:space="0" w:color="auto"/>
            </w:tcBorders>
            <w:shd w:val="clear" w:color="auto" w:fill="auto"/>
            <w:vAlign w:val="bottom"/>
            <w:hideMark/>
          </w:tcPr>
          <w:p w14:paraId="70DF86EE" w14:textId="6BB3D99C" w:rsidR="00FD4BEF" w:rsidRPr="00BF6234" w:rsidRDefault="00FD4BEF" w:rsidP="00FD4BEF">
            <w:pPr>
              <w:jc w:val="center"/>
              <w:rPr>
                <w:rFonts w:ascii="Arial" w:hAnsi="Arial" w:cs="Arial"/>
                <w:b/>
                <w:bCs/>
                <w:color w:val="000000"/>
                <w:sz w:val="20"/>
                <w:szCs w:val="20"/>
              </w:rPr>
            </w:pPr>
            <w:r>
              <w:rPr>
                <w:rFonts w:ascii="Arial" w:hAnsi="Arial" w:cs="Arial"/>
                <w:b/>
                <w:bCs/>
                <w:color w:val="000000"/>
                <w:sz w:val="20"/>
                <w:szCs w:val="20"/>
              </w:rPr>
              <w:t>94.3</w:t>
            </w:r>
          </w:p>
        </w:tc>
      </w:tr>
    </w:tbl>
    <w:p w14:paraId="0373C197" w14:textId="7CF56EA0" w:rsidR="001107D1" w:rsidRDefault="001107D1" w:rsidP="001C1578">
      <w:pPr>
        <w:spacing w:after="120"/>
        <w:rPr>
          <w:szCs w:val="32"/>
        </w:rPr>
      </w:pPr>
    </w:p>
    <w:p w14:paraId="4ADC8A6F" w14:textId="02B60952" w:rsidR="009577F5" w:rsidRDefault="009577F5" w:rsidP="009577F5">
      <w:pPr>
        <w:keepNext/>
      </w:pPr>
      <w:r>
        <w:fldChar w:fldCharType="begin"/>
      </w:r>
      <w:r>
        <w:instrText xml:space="preserve"> REF _Ref506911981 \h </w:instrText>
      </w:r>
      <w:r>
        <w:fldChar w:fldCharType="separate"/>
      </w:r>
      <w:r w:rsidR="005D5C7C">
        <w:t xml:space="preserve">Figure </w:t>
      </w:r>
      <w:r w:rsidR="005D5C7C">
        <w:rPr>
          <w:noProof/>
        </w:rPr>
        <w:t>3</w:t>
      </w:r>
      <w:r w:rsidR="005D5C7C">
        <w:t>.</w:t>
      </w:r>
      <w:r w:rsidR="005D5C7C">
        <w:rPr>
          <w:noProof/>
        </w:rPr>
        <w:t>6</w:t>
      </w:r>
      <w:r>
        <w:fldChar w:fldCharType="end"/>
      </w:r>
      <w:r>
        <w:t xml:space="preserve"> and </w:t>
      </w:r>
      <w:r>
        <w:fldChar w:fldCharType="begin"/>
      </w:r>
      <w:r>
        <w:instrText xml:space="preserve"> REF _Ref506911986 \h </w:instrText>
      </w:r>
      <w:r>
        <w:fldChar w:fldCharType="separate"/>
      </w:r>
      <w:r w:rsidR="005D5C7C">
        <w:t xml:space="preserve">Figure </w:t>
      </w:r>
      <w:r w:rsidR="005D5C7C">
        <w:rPr>
          <w:noProof/>
        </w:rPr>
        <w:t>3</w:t>
      </w:r>
      <w:r w:rsidR="005D5C7C">
        <w:t>.</w:t>
      </w:r>
      <w:r w:rsidR="005D5C7C">
        <w:rPr>
          <w:noProof/>
        </w:rPr>
        <w:t>7</w:t>
      </w:r>
      <w:r>
        <w:fldChar w:fldCharType="end"/>
      </w:r>
      <w:r>
        <w:t xml:space="preserve"> plot aggregate loads for medium and small customers, respectively, for the typical event day. There are much different patterns of load reduction for these two groups as compared with the large customers. Medium customers begin ramping up load reductions several hours in advance of the event window beginning at 8 a.m. Aggregate load impacts reach a peak of </w:t>
      </w:r>
      <w:r w:rsidR="005B049F">
        <w:t>15.7</w:t>
      </w:r>
      <w:r>
        <w:t xml:space="preserve"> MWh/hour (1.5 percent) between 3 and 4 p.m. Small customers have a similar, but choppier pattern of load impacts, with much smaller total load reductions. </w:t>
      </w:r>
      <w:r w:rsidR="00D973FE">
        <w:t xml:space="preserve">The irregular pattern of load impacts may be indicative of the potential “noise” captured by the load impact estimates, as described above. </w:t>
      </w:r>
      <w:r>
        <w:t>These customers also have small load reductions beginning at 8 a.m., but the reductions sharply fall in the hour preceding the event and then peak at 3.2 MWh/hour (0.9 percent) between 3 and 4 p.m.</w:t>
      </w:r>
    </w:p>
    <w:p w14:paraId="09B79ACC" w14:textId="77777777" w:rsidR="009577F5" w:rsidRDefault="009577F5" w:rsidP="009577F5">
      <w:pPr>
        <w:keepNext/>
      </w:pPr>
    </w:p>
    <w:p w14:paraId="4B30008B" w14:textId="6E4E11D8" w:rsidR="0000036B" w:rsidRDefault="009577F5" w:rsidP="009577F5">
      <w:pPr>
        <w:keepNext/>
      </w:pPr>
      <w:r>
        <w:fldChar w:fldCharType="begin"/>
      </w:r>
      <w:r>
        <w:instrText xml:space="preserve"> REF _Ref506913063 \h </w:instrText>
      </w:r>
      <w:r>
        <w:fldChar w:fldCharType="separate"/>
      </w:r>
      <w:r w:rsidR="005D5C7C">
        <w:t xml:space="preserve">Table </w:t>
      </w:r>
      <w:r w:rsidR="005D5C7C">
        <w:rPr>
          <w:noProof/>
        </w:rPr>
        <w:t>3</w:t>
      </w:r>
      <w:r w:rsidR="005D5C7C">
        <w:t>.</w:t>
      </w:r>
      <w:r w:rsidR="005D5C7C">
        <w:rPr>
          <w:noProof/>
        </w:rPr>
        <w:t>6</w:t>
      </w:r>
      <w:r>
        <w:fldChar w:fldCharType="end"/>
      </w:r>
      <w:r>
        <w:t xml:space="preserve"> and </w:t>
      </w:r>
      <w:r>
        <w:fldChar w:fldCharType="begin"/>
      </w:r>
      <w:r>
        <w:instrText xml:space="preserve"> REF _Ref506913065 \h </w:instrText>
      </w:r>
      <w:r>
        <w:fldChar w:fldCharType="separate"/>
      </w:r>
      <w:r w:rsidR="005D5C7C">
        <w:t xml:space="preserve">Table </w:t>
      </w:r>
      <w:r w:rsidR="005D5C7C">
        <w:rPr>
          <w:noProof/>
        </w:rPr>
        <w:t>3</w:t>
      </w:r>
      <w:r w:rsidR="005D5C7C">
        <w:t>.</w:t>
      </w:r>
      <w:r w:rsidR="005D5C7C">
        <w:rPr>
          <w:noProof/>
        </w:rPr>
        <w:t>7</w:t>
      </w:r>
      <w:r>
        <w:fldChar w:fldCharType="end"/>
      </w:r>
      <w:r>
        <w:t xml:space="preserve"> include hourly observed loads, estimated load impacts, reference loads, hourly temperatures, and uncertainty adjusted load impacts for the typical event day for medium and small customers. The load impacts for medium customers range from 9.5 to 15.7 MWh/hour during the event window from 2 to 6 p.m., while small-customer load impacts range from 2.0 to 3.2 MWh/hour.</w:t>
      </w:r>
    </w:p>
    <w:p w14:paraId="2360FFE5" w14:textId="0D6A1306" w:rsidR="001107D1" w:rsidRDefault="001107D1" w:rsidP="001C1578">
      <w:pPr>
        <w:spacing w:after="120"/>
        <w:rPr>
          <w:szCs w:val="32"/>
        </w:rPr>
      </w:pPr>
    </w:p>
    <w:p w14:paraId="5438E91F" w14:textId="39434D3A" w:rsidR="005C0A84" w:rsidRDefault="005C0A84" w:rsidP="005C0A84">
      <w:pPr>
        <w:pStyle w:val="FigureCaption"/>
        <w:rPr>
          <w:i/>
        </w:rPr>
      </w:pPr>
      <w:bookmarkStart w:id="138" w:name="_Ref506911981"/>
      <w:bookmarkStart w:id="139" w:name="_Toc509837453"/>
      <w:r>
        <w:lastRenderedPageBreak/>
        <w:t xml:space="preserve">Figure </w:t>
      </w:r>
      <w:fldSimple w:instr=" STYLEREF 1 \s ">
        <w:r w:rsidR="005D5C7C">
          <w:rPr>
            <w:noProof/>
          </w:rPr>
          <w:t>3</w:t>
        </w:r>
      </w:fldSimple>
      <w:r w:rsidR="00A11E78">
        <w:t>.</w:t>
      </w:r>
      <w:fldSimple w:instr=" SEQ Figure \* ARABIC \s 1 ">
        <w:r w:rsidR="005D5C7C">
          <w:rPr>
            <w:noProof/>
          </w:rPr>
          <w:t>6</w:t>
        </w:r>
      </w:fldSimple>
      <w:bookmarkEnd w:id="138"/>
      <w:r>
        <w:t xml:space="preserve">: Typical Event Day Reference Loads and Load Profile, </w:t>
      </w:r>
      <w:r>
        <w:rPr>
          <w:i/>
        </w:rPr>
        <w:t>PG&amp;E Medium</w:t>
      </w:r>
      <w:bookmarkEnd w:id="139"/>
    </w:p>
    <w:p w14:paraId="3613CCCC" w14:textId="0258CEB9" w:rsidR="00F3243D" w:rsidRDefault="00F3243D" w:rsidP="00B2641D">
      <w:pPr>
        <w:rPr>
          <w:noProof/>
        </w:rPr>
      </w:pPr>
      <w:r>
        <w:rPr>
          <w:noProof/>
        </w:rPr>
        <w:drawing>
          <wp:inline distT="0" distB="0" distL="0" distR="0" wp14:anchorId="23FF514C" wp14:editId="17E331F6">
            <wp:extent cx="5486400" cy="3983990"/>
            <wp:effectExtent l="0" t="0" r="0" b="0"/>
            <wp:docPr id="117" name="Chart 117">
              <a:extLst xmlns:a="http://schemas.openxmlformats.org/drawingml/2006/main">
                <a:ext uri="{FF2B5EF4-FFF2-40B4-BE49-F238E27FC236}">
                  <a16:creationId xmlns:a16="http://schemas.microsoft.com/office/drawing/2014/main" id="{82557235-C96F-4AE9-B446-89FF9C5008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FED3B53" w14:textId="592AA8E3" w:rsidR="005B049F" w:rsidRDefault="005B049F" w:rsidP="00B2641D"/>
    <w:p w14:paraId="3CFB51F2" w14:textId="2D120CDA" w:rsidR="005B049F" w:rsidRDefault="005B049F" w:rsidP="00B2641D"/>
    <w:p w14:paraId="6E69D2DF" w14:textId="77777777" w:rsidR="005B049F" w:rsidRDefault="005B049F" w:rsidP="005C0A84">
      <w:pPr>
        <w:pStyle w:val="FigureCaption"/>
        <w:rPr>
          <w:i/>
        </w:rPr>
      </w:pPr>
    </w:p>
    <w:p w14:paraId="0F64D753" w14:textId="0904345D" w:rsidR="00E9688B" w:rsidRDefault="00E9688B" w:rsidP="00E9688B"/>
    <w:p w14:paraId="1267D97B" w14:textId="36C27CD2" w:rsidR="00E9688B" w:rsidRDefault="00E9688B" w:rsidP="00E9688B"/>
    <w:p w14:paraId="45008CC8" w14:textId="0B50CEB6" w:rsidR="00E9688B" w:rsidRDefault="00E9688B" w:rsidP="00E9688B">
      <w:pPr>
        <w:rPr>
          <w:rStyle w:val="Emphasis"/>
        </w:rPr>
      </w:pPr>
    </w:p>
    <w:p w14:paraId="65052A3F" w14:textId="4F7F3A16" w:rsidR="00E9688B" w:rsidRPr="005C0A84" w:rsidRDefault="00E9688B" w:rsidP="00E9688B">
      <w:pPr>
        <w:rPr>
          <w:rStyle w:val="Emphasis"/>
        </w:rPr>
      </w:pPr>
    </w:p>
    <w:p w14:paraId="724E1829" w14:textId="09E8A4EB" w:rsidR="005C0A84" w:rsidRDefault="005C0A84" w:rsidP="001C1578">
      <w:pPr>
        <w:spacing w:after="120"/>
        <w:rPr>
          <w:szCs w:val="32"/>
        </w:rPr>
      </w:pPr>
    </w:p>
    <w:p w14:paraId="3EE9E936" w14:textId="7EFC24EE" w:rsidR="00FE2437" w:rsidRDefault="00FE2437" w:rsidP="001C1578">
      <w:pPr>
        <w:spacing w:after="120"/>
        <w:rPr>
          <w:szCs w:val="32"/>
        </w:rPr>
      </w:pPr>
    </w:p>
    <w:p w14:paraId="2CA8ED29" w14:textId="353D5B30" w:rsidR="00FE2437" w:rsidRDefault="00FE2437" w:rsidP="001C1578">
      <w:pPr>
        <w:spacing w:after="120"/>
        <w:rPr>
          <w:szCs w:val="32"/>
        </w:rPr>
      </w:pPr>
    </w:p>
    <w:p w14:paraId="0DE015C9" w14:textId="11604CF4" w:rsidR="00FE2437" w:rsidRDefault="00FE2437" w:rsidP="001C1578">
      <w:pPr>
        <w:spacing w:after="120"/>
        <w:rPr>
          <w:szCs w:val="32"/>
        </w:rPr>
      </w:pPr>
    </w:p>
    <w:p w14:paraId="49FAF004" w14:textId="77777777" w:rsidR="005C0A84" w:rsidRDefault="005C0A84" w:rsidP="00FE2437">
      <w:pPr>
        <w:spacing w:after="120"/>
        <w:rPr>
          <w:szCs w:val="32"/>
        </w:rPr>
      </w:pPr>
    </w:p>
    <w:p w14:paraId="61B9400B" w14:textId="4957CE65" w:rsidR="005C0A84" w:rsidRDefault="005C0A84" w:rsidP="005C0A84">
      <w:pPr>
        <w:pStyle w:val="FigureCaption"/>
        <w:rPr>
          <w:i/>
        </w:rPr>
      </w:pPr>
      <w:bookmarkStart w:id="140" w:name="_Ref506911986"/>
      <w:bookmarkStart w:id="141" w:name="_Toc509837454"/>
      <w:r>
        <w:lastRenderedPageBreak/>
        <w:t xml:space="preserve">Figure </w:t>
      </w:r>
      <w:fldSimple w:instr=" STYLEREF 1 \s ">
        <w:r w:rsidR="005D5C7C">
          <w:rPr>
            <w:noProof/>
          </w:rPr>
          <w:t>3</w:t>
        </w:r>
      </w:fldSimple>
      <w:r w:rsidR="00A11E78">
        <w:t>.</w:t>
      </w:r>
      <w:fldSimple w:instr=" SEQ Figure \* ARABIC \s 1 ">
        <w:r w:rsidR="005D5C7C">
          <w:rPr>
            <w:noProof/>
          </w:rPr>
          <w:t>7</w:t>
        </w:r>
      </w:fldSimple>
      <w:bookmarkEnd w:id="140"/>
      <w:r>
        <w:t xml:space="preserve">: Typical Event Day Reference Loads and Load Profile, </w:t>
      </w:r>
      <w:r>
        <w:rPr>
          <w:i/>
        </w:rPr>
        <w:t>PG&amp;E Small</w:t>
      </w:r>
      <w:bookmarkEnd w:id="141"/>
    </w:p>
    <w:p w14:paraId="77CBA278" w14:textId="20148489" w:rsidR="00F3243D" w:rsidRDefault="00F3243D" w:rsidP="00B2641D">
      <w:r>
        <w:rPr>
          <w:noProof/>
        </w:rPr>
        <w:drawing>
          <wp:inline distT="0" distB="0" distL="0" distR="0" wp14:anchorId="4E2D4A5E" wp14:editId="700AC5DB">
            <wp:extent cx="5486400" cy="3983990"/>
            <wp:effectExtent l="0" t="0" r="0" b="0"/>
            <wp:docPr id="118" name="Chart 118">
              <a:extLst xmlns:a="http://schemas.openxmlformats.org/drawingml/2006/main">
                <a:ext uri="{FF2B5EF4-FFF2-40B4-BE49-F238E27FC236}">
                  <a16:creationId xmlns:a16="http://schemas.microsoft.com/office/drawing/2014/main" id="{05009BA9-9A8C-4CF8-93D5-A378D78362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5353CFB" w14:textId="1C7A5587" w:rsidR="005B049F" w:rsidRDefault="005B049F" w:rsidP="00B2641D"/>
    <w:p w14:paraId="1C2FCF4C" w14:textId="07842348" w:rsidR="005B049F" w:rsidRDefault="005B049F" w:rsidP="00B2641D"/>
    <w:p w14:paraId="6BE01C26" w14:textId="1AB60B96" w:rsidR="005C0A84" w:rsidRDefault="005C0A84" w:rsidP="00FE2437">
      <w:pPr>
        <w:spacing w:after="120"/>
        <w:rPr>
          <w:szCs w:val="32"/>
        </w:rPr>
      </w:pPr>
    </w:p>
    <w:p w14:paraId="5CFCDED2" w14:textId="6B84E986" w:rsidR="00E9688B" w:rsidRDefault="00E9688B" w:rsidP="00FE2437">
      <w:pPr>
        <w:spacing w:after="120"/>
        <w:rPr>
          <w:szCs w:val="32"/>
        </w:rPr>
      </w:pPr>
    </w:p>
    <w:p w14:paraId="51400C1D" w14:textId="090BBB8D" w:rsidR="00FE2437" w:rsidRDefault="00FE2437" w:rsidP="001C1578">
      <w:pPr>
        <w:spacing w:after="120"/>
        <w:rPr>
          <w:szCs w:val="32"/>
        </w:rPr>
      </w:pPr>
    </w:p>
    <w:p w14:paraId="41248086" w14:textId="77777777" w:rsidR="00FE2437" w:rsidRDefault="00FE2437" w:rsidP="001C1578">
      <w:pPr>
        <w:spacing w:after="120"/>
        <w:rPr>
          <w:szCs w:val="32"/>
        </w:rPr>
      </w:pPr>
    </w:p>
    <w:p w14:paraId="2635DBC3" w14:textId="6E7F9F77" w:rsidR="00FE2437" w:rsidRDefault="00FE2437" w:rsidP="001C1578">
      <w:pPr>
        <w:spacing w:after="120"/>
        <w:rPr>
          <w:szCs w:val="32"/>
        </w:rPr>
      </w:pPr>
    </w:p>
    <w:p w14:paraId="6F9A82FF" w14:textId="6468BC94" w:rsidR="00FE2437" w:rsidRDefault="00FE2437" w:rsidP="001C1578">
      <w:pPr>
        <w:spacing w:after="120"/>
        <w:rPr>
          <w:szCs w:val="32"/>
        </w:rPr>
      </w:pPr>
    </w:p>
    <w:p w14:paraId="2A96CC6D" w14:textId="77777777" w:rsidR="00FE2437" w:rsidRDefault="00FE2437" w:rsidP="001C1578">
      <w:pPr>
        <w:spacing w:after="120"/>
        <w:rPr>
          <w:szCs w:val="32"/>
        </w:rPr>
      </w:pPr>
    </w:p>
    <w:p w14:paraId="52212828" w14:textId="798E6E4C" w:rsidR="002C3446" w:rsidRDefault="002C3446" w:rsidP="00104977">
      <w:pPr>
        <w:pStyle w:val="TableCaption"/>
        <w:rPr>
          <w:i/>
        </w:rPr>
      </w:pPr>
      <w:bookmarkStart w:id="142" w:name="_Ref506913063"/>
      <w:bookmarkStart w:id="143" w:name="_Toc509837363"/>
      <w:r>
        <w:lastRenderedPageBreak/>
        <w:t xml:space="preserve">Table </w:t>
      </w:r>
      <w:fldSimple w:instr=" STYLEREF 1 \s ">
        <w:r w:rsidR="005D5C7C">
          <w:rPr>
            <w:noProof/>
          </w:rPr>
          <w:t>3</w:t>
        </w:r>
      </w:fldSimple>
      <w:r w:rsidR="0069714C">
        <w:t>.</w:t>
      </w:r>
      <w:fldSimple w:instr=" SEQ Table \* ARABIC \s 1 ">
        <w:r w:rsidR="005D5C7C">
          <w:rPr>
            <w:noProof/>
          </w:rPr>
          <w:t>6</w:t>
        </w:r>
      </w:fldSimple>
      <w:bookmarkEnd w:id="142"/>
      <w:r>
        <w:t>:</w:t>
      </w:r>
      <w:r w:rsidRPr="002C3446">
        <w:t xml:space="preserve"> </w:t>
      </w:r>
      <w:r w:rsidR="00515724">
        <w:t>Typical Event Day</w:t>
      </w:r>
      <w:r>
        <w:t xml:space="preserve"> Load Impacts and Uncertainty Adjusted Estimates by hour</w:t>
      </w:r>
      <w:r w:rsidRPr="009300C9">
        <w:rPr>
          <w:i/>
        </w:rPr>
        <w:t xml:space="preserve">, PG&amp;E </w:t>
      </w:r>
      <w:r>
        <w:rPr>
          <w:i/>
        </w:rPr>
        <w:t>Medium</w:t>
      </w:r>
      <w:bookmarkEnd w:id="143"/>
    </w:p>
    <w:p w14:paraId="40B310BC" w14:textId="4D4B6B8E" w:rsidR="00FD4BEF" w:rsidRPr="00104977" w:rsidRDefault="00FD4BEF" w:rsidP="00B2641D">
      <w:r w:rsidRPr="00FD4BEF">
        <w:rPr>
          <w:noProof/>
        </w:rPr>
        <w:drawing>
          <wp:inline distT="0" distB="0" distL="0" distR="0" wp14:anchorId="77FD09DB" wp14:editId="6F764BD9">
            <wp:extent cx="5486400" cy="4410519"/>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86400" cy="4410519"/>
                    </a:xfrm>
                    <a:prstGeom prst="rect">
                      <a:avLst/>
                    </a:prstGeom>
                    <a:noFill/>
                    <a:ln>
                      <a:noFill/>
                    </a:ln>
                  </pic:spPr>
                </pic:pic>
              </a:graphicData>
            </a:graphic>
          </wp:inline>
        </w:drawing>
      </w:r>
    </w:p>
    <w:p w14:paraId="72BB7243" w14:textId="290771D0" w:rsidR="001107D1" w:rsidRDefault="001107D1" w:rsidP="001C1578">
      <w:pPr>
        <w:spacing w:after="120"/>
        <w:rPr>
          <w:szCs w:val="32"/>
        </w:rPr>
      </w:pPr>
    </w:p>
    <w:p w14:paraId="0D97858E" w14:textId="09F6201A" w:rsidR="001107D1" w:rsidRDefault="001107D1" w:rsidP="001C1578">
      <w:pPr>
        <w:spacing w:after="120"/>
        <w:rPr>
          <w:szCs w:val="32"/>
        </w:rPr>
      </w:pPr>
    </w:p>
    <w:p w14:paraId="423A444F" w14:textId="5D7C0E29" w:rsidR="001107D1" w:rsidRDefault="001107D1" w:rsidP="001C1578">
      <w:pPr>
        <w:spacing w:after="120"/>
        <w:rPr>
          <w:szCs w:val="32"/>
        </w:rPr>
      </w:pPr>
    </w:p>
    <w:p w14:paraId="1C9192F0" w14:textId="0FCD29F1" w:rsidR="002C3446" w:rsidRDefault="002C3446" w:rsidP="00104977">
      <w:pPr>
        <w:pStyle w:val="TableCaption"/>
        <w:rPr>
          <w:i/>
        </w:rPr>
      </w:pPr>
      <w:bookmarkStart w:id="144" w:name="_Ref506913065"/>
      <w:bookmarkStart w:id="145" w:name="_Toc509837364"/>
      <w:r>
        <w:lastRenderedPageBreak/>
        <w:t xml:space="preserve">Table </w:t>
      </w:r>
      <w:fldSimple w:instr=" STYLEREF 1 \s ">
        <w:r w:rsidR="005D5C7C">
          <w:rPr>
            <w:noProof/>
          </w:rPr>
          <w:t>3</w:t>
        </w:r>
      </w:fldSimple>
      <w:r w:rsidR="0069714C">
        <w:t>.</w:t>
      </w:r>
      <w:fldSimple w:instr=" SEQ Table \* ARABIC \s 1 ">
        <w:r w:rsidR="005D5C7C">
          <w:rPr>
            <w:noProof/>
          </w:rPr>
          <w:t>7</w:t>
        </w:r>
      </w:fldSimple>
      <w:bookmarkEnd w:id="144"/>
      <w:r>
        <w:t>: T</w:t>
      </w:r>
      <w:r w:rsidR="00515724">
        <w:t xml:space="preserve">ypical </w:t>
      </w:r>
      <w:r>
        <w:t>E</w:t>
      </w:r>
      <w:r w:rsidR="00515724">
        <w:t xml:space="preserve">vent </w:t>
      </w:r>
      <w:r>
        <w:t>D</w:t>
      </w:r>
      <w:r w:rsidR="00515724">
        <w:t>ay</w:t>
      </w:r>
      <w:r>
        <w:t xml:space="preserve"> Load Impacts and Uncertainty Adjusted Estimates by hour</w:t>
      </w:r>
      <w:r w:rsidRPr="009300C9">
        <w:rPr>
          <w:i/>
        </w:rPr>
        <w:t xml:space="preserve">, PG&amp;E </w:t>
      </w:r>
      <w:r>
        <w:rPr>
          <w:i/>
        </w:rPr>
        <w:t>Small</w:t>
      </w:r>
      <w:bookmarkEnd w:id="145"/>
    </w:p>
    <w:p w14:paraId="3E77D8C3" w14:textId="27E46495" w:rsidR="00FD4BEF" w:rsidRDefault="00FD4BEF" w:rsidP="00B2641D">
      <w:r w:rsidRPr="00FD4BEF">
        <w:rPr>
          <w:noProof/>
        </w:rPr>
        <w:drawing>
          <wp:inline distT="0" distB="0" distL="0" distR="0" wp14:anchorId="1C785515" wp14:editId="7BE5B018">
            <wp:extent cx="5486400" cy="4410519"/>
            <wp:effectExtent l="0" t="0" r="0"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6400" cy="4410519"/>
                    </a:xfrm>
                    <a:prstGeom prst="rect">
                      <a:avLst/>
                    </a:prstGeom>
                    <a:noFill/>
                    <a:ln>
                      <a:noFill/>
                    </a:ln>
                  </pic:spPr>
                </pic:pic>
              </a:graphicData>
            </a:graphic>
          </wp:inline>
        </w:drawing>
      </w:r>
    </w:p>
    <w:p w14:paraId="3DA494EA" w14:textId="29218367" w:rsidR="001107D1" w:rsidRDefault="001107D1" w:rsidP="001C1578">
      <w:pPr>
        <w:spacing w:after="120"/>
        <w:rPr>
          <w:szCs w:val="32"/>
        </w:rPr>
      </w:pPr>
    </w:p>
    <w:p w14:paraId="31E74E02" w14:textId="32C9FC89" w:rsidR="001107D1" w:rsidRDefault="001107D1" w:rsidP="001C1578">
      <w:pPr>
        <w:spacing w:after="120"/>
        <w:rPr>
          <w:szCs w:val="32"/>
        </w:rPr>
      </w:pPr>
    </w:p>
    <w:p w14:paraId="66E8164F" w14:textId="57E845FE" w:rsidR="005E6A5F" w:rsidRDefault="009577F5" w:rsidP="002C3446">
      <w:pPr>
        <w:spacing w:after="120"/>
        <w:rPr>
          <w:szCs w:val="32"/>
        </w:rPr>
      </w:pPr>
      <w:r>
        <w:rPr>
          <w:szCs w:val="32"/>
        </w:rPr>
        <w:fldChar w:fldCharType="begin"/>
      </w:r>
      <w:r>
        <w:rPr>
          <w:szCs w:val="32"/>
        </w:rPr>
        <w:instrText xml:space="preserve"> REF _Ref506914050 \h </w:instrText>
      </w:r>
      <w:r>
        <w:rPr>
          <w:szCs w:val="32"/>
        </w:rPr>
      </w:r>
      <w:r>
        <w:rPr>
          <w:szCs w:val="32"/>
        </w:rPr>
        <w:fldChar w:fldCharType="separate"/>
      </w:r>
      <w:r w:rsidR="005D5C7C">
        <w:t xml:space="preserve">Table </w:t>
      </w:r>
      <w:r w:rsidR="005D5C7C">
        <w:rPr>
          <w:noProof/>
        </w:rPr>
        <w:t>3</w:t>
      </w:r>
      <w:r w:rsidR="005D5C7C">
        <w:t>.</w:t>
      </w:r>
      <w:r w:rsidR="005D5C7C">
        <w:rPr>
          <w:noProof/>
        </w:rPr>
        <w:t>8</w:t>
      </w:r>
      <w:r>
        <w:rPr>
          <w:szCs w:val="32"/>
        </w:rPr>
        <w:fldChar w:fldCharType="end"/>
      </w:r>
      <w:r>
        <w:rPr>
          <w:szCs w:val="32"/>
        </w:rPr>
        <w:t xml:space="preserve"> summarizes aggregate event-hour results for the typical event day for eight industry groups, including the number of enrolled customers, the reference and observed loads, and the estimated load impacts (in MWh/hour and as a percentage of the reference load). Enrollments are highest in the Offices, Hotel, Health &amp; Services group, which accounts for almost 40 percent of enrollments and 412 MWh of reference load. By contrast the load reductions are much more evenly distributed across industry groups. </w:t>
      </w:r>
      <w:r>
        <w:rPr>
          <w:szCs w:val="32"/>
        </w:rPr>
        <w:fldChar w:fldCharType="begin"/>
      </w:r>
      <w:r>
        <w:rPr>
          <w:szCs w:val="32"/>
        </w:rPr>
        <w:instrText xml:space="preserve"> REF _Ref506914637 \h </w:instrText>
      </w:r>
      <w:r>
        <w:rPr>
          <w:szCs w:val="32"/>
        </w:rPr>
      </w:r>
      <w:r>
        <w:rPr>
          <w:szCs w:val="32"/>
        </w:rPr>
        <w:fldChar w:fldCharType="separate"/>
      </w:r>
      <w:r w:rsidR="005D5C7C">
        <w:t xml:space="preserve">Figure </w:t>
      </w:r>
      <w:r w:rsidR="005D5C7C">
        <w:rPr>
          <w:noProof/>
        </w:rPr>
        <w:t>3</w:t>
      </w:r>
      <w:r w:rsidR="005D5C7C">
        <w:t>.</w:t>
      </w:r>
      <w:r w:rsidR="005D5C7C">
        <w:rPr>
          <w:noProof/>
        </w:rPr>
        <w:t>8</w:t>
      </w:r>
      <w:r>
        <w:rPr>
          <w:szCs w:val="32"/>
        </w:rPr>
        <w:fldChar w:fldCharType="end"/>
      </w:r>
      <w:r>
        <w:rPr>
          <w:szCs w:val="32"/>
        </w:rPr>
        <w:t xml:space="preserve"> illustrates the shares of enrollment, reference load, and load impact by industry group. The Retail Stores group has the highest contribution to load reduction at 2</w:t>
      </w:r>
      <w:r w:rsidR="005774C3">
        <w:rPr>
          <w:szCs w:val="32"/>
        </w:rPr>
        <w:t>1</w:t>
      </w:r>
      <w:r>
        <w:rPr>
          <w:szCs w:val="32"/>
        </w:rPr>
        <w:t xml:space="preserve"> percent, while the Offices, Hotel, Health &amp; Services group contributes just 15 percent of the total load reduction despite accounting for over 40 percent of the load. All other industry groups except Other or Unknown contribute a higher share of load than the share of enrollments or reference loads.</w:t>
      </w:r>
    </w:p>
    <w:p w14:paraId="3467BA49" w14:textId="4C707B45" w:rsidR="00000ABC" w:rsidRDefault="00000ABC" w:rsidP="00000ABC">
      <w:pPr>
        <w:pStyle w:val="TableCaption"/>
      </w:pPr>
      <w:bookmarkStart w:id="146" w:name="_Ref506914050"/>
      <w:bookmarkStart w:id="147" w:name="_Toc509837365"/>
      <w:r>
        <w:lastRenderedPageBreak/>
        <w:t xml:space="preserve">Table </w:t>
      </w:r>
      <w:fldSimple w:instr=" STYLEREF 1 \s ">
        <w:r w:rsidR="005D5C7C">
          <w:rPr>
            <w:noProof/>
          </w:rPr>
          <w:t>3</w:t>
        </w:r>
      </w:fldSimple>
      <w:r w:rsidR="0069714C">
        <w:t>.</w:t>
      </w:r>
      <w:fldSimple w:instr=" SEQ Table \* ARABIC \s 1 ">
        <w:r w:rsidR="005D5C7C">
          <w:rPr>
            <w:noProof/>
          </w:rPr>
          <w:t>8</w:t>
        </w:r>
      </w:fldSimple>
      <w:bookmarkEnd w:id="146"/>
      <w:r>
        <w:t>: Typical Event Day Load Impacts b</w:t>
      </w:r>
      <w:r w:rsidRPr="006C0719">
        <w:t xml:space="preserve">y Industry Group, </w:t>
      </w:r>
      <w:r w:rsidRPr="006C0719">
        <w:rPr>
          <w:i/>
        </w:rPr>
        <w:t>PG&amp;E</w:t>
      </w:r>
      <w:r>
        <w:rPr>
          <w:i/>
        </w:rPr>
        <w:t xml:space="preserve"> Medium</w:t>
      </w:r>
      <w:bookmarkEnd w:id="147"/>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5"/>
        <w:gridCol w:w="1170"/>
        <w:gridCol w:w="1440"/>
        <w:gridCol w:w="1350"/>
        <w:gridCol w:w="1350"/>
        <w:gridCol w:w="1345"/>
      </w:tblGrid>
      <w:tr w:rsidR="00FE2437" w14:paraId="7225DD42" w14:textId="77777777" w:rsidTr="00AB5B34">
        <w:trPr>
          <w:jc w:val="center"/>
        </w:trPr>
        <w:tc>
          <w:tcPr>
            <w:tcW w:w="1975" w:type="dxa"/>
            <w:tcBorders>
              <w:right w:val="single" w:sz="4" w:space="0" w:color="FFFFFF" w:themeColor="background1"/>
            </w:tcBorders>
            <w:shd w:val="clear" w:color="auto" w:fill="0C2577"/>
            <w:vAlign w:val="center"/>
          </w:tcPr>
          <w:p w14:paraId="5270D93F" w14:textId="77777777" w:rsidR="00FE2437" w:rsidRPr="007E0A27" w:rsidRDefault="00FE2437" w:rsidP="00000ABC">
            <w:pPr>
              <w:keepNext/>
              <w:keepLines/>
              <w:jc w:val="center"/>
              <w:rPr>
                <w:rFonts w:ascii="Arial" w:hAnsi="Arial" w:cs="Arial"/>
                <w:b/>
                <w:sz w:val="20"/>
                <w:szCs w:val="20"/>
              </w:rPr>
            </w:pPr>
            <w:r w:rsidRPr="007E0A27">
              <w:rPr>
                <w:rFonts w:ascii="Arial" w:hAnsi="Arial" w:cs="Arial"/>
                <w:b/>
                <w:sz w:val="20"/>
                <w:szCs w:val="20"/>
              </w:rPr>
              <w:t>Industry Group</w:t>
            </w:r>
          </w:p>
        </w:tc>
        <w:tc>
          <w:tcPr>
            <w:tcW w:w="1170" w:type="dxa"/>
            <w:tcBorders>
              <w:left w:val="single" w:sz="4" w:space="0" w:color="FFFFFF" w:themeColor="background1"/>
              <w:right w:val="single" w:sz="4" w:space="0" w:color="FFFFFF" w:themeColor="background1"/>
            </w:tcBorders>
            <w:shd w:val="clear" w:color="auto" w:fill="0C2577"/>
            <w:vAlign w:val="center"/>
          </w:tcPr>
          <w:p w14:paraId="4E4B2AE4" w14:textId="77777777" w:rsidR="00FE2437" w:rsidRPr="007E0A27" w:rsidRDefault="00FE2437" w:rsidP="00000ABC">
            <w:pPr>
              <w:keepNext/>
              <w:keepLines/>
              <w:jc w:val="center"/>
              <w:rPr>
                <w:rFonts w:ascii="Arial" w:hAnsi="Arial" w:cs="Arial"/>
                <w:b/>
                <w:sz w:val="20"/>
                <w:szCs w:val="20"/>
              </w:rPr>
            </w:pPr>
            <w:r>
              <w:rPr>
                <w:rFonts w:ascii="Arial" w:hAnsi="Arial" w:cs="Arial"/>
                <w:b/>
                <w:sz w:val="20"/>
                <w:szCs w:val="20"/>
              </w:rPr>
              <w:t># of Service Accounts</w:t>
            </w:r>
          </w:p>
        </w:tc>
        <w:tc>
          <w:tcPr>
            <w:tcW w:w="1440" w:type="dxa"/>
            <w:tcBorders>
              <w:left w:val="single" w:sz="4" w:space="0" w:color="FFFFFF" w:themeColor="background1"/>
              <w:right w:val="single" w:sz="4" w:space="0" w:color="FFFFFF" w:themeColor="background1"/>
            </w:tcBorders>
            <w:shd w:val="clear" w:color="auto" w:fill="0C2577"/>
            <w:vAlign w:val="center"/>
          </w:tcPr>
          <w:p w14:paraId="34B940F9" w14:textId="55DC4634" w:rsidR="00FE2437" w:rsidRPr="007E0A27" w:rsidRDefault="00FE2437" w:rsidP="00000ABC">
            <w:pPr>
              <w:keepNext/>
              <w:keepLines/>
              <w:jc w:val="center"/>
              <w:rPr>
                <w:rFonts w:ascii="Arial" w:hAnsi="Arial" w:cs="Arial"/>
                <w:b/>
                <w:sz w:val="20"/>
                <w:szCs w:val="20"/>
              </w:rPr>
            </w:pPr>
            <w:r w:rsidRPr="007E0A27">
              <w:rPr>
                <w:rFonts w:ascii="Arial" w:hAnsi="Arial" w:cs="Arial"/>
                <w:b/>
                <w:sz w:val="20"/>
                <w:szCs w:val="20"/>
              </w:rPr>
              <w:t>Estimated Reference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41FE699F" w14:textId="71394FD5" w:rsidR="00FE2437" w:rsidRPr="007E0A27" w:rsidRDefault="00FE2437" w:rsidP="00000ABC">
            <w:pPr>
              <w:keepNext/>
              <w:keepLines/>
              <w:jc w:val="center"/>
              <w:rPr>
                <w:rFonts w:ascii="Arial" w:hAnsi="Arial" w:cs="Arial"/>
                <w:b/>
                <w:sz w:val="20"/>
                <w:szCs w:val="20"/>
              </w:rPr>
            </w:pPr>
            <w:r w:rsidRPr="007E0A27">
              <w:rPr>
                <w:rFonts w:ascii="Arial" w:hAnsi="Arial" w:cs="Arial"/>
                <w:b/>
                <w:sz w:val="20"/>
                <w:szCs w:val="20"/>
              </w:rPr>
              <w:t>Observed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5826D872" w14:textId="3C4547C9" w:rsidR="00FE2437" w:rsidRPr="007E0A27" w:rsidRDefault="00FE2437" w:rsidP="00000ABC">
            <w:pPr>
              <w:keepNext/>
              <w:keepLines/>
              <w:jc w:val="center"/>
              <w:rPr>
                <w:rFonts w:ascii="Arial" w:hAnsi="Arial" w:cs="Arial"/>
                <w:b/>
                <w:sz w:val="20"/>
                <w:szCs w:val="20"/>
              </w:rPr>
            </w:pPr>
            <w:r w:rsidRPr="007E0A27">
              <w:rPr>
                <w:rFonts w:ascii="Arial" w:hAnsi="Arial" w:cs="Arial"/>
                <w:b/>
                <w:sz w:val="20"/>
                <w:szCs w:val="20"/>
              </w:rPr>
              <w:t>Estimated Load Impact (MW</w:t>
            </w:r>
            <w:r w:rsidR="00AB5B34">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654A6587" w14:textId="77777777" w:rsidR="00FE2437" w:rsidRPr="007E0A27" w:rsidRDefault="00FE2437" w:rsidP="00000ABC">
            <w:pPr>
              <w:keepNext/>
              <w:keepLines/>
              <w:jc w:val="center"/>
              <w:rPr>
                <w:rFonts w:ascii="Arial" w:hAnsi="Arial" w:cs="Arial"/>
                <w:b/>
                <w:sz w:val="20"/>
                <w:szCs w:val="20"/>
              </w:rPr>
            </w:pPr>
            <w:r w:rsidRPr="007E0A27">
              <w:rPr>
                <w:rFonts w:ascii="Arial" w:hAnsi="Arial" w:cs="Arial"/>
                <w:b/>
                <w:sz w:val="20"/>
                <w:szCs w:val="20"/>
              </w:rPr>
              <w:t>% LI</w:t>
            </w:r>
          </w:p>
        </w:tc>
      </w:tr>
      <w:tr w:rsidR="00FE2437" w14:paraId="0E016CD8" w14:textId="77777777" w:rsidTr="00AB5B34">
        <w:trPr>
          <w:jc w:val="center"/>
        </w:trPr>
        <w:tc>
          <w:tcPr>
            <w:tcW w:w="1975" w:type="dxa"/>
            <w:vAlign w:val="center"/>
          </w:tcPr>
          <w:p w14:paraId="31A6186D"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Agriculture, Mining, &amp; Construction</w:t>
            </w:r>
          </w:p>
        </w:tc>
        <w:tc>
          <w:tcPr>
            <w:tcW w:w="1170" w:type="dxa"/>
            <w:shd w:val="clear" w:color="auto" w:fill="auto"/>
            <w:vAlign w:val="center"/>
          </w:tcPr>
          <w:p w14:paraId="4C03D35B"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1,017</w:t>
            </w:r>
          </w:p>
        </w:tc>
        <w:tc>
          <w:tcPr>
            <w:tcW w:w="1440" w:type="dxa"/>
            <w:shd w:val="clear" w:color="auto" w:fill="auto"/>
            <w:vAlign w:val="center"/>
          </w:tcPr>
          <w:p w14:paraId="49D02805"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20.2</w:t>
            </w:r>
          </w:p>
        </w:tc>
        <w:tc>
          <w:tcPr>
            <w:tcW w:w="1350" w:type="dxa"/>
            <w:shd w:val="clear" w:color="auto" w:fill="auto"/>
            <w:vAlign w:val="center"/>
          </w:tcPr>
          <w:p w14:paraId="519C191D"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19.5</w:t>
            </w:r>
          </w:p>
        </w:tc>
        <w:tc>
          <w:tcPr>
            <w:tcW w:w="1350" w:type="dxa"/>
            <w:shd w:val="clear" w:color="auto" w:fill="auto"/>
            <w:vAlign w:val="center"/>
          </w:tcPr>
          <w:p w14:paraId="6C7C4A72"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0.7</w:t>
            </w:r>
          </w:p>
        </w:tc>
        <w:tc>
          <w:tcPr>
            <w:tcW w:w="1345" w:type="dxa"/>
            <w:shd w:val="clear" w:color="auto" w:fill="auto"/>
            <w:vAlign w:val="center"/>
          </w:tcPr>
          <w:p w14:paraId="7740DA3E"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3.3%</w:t>
            </w:r>
          </w:p>
        </w:tc>
      </w:tr>
      <w:tr w:rsidR="00FE2437" w14:paraId="6EA65B44" w14:textId="77777777" w:rsidTr="00AB5B34">
        <w:trPr>
          <w:jc w:val="center"/>
        </w:trPr>
        <w:tc>
          <w:tcPr>
            <w:tcW w:w="1975" w:type="dxa"/>
            <w:vAlign w:val="center"/>
          </w:tcPr>
          <w:p w14:paraId="67B958BB"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Manufacturing</w:t>
            </w:r>
          </w:p>
        </w:tc>
        <w:tc>
          <w:tcPr>
            <w:tcW w:w="1170" w:type="dxa"/>
            <w:shd w:val="clear" w:color="auto" w:fill="auto"/>
            <w:vAlign w:val="center"/>
          </w:tcPr>
          <w:p w14:paraId="4C8DFBF6"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2,207</w:t>
            </w:r>
          </w:p>
        </w:tc>
        <w:tc>
          <w:tcPr>
            <w:tcW w:w="1440" w:type="dxa"/>
            <w:shd w:val="clear" w:color="auto" w:fill="auto"/>
            <w:vAlign w:val="center"/>
          </w:tcPr>
          <w:p w14:paraId="7E07FA22"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50.9</w:t>
            </w:r>
          </w:p>
        </w:tc>
        <w:tc>
          <w:tcPr>
            <w:tcW w:w="1350" w:type="dxa"/>
            <w:shd w:val="clear" w:color="auto" w:fill="auto"/>
            <w:vAlign w:val="center"/>
          </w:tcPr>
          <w:p w14:paraId="1313EE87"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49.9</w:t>
            </w:r>
          </w:p>
        </w:tc>
        <w:tc>
          <w:tcPr>
            <w:tcW w:w="1350" w:type="dxa"/>
            <w:shd w:val="clear" w:color="auto" w:fill="auto"/>
            <w:vAlign w:val="center"/>
          </w:tcPr>
          <w:p w14:paraId="7EB27466"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0.9</w:t>
            </w:r>
          </w:p>
        </w:tc>
        <w:tc>
          <w:tcPr>
            <w:tcW w:w="1345" w:type="dxa"/>
            <w:shd w:val="clear" w:color="auto" w:fill="auto"/>
            <w:vAlign w:val="center"/>
          </w:tcPr>
          <w:p w14:paraId="1F287893"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1.9%</w:t>
            </w:r>
          </w:p>
        </w:tc>
      </w:tr>
      <w:tr w:rsidR="00FE2437" w14:paraId="2C3DBDA3" w14:textId="77777777" w:rsidTr="00AB5B34">
        <w:trPr>
          <w:jc w:val="center"/>
        </w:trPr>
        <w:tc>
          <w:tcPr>
            <w:tcW w:w="1975" w:type="dxa"/>
            <w:vAlign w:val="center"/>
          </w:tcPr>
          <w:p w14:paraId="7F0844EC"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Wholesale, Transportation, &amp; Other Utilities</w:t>
            </w:r>
          </w:p>
        </w:tc>
        <w:tc>
          <w:tcPr>
            <w:tcW w:w="1170" w:type="dxa"/>
            <w:shd w:val="clear" w:color="auto" w:fill="auto"/>
            <w:vAlign w:val="center"/>
          </w:tcPr>
          <w:p w14:paraId="7B49106F"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3,978</w:t>
            </w:r>
          </w:p>
        </w:tc>
        <w:tc>
          <w:tcPr>
            <w:tcW w:w="1440" w:type="dxa"/>
            <w:shd w:val="clear" w:color="auto" w:fill="auto"/>
            <w:vAlign w:val="center"/>
          </w:tcPr>
          <w:p w14:paraId="3D087885"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77.9</w:t>
            </w:r>
          </w:p>
        </w:tc>
        <w:tc>
          <w:tcPr>
            <w:tcW w:w="1350" w:type="dxa"/>
            <w:shd w:val="clear" w:color="auto" w:fill="auto"/>
            <w:vAlign w:val="center"/>
          </w:tcPr>
          <w:p w14:paraId="09046C73"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76.4</w:t>
            </w:r>
          </w:p>
        </w:tc>
        <w:tc>
          <w:tcPr>
            <w:tcW w:w="1350" w:type="dxa"/>
            <w:shd w:val="clear" w:color="auto" w:fill="auto"/>
            <w:vAlign w:val="center"/>
          </w:tcPr>
          <w:p w14:paraId="09C11AFF"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1.5</w:t>
            </w:r>
          </w:p>
        </w:tc>
        <w:tc>
          <w:tcPr>
            <w:tcW w:w="1345" w:type="dxa"/>
            <w:shd w:val="clear" w:color="auto" w:fill="auto"/>
            <w:vAlign w:val="center"/>
          </w:tcPr>
          <w:p w14:paraId="50356A59"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2.0%</w:t>
            </w:r>
          </w:p>
        </w:tc>
      </w:tr>
      <w:tr w:rsidR="00FE2437" w14:paraId="0359CF42" w14:textId="77777777" w:rsidTr="00AB5B34">
        <w:trPr>
          <w:jc w:val="center"/>
        </w:trPr>
        <w:tc>
          <w:tcPr>
            <w:tcW w:w="1975" w:type="dxa"/>
            <w:vAlign w:val="center"/>
          </w:tcPr>
          <w:p w14:paraId="57A0DFDE"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Retail Stores</w:t>
            </w:r>
          </w:p>
        </w:tc>
        <w:tc>
          <w:tcPr>
            <w:tcW w:w="1170" w:type="dxa"/>
            <w:shd w:val="clear" w:color="auto" w:fill="auto"/>
            <w:vAlign w:val="center"/>
          </w:tcPr>
          <w:p w14:paraId="51B936B1"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6,152</w:t>
            </w:r>
          </w:p>
        </w:tc>
        <w:tc>
          <w:tcPr>
            <w:tcW w:w="1440" w:type="dxa"/>
            <w:shd w:val="clear" w:color="auto" w:fill="auto"/>
            <w:vAlign w:val="center"/>
          </w:tcPr>
          <w:p w14:paraId="4974057C"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162.8</w:t>
            </w:r>
          </w:p>
        </w:tc>
        <w:tc>
          <w:tcPr>
            <w:tcW w:w="1350" w:type="dxa"/>
            <w:shd w:val="clear" w:color="auto" w:fill="auto"/>
            <w:vAlign w:val="center"/>
          </w:tcPr>
          <w:p w14:paraId="03033014"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160.3</w:t>
            </w:r>
          </w:p>
        </w:tc>
        <w:tc>
          <w:tcPr>
            <w:tcW w:w="1350" w:type="dxa"/>
            <w:shd w:val="clear" w:color="auto" w:fill="auto"/>
            <w:vAlign w:val="center"/>
          </w:tcPr>
          <w:p w14:paraId="2C58346D"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2.6</w:t>
            </w:r>
          </w:p>
        </w:tc>
        <w:tc>
          <w:tcPr>
            <w:tcW w:w="1345" w:type="dxa"/>
            <w:shd w:val="clear" w:color="auto" w:fill="auto"/>
            <w:vAlign w:val="center"/>
          </w:tcPr>
          <w:p w14:paraId="4EE0062D"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1.6%</w:t>
            </w:r>
          </w:p>
        </w:tc>
      </w:tr>
      <w:tr w:rsidR="00FE2437" w14:paraId="16E1DAEA" w14:textId="77777777" w:rsidTr="00AB5B34">
        <w:trPr>
          <w:jc w:val="center"/>
        </w:trPr>
        <w:tc>
          <w:tcPr>
            <w:tcW w:w="1975" w:type="dxa"/>
            <w:vAlign w:val="center"/>
          </w:tcPr>
          <w:p w14:paraId="2770C176"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Offices, Hotels, Health, Services</w:t>
            </w:r>
          </w:p>
        </w:tc>
        <w:tc>
          <w:tcPr>
            <w:tcW w:w="1170" w:type="dxa"/>
            <w:shd w:val="clear" w:color="auto" w:fill="auto"/>
            <w:vAlign w:val="center"/>
          </w:tcPr>
          <w:p w14:paraId="2BBAA555"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17,493</w:t>
            </w:r>
          </w:p>
        </w:tc>
        <w:tc>
          <w:tcPr>
            <w:tcW w:w="1440" w:type="dxa"/>
            <w:shd w:val="clear" w:color="auto" w:fill="auto"/>
            <w:vAlign w:val="center"/>
          </w:tcPr>
          <w:p w14:paraId="32658313"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412.4</w:t>
            </w:r>
          </w:p>
        </w:tc>
        <w:tc>
          <w:tcPr>
            <w:tcW w:w="1350" w:type="dxa"/>
            <w:shd w:val="clear" w:color="auto" w:fill="auto"/>
            <w:vAlign w:val="center"/>
          </w:tcPr>
          <w:p w14:paraId="7B623788"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410.5</w:t>
            </w:r>
          </w:p>
        </w:tc>
        <w:tc>
          <w:tcPr>
            <w:tcW w:w="1350" w:type="dxa"/>
            <w:shd w:val="clear" w:color="auto" w:fill="auto"/>
            <w:vAlign w:val="center"/>
          </w:tcPr>
          <w:p w14:paraId="01F94F20"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1.9</w:t>
            </w:r>
          </w:p>
        </w:tc>
        <w:tc>
          <w:tcPr>
            <w:tcW w:w="1345" w:type="dxa"/>
            <w:shd w:val="clear" w:color="auto" w:fill="auto"/>
            <w:vAlign w:val="center"/>
          </w:tcPr>
          <w:p w14:paraId="545D35B2"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0.5%</w:t>
            </w:r>
          </w:p>
        </w:tc>
      </w:tr>
      <w:tr w:rsidR="00FE2437" w14:paraId="6531E40F" w14:textId="77777777" w:rsidTr="00AB5B34">
        <w:trPr>
          <w:jc w:val="center"/>
        </w:trPr>
        <w:tc>
          <w:tcPr>
            <w:tcW w:w="1975" w:type="dxa"/>
            <w:vAlign w:val="center"/>
          </w:tcPr>
          <w:p w14:paraId="7198070A"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Schools</w:t>
            </w:r>
          </w:p>
        </w:tc>
        <w:tc>
          <w:tcPr>
            <w:tcW w:w="1170" w:type="dxa"/>
            <w:shd w:val="clear" w:color="auto" w:fill="auto"/>
            <w:vAlign w:val="center"/>
          </w:tcPr>
          <w:p w14:paraId="70530823"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1,845</w:t>
            </w:r>
          </w:p>
        </w:tc>
        <w:tc>
          <w:tcPr>
            <w:tcW w:w="1440" w:type="dxa"/>
            <w:shd w:val="clear" w:color="auto" w:fill="auto"/>
            <w:vAlign w:val="center"/>
          </w:tcPr>
          <w:p w14:paraId="3C6C0A25"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60.2</w:t>
            </w:r>
          </w:p>
        </w:tc>
        <w:tc>
          <w:tcPr>
            <w:tcW w:w="1350" w:type="dxa"/>
            <w:shd w:val="clear" w:color="auto" w:fill="auto"/>
            <w:vAlign w:val="center"/>
          </w:tcPr>
          <w:p w14:paraId="17CE08C8"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58.3</w:t>
            </w:r>
          </w:p>
        </w:tc>
        <w:tc>
          <w:tcPr>
            <w:tcW w:w="1350" w:type="dxa"/>
            <w:shd w:val="clear" w:color="auto" w:fill="auto"/>
            <w:vAlign w:val="center"/>
          </w:tcPr>
          <w:p w14:paraId="5633A43E"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1.9</w:t>
            </w:r>
          </w:p>
        </w:tc>
        <w:tc>
          <w:tcPr>
            <w:tcW w:w="1345" w:type="dxa"/>
            <w:shd w:val="clear" w:color="auto" w:fill="auto"/>
            <w:vAlign w:val="center"/>
          </w:tcPr>
          <w:p w14:paraId="1630B239"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3.2%</w:t>
            </w:r>
          </w:p>
        </w:tc>
      </w:tr>
      <w:tr w:rsidR="00FE2437" w14:paraId="0BD3735D" w14:textId="77777777" w:rsidTr="00AB5B34">
        <w:trPr>
          <w:jc w:val="center"/>
        </w:trPr>
        <w:tc>
          <w:tcPr>
            <w:tcW w:w="1975" w:type="dxa"/>
            <w:vAlign w:val="center"/>
          </w:tcPr>
          <w:p w14:paraId="46070BDC" w14:textId="77777777" w:rsidR="00FE2437" w:rsidRPr="007E0A27" w:rsidRDefault="00FE2437" w:rsidP="00000ABC">
            <w:pPr>
              <w:keepNext/>
              <w:keepLines/>
              <w:rPr>
                <w:rFonts w:ascii="Arial" w:hAnsi="Arial" w:cs="Arial"/>
                <w:sz w:val="20"/>
                <w:szCs w:val="20"/>
              </w:rPr>
            </w:pPr>
            <w:r w:rsidRPr="007E0A27">
              <w:rPr>
                <w:rFonts w:ascii="Arial" w:hAnsi="Arial" w:cs="Arial"/>
                <w:sz w:val="20"/>
                <w:szCs w:val="20"/>
              </w:rPr>
              <w:t>Entertainment, Other Services, Government</w:t>
            </w:r>
          </w:p>
        </w:tc>
        <w:tc>
          <w:tcPr>
            <w:tcW w:w="1170" w:type="dxa"/>
            <w:shd w:val="clear" w:color="auto" w:fill="auto"/>
            <w:vAlign w:val="center"/>
          </w:tcPr>
          <w:p w14:paraId="175ECCCB"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6,359</w:t>
            </w:r>
          </w:p>
        </w:tc>
        <w:tc>
          <w:tcPr>
            <w:tcW w:w="1440" w:type="dxa"/>
            <w:shd w:val="clear" w:color="auto" w:fill="auto"/>
            <w:vAlign w:val="center"/>
          </w:tcPr>
          <w:p w14:paraId="2AE3415E"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104.6</w:t>
            </w:r>
          </w:p>
        </w:tc>
        <w:tc>
          <w:tcPr>
            <w:tcW w:w="1350" w:type="dxa"/>
            <w:shd w:val="clear" w:color="auto" w:fill="auto"/>
            <w:vAlign w:val="center"/>
          </w:tcPr>
          <w:p w14:paraId="6B4F80C6"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102.7</w:t>
            </w:r>
          </w:p>
        </w:tc>
        <w:tc>
          <w:tcPr>
            <w:tcW w:w="1350" w:type="dxa"/>
            <w:shd w:val="clear" w:color="auto" w:fill="auto"/>
            <w:vAlign w:val="center"/>
          </w:tcPr>
          <w:p w14:paraId="640C0CA9"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1.9</w:t>
            </w:r>
          </w:p>
        </w:tc>
        <w:tc>
          <w:tcPr>
            <w:tcW w:w="1345" w:type="dxa"/>
            <w:shd w:val="clear" w:color="auto" w:fill="auto"/>
            <w:vAlign w:val="center"/>
          </w:tcPr>
          <w:p w14:paraId="3D4E9C6A"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1.8%</w:t>
            </w:r>
          </w:p>
        </w:tc>
      </w:tr>
      <w:tr w:rsidR="00FE2437" w14:paraId="16FB7F68" w14:textId="77777777" w:rsidTr="00AB5B34">
        <w:trPr>
          <w:jc w:val="center"/>
        </w:trPr>
        <w:tc>
          <w:tcPr>
            <w:tcW w:w="1975" w:type="dxa"/>
            <w:vAlign w:val="center"/>
          </w:tcPr>
          <w:p w14:paraId="49FD7CFE" w14:textId="77777777" w:rsidR="00FE2437" w:rsidRPr="007E0A27" w:rsidRDefault="00FE2437" w:rsidP="00000ABC">
            <w:pPr>
              <w:keepNext/>
              <w:keepLines/>
              <w:rPr>
                <w:rFonts w:ascii="Arial" w:hAnsi="Arial" w:cs="Arial"/>
                <w:sz w:val="20"/>
                <w:szCs w:val="20"/>
              </w:rPr>
            </w:pPr>
            <w:r>
              <w:rPr>
                <w:rFonts w:ascii="Arial" w:hAnsi="Arial" w:cs="Arial"/>
                <w:sz w:val="20"/>
                <w:szCs w:val="20"/>
              </w:rPr>
              <w:t>Other or unknown</w:t>
            </w:r>
          </w:p>
        </w:tc>
        <w:tc>
          <w:tcPr>
            <w:tcW w:w="1170" w:type="dxa"/>
            <w:shd w:val="clear" w:color="auto" w:fill="auto"/>
            <w:vAlign w:val="center"/>
          </w:tcPr>
          <w:p w14:paraId="1CB0FDAF"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6,126</w:t>
            </w:r>
          </w:p>
        </w:tc>
        <w:tc>
          <w:tcPr>
            <w:tcW w:w="1440" w:type="dxa"/>
            <w:shd w:val="clear" w:color="auto" w:fill="auto"/>
            <w:vAlign w:val="center"/>
          </w:tcPr>
          <w:p w14:paraId="4D00DB25"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99.7</w:t>
            </w:r>
          </w:p>
        </w:tc>
        <w:tc>
          <w:tcPr>
            <w:tcW w:w="1350" w:type="dxa"/>
            <w:shd w:val="clear" w:color="auto" w:fill="auto"/>
            <w:vAlign w:val="center"/>
          </w:tcPr>
          <w:p w14:paraId="34E3F99A"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98.6</w:t>
            </w:r>
          </w:p>
        </w:tc>
        <w:tc>
          <w:tcPr>
            <w:tcW w:w="1350" w:type="dxa"/>
            <w:shd w:val="clear" w:color="auto" w:fill="auto"/>
            <w:vAlign w:val="center"/>
          </w:tcPr>
          <w:p w14:paraId="28EB56A6"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1.1</w:t>
            </w:r>
          </w:p>
        </w:tc>
        <w:tc>
          <w:tcPr>
            <w:tcW w:w="1345" w:type="dxa"/>
            <w:shd w:val="clear" w:color="auto" w:fill="auto"/>
            <w:vAlign w:val="center"/>
          </w:tcPr>
          <w:p w14:paraId="6767DFA4" w14:textId="77777777" w:rsidR="00FE2437" w:rsidRPr="00024FF4" w:rsidRDefault="00FE2437" w:rsidP="00000ABC">
            <w:pPr>
              <w:jc w:val="right"/>
              <w:rPr>
                <w:rFonts w:ascii="Arial" w:hAnsi="Arial" w:cs="Arial"/>
                <w:sz w:val="20"/>
                <w:szCs w:val="20"/>
              </w:rPr>
            </w:pPr>
            <w:r w:rsidRPr="00024FF4">
              <w:rPr>
                <w:rFonts w:ascii="Arial" w:hAnsi="Arial" w:cs="Arial"/>
                <w:sz w:val="20"/>
                <w:szCs w:val="20"/>
              </w:rPr>
              <w:t>1.1%</w:t>
            </w:r>
          </w:p>
        </w:tc>
      </w:tr>
    </w:tbl>
    <w:p w14:paraId="4577E4AF" w14:textId="288C5917" w:rsidR="00B405E5" w:rsidRDefault="00B405E5" w:rsidP="001C1578">
      <w:pPr>
        <w:spacing w:after="120"/>
        <w:rPr>
          <w:szCs w:val="32"/>
        </w:rPr>
      </w:pPr>
    </w:p>
    <w:p w14:paraId="1CE28DA9" w14:textId="1112AC33" w:rsidR="00000ABC" w:rsidRDefault="00000ABC" w:rsidP="00000ABC">
      <w:pPr>
        <w:pStyle w:val="FigureCaption"/>
        <w:spacing w:after="0"/>
      </w:pPr>
      <w:bookmarkStart w:id="148" w:name="_Ref506914637"/>
      <w:bookmarkStart w:id="149" w:name="_Toc509837455"/>
      <w:r>
        <w:t xml:space="preserve">Figure </w:t>
      </w:r>
      <w:fldSimple w:instr=" STYLEREF 1 \s ">
        <w:r w:rsidR="005D5C7C">
          <w:rPr>
            <w:noProof/>
          </w:rPr>
          <w:t>3</w:t>
        </w:r>
      </w:fldSimple>
      <w:r w:rsidR="00A11E78">
        <w:t>.</w:t>
      </w:r>
      <w:fldSimple w:instr=" SEQ Figure \* ARABIC \s 1 ">
        <w:r w:rsidR="005D5C7C">
          <w:rPr>
            <w:noProof/>
          </w:rPr>
          <w:t>8</w:t>
        </w:r>
      </w:fldSimple>
      <w:bookmarkEnd w:id="148"/>
      <w:r>
        <w:t>: Typical Event Day Event-Hour Load Impacts by Industry Group,</w:t>
      </w:r>
      <w:bookmarkEnd w:id="149"/>
      <w:r>
        <w:t xml:space="preserve"> </w:t>
      </w:r>
    </w:p>
    <w:p w14:paraId="3DD0F1D3" w14:textId="63EE2B5C" w:rsidR="00104977" w:rsidRDefault="00000ABC" w:rsidP="00000ABC">
      <w:pPr>
        <w:pStyle w:val="FigureCaption"/>
        <w:spacing w:after="0"/>
      </w:pPr>
      <w:bookmarkStart w:id="150" w:name="_Toc509837456"/>
      <w:r w:rsidRPr="006C0719">
        <w:rPr>
          <w:i/>
        </w:rPr>
        <w:t>PG&amp;E</w:t>
      </w:r>
      <w:r>
        <w:rPr>
          <w:i/>
        </w:rPr>
        <w:t xml:space="preserve"> Medium</w:t>
      </w:r>
      <w:bookmarkEnd w:id="150"/>
    </w:p>
    <w:p w14:paraId="5BC6B2F8" w14:textId="35DB4D80" w:rsidR="00CD2D91" w:rsidRDefault="00CD2D91" w:rsidP="00104977">
      <w:r>
        <w:rPr>
          <w:noProof/>
        </w:rPr>
        <w:drawing>
          <wp:inline distT="0" distB="0" distL="0" distR="0" wp14:anchorId="393908C2" wp14:editId="55FBB141">
            <wp:extent cx="5486400" cy="3983990"/>
            <wp:effectExtent l="0" t="0" r="0" b="0"/>
            <wp:docPr id="110" name="Chart 110">
              <a:extLst xmlns:a="http://schemas.openxmlformats.org/drawingml/2006/main">
                <a:ext uri="{FF2B5EF4-FFF2-40B4-BE49-F238E27FC236}">
                  <a16:creationId xmlns:a16="http://schemas.microsoft.com/office/drawing/2014/main" id="{9E61A736-FD9D-44B1-9985-CF3331FF48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2AF0D98A" w14:textId="18800B67" w:rsidR="00000ABC" w:rsidRDefault="00000ABC" w:rsidP="00000ABC">
      <w:pPr>
        <w:pStyle w:val="TableCaption"/>
      </w:pPr>
    </w:p>
    <w:p w14:paraId="63DAC509" w14:textId="77777777" w:rsidR="005774C3" w:rsidRDefault="005774C3" w:rsidP="009577F5">
      <w:pPr>
        <w:spacing w:after="120"/>
        <w:rPr>
          <w:szCs w:val="32"/>
        </w:rPr>
      </w:pPr>
    </w:p>
    <w:p w14:paraId="6B431D9B" w14:textId="524EBB01" w:rsidR="00002D6C" w:rsidRDefault="009577F5" w:rsidP="009577F5">
      <w:pPr>
        <w:spacing w:after="120"/>
      </w:pPr>
      <w:r>
        <w:rPr>
          <w:szCs w:val="32"/>
        </w:rPr>
        <w:lastRenderedPageBreak/>
        <w:fldChar w:fldCharType="begin"/>
      </w:r>
      <w:r>
        <w:rPr>
          <w:szCs w:val="32"/>
        </w:rPr>
        <w:instrText xml:space="preserve"> REF _Ref506914052 \h </w:instrText>
      </w:r>
      <w:r>
        <w:rPr>
          <w:szCs w:val="32"/>
        </w:rPr>
      </w:r>
      <w:r>
        <w:rPr>
          <w:szCs w:val="32"/>
        </w:rPr>
        <w:fldChar w:fldCharType="separate"/>
      </w:r>
      <w:r w:rsidR="005D5C7C">
        <w:t xml:space="preserve">Table </w:t>
      </w:r>
      <w:r w:rsidR="005D5C7C">
        <w:rPr>
          <w:noProof/>
        </w:rPr>
        <w:t>3</w:t>
      </w:r>
      <w:r w:rsidR="005D5C7C">
        <w:t>.</w:t>
      </w:r>
      <w:r w:rsidR="005D5C7C">
        <w:rPr>
          <w:noProof/>
        </w:rPr>
        <w:t>9</w:t>
      </w:r>
      <w:r>
        <w:rPr>
          <w:szCs w:val="32"/>
        </w:rPr>
        <w:fldChar w:fldCharType="end"/>
      </w:r>
      <w:r>
        <w:rPr>
          <w:szCs w:val="32"/>
        </w:rPr>
        <w:t xml:space="preserve">  and </w:t>
      </w:r>
      <w:r>
        <w:rPr>
          <w:szCs w:val="32"/>
        </w:rPr>
        <w:fldChar w:fldCharType="begin"/>
      </w:r>
      <w:r>
        <w:rPr>
          <w:szCs w:val="32"/>
        </w:rPr>
        <w:instrText xml:space="preserve"> REF _Ref506914957 \h </w:instrText>
      </w:r>
      <w:r>
        <w:rPr>
          <w:szCs w:val="32"/>
        </w:rPr>
      </w:r>
      <w:r>
        <w:rPr>
          <w:szCs w:val="32"/>
        </w:rPr>
        <w:fldChar w:fldCharType="separate"/>
      </w:r>
      <w:r w:rsidR="005D5C7C">
        <w:t xml:space="preserve">Figure </w:t>
      </w:r>
      <w:r w:rsidR="005D5C7C">
        <w:rPr>
          <w:noProof/>
        </w:rPr>
        <w:t>3</w:t>
      </w:r>
      <w:r w:rsidR="005D5C7C">
        <w:t>.</w:t>
      </w:r>
      <w:r w:rsidR="005D5C7C">
        <w:rPr>
          <w:noProof/>
        </w:rPr>
        <w:t>9</w:t>
      </w:r>
      <w:r>
        <w:rPr>
          <w:szCs w:val="32"/>
        </w:rPr>
        <w:fldChar w:fldCharType="end"/>
      </w:r>
      <w:r>
        <w:rPr>
          <w:szCs w:val="32"/>
        </w:rPr>
        <w:t xml:space="preserve"> summarize the small customer results by industry group. </w:t>
      </w:r>
      <w:r w:rsidRPr="00BE41D3">
        <w:rPr>
          <w:rFonts w:asciiTheme="minorHAnsi" w:hAnsiTheme="minorHAnsi"/>
        </w:rPr>
        <w:t xml:space="preserve">For small customers, enrollments are </w:t>
      </w:r>
      <w:r>
        <w:rPr>
          <w:rFonts w:asciiTheme="minorHAnsi" w:hAnsiTheme="minorHAnsi"/>
        </w:rPr>
        <w:t xml:space="preserve">highest </w:t>
      </w:r>
      <w:r w:rsidRPr="00BE41D3">
        <w:rPr>
          <w:rFonts w:asciiTheme="minorHAnsi" w:hAnsiTheme="minorHAnsi"/>
        </w:rPr>
        <w:t xml:space="preserve">in </w:t>
      </w:r>
      <w:r>
        <w:rPr>
          <w:rFonts w:asciiTheme="minorHAnsi" w:hAnsiTheme="minorHAnsi"/>
        </w:rPr>
        <w:t xml:space="preserve">the </w:t>
      </w:r>
      <w:r w:rsidRPr="00BE41D3">
        <w:rPr>
          <w:rFonts w:asciiTheme="minorHAnsi" w:hAnsiTheme="minorHAnsi"/>
        </w:rPr>
        <w:t>Offices, Hotel, Health &amp; Services</w:t>
      </w:r>
      <w:r>
        <w:rPr>
          <w:rFonts w:asciiTheme="minorHAnsi" w:hAnsiTheme="minorHAnsi"/>
        </w:rPr>
        <w:t xml:space="preserve"> and </w:t>
      </w:r>
      <w:r w:rsidRPr="00BE41D3">
        <w:rPr>
          <w:rFonts w:asciiTheme="minorHAnsi" w:hAnsiTheme="minorHAnsi" w:cs="Arial"/>
        </w:rPr>
        <w:t>Other or Unknown</w:t>
      </w:r>
      <w:r w:rsidRPr="00BE41D3">
        <w:rPr>
          <w:rFonts w:asciiTheme="minorHAnsi" w:hAnsiTheme="minorHAnsi"/>
        </w:rPr>
        <w:t xml:space="preserve"> </w:t>
      </w:r>
      <w:r>
        <w:rPr>
          <w:rFonts w:asciiTheme="minorHAnsi" w:hAnsiTheme="minorHAnsi"/>
        </w:rPr>
        <w:t xml:space="preserve">groups, </w:t>
      </w:r>
      <w:r w:rsidRPr="00BE41D3">
        <w:rPr>
          <w:rFonts w:asciiTheme="minorHAnsi" w:hAnsiTheme="minorHAnsi"/>
        </w:rPr>
        <w:t xml:space="preserve">which </w:t>
      </w:r>
      <w:r>
        <w:rPr>
          <w:rFonts w:asciiTheme="minorHAnsi" w:hAnsiTheme="minorHAnsi"/>
        </w:rPr>
        <w:t xml:space="preserve">together </w:t>
      </w:r>
      <w:r w:rsidRPr="00BE41D3">
        <w:rPr>
          <w:rFonts w:asciiTheme="minorHAnsi" w:hAnsiTheme="minorHAnsi"/>
        </w:rPr>
        <w:t>account</w:t>
      </w:r>
      <w:r>
        <w:rPr>
          <w:rFonts w:asciiTheme="minorHAnsi" w:hAnsiTheme="minorHAnsi"/>
        </w:rPr>
        <w:t xml:space="preserve"> for</w:t>
      </w:r>
      <w:r w:rsidRPr="00BE41D3">
        <w:rPr>
          <w:rFonts w:asciiTheme="minorHAnsi" w:hAnsiTheme="minorHAnsi"/>
        </w:rPr>
        <w:t xml:space="preserve"> </w:t>
      </w:r>
      <w:r>
        <w:rPr>
          <w:rFonts w:asciiTheme="minorHAnsi" w:hAnsiTheme="minorHAnsi"/>
        </w:rPr>
        <w:t>59</w:t>
      </w:r>
      <w:r w:rsidRPr="00BE41D3">
        <w:rPr>
          <w:rFonts w:asciiTheme="minorHAnsi" w:hAnsiTheme="minorHAnsi"/>
        </w:rPr>
        <w:t xml:space="preserve"> percent of enrollments and almost </w:t>
      </w:r>
      <w:r>
        <w:rPr>
          <w:rFonts w:asciiTheme="minorHAnsi" w:hAnsiTheme="minorHAnsi"/>
        </w:rPr>
        <w:t>194</w:t>
      </w:r>
      <w:r w:rsidRPr="00BE41D3">
        <w:t xml:space="preserve"> MWh</w:t>
      </w:r>
      <w:r>
        <w:t>/hour</w:t>
      </w:r>
      <w:r w:rsidRPr="00BE41D3">
        <w:t xml:space="preserve"> of load.</w:t>
      </w:r>
      <w:r>
        <w:t xml:space="preserve"> While the Offices, Hotels, Health, &amp; Services group accounts for a significant share of the customers and enrolled load, its average event-day load impact indicates that this industry group </w:t>
      </w:r>
      <w:proofErr w:type="gramStart"/>
      <w:r>
        <w:t xml:space="preserve">actually </w:t>
      </w:r>
      <w:r w:rsidRPr="00BE1AD6">
        <w:rPr>
          <w:i/>
        </w:rPr>
        <w:t>increases</w:t>
      </w:r>
      <w:proofErr w:type="gramEnd"/>
      <w:r>
        <w:t xml:space="preserve"> loads by 0.3 MWh/hour during the average event</w:t>
      </w:r>
      <w:r w:rsidR="001F4B60">
        <w:t xml:space="preserve"> (which likely reflects omitted variable bias</w:t>
      </w:r>
      <w:r w:rsidR="00F13095">
        <w:t xml:space="preserve"> or noise rather than the actual program-induced customer response)</w:t>
      </w:r>
      <w:r>
        <w:t xml:space="preserve">. </w:t>
      </w:r>
      <w:r>
        <w:fldChar w:fldCharType="begin"/>
      </w:r>
      <w:r>
        <w:instrText xml:space="preserve"> REF _Ref506914957 \h </w:instrText>
      </w:r>
      <w:r>
        <w:fldChar w:fldCharType="separate"/>
      </w:r>
      <w:r w:rsidR="005D5C7C">
        <w:t xml:space="preserve">Figure </w:t>
      </w:r>
      <w:r w:rsidR="005D5C7C">
        <w:rPr>
          <w:noProof/>
        </w:rPr>
        <w:t>3</w:t>
      </w:r>
      <w:r w:rsidR="005D5C7C">
        <w:t>.</w:t>
      </w:r>
      <w:r w:rsidR="005D5C7C">
        <w:rPr>
          <w:noProof/>
        </w:rPr>
        <w:t>9</w:t>
      </w:r>
      <w:r>
        <w:fldChar w:fldCharType="end"/>
      </w:r>
      <w:r>
        <w:t xml:space="preserve"> shows that the Institutional/Government </w:t>
      </w:r>
      <w:r w:rsidR="005774C3">
        <w:t xml:space="preserve">and Other or Unknown industry </w:t>
      </w:r>
      <w:r>
        <w:t>groups have the highest shares of load impacts</w:t>
      </w:r>
      <w:r w:rsidR="005774C3">
        <w:t xml:space="preserve"> of 25 percent and 27, respectively</w:t>
      </w:r>
      <w:r>
        <w:t>.</w:t>
      </w:r>
    </w:p>
    <w:p w14:paraId="6C5CCC43" w14:textId="77777777" w:rsidR="00000ABC" w:rsidRDefault="00000ABC" w:rsidP="00000ABC">
      <w:pPr>
        <w:pStyle w:val="TableCaption"/>
      </w:pPr>
    </w:p>
    <w:p w14:paraId="5ACE5808" w14:textId="3BC9C00E" w:rsidR="00000ABC" w:rsidRDefault="00000ABC" w:rsidP="00000ABC">
      <w:pPr>
        <w:pStyle w:val="TableCaption"/>
      </w:pPr>
      <w:bookmarkStart w:id="151" w:name="_Ref506914052"/>
      <w:bookmarkStart w:id="152" w:name="_Toc509837366"/>
      <w:r>
        <w:t xml:space="preserve">Table </w:t>
      </w:r>
      <w:fldSimple w:instr=" STYLEREF 1 \s ">
        <w:r w:rsidR="005D5C7C">
          <w:rPr>
            <w:noProof/>
          </w:rPr>
          <w:t>3</w:t>
        </w:r>
      </w:fldSimple>
      <w:r w:rsidR="0069714C">
        <w:t>.</w:t>
      </w:r>
      <w:fldSimple w:instr=" SEQ Table \* ARABIC \s 1 ">
        <w:r w:rsidR="005D5C7C">
          <w:rPr>
            <w:noProof/>
          </w:rPr>
          <w:t>9</w:t>
        </w:r>
      </w:fldSimple>
      <w:bookmarkEnd w:id="151"/>
      <w:r>
        <w:t>: Typical Event Day Load Impacts b</w:t>
      </w:r>
      <w:r w:rsidRPr="006C0719">
        <w:t xml:space="preserve">y Industry Group, </w:t>
      </w:r>
      <w:r w:rsidRPr="006C0719">
        <w:rPr>
          <w:i/>
        </w:rPr>
        <w:t>PG&amp;E</w:t>
      </w:r>
      <w:r>
        <w:rPr>
          <w:i/>
        </w:rPr>
        <w:t xml:space="preserve"> Small</w:t>
      </w:r>
      <w:bookmarkEnd w:id="1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5"/>
        <w:gridCol w:w="1170"/>
        <w:gridCol w:w="1440"/>
        <w:gridCol w:w="1350"/>
        <w:gridCol w:w="1350"/>
        <w:gridCol w:w="1345"/>
      </w:tblGrid>
      <w:tr w:rsidR="00F17837" w14:paraId="05B06830" w14:textId="77777777" w:rsidTr="00AB5B34">
        <w:trPr>
          <w:jc w:val="center"/>
        </w:trPr>
        <w:tc>
          <w:tcPr>
            <w:tcW w:w="1975" w:type="dxa"/>
            <w:tcBorders>
              <w:right w:val="single" w:sz="4" w:space="0" w:color="FFFFFF" w:themeColor="background1"/>
            </w:tcBorders>
            <w:shd w:val="clear" w:color="auto" w:fill="0C2577"/>
            <w:vAlign w:val="center"/>
          </w:tcPr>
          <w:p w14:paraId="3ADD9325" w14:textId="6A77FC84" w:rsidR="00F17837" w:rsidRPr="007E0A27" w:rsidRDefault="00F17837" w:rsidP="00F17837">
            <w:pPr>
              <w:keepNext/>
              <w:keepLines/>
              <w:jc w:val="center"/>
              <w:rPr>
                <w:rFonts w:ascii="Arial" w:hAnsi="Arial" w:cs="Arial"/>
                <w:b/>
                <w:sz w:val="20"/>
                <w:szCs w:val="20"/>
              </w:rPr>
            </w:pPr>
            <w:r w:rsidRPr="007E0A27">
              <w:rPr>
                <w:rFonts w:ascii="Arial" w:hAnsi="Arial" w:cs="Arial"/>
                <w:b/>
                <w:sz w:val="20"/>
                <w:szCs w:val="20"/>
              </w:rPr>
              <w:t>Industry Group</w:t>
            </w:r>
          </w:p>
        </w:tc>
        <w:tc>
          <w:tcPr>
            <w:tcW w:w="1170" w:type="dxa"/>
            <w:tcBorders>
              <w:left w:val="single" w:sz="4" w:space="0" w:color="FFFFFF" w:themeColor="background1"/>
              <w:right w:val="single" w:sz="4" w:space="0" w:color="FFFFFF" w:themeColor="background1"/>
            </w:tcBorders>
            <w:shd w:val="clear" w:color="auto" w:fill="0C2577"/>
            <w:vAlign w:val="center"/>
          </w:tcPr>
          <w:p w14:paraId="6162C071" w14:textId="03B8C20C" w:rsidR="00F17837" w:rsidRPr="007E0A27" w:rsidRDefault="00F17837" w:rsidP="00F17837">
            <w:pPr>
              <w:keepNext/>
              <w:keepLines/>
              <w:jc w:val="center"/>
              <w:rPr>
                <w:rFonts w:ascii="Arial" w:hAnsi="Arial" w:cs="Arial"/>
                <w:b/>
                <w:sz w:val="20"/>
                <w:szCs w:val="20"/>
              </w:rPr>
            </w:pPr>
            <w:r>
              <w:rPr>
                <w:rFonts w:ascii="Arial" w:hAnsi="Arial" w:cs="Arial"/>
                <w:b/>
                <w:sz w:val="20"/>
                <w:szCs w:val="20"/>
              </w:rPr>
              <w:t># of Service Accounts</w:t>
            </w:r>
          </w:p>
        </w:tc>
        <w:tc>
          <w:tcPr>
            <w:tcW w:w="1440" w:type="dxa"/>
            <w:tcBorders>
              <w:left w:val="single" w:sz="4" w:space="0" w:color="FFFFFF" w:themeColor="background1"/>
              <w:right w:val="single" w:sz="4" w:space="0" w:color="FFFFFF" w:themeColor="background1"/>
            </w:tcBorders>
            <w:shd w:val="clear" w:color="auto" w:fill="0C2577"/>
            <w:vAlign w:val="center"/>
          </w:tcPr>
          <w:p w14:paraId="247D8C43" w14:textId="5CF9745D" w:rsidR="00F17837" w:rsidRPr="007E0A27" w:rsidRDefault="00F17837" w:rsidP="00F17837">
            <w:pPr>
              <w:keepNext/>
              <w:keepLines/>
              <w:jc w:val="center"/>
              <w:rPr>
                <w:rFonts w:ascii="Arial" w:hAnsi="Arial" w:cs="Arial"/>
                <w:b/>
                <w:sz w:val="20"/>
                <w:szCs w:val="20"/>
              </w:rPr>
            </w:pPr>
            <w:r w:rsidRPr="007E0A27">
              <w:rPr>
                <w:rFonts w:ascii="Arial" w:hAnsi="Arial" w:cs="Arial"/>
                <w:b/>
                <w:sz w:val="20"/>
                <w:szCs w:val="20"/>
              </w:rPr>
              <w:t>Estimated Reference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7F7ABEAD" w14:textId="495FC596" w:rsidR="00F17837" w:rsidRPr="007E0A27" w:rsidRDefault="00F17837" w:rsidP="00F17837">
            <w:pPr>
              <w:keepNext/>
              <w:keepLines/>
              <w:jc w:val="center"/>
              <w:rPr>
                <w:rFonts w:ascii="Arial" w:hAnsi="Arial" w:cs="Arial"/>
                <w:b/>
                <w:sz w:val="20"/>
                <w:szCs w:val="20"/>
              </w:rPr>
            </w:pPr>
            <w:r w:rsidRPr="007E0A27">
              <w:rPr>
                <w:rFonts w:ascii="Arial" w:hAnsi="Arial" w:cs="Arial"/>
                <w:b/>
                <w:sz w:val="20"/>
                <w:szCs w:val="20"/>
              </w:rPr>
              <w:t>Observed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22F1F8F9" w14:textId="34C766D0" w:rsidR="00F17837" w:rsidRPr="007E0A27" w:rsidRDefault="00F17837" w:rsidP="00F17837">
            <w:pPr>
              <w:keepNext/>
              <w:keepLines/>
              <w:jc w:val="center"/>
              <w:rPr>
                <w:rFonts w:ascii="Arial" w:hAnsi="Arial" w:cs="Arial"/>
                <w:b/>
                <w:sz w:val="20"/>
                <w:szCs w:val="20"/>
              </w:rPr>
            </w:pPr>
            <w:r w:rsidRPr="007E0A27">
              <w:rPr>
                <w:rFonts w:ascii="Arial" w:hAnsi="Arial" w:cs="Arial"/>
                <w:b/>
                <w:sz w:val="20"/>
                <w:szCs w:val="20"/>
              </w:rPr>
              <w:t>Estimated Load Impact (MW</w:t>
            </w:r>
            <w:r w:rsidR="00AB5B34">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37E92154" w14:textId="1E50FE9D" w:rsidR="00F17837" w:rsidRPr="007E0A27" w:rsidRDefault="00F17837" w:rsidP="00F17837">
            <w:pPr>
              <w:keepNext/>
              <w:keepLines/>
              <w:jc w:val="center"/>
              <w:rPr>
                <w:rFonts w:ascii="Arial" w:hAnsi="Arial" w:cs="Arial"/>
                <w:b/>
                <w:sz w:val="20"/>
                <w:szCs w:val="20"/>
              </w:rPr>
            </w:pPr>
            <w:r w:rsidRPr="007E0A27">
              <w:rPr>
                <w:rFonts w:ascii="Arial" w:hAnsi="Arial" w:cs="Arial"/>
                <w:b/>
                <w:sz w:val="20"/>
                <w:szCs w:val="20"/>
              </w:rPr>
              <w:t>% LI</w:t>
            </w:r>
          </w:p>
        </w:tc>
      </w:tr>
      <w:tr w:rsidR="00024FF4" w14:paraId="486E9F2D" w14:textId="77777777" w:rsidTr="00AB5B34">
        <w:trPr>
          <w:jc w:val="center"/>
        </w:trPr>
        <w:tc>
          <w:tcPr>
            <w:tcW w:w="1975" w:type="dxa"/>
            <w:vAlign w:val="center"/>
          </w:tcPr>
          <w:p w14:paraId="5B99B6A7"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Agriculture, Mining, &amp; Construction</w:t>
            </w:r>
          </w:p>
        </w:tc>
        <w:tc>
          <w:tcPr>
            <w:tcW w:w="1170" w:type="dxa"/>
            <w:shd w:val="clear" w:color="auto" w:fill="auto"/>
            <w:vAlign w:val="center"/>
          </w:tcPr>
          <w:p w14:paraId="33010DDE" w14:textId="52738F4E" w:rsidR="00024FF4" w:rsidRPr="00024FF4" w:rsidRDefault="00024FF4" w:rsidP="00024FF4">
            <w:pPr>
              <w:jc w:val="right"/>
              <w:rPr>
                <w:rFonts w:ascii="Arial" w:hAnsi="Arial" w:cs="Arial"/>
                <w:sz w:val="20"/>
                <w:szCs w:val="20"/>
              </w:rPr>
            </w:pPr>
            <w:r w:rsidRPr="00024FF4">
              <w:rPr>
                <w:rFonts w:ascii="Arial" w:hAnsi="Arial" w:cs="Arial"/>
                <w:sz w:val="20"/>
                <w:szCs w:val="20"/>
              </w:rPr>
              <w:t>5,708</w:t>
            </w:r>
          </w:p>
        </w:tc>
        <w:tc>
          <w:tcPr>
            <w:tcW w:w="1440" w:type="dxa"/>
            <w:shd w:val="clear" w:color="auto" w:fill="auto"/>
            <w:vAlign w:val="center"/>
          </w:tcPr>
          <w:p w14:paraId="4A7DD863" w14:textId="54C264CA" w:rsidR="00024FF4" w:rsidRPr="00024FF4" w:rsidRDefault="00024FF4" w:rsidP="00024FF4">
            <w:pPr>
              <w:jc w:val="right"/>
              <w:rPr>
                <w:rFonts w:ascii="Arial" w:hAnsi="Arial" w:cs="Arial"/>
                <w:sz w:val="20"/>
                <w:szCs w:val="20"/>
              </w:rPr>
            </w:pPr>
            <w:r w:rsidRPr="00024FF4">
              <w:rPr>
                <w:rFonts w:ascii="Arial" w:hAnsi="Arial" w:cs="Arial"/>
                <w:sz w:val="20"/>
                <w:szCs w:val="20"/>
              </w:rPr>
              <w:t>9.7</w:t>
            </w:r>
          </w:p>
        </w:tc>
        <w:tc>
          <w:tcPr>
            <w:tcW w:w="1350" w:type="dxa"/>
            <w:shd w:val="clear" w:color="auto" w:fill="auto"/>
            <w:vAlign w:val="center"/>
          </w:tcPr>
          <w:p w14:paraId="58E32687" w14:textId="0B725308" w:rsidR="00024FF4" w:rsidRPr="00024FF4" w:rsidRDefault="00024FF4" w:rsidP="00024FF4">
            <w:pPr>
              <w:jc w:val="right"/>
              <w:rPr>
                <w:rFonts w:ascii="Arial" w:hAnsi="Arial" w:cs="Arial"/>
                <w:sz w:val="20"/>
                <w:szCs w:val="20"/>
              </w:rPr>
            </w:pPr>
            <w:r w:rsidRPr="00024FF4">
              <w:rPr>
                <w:rFonts w:ascii="Arial" w:hAnsi="Arial" w:cs="Arial"/>
                <w:sz w:val="20"/>
                <w:szCs w:val="20"/>
              </w:rPr>
              <w:t>9.5</w:t>
            </w:r>
          </w:p>
        </w:tc>
        <w:tc>
          <w:tcPr>
            <w:tcW w:w="1350" w:type="dxa"/>
            <w:shd w:val="clear" w:color="auto" w:fill="auto"/>
            <w:vAlign w:val="center"/>
          </w:tcPr>
          <w:p w14:paraId="1D49FDB5" w14:textId="50421B2E" w:rsidR="00024FF4" w:rsidRPr="00024FF4" w:rsidRDefault="00024FF4" w:rsidP="00024FF4">
            <w:pPr>
              <w:jc w:val="right"/>
              <w:rPr>
                <w:rFonts w:ascii="Arial" w:hAnsi="Arial" w:cs="Arial"/>
                <w:sz w:val="20"/>
                <w:szCs w:val="20"/>
              </w:rPr>
            </w:pPr>
            <w:r w:rsidRPr="00024FF4">
              <w:rPr>
                <w:rFonts w:ascii="Arial" w:hAnsi="Arial" w:cs="Arial"/>
                <w:sz w:val="20"/>
                <w:szCs w:val="20"/>
              </w:rPr>
              <w:t>0.2</w:t>
            </w:r>
          </w:p>
        </w:tc>
        <w:tc>
          <w:tcPr>
            <w:tcW w:w="1345" w:type="dxa"/>
            <w:shd w:val="clear" w:color="auto" w:fill="auto"/>
            <w:vAlign w:val="center"/>
          </w:tcPr>
          <w:p w14:paraId="3A96DB7A" w14:textId="54D9DD18" w:rsidR="00024FF4" w:rsidRPr="00024FF4" w:rsidRDefault="00024FF4" w:rsidP="00024FF4">
            <w:pPr>
              <w:jc w:val="right"/>
              <w:rPr>
                <w:rFonts w:ascii="Arial" w:hAnsi="Arial" w:cs="Arial"/>
                <w:sz w:val="20"/>
                <w:szCs w:val="20"/>
              </w:rPr>
            </w:pPr>
            <w:r w:rsidRPr="00024FF4">
              <w:rPr>
                <w:rFonts w:ascii="Arial" w:hAnsi="Arial" w:cs="Arial"/>
                <w:sz w:val="20"/>
                <w:szCs w:val="20"/>
              </w:rPr>
              <w:t>1.6%</w:t>
            </w:r>
          </w:p>
        </w:tc>
      </w:tr>
      <w:tr w:rsidR="00024FF4" w14:paraId="3A7E3F3A" w14:textId="77777777" w:rsidTr="00AB5B34">
        <w:trPr>
          <w:jc w:val="center"/>
        </w:trPr>
        <w:tc>
          <w:tcPr>
            <w:tcW w:w="1975" w:type="dxa"/>
            <w:vAlign w:val="center"/>
          </w:tcPr>
          <w:p w14:paraId="56DD629A"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Manufacturing</w:t>
            </w:r>
          </w:p>
        </w:tc>
        <w:tc>
          <w:tcPr>
            <w:tcW w:w="1170" w:type="dxa"/>
            <w:shd w:val="clear" w:color="auto" w:fill="auto"/>
            <w:vAlign w:val="center"/>
          </w:tcPr>
          <w:p w14:paraId="061CA54F" w14:textId="3CD47C63" w:rsidR="00024FF4" w:rsidRPr="00024FF4" w:rsidRDefault="00024FF4" w:rsidP="00024FF4">
            <w:pPr>
              <w:jc w:val="right"/>
              <w:rPr>
                <w:rFonts w:ascii="Arial" w:hAnsi="Arial" w:cs="Arial"/>
                <w:sz w:val="20"/>
                <w:szCs w:val="20"/>
              </w:rPr>
            </w:pPr>
            <w:r w:rsidRPr="00024FF4">
              <w:rPr>
                <w:rFonts w:ascii="Arial" w:hAnsi="Arial" w:cs="Arial"/>
                <w:sz w:val="20"/>
                <w:szCs w:val="20"/>
              </w:rPr>
              <w:t>3,467</w:t>
            </w:r>
          </w:p>
        </w:tc>
        <w:tc>
          <w:tcPr>
            <w:tcW w:w="1440" w:type="dxa"/>
            <w:shd w:val="clear" w:color="auto" w:fill="auto"/>
            <w:vAlign w:val="center"/>
          </w:tcPr>
          <w:p w14:paraId="13FE88BD" w14:textId="35ACC9FC" w:rsidR="00024FF4" w:rsidRPr="00024FF4" w:rsidRDefault="00024FF4" w:rsidP="00024FF4">
            <w:pPr>
              <w:jc w:val="right"/>
              <w:rPr>
                <w:rFonts w:ascii="Arial" w:hAnsi="Arial" w:cs="Arial"/>
                <w:sz w:val="20"/>
                <w:szCs w:val="20"/>
              </w:rPr>
            </w:pPr>
            <w:r w:rsidRPr="00024FF4">
              <w:rPr>
                <w:rFonts w:ascii="Arial" w:hAnsi="Arial" w:cs="Arial"/>
                <w:sz w:val="20"/>
                <w:szCs w:val="20"/>
              </w:rPr>
              <w:t>8.6</w:t>
            </w:r>
          </w:p>
        </w:tc>
        <w:tc>
          <w:tcPr>
            <w:tcW w:w="1350" w:type="dxa"/>
            <w:shd w:val="clear" w:color="auto" w:fill="auto"/>
            <w:vAlign w:val="center"/>
          </w:tcPr>
          <w:p w14:paraId="26D0879D" w14:textId="2A127633" w:rsidR="00024FF4" w:rsidRPr="00024FF4" w:rsidRDefault="00024FF4" w:rsidP="00024FF4">
            <w:pPr>
              <w:jc w:val="right"/>
              <w:rPr>
                <w:rFonts w:ascii="Arial" w:hAnsi="Arial" w:cs="Arial"/>
                <w:sz w:val="20"/>
                <w:szCs w:val="20"/>
              </w:rPr>
            </w:pPr>
            <w:r w:rsidRPr="00024FF4">
              <w:rPr>
                <w:rFonts w:ascii="Arial" w:hAnsi="Arial" w:cs="Arial"/>
                <w:sz w:val="20"/>
                <w:szCs w:val="20"/>
              </w:rPr>
              <w:t>8.4</w:t>
            </w:r>
          </w:p>
        </w:tc>
        <w:tc>
          <w:tcPr>
            <w:tcW w:w="1350" w:type="dxa"/>
            <w:shd w:val="clear" w:color="auto" w:fill="auto"/>
            <w:vAlign w:val="center"/>
          </w:tcPr>
          <w:p w14:paraId="28EF5A6B" w14:textId="3041EF4C" w:rsidR="00024FF4" w:rsidRPr="00024FF4" w:rsidRDefault="00024FF4" w:rsidP="00024FF4">
            <w:pPr>
              <w:jc w:val="right"/>
              <w:rPr>
                <w:rFonts w:ascii="Arial" w:hAnsi="Arial" w:cs="Arial"/>
                <w:sz w:val="20"/>
                <w:szCs w:val="20"/>
              </w:rPr>
            </w:pPr>
            <w:r w:rsidRPr="00024FF4">
              <w:rPr>
                <w:rFonts w:ascii="Arial" w:hAnsi="Arial" w:cs="Arial"/>
                <w:sz w:val="20"/>
                <w:szCs w:val="20"/>
              </w:rPr>
              <w:t>0.2</w:t>
            </w:r>
          </w:p>
        </w:tc>
        <w:tc>
          <w:tcPr>
            <w:tcW w:w="1345" w:type="dxa"/>
            <w:shd w:val="clear" w:color="auto" w:fill="auto"/>
            <w:vAlign w:val="center"/>
          </w:tcPr>
          <w:p w14:paraId="016C802F" w14:textId="69C27088" w:rsidR="00024FF4" w:rsidRPr="00024FF4" w:rsidRDefault="00024FF4" w:rsidP="00024FF4">
            <w:pPr>
              <w:jc w:val="right"/>
              <w:rPr>
                <w:rFonts w:ascii="Arial" w:hAnsi="Arial" w:cs="Arial"/>
                <w:sz w:val="20"/>
                <w:szCs w:val="20"/>
              </w:rPr>
            </w:pPr>
            <w:r w:rsidRPr="00024FF4">
              <w:rPr>
                <w:rFonts w:ascii="Arial" w:hAnsi="Arial" w:cs="Arial"/>
                <w:sz w:val="20"/>
                <w:szCs w:val="20"/>
              </w:rPr>
              <w:t>1.8%</w:t>
            </w:r>
          </w:p>
        </w:tc>
      </w:tr>
      <w:tr w:rsidR="00024FF4" w14:paraId="5FC3E2F7" w14:textId="77777777" w:rsidTr="00AB5B34">
        <w:trPr>
          <w:jc w:val="center"/>
        </w:trPr>
        <w:tc>
          <w:tcPr>
            <w:tcW w:w="1975" w:type="dxa"/>
            <w:vAlign w:val="center"/>
          </w:tcPr>
          <w:p w14:paraId="184C57BC"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Wholesale, Transportation, &amp; Other Utilities</w:t>
            </w:r>
          </w:p>
        </w:tc>
        <w:tc>
          <w:tcPr>
            <w:tcW w:w="1170" w:type="dxa"/>
            <w:shd w:val="clear" w:color="auto" w:fill="auto"/>
            <w:vAlign w:val="center"/>
          </w:tcPr>
          <w:p w14:paraId="43CE8710" w14:textId="0DB185A1" w:rsidR="00024FF4" w:rsidRPr="00024FF4" w:rsidRDefault="00024FF4" w:rsidP="00024FF4">
            <w:pPr>
              <w:jc w:val="right"/>
              <w:rPr>
                <w:rFonts w:ascii="Arial" w:hAnsi="Arial" w:cs="Arial"/>
                <w:sz w:val="20"/>
                <w:szCs w:val="20"/>
              </w:rPr>
            </w:pPr>
            <w:r w:rsidRPr="00024FF4">
              <w:rPr>
                <w:rFonts w:ascii="Arial" w:hAnsi="Arial" w:cs="Arial"/>
                <w:sz w:val="20"/>
                <w:szCs w:val="20"/>
              </w:rPr>
              <w:t>17,270</w:t>
            </w:r>
          </w:p>
        </w:tc>
        <w:tc>
          <w:tcPr>
            <w:tcW w:w="1440" w:type="dxa"/>
            <w:shd w:val="clear" w:color="auto" w:fill="auto"/>
            <w:vAlign w:val="center"/>
          </w:tcPr>
          <w:p w14:paraId="65203A64" w14:textId="783AB7A0" w:rsidR="00024FF4" w:rsidRPr="00024FF4" w:rsidRDefault="00024FF4" w:rsidP="00024FF4">
            <w:pPr>
              <w:jc w:val="right"/>
              <w:rPr>
                <w:rFonts w:ascii="Arial" w:hAnsi="Arial" w:cs="Arial"/>
                <w:sz w:val="20"/>
                <w:szCs w:val="20"/>
              </w:rPr>
            </w:pPr>
            <w:r w:rsidRPr="00024FF4">
              <w:rPr>
                <w:rFonts w:ascii="Arial" w:hAnsi="Arial" w:cs="Arial"/>
                <w:sz w:val="20"/>
                <w:szCs w:val="20"/>
              </w:rPr>
              <w:t>23.5</w:t>
            </w:r>
          </w:p>
        </w:tc>
        <w:tc>
          <w:tcPr>
            <w:tcW w:w="1350" w:type="dxa"/>
            <w:shd w:val="clear" w:color="auto" w:fill="auto"/>
            <w:vAlign w:val="center"/>
          </w:tcPr>
          <w:p w14:paraId="206CF668" w14:textId="3BB97632" w:rsidR="00024FF4" w:rsidRPr="00024FF4" w:rsidRDefault="00024FF4" w:rsidP="00024FF4">
            <w:pPr>
              <w:jc w:val="right"/>
              <w:rPr>
                <w:rFonts w:ascii="Arial" w:hAnsi="Arial" w:cs="Arial"/>
                <w:sz w:val="20"/>
                <w:szCs w:val="20"/>
              </w:rPr>
            </w:pPr>
            <w:r w:rsidRPr="00024FF4">
              <w:rPr>
                <w:rFonts w:ascii="Arial" w:hAnsi="Arial" w:cs="Arial"/>
                <w:sz w:val="20"/>
                <w:szCs w:val="20"/>
              </w:rPr>
              <w:t>23.0</w:t>
            </w:r>
          </w:p>
        </w:tc>
        <w:tc>
          <w:tcPr>
            <w:tcW w:w="1350" w:type="dxa"/>
            <w:shd w:val="clear" w:color="auto" w:fill="auto"/>
            <w:vAlign w:val="center"/>
          </w:tcPr>
          <w:p w14:paraId="0F35B2B9" w14:textId="50BE1BBA" w:rsidR="00024FF4" w:rsidRPr="00024FF4" w:rsidRDefault="00024FF4" w:rsidP="00024FF4">
            <w:pPr>
              <w:jc w:val="right"/>
              <w:rPr>
                <w:rFonts w:ascii="Arial" w:hAnsi="Arial" w:cs="Arial"/>
                <w:sz w:val="20"/>
                <w:szCs w:val="20"/>
              </w:rPr>
            </w:pPr>
            <w:r w:rsidRPr="00024FF4">
              <w:rPr>
                <w:rFonts w:ascii="Arial" w:hAnsi="Arial" w:cs="Arial"/>
                <w:sz w:val="20"/>
                <w:szCs w:val="20"/>
              </w:rPr>
              <w:t>0.5</w:t>
            </w:r>
          </w:p>
        </w:tc>
        <w:tc>
          <w:tcPr>
            <w:tcW w:w="1345" w:type="dxa"/>
            <w:shd w:val="clear" w:color="auto" w:fill="auto"/>
            <w:vAlign w:val="center"/>
          </w:tcPr>
          <w:p w14:paraId="1A162CDD" w14:textId="66EC48B2" w:rsidR="00024FF4" w:rsidRPr="00024FF4" w:rsidRDefault="00024FF4" w:rsidP="00024FF4">
            <w:pPr>
              <w:jc w:val="right"/>
              <w:rPr>
                <w:rFonts w:ascii="Arial" w:hAnsi="Arial" w:cs="Arial"/>
                <w:sz w:val="20"/>
                <w:szCs w:val="20"/>
              </w:rPr>
            </w:pPr>
            <w:r w:rsidRPr="00024FF4">
              <w:rPr>
                <w:rFonts w:ascii="Arial" w:hAnsi="Arial" w:cs="Arial"/>
                <w:sz w:val="20"/>
                <w:szCs w:val="20"/>
              </w:rPr>
              <w:t>2.0%</w:t>
            </w:r>
          </w:p>
        </w:tc>
      </w:tr>
      <w:tr w:rsidR="00024FF4" w14:paraId="385364A4" w14:textId="77777777" w:rsidTr="00AB5B34">
        <w:trPr>
          <w:jc w:val="center"/>
        </w:trPr>
        <w:tc>
          <w:tcPr>
            <w:tcW w:w="1975" w:type="dxa"/>
            <w:vAlign w:val="center"/>
          </w:tcPr>
          <w:p w14:paraId="78E6FEE9"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Retail Stores</w:t>
            </w:r>
          </w:p>
        </w:tc>
        <w:tc>
          <w:tcPr>
            <w:tcW w:w="1170" w:type="dxa"/>
            <w:shd w:val="clear" w:color="auto" w:fill="auto"/>
            <w:vAlign w:val="center"/>
          </w:tcPr>
          <w:p w14:paraId="50CE2109" w14:textId="52E9300C" w:rsidR="00024FF4" w:rsidRPr="00024FF4" w:rsidRDefault="00024FF4" w:rsidP="00024FF4">
            <w:pPr>
              <w:jc w:val="right"/>
              <w:rPr>
                <w:rFonts w:ascii="Arial" w:hAnsi="Arial" w:cs="Arial"/>
                <w:sz w:val="20"/>
                <w:szCs w:val="20"/>
              </w:rPr>
            </w:pPr>
            <w:r w:rsidRPr="00024FF4">
              <w:rPr>
                <w:rFonts w:ascii="Arial" w:hAnsi="Arial" w:cs="Arial"/>
                <w:sz w:val="20"/>
                <w:szCs w:val="20"/>
              </w:rPr>
              <w:t>10,821</w:t>
            </w:r>
          </w:p>
        </w:tc>
        <w:tc>
          <w:tcPr>
            <w:tcW w:w="1440" w:type="dxa"/>
            <w:shd w:val="clear" w:color="auto" w:fill="auto"/>
            <w:vAlign w:val="center"/>
          </w:tcPr>
          <w:p w14:paraId="0ED641CC" w14:textId="2DC531DF" w:rsidR="00024FF4" w:rsidRPr="00024FF4" w:rsidRDefault="00024FF4" w:rsidP="00024FF4">
            <w:pPr>
              <w:jc w:val="right"/>
              <w:rPr>
                <w:rFonts w:ascii="Arial" w:hAnsi="Arial" w:cs="Arial"/>
                <w:sz w:val="20"/>
                <w:szCs w:val="20"/>
              </w:rPr>
            </w:pPr>
            <w:r w:rsidRPr="00024FF4">
              <w:rPr>
                <w:rFonts w:ascii="Arial" w:hAnsi="Arial" w:cs="Arial"/>
                <w:sz w:val="20"/>
                <w:szCs w:val="20"/>
              </w:rPr>
              <w:t>37.7</w:t>
            </w:r>
          </w:p>
        </w:tc>
        <w:tc>
          <w:tcPr>
            <w:tcW w:w="1350" w:type="dxa"/>
            <w:shd w:val="clear" w:color="auto" w:fill="auto"/>
            <w:vAlign w:val="center"/>
          </w:tcPr>
          <w:p w14:paraId="4CA6D553" w14:textId="6D65263E" w:rsidR="00024FF4" w:rsidRPr="00024FF4" w:rsidRDefault="00024FF4" w:rsidP="00024FF4">
            <w:pPr>
              <w:jc w:val="right"/>
              <w:rPr>
                <w:rFonts w:ascii="Arial" w:hAnsi="Arial" w:cs="Arial"/>
                <w:sz w:val="20"/>
                <w:szCs w:val="20"/>
              </w:rPr>
            </w:pPr>
            <w:r w:rsidRPr="00024FF4">
              <w:rPr>
                <w:rFonts w:ascii="Arial" w:hAnsi="Arial" w:cs="Arial"/>
                <w:sz w:val="20"/>
                <w:szCs w:val="20"/>
              </w:rPr>
              <w:t>37.2</w:t>
            </w:r>
          </w:p>
        </w:tc>
        <w:tc>
          <w:tcPr>
            <w:tcW w:w="1350" w:type="dxa"/>
            <w:shd w:val="clear" w:color="auto" w:fill="auto"/>
            <w:vAlign w:val="center"/>
          </w:tcPr>
          <w:p w14:paraId="37529D0E" w14:textId="2C99B627" w:rsidR="00024FF4" w:rsidRPr="00024FF4" w:rsidRDefault="00024FF4" w:rsidP="00024FF4">
            <w:pPr>
              <w:jc w:val="right"/>
              <w:rPr>
                <w:rFonts w:ascii="Arial" w:hAnsi="Arial" w:cs="Arial"/>
                <w:sz w:val="20"/>
                <w:szCs w:val="20"/>
              </w:rPr>
            </w:pPr>
            <w:r w:rsidRPr="00024FF4">
              <w:rPr>
                <w:rFonts w:ascii="Arial" w:hAnsi="Arial" w:cs="Arial"/>
                <w:sz w:val="20"/>
                <w:szCs w:val="20"/>
              </w:rPr>
              <w:t>0.5</w:t>
            </w:r>
          </w:p>
        </w:tc>
        <w:tc>
          <w:tcPr>
            <w:tcW w:w="1345" w:type="dxa"/>
            <w:shd w:val="clear" w:color="auto" w:fill="auto"/>
            <w:vAlign w:val="center"/>
          </w:tcPr>
          <w:p w14:paraId="775FFBFF" w14:textId="7CD10241" w:rsidR="00024FF4" w:rsidRPr="00024FF4" w:rsidRDefault="00024FF4" w:rsidP="00024FF4">
            <w:pPr>
              <w:jc w:val="right"/>
              <w:rPr>
                <w:rFonts w:ascii="Arial" w:hAnsi="Arial" w:cs="Arial"/>
                <w:sz w:val="20"/>
                <w:szCs w:val="20"/>
              </w:rPr>
            </w:pPr>
            <w:r w:rsidRPr="00024FF4">
              <w:rPr>
                <w:rFonts w:ascii="Arial" w:hAnsi="Arial" w:cs="Arial"/>
                <w:sz w:val="20"/>
                <w:szCs w:val="20"/>
              </w:rPr>
              <w:t>1.4%</w:t>
            </w:r>
          </w:p>
        </w:tc>
      </w:tr>
      <w:tr w:rsidR="00024FF4" w14:paraId="6A5CD171" w14:textId="77777777" w:rsidTr="00AB5B34">
        <w:trPr>
          <w:jc w:val="center"/>
        </w:trPr>
        <w:tc>
          <w:tcPr>
            <w:tcW w:w="1975" w:type="dxa"/>
            <w:vAlign w:val="center"/>
          </w:tcPr>
          <w:p w14:paraId="7248BCEB"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Offices, Hotels, Health, Services</w:t>
            </w:r>
          </w:p>
        </w:tc>
        <w:tc>
          <w:tcPr>
            <w:tcW w:w="1170" w:type="dxa"/>
            <w:shd w:val="clear" w:color="auto" w:fill="auto"/>
            <w:vAlign w:val="center"/>
          </w:tcPr>
          <w:p w14:paraId="6B847F4D" w14:textId="1F703A55" w:rsidR="00024FF4" w:rsidRPr="00024FF4" w:rsidRDefault="00024FF4" w:rsidP="00024FF4">
            <w:pPr>
              <w:jc w:val="right"/>
              <w:rPr>
                <w:rFonts w:ascii="Arial" w:hAnsi="Arial" w:cs="Arial"/>
                <w:sz w:val="20"/>
                <w:szCs w:val="20"/>
              </w:rPr>
            </w:pPr>
            <w:r w:rsidRPr="00024FF4">
              <w:rPr>
                <w:rFonts w:ascii="Arial" w:hAnsi="Arial" w:cs="Arial"/>
                <w:sz w:val="20"/>
                <w:szCs w:val="20"/>
              </w:rPr>
              <w:t>49,040</w:t>
            </w:r>
          </w:p>
        </w:tc>
        <w:tc>
          <w:tcPr>
            <w:tcW w:w="1440" w:type="dxa"/>
            <w:shd w:val="clear" w:color="auto" w:fill="auto"/>
            <w:vAlign w:val="center"/>
          </w:tcPr>
          <w:p w14:paraId="55149798" w14:textId="0C77113F" w:rsidR="00024FF4" w:rsidRPr="00024FF4" w:rsidRDefault="00024FF4" w:rsidP="00024FF4">
            <w:pPr>
              <w:jc w:val="right"/>
              <w:rPr>
                <w:rFonts w:ascii="Arial" w:hAnsi="Arial" w:cs="Arial"/>
                <w:sz w:val="20"/>
                <w:szCs w:val="20"/>
              </w:rPr>
            </w:pPr>
            <w:r w:rsidRPr="00024FF4">
              <w:rPr>
                <w:rFonts w:ascii="Arial" w:hAnsi="Arial" w:cs="Arial"/>
                <w:sz w:val="20"/>
                <w:szCs w:val="20"/>
              </w:rPr>
              <w:t>117.9</w:t>
            </w:r>
          </w:p>
        </w:tc>
        <w:tc>
          <w:tcPr>
            <w:tcW w:w="1350" w:type="dxa"/>
            <w:shd w:val="clear" w:color="auto" w:fill="auto"/>
            <w:vAlign w:val="center"/>
          </w:tcPr>
          <w:p w14:paraId="12088E58" w14:textId="1E614D9C" w:rsidR="00024FF4" w:rsidRPr="00024FF4" w:rsidRDefault="00024FF4" w:rsidP="00024FF4">
            <w:pPr>
              <w:jc w:val="right"/>
              <w:rPr>
                <w:rFonts w:ascii="Arial" w:hAnsi="Arial" w:cs="Arial"/>
                <w:sz w:val="20"/>
                <w:szCs w:val="20"/>
              </w:rPr>
            </w:pPr>
            <w:r w:rsidRPr="00024FF4">
              <w:rPr>
                <w:rFonts w:ascii="Arial" w:hAnsi="Arial" w:cs="Arial"/>
                <w:sz w:val="20"/>
                <w:szCs w:val="20"/>
              </w:rPr>
              <w:t>118.2</w:t>
            </w:r>
          </w:p>
        </w:tc>
        <w:tc>
          <w:tcPr>
            <w:tcW w:w="1350" w:type="dxa"/>
            <w:shd w:val="clear" w:color="auto" w:fill="auto"/>
            <w:vAlign w:val="center"/>
          </w:tcPr>
          <w:p w14:paraId="6D497D90" w14:textId="796F0DEB" w:rsidR="00024FF4" w:rsidRPr="00024FF4" w:rsidRDefault="00024FF4" w:rsidP="00024FF4">
            <w:pPr>
              <w:jc w:val="right"/>
              <w:rPr>
                <w:rFonts w:ascii="Arial" w:hAnsi="Arial" w:cs="Arial"/>
                <w:sz w:val="20"/>
                <w:szCs w:val="20"/>
              </w:rPr>
            </w:pPr>
            <w:r w:rsidRPr="00024FF4">
              <w:rPr>
                <w:rFonts w:ascii="Arial" w:hAnsi="Arial" w:cs="Arial"/>
                <w:sz w:val="20"/>
                <w:szCs w:val="20"/>
              </w:rPr>
              <w:t>-0.3</w:t>
            </w:r>
          </w:p>
        </w:tc>
        <w:tc>
          <w:tcPr>
            <w:tcW w:w="1345" w:type="dxa"/>
            <w:shd w:val="clear" w:color="auto" w:fill="auto"/>
            <w:vAlign w:val="center"/>
          </w:tcPr>
          <w:p w14:paraId="3762F4F9" w14:textId="27ACF66A" w:rsidR="00024FF4" w:rsidRPr="00024FF4" w:rsidRDefault="00024FF4" w:rsidP="00024FF4">
            <w:pPr>
              <w:jc w:val="right"/>
              <w:rPr>
                <w:rFonts w:ascii="Arial" w:hAnsi="Arial" w:cs="Arial"/>
                <w:sz w:val="20"/>
                <w:szCs w:val="20"/>
              </w:rPr>
            </w:pPr>
            <w:r w:rsidRPr="00024FF4">
              <w:rPr>
                <w:rFonts w:ascii="Arial" w:hAnsi="Arial" w:cs="Arial"/>
                <w:sz w:val="20"/>
                <w:szCs w:val="20"/>
              </w:rPr>
              <w:t>-0.3%</w:t>
            </w:r>
          </w:p>
        </w:tc>
      </w:tr>
      <w:tr w:rsidR="00024FF4" w14:paraId="59C8EC69" w14:textId="77777777" w:rsidTr="00AB5B34">
        <w:trPr>
          <w:jc w:val="center"/>
        </w:trPr>
        <w:tc>
          <w:tcPr>
            <w:tcW w:w="1975" w:type="dxa"/>
            <w:vAlign w:val="center"/>
          </w:tcPr>
          <w:p w14:paraId="05DBC5DA"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Schools</w:t>
            </w:r>
          </w:p>
        </w:tc>
        <w:tc>
          <w:tcPr>
            <w:tcW w:w="1170" w:type="dxa"/>
            <w:shd w:val="clear" w:color="auto" w:fill="auto"/>
            <w:vAlign w:val="center"/>
          </w:tcPr>
          <w:p w14:paraId="5B4201F4" w14:textId="19878965" w:rsidR="00024FF4" w:rsidRPr="00024FF4" w:rsidRDefault="00024FF4" w:rsidP="00024FF4">
            <w:pPr>
              <w:jc w:val="right"/>
              <w:rPr>
                <w:rFonts w:ascii="Arial" w:hAnsi="Arial" w:cs="Arial"/>
                <w:sz w:val="20"/>
                <w:szCs w:val="20"/>
              </w:rPr>
            </w:pPr>
            <w:r w:rsidRPr="00024FF4">
              <w:rPr>
                <w:rFonts w:ascii="Arial" w:hAnsi="Arial" w:cs="Arial"/>
                <w:sz w:val="20"/>
                <w:szCs w:val="20"/>
              </w:rPr>
              <w:t>2,147</w:t>
            </w:r>
          </w:p>
        </w:tc>
        <w:tc>
          <w:tcPr>
            <w:tcW w:w="1440" w:type="dxa"/>
            <w:shd w:val="clear" w:color="auto" w:fill="auto"/>
            <w:vAlign w:val="center"/>
          </w:tcPr>
          <w:p w14:paraId="0E51CB9B" w14:textId="6CF2FF35" w:rsidR="00024FF4" w:rsidRPr="00024FF4" w:rsidRDefault="00024FF4" w:rsidP="00024FF4">
            <w:pPr>
              <w:jc w:val="right"/>
              <w:rPr>
                <w:rFonts w:ascii="Arial" w:hAnsi="Arial" w:cs="Arial"/>
                <w:sz w:val="20"/>
                <w:szCs w:val="20"/>
              </w:rPr>
            </w:pPr>
            <w:r w:rsidRPr="00024FF4">
              <w:rPr>
                <w:rFonts w:ascii="Arial" w:hAnsi="Arial" w:cs="Arial"/>
                <w:sz w:val="20"/>
                <w:szCs w:val="20"/>
              </w:rPr>
              <w:t>5.4</w:t>
            </w:r>
          </w:p>
        </w:tc>
        <w:tc>
          <w:tcPr>
            <w:tcW w:w="1350" w:type="dxa"/>
            <w:shd w:val="clear" w:color="auto" w:fill="auto"/>
            <w:vAlign w:val="center"/>
          </w:tcPr>
          <w:p w14:paraId="72FCA43D" w14:textId="3D037B7B" w:rsidR="00024FF4" w:rsidRPr="00024FF4" w:rsidRDefault="00024FF4" w:rsidP="00024FF4">
            <w:pPr>
              <w:jc w:val="right"/>
              <w:rPr>
                <w:rFonts w:ascii="Arial" w:hAnsi="Arial" w:cs="Arial"/>
                <w:sz w:val="20"/>
                <w:szCs w:val="20"/>
              </w:rPr>
            </w:pPr>
            <w:r w:rsidRPr="00024FF4">
              <w:rPr>
                <w:rFonts w:ascii="Arial" w:hAnsi="Arial" w:cs="Arial"/>
                <w:sz w:val="20"/>
                <w:szCs w:val="20"/>
              </w:rPr>
              <w:t>5.4</w:t>
            </w:r>
          </w:p>
        </w:tc>
        <w:tc>
          <w:tcPr>
            <w:tcW w:w="1350" w:type="dxa"/>
            <w:shd w:val="clear" w:color="auto" w:fill="auto"/>
            <w:vAlign w:val="center"/>
          </w:tcPr>
          <w:p w14:paraId="6135BB6F" w14:textId="558B25F3" w:rsidR="00024FF4" w:rsidRPr="00024FF4" w:rsidRDefault="00024FF4" w:rsidP="00024FF4">
            <w:pPr>
              <w:jc w:val="right"/>
              <w:rPr>
                <w:rFonts w:ascii="Arial" w:hAnsi="Arial" w:cs="Arial"/>
                <w:sz w:val="20"/>
                <w:szCs w:val="20"/>
              </w:rPr>
            </w:pPr>
            <w:r w:rsidRPr="00024FF4">
              <w:rPr>
                <w:rFonts w:ascii="Arial" w:hAnsi="Arial" w:cs="Arial"/>
                <w:sz w:val="20"/>
                <w:szCs w:val="20"/>
              </w:rPr>
              <w:t>0.0</w:t>
            </w:r>
          </w:p>
        </w:tc>
        <w:tc>
          <w:tcPr>
            <w:tcW w:w="1345" w:type="dxa"/>
            <w:shd w:val="clear" w:color="auto" w:fill="auto"/>
            <w:vAlign w:val="center"/>
          </w:tcPr>
          <w:p w14:paraId="65647427" w14:textId="4DDC17D5" w:rsidR="00024FF4" w:rsidRPr="00024FF4" w:rsidRDefault="00024FF4" w:rsidP="00024FF4">
            <w:pPr>
              <w:jc w:val="right"/>
              <w:rPr>
                <w:rFonts w:ascii="Arial" w:hAnsi="Arial" w:cs="Arial"/>
                <w:sz w:val="20"/>
                <w:szCs w:val="20"/>
              </w:rPr>
            </w:pPr>
            <w:r w:rsidRPr="00024FF4">
              <w:rPr>
                <w:rFonts w:ascii="Arial" w:hAnsi="Arial" w:cs="Arial"/>
                <w:sz w:val="20"/>
                <w:szCs w:val="20"/>
              </w:rPr>
              <w:t>0.6%</w:t>
            </w:r>
          </w:p>
        </w:tc>
      </w:tr>
      <w:tr w:rsidR="00024FF4" w14:paraId="2FC35195" w14:textId="77777777" w:rsidTr="00AB5B34">
        <w:trPr>
          <w:jc w:val="center"/>
        </w:trPr>
        <w:tc>
          <w:tcPr>
            <w:tcW w:w="1975" w:type="dxa"/>
            <w:vAlign w:val="center"/>
          </w:tcPr>
          <w:p w14:paraId="0C2255BC" w14:textId="77777777" w:rsidR="00024FF4" w:rsidRPr="007E0A27" w:rsidRDefault="00024FF4" w:rsidP="00024FF4">
            <w:pPr>
              <w:keepNext/>
              <w:keepLines/>
              <w:rPr>
                <w:rFonts w:ascii="Arial" w:hAnsi="Arial" w:cs="Arial"/>
                <w:sz w:val="20"/>
                <w:szCs w:val="20"/>
              </w:rPr>
            </w:pPr>
            <w:r w:rsidRPr="007E0A27">
              <w:rPr>
                <w:rFonts w:ascii="Arial" w:hAnsi="Arial" w:cs="Arial"/>
                <w:sz w:val="20"/>
                <w:szCs w:val="20"/>
              </w:rPr>
              <w:t>Entertainment, Other Services, Government</w:t>
            </w:r>
          </w:p>
        </w:tc>
        <w:tc>
          <w:tcPr>
            <w:tcW w:w="1170" w:type="dxa"/>
            <w:shd w:val="clear" w:color="auto" w:fill="auto"/>
            <w:vAlign w:val="center"/>
          </w:tcPr>
          <w:p w14:paraId="1C3FBBC1" w14:textId="6AE38D89" w:rsidR="00024FF4" w:rsidRPr="00024FF4" w:rsidRDefault="00024FF4" w:rsidP="00024FF4">
            <w:pPr>
              <w:jc w:val="right"/>
              <w:rPr>
                <w:rFonts w:ascii="Arial" w:hAnsi="Arial" w:cs="Arial"/>
                <w:sz w:val="20"/>
                <w:szCs w:val="20"/>
              </w:rPr>
            </w:pPr>
            <w:r w:rsidRPr="00024FF4">
              <w:rPr>
                <w:rFonts w:ascii="Arial" w:hAnsi="Arial" w:cs="Arial"/>
                <w:sz w:val="20"/>
                <w:szCs w:val="20"/>
              </w:rPr>
              <w:t>25,756</w:t>
            </w:r>
          </w:p>
        </w:tc>
        <w:tc>
          <w:tcPr>
            <w:tcW w:w="1440" w:type="dxa"/>
            <w:shd w:val="clear" w:color="auto" w:fill="auto"/>
            <w:vAlign w:val="center"/>
          </w:tcPr>
          <w:p w14:paraId="5412A644" w14:textId="0B86AC50" w:rsidR="00024FF4" w:rsidRPr="00024FF4" w:rsidRDefault="00024FF4" w:rsidP="00024FF4">
            <w:pPr>
              <w:jc w:val="right"/>
              <w:rPr>
                <w:rFonts w:ascii="Arial" w:hAnsi="Arial" w:cs="Arial"/>
                <w:sz w:val="20"/>
                <w:szCs w:val="20"/>
              </w:rPr>
            </w:pPr>
            <w:r w:rsidRPr="00024FF4">
              <w:rPr>
                <w:rFonts w:ascii="Arial" w:hAnsi="Arial" w:cs="Arial"/>
                <w:sz w:val="20"/>
                <w:szCs w:val="20"/>
              </w:rPr>
              <w:t>51.3</w:t>
            </w:r>
          </w:p>
        </w:tc>
        <w:tc>
          <w:tcPr>
            <w:tcW w:w="1350" w:type="dxa"/>
            <w:shd w:val="clear" w:color="auto" w:fill="auto"/>
            <w:vAlign w:val="center"/>
          </w:tcPr>
          <w:p w14:paraId="6A815FA8" w14:textId="6C768A58" w:rsidR="00024FF4" w:rsidRPr="00024FF4" w:rsidRDefault="00024FF4" w:rsidP="00024FF4">
            <w:pPr>
              <w:jc w:val="right"/>
              <w:rPr>
                <w:rFonts w:ascii="Arial" w:hAnsi="Arial" w:cs="Arial"/>
                <w:sz w:val="20"/>
                <w:szCs w:val="20"/>
              </w:rPr>
            </w:pPr>
            <w:r w:rsidRPr="00024FF4">
              <w:rPr>
                <w:rFonts w:ascii="Arial" w:hAnsi="Arial" w:cs="Arial"/>
                <w:sz w:val="20"/>
                <w:szCs w:val="20"/>
              </w:rPr>
              <w:t>50.6</w:t>
            </w:r>
          </w:p>
        </w:tc>
        <w:tc>
          <w:tcPr>
            <w:tcW w:w="1350" w:type="dxa"/>
            <w:shd w:val="clear" w:color="auto" w:fill="auto"/>
            <w:vAlign w:val="center"/>
          </w:tcPr>
          <w:p w14:paraId="003FB1E3" w14:textId="76B735AA" w:rsidR="00024FF4" w:rsidRPr="00024FF4" w:rsidRDefault="00024FF4" w:rsidP="00024FF4">
            <w:pPr>
              <w:jc w:val="right"/>
              <w:rPr>
                <w:rFonts w:ascii="Arial" w:hAnsi="Arial" w:cs="Arial"/>
                <w:sz w:val="20"/>
                <w:szCs w:val="20"/>
              </w:rPr>
            </w:pPr>
            <w:r w:rsidRPr="00024FF4">
              <w:rPr>
                <w:rFonts w:ascii="Arial" w:hAnsi="Arial" w:cs="Arial"/>
                <w:sz w:val="20"/>
                <w:szCs w:val="20"/>
              </w:rPr>
              <w:t>0.7</w:t>
            </w:r>
          </w:p>
        </w:tc>
        <w:tc>
          <w:tcPr>
            <w:tcW w:w="1345" w:type="dxa"/>
            <w:shd w:val="clear" w:color="auto" w:fill="auto"/>
            <w:vAlign w:val="center"/>
          </w:tcPr>
          <w:p w14:paraId="2697FCA0" w14:textId="327CD148" w:rsidR="00024FF4" w:rsidRPr="00024FF4" w:rsidRDefault="00024FF4" w:rsidP="00024FF4">
            <w:pPr>
              <w:jc w:val="right"/>
              <w:rPr>
                <w:rFonts w:ascii="Arial" w:hAnsi="Arial" w:cs="Arial"/>
                <w:sz w:val="20"/>
                <w:szCs w:val="20"/>
              </w:rPr>
            </w:pPr>
            <w:r w:rsidRPr="00024FF4">
              <w:rPr>
                <w:rFonts w:ascii="Arial" w:hAnsi="Arial" w:cs="Arial"/>
                <w:sz w:val="20"/>
                <w:szCs w:val="20"/>
              </w:rPr>
              <w:t>1.3%</w:t>
            </w:r>
          </w:p>
        </w:tc>
      </w:tr>
      <w:tr w:rsidR="00024FF4" w14:paraId="0A9FA85A" w14:textId="77777777" w:rsidTr="00AB5B34">
        <w:trPr>
          <w:jc w:val="center"/>
        </w:trPr>
        <w:tc>
          <w:tcPr>
            <w:tcW w:w="1975" w:type="dxa"/>
            <w:vAlign w:val="center"/>
          </w:tcPr>
          <w:p w14:paraId="43A97B1D" w14:textId="06231931" w:rsidR="00024FF4" w:rsidRPr="007E0A27" w:rsidRDefault="00024FF4" w:rsidP="00024FF4">
            <w:pPr>
              <w:keepNext/>
              <w:keepLines/>
              <w:rPr>
                <w:rFonts w:ascii="Arial" w:hAnsi="Arial" w:cs="Arial"/>
                <w:sz w:val="20"/>
                <w:szCs w:val="20"/>
              </w:rPr>
            </w:pPr>
            <w:r>
              <w:rPr>
                <w:rFonts w:ascii="Arial" w:hAnsi="Arial" w:cs="Arial"/>
                <w:sz w:val="20"/>
                <w:szCs w:val="20"/>
              </w:rPr>
              <w:t>Other or unknown</w:t>
            </w:r>
          </w:p>
        </w:tc>
        <w:tc>
          <w:tcPr>
            <w:tcW w:w="1170" w:type="dxa"/>
            <w:shd w:val="clear" w:color="auto" w:fill="auto"/>
            <w:vAlign w:val="center"/>
          </w:tcPr>
          <w:p w14:paraId="57E4CE7E" w14:textId="2F174F00" w:rsidR="00024FF4" w:rsidRPr="00024FF4" w:rsidRDefault="00024FF4" w:rsidP="00024FF4">
            <w:pPr>
              <w:jc w:val="right"/>
              <w:rPr>
                <w:rFonts w:ascii="Arial" w:hAnsi="Arial" w:cs="Arial"/>
                <w:sz w:val="20"/>
                <w:szCs w:val="20"/>
              </w:rPr>
            </w:pPr>
            <w:r w:rsidRPr="00024FF4">
              <w:rPr>
                <w:rFonts w:ascii="Arial" w:hAnsi="Arial" w:cs="Arial"/>
                <w:sz w:val="20"/>
                <w:szCs w:val="20"/>
              </w:rPr>
              <w:t>43,797</w:t>
            </w:r>
          </w:p>
        </w:tc>
        <w:tc>
          <w:tcPr>
            <w:tcW w:w="1440" w:type="dxa"/>
            <w:shd w:val="clear" w:color="auto" w:fill="auto"/>
            <w:vAlign w:val="center"/>
          </w:tcPr>
          <w:p w14:paraId="7FD29222" w14:textId="726996EB" w:rsidR="00024FF4" w:rsidRPr="00024FF4" w:rsidRDefault="00024FF4" w:rsidP="00024FF4">
            <w:pPr>
              <w:jc w:val="right"/>
              <w:rPr>
                <w:rFonts w:ascii="Arial" w:hAnsi="Arial" w:cs="Arial"/>
                <w:sz w:val="20"/>
                <w:szCs w:val="20"/>
              </w:rPr>
            </w:pPr>
            <w:r w:rsidRPr="00024FF4">
              <w:rPr>
                <w:rFonts w:ascii="Arial" w:hAnsi="Arial" w:cs="Arial"/>
                <w:sz w:val="20"/>
                <w:szCs w:val="20"/>
              </w:rPr>
              <w:t>75.7</w:t>
            </w:r>
          </w:p>
        </w:tc>
        <w:tc>
          <w:tcPr>
            <w:tcW w:w="1350" w:type="dxa"/>
            <w:shd w:val="clear" w:color="auto" w:fill="auto"/>
            <w:vAlign w:val="center"/>
          </w:tcPr>
          <w:p w14:paraId="4C3D24CD" w14:textId="555BE6D2" w:rsidR="00024FF4" w:rsidRPr="00024FF4" w:rsidRDefault="00024FF4" w:rsidP="00024FF4">
            <w:pPr>
              <w:jc w:val="right"/>
              <w:rPr>
                <w:rFonts w:ascii="Arial" w:hAnsi="Arial" w:cs="Arial"/>
                <w:sz w:val="20"/>
                <w:szCs w:val="20"/>
              </w:rPr>
            </w:pPr>
            <w:r w:rsidRPr="00024FF4">
              <w:rPr>
                <w:rFonts w:ascii="Arial" w:hAnsi="Arial" w:cs="Arial"/>
                <w:sz w:val="20"/>
                <w:szCs w:val="20"/>
              </w:rPr>
              <w:t>74.9</w:t>
            </w:r>
          </w:p>
        </w:tc>
        <w:tc>
          <w:tcPr>
            <w:tcW w:w="1350" w:type="dxa"/>
            <w:shd w:val="clear" w:color="auto" w:fill="auto"/>
            <w:vAlign w:val="center"/>
          </w:tcPr>
          <w:p w14:paraId="60B9AF74" w14:textId="0A4F557F" w:rsidR="00024FF4" w:rsidRPr="00024FF4" w:rsidRDefault="00024FF4" w:rsidP="00024FF4">
            <w:pPr>
              <w:jc w:val="right"/>
              <w:rPr>
                <w:rFonts w:ascii="Arial" w:hAnsi="Arial" w:cs="Arial"/>
                <w:sz w:val="20"/>
                <w:szCs w:val="20"/>
              </w:rPr>
            </w:pPr>
            <w:r w:rsidRPr="00024FF4">
              <w:rPr>
                <w:rFonts w:ascii="Arial" w:hAnsi="Arial" w:cs="Arial"/>
                <w:sz w:val="20"/>
                <w:szCs w:val="20"/>
              </w:rPr>
              <w:t>0.8</w:t>
            </w:r>
          </w:p>
        </w:tc>
        <w:tc>
          <w:tcPr>
            <w:tcW w:w="1345" w:type="dxa"/>
            <w:shd w:val="clear" w:color="auto" w:fill="auto"/>
            <w:vAlign w:val="center"/>
          </w:tcPr>
          <w:p w14:paraId="4E8CCCF5" w14:textId="3E643CA2" w:rsidR="00024FF4" w:rsidRPr="00024FF4" w:rsidRDefault="00024FF4" w:rsidP="00024FF4">
            <w:pPr>
              <w:jc w:val="right"/>
              <w:rPr>
                <w:rFonts w:ascii="Arial" w:hAnsi="Arial" w:cs="Arial"/>
                <w:sz w:val="20"/>
                <w:szCs w:val="20"/>
              </w:rPr>
            </w:pPr>
            <w:r w:rsidRPr="00024FF4">
              <w:rPr>
                <w:rFonts w:ascii="Arial" w:hAnsi="Arial" w:cs="Arial"/>
                <w:sz w:val="20"/>
                <w:szCs w:val="20"/>
              </w:rPr>
              <w:t>1.0%</w:t>
            </w:r>
          </w:p>
        </w:tc>
      </w:tr>
    </w:tbl>
    <w:p w14:paraId="731D7F9E" w14:textId="77777777" w:rsidR="00B405E5" w:rsidRDefault="00B405E5" w:rsidP="00B405E5">
      <w:pPr>
        <w:spacing w:after="120"/>
        <w:rPr>
          <w:szCs w:val="32"/>
        </w:rPr>
      </w:pPr>
    </w:p>
    <w:p w14:paraId="2189BE37" w14:textId="69A57E6D" w:rsidR="00B405E5" w:rsidRDefault="00B405E5" w:rsidP="001C1578">
      <w:pPr>
        <w:spacing w:after="120"/>
        <w:rPr>
          <w:szCs w:val="32"/>
        </w:rPr>
      </w:pPr>
    </w:p>
    <w:p w14:paraId="34EF2F66" w14:textId="7E8B34DB" w:rsidR="00104977" w:rsidRPr="00104977" w:rsidRDefault="00000ABC" w:rsidP="00104977">
      <w:pPr>
        <w:pStyle w:val="FigureCaption"/>
        <w:spacing w:after="0"/>
        <w:rPr>
          <w:i/>
        </w:rPr>
      </w:pPr>
      <w:bookmarkStart w:id="153" w:name="_Ref506914957"/>
      <w:bookmarkStart w:id="154" w:name="_Toc509837457"/>
      <w:r>
        <w:lastRenderedPageBreak/>
        <w:t xml:space="preserve">Figure </w:t>
      </w:r>
      <w:fldSimple w:instr=" STYLEREF 1 \s ">
        <w:r w:rsidR="005D5C7C">
          <w:rPr>
            <w:noProof/>
          </w:rPr>
          <w:t>3</w:t>
        </w:r>
      </w:fldSimple>
      <w:r w:rsidR="00A11E78">
        <w:t>.</w:t>
      </w:r>
      <w:fldSimple w:instr=" SEQ Figure \* ARABIC \s 1 ">
        <w:r w:rsidR="005D5C7C">
          <w:rPr>
            <w:noProof/>
          </w:rPr>
          <w:t>9</w:t>
        </w:r>
      </w:fldSimple>
      <w:bookmarkEnd w:id="153"/>
      <w:r>
        <w:t xml:space="preserve">: Typical Event Day Event-Hour Load Impacts by Industry Group, </w:t>
      </w:r>
      <w:r w:rsidR="00104977">
        <w:br/>
      </w:r>
      <w:r w:rsidRPr="006C0719">
        <w:rPr>
          <w:i/>
        </w:rPr>
        <w:t>PG&amp;E</w:t>
      </w:r>
      <w:r>
        <w:rPr>
          <w:i/>
        </w:rPr>
        <w:t xml:space="preserve"> Smal</w:t>
      </w:r>
      <w:r w:rsidR="00104977">
        <w:rPr>
          <w:i/>
        </w:rPr>
        <w:t>l</w:t>
      </w:r>
      <w:bookmarkEnd w:id="154"/>
    </w:p>
    <w:p w14:paraId="1932EC34" w14:textId="6F69B409" w:rsidR="00CD2D91" w:rsidRDefault="00CD2D91" w:rsidP="001C1578">
      <w:pPr>
        <w:spacing w:after="120"/>
        <w:rPr>
          <w:szCs w:val="32"/>
        </w:rPr>
      </w:pPr>
      <w:r>
        <w:rPr>
          <w:noProof/>
        </w:rPr>
        <w:drawing>
          <wp:inline distT="0" distB="0" distL="0" distR="0" wp14:anchorId="452C9E14" wp14:editId="04762DF4">
            <wp:extent cx="5486400" cy="3983990"/>
            <wp:effectExtent l="0" t="0" r="0" b="0"/>
            <wp:docPr id="112" name="Chart 112">
              <a:extLst xmlns:a="http://schemas.openxmlformats.org/drawingml/2006/main">
                <a:ext uri="{FF2B5EF4-FFF2-40B4-BE49-F238E27FC236}">
                  <a16:creationId xmlns:a16="http://schemas.microsoft.com/office/drawing/2014/main" id="{7CD8589B-F041-422D-9A5F-06B91B3304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7CF48501" w14:textId="573BA09D" w:rsidR="00002D6C" w:rsidRDefault="00002D6C" w:rsidP="001C1578">
      <w:pPr>
        <w:spacing w:after="120"/>
        <w:rPr>
          <w:szCs w:val="32"/>
        </w:rPr>
      </w:pPr>
    </w:p>
    <w:p w14:paraId="51718582" w14:textId="37BAA089" w:rsidR="00071500" w:rsidRDefault="009577F5" w:rsidP="00071500">
      <w:pPr>
        <w:spacing w:after="120"/>
      </w:pPr>
      <w:r>
        <w:rPr>
          <w:szCs w:val="32"/>
        </w:rPr>
        <w:fldChar w:fldCharType="begin"/>
      </w:r>
      <w:r>
        <w:rPr>
          <w:szCs w:val="32"/>
        </w:rPr>
        <w:instrText xml:space="preserve"> REF _Ref506975540 \h </w:instrText>
      </w:r>
      <w:r>
        <w:rPr>
          <w:szCs w:val="32"/>
        </w:rPr>
      </w:r>
      <w:r>
        <w:rPr>
          <w:szCs w:val="32"/>
        </w:rPr>
        <w:fldChar w:fldCharType="separate"/>
      </w:r>
      <w:r w:rsidR="005D5C7C">
        <w:t xml:space="preserve">Table </w:t>
      </w:r>
      <w:r w:rsidR="005D5C7C">
        <w:rPr>
          <w:noProof/>
        </w:rPr>
        <w:t>3</w:t>
      </w:r>
      <w:r w:rsidR="005D5C7C">
        <w:t>.</w:t>
      </w:r>
      <w:r w:rsidR="005D5C7C">
        <w:rPr>
          <w:noProof/>
        </w:rPr>
        <w:t>10</w:t>
      </w:r>
      <w:r>
        <w:rPr>
          <w:szCs w:val="32"/>
        </w:rPr>
        <w:fldChar w:fldCharType="end"/>
      </w:r>
      <w:r>
        <w:rPr>
          <w:szCs w:val="32"/>
        </w:rPr>
        <w:t xml:space="preserve"> and </w:t>
      </w:r>
      <w:r>
        <w:rPr>
          <w:szCs w:val="32"/>
        </w:rPr>
        <w:fldChar w:fldCharType="begin"/>
      </w:r>
      <w:r>
        <w:rPr>
          <w:szCs w:val="32"/>
        </w:rPr>
        <w:instrText xml:space="preserve"> REF _Ref506975585 \h </w:instrText>
      </w:r>
      <w:r>
        <w:rPr>
          <w:szCs w:val="32"/>
        </w:rPr>
      </w:r>
      <w:r>
        <w:rPr>
          <w:szCs w:val="32"/>
        </w:rPr>
        <w:fldChar w:fldCharType="separate"/>
      </w:r>
      <w:r w:rsidR="005D5C7C">
        <w:t xml:space="preserve">Figure </w:t>
      </w:r>
      <w:r w:rsidR="005D5C7C">
        <w:rPr>
          <w:noProof/>
        </w:rPr>
        <w:t>3</w:t>
      </w:r>
      <w:r w:rsidR="005D5C7C">
        <w:t>.</w:t>
      </w:r>
      <w:r w:rsidR="005D5C7C">
        <w:rPr>
          <w:noProof/>
        </w:rPr>
        <w:t>10</w:t>
      </w:r>
      <w:r>
        <w:rPr>
          <w:szCs w:val="32"/>
        </w:rPr>
        <w:fldChar w:fldCharType="end"/>
      </w:r>
      <w:r>
        <w:rPr>
          <w:szCs w:val="32"/>
        </w:rPr>
        <w:t xml:space="preserve"> summarize the results by LCA for medium-sized customers. </w:t>
      </w:r>
      <w:r>
        <w:rPr>
          <w:rFonts w:asciiTheme="minorHAnsi" w:hAnsiTheme="minorHAnsi"/>
        </w:rPr>
        <w:t xml:space="preserve">As with the large customers, enrollments are concentrated in the Greater Bay Area and Other LCA, which together contain nearly 70 percent of medium customers and account for almost </w:t>
      </w:r>
      <w:r w:rsidR="007043A7">
        <w:rPr>
          <w:rFonts w:asciiTheme="minorHAnsi" w:hAnsiTheme="minorHAnsi"/>
        </w:rPr>
        <w:t xml:space="preserve">630 </w:t>
      </w:r>
      <w:r>
        <w:rPr>
          <w:rFonts w:asciiTheme="minorHAnsi" w:hAnsiTheme="minorHAnsi"/>
        </w:rPr>
        <w:t xml:space="preserve">MWh/hour of load. The 3.9 MWh/hour load reduction for the Greater Bay Area only amounts to a 1.1 percent of the reference load. </w:t>
      </w:r>
      <w:r>
        <w:rPr>
          <w:rFonts w:asciiTheme="minorHAnsi" w:hAnsiTheme="minorHAnsi"/>
        </w:rPr>
        <w:fldChar w:fldCharType="begin"/>
      </w:r>
      <w:r>
        <w:rPr>
          <w:rFonts w:asciiTheme="minorHAnsi" w:hAnsiTheme="minorHAnsi"/>
        </w:rPr>
        <w:instrText xml:space="preserve"> REF _Ref506975585 \h </w:instrText>
      </w:r>
      <w:r>
        <w:rPr>
          <w:rFonts w:asciiTheme="minorHAnsi" w:hAnsiTheme="minorHAnsi"/>
        </w:rPr>
      </w:r>
      <w:r>
        <w:rPr>
          <w:rFonts w:asciiTheme="minorHAnsi" w:hAnsiTheme="minorHAnsi"/>
        </w:rPr>
        <w:fldChar w:fldCharType="separate"/>
      </w:r>
      <w:r w:rsidR="005D5C7C">
        <w:t xml:space="preserve">Figure </w:t>
      </w:r>
      <w:r w:rsidR="005D5C7C">
        <w:rPr>
          <w:noProof/>
        </w:rPr>
        <w:t>3</w:t>
      </w:r>
      <w:r w:rsidR="005D5C7C">
        <w:t>.</w:t>
      </w:r>
      <w:r w:rsidR="005D5C7C">
        <w:rPr>
          <w:noProof/>
        </w:rPr>
        <w:t>10</w:t>
      </w:r>
      <w:r>
        <w:rPr>
          <w:rFonts w:asciiTheme="minorHAnsi" w:hAnsiTheme="minorHAnsi"/>
        </w:rPr>
        <w:fldChar w:fldCharType="end"/>
      </w:r>
      <w:r>
        <w:t xml:space="preserve"> shows that the Greater Bay Area, Greater Fresno Area, and Northern Coast LCAs have a smaller share of load reduction than the share of enrollment or reference loads. Stockton has the largest positive difference between its share of load impacts and enrollment, with 17 percent of total load reduction despite having only 7 percent of customers and 8 percent of reference load.</w:t>
      </w:r>
    </w:p>
    <w:p w14:paraId="7D2E06A4" w14:textId="20CDE84F" w:rsidR="00B405E5" w:rsidRDefault="00B405E5" w:rsidP="001C1578">
      <w:pPr>
        <w:spacing w:after="120"/>
        <w:rPr>
          <w:szCs w:val="32"/>
        </w:rPr>
      </w:pPr>
    </w:p>
    <w:p w14:paraId="3C1D7005" w14:textId="6E74EFE8" w:rsidR="00F83F86" w:rsidRDefault="00F83F86" w:rsidP="00F83F86">
      <w:pPr>
        <w:pStyle w:val="TableCaption"/>
      </w:pPr>
      <w:bookmarkStart w:id="155" w:name="_Ref506975540"/>
      <w:bookmarkStart w:id="156" w:name="_Toc509837367"/>
      <w:r>
        <w:lastRenderedPageBreak/>
        <w:t xml:space="preserve">Table </w:t>
      </w:r>
      <w:fldSimple w:instr=" STYLEREF 1 \s ">
        <w:r w:rsidR="005D5C7C">
          <w:rPr>
            <w:noProof/>
          </w:rPr>
          <w:t>3</w:t>
        </w:r>
      </w:fldSimple>
      <w:r w:rsidR="0069714C">
        <w:t>.</w:t>
      </w:r>
      <w:fldSimple w:instr=" SEQ Table \* ARABIC \s 1 ">
        <w:r w:rsidR="005D5C7C">
          <w:rPr>
            <w:noProof/>
          </w:rPr>
          <w:t>10</w:t>
        </w:r>
      </w:fldSimple>
      <w:bookmarkEnd w:id="155"/>
      <w:r>
        <w:t>: Typical Event Day Load Impacts b</w:t>
      </w:r>
      <w:r w:rsidRPr="006C0719">
        <w:t xml:space="preserve">y </w:t>
      </w:r>
      <w:r>
        <w:t>LCA</w:t>
      </w:r>
      <w:r w:rsidRPr="006C0719">
        <w:t xml:space="preserve">, </w:t>
      </w:r>
      <w:r w:rsidRPr="006C0719">
        <w:rPr>
          <w:i/>
        </w:rPr>
        <w:t>PG&amp;E</w:t>
      </w:r>
      <w:r>
        <w:rPr>
          <w:i/>
        </w:rPr>
        <w:t xml:space="preserve"> Medium</w:t>
      </w:r>
      <w:bookmarkEnd w:id="15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170"/>
        <w:gridCol w:w="1350"/>
        <w:gridCol w:w="1350"/>
        <w:gridCol w:w="1350"/>
        <w:gridCol w:w="1345"/>
      </w:tblGrid>
      <w:tr w:rsidR="00317DA9" w14:paraId="0B024019" w14:textId="77777777" w:rsidTr="00AB5B34">
        <w:trPr>
          <w:jc w:val="center"/>
        </w:trPr>
        <w:tc>
          <w:tcPr>
            <w:tcW w:w="2065" w:type="dxa"/>
            <w:tcBorders>
              <w:right w:val="single" w:sz="4" w:space="0" w:color="FFFFFF" w:themeColor="background1"/>
            </w:tcBorders>
            <w:shd w:val="clear" w:color="auto" w:fill="0C2577"/>
            <w:vAlign w:val="center"/>
          </w:tcPr>
          <w:p w14:paraId="4B851CBF" w14:textId="77777777" w:rsidR="00317DA9" w:rsidRPr="007E0A27" w:rsidRDefault="00317DA9" w:rsidP="00731555">
            <w:pPr>
              <w:keepNext/>
              <w:keepLines/>
              <w:jc w:val="center"/>
              <w:rPr>
                <w:rFonts w:ascii="Arial" w:hAnsi="Arial" w:cs="Arial"/>
                <w:b/>
                <w:sz w:val="20"/>
                <w:szCs w:val="20"/>
              </w:rPr>
            </w:pPr>
            <w:r>
              <w:rPr>
                <w:rFonts w:ascii="Arial" w:hAnsi="Arial" w:cs="Arial"/>
                <w:b/>
                <w:sz w:val="20"/>
                <w:szCs w:val="20"/>
              </w:rPr>
              <w:t>LCA</w:t>
            </w:r>
          </w:p>
        </w:tc>
        <w:tc>
          <w:tcPr>
            <w:tcW w:w="1170" w:type="dxa"/>
            <w:tcBorders>
              <w:left w:val="single" w:sz="4" w:space="0" w:color="FFFFFF" w:themeColor="background1"/>
              <w:right w:val="single" w:sz="4" w:space="0" w:color="FFFFFF" w:themeColor="background1"/>
            </w:tcBorders>
            <w:shd w:val="clear" w:color="auto" w:fill="0C2577"/>
            <w:vAlign w:val="center"/>
          </w:tcPr>
          <w:p w14:paraId="4CACB8EE" w14:textId="77777777" w:rsidR="00317DA9" w:rsidRPr="007E0A27" w:rsidRDefault="00317DA9" w:rsidP="00731555">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193F71BB" w14:textId="7A62E1C1" w:rsidR="00317DA9" w:rsidRPr="007E0A27" w:rsidRDefault="00317DA9" w:rsidP="00731555">
            <w:pPr>
              <w:keepNext/>
              <w:keepLines/>
              <w:jc w:val="center"/>
              <w:rPr>
                <w:rFonts w:ascii="Arial" w:hAnsi="Arial" w:cs="Arial"/>
                <w:b/>
                <w:sz w:val="20"/>
                <w:szCs w:val="20"/>
              </w:rPr>
            </w:pPr>
            <w:r w:rsidRPr="007E0A27">
              <w:rPr>
                <w:rFonts w:ascii="Arial" w:hAnsi="Arial" w:cs="Arial"/>
                <w:b/>
                <w:sz w:val="20"/>
                <w:szCs w:val="20"/>
              </w:rPr>
              <w:t>Estimated Reference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31FAE2A9" w14:textId="791C488E" w:rsidR="00317DA9" w:rsidRPr="007E0A27" w:rsidRDefault="00317DA9" w:rsidP="00731555">
            <w:pPr>
              <w:keepNext/>
              <w:keepLines/>
              <w:jc w:val="center"/>
              <w:rPr>
                <w:rFonts w:ascii="Arial" w:hAnsi="Arial" w:cs="Arial"/>
                <w:b/>
                <w:sz w:val="20"/>
                <w:szCs w:val="20"/>
              </w:rPr>
            </w:pPr>
            <w:r w:rsidRPr="007E0A27">
              <w:rPr>
                <w:rFonts w:ascii="Arial" w:hAnsi="Arial" w:cs="Arial"/>
                <w:b/>
                <w:sz w:val="20"/>
                <w:szCs w:val="20"/>
              </w:rPr>
              <w:t>Observed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00D62B11" w14:textId="60CC3BCD" w:rsidR="00317DA9" w:rsidRPr="007E0A27" w:rsidRDefault="00317DA9" w:rsidP="00731555">
            <w:pPr>
              <w:keepNext/>
              <w:keepLines/>
              <w:jc w:val="center"/>
              <w:rPr>
                <w:rFonts w:ascii="Arial" w:hAnsi="Arial" w:cs="Arial"/>
                <w:b/>
                <w:sz w:val="20"/>
                <w:szCs w:val="20"/>
              </w:rPr>
            </w:pPr>
            <w:r w:rsidRPr="007E0A27">
              <w:rPr>
                <w:rFonts w:ascii="Arial" w:hAnsi="Arial" w:cs="Arial"/>
                <w:b/>
                <w:sz w:val="20"/>
                <w:szCs w:val="20"/>
              </w:rPr>
              <w:t>Estimated Load Impact (MW</w:t>
            </w:r>
            <w:r w:rsidR="00AB5B34">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333ECB19" w14:textId="77777777" w:rsidR="00317DA9" w:rsidRPr="007E0A27" w:rsidRDefault="00317DA9" w:rsidP="00731555">
            <w:pPr>
              <w:keepNext/>
              <w:keepLines/>
              <w:jc w:val="center"/>
              <w:rPr>
                <w:rFonts w:ascii="Arial" w:hAnsi="Arial" w:cs="Arial"/>
                <w:b/>
                <w:sz w:val="20"/>
                <w:szCs w:val="20"/>
              </w:rPr>
            </w:pPr>
            <w:r w:rsidRPr="007E0A27">
              <w:rPr>
                <w:rFonts w:ascii="Arial" w:hAnsi="Arial" w:cs="Arial"/>
                <w:b/>
                <w:sz w:val="20"/>
                <w:szCs w:val="20"/>
              </w:rPr>
              <w:t>% LI</w:t>
            </w:r>
          </w:p>
        </w:tc>
      </w:tr>
      <w:tr w:rsidR="00317DA9" w14:paraId="473F9F13" w14:textId="77777777" w:rsidTr="00AB5B34">
        <w:trPr>
          <w:jc w:val="center"/>
        </w:trPr>
        <w:tc>
          <w:tcPr>
            <w:tcW w:w="2065" w:type="dxa"/>
            <w:vAlign w:val="center"/>
          </w:tcPr>
          <w:p w14:paraId="7061BF08" w14:textId="77777777" w:rsidR="00317DA9" w:rsidRPr="007E0A27" w:rsidRDefault="00317DA9" w:rsidP="00731555">
            <w:pPr>
              <w:keepNext/>
              <w:keepLines/>
              <w:rPr>
                <w:rFonts w:ascii="Arial" w:hAnsi="Arial" w:cs="Arial"/>
                <w:sz w:val="20"/>
                <w:szCs w:val="20"/>
              </w:rPr>
            </w:pPr>
            <w:r>
              <w:rPr>
                <w:rFonts w:ascii="Arial" w:hAnsi="Arial" w:cs="Arial"/>
                <w:sz w:val="20"/>
                <w:szCs w:val="20"/>
              </w:rPr>
              <w:t>Greater Bay Area</w:t>
            </w:r>
          </w:p>
        </w:tc>
        <w:tc>
          <w:tcPr>
            <w:tcW w:w="1170" w:type="dxa"/>
            <w:shd w:val="clear" w:color="auto" w:fill="auto"/>
            <w:vAlign w:val="center"/>
          </w:tcPr>
          <w:p w14:paraId="70EA8416"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17,221</w:t>
            </w:r>
          </w:p>
        </w:tc>
        <w:tc>
          <w:tcPr>
            <w:tcW w:w="1350" w:type="dxa"/>
            <w:shd w:val="clear" w:color="auto" w:fill="auto"/>
            <w:vAlign w:val="center"/>
          </w:tcPr>
          <w:p w14:paraId="6FDA310E"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366.7</w:t>
            </w:r>
          </w:p>
        </w:tc>
        <w:tc>
          <w:tcPr>
            <w:tcW w:w="1350" w:type="dxa"/>
            <w:shd w:val="clear" w:color="auto" w:fill="auto"/>
            <w:vAlign w:val="center"/>
          </w:tcPr>
          <w:p w14:paraId="2098EA09"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362.8</w:t>
            </w:r>
          </w:p>
        </w:tc>
        <w:tc>
          <w:tcPr>
            <w:tcW w:w="1350" w:type="dxa"/>
            <w:shd w:val="clear" w:color="auto" w:fill="auto"/>
            <w:vAlign w:val="center"/>
          </w:tcPr>
          <w:p w14:paraId="2557302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3.9</w:t>
            </w:r>
          </w:p>
        </w:tc>
        <w:tc>
          <w:tcPr>
            <w:tcW w:w="1345" w:type="dxa"/>
            <w:shd w:val="clear" w:color="auto" w:fill="auto"/>
            <w:vAlign w:val="center"/>
          </w:tcPr>
          <w:p w14:paraId="1CDF8D62"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1.1%</w:t>
            </w:r>
          </w:p>
        </w:tc>
      </w:tr>
      <w:tr w:rsidR="00317DA9" w14:paraId="5266037D" w14:textId="77777777" w:rsidTr="00AB5B34">
        <w:trPr>
          <w:jc w:val="center"/>
        </w:trPr>
        <w:tc>
          <w:tcPr>
            <w:tcW w:w="2065" w:type="dxa"/>
            <w:vAlign w:val="center"/>
          </w:tcPr>
          <w:p w14:paraId="6EC677C3" w14:textId="77777777" w:rsidR="00317DA9" w:rsidRPr="007E0A27" w:rsidRDefault="00317DA9" w:rsidP="00731555">
            <w:pPr>
              <w:keepNext/>
              <w:keepLines/>
              <w:rPr>
                <w:rFonts w:ascii="Arial" w:hAnsi="Arial" w:cs="Arial"/>
                <w:sz w:val="20"/>
                <w:szCs w:val="20"/>
              </w:rPr>
            </w:pPr>
            <w:r>
              <w:rPr>
                <w:rFonts w:ascii="Arial" w:hAnsi="Arial" w:cs="Arial"/>
                <w:sz w:val="20"/>
                <w:szCs w:val="20"/>
              </w:rPr>
              <w:t>Greater Fresno Area</w:t>
            </w:r>
          </w:p>
        </w:tc>
        <w:tc>
          <w:tcPr>
            <w:tcW w:w="1170" w:type="dxa"/>
            <w:shd w:val="clear" w:color="auto" w:fill="auto"/>
            <w:vAlign w:val="center"/>
          </w:tcPr>
          <w:p w14:paraId="4EED6834"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5,085</w:t>
            </w:r>
          </w:p>
        </w:tc>
        <w:tc>
          <w:tcPr>
            <w:tcW w:w="1350" w:type="dxa"/>
            <w:shd w:val="clear" w:color="auto" w:fill="auto"/>
            <w:vAlign w:val="center"/>
          </w:tcPr>
          <w:p w14:paraId="04C3702E"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119.8</w:t>
            </w:r>
          </w:p>
        </w:tc>
        <w:tc>
          <w:tcPr>
            <w:tcW w:w="1350" w:type="dxa"/>
            <w:shd w:val="clear" w:color="auto" w:fill="auto"/>
            <w:vAlign w:val="center"/>
          </w:tcPr>
          <w:p w14:paraId="58B34DA8"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119.6</w:t>
            </w:r>
          </w:p>
        </w:tc>
        <w:tc>
          <w:tcPr>
            <w:tcW w:w="1350" w:type="dxa"/>
            <w:shd w:val="clear" w:color="auto" w:fill="auto"/>
            <w:vAlign w:val="center"/>
          </w:tcPr>
          <w:p w14:paraId="71B701A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0.2</w:t>
            </w:r>
          </w:p>
        </w:tc>
        <w:tc>
          <w:tcPr>
            <w:tcW w:w="1345" w:type="dxa"/>
            <w:shd w:val="clear" w:color="auto" w:fill="auto"/>
            <w:vAlign w:val="center"/>
          </w:tcPr>
          <w:p w14:paraId="14C7DC95"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0.2%</w:t>
            </w:r>
          </w:p>
        </w:tc>
      </w:tr>
      <w:tr w:rsidR="00317DA9" w14:paraId="5BF531D1" w14:textId="77777777" w:rsidTr="00AB5B34">
        <w:trPr>
          <w:jc w:val="center"/>
        </w:trPr>
        <w:tc>
          <w:tcPr>
            <w:tcW w:w="2065" w:type="dxa"/>
            <w:vAlign w:val="center"/>
          </w:tcPr>
          <w:p w14:paraId="2EA0B791" w14:textId="77777777" w:rsidR="00317DA9" w:rsidRPr="007E0A27" w:rsidRDefault="00317DA9" w:rsidP="00731555">
            <w:pPr>
              <w:keepNext/>
              <w:keepLines/>
              <w:rPr>
                <w:rFonts w:ascii="Arial" w:hAnsi="Arial" w:cs="Arial"/>
                <w:sz w:val="20"/>
                <w:szCs w:val="20"/>
              </w:rPr>
            </w:pPr>
            <w:r>
              <w:rPr>
                <w:rFonts w:ascii="Arial" w:hAnsi="Arial" w:cs="Arial"/>
                <w:sz w:val="20"/>
                <w:szCs w:val="20"/>
              </w:rPr>
              <w:t>Humboldt</w:t>
            </w:r>
          </w:p>
        </w:tc>
        <w:tc>
          <w:tcPr>
            <w:tcW w:w="1170" w:type="dxa"/>
            <w:shd w:val="clear" w:color="auto" w:fill="auto"/>
            <w:vAlign w:val="center"/>
          </w:tcPr>
          <w:p w14:paraId="66AEF164"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394</w:t>
            </w:r>
          </w:p>
        </w:tc>
        <w:tc>
          <w:tcPr>
            <w:tcW w:w="1350" w:type="dxa"/>
            <w:shd w:val="clear" w:color="auto" w:fill="auto"/>
            <w:vAlign w:val="center"/>
          </w:tcPr>
          <w:p w14:paraId="606F809D"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7.2</w:t>
            </w:r>
          </w:p>
        </w:tc>
        <w:tc>
          <w:tcPr>
            <w:tcW w:w="1350" w:type="dxa"/>
            <w:shd w:val="clear" w:color="auto" w:fill="auto"/>
            <w:vAlign w:val="center"/>
          </w:tcPr>
          <w:p w14:paraId="30A5E778"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7.0</w:t>
            </w:r>
          </w:p>
        </w:tc>
        <w:tc>
          <w:tcPr>
            <w:tcW w:w="1350" w:type="dxa"/>
            <w:shd w:val="clear" w:color="auto" w:fill="auto"/>
            <w:vAlign w:val="center"/>
          </w:tcPr>
          <w:p w14:paraId="67ADB7A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0.2</w:t>
            </w:r>
          </w:p>
        </w:tc>
        <w:tc>
          <w:tcPr>
            <w:tcW w:w="1345" w:type="dxa"/>
            <w:shd w:val="clear" w:color="auto" w:fill="auto"/>
            <w:vAlign w:val="center"/>
          </w:tcPr>
          <w:p w14:paraId="0E6BE321"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3.1%</w:t>
            </w:r>
          </w:p>
        </w:tc>
      </w:tr>
      <w:tr w:rsidR="00317DA9" w14:paraId="63C7BF40" w14:textId="77777777" w:rsidTr="00AB5B34">
        <w:trPr>
          <w:jc w:val="center"/>
        </w:trPr>
        <w:tc>
          <w:tcPr>
            <w:tcW w:w="2065" w:type="dxa"/>
            <w:vAlign w:val="center"/>
          </w:tcPr>
          <w:p w14:paraId="68850E0B" w14:textId="77777777" w:rsidR="00317DA9" w:rsidRPr="007E0A27" w:rsidRDefault="00317DA9" w:rsidP="00731555">
            <w:pPr>
              <w:keepNext/>
              <w:keepLines/>
              <w:rPr>
                <w:rFonts w:ascii="Arial" w:hAnsi="Arial" w:cs="Arial"/>
                <w:sz w:val="20"/>
                <w:szCs w:val="20"/>
              </w:rPr>
            </w:pPr>
            <w:r>
              <w:rPr>
                <w:rFonts w:ascii="Arial" w:hAnsi="Arial" w:cs="Arial"/>
                <w:sz w:val="20"/>
                <w:szCs w:val="20"/>
              </w:rPr>
              <w:t>Kern</w:t>
            </w:r>
          </w:p>
        </w:tc>
        <w:tc>
          <w:tcPr>
            <w:tcW w:w="1170" w:type="dxa"/>
            <w:shd w:val="clear" w:color="auto" w:fill="auto"/>
            <w:vAlign w:val="center"/>
          </w:tcPr>
          <w:p w14:paraId="5378A425"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3,168</w:t>
            </w:r>
          </w:p>
        </w:tc>
        <w:tc>
          <w:tcPr>
            <w:tcW w:w="1350" w:type="dxa"/>
            <w:shd w:val="clear" w:color="auto" w:fill="auto"/>
            <w:vAlign w:val="center"/>
          </w:tcPr>
          <w:p w14:paraId="563E0BB6"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77.8</w:t>
            </w:r>
          </w:p>
        </w:tc>
        <w:tc>
          <w:tcPr>
            <w:tcW w:w="1350" w:type="dxa"/>
            <w:shd w:val="clear" w:color="auto" w:fill="auto"/>
            <w:vAlign w:val="center"/>
          </w:tcPr>
          <w:p w14:paraId="25543104"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76.2</w:t>
            </w:r>
          </w:p>
        </w:tc>
        <w:tc>
          <w:tcPr>
            <w:tcW w:w="1350" w:type="dxa"/>
            <w:shd w:val="clear" w:color="auto" w:fill="auto"/>
            <w:vAlign w:val="center"/>
          </w:tcPr>
          <w:p w14:paraId="29E92F83"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1.6</w:t>
            </w:r>
          </w:p>
        </w:tc>
        <w:tc>
          <w:tcPr>
            <w:tcW w:w="1345" w:type="dxa"/>
            <w:shd w:val="clear" w:color="auto" w:fill="auto"/>
            <w:vAlign w:val="center"/>
          </w:tcPr>
          <w:p w14:paraId="71D06BE2"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2.1%</w:t>
            </w:r>
          </w:p>
        </w:tc>
      </w:tr>
      <w:tr w:rsidR="00317DA9" w14:paraId="6F88F923" w14:textId="77777777" w:rsidTr="00AB5B34">
        <w:trPr>
          <w:jc w:val="center"/>
        </w:trPr>
        <w:tc>
          <w:tcPr>
            <w:tcW w:w="2065" w:type="dxa"/>
            <w:vAlign w:val="center"/>
          </w:tcPr>
          <w:p w14:paraId="0100E7B9" w14:textId="77777777" w:rsidR="00317DA9" w:rsidRPr="007E0A27" w:rsidRDefault="00317DA9" w:rsidP="00731555">
            <w:pPr>
              <w:keepNext/>
              <w:keepLines/>
              <w:rPr>
                <w:rFonts w:ascii="Arial" w:hAnsi="Arial" w:cs="Arial"/>
                <w:sz w:val="20"/>
                <w:szCs w:val="20"/>
              </w:rPr>
            </w:pPr>
            <w:r>
              <w:rPr>
                <w:rFonts w:ascii="Arial" w:hAnsi="Arial" w:cs="Arial"/>
                <w:sz w:val="20"/>
                <w:szCs w:val="20"/>
              </w:rPr>
              <w:t>Northern Coast</w:t>
            </w:r>
          </w:p>
        </w:tc>
        <w:tc>
          <w:tcPr>
            <w:tcW w:w="1170" w:type="dxa"/>
            <w:shd w:val="clear" w:color="auto" w:fill="auto"/>
            <w:vAlign w:val="center"/>
          </w:tcPr>
          <w:p w14:paraId="1AC66626"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768</w:t>
            </w:r>
          </w:p>
        </w:tc>
        <w:tc>
          <w:tcPr>
            <w:tcW w:w="1350" w:type="dxa"/>
            <w:shd w:val="clear" w:color="auto" w:fill="auto"/>
            <w:vAlign w:val="center"/>
          </w:tcPr>
          <w:p w14:paraId="48496D4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15.1</w:t>
            </w:r>
          </w:p>
        </w:tc>
        <w:tc>
          <w:tcPr>
            <w:tcW w:w="1350" w:type="dxa"/>
            <w:shd w:val="clear" w:color="auto" w:fill="auto"/>
            <w:vAlign w:val="center"/>
          </w:tcPr>
          <w:p w14:paraId="43F278AD"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15.1</w:t>
            </w:r>
          </w:p>
        </w:tc>
        <w:tc>
          <w:tcPr>
            <w:tcW w:w="1350" w:type="dxa"/>
            <w:shd w:val="clear" w:color="auto" w:fill="auto"/>
            <w:vAlign w:val="center"/>
          </w:tcPr>
          <w:p w14:paraId="480C5D43"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0.1</w:t>
            </w:r>
          </w:p>
        </w:tc>
        <w:tc>
          <w:tcPr>
            <w:tcW w:w="1345" w:type="dxa"/>
            <w:shd w:val="clear" w:color="auto" w:fill="auto"/>
            <w:vAlign w:val="center"/>
          </w:tcPr>
          <w:p w14:paraId="1D62BA12"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0.4%</w:t>
            </w:r>
          </w:p>
        </w:tc>
      </w:tr>
      <w:tr w:rsidR="00317DA9" w14:paraId="1FAADDCE" w14:textId="77777777" w:rsidTr="00AB5B34">
        <w:trPr>
          <w:jc w:val="center"/>
        </w:trPr>
        <w:tc>
          <w:tcPr>
            <w:tcW w:w="2065" w:type="dxa"/>
            <w:vAlign w:val="center"/>
          </w:tcPr>
          <w:p w14:paraId="74CAA12F" w14:textId="77777777" w:rsidR="00317DA9" w:rsidRPr="007E0A27" w:rsidRDefault="00317DA9" w:rsidP="00731555">
            <w:pPr>
              <w:keepNext/>
              <w:keepLines/>
              <w:rPr>
                <w:rFonts w:ascii="Arial" w:hAnsi="Arial" w:cs="Arial"/>
                <w:sz w:val="20"/>
                <w:szCs w:val="20"/>
              </w:rPr>
            </w:pPr>
            <w:r>
              <w:rPr>
                <w:rFonts w:ascii="Arial" w:hAnsi="Arial" w:cs="Arial"/>
                <w:sz w:val="20"/>
                <w:szCs w:val="20"/>
              </w:rPr>
              <w:t>Other</w:t>
            </w:r>
          </w:p>
        </w:tc>
        <w:tc>
          <w:tcPr>
            <w:tcW w:w="1170" w:type="dxa"/>
            <w:shd w:val="clear" w:color="auto" w:fill="auto"/>
            <w:vAlign w:val="center"/>
          </w:tcPr>
          <w:p w14:paraId="1C967074"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12,578</w:t>
            </w:r>
          </w:p>
        </w:tc>
        <w:tc>
          <w:tcPr>
            <w:tcW w:w="1350" w:type="dxa"/>
            <w:shd w:val="clear" w:color="auto" w:fill="auto"/>
            <w:vAlign w:val="center"/>
          </w:tcPr>
          <w:p w14:paraId="5264C6A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260.7</w:t>
            </w:r>
          </w:p>
        </w:tc>
        <w:tc>
          <w:tcPr>
            <w:tcW w:w="1350" w:type="dxa"/>
            <w:shd w:val="clear" w:color="auto" w:fill="auto"/>
            <w:vAlign w:val="center"/>
          </w:tcPr>
          <w:p w14:paraId="7F264E42"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256.6</w:t>
            </w:r>
          </w:p>
        </w:tc>
        <w:tc>
          <w:tcPr>
            <w:tcW w:w="1350" w:type="dxa"/>
            <w:shd w:val="clear" w:color="auto" w:fill="auto"/>
            <w:vAlign w:val="center"/>
          </w:tcPr>
          <w:p w14:paraId="7B952665"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4.0</w:t>
            </w:r>
          </w:p>
        </w:tc>
        <w:tc>
          <w:tcPr>
            <w:tcW w:w="1345" w:type="dxa"/>
            <w:shd w:val="clear" w:color="auto" w:fill="auto"/>
            <w:vAlign w:val="center"/>
          </w:tcPr>
          <w:p w14:paraId="23EEEA9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1.6%</w:t>
            </w:r>
          </w:p>
        </w:tc>
      </w:tr>
      <w:tr w:rsidR="00317DA9" w14:paraId="706399B7" w14:textId="77777777" w:rsidTr="00AB5B34">
        <w:trPr>
          <w:jc w:val="center"/>
        </w:trPr>
        <w:tc>
          <w:tcPr>
            <w:tcW w:w="2065" w:type="dxa"/>
            <w:vAlign w:val="center"/>
          </w:tcPr>
          <w:p w14:paraId="790BE2BA" w14:textId="77777777" w:rsidR="00317DA9" w:rsidRPr="007E0A27" w:rsidRDefault="00317DA9" w:rsidP="00731555">
            <w:pPr>
              <w:keepNext/>
              <w:keepLines/>
              <w:rPr>
                <w:rFonts w:ascii="Arial" w:hAnsi="Arial" w:cs="Arial"/>
                <w:sz w:val="20"/>
                <w:szCs w:val="20"/>
              </w:rPr>
            </w:pPr>
            <w:r>
              <w:rPr>
                <w:rFonts w:ascii="Arial" w:hAnsi="Arial" w:cs="Arial"/>
                <w:sz w:val="20"/>
                <w:szCs w:val="20"/>
              </w:rPr>
              <w:t>Sierra</w:t>
            </w:r>
          </w:p>
        </w:tc>
        <w:tc>
          <w:tcPr>
            <w:tcW w:w="1170" w:type="dxa"/>
            <w:shd w:val="clear" w:color="auto" w:fill="auto"/>
            <w:vAlign w:val="center"/>
          </w:tcPr>
          <w:p w14:paraId="5805F0EE"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2,780</w:t>
            </w:r>
          </w:p>
        </w:tc>
        <w:tc>
          <w:tcPr>
            <w:tcW w:w="1350" w:type="dxa"/>
            <w:shd w:val="clear" w:color="auto" w:fill="auto"/>
            <w:vAlign w:val="center"/>
          </w:tcPr>
          <w:p w14:paraId="76F8C1EF"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64.7</w:t>
            </w:r>
          </w:p>
        </w:tc>
        <w:tc>
          <w:tcPr>
            <w:tcW w:w="1350" w:type="dxa"/>
            <w:shd w:val="clear" w:color="auto" w:fill="auto"/>
            <w:vAlign w:val="center"/>
          </w:tcPr>
          <w:p w14:paraId="4034E81C"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63.7</w:t>
            </w:r>
          </w:p>
        </w:tc>
        <w:tc>
          <w:tcPr>
            <w:tcW w:w="1350" w:type="dxa"/>
            <w:shd w:val="clear" w:color="auto" w:fill="auto"/>
            <w:vAlign w:val="center"/>
          </w:tcPr>
          <w:p w14:paraId="48B93E6E"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1.0</w:t>
            </w:r>
          </w:p>
        </w:tc>
        <w:tc>
          <w:tcPr>
            <w:tcW w:w="1345" w:type="dxa"/>
            <w:shd w:val="clear" w:color="auto" w:fill="auto"/>
            <w:vAlign w:val="center"/>
          </w:tcPr>
          <w:p w14:paraId="059CEE03"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1.5%</w:t>
            </w:r>
          </w:p>
        </w:tc>
      </w:tr>
      <w:tr w:rsidR="00317DA9" w14:paraId="2C991939" w14:textId="77777777" w:rsidTr="00AB5B34">
        <w:trPr>
          <w:jc w:val="center"/>
        </w:trPr>
        <w:tc>
          <w:tcPr>
            <w:tcW w:w="2065" w:type="dxa"/>
            <w:vAlign w:val="center"/>
          </w:tcPr>
          <w:p w14:paraId="380CFD43" w14:textId="77777777" w:rsidR="00317DA9" w:rsidRDefault="00317DA9" w:rsidP="00731555">
            <w:pPr>
              <w:keepNext/>
              <w:keepLines/>
              <w:rPr>
                <w:rFonts w:ascii="Arial" w:hAnsi="Arial" w:cs="Arial"/>
                <w:sz w:val="20"/>
                <w:szCs w:val="20"/>
              </w:rPr>
            </w:pPr>
            <w:r>
              <w:rPr>
                <w:rFonts w:ascii="Arial" w:hAnsi="Arial" w:cs="Arial"/>
                <w:sz w:val="20"/>
                <w:szCs w:val="20"/>
              </w:rPr>
              <w:t>Stockton</w:t>
            </w:r>
          </w:p>
        </w:tc>
        <w:tc>
          <w:tcPr>
            <w:tcW w:w="1170" w:type="dxa"/>
            <w:shd w:val="clear" w:color="auto" w:fill="auto"/>
            <w:vAlign w:val="center"/>
          </w:tcPr>
          <w:p w14:paraId="655CCFE0"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3,184</w:t>
            </w:r>
          </w:p>
        </w:tc>
        <w:tc>
          <w:tcPr>
            <w:tcW w:w="1350" w:type="dxa"/>
            <w:shd w:val="clear" w:color="auto" w:fill="auto"/>
            <w:vAlign w:val="center"/>
          </w:tcPr>
          <w:p w14:paraId="349FAAB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77.8</w:t>
            </w:r>
          </w:p>
        </w:tc>
        <w:tc>
          <w:tcPr>
            <w:tcW w:w="1350" w:type="dxa"/>
            <w:shd w:val="clear" w:color="auto" w:fill="auto"/>
            <w:vAlign w:val="center"/>
          </w:tcPr>
          <w:p w14:paraId="6C65800D"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75.5</w:t>
            </w:r>
          </w:p>
        </w:tc>
        <w:tc>
          <w:tcPr>
            <w:tcW w:w="1350" w:type="dxa"/>
            <w:shd w:val="clear" w:color="auto" w:fill="auto"/>
            <w:vAlign w:val="center"/>
          </w:tcPr>
          <w:p w14:paraId="0CEE74CD"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2.3</w:t>
            </w:r>
          </w:p>
        </w:tc>
        <w:tc>
          <w:tcPr>
            <w:tcW w:w="1345" w:type="dxa"/>
            <w:shd w:val="clear" w:color="auto" w:fill="auto"/>
            <w:vAlign w:val="center"/>
          </w:tcPr>
          <w:p w14:paraId="33039C8A" w14:textId="77777777" w:rsidR="00317DA9" w:rsidRPr="000D5055" w:rsidRDefault="00317DA9" w:rsidP="00731555">
            <w:pPr>
              <w:jc w:val="right"/>
              <w:rPr>
                <w:rFonts w:ascii="Arial" w:hAnsi="Arial" w:cs="Arial"/>
                <w:sz w:val="20"/>
                <w:szCs w:val="20"/>
              </w:rPr>
            </w:pPr>
            <w:r w:rsidRPr="000D5055">
              <w:rPr>
                <w:rFonts w:ascii="Arial" w:hAnsi="Arial" w:cs="Arial"/>
                <w:sz w:val="20"/>
                <w:szCs w:val="20"/>
              </w:rPr>
              <w:t>3.0%</w:t>
            </w:r>
          </w:p>
        </w:tc>
      </w:tr>
    </w:tbl>
    <w:p w14:paraId="0869774D" w14:textId="77777777" w:rsidR="00317DA9" w:rsidRDefault="00317DA9" w:rsidP="00317DA9">
      <w:pPr>
        <w:spacing w:after="120"/>
        <w:rPr>
          <w:szCs w:val="32"/>
        </w:rPr>
      </w:pPr>
    </w:p>
    <w:p w14:paraId="2F39BD7B" w14:textId="2D443C17" w:rsidR="00024FF4" w:rsidRDefault="00024FF4" w:rsidP="001C1578">
      <w:pPr>
        <w:spacing w:after="120"/>
        <w:rPr>
          <w:szCs w:val="32"/>
        </w:rPr>
      </w:pPr>
    </w:p>
    <w:p w14:paraId="6813A5E9" w14:textId="2EAC0682" w:rsidR="00000ABC" w:rsidRDefault="00000ABC" w:rsidP="00000ABC">
      <w:pPr>
        <w:pStyle w:val="FigureCaption"/>
      </w:pPr>
      <w:bookmarkStart w:id="157" w:name="_Ref506975585"/>
      <w:bookmarkStart w:id="158" w:name="_Toc509837458"/>
      <w:r>
        <w:t xml:space="preserve">Figure </w:t>
      </w:r>
      <w:fldSimple w:instr=" STYLEREF 1 \s ">
        <w:r w:rsidR="005D5C7C">
          <w:rPr>
            <w:noProof/>
          </w:rPr>
          <w:t>3</w:t>
        </w:r>
      </w:fldSimple>
      <w:r w:rsidR="00A11E78">
        <w:t>.</w:t>
      </w:r>
      <w:fldSimple w:instr=" SEQ Figure \* ARABIC \s 1 ">
        <w:r w:rsidR="005D5C7C">
          <w:rPr>
            <w:noProof/>
          </w:rPr>
          <w:t>10</w:t>
        </w:r>
      </w:fldSimple>
      <w:bookmarkEnd w:id="157"/>
      <w:r>
        <w:t xml:space="preserve">: Typical Event Day Event-Hour Load Impacts by LCA, </w:t>
      </w:r>
      <w:r w:rsidRPr="006C0719">
        <w:rPr>
          <w:i/>
        </w:rPr>
        <w:t>PG&amp;E</w:t>
      </w:r>
      <w:r>
        <w:rPr>
          <w:i/>
        </w:rPr>
        <w:t xml:space="preserve"> Medium</w:t>
      </w:r>
      <w:bookmarkEnd w:id="158"/>
      <w:r>
        <w:t xml:space="preserve"> </w:t>
      </w:r>
    </w:p>
    <w:p w14:paraId="4AB69496" w14:textId="12EB01DF" w:rsidR="00CD2D91" w:rsidRDefault="00CD2D91" w:rsidP="00024FF4">
      <w:pPr>
        <w:spacing w:after="120"/>
        <w:rPr>
          <w:szCs w:val="32"/>
        </w:rPr>
      </w:pPr>
      <w:r>
        <w:rPr>
          <w:noProof/>
        </w:rPr>
        <w:drawing>
          <wp:inline distT="0" distB="0" distL="0" distR="0" wp14:anchorId="5CB3884C" wp14:editId="591B46D8">
            <wp:extent cx="5486400" cy="3983990"/>
            <wp:effectExtent l="0" t="0" r="0" b="0"/>
            <wp:docPr id="113" name="Chart 113">
              <a:extLst xmlns:a="http://schemas.openxmlformats.org/drawingml/2006/main">
                <a:ext uri="{FF2B5EF4-FFF2-40B4-BE49-F238E27FC236}">
                  <a16:creationId xmlns:a16="http://schemas.microsoft.com/office/drawing/2014/main" id="{384137EC-5730-4A0A-A8C1-CD0A96BAC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7AE6194" w14:textId="0ED70650" w:rsidR="00024FF4" w:rsidRDefault="00024FF4" w:rsidP="001C1578">
      <w:pPr>
        <w:spacing w:after="120"/>
        <w:rPr>
          <w:szCs w:val="32"/>
        </w:rPr>
      </w:pPr>
    </w:p>
    <w:p w14:paraId="6A19E2F5" w14:textId="2D2363CD" w:rsidR="00F212A1" w:rsidRDefault="00F212A1" w:rsidP="001C1578">
      <w:pPr>
        <w:spacing w:after="120"/>
        <w:rPr>
          <w:szCs w:val="32"/>
        </w:rPr>
      </w:pPr>
    </w:p>
    <w:p w14:paraId="41B8796D" w14:textId="7C3FC2D3" w:rsidR="00F212A1" w:rsidRDefault="00F212A1" w:rsidP="001C1578">
      <w:pPr>
        <w:spacing w:after="120"/>
        <w:rPr>
          <w:szCs w:val="32"/>
        </w:rPr>
      </w:pPr>
    </w:p>
    <w:p w14:paraId="3522139C" w14:textId="44DE60C7" w:rsidR="00F212A1" w:rsidRDefault="00F212A1" w:rsidP="001C1578">
      <w:pPr>
        <w:spacing w:after="120"/>
        <w:rPr>
          <w:szCs w:val="32"/>
        </w:rPr>
      </w:pPr>
    </w:p>
    <w:p w14:paraId="2233810B" w14:textId="386A9B26" w:rsidR="00F212A1" w:rsidRDefault="00F212A1" w:rsidP="001C1578">
      <w:pPr>
        <w:spacing w:after="120"/>
        <w:rPr>
          <w:szCs w:val="32"/>
        </w:rPr>
      </w:pPr>
    </w:p>
    <w:p w14:paraId="6CCEC390" w14:textId="0DFD1358" w:rsidR="00F212A1" w:rsidRDefault="009577F5" w:rsidP="001C1578">
      <w:pPr>
        <w:spacing w:after="120"/>
        <w:rPr>
          <w:rFonts w:asciiTheme="minorHAnsi" w:hAnsiTheme="minorHAnsi"/>
        </w:rPr>
      </w:pPr>
      <w:r>
        <w:rPr>
          <w:szCs w:val="32"/>
        </w:rPr>
        <w:lastRenderedPageBreak/>
        <w:fldChar w:fldCharType="begin"/>
      </w:r>
      <w:r>
        <w:rPr>
          <w:szCs w:val="32"/>
        </w:rPr>
        <w:instrText xml:space="preserve"> REF _Ref506978353 \h </w:instrText>
      </w:r>
      <w:r>
        <w:rPr>
          <w:szCs w:val="32"/>
        </w:rPr>
      </w:r>
      <w:r>
        <w:rPr>
          <w:szCs w:val="32"/>
        </w:rPr>
        <w:fldChar w:fldCharType="separate"/>
      </w:r>
      <w:r w:rsidR="005D5C7C">
        <w:t xml:space="preserve">Table </w:t>
      </w:r>
      <w:r w:rsidR="005D5C7C">
        <w:rPr>
          <w:noProof/>
        </w:rPr>
        <w:t>3</w:t>
      </w:r>
      <w:r w:rsidR="005D5C7C">
        <w:t>.</w:t>
      </w:r>
      <w:r w:rsidR="005D5C7C">
        <w:rPr>
          <w:noProof/>
        </w:rPr>
        <w:t>11</w:t>
      </w:r>
      <w:r>
        <w:rPr>
          <w:szCs w:val="32"/>
        </w:rPr>
        <w:fldChar w:fldCharType="end"/>
      </w:r>
      <w:r>
        <w:rPr>
          <w:szCs w:val="32"/>
        </w:rPr>
        <w:t xml:space="preserve"> and </w:t>
      </w:r>
      <w:r>
        <w:rPr>
          <w:szCs w:val="32"/>
        </w:rPr>
        <w:fldChar w:fldCharType="begin"/>
      </w:r>
      <w:r>
        <w:rPr>
          <w:szCs w:val="32"/>
        </w:rPr>
        <w:instrText xml:space="preserve"> REF _Ref506978753 \h </w:instrText>
      </w:r>
      <w:r>
        <w:rPr>
          <w:szCs w:val="32"/>
        </w:rPr>
      </w:r>
      <w:r>
        <w:rPr>
          <w:szCs w:val="32"/>
        </w:rPr>
        <w:fldChar w:fldCharType="separate"/>
      </w:r>
      <w:r w:rsidR="005D5C7C">
        <w:t xml:space="preserve">Figure </w:t>
      </w:r>
      <w:r w:rsidR="005D5C7C">
        <w:rPr>
          <w:noProof/>
        </w:rPr>
        <w:t>3</w:t>
      </w:r>
      <w:r w:rsidR="005D5C7C">
        <w:t>.</w:t>
      </w:r>
      <w:r w:rsidR="005D5C7C">
        <w:rPr>
          <w:noProof/>
        </w:rPr>
        <w:t>11</w:t>
      </w:r>
      <w:r>
        <w:rPr>
          <w:szCs w:val="32"/>
        </w:rPr>
        <w:fldChar w:fldCharType="end"/>
      </w:r>
      <w:r>
        <w:rPr>
          <w:szCs w:val="32"/>
        </w:rPr>
        <w:t xml:space="preserve"> summarize the results by LCA for small customers</w:t>
      </w:r>
      <w:r w:rsidRPr="00BE41D3">
        <w:rPr>
          <w:rFonts w:asciiTheme="minorHAnsi" w:hAnsiTheme="minorHAnsi"/>
        </w:rPr>
        <w:t>.</w:t>
      </w:r>
      <w:r>
        <w:rPr>
          <w:rFonts w:asciiTheme="minorHAnsi" w:hAnsiTheme="minorHAnsi"/>
        </w:rPr>
        <w:t xml:space="preserve"> Once again, customer</w:t>
      </w:r>
      <w:r w:rsidR="0013628E">
        <w:rPr>
          <w:rFonts w:asciiTheme="minorHAnsi" w:hAnsiTheme="minorHAnsi"/>
        </w:rPr>
        <w:t>s</w:t>
      </w:r>
      <w:r>
        <w:rPr>
          <w:rFonts w:asciiTheme="minorHAnsi" w:hAnsiTheme="minorHAnsi"/>
        </w:rPr>
        <w:t xml:space="preserve"> are concentrated in the Greater Bay Area and Other LCA which have a combined 6</w:t>
      </w:r>
      <w:r w:rsidR="007043A7">
        <w:rPr>
          <w:rFonts w:asciiTheme="minorHAnsi" w:hAnsiTheme="minorHAnsi"/>
        </w:rPr>
        <w:t>6</w:t>
      </w:r>
      <w:r>
        <w:rPr>
          <w:rFonts w:asciiTheme="minorHAnsi" w:hAnsiTheme="minorHAnsi"/>
        </w:rPr>
        <w:t xml:space="preserve"> percent of customers and 210 MWh/hour of load. However, </w:t>
      </w:r>
      <w:r>
        <w:rPr>
          <w:rFonts w:asciiTheme="minorHAnsi" w:hAnsiTheme="minorHAnsi"/>
        </w:rPr>
        <w:fldChar w:fldCharType="begin"/>
      </w:r>
      <w:r>
        <w:rPr>
          <w:rFonts w:asciiTheme="minorHAnsi" w:hAnsiTheme="minorHAnsi"/>
        </w:rPr>
        <w:instrText xml:space="preserve"> REF _Ref506978753 \h </w:instrText>
      </w:r>
      <w:r>
        <w:rPr>
          <w:rFonts w:asciiTheme="minorHAnsi" w:hAnsiTheme="minorHAnsi"/>
        </w:rPr>
      </w:r>
      <w:r>
        <w:rPr>
          <w:rFonts w:asciiTheme="minorHAnsi" w:hAnsiTheme="minorHAnsi"/>
        </w:rPr>
        <w:fldChar w:fldCharType="separate"/>
      </w:r>
      <w:r w:rsidR="005D5C7C">
        <w:t xml:space="preserve">Figure </w:t>
      </w:r>
      <w:r w:rsidR="005D5C7C">
        <w:rPr>
          <w:noProof/>
        </w:rPr>
        <w:t>3</w:t>
      </w:r>
      <w:r w:rsidR="005D5C7C">
        <w:t>.</w:t>
      </w:r>
      <w:r w:rsidR="005D5C7C">
        <w:rPr>
          <w:noProof/>
        </w:rPr>
        <w:t>11</w:t>
      </w:r>
      <w:r>
        <w:rPr>
          <w:rFonts w:asciiTheme="minorHAnsi" w:hAnsiTheme="minorHAnsi"/>
        </w:rPr>
        <w:fldChar w:fldCharType="end"/>
      </w:r>
      <w:r>
        <w:rPr>
          <w:rFonts w:asciiTheme="minorHAnsi" w:hAnsiTheme="minorHAnsi"/>
        </w:rPr>
        <w:t xml:space="preserve"> clearly demonstrates that the load impact is highly concentrated in the Other LCA, which accounts for over 45 percent of the total load impact. As with the medium customer results, Stockton provides a disproportionate share of load impacts.</w:t>
      </w:r>
    </w:p>
    <w:p w14:paraId="4C06F728" w14:textId="77777777" w:rsidR="007043A7" w:rsidRDefault="007043A7" w:rsidP="001C1578">
      <w:pPr>
        <w:spacing w:after="120"/>
        <w:rPr>
          <w:szCs w:val="32"/>
        </w:rPr>
      </w:pPr>
    </w:p>
    <w:p w14:paraId="416BBC02" w14:textId="265387DF" w:rsidR="00F83F86" w:rsidRDefault="00F83F86" w:rsidP="00F83F86">
      <w:pPr>
        <w:pStyle w:val="TableCaption"/>
      </w:pPr>
      <w:bookmarkStart w:id="159" w:name="_Ref506978353"/>
      <w:bookmarkStart w:id="160" w:name="_Toc509837368"/>
      <w:r>
        <w:t xml:space="preserve">Table </w:t>
      </w:r>
      <w:fldSimple w:instr=" STYLEREF 1 \s ">
        <w:r w:rsidR="005D5C7C">
          <w:rPr>
            <w:noProof/>
          </w:rPr>
          <w:t>3</w:t>
        </w:r>
      </w:fldSimple>
      <w:r w:rsidR="0069714C">
        <w:t>.</w:t>
      </w:r>
      <w:fldSimple w:instr=" SEQ Table \* ARABIC \s 1 ">
        <w:r w:rsidR="005D5C7C">
          <w:rPr>
            <w:noProof/>
          </w:rPr>
          <w:t>11</w:t>
        </w:r>
      </w:fldSimple>
      <w:bookmarkEnd w:id="159"/>
      <w:r>
        <w:t>: Typical Event Day Load Impacts b</w:t>
      </w:r>
      <w:r w:rsidRPr="006C0719">
        <w:t xml:space="preserve">y </w:t>
      </w:r>
      <w:r>
        <w:t>LCA</w:t>
      </w:r>
      <w:r w:rsidRPr="006C0719">
        <w:t xml:space="preserve">, </w:t>
      </w:r>
      <w:r w:rsidRPr="006C0719">
        <w:rPr>
          <w:i/>
        </w:rPr>
        <w:t>PG&amp;E</w:t>
      </w:r>
      <w:r>
        <w:rPr>
          <w:i/>
        </w:rPr>
        <w:t xml:space="preserve"> Small</w:t>
      </w:r>
      <w:bookmarkEnd w:id="160"/>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170"/>
        <w:gridCol w:w="1350"/>
        <w:gridCol w:w="1350"/>
        <w:gridCol w:w="1350"/>
        <w:gridCol w:w="1345"/>
      </w:tblGrid>
      <w:tr w:rsidR="00C03B0F" w14:paraId="5847CCB6" w14:textId="77777777" w:rsidTr="00AB5B34">
        <w:trPr>
          <w:jc w:val="center"/>
        </w:trPr>
        <w:tc>
          <w:tcPr>
            <w:tcW w:w="2065" w:type="dxa"/>
            <w:tcBorders>
              <w:right w:val="single" w:sz="4" w:space="0" w:color="FFFFFF" w:themeColor="background1"/>
            </w:tcBorders>
            <w:shd w:val="clear" w:color="auto" w:fill="0C2577"/>
            <w:vAlign w:val="center"/>
          </w:tcPr>
          <w:p w14:paraId="5F092EF7" w14:textId="239D4BEC" w:rsidR="00C03B0F" w:rsidRPr="007E0A27" w:rsidRDefault="001501B5" w:rsidP="00C03B0F">
            <w:pPr>
              <w:keepNext/>
              <w:keepLines/>
              <w:jc w:val="center"/>
              <w:rPr>
                <w:rFonts w:ascii="Arial" w:hAnsi="Arial" w:cs="Arial"/>
                <w:b/>
                <w:sz w:val="20"/>
                <w:szCs w:val="20"/>
              </w:rPr>
            </w:pPr>
            <w:r>
              <w:rPr>
                <w:rFonts w:ascii="Arial" w:hAnsi="Arial" w:cs="Arial"/>
                <w:b/>
                <w:sz w:val="20"/>
                <w:szCs w:val="20"/>
              </w:rPr>
              <w:t>LCA</w:t>
            </w:r>
          </w:p>
        </w:tc>
        <w:tc>
          <w:tcPr>
            <w:tcW w:w="1170" w:type="dxa"/>
            <w:tcBorders>
              <w:left w:val="single" w:sz="4" w:space="0" w:color="FFFFFF" w:themeColor="background1"/>
              <w:right w:val="single" w:sz="4" w:space="0" w:color="FFFFFF" w:themeColor="background1"/>
            </w:tcBorders>
            <w:shd w:val="clear" w:color="auto" w:fill="0C2577"/>
            <w:vAlign w:val="center"/>
          </w:tcPr>
          <w:p w14:paraId="7E5B918B" w14:textId="5D5DC3EF" w:rsidR="00C03B0F" w:rsidRPr="007E0A27" w:rsidRDefault="00C03B0F" w:rsidP="00C03B0F">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19EB7D35" w14:textId="1DB50A43"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Estimated Reference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7A2F0988" w14:textId="47904DE6"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Observed Load (MW</w:t>
            </w:r>
            <w:r w:rsidR="00AB5B34">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798D97D8" w14:textId="787C44E7"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Estimated Load Impact (MW</w:t>
            </w:r>
            <w:r w:rsidR="00AB5B34">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480739F8" w14:textId="3ADA69B4"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 LI</w:t>
            </w:r>
          </w:p>
        </w:tc>
      </w:tr>
      <w:tr w:rsidR="000D5055" w14:paraId="608E6DB5" w14:textId="77777777" w:rsidTr="00AB5B34">
        <w:trPr>
          <w:jc w:val="center"/>
        </w:trPr>
        <w:tc>
          <w:tcPr>
            <w:tcW w:w="2065" w:type="dxa"/>
            <w:vAlign w:val="center"/>
          </w:tcPr>
          <w:p w14:paraId="5585585A" w14:textId="77777777" w:rsidR="000D5055" w:rsidRPr="007E0A27" w:rsidRDefault="000D5055" w:rsidP="000D5055">
            <w:pPr>
              <w:keepNext/>
              <w:keepLines/>
              <w:rPr>
                <w:rFonts w:ascii="Arial" w:hAnsi="Arial" w:cs="Arial"/>
                <w:sz w:val="20"/>
                <w:szCs w:val="20"/>
              </w:rPr>
            </w:pPr>
            <w:r>
              <w:rPr>
                <w:rFonts w:ascii="Arial" w:hAnsi="Arial" w:cs="Arial"/>
                <w:sz w:val="20"/>
                <w:szCs w:val="20"/>
              </w:rPr>
              <w:t>Greater Bay Area</w:t>
            </w:r>
          </w:p>
        </w:tc>
        <w:tc>
          <w:tcPr>
            <w:tcW w:w="1170" w:type="dxa"/>
            <w:shd w:val="clear" w:color="auto" w:fill="auto"/>
            <w:vAlign w:val="center"/>
          </w:tcPr>
          <w:p w14:paraId="779B66A8" w14:textId="6D342CE5" w:rsidR="000D5055" w:rsidRPr="000D5055" w:rsidRDefault="000D5055" w:rsidP="000D5055">
            <w:pPr>
              <w:jc w:val="right"/>
              <w:rPr>
                <w:rFonts w:ascii="Arial" w:hAnsi="Arial" w:cs="Arial"/>
                <w:sz w:val="20"/>
                <w:szCs w:val="20"/>
              </w:rPr>
            </w:pPr>
            <w:r w:rsidRPr="000D5055">
              <w:rPr>
                <w:rFonts w:ascii="Arial" w:hAnsi="Arial" w:cs="Arial"/>
                <w:sz w:val="20"/>
                <w:szCs w:val="20"/>
              </w:rPr>
              <w:t>51,684</w:t>
            </w:r>
          </w:p>
        </w:tc>
        <w:tc>
          <w:tcPr>
            <w:tcW w:w="1350" w:type="dxa"/>
            <w:shd w:val="clear" w:color="auto" w:fill="auto"/>
            <w:vAlign w:val="center"/>
          </w:tcPr>
          <w:p w14:paraId="1FBE45CD" w14:textId="05AB301A" w:rsidR="000D5055" w:rsidRPr="000D5055" w:rsidRDefault="000D5055" w:rsidP="000D5055">
            <w:pPr>
              <w:jc w:val="right"/>
              <w:rPr>
                <w:rFonts w:ascii="Arial" w:hAnsi="Arial" w:cs="Arial"/>
                <w:sz w:val="20"/>
                <w:szCs w:val="20"/>
              </w:rPr>
            </w:pPr>
            <w:r w:rsidRPr="000D5055">
              <w:rPr>
                <w:rFonts w:ascii="Arial" w:hAnsi="Arial" w:cs="Arial"/>
                <w:sz w:val="20"/>
                <w:szCs w:val="20"/>
              </w:rPr>
              <w:t>111.0</w:t>
            </w:r>
          </w:p>
        </w:tc>
        <w:tc>
          <w:tcPr>
            <w:tcW w:w="1350" w:type="dxa"/>
            <w:shd w:val="clear" w:color="auto" w:fill="auto"/>
            <w:vAlign w:val="center"/>
          </w:tcPr>
          <w:p w14:paraId="61888C3B" w14:textId="1360FFEF" w:rsidR="000D5055" w:rsidRPr="000D5055" w:rsidRDefault="000D5055" w:rsidP="000D5055">
            <w:pPr>
              <w:jc w:val="right"/>
              <w:rPr>
                <w:rFonts w:ascii="Arial" w:hAnsi="Arial" w:cs="Arial"/>
                <w:sz w:val="20"/>
                <w:szCs w:val="20"/>
              </w:rPr>
            </w:pPr>
            <w:r w:rsidRPr="000D5055">
              <w:rPr>
                <w:rFonts w:ascii="Arial" w:hAnsi="Arial" w:cs="Arial"/>
                <w:sz w:val="20"/>
                <w:szCs w:val="20"/>
              </w:rPr>
              <w:t>110.7</w:t>
            </w:r>
          </w:p>
        </w:tc>
        <w:tc>
          <w:tcPr>
            <w:tcW w:w="1350" w:type="dxa"/>
            <w:shd w:val="clear" w:color="auto" w:fill="auto"/>
            <w:vAlign w:val="center"/>
          </w:tcPr>
          <w:p w14:paraId="4E78AD91" w14:textId="0B4726EE" w:rsidR="000D5055" w:rsidRPr="000D5055" w:rsidRDefault="000D5055" w:rsidP="000D5055">
            <w:pPr>
              <w:jc w:val="right"/>
              <w:rPr>
                <w:rFonts w:ascii="Arial" w:hAnsi="Arial" w:cs="Arial"/>
                <w:sz w:val="20"/>
                <w:szCs w:val="20"/>
              </w:rPr>
            </w:pPr>
            <w:r w:rsidRPr="000D5055">
              <w:rPr>
                <w:rFonts w:ascii="Arial" w:hAnsi="Arial" w:cs="Arial"/>
                <w:sz w:val="20"/>
                <w:szCs w:val="20"/>
              </w:rPr>
              <w:t>0.3</w:t>
            </w:r>
          </w:p>
        </w:tc>
        <w:tc>
          <w:tcPr>
            <w:tcW w:w="1345" w:type="dxa"/>
            <w:shd w:val="clear" w:color="auto" w:fill="auto"/>
            <w:vAlign w:val="center"/>
          </w:tcPr>
          <w:p w14:paraId="06A7705E" w14:textId="43AD274B" w:rsidR="000D5055" w:rsidRPr="000D5055" w:rsidRDefault="000D5055" w:rsidP="000D5055">
            <w:pPr>
              <w:jc w:val="right"/>
              <w:rPr>
                <w:rFonts w:ascii="Arial" w:hAnsi="Arial" w:cs="Arial"/>
                <w:sz w:val="20"/>
                <w:szCs w:val="20"/>
              </w:rPr>
            </w:pPr>
            <w:r w:rsidRPr="000D5055">
              <w:rPr>
                <w:rFonts w:ascii="Arial" w:hAnsi="Arial" w:cs="Arial"/>
                <w:sz w:val="20"/>
                <w:szCs w:val="20"/>
              </w:rPr>
              <w:t>0.3%</w:t>
            </w:r>
          </w:p>
        </w:tc>
      </w:tr>
      <w:tr w:rsidR="000D5055" w14:paraId="0E6C20C3" w14:textId="77777777" w:rsidTr="00AB5B34">
        <w:trPr>
          <w:jc w:val="center"/>
        </w:trPr>
        <w:tc>
          <w:tcPr>
            <w:tcW w:w="2065" w:type="dxa"/>
            <w:vAlign w:val="center"/>
          </w:tcPr>
          <w:p w14:paraId="5313B55C" w14:textId="77777777" w:rsidR="000D5055" w:rsidRPr="007E0A27" w:rsidRDefault="000D5055" w:rsidP="000D5055">
            <w:pPr>
              <w:keepNext/>
              <w:keepLines/>
              <w:rPr>
                <w:rFonts w:ascii="Arial" w:hAnsi="Arial" w:cs="Arial"/>
                <w:sz w:val="20"/>
                <w:szCs w:val="20"/>
              </w:rPr>
            </w:pPr>
            <w:r>
              <w:rPr>
                <w:rFonts w:ascii="Arial" w:hAnsi="Arial" w:cs="Arial"/>
                <w:sz w:val="20"/>
                <w:szCs w:val="20"/>
              </w:rPr>
              <w:t>Greater Fresno Area</w:t>
            </w:r>
          </w:p>
        </w:tc>
        <w:tc>
          <w:tcPr>
            <w:tcW w:w="1170" w:type="dxa"/>
            <w:shd w:val="clear" w:color="auto" w:fill="auto"/>
            <w:vAlign w:val="center"/>
          </w:tcPr>
          <w:p w14:paraId="362166E2" w14:textId="64C92FE0" w:rsidR="000D5055" w:rsidRPr="000D5055" w:rsidRDefault="000D5055" w:rsidP="000D5055">
            <w:pPr>
              <w:jc w:val="right"/>
              <w:rPr>
                <w:rFonts w:ascii="Arial" w:hAnsi="Arial" w:cs="Arial"/>
                <w:sz w:val="20"/>
                <w:szCs w:val="20"/>
              </w:rPr>
            </w:pPr>
            <w:r w:rsidRPr="000D5055">
              <w:rPr>
                <w:rFonts w:ascii="Arial" w:hAnsi="Arial" w:cs="Arial"/>
                <w:sz w:val="20"/>
                <w:szCs w:val="20"/>
              </w:rPr>
              <w:t>15,309</w:t>
            </w:r>
          </w:p>
        </w:tc>
        <w:tc>
          <w:tcPr>
            <w:tcW w:w="1350" w:type="dxa"/>
            <w:shd w:val="clear" w:color="auto" w:fill="auto"/>
            <w:vAlign w:val="center"/>
          </w:tcPr>
          <w:p w14:paraId="3A74CB7C" w14:textId="153E9718" w:rsidR="000D5055" w:rsidRPr="000D5055" w:rsidRDefault="000D5055" w:rsidP="000D5055">
            <w:pPr>
              <w:jc w:val="right"/>
              <w:rPr>
                <w:rFonts w:ascii="Arial" w:hAnsi="Arial" w:cs="Arial"/>
                <w:sz w:val="20"/>
                <w:szCs w:val="20"/>
              </w:rPr>
            </w:pPr>
            <w:r w:rsidRPr="000D5055">
              <w:rPr>
                <w:rFonts w:ascii="Arial" w:hAnsi="Arial" w:cs="Arial"/>
                <w:sz w:val="20"/>
                <w:szCs w:val="20"/>
              </w:rPr>
              <w:t>38.7</w:t>
            </w:r>
          </w:p>
        </w:tc>
        <w:tc>
          <w:tcPr>
            <w:tcW w:w="1350" w:type="dxa"/>
            <w:shd w:val="clear" w:color="auto" w:fill="auto"/>
            <w:vAlign w:val="center"/>
          </w:tcPr>
          <w:p w14:paraId="2DAF36A7" w14:textId="1D372AB8" w:rsidR="000D5055" w:rsidRPr="000D5055" w:rsidRDefault="000D5055" w:rsidP="000D5055">
            <w:pPr>
              <w:jc w:val="right"/>
              <w:rPr>
                <w:rFonts w:ascii="Arial" w:hAnsi="Arial" w:cs="Arial"/>
                <w:sz w:val="20"/>
                <w:szCs w:val="20"/>
              </w:rPr>
            </w:pPr>
            <w:r w:rsidRPr="000D5055">
              <w:rPr>
                <w:rFonts w:ascii="Arial" w:hAnsi="Arial" w:cs="Arial"/>
                <w:sz w:val="20"/>
                <w:szCs w:val="20"/>
              </w:rPr>
              <w:t>38.7</w:t>
            </w:r>
          </w:p>
        </w:tc>
        <w:tc>
          <w:tcPr>
            <w:tcW w:w="1350" w:type="dxa"/>
            <w:shd w:val="clear" w:color="auto" w:fill="auto"/>
            <w:vAlign w:val="center"/>
          </w:tcPr>
          <w:p w14:paraId="35D08002" w14:textId="686E94C1" w:rsidR="000D5055" w:rsidRPr="000D5055" w:rsidRDefault="000D5055" w:rsidP="000D5055">
            <w:pPr>
              <w:jc w:val="right"/>
              <w:rPr>
                <w:rFonts w:ascii="Arial" w:hAnsi="Arial" w:cs="Arial"/>
                <w:sz w:val="20"/>
                <w:szCs w:val="20"/>
              </w:rPr>
            </w:pPr>
            <w:r w:rsidRPr="000D5055">
              <w:rPr>
                <w:rFonts w:ascii="Arial" w:hAnsi="Arial" w:cs="Arial"/>
                <w:sz w:val="20"/>
                <w:szCs w:val="20"/>
              </w:rPr>
              <w:t>0.0</w:t>
            </w:r>
          </w:p>
        </w:tc>
        <w:tc>
          <w:tcPr>
            <w:tcW w:w="1345" w:type="dxa"/>
            <w:shd w:val="clear" w:color="auto" w:fill="auto"/>
            <w:vAlign w:val="center"/>
          </w:tcPr>
          <w:p w14:paraId="1ACB9051" w14:textId="754DADFD" w:rsidR="000D5055" w:rsidRPr="000D5055" w:rsidRDefault="000D5055" w:rsidP="000D5055">
            <w:pPr>
              <w:jc w:val="right"/>
              <w:rPr>
                <w:rFonts w:ascii="Arial" w:hAnsi="Arial" w:cs="Arial"/>
                <w:sz w:val="20"/>
                <w:szCs w:val="20"/>
              </w:rPr>
            </w:pPr>
            <w:r w:rsidRPr="000D5055">
              <w:rPr>
                <w:rFonts w:ascii="Arial" w:hAnsi="Arial" w:cs="Arial"/>
                <w:sz w:val="20"/>
                <w:szCs w:val="20"/>
              </w:rPr>
              <w:t>0.1%</w:t>
            </w:r>
          </w:p>
        </w:tc>
      </w:tr>
      <w:tr w:rsidR="000D5055" w14:paraId="3E91AD8D" w14:textId="77777777" w:rsidTr="00AB5B34">
        <w:trPr>
          <w:jc w:val="center"/>
        </w:trPr>
        <w:tc>
          <w:tcPr>
            <w:tcW w:w="2065" w:type="dxa"/>
            <w:vAlign w:val="center"/>
          </w:tcPr>
          <w:p w14:paraId="65318831" w14:textId="77777777" w:rsidR="000D5055" w:rsidRPr="007E0A27" w:rsidRDefault="000D5055" w:rsidP="000D5055">
            <w:pPr>
              <w:keepNext/>
              <w:keepLines/>
              <w:rPr>
                <w:rFonts w:ascii="Arial" w:hAnsi="Arial" w:cs="Arial"/>
                <w:sz w:val="20"/>
                <w:szCs w:val="20"/>
              </w:rPr>
            </w:pPr>
            <w:r>
              <w:rPr>
                <w:rFonts w:ascii="Arial" w:hAnsi="Arial" w:cs="Arial"/>
                <w:sz w:val="20"/>
                <w:szCs w:val="20"/>
              </w:rPr>
              <w:t>Humboldt</w:t>
            </w:r>
          </w:p>
        </w:tc>
        <w:tc>
          <w:tcPr>
            <w:tcW w:w="1170" w:type="dxa"/>
            <w:shd w:val="clear" w:color="auto" w:fill="auto"/>
            <w:vAlign w:val="center"/>
          </w:tcPr>
          <w:p w14:paraId="3842B836" w14:textId="4018C91B" w:rsidR="000D5055" w:rsidRPr="000D5055" w:rsidRDefault="000D5055" w:rsidP="000D5055">
            <w:pPr>
              <w:jc w:val="right"/>
              <w:rPr>
                <w:rFonts w:ascii="Arial" w:hAnsi="Arial" w:cs="Arial"/>
                <w:sz w:val="20"/>
                <w:szCs w:val="20"/>
              </w:rPr>
            </w:pPr>
            <w:r w:rsidRPr="000D5055">
              <w:rPr>
                <w:rFonts w:ascii="Arial" w:hAnsi="Arial" w:cs="Arial"/>
                <w:sz w:val="20"/>
                <w:szCs w:val="20"/>
              </w:rPr>
              <w:t>2,142</w:t>
            </w:r>
          </w:p>
        </w:tc>
        <w:tc>
          <w:tcPr>
            <w:tcW w:w="1350" w:type="dxa"/>
            <w:shd w:val="clear" w:color="auto" w:fill="auto"/>
            <w:vAlign w:val="center"/>
          </w:tcPr>
          <w:p w14:paraId="72A1C57B" w14:textId="11E7F6F0" w:rsidR="000D5055" w:rsidRPr="000D5055" w:rsidRDefault="000D5055" w:rsidP="000D5055">
            <w:pPr>
              <w:jc w:val="right"/>
              <w:rPr>
                <w:rFonts w:ascii="Arial" w:hAnsi="Arial" w:cs="Arial"/>
                <w:sz w:val="20"/>
                <w:szCs w:val="20"/>
              </w:rPr>
            </w:pPr>
            <w:r w:rsidRPr="000D5055">
              <w:rPr>
                <w:rFonts w:ascii="Arial" w:hAnsi="Arial" w:cs="Arial"/>
                <w:sz w:val="20"/>
                <w:szCs w:val="20"/>
              </w:rPr>
              <w:t>3.5</w:t>
            </w:r>
          </w:p>
        </w:tc>
        <w:tc>
          <w:tcPr>
            <w:tcW w:w="1350" w:type="dxa"/>
            <w:shd w:val="clear" w:color="auto" w:fill="auto"/>
            <w:vAlign w:val="center"/>
          </w:tcPr>
          <w:p w14:paraId="43220608" w14:textId="0AF91EC5" w:rsidR="000D5055" w:rsidRPr="000D5055" w:rsidRDefault="000D5055" w:rsidP="000D5055">
            <w:pPr>
              <w:jc w:val="right"/>
              <w:rPr>
                <w:rFonts w:ascii="Arial" w:hAnsi="Arial" w:cs="Arial"/>
                <w:sz w:val="20"/>
                <w:szCs w:val="20"/>
              </w:rPr>
            </w:pPr>
            <w:r w:rsidRPr="000D5055">
              <w:rPr>
                <w:rFonts w:ascii="Arial" w:hAnsi="Arial" w:cs="Arial"/>
                <w:sz w:val="20"/>
                <w:szCs w:val="20"/>
              </w:rPr>
              <w:t>3.4</w:t>
            </w:r>
          </w:p>
        </w:tc>
        <w:tc>
          <w:tcPr>
            <w:tcW w:w="1350" w:type="dxa"/>
            <w:shd w:val="clear" w:color="auto" w:fill="auto"/>
            <w:vAlign w:val="center"/>
          </w:tcPr>
          <w:p w14:paraId="0B4E2E9C" w14:textId="121E2D48" w:rsidR="000D5055" w:rsidRPr="000D5055" w:rsidRDefault="000D5055" w:rsidP="000D5055">
            <w:pPr>
              <w:jc w:val="right"/>
              <w:rPr>
                <w:rFonts w:ascii="Arial" w:hAnsi="Arial" w:cs="Arial"/>
                <w:sz w:val="20"/>
                <w:szCs w:val="20"/>
              </w:rPr>
            </w:pPr>
            <w:r w:rsidRPr="000D5055">
              <w:rPr>
                <w:rFonts w:ascii="Arial" w:hAnsi="Arial" w:cs="Arial"/>
                <w:sz w:val="20"/>
                <w:szCs w:val="20"/>
              </w:rPr>
              <w:t>0.1</w:t>
            </w:r>
          </w:p>
        </w:tc>
        <w:tc>
          <w:tcPr>
            <w:tcW w:w="1345" w:type="dxa"/>
            <w:shd w:val="clear" w:color="auto" w:fill="auto"/>
            <w:vAlign w:val="center"/>
          </w:tcPr>
          <w:p w14:paraId="515ED802" w14:textId="2ABBE219" w:rsidR="000D5055" w:rsidRPr="000D5055" w:rsidRDefault="000D5055" w:rsidP="000D5055">
            <w:pPr>
              <w:jc w:val="right"/>
              <w:rPr>
                <w:rFonts w:ascii="Arial" w:hAnsi="Arial" w:cs="Arial"/>
                <w:sz w:val="20"/>
                <w:szCs w:val="20"/>
              </w:rPr>
            </w:pPr>
            <w:r w:rsidRPr="000D5055">
              <w:rPr>
                <w:rFonts w:ascii="Arial" w:hAnsi="Arial" w:cs="Arial"/>
                <w:sz w:val="20"/>
                <w:szCs w:val="20"/>
              </w:rPr>
              <w:t>3.8%</w:t>
            </w:r>
          </w:p>
        </w:tc>
      </w:tr>
      <w:tr w:rsidR="000D5055" w14:paraId="1830DE4B" w14:textId="77777777" w:rsidTr="00AB5B34">
        <w:trPr>
          <w:jc w:val="center"/>
        </w:trPr>
        <w:tc>
          <w:tcPr>
            <w:tcW w:w="2065" w:type="dxa"/>
            <w:vAlign w:val="center"/>
          </w:tcPr>
          <w:p w14:paraId="75BBD87B" w14:textId="77777777" w:rsidR="000D5055" w:rsidRPr="007E0A27" w:rsidRDefault="000D5055" w:rsidP="000D5055">
            <w:pPr>
              <w:keepNext/>
              <w:keepLines/>
              <w:rPr>
                <w:rFonts w:ascii="Arial" w:hAnsi="Arial" w:cs="Arial"/>
                <w:sz w:val="20"/>
                <w:szCs w:val="20"/>
              </w:rPr>
            </w:pPr>
            <w:r>
              <w:rPr>
                <w:rFonts w:ascii="Arial" w:hAnsi="Arial" w:cs="Arial"/>
                <w:sz w:val="20"/>
                <w:szCs w:val="20"/>
              </w:rPr>
              <w:t>Kern</w:t>
            </w:r>
          </w:p>
        </w:tc>
        <w:tc>
          <w:tcPr>
            <w:tcW w:w="1170" w:type="dxa"/>
            <w:shd w:val="clear" w:color="auto" w:fill="auto"/>
            <w:vAlign w:val="center"/>
          </w:tcPr>
          <w:p w14:paraId="426CD3DB" w14:textId="04DDA2BE" w:rsidR="000D5055" w:rsidRPr="000D5055" w:rsidRDefault="000D5055" w:rsidP="000D5055">
            <w:pPr>
              <w:jc w:val="right"/>
              <w:rPr>
                <w:rFonts w:ascii="Arial" w:hAnsi="Arial" w:cs="Arial"/>
                <w:sz w:val="20"/>
                <w:szCs w:val="20"/>
              </w:rPr>
            </w:pPr>
            <w:r w:rsidRPr="000D5055">
              <w:rPr>
                <w:rFonts w:ascii="Arial" w:hAnsi="Arial" w:cs="Arial"/>
                <w:sz w:val="20"/>
                <w:szCs w:val="20"/>
              </w:rPr>
              <w:t>8,353</w:t>
            </w:r>
          </w:p>
        </w:tc>
        <w:tc>
          <w:tcPr>
            <w:tcW w:w="1350" w:type="dxa"/>
            <w:shd w:val="clear" w:color="auto" w:fill="auto"/>
            <w:vAlign w:val="center"/>
          </w:tcPr>
          <w:p w14:paraId="6408450F" w14:textId="45B8F557" w:rsidR="000D5055" w:rsidRPr="000D5055" w:rsidRDefault="000D5055" w:rsidP="000D5055">
            <w:pPr>
              <w:jc w:val="right"/>
              <w:rPr>
                <w:rFonts w:ascii="Arial" w:hAnsi="Arial" w:cs="Arial"/>
                <w:sz w:val="20"/>
                <w:szCs w:val="20"/>
              </w:rPr>
            </w:pPr>
            <w:r w:rsidRPr="000D5055">
              <w:rPr>
                <w:rFonts w:ascii="Arial" w:hAnsi="Arial" w:cs="Arial"/>
                <w:sz w:val="20"/>
                <w:szCs w:val="20"/>
              </w:rPr>
              <w:t>22.2</w:t>
            </w:r>
          </w:p>
        </w:tc>
        <w:tc>
          <w:tcPr>
            <w:tcW w:w="1350" w:type="dxa"/>
            <w:shd w:val="clear" w:color="auto" w:fill="auto"/>
            <w:vAlign w:val="center"/>
          </w:tcPr>
          <w:p w14:paraId="2C4E3BC0" w14:textId="63A8EBC9" w:rsidR="000D5055" w:rsidRPr="000D5055" w:rsidRDefault="000D5055" w:rsidP="000D5055">
            <w:pPr>
              <w:jc w:val="right"/>
              <w:rPr>
                <w:rFonts w:ascii="Arial" w:hAnsi="Arial" w:cs="Arial"/>
                <w:sz w:val="20"/>
                <w:szCs w:val="20"/>
              </w:rPr>
            </w:pPr>
            <w:r w:rsidRPr="000D5055">
              <w:rPr>
                <w:rFonts w:ascii="Arial" w:hAnsi="Arial" w:cs="Arial"/>
                <w:sz w:val="20"/>
                <w:szCs w:val="20"/>
              </w:rPr>
              <w:t>22.1</w:t>
            </w:r>
          </w:p>
        </w:tc>
        <w:tc>
          <w:tcPr>
            <w:tcW w:w="1350" w:type="dxa"/>
            <w:shd w:val="clear" w:color="auto" w:fill="auto"/>
            <w:vAlign w:val="center"/>
          </w:tcPr>
          <w:p w14:paraId="5056EC6C" w14:textId="626A6E69" w:rsidR="000D5055" w:rsidRPr="000D5055" w:rsidRDefault="000D5055" w:rsidP="000D5055">
            <w:pPr>
              <w:jc w:val="right"/>
              <w:rPr>
                <w:rFonts w:ascii="Arial" w:hAnsi="Arial" w:cs="Arial"/>
                <w:sz w:val="20"/>
                <w:szCs w:val="20"/>
              </w:rPr>
            </w:pPr>
            <w:r w:rsidRPr="000D5055">
              <w:rPr>
                <w:rFonts w:ascii="Arial" w:hAnsi="Arial" w:cs="Arial"/>
                <w:sz w:val="20"/>
                <w:szCs w:val="20"/>
              </w:rPr>
              <w:t>0.1</w:t>
            </w:r>
          </w:p>
        </w:tc>
        <w:tc>
          <w:tcPr>
            <w:tcW w:w="1345" w:type="dxa"/>
            <w:shd w:val="clear" w:color="auto" w:fill="auto"/>
            <w:vAlign w:val="center"/>
          </w:tcPr>
          <w:p w14:paraId="31B8C380" w14:textId="281A9DAB" w:rsidR="000D5055" w:rsidRPr="000D5055" w:rsidRDefault="000D5055" w:rsidP="000D5055">
            <w:pPr>
              <w:jc w:val="right"/>
              <w:rPr>
                <w:rFonts w:ascii="Arial" w:hAnsi="Arial" w:cs="Arial"/>
                <w:sz w:val="20"/>
                <w:szCs w:val="20"/>
              </w:rPr>
            </w:pPr>
            <w:r w:rsidRPr="000D5055">
              <w:rPr>
                <w:rFonts w:ascii="Arial" w:hAnsi="Arial" w:cs="Arial"/>
                <w:sz w:val="20"/>
                <w:szCs w:val="20"/>
              </w:rPr>
              <w:t>0.6%</w:t>
            </w:r>
          </w:p>
        </w:tc>
      </w:tr>
      <w:tr w:rsidR="000D5055" w14:paraId="58CC2D61" w14:textId="77777777" w:rsidTr="00AB5B34">
        <w:trPr>
          <w:jc w:val="center"/>
        </w:trPr>
        <w:tc>
          <w:tcPr>
            <w:tcW w:w="2065" w:type="dxa"/>
            <w:vAlign w:val="center"/>
          </w:tcPr>
          <w:p w14:paraId="25CCA017" w14:textId="77777777" w:rsidR="000D5055" w:rsidRPr="007E0A27" w:rsidRDefault="000D5055" w:rsidP="000D5055">
            <w:pPr>
              <w:keepNext/>
              <w:keepLines/>
              <w:rPr>
                <w:rFonts w:ascii="Arial" w:hAnsi="Arial" w:cs="Arial"/>
                <w:sz w:val="20"/>
                <w:szCs w:val="20"/>
              </w:rPr>
            </w:pPr>
            <w:r>
              <w:rPr>
                <w:rFonts w:ascii="Arial" w:hAnsi="Arial" w:cs="Arial"/>
                <w:sz w:val="20"/>
                <w:szCs w:val="20"/>
              </w:rPr>
              <w:t>Northern Coast</w:t>
            </w:r>
          </w:p>
        </w:tc>
        <w:tc>
          <w:tcPr>
            <w:tcW w:w="1170" w:type="dxa"/>
            <w:shd w:val="clear" w:color="auto" w:fill="auto"/>
            <w:vAlign w:val="center"/>
          </w:tcPr>
          <w:p w14:paraId="362658B7" w14:textId="201F75B3" w:rsidR="000D5055" w:rsidRPr="000D5055" w:rsidRDefault="000D5055" w:rsidP="000D5055">
            <w:pPr>
              <w:jc w:val="right"/>
              <w:rPr>
                <w:rFonts w:ascii="Arial" w:hAnsi="Arial" w:cs="Arial"/>
                <w:sz w:val="20"/>
                <w:szCs w:val="20"/>
              </w:rPr>
            </w:pPr>
            <w:r w:rsidRPr="000D5055">
              <w:rPr>
                <w:rFonts w:ascii="Arial" w:hAnsi="Arial" w:cs="Arial"/>
                <w:sz w:val="20"/>
                <w:szCs w:val="20"/>
              </w:rPr>
              <w:t>3,305</w:t>
            </w:r>
          </w:p>
        </w:tc>
        <w:tc>
          <w:tcPr>
            <w:tcW w:w="1350" w:type="dxa"/>
            <w:shd w:val="clear" w:color="auto" w:fill="auto"/>
            <w:vAlign w:val="center"/>
          </w:tcPr>
          <w:p w14:paraId="78262D75" w14:textId="71F31FED" w:rsidR="000D5055" w:rsidRPr="000D5055" w:rsidRDefault="000D5055" w:rsidP="000D5055">
            <w:pPr>
              <w:jc w:val="right"/>
              <w:rPr>
                <w:rFonts w:ascii="Arial" w:hAnsi="Arial" w:cs="Arial"/>
                <w:sz w:val="20"/>
                <w:szCs w:val="20"/>
              </w:rPr>
            </w:pPr>
            <w:r w:rsidRPr="000D5055">
              <w:rPr>
                <w:rFonts w:ascii="Arial" w:hAnsi="Arial" w:cs="Arial"/>
                <w:sz w:val="20"/>
                <w:szCs w:val="20"/>
              </w:rPr>
              <w:t>5.7</w:t>
            </w:r>
          </w:p>
        </w:tc>
        <w:tc>
          <w:tcPr>
            <w:tcW w:w="1350" w:type="dxa"/>
            <w:shd w:val="clear" w:color="auto" w:fill="auto"/>
            <w:vAlign w:val="center"/>
          </w:tcPr>
          <w:p w14:paraId="6BAADE8F" w14:textId="171CC761" w:rsidR="000D5055" w:rsidRPr="000D5055" w:rsidRDefault="000D5055" w:rsidP="000D5055">
            <w:pPr>
              <w:jc w:val="right"/>
              <w:rPr>
                <w:rFonts w:ascii="Arial" w:hAnsi="Arial" w:cs="Arial"/>
                <w:sz w:val="20"/>
                <w:szCs w:val="20"/>
              </w:rPr>
            </w:pPr>
            <w:r w:rsidRPr="000D5055">
              <w:rPr>
                <w:rFonts w:ascii="Arial" w:hAnsi="Arial" w:cs="Arial"/>
                <w:sz w:val="20"/>
                <w:szCs w:val="20"/>
              </w:rPr>
              <w:t>5.8</w:t>
            </w:r>
          </w:p>
        </w:tc>
        <w:tc>
          <w:tcPr>
            <w:tcW w:w="1350" w:type="dxa"/>
            <w:shd w:val="clear" w:color="auto" w:fill="auto"/>
            <w:vAlign w:val="center"/>
          </w:tcPr>
          <w:p w14:paraId="1528F3EF" w14:textId="46198684" w:rsidR="000D5055" w:rsidRPr="000D5055" w:rsidRDefault="000D5055" w:rsidP="000D5055">
            <w:pPr>
              <w:jc w:val="right"/>
              <w:rPr>
                <w:rFonts w:ascii="Arial" w:hAnsi="Arial" w:cs="Arial"/>
                <w:sz w:val="20"/>
                <w:szCs w:val="20"/>
              </w:rPr>
            </w:pPr>
            <w:r w:rsidRPr="000D5055">
              <w:rPr>
                <w:rFonts w:ascii="Arial" w:hAnsi="Arial" w:cs="Arial"/>
                <w:sz w:val="20"/>
                <w:szCs w:val="20"/>
              </w:rPr>
              <w:t>-0.1</w:t>
            </w:r>
          </w:p>
        </w:tc>
        <w:tc>
          <w:tcPr>
            <w:tcW w:w="1345" w:type="dxa"/>
            <w:shd w:val="clear" w:color="auto" w:fill="auto"/>
            <w:vAlign w:val="center"/>
          </w:tcPr>
          <w:p w14:paraId="5F22E586" w14:textId="5C4A4B38" w:rsidR="000D5055" w:rsidRPr="000D5055" w:rsidRDefault="000D5055" w:rsidP="000D5055">
            <w:pPr>
              <w:jc w:val="right"/>
              <w:rPr>
                <w:rFonts w:ascii="Arial" w:hAnsi="Arial" w:cs="Arial"/>
                <w:sz w:val="20"/>
                <w:szCs w:val="20"/>
              </w:rPr>
            </w:pPr>
            <w:r w:rsidRPr="000D5055">
              <w:rPr>
                <w:rFonts w:ascii="Arial" w:hAnsi="Arial" w:cs="Arial"/>
                <w:sz w:val="20"/>
                <w:szCs w:val="20"/>
              </w:rPr>
              <w:t>-1.3%</w:t>
            </w:r>
          </w:p>
        </w:tc>
      </w:tr>
      <w:tr w:rsidR="000D5055" w14:paraId="6E3CC53D" w14:textId="77777777" w:rsidTr="00AB5B34">
        <w:trPr>
          <w:jc w:val="center"/>
        </w:trPr>
        <w:tc>
          <w:tcPr>
            <w:tcW w:w="2065" w:type="dxa"/>
            <w:vAlign w:val="center"/>
          </w:tcPr>
          <w:p w14:paraId="2BF5CB11" w14:textId="77777777" w:rsidR="000D5055" w:rsidRPr="007E0A27" w:rsidRDefault="000D5055" w:rsidP="000D5055">
            <w:pPr>
              <w:keepNext/>
              <w:keepLines/>
              <w:rPr>
                <w:rFonts w:ascii="Arial" w:hAnsi="Arial" w:cs="Arial"/>
                <w:sz w:val="20"/>
                <w:szCs w:val="20"/>
              </w:rPr>
            </w:pPr>
            <w:r>
              <w:rPr>
                <w:rFonts w:ascii="Arial" w:hAnsi="Arial" w:cs="Arial"/>
                <w:sz w:val="20"/>
                <w:szCs w:val="20"/>
              </w:rPr>
              <w:t>Other</w:t>
            </w:r>
          </w:p>
        </w:tc>
        <w:tc>
          <w:tcPr>
            <w:tcW w:w="1170" w:type="dxa"/>
            <w:shd w:val="clear" w:color="auto" w:fill="auto"/>
            <w:vAlign w:val="center"/>
          </w:tcPr>
          <w:p w14:paraId="0F7C0313" w14:textId="2934984F" w:rsidR="000D5055" w:rsidRPr="000D5055" w:rsidRDefault="000D5055" w:rsidP="000D5055">
            <w:pPr>
              <w:jc w:val="right"/>
              <w:rPr>
                <w:rFonts w:ascii="Arial" w:hAnsi="Arial" w:cs="Arial"/>
                <w:sz w:val="20"/>
                <w:szCs w:val="20"/>
              </w:rPr>
            </w:pPr>
            <w:r w:rsidRPr="000D5055">
              <w:rPr>
                <w:rFonts w:ascii="Arial" w:hAnsi="Arial" w:cs="Arial"/>
                <w:sz w:val="20"/>
                <w:szCs w:val="20"/>
              </w:rPr>
              <w:t>53,484</w:t>
            </w:r>
          </w:p>
        </w:tc>
        <w:tc>
          <w:tcPr>
            <w:tcW w:w="1350" w:type="dxa"/>
            <w:shd w:val="clear" w:color="auto" w:fill="auto"/>
            <w:vAlign w:val="center"/>
          </w:tcPr>
          <w:p w14:paraId="238EB6B6" w14:textId="61C3D6EE" w:rsidR="000D5055" w:rsidRPr="000D5055" w:rsidRDefault="000D5055" w:rsidP="000D5055">
            <w:pPr>
              <w:jc w:val="right"/>
              <w:rPr>
                <w:rFonts w:ascii="Arial" w:hAnsi="Arial" w:cs="Arial"/>
                <w:sz w:val="20"/>
                <w:szCs w:val="20"/>
              </w:rPr>
            </w:pPr>
            <w:r w:rsidRPr="000D5055">
              <w:rPr>
                <w:rFonts w:ascii="Arial" w:hAnsi="Arial" w:cs="Arial"/>
                <w:sz w:val="20"/>
                <w:szCs w:val="20"/>
              </w:rPr>
              <w:t>99.3</w:t>
            </w:r>
          </w:p>
        </w:tc>
        <w:tc>
          <w:tcPr>
            <w:tcW w:w="1350" w:type="dxa"/>
            <w:shd w:val="clear" w:color="auto" w:fill="auto"/>
            <w:vAlign w:val="center"/>
          </w:tcPr>
          <w:p w14:paraId="3504308C" w14:textId="31194633" w:rsidR="000D5055" w:rsidRPr="000D5055" w:rsidRDefault="000D5055" w:rsidP="000D5055">
            <w:pPr>
              <w:jc w:val="right"/>
              <w:rPr>
                <w:rFonts w:ascii="Arial" w:hAnsi="Arial" w:cs="Arial"/>
                <w:sz w:val="20"/>
                <w:szCs w:val="20"/>
              </w:rPr>
            </w:pPr>
            <w:r w:rsidRPr="000D5055">
              <w:rPr>
                <w:rFonts w:ascii="Arial" w:hAnsi="Arial" w:cs="Arial"/>
                <w:sz w:val="20"/>
                <w:szCs w:val="20"/>
              </w:rPr>
              <w:t>98.2</w:t>
            </w:r>
          </w:p>
        </w:tc>
        <w:tc>
          <w:tcPr>
            <w:tcW w:w="1350" w:type="dxa"/>
            <w:shd w:val="clear" w:color="auto" w:fill="auto"/>
            <w:vAlign w:val="center"/>
          </w:tcPr>
          <w:p w14:paraId="7CC728D2" w14:textId="31A6CEEC" w:rsidR="000D5055" w:rsidRPr="000D5055" w:rsidRDefault="000D5055" w:rsidP="000D5055">
            <w:pPr>
              <w:jc w:val="right"/>
              <w:rPr>
                <w:rFonts w:ascii="Arial" w:hAnsi="Arial" w:cs="Arial"/>
                <w:sz w:val="20"/>
                <w:szCs w:val="20"/>
              </w:rPr>
            </w:pPr>
            <w:r w:rsidRPr="000D5055">
              <w:rPr>
                <w:rFonts w:ascii="Arial" w:hAnsi="Arial" w:cs="Arial"/>
                <w:sz w:val="20"/>
                <w:szCs w:val="20"/>
              </w:rPr>
              <w:t>1.2</w:t>
            </w:r>
          </w:p>
        </w:tc>
        <w:tc>
          <w:tcPr>
            <w:tcW w:w="1345" w:type="dxa"/>
            <w:shd w:val="clear" w:color="auto" w:fill="auto"/>
            <w:vAlign w:val="center"/>
          </w:tcPr>
          <w:p w14:paraId="7F7608CE" w14:textId="675CF6A5" w:rsidR="000D5055" w:rsidRPr="000D5055" w:rsidRDefault="000D5055" w:rsidP="000D5055">
            <w:pPr>
              <w:jc w:val="right"/>
              <w:rPr>
                <w:rFonts w:ascii="Arial" w:hAnsi="Arial" w:cs="Arial"/>
                <w:sz w:val="20"/>
                <w:szCs w:val="20"/>
              </w:rPr>
            </w:pPr>
            <w:r w:rsidRPr="000D5055">
              <w:rPr>
                <w:rFonts w:ascii="Arial" w:hAnsi="Arial" w:cs="Arial"/>
                <w:sz w:val="20"/>
                <w:szCs w:val="20"/>
              </w:rPr>
              <w:t>1.2%</w:t>
            </w:r>
          </w:p>
        </w:tc>
      </w:tr>
      <w:tr w:rsidR="000D5055" w14:paraId="7F5B6421" w14:textId="77777777" w:rsidTr="00AB5B34">
        <w:trPr>
          <w:jc w:val="center"/>
        </w:trPr>
        <w:tc>
          <w:tcPr>
            <w:tcW w:w="2065" w:type="dxa"/>
            <w:vAlign w:val="center"/>
          </w:tcPr>
          <w:p w14:paraId="2C679F7C" w14:textId="77777777" w:rsidR="000D5055" w:rsidRPr="007E0A27" w:rsidRDefault="000D5055" w:rsidP="000D5055">
            <w:pPr>
              <w:keepNext/>
              <w:keepLines/>
              <w:rPr>
                <w:rFonts w:ascii="Arial" w:hAnsi="Arial" w:cs="Arial"/>
                <w:sz w:val="20"/>
                <w:szCs w:val="20"/>
              </w:rPr>
            </w:pPr>
            <w:r>
              <w:rPr>
                <w:rFonts w:ascii="Arial" w:hAnsi="Arial" w:cs="Arial"/>
                <w:sz w:val="20"/>
                <w:szCs w:val="20"/>
              </w:rPr>
              <w:t>Sierra</w:t>
            </w:r>
          </w:p>
        </w:tc>
        <w:tc>
          <w:tcPr>
            <w:tcW w:w="1170" w:type="dxa"/>
            <w:shd w:val="clear" w:color="auto" w:fill="auto"/>
            <w:vAlign w:val="center"/>
          </w:tcPr>
          <w:p w14:paraId="1E5E284C" w14:textId="746EF9A5" w:rsidR="000D5055" w:rsidRPr="000D5055" w:rsidRDefault="000D5055" w:rsidP="000D5055">
            <w:pPr>
              <w:jc w:val="right"/>
              <w:rPr>
                <w:rFonts w:ascii="Arial" w:hAnsi="Arial" w:cs="Arial"/>
                <w:sz w:val="20"/>
                <w:szCs w:val="20"/>
              </w:rPr>
            </w:pPr>
            <w:r w:rsidRPr="000D5055">
              <w:rPr>
                <w:rFonts w:ascii="Arial" w:hAnsi="Arial" w:cs="Arial"/>
                <w:sz w:val="20"/>
                <w:szCs w:val="20"/>
              </w:rPr>
              <w:t>12,875</w:t>
            </w:r>
          </w:p>
        </w:tc>
        <w:tc>
          <w:tcPr>
            <w:tcW w:w="1350" w:type="dxa"/>
            <w:shd w:val="clear" w:color="auto" w:fill="auto"/>
            <w:vAlign w:val="center"/>
          </w:tcPr>
          <w:p w14:paraId="1D3CB3B1" w14:textId="606C29BF" w:rsidR="000D5055" w:rsidRPr="000D5055" w:rsidRDefault="000D5055" w:rsidP="000D5055">
            <w:pPr>
              <w:jc w:val="right"/>
              <w:rPr>
                <w:rFonts w:ascii="Arial" w:hAnsi="Arial" w:cs="Arial"/>
                <w:sz w:val="20"/>
                <w:szCs w:val="20"/>
              </w:rPr>
            </w:pPr>
            <w:r w:rsidRPr="000D5055">
              <w:rPr>
                <w:rFonts w:ascii="Arial" w:hAnsi="Arial" w:cs="Arial"/>
                <w:sz w:val="20"/>
                <w:szCs w:val="20"/>
              </w:rPr>
              <w:t>27.2</w:t>
            </w:r>
          </w:p>
        </w:tc>
        <w:tc>
          <w:tcPr>
            <w:tcW w:w="1350" w:type="dxa"/>
            <w:shd w:val="clear" w:color="auto" w:fill="auto"/>
            <w:vAlign w:val="center"/>
          </w:tcPr>
          <w:p w14:paraId="3CC65D1A" w14:textId="308A7980" w:rsidR="000D5055" w:rsidRPr="000D5055" w:rsidRDefault="000D5055" w:rsidP="000D5055">
            <w:pPr>
              <w:jc w:val="right"/>
              <w:rPr>
                <w:rFonts w:ascii="Arial" w:hAnsi="Arial" w:cs="Arial"/>
                <w:sz w:val="20"/>
                <w:szCs w:val="20"/>
              </w:rPr>
            </w:pPr>
            <w:r w:rsidRPr="000D5055">
              <w:rPr>
                <w:rFonts w:ascii="Arial" w:hAnsi="Arial" w:cs="Arial"/>
                <w:sz w:val="20"/>
                <w:szCs w:val="20"/>
              </w:rPr>
              <w:t>27.0</w:t>
            </w:r>
          </w:p>
        </w:tc>
        <w:tc>
          <w:tcPr>
            <w:tcW w:w="1350" w:type="dxa"/>
            <w:shd w:val="clear" w:color="auto" w:fill="auto"/>
            <w:vAlign w:val="center"/>
          </w:tcPr>
          <w:p w14:paraId="20EE7315" w14:textId="4B63F9AB" w:rsidR="000D5055" w:rsidRPr="000D5055" w:rsidRDefault="000D5055" w:rsidP="000D5055">
            <w:pPr>
              <w:jc w:val="right"/>
              <w:rPr>
                <w:rFonts w:ascii="Arial" w:hAnsi="Arial" w:cs="Arial"/>
                <w:sz w:val="20"/>
                <w:szCs w:val="20"/>
              </w:rPr>
            </w:pPr>
            <w:r w:rsidRPr="000D5055">
              <w:rPr>
                <w:rFonts w:ascii="Arial" w:hAnsi="Arial" w:cs="Arial"/>
                <w:sz w:val="20"/>
                <w:szCs w:val="20"/>
              </w:rPr>
              <w:t>0.2</w:t>
            </w:r>
          </w:p>
        </w:tc>
        <w:tc>
          <w:tcPr>
            <w:tcW w:w="1345" w:type="dxa"/>
            <w:shd w:val="clear" w:color="auto" w:fill="auto"/>
            <w:vAlign w:val="center"/>
          </w:tcPr>
          <w:p w14:paraId="76C1AECA" w14:textId="556DEA9D" w:rsidR="000D5055" w:rsidRPr="000D5055" w:rsidRDefault="000D5055" w:rsidP="000D5055">
            <w:pPr>
              <w:jc w:val="right"/>
              <w:rPr>
                <w:rFonts w:ascii="Arial" w:hAnsi="Arial" w:cs="Arial"/>
                <w:sz w:val="20"/>
                <w:szCs w:val="20"/>
              </w:rPr>
            </w:pPr>
            <w:r w:rsidRPr="000D5055">
              <w:rPr>
                <w:rFonts w:ascii="Arial" w:hAnsi="Arial" w:cs="Arial"/>
                <w:sz w:val="20"/>
                <w:szCs w:val="20"/>
              </w:rPr>
              <w:t>0.8%</w:t>
            </w:r>
          </w:p>
        </w:tc>
      </w:tr>
      <w:tr w:rsidR="000D5055" w14:paraId="579AC85D" w14:textId="77777777" w:rsidTr="00AB5B34">
        <w:trPr>
          <w:jc w:val="center"/>
        </w:trPr>
        <w:tc>
          <w:tcPr>
            <w:tcW w:w="2065" w:type="dxa"/>
            <w:vAlign w:val="center"/>
          </w:tcPr>
          <w:p w14:paraId="701D43CA" w14:textId="77777777" w:rsidR="000D5055" w:rsidRDefault="000D5055" w:rsidP="000D5055">
            <w:pPr>
              <w:keepNext/>
              <w:keepLines/>
              <w:rPr>
                <w:rFonts w:ascii="Arial" w:hAnsi="Arial" w:cs="Arial"/>
                <w:sz w:val="20"/>
                <w:szCs w:val="20"/>
              </w:rPr>
            </w:pPr>
            <w:r>
              <w:rPr>
                <w:rFonts w:ascii="Arial" w:hAnsi="Arial" w:cs="Arial"/>
                <w:sz w:val="20"/>
                <w:szCs w:val="20"/>
              </w:rPr>
              <w:t>Stockton</w:t>
            </w:r>
          </w:p>
        </w:tc>
        <w:tc>
          <w:tcPr>
            <w:tcW w:w="1170" w:type="dxa"/>
            <w:shd w:val="clear" w:color="auto" w:fill="auto"/>
            <w:vAlign w:val="center"/>
          </w:tcPr>
          <w:p w14:paraId="2DBE9BB0" w14:textId="74CE6C89" w:rsidR="000D5055" w:rsidRPr="000D5055" w:rsidRDefault="000D5055" w:rsidP="000D5055">
            <w:pPr>
              <w:jc w:val="right"/>
              <w:rPr>
                <w:rFonts w:ascii="Arial" w:hAnsi="Arial" w:cs="Arial"/>
                <w:sz w:val="20"/>
                <w:szCs w:val="20"/>
              </w:rPr>
            </w:pPr>
            <w:r w:rsidRPr="000D5055">
              <w:rPr>
                <w:rFonts w:ascii="Arial" w:hAnsi="Arial" w:cs="Arial"/>
                <w:sz w:val="20"/>
                <w:szCs w:val="20"/>
              </w:rPr>
              <w:t>10,854</w:t>
            </w:r>
          </w:p>
        </w:tc>
        <w:tc>
          <w:tcPr>
            <w:tcW w:w="1350" w:type="dxa"/>
            <w:shd w:val="clear" w:color="auto" w:fill="auto"/>
            <w:vAlign w:val="center"/>
          </w:tcPr>
          <w:p w14:paraId="046779CB" w14:textId="2E26CC5D" w:rsidR="000D5055" w:rsidRPr="000D5055" w:rsidRDefault="000D5055" w:rsidP="000D5055">
            <w:pPr>
              <w:jc w:val="right"/>
              <w:rPr>
                <w:rFonts w:ascii="Arial" w:hAnsi="Arial" w:cs="Arial"/>
                <w:sz w:val="20"/>
                <w:szCs w:val="20"/>
              </w:rPr>
            </w:pPr>
            <w:r w:rsidRPr="000D5055">
              <w:rPr>
                <w:rFonts w:ascii="Arial" w:hAnsi="Arial" w:cs="Arial"/>
                <w:sz w:val="20"/>
                <w:szCs w:val="20"/>
              </w:rPr>
              <w:t>23.3</w:t>
            </w:r>
          </w:p>
        </w:tc>
        <w:tc>
          <w:tcPr>
            <w:tcW w:w="1350" w:type="dxa"/>
            <w:shd w:val="clear" w:color="auto" w:fill="auto"/>
            <w:vAlign w:val="center"/>
          </w:tcPr>
          <w:p w14:paraId="10B825D5" w14:textId="217AEAB9" w:rsidR="000D5055" w:rsidRPr="000D5055" w:rsidRDefault="000D5055" w:rsidP="000D5055">
            <w:pPr>
              <w:jc w:val="right"/>
              <w:rPr>
                <w:rFonts w:ascii="Arial" w:hAnsi="Arial" w:cs="Arial"/>
                <w:sz w:val="20"/>
                <w:szCs w:val="20"/>
              </w:rPr>
            </w:pPr>
            <w:r w:rsidRPr="000D5055">
              <w:rPr>
                <w:rFonts w:ascii="Arial" w:hAnsi="Arial" w:cs="Arial"/>
                <w:sz w:val="20"/>
                <w:szCs w:val="20"/>
              </w:rPr>
              <w:t>22.8</w:t>
            </w:r>
          </w:p>
        </w:tc>
        <w:tc>
          <w:tcPr>
            <w:tcW w:w="1350" w:type="dxa"/>
            <w:shd w:val="clear" w:color="auto" w:fill="auto"/>
            <w:vAlign w:val="center"/>
          </w:tcPr>
          <w:p w14:paraId="039021FE" w14:textId="038B7402" w:rsidR="000D5055" w:rsidRPr="000D5055" w:rsidRDefault="000D5055" w:rsidP="000D5055">
            <w:pPr>
              <w:jc w:val="right"/>
              <w:rPr>
                <w:rFonts w:ascii="Arial" w:hAnsi="Arial" w:cs="Arial"/>
                <w:sz w:val="20"/>
                <w:szCs w:val="20"/>
              </w:rPr>
            </w:pPr>
            <w:r w:rsidRPr="000D5055">
              <w:rPr>
                <w:rFonts w:ascii="Arial" w:hAnsi="Arial" w:cs="Arial"/>
                <w:sz w:val="20"/>
                <w:szCs w:val="20"/>
              </w:rPr>
              <w:t>0.5</w:t>
            </w:r>
          </w:p>
        </w:tc>
        <w:tc>
          <w:tcPr>
            <w:tcW w:w="1345" w:type="dxa"/>
            <w:shd w:val="clear" w:color="auto" w:fill="auto"/>
            <w:vAlign w:val="center"/>
          </w:tcPr>
          <w:p w14:paraId="4B74B6EF" w14:textId="17EE1811" w:rsidR="000D5055" w:rsidRPr="000D5055" w:rsidRDefault="000D5055" w:rsidP="000D5055">
            <w:pPr>
              <w:jc w:val="right"/>
              <w:rPr>
                <w:rFonts w:ascii="Arial" w:hAnsi="Arial" w:cs="Arial"/>
                <w:sz w:val="20"/>
                <w:szCs w:val="20"/>
              </w:rPr>
            </w:pPr>
            <w:r w:rsidRPr="000D5055">
              <w:rPr>
                <w:rFonts w:ascii="Arial" w:hAnsi="Arial" w:cs="Arial"/>
                <w:sz w:val="20"/>
                <w:szCs w:val="20"/>
              </w:rPr>
              <w:t>2.3%</w:t>
            </w:r>
          </w:p>
        </w:tc>
      </w:tr>
    </w:tbl>
    <w:p w14:paraId="680573F2" w14:textId="6C04061B" w:rsidR="00B405E5" w:rsidRDefault="00B405E5" w:rsidP="00B405E5">
      <w:pPr>
        <w:spacing w:after="120"/>
        <w:rPr>
          <w:szCs w:val="32"/>
        </w:rPr>
      </w:pPr>
    </w:p>
    <w:p w14:paraId="597BD3BB" w14:textId="712199DA" w:rsidR="00317DA9" w:rsidRDefault="00317DA9" w:rsidP="00317DA9">
      <w:pPr>
        <w:pStyle w:val="FigureCaption"/>
      </w:pPr>
      <w:bookmarkStart w:id="161" w:name="_Ref506978753"/>
      <w:bookmarkStart w:id="162" w:name="_Toc509837459"/>
      <w:r>
        <w:t xml:space="preserve">Figure </w:t>
      </w:r>
      <w:fldSimple w:instr=" STYLEREF 1 \s ">
        <w:r w:rsidR="005D5C7C">
          <w:rPr>
            <w:noProof/>
          </w:rPr>
          <w:t>3</w:t>
        </w:r>
      </w:fldSimple>
      <w:r w:rsidR="00A11E78">
        <w:t>.</w:t>
      </w:r>
      <w:fldSimple w:instr=" SEQ Figure \* ARABIC \s 1 ">
        <w:r w:rsidR="005D5C7C">
          <w:rPr>
            <w:noProof/>
          </w:rPr>
          <w:t>11</w:t>
        </w:r>
      </w:fldSimple>
      <w:bookmarkEnd w:id="161"/>
      <w:r>
        <w:t xml:space="preserve">: Typical Event Day Event-Hour Load Impacts by LCA, </w:t>
      </w:r>
      <w:r w:rsidRPr="006C0719">
        <w:rPr>
          <w:i/>
        </w:rPr>
        <w:t>PG&amp;E</w:t>
      </w:r>
      <w:r>
        <w:rPr>
          <w:i/>
        </w:rPr>
        <w:t xml:space="preserve"> Small</w:t>
      </w:r>
      <w:bookmarkEnd w:id="162"/>
      <w:r>
        <w:t xml:space="preserve"> </w:t>
      </w:r>
    </w:p>
    <w:p w14:paraId="58D5B1BE" w14:textId="4C964620" w:rsidR="00B405E5" w:rsidRDefault="00CD2D91" w:rsidP="001C1578">
      <w:pPr>
        <w:spacing w:after="120"/>
        <w:rPr>
          <w:szCs w:val="32"/>
        </w:rPr>
      </w:pPr>
      <w:r>
        <w:rPr>
          <w:noProof/>
        </w:rPr>
        <w:drawing>
          <wp:inline distT="0" distB="0" distL="0" distR="0" wp14:anchorId="3DD4B4F5" wp14:editId="42564632">
            <wp:extent cx="5486400" cy="3983990"/>
            <wp:effectExtent l="0" t="0" r="0" b="0"/>
            <wp:docPr id="114" name="Chart 114">
              <a:extLst xmlns:a="http://schemas.openxmlformats.org/drawingml/2006/main">
                <a:ext uri="{FF2B5EF4-FFF2-40B4-BE49-F238E27FC236}">
                  <a16:creationId xmlns:a16="http://schemas.microsoft.com/office/drawing/2014/main" id="{4CF510BB-0D19-4E65-8F1C-74EF8F05F9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3C0D1364" w14:textId="77777777" w:rsidR="00CD2D91" w:rsidRDefault="00CD2D91" w:rsidP="001C1578">
      <w:pPr>
        <w:spacing w:after="120"/>
        <w:rPr>
          <w:szCs w:val="32"/>
        </w:rPr>
      </w:pPr>
    </w:p>
    <w:p w14:paraId="22AB5DE5" w14:textId="0791D36E" w:rsidR="00175010" w:rsidRDefault="00175010" w:rsidP="00175010">
      <w:pPr>
        <w:pStyle w:val="Heading3"/>
      </w:pPr>
      <w:bookmarkStart w:id="163" w:name="_Toc509837314"/>
      <w:r>
        <w:t>Dually Enrolled Customers</w:t>
      </w:r>
      <w:bookmarkEnd w:id="163"/>
    </w:p>
    <w:p w14:paraId="2F52B3DA" w14:textId="77777777" w:rsidR="009577F5" w:rsidRDefault="009577F5" w:rsidP="009577F5">
      <w:pPr>
        <w:spacing w:after="120"/>
        <w:rPr>
          <w:szCs w:val="32"/>
        </w:rPr>
      </w:pPr>
      <w:r>
        <w:rPr>
          <w:szCs w:val="32"/>
        </w:rPr>
        <w:t xml:space="preserve">This section summarizes results for customers who are enrolled in PDP as well as another PG&amp;E demand response program. The two programs in which PG&amp;E customers can enroll along with PDP are BIP and CBP. We present results for the average event-hour for each event day and the average event day. Additional results for these customers can be found in </w:t>
      </w:r>
      <w:r w:rsidRPr="00822514">
        <w:t>electronic form in Protocol table generators provided along with this report</w:t>
      </w:r>
      <w:r>
        <w:rPr>
          <w:szCs w:val="32"/>
        </w:rPr>
        <w:t>.</w:t>
      </w:r>
    </w:p>
    <w:p w14:paraId="12CA7868" w14:textId="4DAAC43A" w:rsidR="009577F5" w:rsidRDefault="009577F5" w:rsidP="009577F5">
      <w:pPr>
        <w:spacing w:after="120"/>
        <w:rPr>
          <w:szCs w:val="32"/>
        </w:rPr>
      </w:pPr>
      <w:r>
        <w:rPr>
          <w:szCs w:val="32"/>
        </w:rPr>
        <w:fldChar w:fldCharType="begin"/>
      </w:r>
      <w:r>
        <w:rPr>
          <w:szCs w:val="32"/>
        </w:rPr>
        <w:instrText xml:space="preserve"> REF _Ref506978956 \h </w:instrText>
      </w:r>
      <w:r>
        <w:rPr>
          <w:szCs w:val="32"/>
        </w:rPr>
      </w:r>
      <w:r>
        <w:rPr>
          <w:szCs w:val="32"/>
        </w:rPr>
        <w:fldChar w:fldCharType="separate"/>
      </w:r>
      <w:r w:rsidR="005D5C7C">
        <w:t xml:space="preserve">Table </w:t>
      </w:r>
      <w:r w:rsidR="005D5C7C">
        <w:rPr>
          <w:noProof/>
        </w:rPr>
        <w:t>3</w:t>
      </w:r>
      <w:r w:rsidR="005D5C7C">
        <w:t>.</w:t>
      </w:r>
      <w:r w:rsidR="005D5C7C">
        <w:rPr>
          <w:noProof/>
        </w:rPr>
        <w:t>12</w:t>
      </w:r>
      <w:r>
        <w:rPr>
          <w:szCs w:val="32"/>
        </w:rPr>
        <w:fldChar w:fldCharType="end"/>
      </w:r>
      <w:r>
        <w:rPr>
          <w:szCs w:val="32"/>
        </w:rPr>
        <w:t xml:space="preserve"> summarizes aggregate event-hour results for each event-day as well as the typical event day for customers who are dually enrolled in BIP and PDP, including the number of enrolled customers, the reference and observed loads, and the estimated load impacts (in MWh/hour and as a percentage of the reference load). Although there are only 56 customers on average in this group with an aggregate reference load of 27 MWh/hour, they accomplish a reliable weekday reduction of approximately 11 MWh/hour, which is 41 percent load impact. The sole weekend event (on September 2</w:t>
      </w:r>
      <w:r w:rsidRPr="00BE1AD6">
        <w:rPr>
          <w:szCs w:val="32"/>
          <w:vertAlign w:val="superscript"/>
        </w:rPr>
        <w:t>nd</w:t>
      </w:r>
      <w:r>
        <w:rPr>
          <w:szCs w:val="32"/>
        </w:rPr>
        <w:t xml:space="preserve">) had essentially </w:t>
      </w:r>
      <w:proofErr w:type="gramStart"/>
      <w:r>
        <w:rPr>
          <w:szCs w:val="32"/>
        </w:rPr>
        <w:t>no load</w:t>
      </w:r>
      <w:proofErr w:type="gramEnd"/>
      <w:r>
        <w:rPr>
          <w:szCs w:val="32"/>
        </w:rPr>
        <w:t xml:space="preserve"> impact and a significantly lower reference load relative to the weekday events. </w:t>
      </w:r>
    </w:p>
    <w:p w14:paraId="7C79E8D2" w14:textId="2B091CD2" w:rsidR="009577F5" w:rsidRDefault="009577F5" w:rsidP="009577F5">
      <w:pPr>
        <w:pStyle w:val="TableCaption"/>
      </w:pPr>
      <w:bookmarkStart w:id="164" w:name="_Ref506978956"/>
      <w:bookmarkStart w:id="165" w:name="_Toc509837369"/>
      <w:r>
        <w:t xml:space="preserve">Table </w:t>
      </w:r>
      <w:fldSimple w:instr=" STYLEREF 1 \s ">
        <w:r w:rsidR="005D5C7C">
          <w:rPr>
            <w:noProof/>
          </w:rPr>
          <w:t>3</w:t>
        </w:r>
      </w:fldSimple>
      <w:r w:rsidR="0069714C">
        <w:t>.</w:t>
      </w:r>
      <w:fldSimple w:instr=" SEQ Table \* ARABIC \s 1 ">
        <w:r w:rsidR="005D5C7C">
          <w:rPr>
            <w:noProof/>
          </w:rPr>
          <w:t>12</w:t>
        </w:r>
      </w:fldSimple>
      <w:bookmarkEnd w:id="164"/>
      <w:r>
        <w:t xml:space="preserve">: Average Event-Hour Load Impacts for PDP+BIP customers by Event, </w:t>
      </w:r>
      <w:r w:rsidRPr="00283F52">
        <w:rPr>
          <w:i/>
        </w:rPr>
        <w:t>PG&amp;E</w:t>
      </w:r>
      <w:bookmarkEnd w:id="165"/>
      <w:r>
        <w:t xml:space="preserve"> </w:t>
      </w:r>
    </w:p>
    <w:tbl>
      <w:tblPr>
        <w:tblW w:w="8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170"/>
        <w:gridCol w:w="1350"/>
        <w:gridCol w:w="1350"/>
        <w:gridCol w:w="1350"/>
        <w:gridCol w:w="1345"/>
      </w:tblGrid>
      <w:tr w:rsidR="009577F5" w14:paraId="4BA95954" w14:textId="77777777" w:rsidTr="003C7443">
        <w:trPr>
          <w:jc w:val="center"/>
        </w:trPr>
        <w:tc>
          <w:tcPr>
            <w:tcW w:w="2065" w:type="dxa"/>
            <w:tcBorders>
              <w:right w:val="single" w:sz="4" w:space="0" w:color="FFFFFF" w:themeColor="background1"/>
            </w:tcBorders>
            <w:shd w:val="clear" w:color="auto" w:fill="0C2577"/>
            <w:vAlign w:val="center"/>
          </w:tcPr>
          <w:p w14:paraId="6BE5C596" w14:textId="77777777" w:rsidR="009577F5" w:rsidRPr="007E0A27" w:rsidRDefault="009577F5" w:rsidP="003C7443">
            <w:pPr>
              <w:keepNext/>
              <w:keepLines/>
              <w:jc w:val="center"/>
              <w:rPr>
                <w:rFonts w:ascii="Arial" w:hAnsi="Arial" w:cs="Arial"/>
                <w:b/>
                <w:sz w:val="20"/>
                <w:szCs w:val="20"/>
              </w:rPr>
            </w:pPr>
            <w:r>
              <w:rPr>
                <w:rFonts w:ascii="Arial" w:hAnsi="Arial" w:cs="Arial"/>
                <w:b/>
                <w:sz w:val="20"/>
                <w:szCs w:val="20"/>
              </w:rPr>
              <w:t>Event Date</w:t>
            </w:r>
          </w:p>
        </w:tc>
        <w:tc>
          <w:tcPr>
            <w:tcW w:w="1170" w:type="dxa"/>
            <w:tcBorders>
              <w:left w:val="single" w:sz="4" w:space="0" w:color="FFFFFF" w:themeColor="background1"/>
              <w:right w:val="single" w:sz="4" w:space="0" w:color="FFFFFF" w:themeColor="background1"/>
            </w:tcBorders>
            <w:shd w:val="clear" w:color="auto" w:fill="0C2577"/>
            <w:vAlign w:val="center"/>
          </w:tcPr>
          <w:p w14:paraId="68D9EAB9" w14:textId="77777777" w:rsidR="009577F5" w:rsidRPr="007E0A27" w:rsidRDefault="009577F5" w:rsidP="003C7443">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0B0EB651"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Estimated Reference Load (MW</w:t>
            </w:r>
            <w:r>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4E75059C"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Observed Load (MW</w:t>
            </w:r>
            <w:r>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7A6516BF"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Estimated Load Impact (MW</w:t>
            </w:r>
            <w:r>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13269EDE"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 LI</w:t>
            </w:r>
          </w:p>
        </w:tc>
      </w:tr>
      <w:tr w:rsidR="009577F5" w14:paraId="3EF58AF4" w14:textId="77777777" w:rsidTr="003C7443">
        <w:trPr>
          <w:jc w:val="center"/>
        </w:trPr>
        <w:tc>
          <w:tcPr>
            <w:tcW w:w="2065" w:type="dxa"/>
            <w:vAlign w:val="center"/>
          </w:tcPr>
          <w:p w14:paraId="3AD4CB93" w14:textId="77777777" w:rsidR="009577F5" w:rsidRPr="007E0A27" w:rsidRDefault="009577F5" w:rsidP="003C7443">
            <w:pPr>
              <w:keepNext/>
              <w:keepLines/>
              <w:jc w:val="center"/>
              <w:rPr>
                <w:rFonts w:ascii="Arial" w:hAnsi="Arial" w:cs="Arial"/>
                <w:sz w:val="20"/>
                <w:szCs w:val="20"/>
              </w:rPr>
            </w:pPr>
            <w:r w:rsidRPr="000A24BE">
              <w:rPr>
                <w:rFonts w:ascii="Arial" w:hAnsi="Arial" w:cs="Arial"/>
                <w:color w:val="000000"/>
                <w:sz w:val="20"/>
                <w:szCs w:val="20"/>
              </w:rPr>
              <w:t>6/16/2017</w:t>
            </w:r>
          </w:p>
        </w:tc>
        <w:tc>
          <w:tcPr>
            <w:tcW w:w="1170" w:type="dxa"/>
            <w:shd w:val="clear" w:color="auto" w:fill="auto"/>
            <w:vAlign w:val="bottom"/>
          </w:tcPr>
          <w:p w14:paraId="10929B00"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55 </w:t>
            </w:r>
          </w:p>
        </w:tc>
        <w:tc>
          <w:tcPr>
            <w:tcW w:w="1350" w:type="dxa"/>
            <w:shd w:val="clear" w:color="auto" w:fill="auto"/>
            <w:vAlign w:val="bottom"/>
          </w:tcPr>
          <w:p w14:paraId="6351053F"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28.2</w:t>
            </w:r>
          </w:p>
        </w:tc>
        <w:tc>
          <w:tcPr>
            <w:tcW w:w="1350" w:type="dxa"/>
            <w:shd w:val="clear" w:color="auto" w:fill="auto"/>
            <w:vAlign w:val="bottom"/>
          </w:tcPr>
          <w:p w14:paraId="36432F35"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18.7</w:t>
            </w:r>
          </w:p>
        </w:tc>
        <w:tc>
          <w:tcPr>
            <w:tcW w:w="1350" w:type="dxa"/>
            <w:shd w:val="clear" w:color="auto" w:fill="auto"/>
            <w:vAlign w:val="bottom"/>
          </w:tcPr>
          <w:p w14:paraId="4A76DE9E"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9.5</w:t>
            </w:r>
          </w:p>
        </w:tc>
        <w:tc>
          <w:tcPr>
            <w:tcW w:w="1345" w:type="dxa"/>
            <w:shd w:val="clear" w:color="auto" w:fill="auto"/>
            <w:vAlign w:val="bottom"/>
          </w:tcPr>
          <w:p w14:paraId="4D472F7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33.6%</w:t>
            </w:r>
          </w:p>
        </w:tc>
      </w:tr>
      <w:tr w:rsidR="009577F5" w14:paraId="1E9F9CBE" w14:textId="77777777" w:rsidTr="003C7443">
        <w:trPr>
          <w:jc w:val="center"/>
        </w:trPr>
        <w:tc>
          <w:tcPr>
            <w:tcW w:w="2065" w:type="dxa"/>
            <w:vAlign w:val="center"/>
          </w:tcPr>
          <w:p w14:paraId="6CE0837C" w14:textId="77777777" w:rsidR="009577F5" w:rsidRPr="007E0A27" w:rsidRDefault="009577F5" w:rsidP="003C7443">
            <w:pPr>
              <w:keepNext/>
              <w:keepLines/>
              <w:jc w:val="center"/>
              <w:rPr>
                <w:rFonts w:ascii="Arial" w:hAnsi="Arial" w:cs="Arial"/>
                <w:sz w:val="20"/>
                <w:szCs w:val="20"/>
              </w:rPr>
            </w:pPr>
            <w:r w:rsidRPr="000A24BE">
              <w:rPr>
                <w:rFonts w:ascii="Arial" w:hAnsi="Arial" w:cs="Arial"/>
                <w:color w:val="000000"/>
                <w:sz w:val="20"/>
                <w:szCs w:val="20"/>
              </w:rPr>
              <w:t>6/19/2017</w:t>
            </w:r>
          </w:p>
        </w:tc>
        <w:tc>
          <w:tcPr>
            <w:tcW w:w="1170" w:type="dxa"/>
            <w:shd w:val="clear" w:color="auto" w:fill="auto"/>
            <w:vAlign w:val="bottom"/>
          </w:tcPr>
          <w:p w14:paraId="7C212BDF"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55 </w:t>
            </w:r>
          </w:p>
        </w:tc>
        <w:tc>
          <w:tcPr>
            <w:tcW w:w="1350" w:type="dxa"/>
            <w:shd w:val="clear" w:color="auto" w:fill="auto"/>
            <w:vAlign w:val="bottom"/>
          </w:tcPr>
          <w:p w14:paraId="1F9D05B8"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27.2</w:t>
            </w:r>
          </w:p>
        </w:tc>
        <w:tc>
          <w:tcPr>
            <w:tcW w:w="1350" w:type="dxa"/>
            <w:shd w:val="clear" w:color="auto" w:fill="auto"/>
            <w:vAlign w:val="bottom"/>
          </w:tcPr>
          <w:p w14:paraId="65F1397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14.2</w:t>
            </w:r>
          </w:p>
        </w:tc>
        <w:tc>
          <w:tcPr>
            <w:tcW w:w="1350" w:type="dxa"/>
            <w:shd w:val="clear" w:color="auto" w:fill="auto"/>
            <w:vAlign w:val="bottom"/>
          </w:tcPr>
          <w:p w14:paraId="72373B7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13.0</w:t>
            </w:r>
          </w:p>
        </w:tc>
        <w:tc>
          <w:tcPr>
            <w:tcW w:w="1345" w:type="dxa"/>
            <w:shd w:val="clear" w:color="auto" w:fill="auto"/>
            <w:vAlign w:val="bottom"/>
          </w:tcPr>
          <w:p w14:paraId="4BF20466"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47.8%</w:t>
            </w:r>
          </w:p>
        </w:tc>
      </w:tr>
      <w:tr w:rsidR="009577F5" w14:paraId="217FC090" w14:textId="77777777" w:rsidTr="003C7443">
        <w:trPr>
          <w:jc w:val="center"/>
        </w:trPr>
        <w:tc>
          <w:tcPr>
            <w:tcW w:w="2065" w:type="dxa"/>
            <w:vAlign w:val="center"/>
          </w:tcPr>
          <w:p w14:paraId="6C4CD6C6"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6/20/2017</w:t>
            </w:r>
          </w:p>
        </w:tc>
        <w:tc>
          <w:tcPr>
            <w:tcW w:w="1170" w:type="dxa"/>
            <w:shd w:val="clear" w:color="auto" w:fill="auto"/>
            <w:vAlign w:val="bottom"/>
          </w:tcPr>
          <w:p w14:paraId="5AD85B25"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55 </w:t>
            </w:r>
          </w:p>
        </w:tc>
        <w:tc>
          <w:tcPr>
            <w:tcW w:w="1350" w:type="dxa"/>
            <w:shd w:val="clear" w:color="auto" w:fill="auto"/>
            <w:vAlign w:val="bottom"/>
          </w:tcPr>
          <w:p w14:paraId="392D85F7"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27.0</w:t>
            </w:r>
          </w:p>
        </w:tc>
        <w:tc>
          <w:tcPr>
            <w:tcW w:w="1350" w:type="dxa"/>
            <w:shd w:val="clear" w:color="auto" w:fill="auto"/>
            <w:vAlign w:val="bottom"/>
          </w:tcPr>
          <w:p w14:paraId="2279214F"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14.8</w:t>
            </w:r>
          </w:p>
        </w:tc>
        <w:tc>
          <w:tcPr>
            <w:tcW w:w="1350" w:type="dxa"/>
            <w:shd w:val="clear" w:color="auto" w:fill="auto"/>
            <w:vAlign w:val="bottom"/>
          </w:tcPr>
          <w:p w14:paraId="1BFF9F9B"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12.1</w:t>
            </w:r>
          </w:p>
        </w:tc>
        <w:tc>
          <w:tcPr>
            <w:tcW w:w="1345" w:type="dxa"/>
            <w:shd w:val="clear" w:color="auto" w:fill="auto"/>
            <w:vAlign w:val="bottom"/>
          </w:tcPr>
          <w:p w14:paraId="389AB0D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45.0%</w:t>
            </w:r>
          </w:p>
        </w:tc>
      </w:tr>
      <w:tr w:rsidR="009577F5" w14:paraId="6001DA85" w14:textId="77777777" w:rsidTr="003C7443">
        <w:trPr>
          <w:jc w:val="center"/>
        </w:trPr>
        <w:tc>
          <w:tcPr>
            <w:tcW w:w="2065" w:type="dxa"/>
            <w:vAlign w:val="center"/>
          </w:tcPr>
          <w:p w14:paraId="3D0B2995"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6/22/2017</w:t>
            </w:r>
          </w:p>
        </w:tc>
        <w:tc>
          <w:tcPr>
            <w:tcW w:w="1170" w:type="dxa"/>
            <w:shd w:val="clear" w:color="auto" w:fill="auto"/>
            <w:vAlign w:val="bottom"/>
          </w:tcPr>
          <w:p w14:paraId="704707BA"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55 </w:t>
            </w:r>
          </w:p>
        </w:tc>
        <w:tc>
          <w:tcPr>
            <w:tcW w:w="1350" w:type="dxa"/>
            <w:shd w:val="clear" w:color="auto" w:fill="auto"/>
            <w:vAlign w:val="bottom"/>
          </w:tcPr>
          <w:p w14:paraId="70005929"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26.7</w:t>
            </w:r>
          </w:p>
        </w:tc>
        <w:tc>
          <w:tcPr>
            <w:tcW w:w="1350" w:type="dxa"/>
            <w:shd w:val="clear" w:color="auto" w:fill="auto"/>
            <w:vAlign w:val="bottom"/>
          </w:tcPr>
          <w:p w14:paraId="58697DFE"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14.1</w:t>
            </w:r>
          </w:p>
        </w:tc>
        <w:tc>
          <w:tcPr>
            <w:tcW w:w="1350" w:type="dxa"/>
            <w:shd w:val="clear" w:color="auto" w:fill="auto"/>
            <w:vAlign w:val="bottom"/>
          </w:tcPr>
          <w:p w14:paraId="62135C1A"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12.6</w:t>
            </w:r>
          </w:p>
        </w:tc>
        <w:tc>
          <w:tcPr>
            <w:tcW w:w="1345" w:type="dxa"/>
            <w:shd w:val="clear" w:color="auto" w:fill="auto"/>
            <w:vAlign w:val="bottom"/>
          </w:tcPr>
          <w:p w14:paraId="1BC141B1"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47.2%</w:t>
            </w:r>
          </w:p>
        </w:tc>
      </w:tr>
      <w:tr w:rsidR="009577F5" w14:paraId="36EDFAE3" w14:textId="77777777" w:rsidTr="003C7443">
        <w:trPr>
          <w:jc w:val="center"/>
        </w:trPr>
        <w:tc>
          <w:tcPr>
            <w:tcW w:w="2065" w:type="dxa"/>
            <w:vAlign w:val="center"/>
          </w:tcPr>
          <w:p w14:paraId="42291B80"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6/23/2017</w:t>
            </w:r>
          </w:p>
        </w:tc>
        <w:tc>
          <w:tcPr>
            <w:tcW w:w="1170" w:type="dxa"/>
            <w:shd w:val="clear" w:color="auto" w:fill="auto"/>
            <w:vAlign w:val="bottom"/>
          </w:tcPr>
          <w:p w14:paraId="3E10C8A7"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55 </w:t>
            </w:r>
          </w:p>
        </w:tc>
        <w:tc>
          <w:tcPr>
            <w:tcW w:w="1350" w:type="dxa"/>
            <w:shd w:val="clear" w:color="auto" w:fill="auto"/>
            <w:vAlign w:val="bottom"/>
          </w:tcPr>
          <w:p w14:paraId="24EE8FA1"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26.9</w:t>
            </w:r>
          </w:p>
        </w:tc>
        <w:tc>
          <w:tcPr>
            <w:tcW w:w="1350" w:type="dxa"/>
            <w:shd w:val="clear" w:color="auto" w:fill="auto"/>
            <w:vAlign w:val="bottom"/>
          </w:tcPr>
          <w:p w14:paraId="6F08C89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14.0</w:t>
            </w:r>
          </w:p>
        </w:tc>
        <w:tc>
          <w:tcPr>
            <w:tcW w:w="1350" w:type="dxa"/>
            <w:shd w:val="clear" w:color="auto" w:fill="auto"/>
            <w:vAlign w:val="bottom"/>
          </w:tcPr>
          <w:p w14:paraId="3F05008F"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12.8</w:t>
            </w:r>
          </w:p>
        </w:tc>
        <w:tc>
          <w:tcPr>
            <w:tcW w:w="1345" w:type="dxa"/>
            <w:shd w:val="clear" w:color="auto" w:fill="auto"/>
            <w:vAlign w:val="bottom"/>
          </w:tcPr>
          <w:p w14:paraId="3DF33967"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47.8%</w:t>
            </w:r>
          </w:p>
        </w:tc>
      </w:tr>
      <w:tr w:rsidR="009577F5" w14:paraId="2AB7D510" w14:textId="77777777" w:rsidTr="003C7443">
        <w:trPr>
          <w:jc w:val="center"/>
        </w:trPr>
        <w:tc>
          <w:tcPr>
            <w:tcW w:w="2065" w:type="dxa"/>
            <w:vAlign w:val="center"/>
          </w:tcPr>
          <w:p w14:paraId="62BEA177"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7/7/2017</w:t>
            </w:r>
          </w:p>
        </w:tc>
        <w:tc>
          <w:tcPr>
            <w:tcW w:w="1170" w:type="dxa"/>
            <w:shd w:val="clear" w:color="auto" w:fill="auto"/>
            <w:vAlign w:val="bottom"/>
          </w:tcPr>
          <w:p w14:paraId="46454B9D"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57 </w:t>
            </w:r>
          </w:p>
        </w:tc>
        <w:tc>
          <w:tcPr>
            <w:tcW w:w="1350" w:type="dxa"/>
            <w:shd w:val="clear" w:color="auto" w:fill="auto"/>
            <w:vAlign w:val="bottom"/>
          </w:tcPr>
          <w:p w14:paraId="6B72A9C3"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26.5</w:t>
            </w:r>
          </w:p>
        </w:tc>
        <w:tc>
          <w:tcPr>
            <w:tcW w:w="1350" w:type="dxa"/>
            <w:shd w:val="clear" w:color="auto" w:fill="auto"/>
            <w:vAlign w:val="bottom"/>
          </w:tcPr>
          <w:p w14:paraId="28E794FA"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13.4</w:t>
            </w:r>
          </w:p>
        </w:tc>
        <w:tc>
          <w:tcPr>
            <w:tcW w:w="1350" w:type="dxa"/>
            <w:shd w:val="clear" w:color="auto" w:fill="auto"/>
            <w:vAlign w:val="bottom"/>
          </w:tcPr>
          <w:p w14:paraId="574B0D77"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13.1</w:t>
            </w:r>
          </w:p>
        </w:tc>
        <w:tc>
          <w:tcPr>
            <w:tcW w:w="1345" w:type="dxa"/>
            <w:shd w:val="clear" w:color="auto" w:fill="auto"/>
            <w:vAlign w:val="bottom"/>
          </w:tcPr>
          <w:p w14:paraId="7550757B"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49.4%</w:t>
            </w:r>
          </w:p>
        </w:tc>
      </w:tr>
      <w:tr w:rsidR="009577F5" w14:paraId="6DB9B5A7" w14:textId="77777777" w:rsidTr="003C7443">
        <w:trPr>
          <w:jc w:val="center"/>
        </w:trPr>
        <w:tc>
          <w:tcPr>
            <w:tcW w:w="2065" w:type="dxa"/>
            <w:vAlign w:val="center"/>
          </w:tcPr>
          <w:p w14:paraId="69759782"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7/27/2017</w:t>
            </w:r>
          </w:p>
        </w:tc>
        <w:tc>
          <w:tcPr>
            <w:tcW w:w="1170" w:type="dxa"/>
            <w:shd w:val="clear" w:color="auto" w:fill="auto"/>
            <w:vAlign w:val="bottom"/>
          </w:tcPr>
          <w:p w14:paraId="5F42481E"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57 </w:t>
            </w:r>
          </w:p>
        </w:tc>
        <w:tc>
          <w:tcPr>
            <w:tcW w:w="1350" w:type="dxa"/>
            <w:shd w:val="clear" w:color="auto" w:fill="auto"/>
            <w:vAlign w:val="bottom"/>
          </w:tcPr>
          <w:p w14:paraId="0CD58456"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28.0</w:t>
            </w:r>
          </w:p>
        </w:tc>
        <w:tc>
          <w:tcPr>
            <w:tcW w:w="1350" w:type="dxa"/>
            <w:shd w:val="clear" w:color="auto" w:fill="auto"/>
            <w:vAlign w:val="bottom"/>
          </w:tcPr>
          <w:p w14:paraId="76429E1F"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15.6</w:t>
            </w:r>
          </w:p>
        </w:tc>
        <w:tc>
          <w:tcPr>
            <w:tcW w:w="1350" w:type="dxa"/>
            <w:shd w:val="clear" w:color="auto" w:fill="auto"/>
            <w:vAlign w:val="bottom"/>
          </w:tcPr>
          <w:p w14:paraId="74B90504"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12.4</w:t>
            </w:r>
          </w:p>
        </w:tc>
        <w:tc>
          <w:tcPr>
            <w:tcW w:w="1345" w:type="dxa"/>
            <w:shd w:val="clear" w:color="auto" w:fill="auto"/>
            <w:vAlign w:val="bottom"/>
          </w:tcPr>
          <w:p w14:paraId="79027119"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44.3%</w:t>
            </w:r>
          </w:p>
        </w:tc>
      </w:tr>
      <w:tr w:rsidR="009577F5" w14:paraId="2AFBE492" w14:textId="77777777" w:rsidTr="003C7443">
        <w:trPr>
          <w:jc w:val="center"/>
        </w:trPr>
        <w:tc>
          <w:tcPr>
            <w:tcW w:w="2065" w:type="dxa"/>
            <w:vAlign w:val="center"/>
          </w:tcPr>
          <w:p w14:paraId="087AC554"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7/31/2017</w:t>
            </w:r>
          </w:p>
        </w:tc>
        <w:tc>
          <w:tcPr>
            <w:tcW w:w="1170" w:type="dxa"/>
            <w:shd w:val="clear" w:color="auto" w:fill="auto"/>
            <w:vAlign w:val="bottom"/>
          </w:tcPr>
          <w:p w14:paraId="68F0CC27"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56 </w:t>
            </w:r>
          </w:p>
        </w:tc>
        <w:tc>
          <w:tcPr>
            <w:tcW w:w="1350" w:type="dxa"/>
            <w:shd w:val="clear" w:color="auto" w:fill="auto"/>
            <w:vAlign w:val="bottom"/>
          </w:tcPr>
          <w:p w14:paraId="78D4ED8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25.5</w:t>
            </w:r>
          </w:p>
        </w:tc>
        <w:tc>
          <w:tcPr>
            <w:tcW w:w="1350" w:type="dxa"/>
            <w:shd w:val="clear" w:color="auto" w:fill="auto"/>
            <w:vAlign w:val="bottom"/>
          </w:tcPr>
          <w:p w14:paraId="1BAA1DF4"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18.3</w:t>
            </w:r>
          </w:p>
        </w:tc>
        <w:tc>
          <w:tcPr>
            <w:tcW w:w="1350" w:type="dxa"/>
            <w:shd w:val="clear" w:color="auto" w:fill="auto"/>
            <w:vAlign w:val="bottom"/>
          </w:tcPr>
          <w:p w14:paraId="684BEA7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7.1</w:t>
            </w:r>
          </w:p>
        </w:tc>
        <w:tc>
          <w:tcPr>
            <w:tcW w:w="1345" w:type="dxa"/>
            <w:shd w:val="clear" w:color="auto" w:fill="auto"/>
            <w:vAlign w:val="bottom"/>
          </w:tcPr>
          <w:p w14:paraId="436F96E0"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28.0%</w:t>
            </w:r>
          </w:p>
        </w:tc>
      </w:tr>
      <w:tr w:rsidR="009577F5" w14:paraId="4F2570FB" w14:textId="77777777" w:rsidTr="003C7443">
        <w:trPr>
          <w:jc w:val="center"/>
        </w:trPr>
        <w:tc>
          <w:tcPr>
            <w:tcW w:w="2065" w:type="dxa"/>
            <w:vAlign w:val="center"/>
          </w:tcPr>
          <w:p w14:paraId="1C7C7CAC"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8/1/2017</w:t>
            </w:r>
          </w:p>
        </w:tc>
        <w:tc>
          <w:tcPr>
            <w:tcW w:w="1170" w:type="dxa"/>
            <w:shd w:val="clear" w:color="auto" w:fill="auto"/>
            <w:vAlign w:val="bottom"/>
          </w:tcPr>
          <w:p w14:paraId="6EC79ED5"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56 </w:t>
            </w:r>
          </w:p>
        </w:tc>
        <w:tc>
          <w:tcPr>
            <w:tcW w:w="1350" w:type="dxa"/>
            <w:shd w:val="clear" w:color="auto" w:fill="auto"/>
            <w:vAlign w:val="bottom"/>
          </w:tcPr>
          <w:p w14:paraId="7B255519"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27.9</w:t>
            </w:r>
          </w:p>
        </w:tc>
        <w:tc>
          <w:tcPr>
            <w:tcW w:w="1350" w:type="dxa"/>
            <w:shd w:val="clear" w:color="auto" w:fill="auto"/>
            <w:vAlign w:val="bottom"/>
          </w:tcPr>
          <w:p w14:paraId="623EACDF"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14.5</w:t>
            </w:r>
          </w:p>
        </w:tc>
        <w:tc>
          <w:tcPr>
            <w:tcW w:w="1350" w:type="dxa"/>
            <w:shd w:val="clear" w:color="auto" w:fill="auto"/>
            <w:vAlign w:val="bottom"/>
          </w:tcPr>
          <w:p w14:paraId="197ACC8B"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13.4</w:t>
            </w:r>
          </w:p>
        </w:tc>
        <w:tc>
          <w:tcPr>
            <w:tcW w:w="1345" w:type="dxa"/>
            <w:shd w:val="clear" w:color="auto" w:fill="auto"/>
            <w:vAlign w:val="bottom"/>
          </w:tcPr>
          <w:p w14:paraId="1705A8B2"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48.0%</w:t>
            </w:r>
          </w:p>
        </w:tc>
      </w:tr>
      <w:tr w:rsidR="009577F5" w14:paraId="525E8949" w14:textId="77777777" w:rsidTr="003C7443">
        <w:trPr>
          <w:jc w:val="center"/>
        </w:trPr>
        <w:tc>
          <w:tcPr>
            <w:tcW w:w="2065" w:type="dxa"/>
            <w:vAlign w:val="center"/>
          </w:tcPr>
          <w:p w14:paraId="6A6C2F7D"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8/2/2017</w:t>
            </w:r>
          </w:p>
        </w:tc>
        <w:tc>
          <w:tcPr>
            <w:tcW w:w="1170" w:type="dxa"/>
            <w:shd w:val="clear" w:color="auto" w:fill="auto"/>
            <w:vAlign w:val="bottom"/>
          </w:tcPr>
          <w:p w14:paraId="5366B43D"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56 </w:t>
            </w:r>
          </w:p>
        </w:tc>
        <w:tc>
          <w:tcPr>
            <w:tcW w:w="1350" w:type="dxa"/>
            <w:shd w:val="clear" w:color="auto" w:fill="auto"/>
            <w:vAlign w:val="bottom"/>
          </w:tcPr>
          <w:p w14:paraId="261D5C3B"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27.0</w:t>
            </w:r>
          </w:p>
        </w:tc>
        <w:tc>
          <w:tcPr>
            <w:tcW w:w="1350" w:type="dxa"/>
            <w:shd w:val="clear" w:color="auto" w:fill="auto"/>
            <w:vAlign w:val="bottom"/>
          </w:tcPr>
          <w:p w14:paraId="4F6815A1"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16.1</w:t>
            </w:r>
          </w:p>
        </w:tc>
        <w:tc>
          <w:tcPr>
            <w:tcW w:w="1350" w:type="dxa"/>
            <w:shd w:val="clear" w:color="auto" w:fill="auto"/>
            <w:vAlign w:val="bottom"/>
          </w:tcPr>
          <w:p w14:paraId="6712A54A"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11.0</w:t>
            </w:r>
          </w:p>
        </w:tc>
        <w:tc>
          <w:tcPr>
            <w:tcW w:w="1345" w:type="dxa"/>
            <w:shd w:val="clear" w:color="auto" w:fill="auto"/>
            <w:vAlign w:val="bottom"/>
          </w:tcPr>
          <w:p w14:paraId="515C05FD"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40.6%</w:t>
            </w:r>
          </w:p>
        </w:tc>
      </w:tr>
      <w:tr w:rsidR="009577F5" w14:paraId="6BCAFB92" w14:textId="77777777" w:rsidTr="003C7443">
        <w:trPr>
          <w:jc w:val="center"/>
        </w:trPr>
        <w:tc>
          <w:tcPr>
            <w:tcW w:w="2065" w:type="dxa"/>
            <w:vAlign w:val="center"/>
          </w:tcPr>
          <w:p w14:paraId="0FC58F36"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8/28/2017</w:t>
            </w:r>
          </w:p>
        </w:tc>
        <w:tc>
          <w:tcPr>
            <w:tcW w:w="1170" w:type="dxa"/>
            <w:shd w:val="clear" w:color="auto" w:fill="auto"/>
            <w:vAlign w:val="bottom"/>
          </w:tcPr>
          <w:p w14:paraId="2913CE5B"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56 </w:t>
            </w:r>
          </w:p>
        </w:tc>
        <w:tc>
          <w:tcPr>
            <w:tcW w:w="1350" w:type="dxa"/>
            <w:shd w:val="clear" w:color="auto" w:fill="auto"/>
            <w:vAlign w:val="bottom"/>
          </w:tcPr>
          <w:p w14:paraId="77E03453"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27.5</w:t>
            </w:r>
          </w:p>
        </w:tc>
        <w:tc>
          <w:tcPr>
            <w:tcW w:w="1350" w:type="dxa"/>
            <w:shd w:val="clear" w:color="auto" w:fill="auto"/>
            <w:vAlign w:val="bottom"/>
          </w:tcPr>
          <w:p w14:paraId="6F4447FD"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17.2</w:t>
            </w:r>
          </w:p>
        </w:tc>
        <w:tc>
          <w:tcPr>
            <w:tcW w:w="1350" w:type="dxa"/>
            <w:shd w:val="clear" w:color="auto" w:fill="auto"/>
            <w:vAlign w:val="bottom"/>
          </w:tcPr>
          <w:p w14:paraId="298AAE39"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10.3</w:t>
            </w:r>
          </w:p>
        </w:tc>
        <w:tc>
          <w:tcPr>
            <w:tcW w:w="1345" w:type="dxa"/>
            <w:shd w:val="clear" w:color="auto" w:fill="auto"/>
            <w:vAlign w:val="bottom"/>
          </w:tcPr>
          <w:p w14:paraId="484A772E"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37.4%</w:t>
            </w:r>
          </w:p>
        </w:tc>
      </w:tr>
      <w:tr w:rsidR="009577F5" w14:paraId="6326A8CD" w14:textId="77777777" w:rsidTr="003C7443">
        <w:trPr>
          <w:jc w:val="center"/>
        </w:trPr>
        <w:tc>
          <w:tcPr>
            <w:tcW w:w="2065" w:type="dxa"/>
            <w:vAlign w:val="center"/>
          </w:tcPr>
          <w:p w14:paraId="65220467"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8/29/2017</w:t>
            </w:r>
          </w:p>
        </w:tc>
        <w:tc>
          <w:tcPr>
            <w:tcW w:w="1170" w:type="dxa"/>
            <w:shd w:val="clear" w:color="auto" w:fill="auto"/>
            <w:vAlign w:val="bottom"/>
          </w:tcPr>
          <w:p w14:paraId="650FC0B4"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56 </w:t>
            </w:r>
          </w:p>
        </w:tc>
        <w:tc>
          <w:tcPr>
            <w:tcW w:w="1350" w:type="dxa"/>
            <w:shd w:val="clear" w:color="auto" w:fill="auto"/>
            <w:vAlign w:val="bottom"/>
          </w:tcPr>
          <w:p w14:paraId="286098B4"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26.6</w:t>
            </w:r>
          </w:p>
        </w:tc>
        <w:tc>
          <w:tcPr>
            <w:tcW w:w="1350" w:type="dxa"/>
            <w:shd w:val="clear" w:color="auto" w:fill="auto"/>
            <w:vAlign w:val="bottom"/>
          </w:tcPr>
          <w:p w14:paraId="1CCEE6AB"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17.5</w:t>
            </w:r>
          </w:p>
        </w:tc>
        <w:tc>
          <w:tcPr>
            <w:tcW w:w="1350" w:type="dxa"/>
            <w:shd w:val="clear" w:color="auto" w:fill="auto"/>
            <w:vAlign w:val="bottom"/>
          </w:tcPr>
          <w:p w14:paraId="4873E737"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9.0</w:t>
            </w:r>
          </w:p>
        </w:tc>
        <w:tc>
          <w:tcPr>
            <w:tcW w:w="1345" w:type="dxa"/>
            <w:shd w:val="clear" w:color="auto" w:fill="auto"/>
            <w:vAlign w:val="bottom"/>
          </w:tcPr>
          <w:p w14:paraId="217A128E"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34.0%</w:t>
            </w:r>
          </w:p>
        </w:tc>
      </w:tr>
      <w:tr w:rsidR="009577F5" w14:paraId="535E3C0A" w14:textId="77777777" w:rsidTr="003C7443">
        <w:trPr>
          <w:jc w:val="center"/>
        </w:trPr>
        <w:tc>
          <w:tcPr>
            <w:tcW w:w="2065" w:type="dxa"/>
            <w:vAlign w:val="center"/>
          </w:tcPr>
          <w:p w14:paraId="5D26AACB"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8/31/2017</w:t>
            </w:r>
          </w:p>
        </w:tc>
        <w:tc>
          <w:tcPr>
            <w:tcW w:w="1170" w:type="dxa"/>
            <w:shd w:val="clear" w:color="auto" w:fill="auto"/>
            <w:vAlign w:val="bottom"/>
          </w:tcPr>
          <w:p w14:paraId="2F732449"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57 </w:t>
            </w:r>
          </w:p>
        </w:tc>
        <w:tc>
          <w:tcPr>
            <w:tcW w:w="1350" w:type="dxa"/>
            <w:shd w:val="clear" w:color="auto" w:fill="auto"/>
            <w:vAlign w:val="bottom"/>
          </w:tcPr>
          <w:p w14:paraId="6F43C5A1"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28.2</w:t>
            </w:r>
          </w:p>
        </w:tc>
        <w:tc>
          <w:tcPr>
            <w:tcW w:w="1350" w:type="dxa"/>
            <w:shd w:val="clear" w:color="auto" w:fill="auto"/>
            <w:vAlign w:val="bottom"/>
          </w:tcPr>
          <w:p w14:paraId="1601ABC6"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18.4</w:t>
            </w:r>
          </w:p>
        </w:tc>
        <w:tc>
          <w:tcPr>
            <w:tcW w:w="1350" w:type="dxa"/>
            <w:shd w:val="clear" w:color="auto" w:fill="auto"/>
            <w:vAlign w:val="bottom"/>
          </w:tcPr>
          <w:p w14:paraId="59278F30"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9.8</w:t>
            </w:r>
          </w:p>
        </w:tc>
        <w:tc>
          <w:tcPr>
            <w:tcW w:w="1345" w:type="dxa"/>
            <w:shd w:val="clear" w:color="auto" w:fill="auto"/>
            <w:vAlign w:val="bottom"/>
          </w:tcPr>
          <w:p w14:paraId="5DAD107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34.7%</w:t>
            </w:r>
          </w:p>
        </w:tc>
      </w:tr>
      <w:tr w:rsidR="009577F5" w14:paraId="6E3FB7F2" w14:textId="77777777" w:rsidTr="003C7443">
        <w:trPr>
          <w:jc w:val="center"/>
        </w:trPr>
        <w:tc>
          <w:tcPr>
            <w:tcW w:w="2065" w:type="dxa"/>
            <w:vAlign w:val="center"/>
          </w:tcPr>
          <w:p w14:paraId="6132210D"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9/1/2017</w:t>
            </w:r>
          </w:p>
        </w:tc>
        <w:tc>
          <w:tcPr>
            <w:tcW w:w="1170" w:type="dxa"/>
            <w:shd w:val="clear" w:color="auto" w:fill="auto"/>
            <w:vAlign w:val="bottom"/>
          </w:tcPr>
          <w:p w14:paraId="5B2ACC42"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58 </w:t>
            </w:r>
          </w:p>
        </w:tc>
        <w:tc>
          <w:tcPr>
            <w:tcW w:w="1350" w:type="dxa"/>
            <w:shd w:val="clear" w:color="auto" w:fill="auto"/>
            <w:vAlign w:val="bottom"/>
          </w:tcPr>
          <w:p w14:paraId="13EAE655"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27.7</w:t>
            </w:r>
          </w:p>
        </w:tc>
        <w:tc>
          <w:tcPr>
            <w:tcW w:w="1350" w:type="dxa"/>
            <w:shd w:val="clear" w:color="auto" w:fill="auto"/>
            <w:vAlign w:val="bottom"/>
          </w:tcPr>
          <w:p w14:paraId="35930300"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18.3</w:t>
            </w:r>
          </w:p>
        </w:tc>
        <w:tc>
          <w:tcPr>
            <w:tcW w:w="1350" w:type="dxa"/>
            <w:shd w:val="clear" w:color="auto" w:fill="auto"/>
            <w:vAlign w:val="bottom"/>
          </w:tcPr>
          <w:p w14:paraId="63E6F2B6"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9.3</w:t>
            </w:r>
          </w:p>
        </w:tc>
        <w:tc>
          <w:tcPr>
            <w:tcW w:w="1345" w:type="dxa"/>
            <w:shd w:val="clear" w:color="auto" w:fill="auto"/>
            <w:vAlign w:val="bottom"/>
          </w:tcPr>
          <w:p w14:paraId="2DFA168C"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33.7%</w:t>
            </w:r>
          </w:p>
        </w:tc>
      </w:tr>
      <w:tr w:rsidR="009577F5" w14:paraId="37419031" w14:textId="77777777" w:rsidTr="003C7443">
        <w:trPr>
          <w:jc w:val="center"/>
        </w:trPr>
        <w:tc>
          <w:tcPr>
            <w:tcW w:w="2065" w:type="dxa"/>
            <w:vAlign w:val="center"/>
          </w:tcPr>
          <w:p w14:paraId="1D80BCDF"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9/2/2017</w:t>
            </w:r>
          </w:p>
        </w:tc>
        <w:tc>
          <w:tcPr>
            <w:tcW w:w="1170" w:type="dxa"/>
            <w:shd w:val="clear" w:color="auto" w:fill="auto"/>
            <w:vAlign w:val="bottom"/>
          </w:tcPr>
          <w:p w14:paraId="6EDA7786"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 xml:space="preserve">          58 </w:t>
            </w:r>
          </w:p>
        </w:tc>
        <w:tc>
          <w:tcPr>
            <w:tcW w:w="1350" w:type="dxa"/>
            <w:shd w:val="clear" w:color="auto" w:fill="auto"/>
            <w:vAlign w:val="bottom"/>
          </w:tcPr>
          <w:p w14:paraId="4E283894"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19.1</w:t>
            </w:r>
          </w:p>
        </w:tc>
        <w:tc>
          <w:tcPr>
            <w:tcW w:w="1350" w:type="dxa"/>
            <w:shd w:val="clear" w:color="auto" w:fill="auto"/>
            <w:vAlign w:val="bottom"/>
          </w:tcPr>
          <w:p w14:paraId="780F6AFE"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19.2</w:t>
            </w:r>
          </w:p>
        </w:tc>
        <w:tc>
          <w:tcPr>
            <w:tcW w:w="1350" w:type="dxa"/>
            <w:shd w:val="clear" w:color="auto" w:fill="auto"/>
            <w:vAlign w:val="bottom"/>
          </w:tcPr>
          <w:p w14:paraId="02887B54"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-0.1</w:t>
            </w:r>
          </w:p>
        </w:tc>
        <w:tc>
          <w:tcPr>
            <w:tcW w:w="1345" w:type="dxa"/>
            <w:shd w:val="clear" w:color="auto" w:fill="auto"/>
            <w:vAlign w:val="bottom"/>
          </w:tcPr>
          <w:p w14:paraId="48EFEC1A" w14:textId="77777777" w:rsidR="009577F5" w:rsidRPr="000547DF" w:rsidRDefault="009577F5" w:rsidP="003C7443">
            <w:pPr>
              <w:jc w:val="center"/>
              <w:rPr>
                <w:rFonts w:ascii="Arial" w:hAnsi="Arial" w:cs="Arial"/>
                <w:sz w:val="20"/>
                <w:szCs w:val="20"/>
              </w:rPr>
            </w:pPr>
            <w:r>
              <w:rPr>
                <w:rFonts w:ascii="Arial" w:hAnsi="Arial" w:cs="Arial"/>
                <w:color w:val="000000"/>
                <w:sz w:val="20"/>
                <w:szCs w:val="20"/>
              </w:rPr>
              <w:t>-0.3%</w:t>
            </w:r>
          </w:p>
        </w:tc>
      </w:tr>
      <w:tr w:rsidR="009577F5" w14:paraId="43192040" w14:textId="77777777" w:rsidTr="003C7443">
        <w:trPr>
          <w:jc w:val="center"/>
        </w:trPr>
        <w:tc>
          <w:tcPr>
            <w:tcW w:w="2065" w:type="dxa"/>
            <w:vAlign w:val="center"/>
          </w:tcPr>
          <w:p w14:paraId="6945841C" w14:textId="77777777" w:rsidR="009577F5" w:rsidRDefault="009577F5" w:rsidP="003C7443">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shd w:val="clear" w:color="auto" w:fill="auto"/>
            <w:vAlign w:val="bottom"/>
          </w:tcPr>
          <w:p w14:paraId="2AEA1DFC" w14:textId="77777777" w:rsidR="009577F5" w:rsidRPr="00731555" w:rsidRDefault="009577F5" w:rsidP="003C7443">
            <w:pPr>
              <w:jc w:val="center"/>
              <w:rPr>
                <w:rFonts w:ascii="Arial" w:hAnsi="Arial" w:cs="Arial"/>
                <w:b/>
                <w:sz w:val="20"/>
                <w:szCs w:val="20"/>
              </w:rPr>
            </w:pPr>
            <w:r w:rsidRPr="00731555">
              <w:rPr>
                <w:rFonts w:ascii="Arial" w:hAnsi="Arial" w:cs="Arial"/>
                <w:b/>
                <w:color w:val="000000"/>
                <w:sz w:val="20"/>
                <w:szCs w:val="20"/>
              </w:rPr>
              <w:t xml:space="preserve">          56 </w:t>
            </w:r>
          </w:p>
        </w:tc>
        <w:tc>
          <w:tcPr>
            <w:tcW w:w="1350" w:type="dxa"/>
            <w:shd w:val="clear" w:color="auto" w:fill="auto"/>
            <w:vAlign w:val="bottom"/>
          </w:tcPr>
          <w:p w14:paraId="728D1107" w14:textId="77777777" w:rsidR="009577F5" w:rsidRPr="00731555" w:rsidRDefault="009577F5" w:rsidP="003C7443">
            <w:pPr>
              <w:jc w:val="center"/>
              <w:rPr>
                <w:rFonts w:ascii="Arial" w:hAnsi="Arial" w:cs="Arial"/>
                <w:b/>
                <w:sz w:val="20"/>
                <w:szCs w:val="20"/>
              </w:rPr>
            </w:pPr>
            <w:r w:rsidRPr="00731555">
              <w:rPr>
                <w:rFonts w:ascii="Arial" w:hAnsi="Arial" w:cs="Arial"/>
                <w:b/>
                <w:color w:val="000000"/>
                <w:sz w:val="20"/>
                <w:szCs w:val="20"/>
              </w:rPr>
              <w:t>26.7</w:t>
            </w:r>
          </w:p>
        </w:tc>
        <w:tc>
          <w:tcPr>
            <w:tcW w:w="1350" w:type="dxa"/>
            <w:shd w:val="clear" w:color="auto" w:fill="auto"/>
            <w:vAlign w:val="bottom"/>
          </w:tcPr>
          <w:p w14:paraId="28D33A7F" w14:textId="77777777" w:rsidR="009577F5" w:rsidRPr="00731555" w:rsidRDefault="009577F5" w:rsidP="003C7443">
            <w:pPr>
              <w:jc w:val="center"/>
              <w:rPr>
                <w:rFonts w:ascii="Arial" w:hAnsi="Arial" w:cs="Arial"/>
                <w:b/>
                <w:sz w:val="20"/>
                <w:szCs w:val="20"/>
              </w:rPr>
            </w:pPr>
            <w:r w:rsidRPr="00731555">
              <w:rPr>
                <w:rFonts w:ascii="Arial" w:hAnsi="Arial" w:cs="Arial"/>
                <w:b/>
                <w:color w:val="000000"/>
                <w:sz w:val="20"/>
                <w:szCs w:val="20"/>
              </w:rPr>
              <w:t>16.3</w:t>
            </w:r>
          </w:p>
        </w:tc>
        <w:tc>
          <w:tcPr>
            <w:tcW w:w="1350" w:type="dxa"/>
            <w:shd w:val="clear" w:color="auto" w:fill="auto"/>
            <w:vAlign w:val="bottom"/>
          </w:tcPr>
          <w:p w14:paraId="4A77E4D7" w14:textId="77777777" w:rsidR="009577F5" w:rsidRPr="00731555" w:rsidRDefault="009577F5" w:rsidP="003C7443">
            <w:pPr>
              <w:jc w:val="center"/>
              <w:rPr>
                <w:rFonts w:ascii="Arial" w:hAnsi="Arial" w:cs="Arial"/>
                <w:b/>
                <w:sz w:val="20"/>
                <w:szCs w:val="20"/>
              </w:rPr>
            </w:pPr>
            <w:r w:rsidRPr="00731555">
              <w:rPr>
                <w:rFonts w:ascii="Arial" w:hAnsi="Arial" w:cs="Arial"/>
                <w:b/>
                <w:color w:val="000000"/>
                <w:sz w:val="20"/>
                <w:szCs w:val="20"/>
              </w:rPr>
              <w:t>10.4</w:t>
            </w:r>
          </w:p>
        </w:tc>
        <w:tc>
          <w:tcPr>
            <w:tcW w:w="1345" w:type="dxa"/>
            <w:shd w:val="clear" w:color="auto" w:fill="auto"/>
            <w:vAlign w:val="bottom"/>
          </w:tcPr>
          <w:p w14:paraId="7492E99D" w14:textId="77777777" w:rsidR="009577F5" w:rsidRPr="00731555" w:rsidRDefault="009577F5" w:rsidP="003C7443">
            <w:pPr>
              <w:jc w:val="center"/>
              <w:rPr>
                <w:rFonts w:ascii="Arial" w:hAnsi="Arial" w:cs="Arial"/>
                <w:b/>
                <w:sz w:val="20"/>
                <w:szCs w:val="20"/>
              </w:rPr>
            </w:pPr>
            <w:r w:rsidRPr="00731555">
              <w:rPr>
                <w:rFonts w:ascii="Arial" w:hAnsi="Arial" w:cs="Arial"/>
                <w:b/>
                <w:color w:val="000000"/>
                <w:sz w:val="20"/>
                <w:szCs w:val="20"/>
              </w:rPr>
              <w:t>38.9%</w:t>
            </w:r>
          </w:p>
        </w:tc>
      </w:tr>
    </w:tbl>
    <w:p w14:paraId="35F7069A" w14:textId="77777777" w:rsidR="009577F5" w:rsidRDefault="009577F5" w:rsidP="009577F5">
      <w:pPr>
        <w:spacing w:after="120"/>
        <w:rPr>
          <w:szCs w:val="32"/>
        </w:rPr>
      </w:pPr>
    </w:p>
    <w:p w14:paraId="60C50322" w14:textId="7FA408B0" w:rsidR="009577F5" w:rsidRDefault="00F7523F" w:rsidP="009577F5">
      <w:pPr>
        <w:spacing w:after="120"/>
        <w:rPr>
          <w:szCs w:val="32"/>
        </w:rPr>
      </w:pPr>
      <w:r>
        <w:rPr>
          <w:noProof/>
          <w:szCs w:val="32"/>
        </w:rPr>
        <mc:AlternateContent>
          <mc:Choice Requires="wps">
            <w:drawing>
              <wp:anchor distT="0" distB="0" distL="114300" distR="114300" simplePos="0" relativeHeight="251668480" behindDoc="0" locked="0" layoutInCell="1" allowOverlap="1" wp14:anchorId="687F6FE1" wp14:editId="07E674E1">
                <wp:simplePos x="0" y="0"/>
                <wp:positionH relativeFrom="margin">
                  <wp:align>right</wp:align>
                </wp:positionH>
                <wp:positionV relativeFrom="paragraph">
                  <wp:posOffset>1431566</wp:posOffset>
                </wp:positionV>
                <wp:extent cx="5422789" cy="397566"/>
                <wp:effectExtent l="0" t="0" r="26035" b="21590"/>
                <wp:wrapNone/>
                <wp:docPr id="19" name="Text Box 19"/>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0FB45871"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7F6FE1" id="Text Box 19" o:spid="_x0000_s1031" type="#_x0000_t202" style="position:absolute;margin-left:375.8pt;margin-top:112.7pt;width:427pt;height:31.3pt;z-index:25166848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" fillcolor="white [3201]" strokeweight=".5pt">
                <v:textbox>
                  <w:txbxContent>
                    <w:p w14:paraId="0FB45871"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9577F5">
        <w:rPr>
          <w:szCs w:val="32"/>
        </w:rPr>
        <w:fldChar w:fldCharType="begin"/>
      </w:r>
      <w:r w:rsidR="009577F5">
        <w:rPr>
          <w:szCs w:val="32"/>
        </w:rPr>
        <w:instrText xml:space="preserve"> REF _Ref506980214 \h </w:instrText>
      </w:r>
      <w:r w:rsidR="009577F5">
        <w:rPr>
          <w:szCs w:val="32"/>
        </w:rPr>
      </w:r>
      <w:r w:rsidR="009577F5">
        <w:rPr>
          <w:szCs w:val="32"/>
        </w:rPr>
        <w:fldChar w:fldCharType="separate"/>
      </w:r>
      <w:r w:rsidR="005D5C7C">
        <w:t xml:space="preserve">Table </w:t>
      </w:r>
      <w:r w:rsidR="005D5C7C">
        <w:rPr>
          <w:noProof/>
        </w:rPr>
        <w:t>3</w:t>
      </w:r>
      <w:r w:rsidR="005D5C7C">
        <w:t>.</w:t>
      </w:r>
      <w:r w:rsidR="005D5C7C">
        <w:rPr>
          <w:noProof/>
        </w:rPr>
        <w:t>13</w:t>
      </w:r>
      <w:r w:rsidR="009577F5">
        <w:rPr>
          <w:szCs w:val="32"/>
        </w:rPr>
        <w:fldChar w:fldCharType="end"/>
      </w:r>
      <w:r w:rsidR="009577F5">
        <w:rPr>
          <w:szCs w:val="32"/>
        </w:rPr>
        <w:t xml:space="preserve"> shows the enrollments, observed loads, and estimated reference loads, load reductions and percentage load reductions for all customers who are dually enrolled in CBP and PDP for the average event hour for each event as well as the average event. There are </w:t>
      </w:r>
      <w:r w:rsidR="002056C9" w:rsidRPr="002056C9">
        <w:rPr>
          <w:szCs w:val="32"/>
          <w:highlight w:val="black"/>
        </w:rPr>
        <w:t>---</w:t>
      </w:r>
      <w:r w:rsidR="009577F5">
        <w:rPr>
          <w:szCs w:val="32"/>
        </w:rPr>
        <w:t xml:space="preserve"> customers on average in this group, but the load reduction is much smaller and less consistent than for the BIP+PDP customers, averaging only </w:t>
      </w:r>
      <w:r w:rsidR="002056C9" w:rsidRPr="002056C9">
        <w:rPr>
          <w:szCs w:val="32"/>
          <w:highlight w:val="black"/>
        </w:rPr>
        <w:t>---</w:t>
      </w:r>
      <w:r w:rsidR="009577F5">
        <w:rPr>
          <w:szCs w:val="32"/>
        </w:rPr>
        <w:t xml:space="preserve"> MWh/hour (</w:t>
      </w:r>
      <w:r w:rsidR="002056C9" w:rsidRPr="002056C9">
        <w:rPr>
          <w:szCs w:val="32"/>
          <w:highlight w:val="black"/>
        </w:rPr>
        <w:t>---</w:t>
      </w:r>
      <w:r w:rsidR="009577F5">
        <w:rPr>
          <w:szCs w:val="32"/>
        </w:rPr>
        <w:t xml:space="preserve"> </w:t>
      </w:r>
      <w:r w:rsidR="009577F5">
        <w:rPr>
          <w:szCs w:val="32"/>
        </w:rPr>
        <w:lastRenderedPageBreak/>
        <w:t>percent). Somewhat surprisingly, the CBP+</w:t>
      </w:r>
      <w:r w:rsidR="009577F5" w:rsidDel="002F10D6">
        <w:rPr>
          <w:szCs w:val="32"/>
        </w:rPr>
        <w:t xml:space="preserve"> </w:t>
      </w:r>
      <w:r w:rsidR="009577F5">
        <w:rPr>
          <w:szCs w:val="32"/>
        </w:rPr>
        <w:t>PDP customers have their highest load impact on September 2</w:t>
      </w:r>
      <w:r w:rsidR="009577F5" w:rsidRPr="00BE1AD6">
        <w:rPr>
          <w:szCs w:val="32"/>
          <w:vertAlign w:val="superscript"/>
        </w:rPr>
        <w:t>nd</w:t>
      </w:r>
      <w:r w:rsidR="009577F5">
        <w:rPr>
          <w:szCs w:val="32"/>
        </w:rPr>
        <w:t xml:space="preserve"> (the weekend event day).</w:t>
      </w:r>
    </w:p>
    <w:p w14:paraId="01160A3E" w14:textId="77777777" w:rsidR="009577F5" w:rsidRDefault="009577F5" w:rsidP="009577F5">
      <w:pPr>
        <w:spacing w:after="120"/>
        <w:rPr>
          <w:szCs w:val="32"/>
        </w:rPr>
      </w:pPr>
    </w:p>
    <w:p w14:paraId="4593ACA9" w14:textId="7E834A1A" w:rsidR="009577F5" w:rsidRDefault="009577F5" w:rsidP="009577F5">
      <w:pPr>
        <w:pStyle w:val="TableCaption"/>
      </w:pPr>
      <w:bookmarkStart w:id="166" w:name="_Ref506980214"/>
      <w:bookmarkStart w:id="167" w:name="_Toc509837370"/>
      <w:r>
        <w:t xml:space="preserve">Table </w:t>
      </w:r>
      <w:fldSimple w:instr=" STYLEREF 1 \s ">
        <w:r w:rsidR="005D5C7C">
          <w:rPr>
            <w:noProof/>
          </w:rPr>
          <w:t>3</w:t>
        </w:r>
      </w:fldSimple>
      <w:r w:rsidR="0069714C">
        <w:t>.</w:t>
      </w:r>
      <w:fldSimple w:instr=" SEQ Table \* ARABIC \s 1 ">
        <w:r w:rsidR="005D5C7C">
          <w:rPr>
            <w:noProof/>
          </w:rPr>
          <w:t>13</w:t>
        </w:r>
      </w:fldSimple>
      <w:bookmarkEnd w:id="166"/>
      <w:r>
        <w:t xml:space="preserve">: Average Event-Hour Load Impacts for PDP+CBP customers by Event, </w:t>
      </w:r>
      <w:r w:rsidRPr="00283F52">
        <w:rPr>
          <w:i/>
        </w:rPr>
        <w:t>PG&amp;E</w:t>
      </w:r>
      <w:bookmarkEnd w:id="167"/>
    </w:p>
    <w:tbl>
      <w:tblPr>
        <w:tblW w:w="8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170"/>
        <w:gridCol w:w="1350"/>
        <w:gridCol w:w="1350"/>
        <w:gridCol w:w="1350"/>
        <w:gridCol w:w="1345"/>
      </w:tblGrid>
      <w:tr w:rsidR="009577F5" w14:paraId="6FE37218" w14:textId="77777777" w:rsidTr="003C7443">
        <w:trPr>
          <w:jc w:val="center"/>
        </w:trPr>
        <w:tc>
          <w:tcPr>
            <w:tcW w:w="2065" w:type="dxa"/>
            <w:tcBorders>
              <w:right w:val="single" w:sz="4" w:space="0" w:color="FFFFFF" w:themeColor="background1"/>
            </w:tcBorders>
            <w:shd w:val="clear" w:color="auto" w:fill="0C2577"/>
            <w:vAlign w:val="center"/>
          </w:tcPr>
          <w:p w14:paraId="4D53BBD1" w14:textId="77777777" w:rsidR="009577F5" w:rsidRPr="007E0A27" w:rsidRDefault="009577F5" w:rsidP="003C7443">
            <w:pPr>
              <w:keepNext/>
              <w:keepLines/>
              <w:jc w:val="center"/>
              <w:rPr>
                <w:rFonts w:ascii="Arial" w:hAnsi="Arial" w:cs="Arial"/>
                <w:b/>
                <w:sz w:val="20"/>
                <w:szCs w:val="20"/>
              </w:rPr>
            </w:pPr>
            <w:r>
              <w:rPr>
                <w:rFonts w:ascii="Arial" w:hAnsi="Arial" w:cs="Arial"/>
                <w:b/>
                <w:sz w:val="20"/>
                <w:szCs w:val="20"/>
              </w:rPr>
              <w:t>Event Date</w:t>
            </w:r>
          </w:p>
        </w:tc>
        <w:tc>
          <w:tcPr>
            <w:tcW w:w="1170" w:type="dxa"/>
            <w:tcBorders>
              <w:left w:val="single" w:sz="4" w:space="0" w:color="FFFFFF" w:themeColor="background1"/>
              <w:right w:val="single" w:sz="4" w:space="0" w:color="FFFFFF" w:themeColor="background1"/>
            </w:tcBorders>
            <w:shd w:val="clear" w:color="auto" w:fill="0C2577"/>
            <w:vAlign w:val="center"/>
          </w:tcPr>
          <w:p w14:paraId="20591FDD" w14:textId="77777777" w:rsidR="009577F5" w:rsidRPr="007E0A27" w:rsidRDefault="009577F5" w:rsidP="003C7443">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16281A15"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Estimated Reference Load (MW</w:t>
            </w:r>
            <w:r>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1B7D6555"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Observed Load (MW</w:t>
            </w:r>
            <w:r>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34A52F38"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Estimated Load Impact (MW</w:t>
            </w:r>
            <w:r>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401139CE" w14:textId="77777777" w:rsidR="009577F5" w:rsidRPr="007E0A27" w:rsidRDefault="009577F5" w:rsidP="003C7443">
            <w:pPr>
              <w:keepNext/>
              <w:keepLines/>
              <w:jc w:val="center"/>
              <w:rPr>
                <w:rFonts w:ascii="Arial" w:hAnsi="Arial" w:cs="Arial"/>
                <w:b/>
                <w:sz w:val="20"/>
                <w:szCs w:val="20"/>
              </w:rPr>
            </w:pPr>
            <w:r w:rsidRPr="007E0A27">
              <w:rPr>
                <w:rFonts w:ascii="Arial" w:hAnsi="Arial" w:cs="Arial"/>
                <w:b/>
                <w:sz w:val="20"/>
                <w:szCs w:val="20"/>
              </w:rPr>
              <w:t>% LI</w:t>
            </w:r>
          </w:p>
        </w:tc>
      </w:tr>
      <w:tr w:rsidR="009577F5" w14:paraId="453A16DC" w14:textId="77777777" w:rsidTr="002056C9">
        <w:trPr>
          <w:jc w:val="center"/>
        </w:trPr>
        <w:tc>
          <w:tcPr>
            <w:tcW w:w="2065" w:type="dxa"/>
            <w:vAlign w:val="center"/>
          </w:tcPr>
          <w:p w14:paraId="039CEFE5" w14:textId="77777777" w:rsidR="009577F5" w:rsidRPr="007E0A27" w:rsidRDefault="009577F5" w:rsidP="003C7443">
            <w:pPr>
              <w:keepNext/>
              <w:keepLines/>
              <w:jc w:val="center"/>
              <w:rPr>
                <w:rFonts w:ascii="Arial" w:hAnsi="Arial" w:cs="Arial"/>
                <w:sz w:val="20"/>
                <w:szCs w:val="20"/>
              </w:rPr>
            </w:pPr>
            <w:r w:rsidRPr="000A24BE">
              <w:rPr>
                <w:rFonts w:ascii="Arial" w:hAnsi="Arial" w:cs="Arial"/>
                <w:color w:val="000000"/>
                <w:sz w:val="20"/>
                <w:szCs w:val="20"/>
              </w:rPr>
              <w:t>6/16/2017</w:t>
            </w:r>
          </w:p>
        </w:tc>
        <w:tc>
          <w:tcPr>
            <w:tcW w:w="1170" w:type="dxa"/>
            <w:shd w:val="clear" w:color="auto" w:fill="000000" w:themeFill="text1"/>
            <w:vAlign w:val="bottom"/>
          </w:tcPr>
          <w:p w14:paraId="36ABCA55" w14:textId="6457BEF0"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77DE3CF" w14:textId="36C2A599"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3998099" w14:textId="5D80F1A1"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22E745ED" w14:textId="2F39F536"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1D724E7F" w14:textId="11597068" w:rsidR="009577F5" w:rsidRPr="000547DF" w:rsidRDefault="009577F5" w:rsidP="003C7443">
            <w:pPr>
              <w:jc w:val="center"/>
              <w:rPr>
                <w:rFonts w:ascii="Arial" w:hAnsi="Arial" w:cs="Arial"/>
                <w:sz w:val="20"/>
                <w:szCs w:val="20"/>
              </w:rPr>
            </w:pPr>
          </w:p>
        </w:tc>
      </w:tr>
      <w:tr w:rsidR="009577F5" w14:paraId="7384FB4E" w14:textId="77777777" w:rsidTr="002056C9">
        <w:trPr>
          <w:jc w:val="center"/>
        </w:trPr>
        <w:tc>
          <w:tcPr>
            <w:tcW w:w="2065" w:type="dxa"/>
            <w:vAlign w:val="center"/>
          </w:tcPr>
          <w:p w14:paraId="608BBCA7" w14:textId="77777777" w:rsidR="009577F5" w:rsidRPr="007E0A27" w:rsidRDefault="009577F5" w:rsidP="003C7443">
            <w:pPr>
              <w:keepNext/>
              <w:keepLines/>
              <w:jc w:val="center"/>
              <w:rPr>
                <w:rFonts w:ascii="Arial" w:hAnsi="Arial" w:cs="Arial"/>
                <w:sz w:val="20"/>
                <w:szCs w:val="20"/>
              </w:rPr>
            </w:pPr>
            <w:r w:rsidRPr="000A24BE">
              <w:rPr>
                <w:rFonts w:ascii="Arial" w:hAnsi="Arial" w:cs="Arial"/>
                <w:color w:val="000000"/>
                <w:sz w:val="20"/>
                <w:szCs w:val="20"/>
              </w:rPr>
              <w:t>6/19/2017</w:t>
            </w:r>
          </w:p>
        </w:tc>
        <w:tc>
          <w:tcPr>
            <w:tcW w:w="1170" w:type="dxa"/>
            <w:shd w:val="clear" w:color="auto" w:fill="000000" w:themeFill="text1"/>
            <w:vAlign w:val="bottom"/>
          </w:tcPr>
          <w:p w14:paraId="6BD13E7D" w14:textId="0E29BDDA"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555729DC" w14:textId="7B4E83F8"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0BEDBEDB" w14:textId="03EB775B"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ABF9A8C" w14:textId="105E1229"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6398AF2B" w14:textId="1544EDA8" w:rsidR="009577F5" w:rsidRPr="000547DF" w:rsidRDefault="009577F5" w:rsidP="003C7443">
            <w:pPr>
              <w:jc w:val="center"/>
              <w:rPr>
                <w:rFonts w:ascii="Arial" w:hAnsi="Arial" w:cs="Arial"/>
                <w:sz w:val="20"/>
                <w:szCs w:val="20"/>
              </w:rPr>
            </w:pPr>
          </w:p>
        </w:tc>
      </w:tr>
      <w:tr w:rsidR="009577F5" w14:paraId="20762977" w14:textId="77777777" w:rsidTr="002056C9">
        <w:trPr>
          <w:jc w:val="center"/>
        </w:trPr>
        <w:tc>
          <w:tcPr>
            <w:tcW w:w="2065" w:type="dxa"/>
            <w:vAlign w:val="center"/>
          </w:tcPr>
          <w:p w14:paraId="4FA9D4BF"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6/20/2017</w:t>
            </w:r>
          </w:p>
        </w:tc>
        <w:tc>
          <w:tcPr>
            <w:tcW w:w="1170" w:type="dxa"/>
            <w:shd w:val="clear" w:color="auto" w:fill="000000" w:themeFill="text1"/>
            <w:vAlign w:val="bottom"/>
          </w:tcPr>
          <w:p w14:paraId="41539581" w14:textId="55E08A30"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E9B41D7" w14:textId="3F164EF9"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6539B5FC" w14:textId="743562A5"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2077F6D" w14:textId="2B624673"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24B0749B" w14:textId="7265184D" w:rsidR="009577F5" w:rsidRPr="000547DF" w:rsidRDefault="009577F5" w:rsidP="003C7443">
            <w:pPr>
              <w:jc w:val="center"/>
              <w:rPr>
                <w:rFonts w:ascii="Arial" w:hAnsi="Arial" w:cs="Arial"/>
                <w:sz w:val="20"/>
                <w:szCs w:val="20"/>
              </w:rPr>
            </w:pPr>
          </w:p>
        </w:tc>
      </w:tr>
      <w:tr w:rsidR="009577F5" w14:paraId="3696F4F7" w14:textId="77777777" w:rsidTr="002056C9">
        <w:trPr>
          <w:jc w:val="center"/>
        </w:trPr>
        <w:tc>
          <w:tcPr>
            <w:tcW w:w="2065" w:type="dxa"/>
            <w:vAlign w:val="center"/>
          </w:tcPr>
          <w:p w14:paraId="702174D2"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6/22/2017</w:t>
            </w:r>
          </w:p>
        </w:tc>
        <w:tc>
          <w:tcPr>
            <w:tcW w:w="1170" w:type="dxa"/>
            <w:shd w:val="clear" w:color="auto" w:fill="000000" w:themeFill="text1"/>
            <w:vAlign w:val="bottom"/>
          </w:tcPr>
          <w:p w14:paraId="4E8B9E24" w14:textId="10CD0B04"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5D3E9CAC" w14:textId="4AAAAD74"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60D6B45" w14:textId="69C877D9"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0BD9086B" w14:textId="12D3FE1E"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202495E3" w14:textId="22222436" w:rsidR="009577F5" w:rsidRPr="000547DF" w:rsidRDefault="009577F5" w:rsidP="003C7443">
            <w:pPr>
              <w:jc w:val="center"/>
              <w:rPr>
                <w:rFonts w:ascii="Arial" w:hAnsi="Arial" w:cs="Arial"/>
                <w:sz w:val="20"/>
                <w:szCs w:val="20"/>
              </w:rPr>
            </w:pPr>
          </w:p>
        </w:tc>
      </w:tr>
      <w:tr w:rsidR="009577F5" w14:paraId="1BA8F96B" w14:textId="77777777" w:rsidTr="002056C9">
        <w:trPr>
          <w:jc w:val="center"/>
        </w:trPr>
        <w:tc>
          <w:tcPr>
            <w:tcW w:w="2065" w:type="dxa"/>
            <w:vAlign w:val="center"/>
          </w:tcPr>
          <w:p w14:paraId="584076DB"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6/23/2017</w:t>
            </w:r>
          </w:p>
        </w:tc>
        <w:tc>
          <w:tcPr>
            <w:tcW w:w="1170" w:type="dxa"/>
            <w:shd w:val="clear" w:color="auto" w:fill="000000" w:themeFill="text1"/>
            <w:vAlign w:val="bottom"/>
          </w:tcPr>
          <w:p w14:paraId="3C1C8234" w14:textId="6719F2D1"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2CBBEC25" w14:textId="0E83888B"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05F0675" w14:textId="3ACE1189"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18878721" w14:textId="3307517E"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2257C18D" w14:textId="252C640F" w:rsidR="009577F5" w:rsidRPr="000547DF" w:rsidRDefault="009577F5" w:rsidP="003C7443">
            <w:pPr>
              <w:jc w:val="center"/>
              <w:rPr>
                <w:rFonts w:ascii="Arial" w:hAnsi="Arial" w:cs="Arial"/>
                <w:sz w:val="20"/>
                <w:szCs w:val="20"/>
              </w:rPr>
            </w:pPr>
          </w:p>
        </w:tc>
      </w:tr>
      <w:tr w:rsidR="009577F5" w14:paraId="7C7D215E" w14:textId="77777777" w:rsidTr="002056C9">
        <w:trPr>
          <w:jc w:val="center"/>
        </w:trPr>
        <w:tc>
          <w:tcPr>
            <w:tcW w:w="2065" w:type="dxa"/>
            <w:vAlign w:val="center"/>
          </w:tcPr>
          <w:p w14:paraId="3C754461"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7/7/2017</w:t>
            </w:r>
          </w:p>
        </w:tc>
        <w:tc>
          <w:tcPr>
            <w:tcW w:w="1170" w:type="dxa"/>
            <w:shd w:val="clear" w:color="auto" w:fill="000000" w:themeFill="text1"/>
            <w:vAlign w:val="bottom"/>
          </w:tcPr>
          <w:p w14:paraId="79CD1427" w14:textId="7005E8F7"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B8B10FB" w14:textId="0B8E6002"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1174DEB" w14:textId="10B85B2C"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6614F6F4" w14:textId="35978439"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4D52CC86" w14:textId="69853036" w:rsidR="009577F5" w:rsidRPr="000547DF" w:rsidRDefault="009577F5" w:rsidP="003C7443">
            <w:pPr>
              <w:jc w:val="center"/>
              <w:rPr>
                <w:rFonts w:ascii="Arial" w:hAnsi="Arial" w:cs="Arial"/>
                <w:sz w:val="20"/>
                <w:szCs w:val="20"/>
              </w:rPr>
            </w:pPr>
          </w:p>
        </w:tc>
      </w:tr>
      <w:tr w:rsidR="009577F5" w14:paraId="6C045DC4" w14:textId="77777777" w:rsidTr="002056C9">
        <w:trPr>
          <w:jc w:val="center"/>
        </w:trPr>
        <w:tc>
          <w:tcPr>
            <w:tcW w:w="2065" w:type="dxa"/>
            <w:vAlign w:val="center"/>
          </w:tcPr>
          <w:p w14:paraId="67761A8B"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7/27/2017</w:t>
            </w:r>
          </w:p>
        </w:tc>
        <w:tc>
          <w:tcPr>
            <w:tcW w:w="1170" w:type="dxa"/>
            <w:shd w:val="clear" w:color="auto" w:fill="000000" w:themeFill="text1"/>
            <w:vAlign w:val="bottom"/>
          </w:tcPr>
          <w:p w14:paraId="38E52907" w14:textId="14D39968"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A63C5E9" w14:textId="689E1D36"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0AC69B6" w14:textId="5A32C435"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216064CE" w14:textId="51F25EFC"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0A07E5B7" w14:textId="2DC74D6F" w:rsidR="009577F5" w:rsidRPr="000547DF" w:rsidRDefault="009577F5" w:rsidP="003C7443">
            <w:pPr>
              <w:jc w:val="center"/>
              <w:rPr>
                <w:rFonts w:ascii="Arial" w:hAnsi="Arial" w:cs="Arial"/>
                <w:sz w:val="20"/>
                <w:szCs w:val="20"/>
              </w:rPr>
            </w:pPr>
          </w:p>
        </w:tc>
      </w:tr>
      <w:tr w:rsidR="009577F5" w14:paraId="3548E880" w14:textId="77777777" w:rsidTr="002056C9">
        <w:trPr>
          <w:jc w:val="center"/>
        </w:trPr>
        <w:tc>
          <w:tcPr>
            <w:tcW w:w="2065" w:type="dxa"/>
            <w:vAlign w:val="center"/>
          </w:tcPr>
          <w:p w14:paraId="7E8E228F"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7/31/2017</w:t>
            </w:r>
          </w:p>
        </w:tc>
        <w:tc>
          <w:tcPr>
            <w:tcW w:w="1170" w:type="dxa"/>
            <w:shd w:val="clear" w:color="auto" w:fill="000000" w:themeFill="text1"/>
            <w:vAlign w:val="bottom"/>
          </w:tcPr>
          <w:p w14:paraId="2DD0B99E" w14:textId="30922FAF"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B6DAB01" w14:textId="69DBCE9C"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9461F93" w14:textId="32866BA1"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12363EEB" w14:textId="5F2BE894"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4618823B" w14:textId="14B0D6C4" w:rsidR="009577F5" w:rsidRPr="000547DF" w:rsidRDefault="009577F5" w:rsidP="003C7443">
            <w:pPr>
              <w:jc w:val="center"/>
              <w:rPr>
                <w:rFonts w:ascii="Arial" w:hAnsi="Arial" w:cs="Arial"/>
                <w:sz w:val="20"/>
                <w:szCs w:val="20"/>
              </w:rPr>
            </w:pPr>
          </w:p>
        </w:tc>
      </w:tr>
      <w:tr w:rsidR="009577F5" w14:paraId="3C8E6645" w14:textId="77777777" w:rsidTr="002056C9">
        <w:trPr>
          <w:jc w:val="center"/>
        </w:trPr>
        <w:tc>
          <w:tcPr>
            <w:tcW w:w="2065" w:type="dxa"/>
            <w:vAlign w:val="center"/>
          </w:tcPr>
          <w:p w14:paraId="490C52E3"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8/1/2017</w:t>
            </w:r>
          </w:p>
        </w:tc>
        <w:tc>
          <w:tcPr>
            <w:tcW w:w="1170" w:type="dxa"/>
            <w:shd w:val="clear" w:color="auto" w:fill="000000" w:themeFill="text1"/>
            <w:vAlign w:val="bottom"/>
          </w:tcPr>
          <w:p w14:paraId="78D4A6E1" w14:textId="29329542"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1112EC78" w14:textId="6B795805"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1E066C45" w14:textId="01E93A97"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7746123" w14:textId="61DD4D3E"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46BF8642" w14:textId="733C0D76" w:rsidR="009577F5" w:rsidRPr="000547DF" w:rsidRDefault="009577F5" w:rsidP="003C7443">
            <w:pPr>
              <w:jc w:val="center"/>
              <w:rPr>
                <w:rFonts w:ascii="Arial" w:hAnsi="Arial" w:cs="Arial"/>
                <w:sz w:val="20"/>
                <w:szCs w:val="20"/>
              </w:rPr>
            </w:pPr>
          </w:p>
        </w:tc>
      </w:tr>
      <w:tr w:rsidR="009577F5" w14:paraId="6225D213" w14:textId="77777777" w:rsidTr="002056C9">
        <w:trPr>
          <w:jc w:val="center"/>
        </w:trPr>
        <w:tc>
          <w:tcPr>
            <w:tcW w:w="2065" w:type="dxa"/>
            <w:vAlign w:val="center"/>
          </w:tcPr>
          <w:p w14:paraId="3DF64C2B"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8/2/2017</w:t>
            </w:r>
          </w:p>
        </w:tc>
        <w:tc>
          <w:tcPr>
            <w:tcW w:w="1170" w:type="dxa"/>
            <w:shd w:val="clear" w:color="auto" w:fill="000000" w:themeFill="text1"/>
            <w:vAlign w:val="bottom"/>
          </w:tcPr>
          <w:p w14:paraId="2CD4E510" w14:textId="5262FF7A"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E646FAD" w14:textId="16E460D1"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6E1D2A05" w14:textId="702D5A0C"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6FE1EA7D" w14:textId="291044D5"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48EDB42C" w14:textId="1494BC80" w:rsidR="009577F5" w:rsidRPr="000547DF" w:rsidRDefault="009577F5" w:rsidP="003C7443">
            <w:pPr>
              <w:jc w:val="center"/>
              <w:rPr>
                <w:rFonts w:ascii="Arial" w:hAnsi="Arial" w:cs="Arial"/>
                <w:sz w:val="20"/>
                <w:szCs w:val="20"/>
              </w:rPr>
            </w:pPr>
          </w:p>
        </w:tc>
      </w:tr>
      <w:tr w:rsidR="009577F5" w14:paraId="260FAEF7" w14:textId="77777777" w:rsidTr="002056C9">
        <w:trPr>
          <w:jc w:val="center"/>
        </w:trPr>
        <w:tc>
          <w:tcPr>
            <w:tcW w:w="2065" w:type="dxa"/>
            <w:vAlign w:val="center"/>
          </w:tcPr>
          <w:p w14:paraId="5FF917CA"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8/28/2017</w:t>
            </w:r>
          </w:p>
        </w:tc>
        <w:tc>
          <w:tcPr>
            <w:tcW w:w="1170" w:type="dxa"/>
            <w:shd w:val="clear" w:color="auto" w:fill="000000" w:themeFill="text1"/>
            <w:vAlign w:val="bottom"/>
          </w:tcPr>
          <w:p w14:paraId="72128802" w14:textId="4166ECCD"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BF89695" w14:textId="3862CD33"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1AB5B4AA" w14:textId="18F6352D"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7E08BC3" w14:textId="1B68A7B3"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0C5EA5EA" w14:textId="3AEFC516" w:rsidR="009577F5" w:rsidRPr="000547DF" w:rsidRDefault="009577F5" w:rsidP="003C7443">
            <w:pPr>
              <w:jc w:val="center"/>
              <w:rPr>
                <w:rFonts w:ascii="Arial" w:hAnsi="Arial" w:cs="Arial"/>
                <w:sz w:val="20"/>
                <w:szCs w:val="20"/>
              </w:rPr>
            </w:pPr>
          </w:p>
        </w:tc>
      </w:tr>
      <w:tr w:rsidR="009577F5" w14:paraId="69E79044" w14:textId="77777777" w:rsidTr="002056C9">
        <w:trPr>
          <w:jc w:val="center"/>
        </w:trPr>
        <w:tc>
          <w:tcPr>
            <w:tcW w:w="2065" w:type="dxa"/>
            <w:vAlign w:val="center"/>
          </w:tcPr>
          <w:p w14:paraId="42B812F8"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8/29/2017</w:t>
            </w:r>
          </w:p>
        </w:tc>
        <w:tc>
          <w:tcPr>
            <w:tcW w:w="1170" w:type="dxa"/>
            <w:shd w:val="clear" w:color="auto" w:fill="000000" w:themeFill="text1"/>
            <w:vAlign w:val="bottom"/>
          </w:tcPr>
          <w:p w14:paraId="2ABC9ABF" w14:textId="26E92539"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20896562" w14:textId="3714756A"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52032BD4" w14:textId="07E353DA"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5EB54BF1" w14:textId="5CA6D918"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6C2F33EA" w14:textId="2497550F" w:rsidR="009577F5" w:rsidRPr="000547DF" w:rsidRDefault="009577F5" w:rsidP="003C7443">
            <w:pPr>
              <w:jc w:val="center"/>
              <w:rPr>
                <w:rFonts w:ascii="Arial" w:hAnsi="Arial" w:cs="Arial"/>
                <w:sz w:val="20"/>
                <w:szCs w:val="20"/>
              </w:rPr>
            </w:pPr>
          </w:p>
        </w:tc>
      </w:tr>
      <w:tr w:rsidR="009577F5" w14:paraId="2CCBCA58" w14:textId="77777777" w:rsidTr="002056C9">
        <w:trPr>
          <w:jc w:val="center"/>
        </w:trPr>
        <w:tc>
          <w:tcPr>
            <w:tcW w:w="2065" w:type="dxa"/>
            <w:vAlign w:val="center"/>
          </w:tcPr>
          <w:p w14:paraId="73966F12"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8/31/2017</w:t>
            </w:r>
          </w:p>
        </w:tc>
        <w:tc>
          <w:tcPr>
            <w:tcW w:w="1170" w:type="dxa"/>
            <w:shd w:val="clear" w:color="auto" w:fill="000000" w:themeFill="text1"/>
            <w:vAlign w:val="bottom"/>
          </w:tcPr>
          <w:p w14:paraId="6D2FF4BB" w14:textId="6734F486"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63CC990D" w14:textId="15BF4E8B"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B186FF3" w14:textId="6707150C"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338B8A28" w14:textId="63163BF5"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0B3FE1F2" w14:textId="5945BAA5" w:rsidR="009577F5" w:rsidRPr="000547DF" w:rsidRDefault="009577F5" w:rsidP="003C7443">
            <w:pPr>
              <w:jc w:val="center"/>
              <w:rPr>
                <w:rFonts w:ascii="Arial" w:hAnsi="Arial" w:cs="Arial"/>
                <w:sz w:val="20"/>
                <w:szCs w:val="20"/>
              </w:rPr>
            </w:pPr>
          </w:p>
        </w:tc>
      </w:tr>
      <w:tr w:rsidR="009577F5" w14:paraId="0241C015" w14:textId="77777777" w:rsidTr="002056C9">
        <w:trPr>
          <w:jc w:val="center"/>
        </w:trPr>
        <w:tc>
          <w:tcPr>
            <w:tcW w:w="2065" w:type="dxa"/>
            <w:vAlign w:val="center"/>
          </w:tcPr>
          <w:p w14:paraId="211E6C1C"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9/1/2017</w:t>
            </w:r>
          </w:p>
        </w:tc>
        <w:tc>
          <w:tcPr>
            <w:tcW w:w="1170" w:type="dxa"/>
            <w:shd w:val="clear" w:color="auto" w:fill="000000" w:themeFill="text1"/>
            <w:vAlign w:val="bottom"/>
          </w:tcPr>
          <w:p w14:paraId="2726355B" w14:textId="5157CF25"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7FD9ACF6" w14:textId="068FAFCC"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5CCD4F74" w14:textId="289566A6"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B6DF92B" w14:textId="08C92B79"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54FCD344" w14:textId="7595A433" w:rsidR="009577F5" w:rsidRPr="000547DF" w:rsidRDefault="009577F5" w:rsidP="003C7443">
            <w:pPr>
              <w:jc w:val="center"/>
              <w:rPr>
                <w:rFonts w:ascii="Arial" w:hAnsi="Arial" w:cs="Arial"/>
                <w:sz w:val="20"/>
                <w:szCs w:val="20"/>
              </w:rPr>
            </w:pPr>
          </w:p>
        </w:tc>
      </w:tr>
      <w:tr w:rsidR="009577F5" w14:paraId="2C63D40B" w14:textId="77777777" w:rsidTr="002056C9">
        <w:trPr>
          <w:jc w:val="center"/>
        </w:trPr>
        <w:tc>
          <w:tcPr>
            <w:tcW w:w="2065" w:type="dxa"/>
            <w:vAlign w:val="center"/>
          </w:tcPr>
          <w:p w14:paraId="2F729A14" w14:textId="77777777" w:rsidR="009577F5" w:rsidRDefault="009577F5" w:rsidP="003C7443">
            <w:pPr>
              <w:keepNext/>
              <w:keepLines/>
              <w:jc w:val="center"/>
              <w:rPr>
                <w:rFonts w:ascii="Arial" w:hAnsi="Arial" w:cs="Arial"/>
                <w:sz w:val="20"/>
                <w:szCs w:val="20"/>
              </w:rPr>
            </w:pPr>
            <w:r w:rsidRPr="000A24BE">
              <w:rPr>
                <w:rFonts w:ascii="Arial" w:hAnsi="Arial" w:cs="Arial"/>
                <w:color w:val="000000"/>
                <w:sz w:val="20"/>
                <w:szCs w:val="20"/>
              </w:rPr>
              <w:t>9/2/2017</w:t>
            </w:r>
          </w:p>
        </w:tc>
        <w:tc>
          <w:tcPr>
            <w:tcW w:w="1170" w:type="dxa"/>
            <w:shd w:val="clear" w:color="auto" w:fill="000000" w:themeFill="text1"/>
            <w:vAlign w:val="bottom"/>
          </w:tcPr>
          <w:p w14:paraId="5A8DD0CD" w14:textId="585CB1BC"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0D9029A8" w14:textId="0BC67AAB"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6E9ADC0F" w14:textId="7A2C2CFA" w:rsidR="009577F5" w:rsidRPr="000547DF" w:rsidRDefault="009577F5" w:rsidP="003C7443">
            <w:pPr>
              <w:jc w:val="center"/>
              <w:rPr>
                <w:rFonts w:ascii="Arial" w:hAnsi="Arial" w:cs="Arial"/>
                <w:sz w:val="20"/>
                <w:szCs w:val="20"/>
              </w:rPr>
            </w:pPr>
          </w:p>
        </w:tc>
        <w:tc>
          <w:tcPr>
            <w:tcW w:w="1350" w:type="dxa"/>
            <w:shd w:val="clear" w:color="auto" w:fill="000000" w:themeFill="text1"/>
            <w:vAlign w:val="bottom"/>
          </w:tcPr>
          <w:p w14:paraId="45F916F9" w14:textId="4DF63A6C" w:rsidR="009577F5" w:rsidRPr="000547DF" w:rsidRDefault="009577F5" w:rsidP="003C7443">
            <w:pPr>
              <w:jc w:val="center"/>
              <w:rPr>
                <w:rFonts w:ascii="Arial" w:hAnsi="Arial" w:cs="Arial"/>
                <w:sz w:val="20"/>
                <w:szCs w:val="20"/>
              </w:rPr>
            </w:pPr>
          </w:p>
        </w:tc>
        <w:tc>
          <w:tcPr>
            <w:tcW w:w="1345" w:type="dxa"/>
            <w:shd w:val="clear" w:color="auto" w:fill="000000" w:themeFill="text1"/>
            <w:vAlign w:val="bottom"/>
          </w:tcPr>
          <w:p w14:paraId="7FF31B1B" w14:textId="30B29476" w:rsidR="009577F5" w:rsidRPr="000547DF" w:rsidRDefault="009577F5" w:rsidP="003C7443">
            <w:pPr>
              <w:jc w:val="center"/>
              <w:rPr>
                <w:rFonts w:ascii="Arial" w:hAnsi="Arial" w:cs="Arial"/>
                <w:sz w:val="20"/>
                <w:szCs w:val="20"/>
              </w:rPr>
            </w:pPr>
          </w:p>
        </w:tc>
      </w:tr>
      <w:tr w:rsidR="009577F5" w14:paraId="7CAEC01C" w14:textId="77777777" w:rsidTr="002056C9">
        <w:trPr>
          <w:jc w:val="center"/>
        </w:trPr>
        <w:tc>
          <w:tcPr>
            <w:tcW w:w="2065" w:type="dxa"/>
            <w:vAlign w:val="center"/>
          </w:tcPr>
          <w:p w14:paraId="0CCA7FF1" w14:textId="77777777" w:rsidR="009577F5" w:rsidRDefault="009577F5" w:rsidP="003C7443">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shd w:val="clear" w:color="auto" w:fill="000000" w:themeFill="text1"/>
            <w:vAlign w:val="bottom"/>
          </w:tcPr>
          <w:p w14:paraId="4F9B0123" w14:textId="5ABB4041" w:rsidR="009577F5" w:rsidRPr="00F83F86" w:rsidRDefault="009577F5" w:rsidP="003C7443">
            <w:pPr>
              <w:jc w:val="center"/>
              <w:rPr>
                <w:rFonts w:ascii="Arial" w:hAnsi="Arial" w:cs="Arial"/>
                <w:b/>
                <w:sz w:val="20"/>
                <w:szCs w:val="20"/>
              </w:rPr>
            </w:pPr>
          </w:p>
        </w:tc>
        <w:tc>
          <w:tcPr>
            <w:tcW w:w="1350" w:type="dxa"/>
            <w:shd w:val="clear" w:color="auto" w:fill="000000" w:themeFill="text1"/>
            <w:vAlign w:val="bottom"/>
          </w:tcPr>
          <w:p w14:paraId="08878B96" w14:textId="14033955" w:rsidR="009577F5" w:rsidRPr="00F83F86" w:rsidRDefault="009577F5" w:rsidP="003C7443">
            <w:pPr>
              <w:jc w:val="center"/>
              <w:rPr>
                <w:rFonts w:ascii="Arial" w:hAnsi="Arial" w:cs="Arial"/>
                <w:b/>
                <w:sz w:val="20"/>
                <w:szCs w:val="20"/>
              </w:rPr>
            </w:pPr>
          </w:p>
        </w:tc>
        <w:tc>
          <w:tcPr>
            <w:tcW w:w="1350" w:type="dxa"/>
            <w:shd w:val="clear" w:color="auto" w:fill="000000" w:themeFill="text1"/>
            <w:vAlign w:val="bottom"/>
          </w:tcPr>
          <w:p w14:paraId="5302B43C" w14:textId="30C1C083" w:rsidR="009577F5" w:rsidRPr="00F83F86" w:rsidRDefault="009577F5" w:rsidP="003C7443">
            <w:pPr>
              <w:jc w:val="center"/>
              <w:rPr>
                <w:rFonts w:ascii="Arial" w:hAnsi="Arial" w:cs="Arial"/>
                <w:b/>
                <w:sz w:val="20"/>
                <w:szCs w:val="20"/>
              </w:rPr>
            </w:pPr>
          </w:p>
        </w:tc>
        <w:tc>
          <w:tcPr>
            <w:tcW w:w="1350" w:type="dxa"/>
            <w:shd w:val="clear" w:color="auto" w:fill="000000" w:themeFill="text1"/>
            <w:vAlign w:val="bottom"/>
          </w:tcPr>
          <w:p w14:paraId="29C94B39" w14:textId="6F8A894A" w:rsidR="009577F5" w:rsidRPr="00F83F86" w:rsidRDefault="009577F5" w:rsidP="003C7443">
            <w:pPr>
              <w:jc w:val="center"/>
              <w:rPr>
                <w:rFonts w:ascii="Arial" w:hAnsi="Arial" w:cs="Arial"/>
                <w:b/>
                <w:sz w:val="20"/>
                <w:szCs w:val="20"/>
              </w:rPr>
            </w:pPr>
          </w:p>
        </w:tc>
        <w:tc>
          <w:tcPr>
            <w:tcW w:w="1345" w:type="dxa"/>
            <w:shd w:val="clear" w:color="auto" w:fill="000000" w:themeFill="text1"/>
            <w:vAlign w:val="bottom"/>
          </w:tcPr>
          <w:p w14:paraId="2A5792FD" w14:textId="771B5B4D" w:rsidR="009577F5" w:rsidRPr="00F83F86" w:rsidRDefault="009577F5" w:rsidP="003C7443">
            <w:pPr>
              <w:jc w:val="center"/>
              <w:rPr>
                <w:rFonts w:ascii="Arial" w:hAnsi="Arial" w:cs="Arial"/>
                <w:b/>
                <w:sz w:val="20"/>
                <w:szCs w:val="20"/>
              </w:rPr>
            </w:pPr>
          </w:p>
        </w:tc>
      </w:tr>
    </w:tbl>
    <w:p w14:paraId="570CE7F5" w14:textId="77777777" w:rsidR="009577F5" w:rsidRDefault="009577F5" w:rsidP="009577F5">
      <w:pPr>
        <w:spacing w:after="120"/>
        <w:rPr>
          <w:szCs w:val="32"/>
        </w:rPr>
      </w:pPr>
    </w:p>
    <w:p w14:paraId="69AFD8B9" w14:textId="064B0203" w:rsidR="00EE17DF" w:rsidRDefault="001C1578" w:rsidP="003A20DB">
      <w:pPr>
        <w:pStyle w:val="Heading3"/>
      </w:pPr>
      <w:bookmarkStart w:id="168" w:name="_Toc509837315"/>
      <w:r>
        <w:t>In-season Support Customers</w:t>
      </w:r>
      <w:bookmarkEnd w:id="168"/>
    </w:p>
    <w:p w14:paraId="19B523C3" w14:textId="77777777" w:rsidR="00BD63E8" w:rsidRDefault="00BD63E8" w:rsidP="00BD63E8">
      <w:pPr>
        <w:spacing w:after="120"/>
        <w:rPr>
          <w:szCs w:val="32"/>
        </w:rPr>
      </w:pPr>
      <w:r>
        <w:rPr>
          <w:szCs w:val="32"/>
        </w:rPr>
        <w:t xml:space="preserve">PG&amp;E offers in-season support (ISS) to all enrolled customers with a valid email address or mobile phone number. The support consists of day-ahead and day-of event notifications plus a performance summary after each event day. </w:t>
      </w:r>
      <w:r>
        <w:t>This enhanced support is offered via email or text message. In this section, we provide comparisons of load impacts for various notification segmentations.</w:t>
      </w:r>
    </w:p>
    <w:p w14:paraId="5529A650" w14:textId="15097628" w:rsidR="00BD63E8" w:rsidRDefault="00F7523F" w:rsidP="00BD63E8">
      <w:pPr>
        <w:spacing w:after="120"/>
        <w:rPr>
          <w:szCs w:val="32"/>
        </w:rPr>
      </w:pPr>
      <w:r>
        <w:rPr>
          <w:noProof/>
          <w:szCs w:val="32"/>
        </w:rPr>
        <mc:AlternateContent>
          <mc:Choice Requires="wps">
            <w:drawing>
              <wp:anchor distT="0" distB="0" distL="114300" distR="114300" simplePos="0" relativeHeight="251670528" behindDoc="0" locked="0" layoutInCell="1" allowOverlap="1" wp14:anchorId="7803226C" wp14:editId="66E6650B">
                <wp:simplePos x="0" y="0"/>
                <wp:positionH relativeFrom="margin">
                  <wp:align>right</wp:align>
                </wp:positionH>
                <wp:positionV relativeFrom="paragraph">
                  <wp:posOffset>2927626</wp:posOffset>
                </wp:positionV>
                <wp:extent cx="5422789" cy="397566"/>
                <wp:effectExtent l="0" t="0" r="26035" b="21590"/>
                <wp:wrapNone/>
                <wp:docPr id="23" name="Text Box 23"/>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5955A6D3"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03226C" id="Text Box 23" o:spid="_x0000_s1032" type="#_x0000_t202" style="position:absolute;margin-left:375.8pt;margin-top:230.5pt;width:427pt;height:31.3pt;z-index:25167052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" fillcolor="white [3201]" strokeweight=".5pt">
                <v:textbox>
                  <w:txbxContent>
                    <w:p w14:paraId="5955A6D3"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BD63E8">
        <w:rPr>
          <w:szCs w:val="32"/>
        </w:rPr>
        <w:fldChar w:fldCharType="begin"/>
      </w:r>
      <w:r w:rsidR="00BD63E8">
        <w:rPr>
          <w:szCs w:val="32"/>
        </w:rPr>
        <w:instrText xml:space="preserve"> REF _Ref507158326 \h </w:instrText>
      </w:r>
      <w:r w:rsidR="00BD63E8">
        <w:rPr>
          <w:szCs w:val="32"/>
        </w:rPr>
      </w:r>
      <w:r w:rsidR="00BD63E8">
        <w:rPr>
          <w:szCs w:val="32"/>
        </w:rPr>
        <w:fldChar w:fldCharType="separate"/>
      </w:r>
      <w:r w:rsidR="005D5C7C" w:rsidRPr="00BD63E8">
        <w:rPr>
          <w:highlight w:val="lightGray"/>
        </w:rPr>
        <w:t xml:space="preserve">Figure </w:t>
      </w:r>
      <w:r w:rsidR="005D5C7C">
        <w:rPr>
          <w:noProof/>
          <w:highlight w:val="lightGray"/>
        </w:rPr>
        <w:t>3</w:t>
      </w:r>
      <w:r w:rsidR="005D5C7C" w:rsidRPr="00BD63E8">
        <w:rPr>
          <w:highlight w:val="lightGray"/>
        </w:rPr>
        <w:t>.</w:t>
      </w:r>
      <w:r w:rsidR="005D5C7C">
        <w:rPr>
          <w:noProof/>
          <w:highlight w:val="lightGray"/>
        </w:rPr>
        <w:t>12</w:t>
      </w:r>
      <w:r w:rsidR="00BD63E8">
        <w:rPr>
          <w:szCs w:val="32"/>
        </w:rPr>
        <w:fldChar w:fldCharType="end"/>
      </w:r>
      <w:r w:rsidR="00BD63E8">
        <w:rPr>
          <w:szCs w:val="32"/>
        </w:rPr>
        <w:t xml:space="preserve"> summarizes the number of service accounts and average percentage load impacts (in parentheses) for customers receiving enhanced ISS versus customers receiving standard event notifications. Results are shown by size group to reflect the size-based selection into Enhanced ISS. That is, only 29 percent of small customers opt for Enhanced ISS, while 54 percent of large customers do. Within each of these groups, the enrollments and percentage load impacts are further summarized according to whether the customer had been on PDP prior to October 2016 (“Existing PDP”) or was defaulted onto PDP at the end of 2016 (“2016 Default).</w:t>
      </w:r>
      <w:r w:rsidR="00BD63E8">
        <w:rPr>
          <w:rStyle w:val="FootnoteReference"/>
          <w:szCs w:val="32"/>
        </w:rPr>
        <w:footnoteReference w:id="13"/>
      </w:r>
      <w:r w:rsidR="00BD63E8">
        <w:rPr>
          <w:szCs w:val="32"/>
        </w:rPr>
        <w:t xml:space="preserve"> For the “2016 Default” customers, we further distinguish between early enrollees and defaulted customers. </w:t>
      </w:r>
      <w:r w:rsidR="00BD63E8">
        <w:rPr>
          <w:szCs w:val="32"/>
        </w:rPr>
        <w:fldChar w:fldCharType="begin"/>
      </w:r>
      <w:r w:rsidR="00BD63E8">
        <w:rPr>
          <w:szCs w:val="32"/>
        </w:rPr>
        <w:instrText xml:space="preserve"> REF _Ref507159016 \h </w:instrText>
      </w:r>
      <w:r w:rsidR="00BD63E8">
        <w:rPr>
          <w:szCs w:val="32"/>
        </w:rPr>
      </w:r>
      <w:r w:rsidR="00BD63E8">
        <w:rPr>
          <w:szCs w:val="32"/>
        </w:rPr>
        <w:fldChar w:fldCharType="separate"/>
      </w:r>
      <w:r w:rsidR="005D5C7C">
        <w:t xml:space="preserve">Table </w:t>
      </w:r>
      <w:r w:rsidR="005D5C7C">
        <w:rPr>
          <w:noProof/>
        </w:rPr>
        <w:t>3</w:t>
      </w:r>
      <w:r w:rsidR="005D5C7C">
        <w:t>.</w:t>
      </w:r>
      <w:r w:rsidR="005D5C7C">
        <w:rPr>
          <w:noProof/>
        </w:rPr>
        <w:t>14</w:t>
      </w:r>
      <w:r w:rsidR="00BD63E8">
        <w:rPr>
          <w:szCs w:val="32"/>
        </w:rPr>
        <w:fldChar w:fldCharType="end"/>
      </w:r>
      <w:r w:rsidR="00BD63E8">
        <w:rPr>
          <w:szCs w:val="32"/>
        </w:rPr>
        <w:t xml:space="preserve"> provides additional detail behind each node of the figure (with the “Diagram </w:t>
      </w:r>
      <w:r w:rsidR="00BD63E8">
        <w:rPr>
          <w:szCs w:val="32"/>
        </w:rPr>
        <w:lastRenderedPageBreak/>
        <w:t>Item No.” included to facilitate comparisons), summarized across all size groups combined.</w:t>
      </w:r>
    </w:p>
    <w:p w14:paraId="39DE26ED" w14:textId="77777777" w:rsidR="00BD63E8" w:rsidRDefault="00BD63E8" w:rsidP="00BD63E8">
      <w:pPr>
        <w:spacing w:after="120"/>
        <w:rPr>
          <w:szCs w:val="32"/>
        </w:rPr>
      </w:pPr>
      <w:r>
        <w:rPr>
          <w:szCs w:val="32"/>
        </w:rPr>
        <w:t xml:space="preserve">The results show that Enhanced ISS is associated with higher load impacts for large customers, with the percentage load impact of 5 percent versus 3 percent for standard notification customers. This appears to be driven by the 772 large Existing PDP customers, who have 7 percent load impacts on Enhanced ISS versus 3 percent load impacts from the 571 large customers with standard notification. </w:t>
      </w:r>
    </w:p>
    <w:p w14:paraId="1A88201A" w14:textId="77777777" w:rsidR="00BD63E8" w:rsidRDefault="00BD63E8" w:rsidP="00BD63E8">
      <w:pPr>
        <w:spacing w:after="120"/>
        <w:rPr>
          <w:szCs w:val="32"/>
        </w:rPr>
      </w:pPr>
      <w:r>
        <w:rPr>
          <w:szCs w:val="32"/>
        </w:rPr>
        <w:t>One counter-intuitive result in the figure is that Enhanced ISS load impacts are lower than standard-notification load impacts for large early enrollees (item 7 versus item 9, with 3 percent versus 7 percent load impacts).</w:t>
      </w:r>
      <w:r>
        <w:rPr>
          <w:rStyle w:val="FootnoteReference"/>
          <w:szCs w:val="32"/>
        </w:rPr>
        <w:footnoteReference w:id="14"/>
      </w:r>
      <w:r>
        <w:rPr>
          <w:szCs w:val="32"/>
        </w:rPr>
        <w:t xml:space="preserve"> While we don’t know the cause of this difference, we can note some differences between the large ISS and standard customers in these groups:</w:t>
      </w:r>
    </w:p>
    <w:p w14:paraId="73443C4A" w14:textId="77777777" w:rsidR="00BD63E8" w:rsidRPr="006F200B" w:rsidRDefault="00BD63E8" w:rsidP="00BD63E8">
      <w:pPr>
        <w:pStyle w:val="ListParagraph"/>
        <w:numPr>
          <w:ilvl w:val="0"/>
          <w:numId w:val="47"/>
        </w:numPr>
        <w:spacing w:after="120"/>
        <w:rPr>
          <w:rFonts w:asciiTheme="minorHAnsi" w:hAnsiTheme="minorHAnsi" w:cstheme="minorHAnsi"/>
          <w:szCs w:val="32"/>
        </w:rPr>
      </w:pPr>
      <w:r w:rsidRPr="006F200B">
        <w:rPr>
          <w:rFonts w:asciiTheme="minorHAnsi" w:hAnsiTheme="minorHAnsi" w:cstheme="minorHAnsi"/>
          <w:szCs w:val="32"/>
        </w:rPr>
        <w:t xml:space="preserve">The </w:t>
      </w:r>
      <w:r>
        <w:rPr>
          <w:rFonts w:asciiTheme="minorHAnsi" w:hAnsiTheme="minorHAnsi" w:cstheme="minorHAnsi"/>
          <w:szCs w:val="32"/>
        </w:rPr>
        <w:t xml:space="preserve">enhanced </w:t>
      </w:r>
      <w:r w:rsidRPr="006F200B">
        <w:rPr>
          <w:rFonts w:asciiTheme="minorHAnsi" w:hAnsiTheme="minorHAnsi" w:cstheme="minorHAnsi"/>
          <w:szCs w:val="32"/>
        </w:rPr>
        <w:t>ISS customers are less likely to be in the Agriculture, Mining, and Construction industry group (42 vs. 67 percent) and more likely to be in the Manufacturing industry group (9 vs. 4 percent).</w:t>
      </w:r>
    </w:p>
    <w:p w14:paraId="1BC9E197" w14:textId="77777777" w:rsidR="00BD63E8" w:rsidRPr="006F200B" w:rsidRDefault="00BD63E8" w:rsidP="00BD63E8">
      <w:pPr>
        <w:pStyle w:val="ListParagraph"/>
        <w:numPr>
          <w:ilvl w:val="0"/>
          <w:numId w:val="47"/>
        </w:numPr>
        <w:spacing w:after="120"/>
        <w:rPr>
          <w:rFonts w:asciiTheme="minorHAnsi" w:hAnsiTheme="minorHAnsi" w:cstheme="minorHAnsi"/>
          <w:szCs w:val="32"/>
        </w:rPr>
      </w:pPr>
      <w:r w:rsidRPr="006F200B">
        <w:rPr>
          <w:rFonts w:asciiTheme="minorHAnsi" w:hAnsiTheme="minorHAnsi" w:cstheme="minorHAnsi"/>
          <w:szCs w:val="32"/>
        </w:rPr>
        <w:t>The Standard notification customers are more likely to be in the Greater Fresno and Kern LCAs and less likely to be in the Greater Bay Area LCA.</w:t>
      </w:r>
    </w:p>
    <w:p w14:paraId="2AE01754" w14:textId="77777777" w:rsidR="00BD63E8" w:rsidRPr="006F200B" w:rsidRDefault="00BD63E8" w:rsidP="00BD63E8">
      <w:pPr>
        <w:pStyle w:val="ListParagraph"/>
        <w:numPr>
          <w:ilvl w:val="0"/>
          <w:numId w:val="47"/>
        </w:numPr>
        <w:spacing w:after="120"/>
        <w:rPr>
          <w:rFonts w:asciiTheme="minorHAnsi" w:hAnsiTheme="minorHAnsi" w:cstheme="minorHAnsi"/>
          <w:szCs w:val="32"/>
        </w:rPr>
      </w:pPr>
      <w:r w:rsidRPr="006F200B">
        <w:rPr>
          <w:rFonts w:asciiTheme="minorHAnsi" w:hAnsiTheme="minorHAnsi" w:cstheme="minorHAnsi"/>
          <w:szCs w:val="32"/>
        </w:rPr>
        <w:t xml:space="preserve">The </w:t>
      </w:r>
      <w:r>
        <w:rPr>
          <w:rFonts w:asciiTheme="minorHAnsi" w:hAnsiTheme="minorHAnsi" w:cstheme="minorHAnsi"/>
          <w:szCs w:val="32"/>
        </w:rPr>
        <w:t xml:space="preserve">enhanced </w:t>
      </w:r>
      <w:r w:rsidRPr="006F200B">
        <w:rPr>
          <w:rFonts w:asciiTheme="minorHAnsi" w:hAnsiTheme="minorHAnsi" w:cstheme="minorHAnsi"/>
          <w:szCs w:val="32"/>
        </w:rPr>
        <w:t>ISS customers have significantly higher reference loads (233 kWh/hour/customer vs. 174 kWh/hour/customer).</w:t>
      </w:r>
    </w:p>
    <w:p w14:paraId="71EBB134" w14:textId="1563AFC5" w:rsidR="00BD63E8" w:rsidRDefault="00BD63E8" w:rsidP="00BD63E8">
      <w:pPr>
        <w:pStyle w:val="FigureCaption"/>
        <w:keepLines/>
        <w:rPr>
          <w:i/>
        </w:rPr>
      </w:pPr>
      <w:bookmarkStart w:id="169" w:name="_Ref507158326"/>
      <w:bookmarkStart w:id="170" w:name="_Toc508894734"/>
      <w:bookmarkStart w:id="171" w:name="_Toc509837460"/>
      <w:r w:rsidRPr="00BD63E8">
        <w:rPr>
          <w:highlight w:val="lightGray"/>
        </w:rPr>
        <w:lastRenderedPageBreak/>
        <w:t xml:space="preserve">Figure </w:t>
      </w:r>
      <w:r w:rsidRPr="00BD63E8">
        <w:rPr>
          <w:highlight w:val="lightGray"/>
        </w:rPr>
        <w:fldChar w:fldCharType="begin"/>
      </w:r>
      <w:r w:rsidRPr="00BD63E8">
        <w:rPr>
          <w:highlight w:val="lightGray"/>
        </w:rPr>
        <w:instrText xml:space="preserve"> STYLEREF 1 \s </w:instrText>
      </w:r>
      <w:r w:rsidRPr="00BD63E8">
        <w:rPr>
          <w:highlight w:val="lightGray"/>
        </w:rPr>
        <w:fldChar w:fldCharType="separate"/>
      </w:r>
      <w:r w:rsidR="005D5C7C">
        <w:rPr>
          <w:noProof/>
          <w:highlight w:val="lightGray"/>
        </w:rPr>
        <w:t>3</w:t>
      </w:r>
      <w:r w:rsidRPr="00BD63E8">
        <w:rPr>
          <w:noProof/>
          <w:highlight w:val="lightGray"/>
        </w:rPr>
        <w:fldChar w:fldCharType="end"/>
      </w:r>
      <w:r w:rsidRPr="00BD63E8">
        <w:rPr>
          <w:highlight w:val="lightGray"/>
        </w:rPr>
        <w:t>.</w:t>
      </w:r>
      <w:r w:rsidRPr="00BD63E8">
        <w:rPr>
          <w:highlight w:val="lightGray"/>
        </w:rPr>
        <w:fldChar w:fldCharType="begin"/>
      </w:r>
      <w:r w:rsidRPr="00BD63E8">
        <w:rPr>
          <w:highlight w:val="lightGray"/>
        </w:rPr>
        <w:instrText xml:space="preserve"> SEQ Figure \* ARABIC \s 1 </w:instrText>
      </w:r>
      <w:r w:rsidRPr="00BD63E8">
        <w:rPr>
          <w:highlight w:val="lightGray"/>
        </w:rPr>
        <w:fldChar w:fldCharType="separate"/>
      </w:r>
      <w:r w:rsidR="005D5C7C">
        <w:rPr>
          <w:noProof/>
          <w:highlight w:val="lightGray"/>
        </w:rPr>
        <w:t>12</w:t>
      </w:r>
      <w:r w:rsidRPr="00BD63E8">
        <w:rPr>
          <w:noProof/>
          <w:highlight w:val="lightGray"/>
        </w:rPr>
        <w:fldChar w:fldCharType="end"/>
      </w:r>
      <w:bookmarkEnd w:id="169"/>
      <w:r w:rsidRPr="00BD63E8">
        <w:rPr>
          <w:highlight w:val="lightGray"/>
        </w:rPr>
        <w:t xml:space="preserve">: Number of Service Accounts and Percentage Load Impacts, </w:t>
      </w:r>
      <w:r w:rsidRPr="00BD63E8">
        <w:rPr>
          <w:i/>
          <w:highlight w:val="lightGray"/>
        </w:rPr>
        <w:t>PG&amp;E Segmentation 1</w:t>
      </w:r>
      <w:bookmarkEnd w:id="170"/>
      <w:bookmarkEnd w:id="171"/>
    </w:p>
    <w:p w14:paraId="79FA00DD" w14:textId="0C39E1F2" w:rsidR="00BD63E8" w:rsidRDefault="002056C9" w:rsidP="00BD63E8">
      <w:pPr>
        <w:keepNext/>
        <w:keepLines/>
        <w:jc w:val="center"/>
      </w:pPr>
      <w:r>
        <w:rPr>
          <w:noProof/>
        </w:rPr>
        <w:drawing>
          <wp:inline distT="0" distB="0" distL="0" distR="0" wp14:anchorId="239DC7B9" wp14:editId="5263BFCD">
            <wp:extent cx="5048885" cy="5406887"/>
            <wp:effectExtent l="0" t="0" r="18415" b="3810"/>
            <wp:docPr id="99" name="Chart 99">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07000A8F" w14:textId="64267BB2" w:rsidR="00BD63E8" w:rsidRPr="00A9257A" w:rsidRDefault="00F7523F" w:rsidP="00BD63E8">
      <w:r>
        <w:rPr>
          <w:noProof/>
          <w:szCs w:val="32"/>
        </w:rPr>
        <mc:AlternateContent>
          <mc:Choice Requires="wps">
            <w:drawing>
              <wp:anchor distT="0" distB="0" distL="114300" distR="114300" simplePos="0" relativeHeight="251672576" behindDoc="0" locked="0" layoutInCell="1" allowOverlap="1" wp14:anchorId="33645786" wp14:editId="41A7905F">
                <wp:simplePos x="0" y="0"/>
                <wp:positionH relativeFrom="margin">
                  <wp:align>right</wp:align>
                </wp:positionH>
                <wp:positionV relativeFrom="paragraph">
                  <wp:posOffset>2631247</wp:posOffset>
                </wp:positionV>
                <wp:extent cx="5422789" cy="397566"/>
                <wp:effectExtent l="0" t="0" r="26035" b="21590"/>
                <wp:wrapNone/>
                <wp:docPr id="26" name="Text Box 26"/>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2DF9D328"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645786" id="Text Box 26" o:spid="_x0000_s1033" type="#_x0000_t202" style="position:absolute;margin-left:375.8pt;margin-top:207.2pt;width:427pt;height:31.3pt;z-index:2516725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" fillcolor="white [3201]" strokeweight=".5pt">
                <v:textbox>
                  <w:txbxContent>
                    <w:p w14:paraId="2DF9D328"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27A1D58F" w14:textId="4923773A" w:rsidR="00BD63E8" w:rsidRPr="00A9257A" w:rsidRDefault="00BD63E8" w:rsidP="00BD63E8">
      <w:pPr>
        <w:pStyle w:val="TableCaption"/>
        <w:keepLines/>
        <w:rPr>
          <w:i/>
        </w:rPr>
      </w:pPr>
      <w:bookmarkStart w:id="172" w:name="_Ref507159016"/>
      <w:bookmarkStart w:id="173" w:name="_Toc508894645"/>
      <w:bookmarkStart w:id="174" w:name="_Toc509837371"/>
      <w:r>
        <w:lastRenderedPageBreak/>
        <w:t xml:space="preserve">Table </w:t>
      </w:r>
      <w:fldSimple w:instr=" STYLEREF 1 \s ">
        <w:r w:rsidR="005D5C7C">
          <w:rPr>
            <w:noProof/>
          </w:rPr>
          <w:t>3</w:t>
        </w:r>
      </w:fldSimple>
      <w:r>
        <w:t>.</w:t>
      </w:r>
      <w:fldSimple w:instr=" SEQ Table \* ARABIC \s 1 ">
        <w:r w:rsidR="005D5C7C">
          <w:rPr>
            <w:noProof/>
          </w:rPr>
          <w:t>14</w:t>
        </w:r>
      </w:fldSimple>
      <w:bookmarkEnd w:id="172"/>
      <w:r>
        <w:t xml:space="preserve">: Typical Event Day Load Impacts, </w:t>
      </w:r>
      <w:r>
        <w:rPr>
          <w:i/>
        </w:rPr>
        <w:t>PG&amp;E Segmentation 1</w:t>
      </w:r>
      <w:bookmarkEnd w:id="173"/>
      <w:bookmarkEnd w:id="174"/>
    </w:p>
    <w:tbl>
      <w:tblPr>
        <w:tblW w:w="9313" w:type="dxa"/>
        <w:jc w:val="center"/>
        <w:tblLayout w:type="fixed"/>
        <w:tblLook w:val="04A0" w:firstRow="1" w:lastRow="0" w:firstColumn="1" w:lastColumn="0" w:noHBand="0" w:noVBand="1"/>
      </w:tblPr>
      <w:tblGrid>
        <w:gridCol w:w="943"/>
        <w:gridCol w:w="1914"/>
        <w:gridCol w:w="876"/>
        <w:gridCol w:w="1327"/>
        <w:gridCol w:w="1193"/>
        <w:gridCol w:w="1170"/>
        <w:gridCol w:w="1170"/>
        <w:gridCol w:w="720"/>
      </w:tblGrid>
      <w:tr w:rsidR="00BD63E8" w:rsidRPr="00955C76" w14:paraId="25D54FBD" w14:textId="77777777" w:rsidTr="008D1F64">
        <w:trPr>
          <w:trHeight w:val="566"/>
          <w:jc w:val="center"/>
        </w:trPr>
        <w:tc>
          <w:tcPr>
            <w:tcW w:w="943" w:type="dxa"/>
            <w:vMerge w:val="restart"/>
            <w:tcBorders>
              <w:top w:val="single" w:sz="4" w:space="0" w:color="auto"/>
              <w:left w:val="single" w:sz="4" w:space="0" w:color="auto"/>
              <w:right w:val="nil"/>
            </w:tcBorders>
            <w:shd w:val="clear" w:color="000000" w:fill="0C2577"/>
            <w:vAlign w:val="center"/>
          </w:tcPr>
          <w:p w14:paraId="068A9EFA"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Diagram Item No.</w:t>
            </w:r>
          </w:p>
        </w:tc>
        <w:tc>
          <w:tcPr>
            <w:tcW w:w="1914" w:type="dxa"/>
            <w:vMerge w:val="restart"/>
            <w:tcBorders>
              <w:top w:val="single" w:sz="4" w:space="0" w:color="auto"/>
              <w:left w:val="single" w:sz="4" w:space="0" w:color="FFFFFF"/>
              <w:right w:val="nil"/>
            </w:tcBorders>
            <w:shd w:val="clear" w:color="000000" w:fill="0C2577"/>
            <w:noWrap/>
            <w:vAlign w:val="center"/>
          </w:tcPr>
          <w:p w14:paraId="0F019000"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Group</w:t>
            </w:r>
          </w:p>
        </w:tc>
        <w:tc>
          <w:tcPr>
            <w:tcW w:w="876" w:type="dxa"/>
            <w:vMerge w:val="restart"/>
            <w:tcBorders>
              <w:top w:val="single" w:sz="4" w:space="0" w:color="auto"/>
              <w:left w:val="single" w:sz="4" w:space="0" w:color="FFFFFF"/>
              <w:right w:val="nil"/>
            </w:tcBorders>
            <w:shd w:val="clear" w:color="000000" w:fill="0C2577"/>
            <w:vAlign w:val="center"/>
          </w:tcPr>
          <w:p w14:paraId="49FE05CC"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 of Service Accts</w:t>
            </w:r>
          </w:p>
        </w:tc>
        <w:tc>
          <w:tcPr>
            <w:tcW w:w="2520" w:type="dxa"/>
            <w:gridSpan w:val="2"/>
            <w:tcBorders>
              <w:top w:val="single" w:sz="4" w:space="0" w:color="auto"/>
              <w:left w:val="single" w:sz="4" w:space="0" w:color="FFFFFF"/>
              <w:bottom w:val="single" w:sz="4" w:space="0" w:color="FFFFFF"/>
              <w:right w:val="single" w:sz="4" w:space="0" w:color="FFFFFF"/>
            </w:tcBorders>
            <w:shd w:val="clear" w:color="000000" w:fill="0C2577"/>
            <w:vAlign w:val="center"/>
          </w:tcPr>
          <w:p w14:paraId="31314CFC"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Aggregate Results</w:t>
            </w:r>
            <w:r>
              <w:rPr>
                <w:rFonts w:ascii="Arial" w:hAnsi="Arial" w:cs="Arial"/>
                <w:b/>
                <w:bCs/>
                <w:color w:val="FFFFFF"/>
                <w:sz w:val="18"/>
                <w:szCs w:val="18"/>
              </w:rPr>
              <w:t xml:space="preserve"> </w:t>
            </w:r>
            <w:r w:rsidRPr="003C2A9B">
              <w:rPr>
                <w:rFonts w:ascii="Arial" w:hAnsi="Arial" w:cs="Arial"/>
                <w:b/>
                <w:bCs/>
                <w:color w:val="FFFFFF"/>
                <w:sz w:val="18"/>
                <w:szCs w:val="18"/>
              </w:rPr>
              <w:t>(MWh/hour)</w:t>
            </w:r>
          </w:p>
        </w:tc>
        <w:tc>
          <w:tcPr>
            <w:tcW w:w="2340" w:type="dxa"/>
            <w:gridSpan w:val="2"/>
            <w:tcBorders>
              <w:top w:val="single" w:sz="4" w:space="0" w:color="auto"/>
              <w:left w:val="nil"/>
              <w:bottom w:val="single" w:sz="4" w:space="0" w:color="FFFFFF"/>
              <w:right w:val="single" w:sz="4" w:space="0" w:color="FFFFFF"/>
            </w:tcBorders>
            <w:shd w:val="clear" w:color="000000" w:fill="0C2577"/>
            <w:vAlign w:val="center"/>
          </w:tcPr>
          <w:p w14:paraId="4B632C46"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Per-customer Results</w:t>
            </w:r>
            <w:r>
              <w:rPr>
                <w:rFonts w:ascii="Arial" w:hAnsi="Arial" w:cs="Arial"/>
                <w:b/>
                <w:bCs/>
                <w:color w:val="FFFFFF"/>
                <w:sz w:val="18"/>
                <w:szCs w:val="18"/>
              </w:rPr>
              <w:t xml:space="preserve"> </w:t>
            </w:r>
            <w:r w:rsidRPr="003C2A9B">
              <w:rPr>
                <w:rFonts w:ascii="Arial" w:hAnsi="Arial" w:cs="Arial"/>
                <w:b/>
                <w:bCs/>
                <w:color w:val="FFFFFF"/>
                <w:sz w:val="18"/>
                <w:szCs w:val="18"/>
              </w:rPr>
              <w:t>(kWh/hour)</w:t>
            </w:r>
          </w:p>
        </w:tc>
        <w:tc>
          <w:tcPr>
            <w:tcW w:w="720" w:type="dxa"/>
            <w:vMerge w:val="restart"/>
            <w:tcBorders>
              <w:top w:val="single" w:sz="4" w:space="0" w:color="auto"/>
              <w:left w:val="nil"/>
              <w:right w:val="single" w:sz="4" w:space="0" w:color="auto"/>
            </w:tcBorders>
            <w:shd w:val="clear" w:color="000000" w:fill="0C2577"/>
            <w:vAlign w:val="center"/>
          </w:tcPr>
          <w:p w14:paraId="36A65345"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 LI</w:t>
            </w:r>
          </w:p>
        </w:tc>
      </w:tr>
      <w:tr w:rsidR="00BD63E8" w:rsidRPr="00955C76" w14:paraId="6BDDF149" w14:textId="77777777" w:rsidTr="008D1F64">
        <w:trPr>
          <w:trHeight w:val="728"/>
          <w:jc w:val="center"/>
        </w:trPr>
        <w:tc>
          <w:tcPr>
            <w:tcW w:w="943" w:type="dxa"/>
            <w:vMerge/>
            <w:tcBorders>
              <w:left w:val="single" w:sz="4" w:space="0" w:color="auto"/>
              <w:bottom w:val="single" w:sz="4" w:space="0" w:color="auto"/>
              <w:right w:val="nil"/>
            </w:tcBorders>
            <w:shd w:val="clear" w:color="000000" w:fill="0C2577"/>
            <w:vAlign w:val="bottom"/>
            <w:hideMark/>
          </w:tcPr>
          <w:p w14:paraId="0360DF0E" w14:textId="77777777" w:rsidR="00BD63E8" w:rsidRPr="003C2A9B" w:rsidRDefault="00BD63E8" w:rsidP="008D1F64">
            <w:pPr>
              <w:keepNext/>
              <w:keepLines/>
              <w:jc w:val="center"/>
              <w:rPr>
                <w:rFonts w:ascii="Arial" w:hAnsi="Arial" w:cs="Arial"/>
                <w:b/>
                <w:bCs/>
                <w:color w:val="FFFFFF"/>
                <w:sz w:val="18"/>
                <w:szCs w:val="18"/>
              </w:rPr>
            </w:pPr>
          </w:p>
        </w:tc>
        <w:tc>
          <w:tcPr>
            <w:tcW w:w="1914" w:type="dxa"/>
            <w:vMerge/>
            <w:tcBorders>
              <w:left w:val="single" w:sz="4" w:space="0" w:color="FFFFFF"/>
              <w:bottom w:val="single" w:sz="4" w:space="0" w:color="auto"/>
              <w:right w:val="nil"/>
            </w:tcBorders>
            <w:shd w:val="clear" w:color="000000" w:fill="0C2577"/>
            <w:noWrap/>
            <w:vAlign w:val="bottom"/>
            <w:hideMark/>
          </w:tcPr>
          <w:p w14:paraId="3659C3F3" w14:textId="77777777" w:rsidR="00BD63E8" w:rsidRPr="003C2A9B" w:rsidRDefault="00BD63E8" w:rsidP="008D1F64">
            <w:pPr>
              <w:keepNext/>
              <w:keepLines/>
              <w:jc w:val="center"/>
              <w:rPr>
                <w:rFonts w:ascii="Arial" w:hAnsi="Arial" w:cs="Arial"/>
                <w:b/>
                <w:bCs/>
                <w:color w:val="FFFFFF"/>
                <w:sz w:val="18"/>
                <w:szCs w:val="18"/>
              </w:rPr>
            </w:pPr>
          </w:p>
        </w:tc>
        <w:tc>
          <w:tcPr>
            <w:tcW w:w="876" w:type="dxa"/>
            <w:vMerge/>
            <w:tcBorders>
              <w:left w:val="single" w:sz="4" w:space="0" w:color="FFFFFF"/>
              <w:bottom w:val="single" w:sz="4" w:space="0" w:color="auto"/>
              <w:right w:val="nil"/>
            </w:tcBorders>
            <w:shd w:val="clear" w:color="000000" w:fill="0C2577"/>
            <w:vAlign w:val="bottom"/>
            <w:hideMark/>
          </w:tcPr>
          <w:p w14:paraId="2CBF0D08" w14:textId="77777777" w:rsidR="00BD63E8" w:rsidRPr="003C2A9B" w:rsidRDefault="00BD63E8" w:rsidP="008D1F64">
            <w:pPr>
              <w:keepNext/>
              <w:keepLines/>
              <w:jc w:val="center"/>
              <w:rPr>
                <w:rFonts w:ascii="Arial" w:hAnsi="Arial" w:cs="Arial"/>
                <w:b/>
                <w:bCs/>
                <w:color w:val="FFFFFF"/>
                <w:sz w:val="18"/>
                <w:szCs w:val="18"/>
              </w:rPr>
            </w:pPr>
          </w:p>
        </w:tc>
        <w:tc>
          <w:tcPr>
            <w:tcW w:w="1327" w:type="dxa"/>
            <w:tcBorders>
              <w:top w:val="single" w:sz="4" w:space="0" w:color="FFFFFF"/>
              <w:left w:val="single" w:sz="4" w:space="0" w:color="FFFFFF"/>
              <w:bottom w:val="single" w:sz="4" w:space="0" w:color="auto"/>
              <w:right w:val="nil"/>
            </w:tcBorders>
            <w:shd w:val="clear" w:color="000000" w:fill="0C2577"/>
            <w:vAlign w:val="center"/>
            <w:hideMark/>
          </w:tcPr>
          <w:p w14:paraId="3863B7E2"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Estimated Reference Load</w:t>
            </w:r>
          </w:p>
        </w:tc>
        <w:tc>
          <w:tcPr>
            <w:tcW w:w="1193" w:type="dxa"/>
            <w:tcBorders>
              <w:top w:val="single" w:sz="4" w:space="0" w:color="FFFFFF"/>
              <w:left w:val="single" w:sz="4" w:space="0" w:color="FFFFFF"/>
              <w:bottom w:val="single" w:sz="4" w:space="0" w:color="auto"/>
              <w:right w:val="single" w:sz="4" w:space="0" w:color="FFFFFF"/>
            </w:tcBorders>
            <w:shd w:val="clear" w:color="000000" w:fill="0C2577"/>
            <w:vAlign w:val="center"/>
            <w:hideMark/>
          </w:tcPr>
          <w:p w14:paraId="649239FB"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 xml:space="preserve">Estimated Load Impact </w:t>
            </w:r>
          </w:p>
        </w:tc>
        <w:tc>
          <w:tcPr>
            <w:tcW w:w="1170" w:type="dxa"/>
            <w:tcBorders>
              <w:top w:val="single" w:sz="4" w:space="0" w:color="FFFFFF"/>
              <w:left w:val="nil"/>
              <w:bottom w:val="single" w:sz="4" w:space="0" w:color="auto"/>
              <w:right w:val="nil"/>
            </w:tcBorders>
            <w:shd w:val="clear" w:color="000000" w:fill="0C2577"/>
            <w:vAlign w:val="center"/>
            <w:hideMark/>
          </w:tcPr>
          <w:p w14:paraId="58C74D11"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 xml:space="preserve">Estimated Reference Load </w:t>
            </w:r>
          </w:p>
        </w:tc>
        <w:tc>
          <w:tcPr>
            <w:tcW w:w="1170" w:type="dxa"/>
            <w:tcBorders>
              <w:top w:val="single" w:sz="4" w:space="0" w:color="FFFFFF"/>
              <w:left w:val="single" w:sz="4" w:space="0" w:color="FFFFFF"/>
              <w:bottom w:val="single" w:sz="4" w:space="0" w:color="auto"/>
              <w:right w:val="single" w:sz="4" w:space="0" w:color="FFFFFF"/>
            </w:tcBorders>
            <w:shd w:val="clear" w:color="000000" w:fill="0C2577"/>
            <w:vAlign w:val="center"/>
            <w:hideMark/>
          </w:tcPr>
          <w:p w14:paraId="70E45AD1" w14:textId="77777777" w:rsidR="00BD63E8" w:rsidRPr="003C2A9B" w:rsidRDefault="00BD63E8" w:rsidP="008D1F64">
            <w:pPr>
              <w:keepNext/>
              <w:keepLines/>
              <w:jc w:val="center"/>
              <w:rPr>
                <w:rFonts w:ascii="Arial" w:hAnsi="Arial" w:cs="Arial"/>
                <w:b/>
                <w:bCs/>
                <w:color w:val="FFFFFF"/>
                <w:sz w:val="18"/>
                <w:szCs w:val="18"/>
              </w:rPr>
            </w:pPr>
            <w:r w:rsidRPr="003C2A9B">
              <w:rPr>
                <w:rFonts w:ascii="Arial" w:hAnsi="Arial" w:cs="Arial"/>
                <w:b/>
                <w:bCs/>
                <w:color w:val="FFFFFF"/>
                <w:sz w:val="18"/>
                <w:szCs w:val="18"/>
              </w:rPr>
              <w:t xml:space="preserve">Estimated Load Impact </w:t>
            </w:r>
          </w:p>
        </w:tc>
        <w:tc>
          <w:tcPr>
            <w:tcW w:w="720" w:type="dxa"/>
            <w:vMerge/>
            <w:tcBorders>
              <w:left w:val="nil"/>
              <w:bottom w:val="single" w:sz="4" w:space="0" w:color="auto"/>
              <w:right w:val="single" w:sz="4" w:space="0" w:color="auto"/>
            </w:tcBorders>
            <w:shd w:val="clear" w:color="000000" w:fill="0C2577"/>
            <w:vAlign w:val="bottom"/>
            <w:hideMark/>
          </w:tcPr>
          <w:p w14:paraId="037CF55F" w14:textId="77777777" w:rsidR="00BD63E8" w:rsidRPr="003C2A9B" w:rsidRDefault="00BD63E8" w:rsidP="008D1F64">
            <w:pPr>
              <w:keepNext/>
              <w:keepLines/>
              <w:jc w:val="center"/>
              <w:rPr>
                <w:rFonts w:ascii="Arial" w:hAnsi="Arial" w:cs="Arial"/>
                <w:b/>
                <w:bCs/>
                <w:color w:val="FFFFFF"/>
                <w:sz w:val="18"/>
                <w:szCs w:val="18"/>
              </w:rPr>
            </w:pPr>
          </w:p>
        </w:tc>
      </w:tr>
      <w:tr w:rsidR="00BD63E8" w:rsidRPr="00955C76" w14:paraId="052D591A"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hideMark/>
          </w:tcPr>
          <w:p w14:paraId="3C7E6B11"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1</w:t>
            </w:r>
          </w:p>
        </w:tc>
        <w:tc>
          <w:tcPr>
            <w:tcW w:w="1914" w:type="dxa"/>
            <w:tcBorders>
              <w:top w:val="nil"/>
              <w:left w:val="nil"/>
              <w:bottom w:val="single" w:sz="4" w:space="0" w:color="auto"/>
              <w:right w:val="single" w:sz="4" w:space="0" w:color="auto"/>
            </w:tcBorders>
            <w:shd w:val="clear" w:color="auto" w:fill="auto"/>
            <w:noWrap/>
            <w:vAlign w:val="center"/>
            <w:hideMark/>
          </w:tcPr>
          <w:p w14:paraId="58DE343B" w14:textId="77777777" w:rsidR="00BD63E8" w:rsidRDefault="00BD63E8" w:rsidP="008D1F64">
            <w:pPr>
              <w:keepNext/>
              <w:keepLines/>
              <w:rPr>
                <w:rFonts w:ascii="Arial" w:hAnsi="Arial" w:cs="Arial"/>
                <w:sz w:val="18"/>
                <w:szCs w:val="18"/>
              </w:rPr>
            </w:pPr>
            <w:r w:rsidRPr="00033490">
              <w:rPr>
                <w:rFonts w:ascii="Arial" w:hAnsi="Arial" w:cs="Arial"/>
                <w:sz w:val="18"/>
                <w:szCs w:val="18"/>
              </w:rPr>
              <w:t xml:space="preserve">Enhanced ISS, </w:t>
            </w:r>
          </w:p>
          <w:p w14:paraId="5F869918" w14:textId="77777777" w:rsidR="00BD63E8" w:rsidRPr="003C2A9B" w:rsidRDefault="00BD63E8" w:rsidP="008D1F64">
            <w:pPr>
              <w:keepNext/>
              <w:keepLines/>
              <w:rPr>
                <w:rFonts w:ascii="Arial" w:hAnsi="Arial" w:cs="Arial"/>
                <w:sz w:val="18"/>
                <w:szCs w:val="18"/>
              </w:rPr>
            </w:pPr>
            <w:r w:rsidRPr="00033490">
              <w:rPr>
                <w:rFonts w:ascii="Arial" w:hAnsi="Arial" w:cs="Arial"/>
                <w:sz w:val="18"/>
                <w:szCs w:val="18"/>
              </w:rPr>
              <w:t>All</w:t>
            </w:r>
          </w:p>
        </w:tc>
        <w:tc>
          <w:tcPr>
            <w:tcW w:w="876" w:type="dxa"/>
            <w:tcBorders>
              <w:top w:val="nil"/>
              <w:left w:val="nil"/>
              <w:bottom w:val="single" w:sz="4" w:space="0" w:color="auto"/>
              <w:right w:val="single" w:sz="4" w:space="0" w:color="auto"/>
            </w:tcBorders>
            <w:shd w:val="clear" w:color="auto" w:fill="auto"/>
            <w:noWrap/>
            <w:vAlign w:val="center"/>
            <w:hideMark/>
          </w:tcPr>
          <w:p w14:paraId="49AC098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63,738</w:t>
            </w:r>
          </w:p>
        </w:tc>
        <w:tc>
          <w:tcPr>
            <w:tcW w:w="1327" w:type="dxa"/>
            <w:tcBorders>
              <w:top w:val="nil"/>
              <w:left w:val="nil"/>
              <w:bottom w:val="single" w:sz="4" w:space="0" w:color="auto"/>
              <w:right w:val="single" w:sz="4" w:space="0" w:color="auto"/>
            </w:tcBorders>
            <w:shd w:val="clear" w:color="auto" w:fill="auto"/>
            <w:noWrap/>
            <w:vAlign w:val="center"/>
            <w:hideMark/>
          </w:tcPr>
          <w:p w14:paraId="67F58742"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797</w:t>
            </w:r>
          </w:p>
        </w:tc>
        <w:tc>
          <w:tcPr>
            <w:tcW w:w="1193" w:type="dxa"/>
            <w:tcBorders>
              <w:top w:val="nil"/>
              <w:left w:val="nil"/>
              <w:bottom w:val="single" w:sz="4" w:space="0" w:color="auto"/>
              <w:right w:val="single" w:sz="4" w:space="0" w:color="auto"/>
            </w:tcBorders>
            <w:shd w:val="clear" w:color="auto" w:fill="auto"/>
            <w:noWrap/>
            <w:vAlign w:val="center"/>
            <w:hideMark/>
          </w:tcPr>
          <w:p w14:paraId="5152D04F"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22.1</w:t>
            </w:r>
          </w:p>
        </w:tc>
        <w:tc>
          <w:tcPr>
            <w:tcW w:w="1170" w:type="dxa"/>
            <w:tcBorders>
              <w:top w:val="nil"/>
              <w:left w:val="nil"/>
              <w:bottom w:val="single" w:sz="4" w:space="0" w:color="auto"/>
              <w:right w:val="single" w:sz="4" w:space="0" w:color="auto"/>
            </w:tcBorders>
            <w:shd w:val="clear" w:color="auto" w:fill="auto"/>
            <w:noWrap/>
            <w:vAlign w:val="center"/>
            <w:hideMark/>
          </w:tcPr>
          <w:p w14:paraId="710E3EAA"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12.5</w:t>
            </w:r>
          </w:p>
        </w:tc>
        <w:tc>
          <w:tcPr>
            <w:tcW w:w="1170" w:type="dxa"/>
            <w:tcBorders>
              <w:top w:val="nil"/>
              <w:left w:val="nil"/>
              <w:bottom w:val="single" w:sz="4" w:space="0" w:color="auto"/>
              <w:right w:val="single" w:sz="4" w:space="0" w:color="auto"/>
            </w:tcBorders>
            <w:shd w:val="clear" w:color="auto" w:fill="auto"/>
            <w:noWrap/>
            <w:vAlign w:val="center"/>
            <w:hideMark/>
          </w:tcPr>
          <w:p w14:paraId="4A86E30A"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0.35</w:t>
            </w:r>
          </w:p>
        </w:tc>
        <w:tc>
          <w:tcPr>
            <w:tcW w:w="720" w:type="dxa"/>
            <w:tcBorders>
              <w:top w:val="nil"/>
              <w:left w:val="nil"/>
              <w:bottom w:val="single" w:sz="4" w:space="0" w:color="auto"/>
              <w:right w:val="single" w:sz="4" w:space="0" w:color="auto"/>
            </w:tcBorders>
            <w:shd w:val="clear" w:color="auto" w:fill="auto"/>
            <w:noWrap/>
            <w:vAlign w:val="center"/>
            <w:hideMark/>
          </w:tcPr>
          <w:p w14:paraId="33C0C409"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2.8%</w:t>
            </w:r>
          </w:p>
        </w:tc>
      </w:tr>
      <w:tr w:rsidR="00BD63E8" w:rsidRPr="00955C76" w14:paraId="2F402540"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hideMark/>
          </w:tcPr>
          <w:p w14:paraId="37BFE707" w14:textId="77777777" w:rsidR="00BD63E8" w:rsidRPr="00033490" w:rsidRDefault="00BD63E8" w:rsidP="008D1F64">
            <w:pPr>
              <w:keepNext/>
              <w:keepLines/>
              <w:jc w:val="center"/>
              <w:rPr>
                <w:rFonts w:ascii="Arial" w:hAnsi="Arial" w:cs="Arial"/>
                <w:sz w:val="18"/>
                <w:szCs w:val="18"/>
              </w:rPr>
            </w:pPr>
            <w:bookmarkStart w:id="175" w:name="_Hlk507426800"/>
            <w:r w:rsidRPr="00033490">
              <w:rPr>
                <w:rFonts w:ascii="Arial" w:hAnsi="Arial" w:cs="Arial"/>
                <w:sz w:val="18"/>
                <w:szCs w:val="18"/>
              </w:rPr>
              <w:t>2</w:t>
            </w:r>
          </w:p>
        </w:tc>
        <w:tc>
          <w:tcPr>
            <w:tcW w:w="1914" w:type="dxa"/>
            <w:tcBorders>
              <w:top w:val="nil"/>
              <w:left w:val="nil"/>
              <w:bottom w:val="single" w:sz="4" w:space="0" w:color="auto"/>
              <w:right w:val="single" w:sz="4" w:space="0" w:color="auto"/>
            </w:tcBorders>
            <w:shd w:val="clear" w:color="auto" w:fill="auto"/>
            <w:noWrap/>
            <w:vAlign w:val="center"/>
            <w:hideMark/>
          </w:tcPr>
          <w:p w14:paraId="580ED44E" w14:textId="77777777" w:rsidR="00BD63E8" w:rsidRDefault="00BD63E8" w:rsidP="008D1F64">
            <w:pPr>
              <w:keepNext/>
              <w:keepLines/>
              <w:rPr>
                <w:rFonts w:ascii="Arial" w:hAnsi="Arial" w:cs="Arial"/>
                <w:sz w:val="18"/>
                <w:szCs w:val="18"/>
              </w:rPr>
            </w:pPr>
            <w:r w:rsidRPr="00033490">
              <w:rPr>
                <w:rFonts w:ascii="Arial" w:hAnsi="Arial" w:cs="Arial"/>
                <w:sz w:val="18"/>
                <w:szCs w:val="18"/>
              </w:rPr>
              <w:t>Standard</w:t>
            </w:r>
            <w:r>
              <w:rPr>
                <w:rFonts w:ascii="Arial" w:hAnsi="Arial" w:cs="Arial"/>
                <w:sz w:val="18"/>
                <w:szCs w:val="18"/>
              </w:rPr>
              <w:t xml:space="preserve">, </w:t>
            </w:r>
          </w:p>
          <w:p w14:paraId="4BF3893B" w14:textId="77777777" w:rsidR="00BD63E8" w:rsidRPr="00033490" w:rsidRDefault="00BD63E8" w:rsidP="008D1F64">
            <w:pPr>
              <w:keepNext/>
              <w:keepLines/>
              <w:rPr>
                <w:rFonts w:ascii="Arial" w:hAnsi="Arial" w:cs="Arial"/>
                <w:sz w:val="18"/>
                <w:szCs w:val="18"/>
              </w:rPr>
            </w:pPr>
            <w:r>
              <w:rPr>
                <w:rFonts w:ascii="Arial" w:hAnsi="Arial" w:cs="Arial"/>
                <w:sz w:val="18"/>
                <w:szCs w:val="18"/>
              </w:rPr>
              <w:t>All</w:t>
            </w:r>
          </w:p>
        </w:tc>
        <w:tc>
          <w:tcPr>
            <w:tcW w:w="876" w:type="dxa"/>
            <w:tcBorders>
              <w:top w:val="nil"/>
              <w:left w:val="nil"/>
              <w:bottom w:val="single" w:sz="4" w:space="0" w:color="auto"/>
              <w:right w:val="single" w:sz="4" w:space="0" w:color="auto"/>
            </w:tcBorders>
            <w:shd w:val="clear" w:color="auto" w:fill="auto"/>
            <w:noWrap/>
            <w:vAlign w:val="center"/>
            <w:hideMark/>
          </w:tcPr>
          <w:p w14:paraId="58E46E8E"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141,212</w:t>
            </w:r>
          </w:p>
        </w:tc>
        <w:tc>
          <w:tcPr>
            <w:tcW w:w="1327" w:type="dxa"/>
            <w:tcBorders>
              <w:top w:val="nil"/>
              <w:left w:val="nil"/>
              <w:bottom w:val="single" w:sz="4" w:space="0" w:color="auto"/>
              <w:right w:val="single" w:sz="4" w:space="0" w:color="auto"/>
            </w:tcBorders>
            <w:shd w:val="clear" w:color="auto" w:fill="auto"/>
            <w:noWrap/>
            <w:vAlign w:val="center"/>
            <w:hideMark/>
          </w:tcPr>
          <w:p w14:paraId="4E721A6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1,053</w:t>
            </w:r>
          </w:p>
        </w:tc>
        <w:tc>
          <w:tcPr>
            <w:tcW w:w="1193" w:type="dxa"/>
            <w:tcBorders>
              <w:top w:val="nil"/>
              <w:left w:val="nil"/>
              <w:bottom w:val="single" w:sz="4" w:space="0" w:color="auto"/>
              <w:right w:val="single" w:sz="4" w:space="0" w:color="auto"/>
            </w:tcBorders>
            <w:shd w:val="clear" w:color="auto" w:fill="auto"/>
            <w:noWrap/>
            <w:vAlign w:val="center"/>
            <w:hideMark/>
          </w:tcPr>
          <w:p w14:paraId="0A6C7D1A"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7F07F614"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7.5</w:t>
            </w:r>
          </w:p>
        </w:tc>
        <w:tc>
          <w:tcPr>
            <w:tcW w:w="1170" w:type="dxa"/>
            <w:tcBorders>
              <w:top w:val="nil"/>
              <w:left w:val="nil"/>
              <w:bottom w:val="single" w:sz="4" w:space="0" w:color="auto"/>
              <w:right w:val="single" w:sz="4" w:space="0" w:color="auto"/>
            </w:tcBorders>
            <w:shd w:val="clear" w:color="auto" w:fill="auto"/>
            <w:noWrap/>
            <w:vAlign w:val="center"/>
            <w:hideMark/>
          </w:tcPr>
          <w:p w14:paraId="6F7860D6"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0.11</w:t>
            </w:r>
          </w:p>
        </w:tc>
        <w:tc>
          <w:tcPr>
            <w:tcW w:w="720" w:type="dxa"/>
            <w:tcBorders>
              <w:top w:val="nil"/>
              <w:left w:val="nil"/>
              <w:bottom w:val="single" w:sz="4" w:space="0" w:color="auto"/>
              <w:right w:val="single" w:sz="4" w:space="0" w:color="auto"/>
            </w:tcBorders>
            <w:shd w:val="clear" w:color="auto" w:fill="auto"/>
            <w:noWrap/>
            <w:vAlign w:val="center"/>
            <w:hideMark/>
          </w:tcPr>
          <w:p w14:paraId="7827F07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1.5%</w:t>
            </w:r>
          </w:p>
        </w:tc>
      </w:tr>
      <w:bookmarkEnd w:id="175"/>
      <w:tr w:rsidR="00BD63E8" w:rsidRPr="00955C76" w14:paraId="051A6C78"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hideMark/>
          </w:tcPr>
          <w:p w14:paraId="4AE1C803"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3</w:t>
            </w:r>
          </w:p>
        </w:tc>
        <w:tc>
          <w:tcPr>
            <w:tcW w:w="1914" w:type="dxa"/>
            <w:tcBorders>
              <w:top w:val="nil"/>
              <w:left w:val="nil"/>
              <w:bottom w:val="single" w:sz="4" w:space="0" w:color="auto"/>
              <w:right w:val="single" w:sz="4" w:space="0" w:color="auto"/>
            </w:tcBorders>
            <w:shd w:val="clear" w:color="auto" w:fill="auto"/>
            <w:noWrap/>
            <w:vAlign w:val="center"/>
            <w:hideMark/>
          </w:tcPr>
          <w:p w14:paraId="52C30B08" w14:textId="77777777" w:rsidR="00BD63E8" w:rsidRDefault="00BD63E8" w:rsidP="008D1F64">
            <w:pPr>
              <w:keepNext/>
              <w:keepLines/>
              <w:rPr>
                <w:rFonts w:ascii="Arial" w:hAnsi="Arial" w:cs="Arial"/>
                <w:sz w:val="18"/>
                <w:szCs w:val="18"/>
              </w:rPr>
            </w:pPr>
            <w:r w:rsidRPr="00033490">
              <w:rPr>
                <w:rFonts w:ascii="Arial" w:hAnsi="Arial" w:cs="Arial"/>
                <w:sz w:val="18"/>
                <w:szCs w:val="18"/>
              </w:rPr>
              <w:t>ISS,</w:t>
            </w:r>
            <w:r w:rsidRPr="003C2A9B">
              <w:rPr>
                <w:rFonts w:ascii="Arial" w:hAnsi="Arial" w:cs="Arial"/>
                <w:sz w:val="18"/>
                <w:szCs w:val="18"/>
              </w:rPr>
              <w:t xml:space="preserve"> </w:t>
            </w:r>
          </w:p>
          <w:p w14:paraId="1F8B19FC" w14:textId="77777777" w:rsidR="00BD63E8" w:rsidRPr="003C2A9B" w:rsidRDefault="00BD63E8" w:rsidP="008D1F64">
            <w:pPr>
              <w:keepNext/>
              <w:keepLines/>
              <w:rPr>
                <w:rFonts w:ascii="Arial" w:hAnsi="Arial" w:cs="Arial"/>
                <w:sz w:val="18"/>
                <w:szCs w:val="18"/>
              </w:rPr>
            </w:pPr>
            <w:r w:rsidRPr="003C2A9B">
              <w:rPr>
                <w:rFonts w:ascii="Arial" w:hAnsi="Arial" w:cs="Arial"/>
                <w:sz w:val="18"/>
                <w:szCs w:val="18"/>
              </w:rPr>
              <w:t>2016 Default</w:t>
            </w:r>
          </w:p>
        </w:tc>
        <w:tc>
          <w:tcPr>
            <w:tcW w:w="876" w:type="dxa"/>
            <w:tcBorders>
              <w:top w:val="nil"/>
              <w:left w:val="nil"/>
              <w:bottom w:val="single" w:sz="4" w:space="0" w:color="auto"/>
              <w:right w:val="single" w:sz="4" w:space="0" w:color="auto"/>
            </w:tcBorders>
            <w:shd w:val="clear" w:color="auto" w:fill="auto"/>
            <w:noWrap/>
            <w:vAlign w:val="center"/>
            <w:hideMark/>
          </w:tcPr>
          <w:p w14:paraId="3670977D"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16,051</w:t>
            </w:r>
          </w:p>
        </w:tc>
        <w:tc>
          <w:tcPr>
            <w:tcW w:w="1327" w:type="dxa"/>
            <w:tcBorders>
              <w:top w:val="nil"/>
              <w:left w:val="nil"/>
              <w:bottom w:val="single" w:sz="4" w:space="0" w:color="auto"/>
              <w:right w:val="single" w:sz="4" w:space="0" w:color="auto"/>
            </w:tcBorders>
            <w:shd w:val="clear" w:color="auto" w:fill="auto"/>
            <w:noWrap/>
            <w:vAlign w:val="center"/>
            <w:hideMark/>
          </w:tcPr>
          <w:p w14:paraId="1870601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308</w:t>
            </w:r>
          </w:p>
        </w:tc>
        <w:tc>
          <w:tcPr>
            <w:tcW w:w="1193" w:type="dxa"/>
            <w:tcBorders>
              <w:top w:val="nil"/>
              <w:left w:val="nil"/>
              <w:bottom w:val="single" w:sz="4" w:space="0" w:color="auto"/>
              <w:right w:val="single" w:sz="4" w:space="0" w:color="auto"/>
            </w:tcBorders>
            <w:shd w:val="clear" w:color="auto" w:fill="auto"/>
            <w:noWrap/>
            <w:vAlign w:val="center"/>
            <w:hideMark/>
          </w:tcPr>
          <w:p w14:paraId="2A2234D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3.1</w:t>
            </w:r>
          </w:p>
        </w:tc>
        <w:tc>
          <w:tcPr>
            <w:tcW w:w="1170" w:type="dxa"/>
            <w:tcBorders>
              <w:top w:val="nil"/>
              <w:left w:val="nil"/>
              <w:bottom w:val="single" w:sz="4" w:space="0" w:color="auto"/>
              <w:right w:val="single" w:sz="4" w:space="0" w:color="auto"/>
            </w:tcBorders>
            <w:shd w:val="clear" w:color="auto" w:fill="auto"/>
            <w:noWrap/>
            <w:vAlign w:val="center"/>
            <w:hideMark/>
          </w:tcPr>
          <w:p w14:paraId="7D5296BD"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19.2</w:t>
            </w:r>
          </w:p>
        </w:tc>
        <w:tc>
          <w:tcPr>
            <w:tcW w:w="1170" w:type="dxa"/>
            <w:tcBorders>
              <w:top w:val="nil"/>
              <w:left w:val="nil"/>
              <w:bottom w:val="single" w:sz="4" w:space="0" w:color="auto"/>
              <w:right w:val="single" w:sz="4" w:space="0" w:color="auto"/>
            </w:tcBorders>
            <w:shd w:val="clear" w:color="auto" w:fill="auto"/>
            <w:noWrap/>
            <w:vAlign w:val="center"/>
            <w:hideMark/>
          </w:tcPr>
          <w:p w14:paraId="646DC10D"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0.19</w:t>
            </w:r>
          </w:p>
        </w:tc>
        <w:tc>
          <w:tcPr>
            <w:tcW w:w="720" w:type="dxa"/>
            <w:tcBorders>
              <w:top w:val="nil"/>
              <w:left w:val="nil"/>
              <w:bottom w:val="single" w:sz="4" w:space="0" w:color="auto"/>
              <w:right w:val="single" w:sz="4" w:space="0" w:color="auto"/>
            </w:tcBorders>
            <w:shd w:val="clear" w:color="auto" w:fill="auto"/>
            <w:noWrap/>
            <w:vAlign w:val="center"/>
            <w:hideMark/>
          </w:tcPr>
          <w:p w14:paraId="6193FB3E"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1.0%</w:t>
            </w:r>
          </w:p>
        </w:tc>
      </w:tr>
      <w:tr w:rsidR="00BD63E8" w:rsidRPr="00955C76" w14:paraId="37FA3C1D"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hideMark/>
          </w:tcPr>
          <w:p w14:paraId="61BFDD22"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4</w:t>
            </w:r>
          </w:p>
        </w:tc>
        <w:tc>
          <w:tcPr>
            <w:tcW w:w="1914" w:type="dxa"/>
            <w:tcBorders>
              <w:top w:val="nil"/>
              <w:left w:val="nil"/>
              <w:bottom w:val="single" w:sz="4" w:space="0" w:color="auto"/>
              <w:right w:val="single" w:sz="4" w:space="0" w:color="auto"/>
            </w:tcBorders>
            <w:shd w:val="clear" w:color="auto" w:fill="auto"/>
            <w:noWrap/>
            <w:vAlign w:val="center"/>
            <w:hideMark/>
          </w:tcPr>
          <w:p w14:paraId="18933B45" w14:textId="77777777" w:rsidR="00BD63E8" w:rsidRDefault="00BD63E8" w:rsidP="008D1F64">
            <w:pPr>
              <w:keepNext/>
              <w:keepLines/>
              <w:rPr>
                <w:rFonts w:ascii="Arial" w:hAnsi="Arial" w:cs="Arial"/>
                <w:sz w:val="18"/>
                <w:szCs w:val="18"/>
              </w:rPr>
            </w:pPr>
            <w:r w:rsidRPr="00033490">
              <w:rPr>
                <w:rFonts w:ascii="Arial" w:hAnsi="Arial" w:cs="Arial"/>
                <w:sz w:val="18"/>
                <w:szCs w:val="18"/>
              </w:rPr>
              <w:t xml:space="preserve">ISS, </w:t>
            </w:r>
          </w:p>
          <w:p w14:paraId="63557857" w14:textId="77777777" w:rsidR="00BD63E8" w:rsidRPr="003C2A9B" w:rsidRDefault="00BD63E8" w:rsidP="008D1F64">
            <w:pPr>
              <w:keepNext/>
              <w:keepLines/>
              <w:rPr>
                <w:rFonts w:ascii="Arial" w:hAnsi="Arial" w:cs="Arial"/>
                <w:sz w:val="18"/>
                <w:szCs w:val="18"/>
              </w:rPr>
            </w:pPr>
            <w:r w:rsidRPr="00033490">
              <w:rPr>
                <w:rFonts w:ascii="Arial" w:hAnsi="Arial" w:cs="Arial"/>
                <w:sz w:val="18"/>
                <w:szCs w:val="18"/>
              </w:rPr>
              <w:t>Existing PDP</w:t>
            </w:r>
          </w:p>
        </w:tc>
        <w:tc>
          <w:tcPr>
            <w:tcW w:w="876" w:type="dxa"/>
            <w:tcBorders>
              <w:top w:val="nil"/>
              <w:left w:val="nil"/>
              <w:bottom w:val="single" w:sz="4" w:space="0" w:color="auto"/>
              <w:right w:val="single" w:sz="4" w:space="0" w:color="auto"/>
            </w:tcBorders>
            <w:shd w:val="clear" w:color="auto" w:fill="auto"/>
            <w:noWrap/>
            <w:vAlign w:val="center"/>
            <w:hideMark/>
          </w:tcPr>
          <w:p w14:paraId="60F69D3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47,687</w:t>
            </w:r>
          </w:p>
        </w:tc>
        <w:tc>
          <w:tcPr>
            <w:tcW w:w="1327" w:type="dxa"/>
            <w:tcBorders>
              <w:top w:val="nil"/>
              <w:left w:val="nil"/>
              <w:bottom w:val="single" w:sz="4" w:space="0" w:color="auto"/>
              <w:right w:val="single" w:sz="4" w:space="0" w:color="auto"/>
            </w:tcBorders>
            <w:shd w:val="clear" w:color="auto" w:fill="auto"/>
            <w:noWrap/>
            <w:vAlign w:val="center"/>
            <w:hideMark/>
          </w:tcPr>
          <w:p w14:paraId="6FFAFBC2"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489</w:t>
            </w:r>
          </w:p>
        </w:tc>
        <w:tc>
          <w:tcPr>
            <w:tcW w:w="1193" w:type="dxa"/>
            <w:tcBorders>
              <w:top w:val="nil"/>
              <w:left w:val="nil"/>
              <w:bottom w:val="single" w:sz="4" w:space="0" w:color="auto"/>
              <w:right w:val="single" w:sz="4" w:space="0" w:color="auto"/>
            </w:tcBorders>
            <w:shd w:val="clear" w:color="auto" w:fill="auto"/>
            <w:noWrap/>
            <w:vAlign w:val="center"/>
            <w:hideMark/>
          </w:tcPr>
          <w:p w14:paraId="0A993013"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18.8</w:t>
            </w:r>
          </w:p>
        </w:tc>
        <w:tc>
          <w:tcPr>
            <w:tcW w:w="1170" w:type="dxa"/>
            <w:tcBorders>
              <w:top w:val="nil"/>
              <w:left w:val="nil"/>
              <w:bottom w:val="single" w:sz="4" w:space="0" w:color="auto"/>
              <w:right w:val="single" w:sz="4" w:space="0" w:color="auto"/>
            </w:tcBorders>
            <w:shd w:val="clear" w:color="auto" w:fill="auto"/>
            <w:noWrap/>
            <w:vAlign w:val="center"/>
            <w:hideMark/>
          </w:tcPr>
          <w:p w14:paraId="31D60047"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10.3</w:t>
            </w:r>
          </w:p>
        </w:tc>
        <w:tc>
          <w:tcPr>
            <w:tcW w:w="1170" w:type="dxa"/>
            <w:tcBorders>
              <w:top w:val="nil"/>
              <w:left w:val="nil"/>
              <w:bottom w:val="single" w:sz="4" w:space="0" w:color="auto"/>
              <w:right w:val="single" w:sz="4" w:space="0" w:color="auto"/>
            </w:tcBorders>
            <w:shd w:val="clear" w:color="auto" w:fill="auto"/>
            <w:noWrap/>
            <w:vAlign w:val="center"/>
            <w:hideMark/>
          </w:tcPr>
          <w:p w14:paraId="79D5602F"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0.39</w:t>
            </w:r>
          </w:p>
        </w:tc>
        <w:tc>
          <w:tcPr>
            <w:tcW w:w="720" w:type="dxa"/>
            <w:tcBorders>
              <w:top w:val="nil"/>
              <w:left w:val="nil"/>
              <w:bottom w:val="single" w:sz="4" w:space="0" w:color="auto"/>
              <w:right w:val="single" w:sz="4" w:space="0" w:color="auto"/>
            </w:tcBorders>
            <w:shd w:val="clear" w:color="auto" w:fill="auto"/>
            <w:noWrap/>
            <w:vAlign w:val="center"/>
            <w:hideMark/>
          </w:tcPr>
          <w:p w14:paraId="09D7D45A"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3.8%</w:t>
            </w:r>
          </w:p>
        </w:tc>
      </w:tr>
      <w:tr w:rsidR="00BD63E8" w:rsidRPr="00955C76" w14:paraId="5B23525C"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tcPr>
          <w:p w14:paraId="15E0FFF3"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5</w:t>
            </w:r>
          </w:p>
        </w:tc>
        <w:tc>
          <w:tcPr>
            <w:tcW w:w="1914" w:type="dxa"/>
            <w:tcBorders>
              <w:top w:val="nil"/>
              <w:left w:val="nil"/>
              <w:bottom w:val="single" w:sz="4" w:space="0" w:color="auto"/>
              <w:right w:val="single" w:sz="4" w:space="0" w:color="auto"/>
            </w:tcBorders>
            <w:shd w:val="clear" w:color="auto" w:fill="auto"/>
            <w:noWrap/>
            <w:vAlign w:val="center"/>
          </w:tcPr>
          <w:p w14:paraId="73C7D7D4" w14:textId="77777777" w:rsidR="00BD63E8" w:rsidRDefault="00BD63E8" w:rsidP="008D1F64">
            <w:pPr>
              <w:keepNext/>
              <w:keepLines/>
              <w:rPr>
                <w:rFonts w:ascii="Arial" w:hAnsi="Arial" w:cs="Arial"/>
                <w:sz w:val="18"/>
                <w:szCs w:val="18"/>
              </w:rPr>
            </w:pPr>
            <w:r w:rsidRPr="00033490">
              <w:rPr>
                <w:rFonts w:ascii="Arial" w:hAnsi="Arial" w:cs="Arial"/>
                <w:sz w:val="18"/>
                <w:szCs w:val="18"/>
              </w:rPr>
              <w:t xml:space="preserve">Standard, </w:t>
            </w:r>
          </w:p>
          <w:p w14:paraId="54AFD5F4" w14:textId="77777777" w:rsidR="00BD63E8" w:rsidRPr="003C2A9B" w:rsidRDefault="00BD63E8" w:rsidP="008D1F64">
            <w:pPr>
              <w:keepNext/>
              <w:keepLines/>
              <w:rPr>
                <w:rFonts w:ascii="Arial" w:hAnsi="Arial" w:cs="Arial"/>
                <w:sz w:val="18"/>
                <w:szCs w:val="18"/>
              </w:rPr>
            </w:pPr>
            <w:r w:rsidRPr="00033490">
              <w:rPr>
                <w:rFonts w:ascii="Arial" w:hAnsi="Arial" w:cs="Arial"/>
                <w:sz w:val="18"/>
                <w:szCs w:val="18"/>
              </w:rPr>
              <w:t>2016 Default</w:t>
            </w:r>
          </w:p>
        </w:tc>
        <w:tc>
          <w:tcPr>
            <w:tcW w:w="876" w:type="dxa"/>
            <w:tcBorders>
              <w:top w:val="nil"/>
              <w:left w:val="nil"/>
              <w:bottom w:val="single" w:sz="4" w:space="0" w:color="auto"/>
              <w:right w:val="single" w:sz="4" w:space="0" w:color="auto"/>
            </w:tcBorders>
            <w:shd w:val="clear" w:color="auto" w:fill="auto"/>
            <w:noWrap/>
            <w:vAlign w:val="center"/>
          </w:tcPr>
          <w:p w14:paraId="78AFC7E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25,856</w:t>
            </w:r>
          </w:p>
        </w:tc>
        <w:tc>
          <w:tcPr>
            <w:tcW w:w="1327" w:type="dxa"/>
            <w:tcBorders>
              <w:top w:val="nil"/>
              <w:left w:val="nil"/>
              <w:bottom w:val="single" w:sz="4" w:space="0" w:color="auto"/>
              <w:right w:val="single" w:sz="4" w:space="0" w:color="auto"/>
            </w:tcBorders>
            <w:shd w:val="clear" w:color="auto" w:fill="auto"/>
            <w:noWrap/>
            <w:vAlign w:val="center"/>
          </w:tcPr>
          <w:p w14:paraId="0A94059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394</w:t>
            </w:r>
          </w:p>
        </w:tc>
        <w:tc>
          <w:tcPr>
            <w:tcW w:w="1193" w:type="dxa"/>
            <w:tcBorders>
              <w:top w:val="nil"/>
              <w:left w:val="nil"/>
              <w:bottom w:val="single" w:sz="4" w:space="0" w:color="auto"/>
              <w:right w:val="single" w:sz="4" w:space="0" w:color="auto"/>
            </w:tcBorders>
            <w:shd w:val="clear" w:color="auto" w:fill="auto"/>
            <w:noWrap/>
            <w:vAlign w:val="center"/>
          </w:tcPr>
          <w:p w14:paraId="6BA644D8"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5.4</w:t>
            </w:r>
          </w:p>
        </w:tc>
        <w:tc>
          <w:tcPr>
            <w:tcW w:w="1170" w:type="dxa"/>
            <w:tcBorders>
              <w:top w:val="nil"/>
              <w:left w:val="nil"/>
              <w:bottom w:val="single" w:sz="4" w:space="0" w:color="auto"/>
              <w:right w:val="single" w:sz="4" w:space="0" w:color="auto"/>
            </w:tcBorders>
            <w:shd w:val="clear" w:color="auto" w:fill="auto"/>
            <w:noWrap/>
            <w:vAlign w:val="center"/>
          </w:tcPr>
          <w:p w14:paraId="64AC0302"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15.2</w:t>
            </w:r>
          </w:p>
        </w:tc>
        <w:tc>
          <w:tcPr>
            <w:tcW w:w="1170" w:type="dxa"/>
            <w:tcBorders>
              <w:top w:val="nil"/>
              <w:left w:val="nil"/>
              <w:bottom w:val="single" w:sz="4" w:space="0" w:color="auto"/>
              <w:right w:val="single" w:sz="4" w:space="0" w:color="auto"/>
            </w:tcBorders>
            <w:shd w:val="clear" w:color="auto" w:fill="auto"/>
            <w:noWrap/>
            <w:vAlign w:val="center"/>
          </w:tcPr>
          <w:p w14:paraId="35FC5D56"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0.21</w:t>
            </w:r>
          </w:p>
        </w:tc>
        <w:tc>
          <w:tcPr>
            <w:tcW w:w="720" w:type="dxa"/>
            <w:tcBorders>
              <w:top w:val="nil"/>
              <w:left w:val="nil"/>
              <w:bottom w:val="single" w:sz="4" w:space="0" w:color="auto"/>
              <w:right w:val="single" w:sz="4" w:space="0" w:color="auto"/>
            </w:tcBorders>
            <w:shd w:val="clear" w:color="auto" w:fill="auto"/>
            <w:noWrap/>
            <w:vAlign w:val="center"/>
          </w:tcPr>
          <w:p w14:paraId="2D957E84"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1.4%</w:t>
            </w:r>
          </w:p>
        </w:tc>
      </w:tr>
      <w:tr w:rsidR="00BD63E8" w:rsidRPr="00955C76" w14:paraId="16E8CB45"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tcPr>
          <w:p w14:paraId="751B8D67"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6</w:t>
            </w:r>
          </w:p>
        </w:tc>
        <w:tc>
          <w:tcPr>
            <w:tcW w:w="1914" w:type="dxa"/>
            <w:tcBorders>
              <w:top w:val="nil"/>
              <w:left w:val="nil"/>
              <w:bottom w:val="single" w:sz="4" w:space="0" w:color="auto"/>
              <w:right w:val="single" w:sz="4" w:space="0" w:color="auto"/>
            </w:tcBorders>
            <w:shd w:val="clear" w:color="auto" w:fill="auto"/>
            <w:noWrap/>
            <w:vAlign w:val="center"/>
          </w:tcPr>
          <w:p w14:paraId="3D0C9D88" w14:textId="77777777" w:rsidR="00BD63E8" w:rsidRDefault="00BD63E8" w:rsidP="008D1F64">
            <w:pPr>
              <w:keepNext/>
              <w:keepLines/>
              <w:rPr>
                <w:rFonts w:ascii="Arial" w:hAnsi="Arial" w:cs="Arial"/>
                <w:sz w:val="18"/>
                <w:szCs w:val="18"/>
              </w:rPr>
            </w:pPr>
            <w:r w:rsidRPr="00033490">
              <w:rPr>
                <w:rFonts w:ascii="Arial" w:hAnsi="Arial" w:cs="Arial"/>
                <w:sz w:val="18"/>
                <w:szCs w:val="18"/>
              </w:rPr>
              <w:t xml:space="preserve">Standard, </w:t>
            </w:r>
          </w:p>
          <w:p w14:paraId="280440A7" w14:textId="77777777" w:rsidR="00BD63E8" w:rsidRPr="003C2A9B" w:rsidRDefault="00BD63E8" w:rsidP="008D1F64">
            <w:pPr>
              <w:keepNext/>
              <w:keepLines/>
              <w:rPr>
                <w:rFonts w:ascii="Arial" w:hAnsi="Arial" w:cs="Arial"/>
                <w:sz w:val="18"/>
                <w:szCs w:val="18"/>
              </w:rPr>
            </w:pPr>
            <w:r w:rsidRPr="003C2A9B">
              <w:rPr>
                <w:rFonts w:ascii="Arial" w:hAnsi="Arial" w:cs="Arial"/>
                <w:sz w:val="18"/>
                <w:szCs w:val="18"/>
              </w:rPr>
              <w:t>Existing PDP</w:t>
            </w:r>
          </w:p>
        </w:tc>
        <w:tc>
          <w:tcPr>
            <w:tcW w:w="876" w:type="dxa"/>
            <w:tcBorders>
              <w:top w:val="nil"/>
              <w:left w:val="nil"/>
              <w:bottom w:val="single" w:sz="4" w:space="0" w:color="auto"/>
              <w:right w:val="single" w:sz="4" w:space="0" w:color="auto"/>
            </w:tcBorders>
            <w:shd w:val="clear" w:color="auto" w:fill="auto"/>
            <w:noWrap/>
            <w:vAlign w:val="center"/>
          </w:tcPr>
          <w:p w14:paraId="4630FCC4"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115,356</w:t>
            </w:r>
          </w:p>
        </w:tc>
        <w:tc>
          <w:tcPr>
            <w:tcW w:w="1327" w:type="dxa"/>
            <w:tcBorders>
              <w:top w:val="nil"/>
              <w:left w:val="nil"/>
              <w:bottom w:val="single" w:sz="4" w:space="0" w:color="auto"/>
              <w:right w:val="single" w:sz="4" w:space="0" w:color="auto"/>
            </w:tcBorders>
            <w:shd w:val="clear" w:color="auto" w:fill="auto"/>
            <w:noWrap/>
            <w:vAlign w:val="center"/>
          </w:tcPr>
          <w:p w14:paraId="605DCA96"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659</w:t>
            </w:r>
          </w:p>
        </w:tc>
        <w:tc>
          <w:tcPr>
            <w:tcW w:w="1193" w:type="dxa"/>
            <w:tcBorders>
              <w:top w:val="nil"/>
              <w:left w:val="nil"/>
              <w:bottom w:val="single" w:sz="4" w:space="0" w:color="auto"/>
              <w:right w:val="single" w:sz="4" w:space="0" w:color="auto"/>
            </w:tcBorders>
            <w:shd w:val="clear" w:color="auto" w:fill="auto"/>
            <w:noWrap/>
            <w:vAlign w:val="center"/>
          </w:tcPr>
          <w:p w14:paraId="0931BF1A"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10.4</w:t>
            </w:r>
          </w:p>
        </w:tc>
        <w:tc>
          <w:tcPr>
            <w:tcW w:w="1170" w:type="dxa"/>
            <w:tcBorders>
              <w:top w:val="nil"/>
              <w:left w:val="nil"/>
              <w:bottom w:val="single" w:sz="4" w:space="0" w:color="auto"/>
              <w:right w:val="single" w:sz="4" w:space="0" w:color="auto"/>
            </w:tcBorders>
            <w:shd w:val="clear" w:color="auto" w:fill="auto"/>
            <w:noWrap/>
            <w:vAlign w:val="center"/>
          </w:tcPr>
          <w:p w14:paraId="547CFD6B"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5.7</w:t>
            </w:r>
          </w:p>
        </w:tc>
        <w:tc>
          <w:tcPr>
            <w:tcW w:w="1170" w:type="dxa"/>
            <w:tcBorders>
              <w:top w:val="nil"/>
              <w:left w:val="nil"/>
              <w:bottom w:val="single" w:sz="4" w:space="0" w:color="auto"/>
              <w:right w:val="single" w:sz="4" w:space="0" w:color="auto"/>
            </w:tcBorders>
            <w:shd w:val="clear" w:color="auto" w:fill="auto"/>
            <w:noWrap/>
            <w:vAlign w:val="center"/>
          </w:tcPr>
          <w:p w14:paraId="5A12DBD2"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0.09</w:t>
            </w:r>
          </w:p>
        </w:tc>
        <w:tc>
          <w:tcPr>
            <w:tcW w:w="720" w:type="dxa"/>
            <w:tcBorders>
              <w:top w:val="nil"/>
              <w:left w:val="nil"/>
              <w:bottom w:val="single" w:sz="4" w:space="0" w:color="auto"/>
              <w:right w:val="single" w:sz="4" w:space="0" w:color="auto"/>
            </w:tcBorders>
            <w:shd w:val="clear" w:color="auto" w:fill="auto"/>
            <w:noWrap/>
            <w:vAlign w:val="center"/>
          </w:tcPr>
          <w:p w14:paraId="2087DAF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1.6%</w:t>
            </w:r>
          </w:p>
        </w:tc>
      </w:tr>
      <w:tr w:rsidR="00BD63E8" w:rsidRPr="00955C76" w14:paraId="5AC7B585"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tcPr>
          <w:p w14:paraId="7BCAC1BF"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7</w:t>
            </w:r>
          </w:p>
        </w:tc>
        <w:tc>
          <w:tcPr>
            <w:tcW w:w="1914" w:type="dxa"/>
            <w:tcBorders>
              <w:top w:val="nil"/>
              <w:left w:val="nil"/>
              <w:bottom w:val="single" w:sz="4" w:space="0" w:color="auto"/>
              <w:right w:val="single" w:sz="4" w:space="0" w:color="auto"/>
            </w:tcBorders>
            <w:shd w:val="clear" w:color="auto" w:fill="auto"/>
            <w:noWrap/>
            <w:vAlign w:val="center"/>
          </w:tcPr>
          <w:p w14:paraId="2C77B89F" w14:textId="77777777" w:rsidR="00BD63E8" w:rsidRDefault="00BD63E8" w:rsidP="008D1F64">
            <w:pPr>
              <w:keepNext/>
              <w:keepLines/>
              <w:rPr>
                <w:rFonts w:ascii="Arial" w:hAnsi="Arial" w:cs="Arial"/>
                <w:sz w:val="18"/>
                <w:szCs w:val="18"/>
              </w:rPr>
            </w:pPr>
            <w:r w:rsidRPr="00033490">
              <w:rPr>
                <w:rFonts w:ascii="Arial" w:hAnsi="Arial" w:cs="Arial"/>
                <w:sz w:val="18"/>
                <w:szCs w:val="18"/>
              </w:rPr>
              <w:t>ISS+2</w:t>
            </w:r>
            <w:r w:rsidRPr="003C2A9B">
              <w:rPr>
                <w:rFonts w:ascii="Arial" w:hAnsi="Arial" w:cs="Arial"/>
                <w:sz w:val="18"/>
                <w:szCs w:val="18"/>
              </w:rPr>
              <w:t xml:space="preserve">016 Default, </w:t>
            </w:r>
          </w:p>
          <w:p w14:paraId="07F26589" w14:textId="77777777" w:rsidR="00BD63E8" w:rsidRPr="003C2A9B" w:rsidRDefault="00BD63E8" w:rsidP="008D1F64">
            <w:pPr>
              <w:keepNext/>
              <w:keepLines/>
              <w:rPr>
                <w:rFonts w:ascii="Arial" w:hAnsi="Arial" w:cs="Arial"/>
                <w:sz w:val="18"/>
                <w:szCs w:val="18"/>
              </w:rPr>
            </w:pPr>
            <w:r w:rsidRPr="003C2A9B">
              <w:rPr>
                <w:rFonts w:ascii="Arial" w:hAnsi="Arial" w:cs="Arial"/>
                <w:sz w:val="18"/>
                <w:szCs w:val="18"/>
              </w:rPr>
              <w:t>Early Enrollees</w:t>
            </w:r>
          </w:p>
        </w:tc>
        <w:tc>
          <w:tcPr>
            <w:tcW w:w="876" w:type="dxa"/>
            <w:tcBorders>
              <w:top w:val="nil"/>
              <w:left w:val="nil"/>
              <w:bottom w:val="single" w:sz="4" w:space="0" w:color="auto"/>
              <w:right w:val="single" w:sz="4" w:space="0" w:color="auto"/>
            </w:tcBorders>
            <w:shd w:val="clear" w:color="auto" w:fill="auto"/>
            <w:noWrap/>
            <w:vAlign w:val="center"/>
          </w:tcPr>
          <w:p w14:paraId="792DEDF7"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751</w:t>
            </w:r>
          </w:p>
        </w:tc>
        <w:tc>
          <w:tcPr>
            <w:tcW w:w="1327" w:type="dxa"/>
            <w:tcBorders>
              <w:top w:val="nil"/>
              <w:left w:val="nil"/>
              <w:bottom w:val="single" w:sz="4" w:space="0" w:color="auto"/>
              <w:right w:val="single" w:sz="4" w:space="0" w:color="auto"/>
            </w:tcBorders>
            <w:shd w:val="clear" w:color="auto" w:fill="auto"/>
            <w:noWrap/>
            <w:vAlign w:val="center"/>
          </w:tcPr>
          <w:p w14:paraId="720F1B95"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35</w:t>
            </w:r>
          </w:p>
        </w:tc>
        <w:tc>
          <w:tcPr>
            <w:tcW w:w="1193" w:type="dxa"/>
            <w:tcBorders>
              <w:top w:val="nil"/>
              <w:left w:val="nil"/>
              <w:bottom w:val="single" w:sz="4" w:space="0" w:color="auto"/>
              <w:right w:val="single" w:sz="4" w:space="0" w:color="auto"/>
            </w:tcBorders>
            <w:shd w:val="clear" w:color="auto" w:fill="auto"/>
            <w:noWrap/>
            <w:vAlign w:val="center"/>
          </w:tcPr>
          <w:p w14:paraId="48A210E6"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0.8</w:t>
            </w:r>
          </w:p>
        </w:tc>
        <w:tc>
          <w:tcPr>
            <w:tcW w:w="1170" w:type="dxa"/>
            <w:tcBorders>
              <w:top w:val="nil"/>
              <w:left w:val="nil"/>
              <w:bottom w:val="single" w:sz="4" w:space="0" w:color="auto"/>
              <w:right w:val="single" w:sz="4" w:space="0" w:color="auto"/>
            </w:tcBorders>
            <w:shd w:val="clear" w:color="auto" w:fill="auto"/>
            <w:noWrap/>
            <w:vAlign w:val="center"/>
          </w:tcPr>
          <w:p w14:paraId="0C6F257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46.6</w:t>
            </w:r>
          </w:p>
        </w:tc>
        <w:tc>
          <w:tcPr>
            <w:tcW w:w="1170" w:type="dxa"/>
            <w:tcBorders>
              <w:top w:val="nil"/>
              <w:left w:val="nil"/>
              <w:bottom w:val="single" w:sz="4" w:space="0" w:color="auto"/>
              <w:right w:val="single" w:sz="4" w:space="0" w:color="auto"/>
            </w:tcBorders>
            <w:shd w:val="clear" w:color="auto" w:fill="auto"/>
            <w:noWrap/>
            <w:vAlign w:val="center"/>
          </w:tcPr>
          <w:p w14:paraId="1EFC2A62"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1.11</w:t>
            </w:r>
          </w:p>
        </w:tc>
        <w:tc>
          <w:tcPr>
            <w:tcW w:w="720" w:type="dxa"/>
            <w:tcBorders>
              <w:top w:val="nil"/>
              <w:left w:val="nil"/>
              <w:bottom w:val="single" w:sz="4" w:space="0" w:color="auto"/>
              <w:right w:val="single" w:sz="4" w:space="0" w:color="auto"/>
            </w:tcBorders>
            <w:shd w:val="clear" w:color="auto" w:fill="auto"/>
            <w:noWrap/>
            <w:vAlign w:val="center"/>
          </w:tcPr>
          <w:p w14:paraId="4AF2AC45"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2.4%</w:t>
            </w:r>
          </w:p>
        </w:tc>
      </w:tr>
      <w:tr w:rsidR="00BD63E8" w:rsidRPr="00955C76" w14:paraId="59CADF26"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tcPr>
          <w:p w14:paraId="3A8BA315"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8</w:t>
            </w:r>
          </w:p>
        </w:tc>
        <w:tc>
          <w:tcPr>
            <w:tcW w:w="1914" w:type="dxa"/>
            <w:tcBorders>
              <w:top w:val="nil"/>
              <w:left w:val="nil"/>
              <w:bottom w:val="single" w:sz="4" w:space="0" w:color="auto"/>
              <w:right w:val="single" w:sz="4" w:space="0" w:color="auto"/>
            </w:tcBorders>
            <w:shd w:val="clear" w:color="auto" w:fill="auto"/>
            <w:noWrap/>
            <w:vAlign w:val="center"/>
          </w:tcPr>
          <w:p w14:paraId="19FC2876" w14:textId="77777777" w:rsidR="00BD63E8" w:rsidRPr="003C2A9B" w:rsidRDefault="00BD63E8" w:rsidP="008D1F64">
            <w:pPr>
              <w:keepNext/>
              <w:keepLines/>
              <w:rPr>
                <w:rFonts w:ascii="Arial" w:hAnsi="Arial" w:cs="Arial"/>
                <w:sz w:val="18"/>
                <w:szCs w:val="18"/>
              </w:rPr>
            </w:pPr>
            <w:r w:rsidRPr="00033490">
              <w:rPr>
                <w:rFonts w:ascii="Arial" w:hAnsi="Arial" w:cs="Arial"/>
                <w:sz w:val="18"/>
                <w:szCs w:val="18"/>
              </w:rPr>
              <w:t xml:space="preserve">ISS+2016 </w:t>
            </w:r>
            <w:r w:rsidRPr="003C2A9B">
              <w:rPr>
                <w:rFonts w:ascii="Arial" w:hAnsi="Arial" w:cs="Arial"/>
                <w:sz w:val="18"/>
                <w:szCs w:val="18"/>
              </w:rPr>
              <w:t>Default, Default</w:t>
            </w:r>
          </w:p>
        </w:tc>
        <w:tc>
          <w:tcPr>
            <w:tcW w:w="876" w:type="dxa"/>
            <w:tcBorders>
              <w:top w:val="nil"/>
              <w:left w:val="nil"/>
              <w:bottom w:val="single" w:sz="4" w:space="0" w:color="auto"/>
              <w:right w:val="single" w:sz="4" w:space="0" w:color="auto"/>
            </w:tcBorders>
            <w:shd w:val="clear" w:color="auto" w:fill="auto"/>
            <w:noWrap/>
            <w:vAlign w:val="center"/>
          </w:tcPr>
          <w:p w14:paraId="79A8E372"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15,300</w:t>
            </w:r>
          </w:p>
        </w:tc>
        <w:tc>
          <w:tcPr>
            <w:tcW w:w="1327" w:type="dxa"/>
            <w:tcBorders>
              <w:top w:val="nil"/>
              <w:left w:val="nil"/>
              <w:bottom w:val="single" w:sz="4" w:space="0" w:color="auto"/>
              <w:right w:val="single" w:sz="4" w:space="0" w:color="auto"/>
            </w:tcBorders>
            <w:shd w:val="clear" w:color="auto" w:fill="auto"/>
            <w:noWrap/>
            <w:vAlign w:val="center"/>
          </w:tcPr>
          <w:p w14:paraId="5F2A8F89"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274</w:t>
            </w:r>
          </w:p>
        </w:tc>
        <w:tc>
          <w:tcPr>
            <w:tcW w:w="1193" w:type="dxa"/>
            <w:tcBorders>
              <w:top w:val="nil"/>
              <w:left w:val="nil"/>
              <w:bottom w:val="single" w:sz="4" w:space="0" w:color="auto"/>
              <w:right w:val="single" w:sz="4" w:space="0" w:color="auto"/>
            </w:tcBorders>
            <w:shd w:val="clear" w:color="auto" w:fill="auto"/>
            <w:noWrap/>
            <w:vAlign w:val="center"/>
          </w:tcPr>
          <w:p w14:paraId="7ED1762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2.2</w:t>
            </w:r>
          </w:p>
        </w:tc>
        <w:tc>
          <w:tcPr>
            <w:tcW w:w="1170" w:type="dxa"/>
            <w:tcBorders>
              <w:top w:val="nil"/>
              <w:left w:val="nil"/>
              <w:bottom w:val="single" w:sz="4" w:space="0" w:color="auto"/>
              <w:right w:val="single" w:sz="4" w:space="0" w:color="auto"/>
            </w:tcBorders>
            <w:shd w:val="clear" w:color="auto" w:fill="auto"/>
            <w:noWrap/>
            <w:vAlign w:val="center"/>
          </w:tcPr>
          <w:p w14:paraId="44AF7C68"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17.9</w:t>
            </w:r>
          </w:p>
        </w:tc>
        <w:tc>
          <w:tcPr>
            <w:tcW w:w="1170" w:type="dxa"/>
            <w:tcBorders>
              <w:top w:val="nil"/>
              <w:left w:val="nil"/>
              <w:bottom w:val="single" w:sz="4" w:space="0" w:color="auto"/>
              <w:right w:val="single" w:sz="4" w:space="0" w:color="auto"/>
            </w:tcBorders>
            <w:shd w:val="clear" w:color="auto" w:fill="auto"/>
            <w:noWrap/>
            <w:vAlign w:val="center"/>
          </w:tcPr>
          <w:p w14:paraId="1B447687"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0.14</w:t>
            </w:r>
          </w:p>
        </w:tc>
        <w:tc>
          <w:tcPr>
            <w:tcW w:w="720" w:type="dxa"/>
            <w:tcBorders>
              <w:top w:val="nil"/>
              <w:left w:val="nil"/>
              <w:bottom w:val="single" w:sz="4" w:space="0" w:color="auto"/>
              <w:right w:val="single" w:sz="4" w:space="0" w:color="auto"/>
            </w:tcBorders>
            <w:shd w:val="clear" w:color="auto" w:fill="auto"/>
            <w:noWrap/>
            <w:vAlign w:val="center"/>
          </w:tcPr>
          <w:p w14:paraId="2C83DD3B"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0.8%</w:t>
            </w:r>
          </w:p>
        </w:tc>
      </w:tr>
      <w:tr w:rsidR="00BD63E8" w:rsidRPr="00955C76" w14:paraId="11688754"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hideMark/>
          </w:tcPr>
          <w:p w14:paraId="56DF8FEB"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9</w:t>
            </w:r>
          </w:p>
        </w:tc>
        <w:tc>
          <w:tcPr>
            <w:tcW w:w="1914" w:type="dxa"/>
            <w:tcBorders>
              <w:top w:val="nil"/>
              <w:left w:val="nil"/>
              <w:bottom w:val="single" w:sz="4" w:space="0" w:color="auto"/>
              <w:right w:val="single" w:sz="4" w:space="0" w:color="auto"/>
            </w:tcBorders>
            <w:shd w:val="clear" w:color="auto" w:fill="auto"/>
            <w:noWrap/>
            <w:vAlign w:val="center"/>
            <w:hideMark/>
          </w:tcPr>
          <w:p w14:paraId="59A0FF6A" w14:textId="77777777" w:rsidR="00BD63E8" w:rsidRDefault="00BD63E8" w:rsidP="008D1F64">
            <w:pPr>
              <w:keepNext/>
              <w:keepLines/>
              <w:rPr>
                <w:rFonts w:ascii="Arial" w:hAnsi="Arial" w:cs="Arial"/>
                <w:sz w:val="18"/>
                <w:szCs w:val="18"/>
              </w:rPr>
            </w:pPr>
            <w:r w:rsidRPr="00033490">
              <w:rPr>
                <w:rFonts w:ascii="Arial" w:hAnsi="Arial" w:cs="Arial"/>
                <w:sz w:val="18"/>
                <w:szCs w:val="18"/>
              </w:rPr>
              <w:t>St</w:t>
            </w:r>
            <w:r>
              <w:rPr>
                <w:rFonts w:ascii="Arial" w:hAnsi="Arial" w:cs="Arial"/>
                <w:sz w:val="18"/>
                <w:szCs w:val="18"/>
              </w:rPr>
              <w:t>d.</w:t>
            </w:r>
            <w:r w:rsidRPr="00033490">
              <w:rPr>
                <w:rFonts w:ascii="Arial" w:hAnsi="Arial" w:cs="Arial"/>
                <w:sz w:val="18"/>
                <w:szCs w:val="18"/>
              </w:rPr>
              <w:t xml:space="preserve">+2016 Default, </w:t>
            </w:r>
          </w:p>
          <w:p w14:paraId="10736592" w14:textId="77777777" w:rsidR="00BD63E8" w:rsidRPr="003C2A9B" w:rsidRDefault="00BD63E8" w:rsidP="008D1F64">
            <w:pPr>
              <w:keepNext/>
              <w:keepLines/>
              <w:rPr>
                <w:rFonts w:ascii="Arial" w:hAnsi="Arial" w:cs="Arial"/>
                <w:sz w:val="18"/>
                <w:szCs w:val="18"/>
              </w:rPr>
            </w:pPr>
            <w:r w:rsidRPr="003C2A9B">
              <w:rPr>
                <w:rFonts w:ascii="Arial" w:hAnsi="Arial" w:cs="Arial"/>
                <w:sz w:val="18"/>
                <w:szCs w:val="18"/>
              </w:rPr>
              <w:t>Early Enrollees</w:t>
            </w:r>
          </w:p>
        </w:tc>
        <w:tc>
          <w:tcPr>
            <w:tcW w:w="876" w:type="dxa"/>
            <w:tcBorders>
              <w:top w:val="nil"/>
              <w:left w:val="nil"/>
              <w:bottom w:val="single" w:sz="4" w:space="0" w:color="auto"/>
              <w:right w:val="single" w:sz="4" w:space="0" w:color="auto"/>
            </w:tcBorders>
            <w:shd w:val="clear" w:color="auto" w:fill="auto"/>
            <w:noWrap/>
            <w:vAlign w:val="center"/>
            <w:hideMark/>
          </w:tcPr>
          <w:p w14:paraId="360C4045"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828</w:t>
            </w:r>
          </w:p>
        </w:tc>
        <w:tc>
          <w:tcPr>
            <w:tcW w:w="1327" w:type="dxa"/>
            <w:tcBorders>
              <w:top w:val="nil"/>
              <w:left w:val="nil"/>
              <w:bottom w:val="single" w:sz="4" w:space="0" w:color="auto"/>
              <w:right w:val="single" w:sz="4" w:space="0" w:color="auto"/>
            </w:tcBorders>
            <w:shd w:val="clear" w:color="auto" w:fill="auto"/>
            <w:noWrap/>
            <w:vAlign w:val="center"/>
            <w:hideMark/>
          </w:tcPr>
          <w:p w14:paraId="0F0A73AE"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38</w:t>
            </w:r>
          </w:p>
        </w:tc>
        <w:tc>
          <w:tcPr>
            <w:tcW w:w="1193" w:type="dxa"/>
            <w:tcBorders>
              <w:top w:val="nil"/>
              <w:left w:val="nil"/>
              <w:bottom w:val="single" w:sz="4" w:space="0" w:color="auto"/>
              <w:right w:val="single" w:sz="4" w:space="0" w:color="auto"/>
            </w:tcBorders>
            <w:shd w:val="clear" w:color="auto" w:fill="auto"/>
            <w:noWrap/>
            <w:vAlign w:val="center"/>
            <w:hideMark/>
          </w:tcPr>
          <w:p w14:paraId="1F04A12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2.0</w:t>
            </w:r>
          </w:p>
        </w:tc>
        <w:tc>
          <w:tcPr>
            <w:tcW w:w="1170" w:type="dxa"/>
            <w:tcBorders>
              <w:top w:val="nil"/>
              <w:left w:val="nil"/>
              <w:bottom w:val="single" w:sz="4" w:space="0" w:color="auto"/>
              <w:right w:val="single" w:sz="4" w:space="0" w:color="auto"/>
            </w:tcBorders>
            <w:shd w:val="clear" w:color="auto" w:fill="auto"/>
            <w:noWrap/>
            <w:vAlign w:val="center"/>
            <w:hideMark/>
          </w:tcPr>
          <w:p w14:paraId="0FA7C8FD"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46.1</w:t>
            </w:r>
          </w:p>
        </w:tc>
        <w:tc>
          <w:tcPr>
            <w:tcW w:w="1170" w:type="dxa"/>
            <w:tcBorders>
              <w:top w:val="nil"/>
              <w:left w:val="nil"/>
              <w:bottom w:val="single" w:sz="4" w:space="0" w:color="auto"/>
              <w:right w:val="single" w:sz="4" w:space="0" w:color="auto"/>
            </w:tcBorders>
            <w:shd w:val="clear" w:color="auto" w:fill="auto"/>
            <w:noWrap/>
            <w:vAlign w:val="center"/>
            <w:hideMark/>
          </w:tcPr>
          <w:p w14:paraId="32D647A3"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2.36</w:t>
            </w:r>
          </w:p>
        </w:tc>
        <w:tc>
          <w:tcPr>
            <w:tcW w:w="720" w:type="dxa"/>
            <w:tcBorders>
              <w:top w:val="nil"/>
              <w:left w:val="nil"/>
              <w:bottom w:val="single" w:sz="4" w:space="0" w:color="auto"/>
              <w:right w:val="single" w:sz="4" w:space="0" w:color="auto"/>
            </w:tcBorders>
            <w:shd w:val="clear" w:color="auto" w:fill="auto"/>
            <w:noWrap/>
            <w:vAlign w:val="center"/>
            <w:hideMark/>
          </w:tcPr>
          <w:p w14:paraId="6186F4C1"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5.1%</w:t>
            </w:r>
          </w:p>
        </w:tc>
      </w:tr>
      <w:tr w:rsidR="00BD63E8" w:rsidRPr="00955C76" w14:paraId="4A31F3BA" w14:textId="77777777" w:rsidTr="008D1F64">
        <w:trPr>
          <w:trHeight w:val="315"/>
          <w:jc w:val="center"/>
        </w:trPr>
        <w:tc>
          <w:tcPr>
            <w:tcW w:w="943" w:type="dxa"/>
            <w:tcBorders>
              <w:top w:val="nil"/>
              <w:left w:val="single" w:sz="4" w:space="0" w:color="auto"/>
              <w:bottom w:val="single" w:sz="4" w:space="0" w:color="auto"/>
              <w:right w:val="single" w:sz="4" w:space="0" w:color="auto"/>
            </w:tcBorders>
            <w:shd w:val="clear" w:color="auto" w:fill="auto"/>
            <w:noWrap/>
            <w:vAlign w:val="center"/>
            <w:hideMark/>
          </w:tcPr>
          <w:p w14:paraId="721C549D" w14:textId="77777777" w:rsidR="00BD63E8" w:rsidRPr="00033490" w:rsidRDefault="00BD63E8" w:rsidP="008D1F64">
            <w:pPr>
              <w:keepNext/>
              <w:keepLines/>
              <w:jc w:val="center"/>
              <w:rPr>
                <w:rFonts w:ascii="Arial" w:hAnsi="Arial" w:cs="Arial"/>
                <w:sz w:val="18"/>
                <w:szCs w:val="18"/>
              </w:rPr>
            </w:pPr>
            <w:r w:rsidRPr="00033490">
              <w:rPr>
                <w:rFonts w:ascii="Arial" w:hAnsi="Arial" w:cs="Arial"/>
                <w:sz w:val="18"/>
                <w:szCs w:val="18"/>
              </w:rPr>
              <w:t>10</w:t>
            </w:r>
          </w:p>
        </w:tc>
        <w:tc>
          <w:tcPr>
            <w:tcW w:w="1914" w:type="dxa"/>
            <w:tcBorders>
              <w:top w:val="nil"/>
              <w:left w:val="nil"/>
              <w:bottom w:val="single" w:sz="4" w:space="0" w:color="auto"/>
              <w:right w:val="single" w:sz="4" w:space="0" w:color="auto"/>
            </w:tcBorders>
            <w:shd w:val="clear" w:color="auto" w:fill="auto"/>
            <w:noWrap/>
            <w:vAlign w:val="center"/>
            <w:hideMark/>
          </w:tcPr>
          <w:p w14:paraId="43E70698" w14:textId="77777777" w:rsidR="00BD63E8" w:rsidRDefault="00BD63E8" w:rsidP="008D1F64">
            <w:pPr>
              <w:keepNext/>
              <w:keepLines/>
              <w:rPr>
                <w:rFonts w:ascii="Arial" w:hAnsi="Arial" w:cs="Arial"/>
                <w:sz w:val="18"/>
                <w:szCs w:val="18"/>
              </w:rPr>
            </w:pPr>
            <w:r w:rsidRPr="00033490">
              <w:rPr>
                <w:rFonts w:ascii="Arial" w:hAnsi="Arial" w:cs="Arial"/>
                <w:sz w:val="18"/>
                <w:szCs w:val="18"/>
              </w:rPr>
              <w:t>Std</w:t>
            </w:r>
            <w:r>
              <w:rPr>
                <w:rFonts w:ascii="Arial" w:hAnsi="Arial" w:cs="Arial"/>
                <w:sz w:val="18"/>
                <w:szCs w:val="18"/>
              </w:rPr>
              <w:t>.</w:t>
            </w:r>
            <w:r w:rsidRPr="00033490">
              <w:rPr>
                <w:rFonts w:ascii="Arial" w:hAnsi="Arial" w:cs="Arial"/>
                <w:sz w:val="18"/>
                <w:szCs w:val="18"/>
              </w:rPr>
              <w:t xml:space="preserve">+2016 Default, </w:t>
            </w:r>
          </w:p>
          <w:p w14:paraId="10F4BCEE" w14:textId="77777777" w:rsidR="00BD63E8" w:rsidRPr="003C2A9B" w:rsidRDefault="00BD63E8" w:rsidP="008D1F64">
            <w:pPr>
              <w:keepNext/>
              <w:keepLines/>
              <w:rPr>
                <w:rFonts w:ascii="Arial" w:hAnsi="Arial" w:cs="Arial"/>
                <w:sz w:val="18"/>
                <w:szCs w:val="18"/>
              </w:rPr>
            </w:pPr>
            <w:r w:rsidRPr="003C2A9B">
              <w:rPr>
                <w:rFonts w:ascii="Arial" w:hAnsi="Arial" w:cs="Arial"/>
                <w:sz w:val="18"/>
                <w:szCs w:val="18"/>
              </w:rPr>
              <w:t>Default</w:t>
            </w:r>
          </w:p>
        </w:tc>
        <w:tc>
          <w:tcPr>
            <w:tcW w:w="876" w:type="dxa"/>
            <w:tcBorders>
              <w:top w:val="nil"/>
              <w:left w:val="nil"/>
              <w:bottom w:val="single" w:sz="4" w:space="0" w:color="auto"/>
              <w:right w:val="single" w:sz="4" w:space="0" w:color="auto"/>
            </w:tcBorders>
            <w:shd w:val="clear" w:color="auto" w:fill="auto"/>
            <w:noWrap/>
            <w:vAlign w:val="center"/>
            <w:hideMark/>
          </w:tcPr>
          <w:p w14:paraId="1800A36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25,028</w:t>
            </w:r>
          </w:p>
        </w:tc>
        <w:tc>
          <w:tcPr>
            <w:tcW w:w="1327" w:type="dxa"/>
            <w:tcBorders>
              <w:top w:val="nil"/>
              <w:left w:val="nil"/>
              <w:bottom w:val="single" w:sz="4" w:space="0" w:color="auto"/>
              <w:right w:val="single" w:sz="4" w:space="0" w:color="auto"/>
            </w:tcBorders>
            <w:shd w:val="clear" w:color="auto" w:fill="auto"/>
            <w:noWrap/>
            <w:vAlign w:val="center"/>
            <w:hideMark/>
          </w:tcPr>
          <w:p w14:paraId="6B8A191C"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355</w:t>
            </w:r>
          </w:p>
        </w:tc>
        <w:tc>
          <w:tcPr>
            <w:tcW w:w="1193" w:type="dxa"/>
            <w:tcBorders>
              <w:top w:val="nil"/>
              <w:left w:val="nil"/>
              <w:bottom w:val="single" w:sz="4" w:space="0" w:color="auto"/>
              <w:right w:val="single" w:sz="4" w:space="0" w:color="auto"/>
            </w:tcBorders>
            <w:shd w:val="clear" w:color="auto" w:fill="auto"/>
            <w:noWrap/>
            <w:vAlign w:val="center"/>
            <w:hideMark/>
          </w:tcPr>
          <w:p w14:paraId="2BF22DD3"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3.5</w:t>
            </w:r>
          </w:p>
        </w:tc>
        <w:tc>
          <w:tcPr>
            <w:tcW w:w="1170" w:type="dxa"/>
            <w:tcBorders>
              <w:top w:val="nil"/>
              <w:left w:val="nil"/>
              <w:bottom w:val="single" w:sz="4" w:space="0" w:color="auto"/>
              <w:right w:val="single" w:sz="4" w:space="0" w:color="auto"/>
            </w:tcBorders>
            <w:shd w:val="clear" w:color="auto" w:fill="auto"/>
            <w:noWrap/>
            <w:vAlign w:val="center"/>
            <w:hideMark/>
          </w:tcPr>
          <w:p w14:paraId="04D4CBCD"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14.2</w:t>
            </w:r>
          </w:p>
        </w:tc>
        <w:tc>
          <w:tcPr>
            <w:tcW w:w="1170" w:type="dxa"/>
            <w:tcBorders>
              <w:top w:val="nil"/>
              <w:left w:val="nil"/>
              <w:bottom w:val="single" w:sz="4" w:space="0" w:color="auto"/>
              <w:right w:val="single" w:sz="4" w:space="0" w:color="auto"/>
            </w:tcBorders>
            <w:shd w:val="clear" w:color="auto" w:fill="auto"/>
            <w:noWrap/>
            <w:vAlign w:val="center"/>
            <w:hideMark/>
          </w:tcPr>
          <w:p w14:paraId="729B2A45"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0.14</w:t>
            </w:r>
          </w:p>
        </w:tc>
        <w:tc>
          <w:tcPr>
            <w:tcW w:w="720" w:type="dxa"/>
            <w:tcBorders>
              <w:top w:val="nil"/>
              <w:left w:val="nil"/>
              <w:bottom w:val="single" w:sz="4" w:space="0" w:color="auto"/>
              <w:right w:val="single" w:sz="4" w:space="0" w:color="auto"/>
            </w:tcBorders>
            <w:shd w:val="clear" w:color="auto" w:fill="auto"/>
            <w:noWrap/>
            <w:vAlign w:val="center"/>
            <w:hideMark/>
          </w:tcPr>
          <w:p w14:paraId="45B19F1D" w14:textId="77777777" w:rsidR="00BD63E8" w:rsidRPr="003C2A9B" w:rsidRDefault="00BD63E8" w:rsidP="008D1F64">
            <w:pPr>
              <w:keepNext/>
              <w:keepLines/>
              <w:jc w:val="center"/>
              <w:rPr>
                <w:rFonts w:ascii="Arial" w:hAnsi="Arial" w:cs="Arial"/>
                <w:sz w:val="18"/>
                <w:szCs w:val="18"/>
              </w:rPr>
            </w:pPr>
            <w:r w:rsidRPr="003C2A9B">
              <w:rPr>
                <w:rFonts w:ascii="Arial" w:hAnsi="Arial" w:cs="Arial"/>
                <w:sz w:val="18"/>
                <w:szCs w:val="18"/>
              </w:rPr>
              <w:t>1.0%</w:t>
            </w:r>
          </w:p>
        </w:tc>
      </w:tr>
    </w:tbl>
    <w:p w14:paraId="795FF864" w14:textId="77777777" w:rsidR="00BD63E8" w:rsidRDefault="00BD63E8" w:rsidP="00BD63E8">
      <w:pPr>
        <w:spacing w:after="120"/>
        <w:rPr>
          <w:szCs w:val="32"/>
        </w:rPr>
      </w:pPr>
    </w:p>
    <w:p w14:paraId="71C8FBA7" w14:textId="25CD4DFF" w:rsidR="00BD63E8" w:rsidRDefault="00BD63E8" w:rsidP="00BD63E8">
      <w:pPr>
        <w:spacing w:after="120"/>
        <w:rPr>
          <w:szCs w:val="32"/>
        </w:rPr>
      </w:pPr>
      <w:r>
        <w:rPr>
          <w:szCs w:val="32"/>
        </w:rPr>
        <w:fldChar w:fldCharType="begin"/>
      </w:r>
      <w:r>
        <w:rPr>
          <w:szCs w:val="32"/>
        </w:rPr>
        <w:instrText xml:space="preserve"> REF _Ref507159378 \h </w:instrText>
      </w:r>
      <w:r>
        <w:rPr>
          <w:szCs w:val="32"/>
        </w:rPr>
      </w:r>
      <w:r>
        <w:rPr>
          <w:szCs w:val="32"/>
        </w:rPr>
        <w:fldChar w:fldCharType="separate"/>
      </w:r>
      <w:r w:rsidR="005D5C7C" w:rsidRPr="00BD63E8">
        <w:rPr>
          <w:highlight w:val="lightGray"/>
        </w:rPr>
        <w:t xml:space="preserve">Figure </w:t>
      </w:r>
      <w:r w:rsidR="005D5C7C">
        <w:rPr>
          <w:noProof/>
          <w:highlight w:val="lightGray"/>
        </w:rPr>
        <w:t>3</w:t>
      </w:r>
      <w:r w:rsidR="005D5C7C" w:rsidRPr="00BD63E8">
        <w:rPr>
          <w:highlight w:val="lightGray"/>
        </w:rPr>
        <w:t>.</w:t>
      </w:r>
      <w:r w:rsidR="005D5C7C">
        <w:rPr>
          <w:noProof/>
          <w:highlight w:val="lightGray"/>
        </w:rPr>
        <w:t>13</w:t>
      </w:r>
      <w:r>
        <w:rPr>
          <w:szCs w:val="32"/>
        </w:rPr>
        <w:fldChar w:fldCharType="end"/>
      </w:r>
      <w:r>
        <w:rPr>
          <w:szCs w:val="32"/>
        </w:rPr>
        <w:t xml:space="preserve"> and </w:t>
      </w:r>
      <w:r>
        <w:rPr>
          <w:szCs w:val="32"/>
        </w:rPr>
        <w:fldChar w:fldCharType="begin"/>
      </w:r>
      <w:r>
        <w:rPr>
          <w:szCs w:val="32"/>
        </w:rPr>
        <w:instrText xml:space="preserve"> REF _Ref507159388 \h </w:instrText>
      </w:r>
      <w:r>
        <w:rPr>
          <w:szCs w:val="32"/>
        </w:rPr>
      </w:r>
      <w:r>
        <w:rPr>
          <w:szCs w:val="32"/>
        </w:rPr>
        <w:fldChar w:fldCharType="separate"/>
      </w:r>
      <w:r w:rsidR="005D5C7C">
        <w:t xml:space="preserve">Table </w:t>
      </w:r>
      <w:r w:rsidR="005D5C7C">
        <w:rPr>
          <w:noProof/>
        </w:rPr>
        <w:t>3</w:t>
      </w:r>
      <w:r w:rsidR="005D5C7C">
        <w:t>.</w:t>
      </w:r>
      <w:r w:rsidR="005D5C7C">
        <w:rPr>
          <w:noProof/>
        </w:rPr>
        <w:t>15</w:t>
      </w:r>
      <w:r>
        <w:rPr>
          <w:szCs w:val="32"/>
        </w:rPr>
        <w:fldChar w:fldCharType="end"/>
      </w:r>
      <w:r>
        <w:rPr>
          <w:szCs w:val="32"/>
        </w:rPr>
        <w:t xml:space="preserve"> show the results for a second segmentation consisting entirely of Enhanced ISS customers. The top branch contains customers who receive text notifications, further divided into customers who received Enhanced versus standard text notifications. The bottom branch of the figure contains the customers who received only Enhanced email notifications (</w:t>
      </w:r>
      <w:r w:rsidRPr="002F43D3">
        <w:rPr>
          <w:i/>
          <w:szCs w:val="32"/>
        </w:rPr>
        <w:t>i.e.</w:t>
      </w:r>
      <w:r>
        <w:rPr>
          <w:szCs w:val="32"/>
        </w:rPr>
        <w:t xml:space="preserve">, they don’t receive texts of any kind). (All customers in the figure receive Enhanced email notifications.)  </w:t>
      </w:r>
    </w:p>
    <w:p w14:paraId="466B2217" w14:textId="77777777" w:rsidR="00BD63E8" w:rsidRDefault="00BD63E8" w:rsidP="00BD63E8">
      <w:pPr>
        <w:spacing w:after="120"/>
        <w:rPr>
          <w:szCs w:val="32"/>
        </w:rPr>
      </w:pPr>
      <w:r>
        <w:rPr>
          <w:szCs w:val="32"/>
        </w:rPr>
        <w:t>The percentage notifications show that text notifications are associated with higher load impacts than email-only notifications for all size groups. Furthermore, customers who receive Enhanced text notifications have higher percentage load impacts than those who receive only standard text notifications (but Enhanced email notifications).</w:t>
      </w:r>
    </w:p>
    <w:p w14:paraId="17079FE7" w14:textId="2E0B7315" w:rsidR="00BD63E8" w:rsidRDefault="00BD63E8" w:rsidP="00BD63E8">
      <w:pPr>
        <w:pStyle w:val="FigureCaption"/>
        <w:rPr>
          <w:i/>
        </w:rPr>
      </w:pPr>
      <w:bookmarkStart w:id="176" w:name="_Ref507159378"/>
      <w:bookmarkStart w:id="177" w:name="_Toc508894735"/>
      <w:bookmarkStart w:id="178" w:name="_Toc509837461"/>
      <w:r w:rsidRPr="00BD63E8">
        <w:rPr>
          <w:highlight w:val="lightGray"/>
        </w:rPr>
        <w:lastRenderedPageBreak/>
        <w:t xml:space="preserve">Figure </w:t>
      </w:r>
      <w:r w:rsidRPr="00BD63E8">
        <w:rPr>
          <w:highlight w:val="lightGray"/>
        </w:rPr>
        <w:fldChar w:fldCharType="begin"/>
      </w:r>
      <w:r w:rsidRPr="00BD63E8">
        <w:rPr>
          <w:highlight w:val="lightGray"/>
        </w:rPr>
        <w:instrText xml:space="preserve"> STYLEREF 1 \s </w:instrText>
      </w:r>
      <w:r w:rsidRPr="00BD63E8">
        <w:rPr>
          <w:highlight w:val="lightGray"/>
        </w:rPr>
        <w:fldChar w:fldCharType="separate"/>
      </w:r>
      <w:r w:rsidR="005D5C7C">
        <w:rPr>
          <w:noProof/>
          <w:highlight w:val="lightGray"/>
        </w:rPr>
        <w:t>3</w:t>
      </w:r>
      <w:r w:rsidRPr="00BD63E8">
        <w:rPr>
          <w:noProof/>
          <w:highlight w:val="lightGray"/>
        </w:rPr>
        <w:fldChar w:fldCharType="end"/>
      </w:r>
      <w:r w:rsidRPr="00BD63E8">
        <w:rPr>
          <w:highlight w:val="lightGray"/>
        </w:rPr>
        <w:t>.</w:t>
      </w:r>
      <w:r w:rsidRPr="00BD63E8">
        <w:rPr>
          <w:highlight w:val="lightGray"/>
        </w:rPr>
        <w:fldChar w:fldCharType="begin"/>
      </w:r>
      <w:r w:rsidRPr="00BD63E8">
        <w:rPr>
          <w:highlight w:val="lightGray"/>
        </w:rPr>
        <w:instrText xml:space="preserve"> SEQ Figure \* ARABIC \s 1 </w:instrText>
      </w:r>
      <w:r w:rsidRPr="00BD63E8">
        <w:rPr>
          <w:highlight w:val="lightGray"/>
        </w:rPr>
        <w:fldChar w:fldCharType="separate"/>
      </w:r>
      <w:r w:rsidR="005D5C7C">
        <w:rPr>
          <w:noProof/>
          <w:highlight w:val="lightGray"/>
        </w:rPr>
        <w:t>13</w:t>
      </w:r>
      <w:r w:rsidRPr="00BD63E8">
        <w:rPr>
          <w:noProof/>
          <w:highlight w:val="lightGray"/>
        </w:rPr>
        <w:fldChar w:fldCharType="end"/>
      </w:r>
      <w:bookmarkEnd w:id="176"/>
      <w:r w:rsidRPr="00BD63E8">
        <w:rPr>
          <w:highlight w:val="lightGray"/>
        </w:rPr>
        <w:t xml:space="preserve">: Number of Service Accounts and Percentage Load Impacts, </w:t>
      </w:r>
      <w:r w:rsidRPr="00BD63E8">
        <w:rPr>
          <w:i/>
          <w:highlight w:val="lightGray"/>
        </w:rPr>
        <w:t>PG&amp;E Segmentation 2</w:t>
      </w:r>
      <w:bookmarkEnd w:id="177"/>
      <w:bookmarkEnd w:id="178"/>
    </w:p>
    <w:p w14:paraId="1A8E28B4" w14:textId="05921A5E" w:rsidR="00BD63E8" w:rsidRDefault="00BD63E8" w:rsidP="00BD63E8">
      <w:pPr>
        <w:jc w:val="center"/>
      </w:pPr>
      <w:r w:rsidRPr="001B3A7D">
        <w:t xml:space="preserve"> </w:t>
      </w:r>
      <w:r w:rsidR="002056C9">
        <w:rPr>
          <w:noProof/>
        </w:rPr>
        <w:drawing>
          <wp:inline distT="0" distB="0" distL="0" distR="0" wp14:anchorId="510A309C" wp14:editId="4F21E2B2">
            <wp:extent cx="5287010" cy="2472856"/>
            <wp:effectExtent l="0" t="0" r="8890" b="3810"/>
            <wp:docPr id="103" name="Chart 103">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ABC3551" w14:textId="77777777" w:rsidR="00BD63E8" w:rsidRDefault="00BD63E8" w:rsidP="00BD63E8">
      <w:pPr>
        <w:spacing w:after="120"/>
        <w:rPr>
          <w:szCs w:val="32"/>
        </w:rPr>
      </w:pPr>
    </w:p>
    <w:p w14:paraId="0156398C" w14:textId="77777777" w:rsidR="00BD63E8" w:rsidRDefault="00BD63E8" w:rsidP="00BD63E8">
      <w:pPr>
        <w:spacing w:after="120"/>
        <w:rPr>
          <w:szCs w:val="32"/>
        </w:rPr>
      </w:pPr>
    </w:p>
    <w:p w14:paraId="63EA7085" w14:textId="1C6A2C51" w:rsidR="00BD63E8" w:rsidRDefault="00BD63E8" w:rsidP="00BD63E8">
      <w:pPr>
        <w:pStyle w:val="TableCaption"/>
        <w:keepLines/>
      </w:pPr>
      <w:bookmarkStart w:id="179" w:name="_Ref507159388"/>
      <w:bookmarkStart w:id="180" w:name="_Toc508894646"/>
      <w:bookmarkStart w:id="181" w:name="_Toc509837372"/>
      <w:r>
        <w:t xml:space="preserve">Table </w:t>
      </w:r>
      <w:fldSimple w:instr=" STYLEREF 1 \s ">
        <w:r w:rsidR="005D5C7C">
          <w:rPr>
            <w:noProof/>
          </w:rPr>
          <w:t>3</w:t>
        </w:r>
      </w:fldSimple>
      <w:r>
        <w:t>.</w:t>
      </w:r>
      <w:fldSimple w:instr=" SEQ Table \* ARABIC \s 1 ">
        <w:r w:rsidR="005D5C7C">
          <w:rPr>
            <w:noProof/>
          </w:rPr>
          <w:t>15</w:t>
        </w:r>
      </w:fldSimple>
      <w:bookmarkEnd w:id="179"/>
      <w:r>
        <w:t xml:space="preserve">: Typical Event Day Load Impacts, </w:t>
      </w:r>
      <w:r>
        <w:rPr>
          <w:i/>
        </w:rPr>
        <w:t>PG&amp;E Segmentation 2</w:t>
      </w:r>
      <w:bookmarkEnd w:id="180"/>
      <w:bookmarkEnd w:id="181"/>
    </w:p>
    <w:tbl>
      <w:tblPr>
        <w:tblW w:w="9232" w:type="dxa"/>
        <w:jc w:val="center"/>
        <w:tblLook w:val="04A0" w:firstRow="1" w:lastRow="0" w:firstColumn="1" w:lastColumn="0" w:noHBand="0" w:noVBand="1"/>
      </w:tblPr>
      <w:tblGrid>
        <w:gridCol w:w="1017"/>
        <w:gridCol w:w="1749"/>
        <w:gridCol w:w="928"/>
        <w:gridCol w:w="1184"/>
        <w:gridCol w:w="1172"/>
        <w:gridCol w:w="1253"/>
        <w:gridCol w:w="1172"/>
        <w:gridCol w:w="809"/>
      </w:tblGrid>
      <w:tr w:rsidR="00BD63E8" w:rsidRPr="00955C76" w14:paraId="35030CD1" w14:textId="77777777" w:rsidTr="008D1F64">
        <w:trPr>
          <w:trHeight w:val="647"/>
          <w:jc w:val="center"/>
        </w:trPr>
        <w:tc>
          <w:tcPr>
            <w:tcW w:w="965" w:type="dxa"/>
            <w:vMerge w:val="restart"/>
            <w:tcBorders>
              <w:top w:val="single" w:sz="4" w:space="0" w:color="auto"/>
              <w:left w:val="single" w:sz="4" w:space="0" w:color="auto"/>
              <w:right w:val="nil"/>
            </w:tcBorders>
            <w:shd w:val="clear" w:color="000000" w:fill="0C2577"/>
            <w:vAlign w:val="center"/>
          </w:tcPr>
          <w:p w14:paraId="33EB9528" w14:textId="77777777" w:rsidR="00BD63E8" w:rsidRPr="00955C76" w:rsidRDefault="00BD63E8" w:rsidP="008D1F64">
            <w:pPr>
              <w:keepNext/>
              <w:keepLines/>
              <w:jc w:val="center"/>
              <w:rPr>
                <w:rFonts w:ascii="Arial" w:hAnsi="Arial" w:cs="Arial"/>
                <w:b/>
                <w:bCs/>
                <w:color w:val="FFFFFF"/>
                <w:sz w:val="20"/>
                <w:szCs w:val="20"/>
              </w:rPr>
            </w:pPr>
            <w:r w:rsidRPr="00955C76">
              <w:rPr>
                <w:rFonts w:ascii="Arial" w:hAnsi="Arial" w:cs="Arial"/>
                <w:b/>
                <w:bCs/>
                <w:color w:val="FFFFFF"/>
                <w:sz w:val="20"/>
                <w:szCs w:val="20"/>
              </w:rPr>
              <w:t>Diagram Item No.</w:t>
            </w:r>
          </w:p>
        </w:tc>
        <w:tc>
          <w:tcPr>
            <w:tcW w:w="1749" w:type="dxa"/>
            <w:vMerge w:val="restart"/>
            <w:tcBorders>
              <w:top w:val="single" w:sz="4" w:space="0" w:color="auto"/>
              <w:left w:val="single" w:sz="4" w:space="0" w:color="FFFFFF"/>
              <w:right w:val="nil"/>
            </w:tcBorders>
            <w:shd w:val="clear" w:color="000000" w:fill="0C2577"/>
            <w:vAlign w:val="center"/>
          </w:tcPr>
          <w:p w14:paraId="6FC5E19E" w14:textId="77777777" w:rsidR="00BD63E8" w:rsidRPr="00955C76" w:rsidRDefault="00BD63E8" w:rsidP="008D1F64">
            <w:pPr>
              <w:keepNext/>
              <w:keepLines/>
              <w:jc w:val="center"/>
              <w:rPr>
                <w:rFonts w:ascii="Arial" w:hAnsi="Arial" w:cs="Arial"/>
                <w:b/>
                <w:bCs/>
                <w:color w:val="FFFFFF"/>
                <w:sz w:val="20"/>
                <w:szCs w:val="20"/>
              </w:rPr>
            </w:pPr>
            <w:r w:rsidRPr="00955C76">
              <w:rPr>
                <w:rFonts w:ascii="Arial" w:hAnsi="Arial" w:cs="Arial"/>
                <w:b/>
                <w:bCs/>
                <w:color w:val="FFFFFF"/>
                <w:sz w:val="20"/>
                <w:szCs w:val="20"/>
              </w:rPr>
              <w:t>Group</w:t>
            </w:r>
          </w:p>
        </w:tc>
        <w:tc>
          <w:tcPr>
            <w:tcW w:w="928" w:type="dxa"/>
            <w:vMerge w:val="restart"/>
            <w:tcBorders>
              <w:top w:val="single" w:sz="4" w:space="0" w:color="auto"/>
              <w:left w:val="single" w:sz="4" w:space="0" w:color="FFFFFF"/>
              <w:right w:val="nil"/>
            </w:tcBorders>
            <w:shd w:val="clear" w:color="000000" w:fill="0C2577"/>
            <w:vAlign w:val="center"/>
          </w:tcPr>
          <w:p w14:paraId="156D4C2F" w14:textId="77777777" w:rsidR="00BD63E8" w:rsidRPr="00955C76" w:rsidRDefault="00BD63E8" w:rsidP="008D1F64">
            <w:pPr>
              <w:keepNext/>
              <w:keepLines/>
              <w:jc w:val="center"/>
              <w:rPr>
                <w:rFonts w:ascii="Arial" w:hAnsi="Arial" w:cs="Arial"/>
                <w:b/>
                <w:bCs/>
                <w:color w:val="FFFFFF"/>
                <w:sz w:val="20"/>
                <w:szCs w:val="20"/>
              </w:rPr>
            </w:pPr>
            <w:r w:rsidRPr="00955C76">
              <w:rPr>
                <w:rFonts w:ascii="Arial" w:hAnsi="Arial" w:cs="Arial"/>
                <w:b/>
                <w:bCs/>
                <w:color w:val="FFFFFF"/>
                <w:sz w:val="20"/>
                <w:szCs w:val="20"/>
              </w:rPr>
              <w:t># of Service Accts</w:t>
            </w:r>
          </w:p>
        </w:tc>
        <w:tc>
          <w:tcPr>
            <w:tcW w:w="2356" w:type="dxa"/>
            <w:gridSpan w:val="2"/>
            <w:tcBorders>
              <w:top w:val="single" w:sz="4" w:space="0" w:color="auto"/>
              <w:left w:val="single" w:sz="4" w:space="0" w:color="FFFFFF"/>
              <w:bottom w:val="single" w:sz="4" w:space="0" w:color="FFFFFF" w:themeColor="background1"/>
              <w:right w:val="nil"/>
            </w:tcBorders>
            <w:shd w:val="clear" w:color="000000" w:fill="0C2577"/>
            <w:vAlign w:val="center"/>
          </w:tcPr>
          <w:p w14:paraId="1D105C33" w14:textId="77777777" w:rsidR="00BD63E8" w:rsidRPr="00955C76" w:rsidRDefault="00BD63E8" w:rsidP="008D1F64">
            <w:pPr>
              <w:keepNext/>
              <w:keepLines/>
              <w:jc w:val="center"/>
              <w:rPr>
                <w:rFonts w:ascii="Arial" w:hAnsi="Arial" w:cs="Arial"/>
                <w:b/>
                <w:bCs/>
                <w:color w:val="FFFFFF"/>
                <w:sz w:val="20"/>
                <w:szCs w:val="20"/>
              </w:rPr>
            </w:pPr>
            <w:r>
              <w:rPr>
                <w:rFonts w:ascii="Arial" w:hAnsi="Arial" w:cs="Arial"/>
                <w:b/>
                <w:bCs/>
                <w:color w:val="FFFFFF"/>
                <w:sz w:val="20"/>
                <w:szCs w:val="20"/>
              </w:rPr>
              <w:t xml:space="preserve">Aggregate Results </w:t>
            </w:r>
            <w:r w:rsidRPr="00955C76">
              <w:rPr>
                <w:rFonts w:ascii="Arial" w:hAnsi="Arial" w:cs="Arial"/>
                <w:b/>
                <w:bCs/>
                <w:color w:val="FFFFFF"/>
                <w:sz w:val="20"/>
                <w:szCs w:val="20"/>
              </w:rPr>
              <w:t>(MWh/hour)</w:t>
            </w:r>
          </w:p>
        </w:tc>
        <w:tc>
          <w:tcPr>
            <w:tcW w:w="2425" w:type="dxa"/>
            <w:gridSpan w:val="2"/>
            <w:tcBorders>
              <w:top w:val="single" w:sz="4" w:space="0" w:color="auto"/>
              <w:left w:val="single" w:sz="4" w:space="0" w:color="FFFFFF"/>
              <w:bottom w:val="single" w:sz="4" w:space="0" w:color="FFFFFF" w:themeColor="background1"/>
              <w:right w:val="nil"/>
            </w:tcBorders>
            <w:shd w:val="clear" w:color="000000" w:fill="0C2577"/>
            <w:vAlign w:val="center"/>
          </w:tcPr>
          <w:p w14:paraId="17ADE20D" w14:textId="77777777" w:rsidR="00BD63E8" w:rsidRPr="00955C76" w:rsidRDefault="00BD63E8" w:rsidP="008D1F64">
            <w:pPr>
              <w:keepNext/>
              <w:keepLines/>
              <w:jc w:val="center"/>
              <w:rPr>
                <w:rFonts w:ascii="Arial" w:hAnsi="Arial" w:cs="Arial"/>
                <w:b/>
                <w:bCs/>
                <w:color w:val="FFFFFF"/>
                <w:sz w:val="20"/>
                <w:szCs w:val="20"/>
              </w:rPr>
            </w:pPr>
            <w:r>
              <w:rPr>
                <w:rFonts w:ascii="Arial" w:hAnsi="Arial" w:cs="Arial"/>
                <w:b/>
                <w:bCs/>
                <w:color w:val="FFFFFF"/>
                <w:sz w:val="20"/>
                <w:szCs w:val="20"/>
              </w:rPr>
              <w:t xml:space="preserve">Per-customer Results </w:t>
            </w:r>
            <w:r w:rsidRPr="00955C76">
              <w:rPr>
                <w:rFonts w:ascii="Arial" w:hAnsi="Arial" w:cs="Arial"/>
                <w:b/>
                <w:bCs/>
                <w:color w:val="FFFFFF"/>
                <w:sz w:val="20"/>
                <w:szCs w:val="20"/>
              </w:rPr>
              <w:t>(kWh/hour)</w:t>
            </w:r>
          </w:p>
        </w:tc>
        <w:tc>
          <w:tcPr>
            <w:tcW w:w="809" w:type="dxa"/>
            <w:vMerge w:val="restart"/>
            <w:tcBorders>
              <w:top w:val="single" w:sz="4" w:space="0" w:color="auto"/>
              <w:left w:val="single" w:sz="4" w:space="0" w:color="FFFFFF"/>
              <w:right w:val="single" w:sz="4" w:space="0" w:color="auto"/>
            </w:tcBorders>
            <w:shd w:val="clear" w:color="000000" w:fill="0C2577"/>
            <w:vAlign w:val="center"/>
          </w:tcPr>
          <w:p w14:paraId="04C5D82E" w14:textId="77777777" w:rsidR="00BD63E8" w:rsidRPr="00955C76" w:rsidRDefault="00BD63E8" w:rsidP="008D1F64">
            <w:pPr>
              <w:keepNext/>
              <w:keepLines/>
              <w:jc w:val="center"/>
              <w:rPr>
                <w:rFonts w:ascii="Arial" w:hAnsi="Arial" w:cs="Arial"/>
                <w:b/>
                <w:bCs/>
                <w:color w:val="FFFFFF"/>
                <w:sz w:val="20"/>
                <w:szCs w:val="20"/>
              </w:rPr>
            </w:pPr>
            <w:r w:rsidRPr="00955C76">
              <w:rPr>
                <w:rFonts w:ascii="Arial" w:hAnsi="Arial" w:cs="Arial"/>
                <w:b/>
                <w:bCs/>
                <w:color w:val="FFFFFF"/>
                <w:sz w:val="20"/>
                <w:szCs w:val="20"/>
              </w:rPr>
              <w:t>% LI</w:t>
            </w:r>
          </w:p>
        </w:tc>
      </w:tr>
      <w:tr w:rsidR="00BD63E8" w:rsidRPr="00955C76" w14:paraId="1AA6CAB9" w14:textId="77777777" w:rsidTr="008D1F64">
        <w:trPr>
          <w:trHeight w:val="791"/>
          <w:jc w:val="center"/>
        </w:trPr>
        <w:tc>
          <w:tcPr>
            <w:tcW w:w="965" w:type="dxa"/>
            <w:vMerge/>
            <w:tcBorders>
              <w:left w:val="single" w:sz="4" w:space="0" w:color="auto"/>
              <w:bottom w:val="single" w:sz="4" w:space="0" w:color="auto"/>
              <w:right w:val="nil"/>
            </w:tcBorders>
            <w:shd w:val="clear" w:color="000000" w:fill="0C2577"/>
            <w:vAlign w:val="bottom"/>
            <w:hideMark/>
          </w:tcPr>
          <w:p w14:paraId="510F78EE" w14:textId="77777777" w:rsidR="00BD63E8" w:rsidRPr="00955C76" w:rsidRDefault="00BD63E8" w:rsidP="008D1F64">
            <w:pPr>
              <w:keepNext/>
              <w:keepLines/>
              <w:jc w:val="center"/>
              <w:rPr>
                <w:rFonts w:ascii="Arial" w:hAnsi="Arial" w:cs="Arial"/>
                <w:b/>
                <w:bCs/>
                <w:color w:val="FFFFFF"/>
                <w:sz w:val="20"/>
                <w:szCs w:val="20"/>
              </w:rPr>
            </w:pPr>
          </w:p>
        </w:tc>
        <w:tc>
          <w:tcPr>
            <w:tcW w:w="1749" w:type="dxa"/>
            <w:vMerge/>
            <w:tcBorders>
              <w:left w:val="single" w:sz="4" w:space="0" w:color="FFFFFF"/>
              <w:bottom w:val="single" w:sz="4" w:space="0" w:color="auto"/>
              <w:right w:val="nil"/>
            </w:tcBorders>
            <w:shd w:val="clear" w:color="000000" w:fill="0C2577"/>
            <w:vAlign w:val="bottom"/>
            <w:hideMark/>
          </w:tcPr>
          <w:p w14:paraId="599F157B" w14:textId="77777777" w:rsidR="00BD63E8" w:rsidRPr="00955C76" w:rsidRDefault="00BD63E8" w:rsidP="008D1F64">
            <w:pPr>
              <w:keepNext/>
              <w:keepLines/>
              <w:jc w:val="center"/>
              <w:rPr>
                <w:rFonts w:ascii="Arial" w:hAnsi="Arial" w:cs="Arial"/>
                <w:b/>
                <w:bCs/>
                <w:color w:val="FFFFFF"/>
                <w:sz w:val="20"/>
                <w:szCs w:val="20"/>
              </w:rPr>
            </w:pPr>
          </w:p>
        </w:tc>
        <w:tc>
          <w:tcPr>
            <w:tcW w:w="928" w:type="dxa"/>
            <w:vMerge/>
            <w:tcBorders>
              <w:left w:val="single" w:sz="4" w:space="0" w:color="FFFFFF"/>
              <w:bottom w:val="single" w:sz="4" w:space="0" w:color="auto"/>
              <w:right w:val="nil"/>
            </w:tcBorders>
            <w:shd w:val="clear" w:color="000000" w:fill="0C2577"/>
            <w:vAlign w:val="bottom"/>
            <w:hideMark/>
          </w:tcPr>
          <w:p w14:paraId="4707F36A" w14:textId="77777777" w:rsidR="00BD63E8" w:rsidRPr="00955C76" w:rsidRDefault="00BD63E8" w:rsidP="008D1F64">
            <w:pPr>
              <w:keepNext/>
              <w:keepLines/>
              <w:jc w:val="center"/>
              <w:rPr>
                <w:rFonts w:ascii="Arial" w:hAnsi="Arial" w:cs="Arial"/>
                <w:b/>
                <w:bCs/>
                <w:color w:val="FFFFFF"/>
                <w:sz w:val="20"/>
                <w:szCs w:val="20"/>
              </w:rPr>
            </w:pPr>
          </w:p>
        </w:tc>
        <w:tc>
          <w:tcPr>
            <w:tcW w:w="1184" w:type="dxa"/>
            <w:tcBorders>
              <w:top w:val="single" w:sz="4" w:space="0" w:color="FFFFFF" w:themeColor="background1"/>
              <w:left w:val="single" w:sz="4" w:space="0" w:color="FFFFFF"/>
              <w:bottom w:val="single" w:sz="4" w:space="0" w:color="auto"/>
              <w:right w:val="nil"/>
            </w:tcBorders>
            <w:shd w:val="clear" w:color="000000" w:fill="0C2577"/>
            <w:vAlign w:val="center"/>
            <w:hideMark/>
          </w:tcPr>
          <w:p w14:paraId="1711FA49" w14:textId="77777777" w:rsidR="00BD63E8" w:rsidRPr="00955C76" w:rsidRDefault="00BD63E8" w:rsidP="008D1F64">
            <w:pPr>
              <w:keepNext/>
              <w:keepLines/>
              <w:jc w:val="center"/>
              <w:rPr>
                <w:rFonts w:ascii="Arial" w:hAnsi="Arial" w:cs="Arial"/>
                <w:b/>
                <w:bCs/>
                <w:color w:val="FFFFFF"/>
                <w:sz w:val="20"/>
                <w:szCs w:val="20"/>
              </w:rPr>
            </w:pPr>
            <w:r w:rsidRPr="00955C76">
              <w:rPr>
                <w:rFonts w:ascii="Arial" w:hAnsi="Arial" w:cs="Arial"/>
                <w:b/>
                <w:bCs/>
                <w:color w:val="FFFFFF"/>
                <w:sz w:val="20"/>
                <w:szCs w:val="20"/>
              </w:rPr>
              <w:t>Estimated Reference Load</w:t>
            </w:r>
          </w:p>
        </w:tc>
        <w:tc>
          <w:tcPr>
            <w:tcW w:w="1172" w:type="dxa"/>
            <w:tcBorders>
              <w:top w:val="single" w:sz="4" w:space="0" w:color="FFFFFF" w:themeColor="background1"/>
              <w:left w:val="single" w:sz="4" w:space="0" w:color="FFFFFF"/>
              <w:bottom w:val="single" w:sz="4" w:space="0" w:color="auto"/>
              <w:right w:val="nil"/>
            </w:tcBorders>
            <w:shd w:val="clear" w:color="000000" w:fill="0C2577"/>
            <w:vAlign w:val="center"/>
            <w:hideMark/>
          </w:tcPr>
          <w:p w14:paraId="27BB6EA7" w14:textId="77777777" w:rsidR="00BD63E8" w:rsidRPr="00955C76" w:rsidRDefault="00BD63E8" w:rsidP="008D1F64">
            <w:pPr>
              <w:keepNext/>
              <w:keepLines/>
              <w:jc w:val="center"/>
              <w:rPr>
                <w:rFonts w:ascii="Arial" w:hAnsi="Arial" w:cs="Arial"/>
                <w:b/>
                <w:bCs/>
                <w:color w:val="FFFFFF"/>
                <w:sz w:val="20"/>
                <w:szCs w:val="20"/>
              </w:rPr>
            </w:pPr>
            <w:r>
              <w:rPr>
                <w:rFonts w:ascii="Arial" w:hAnsi="Arial" w:cs="Arial"/>
                <w:b/>
                <w:bCs/>
                <w:color w:val="FFFFFF"/>
                <w:sz w:val="20"/>
                <w:szCs w:val="20"/>
              </w:rPr>
              <w:t>Estimated Load Impact</w:t>
            </w:r>
          </w:p>
        </w:tc>
        <w:tc>
          <w:tcPr>
            <w:tcW w:w="1253" w:type="dxa"/>
            <w:tcBorders>
              <w:top w:val="single" w:sz="4" w:space="0" w:color="FFFFFF" w:themeColor="background1"/>
              <w:left w:val="single" w:sz="4" w:space="0" w:color="FFFFFF"/>
              <w:bottom w:val="single" w:sz="4" w:space="0" w:color="auto"/>
              <w:right w:val="nil"/>
            </w:tcBorders>
            <w:shd w:val="clear" w:color="000000" w:fill="0C2577"/>
            <w:vAlign w:val="center"/>
            <w:hideMark/>
          </w:tcPr>
          <w:p w14:paraId="5C90D5FB" w14:textId="77777777" w:rsidR="00BD63E8" w:rsidRPr="00955C76" w:rsidRDefault="00BD63E8" w:rsidP="008D1F64">
            <w:pPr>
              <w:keepNext/>
              <w:keepLines/>
              <w:jc w:val="center"/>
              <w:rPr>
                <w:rFonts w:ascii="Arial" w:hAnsi="Arial" w:cs="Arial"/>
                <w:b/>
                <w:bCs/>
                <w:color w:val="FFFFFF"/>
                <w:sz w:val="20"/>
                <w:szCs w:val="20"/>
              </w:rPr>
            </w:pPr>
            <w:r w:rsidRPr="00955C76">
              <w:rPr>
                <w:rFonts w:ascii="Arial" w:hAnsi="Arial" w:cs="Arial"/>
                <w:b/>
                <w:bCs/>
                <w:color w:val="FFFFFF"/>
                <w:sz w:val="20"/>
                <w:szCs w:val="20"/>
              </w:rPr>
              <w:t xml:space="preserve">Estimated Reference Load </w:t>
            </w:r>
          </w:p>
        </w:tc>
        <w:tc>
          <w:tcPr>
            <w:tcW w:w="1172" w:type="dxa"/>
            <w:tcBorders>
              <w:top w:val="single" w:sz="4" w:space="0" w:color="FFFFFF" w:themeColor="background1"/>
              <w:left w:val="single" w:sz="4" w:space="0" w:color="FFFFFF"/>
              <w:bottom w:val="single" w:sz="4" w:space="0" w:color="auto"/>
              <w:right w:val="nil"/>
            </w:tcBorders>
            <w:shd w:val="clear" w:color="000000" w:fill="0C2577"/>
            <w:vAlign w:val="center"/>
            <w:hideMark/>
          </w:tcPr>
          <w:p w14:paraId="3B6DEBCE" w14:textId="77777777" w:rsidR="00BD63E8" w:rsidRPr="00955C76" w:rsidRDefault="00BD63E8" w:rsidP="008D1F64">
            <w:pPr>
              <w:keepNext/>
              <w:keepLines/>
              <w:jc w:val="center"/>
              <w:rPr>
                <w:rFonts w:ascii="Arial" w:hAnsi="Arial" w:cs="Arial"/>
                <w:b/>
                <w:bCs/>
                <w:color w:val="FFFFFF"/>
                <w:sz w:val="20"/>
                <w:szCs w:val="20"/>
              </w:rPr>
            </w:pPr>
            <w:r>
              <w:rPr>
                <w:rFonts w:ascii="Arial" w:hAnsi="Arial" w:cs="Arial"/>
                <w:b/>
                <w:bCs/>
                <w:color w:val="FFFFFF"/>
                <w:sz w:val="20"/>
                <w:szCs w:val="20"/>
              </w:rPr>
              <w:t>Estimated Load Impact</w:t>
            </w:r>
          </w:p>
        </w:tc>
        <w:tc>
          <w:tcPr>
            <w:tcW w:w="809" w:type="dxa"/>
            <w:vMerge/>
            <w:tcBorders>
              <w:left w:val="single" w:sz="4" w:space="0" w:color="FFFFFF"/>
              <w:bottom w:val="single" w:sz="4" w:space="0" w:color="auto"/>
              <w:right w:val="single" w:sz="4" w:space="0" w:color="auto"/>
            </w:tcBorders>
            <w:shd w:val="clear" w:color="000000" w:fill="0C2577"/>
            <w:vAlign w:val="bottom"/>
            <w:hideMark/>
          </w:tcPr>
          <w:p w14:paraId="02FC0DB7" w14:textId="77777777" w:rsidR="00BD63E8" w:rsidRPr="00955C76" w:rsidRDefault="00BD63E8" w:rsidP="008D1F64">
            <w:pPr>
              <w:keepNext/>
              <w:keepLines/>
              <w:jc w:val="center"/>
              <w:rPr>
                <w:rFonts w:ascii="Arial" w:hAnsi="Arial" w:cs="Arial"/>
                <w:b/>
                <w:bCs/>
                <w:color w:val="FFFFFF"/>
                <w:sz w:val="20"/>
                <w:szCs w:val="20"/>
              </w:rPr>
            </w:pPr>
          </w:p>
        </w:tc>
      </w:tr>
      <w:tr w:rsidR="00BD63E8" w:rsidRPr="00955C76" w14:paraId="1CE62D27" w14:textId="77777777" w:rsidTr="008D1F64">
        <w:trPr>
          <w:trHeight w:val="315"/>
          <w:jc w:val="center"/>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0BBBD941"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w:t>
            </w:r>
          </w:p>
        </w:tc>
        <w:tc>
          <w:tcPr>
            <w:tcW w:w="1749" w:type="dxa"/>
            <w:tcBorders>
              <w:top w:val="nil"/>
              <w:left w:val="nil"/>
              <w:bottom w:val="single" w:sz="4" w:space="0" w:color="auto"/>
              <w:right w:val="single" w:sz="4" w:space="0" w:color="auto"/>
            </w:tcBorders>
            <w:shd w:val="clear" w:color="auto" w:fill="auto"/>
            <w:noWrap/>
            <w:vAlign w:val="center"/>
            <w:hideMark/>
          </w:tcPr>
          <w:p w14:paraId="408A4604" w14:textId="77777777" w:rsidR="00BD63E8" w:rsidRPr="007A1166" w:rsidRDefault="00BD63E8" w:rsidP="008D1F64">
            <w:pPr>
              <w:keepNext/>
              <w:keepLines/>
              <w:rPr>
                <w:rFonts w:ascii="Arial" w:hAnsi="Arial" w:cs="Arial"/>
                <w:sz w:val="20"/>
                <w:szCs w:val="20"/>
              </w:rPr>
            </w:pPr>
            <w:r w:rsidRPr="007A1166">
              <w:rPr>
                <w:rFonts w:ascii="Arial" w:hAnsi="Arial" w:cs="Arial"/>
                <w:sz w:val="20"/>
                <w:szCs w:val="20"/>
              </w:rPr>
              <w:t>Text</w:t>
            </w:r>
          </w:p>
        </w:tc>
        <w:tc>
          <w:tcPr>
            <w:tcW w:w="928" w:type="dxa"/>
            <w:tcBorders>
              <w:top w:val="nil"/>
              <w:left w:val="nil"/>
              <w:bottom w:val="single" w:sz="4" w:space="0" w:color="auto"/>
              <w:right w:val="single" w:sz="4" w:space="0" w:color="auto"/>
            </w:tcBorders>
            <w:shd w:val="clear" w:color="auto" w:fill="auto"/>
            <w:noWrap/>
            <w:vAlign w:val="center"/>
          </w:tcPr>
          <w:p w14:paraId="13ACD229"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2,693</w:t>
            </w:r>
          </w:p>
        </w:tc>
        <w:tc>
          <w:tcPr>
            <w:tcW w:w="1184" w:type="dxa"/>
            <w:tcBorders>
              <w:top w:val="nil"/>
              <w:left w:val="nil"/>
              <w:bottom w:val="single" w:sz="4" w:space="0" w:color="auto"/>
              <w:right w:val="single" w:sz="4" w:space="0" w:color="auto"/>
            </w:tcBorders>
            <w:shd w:val="clear" w:color="auto" w:fill="auto"/>
            <w:noWrap/>
            <w:vAlign w:val="center"/>
          </w:tcPr>
          <w:p w14:paraId="6807260A"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55</w:t>
            </w:r>
          </w:p>
        </w:tc>
        <w:tc>
          <w:tcPr>
            <w:tcW w:w="1172" w:type="dxa"/>
            <w:tcBorders>
              <w:top w:val="nil"/>
              <w:left w:val="nil"/>
              <w:bottom w:val="single" w:sz="4" w:space="0" w:color="auto"/>
              <w:right w:val="single" w:sz="4" w:space="0" w:color="auto"/>
            </w:tcBorders>
            <w:shd w:val="clear" w:color="auto" w:fill="auto"/>
            <w:noWrap/>
            <w:vAlign w:val="center"/>
          </w:tcPr>
          <w:p w14:paraId="754B41D8"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4.5</w:t>
            </w:r>
          </w:p>
        </w:tc>
        <w:tc>
          <w:tcPr>
            <w:tcW w:w="1253" w:type="dxa"/>
            <w:tcBorders>
              <w:top w:val="nil"/>
              <w:left w:val="nil"/>
              <w:bottom w:val="single" w:sz="4" w:space="0" w:color="auto"/>
              <w:right w:val="single" w:sz="4" w:space="0" w:color="auto"/>
            </w:tcBorders>
            <w:shd w:val="clear" w:color="auto" w:fill="auto"/>
            <w:noWrap/>
            <w:vAlign w:val="center"/>
          </w:tcPr>
          <w:p w14:paraId="6329F11B"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20.4</w:t>
            </w:r>
          </w:p>
        </w:tc>
        <w:tc>
          <w:tcPr>
            <w:tcW w:w="1172" w:type="dxa"/>
            <w:tcBorders>
              <w:top w:val="nil"/>
              <w:left w:val="nil"/>
              <w:bottom w:val="single" w:sz="4" w:space="0" w:color="auto"/>
              <w:right w:val="single" w:sz="4" w:space="0" w:color="auto"/>
            </w:tcBorders>
            <w:shd w:val="clear" w:color="auto" w:fill="auto"/>
            <w:noWrap/>
            <w:vAlign w:val="center"/>
          </w:tcPr>
          <w:p w14:paraId="5B13798A"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1.7</w:t>
            </w:r>
          </w:p>
        </w:tc>
        <w:tc>
          <w:tcPr>
            <w:tcW w:w="809" w:type="dxa"/>
            <w:tcBorders>
              <w:top w:val="nil"/>
              <w:left w:val="nil"/>
              <w:bottom w:val="single" w:sz="4" w:space="0" w:color="auto"/>
              <w:right w:val="single" w:sz="4" w:space="0" w:color="auto"/>
            </w:tcBorders>
            <w:shd w:val="clear" w:color="auto" w:fill="auto"/>
            <w:noWrap/>
            <w:vAlign w:val="center"/>
          </w:tcPr>
          <w:p w14:paraId="152A9015"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8.2%</w:t>
            </w:r>
          </w:p>
        </w:tc>
      </w:tr>
      <w:tr w:rsidR="00BD63E8" w:rsidRPr="00955C76" w14:paraId="1EAE909C" w14:textId="77777777" w:rsidTr="008D1F64">
        <w:trPr>
          <w:trHeight w:val="315"/>
          <w:jc w:val="center"/>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455EFB7F"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w:t>
            </w:r>
          </w:p>
        </w:tc>
        <w:tc>
          <w:tcPr>
            <w:tcW w:w="1749" w:type="dxa"/>
            <w:tcBorders>
              <w:top w:val="nil"/>
              <w:left w:val="nil"/>
              <w:bottom w:val="single" w:sz="4" w:space="0" w:color="auto"/>
              <w:right w:val="single" w:sz="4" w:space="0" w:color="auto"/>
            </w:tcBorders>
            <w:shd w:val="clear" w:color="auto" w:fill="auto"/>
            <w:noWrap/>
            <w:vAlign w:val="center"/>
            <w:hideMark/>
          </w:tcPr>
          <w:p w14:paraId="67E3182B" w14:textId="77777777" w:rsidR="00BD63E8" w:rsidRPr="007A1166" w:rsidRDefault="00BD63E8" w:rsidP="008D1F64">
            <w:pPr>
              <w:keepNext/>
              <w:keepLines/>
              <w:rPr>
                <w:rFonts w:ascii="Arial" w:hAnsi="Arial" w:cs="Arial"/>
                <w:sz w:val="20"/>
                <w:szCs w:val="20"/>
              </w:rPr>
            </w:pPr>
            <w:r w:rsidRPr="007A1166">
              <w:rPr>
                <w:rFonts w:ascii="Arial" w:hAnsi="Arial" w:cs="Arial"/>
                <w:sz w:val="20"/>
                <w:szCs w:val="20"/>
              </w:rPr>
              <w:t>Email Only</w:t>
            </w:r>
          </w:p>
        </w:tc>
        <w:tc>
          <w:tcPr>
            <w:tcW w:w="928" w:type="dxa"/>
            <w:tcBorders>
              <w:top w:val="nil"/>
              <w:left w:val="nil"/>
              <w:bottom w:val="single" w:sz="4" w:space="0" w:color="auto"/>
              <w:right w:val="single" w:sz="4" w:space="0" w:color="auto"/>
            </w:tcBorders>
            <w:shd w:val="clear" w:color="auto" w:fill="auto"/>
            <w:noWrap/>
            <w:vAlign w:val="center"/>
          </w:tcPr>
          <w:p w14:paraId="0E230C15"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61,045</w:t>
            </w:r>
          </w:p>
        </w:tc>
        <w:tc>
          <w:tcPr>
            <w:tcW w:w="1184" w:type="dxa"/>
            <w:tcBorders>
              <w:top w:val="nil"/>
              <w:left w:val="nil"/>
              <w:bottom w:val="single" w:sz="4" w:space="0" w:color="auto"/>
              <w:right w:val="single" w:sz="4" w:space="0" w:color="auto"/>
            </w:tcBorders>
            <w:shd w:val="clear" w:color="auto" w:fill="auto"/>
            <w:noWrap/>
            <w:vAlign w:val="center"/>
          </w:tcPr>
          <w:p w14:paraId="719328AA"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742</w:t>
            </w:r>
          </w:p>
        </w:tc>
        <w:tc>
          <w:tcPr>
            <w:tcW w:w="1172" w:type="dxa"/>
            <w:tcBorders>
              <w:top w:val="nil"/>
              <w:left w:val="nil"/>
              <w:bottom w:val="single" w:sz="4" w:space="0" w:color="auto"/>
              <w:right w:val="single" w:sz="4" w:space="0" w:color="auto"/>
            </w:tcBorders>
            <w:shd w:val="clear" w:color="auto" w:fill="auto"/>
            <w:noWrap/>
            <w:vAlign w:val="center"/>
          </w:tcPr>
          <w:p w14:paraId="358BF3F3"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17.7</w:t>
            </w:r>
          </w:p>
        </w:tc>
        <w:tc>
          <w:tcPr>
            <w:tcW w:w="1253" w:type="dxa"/>
            <w:tcBorders>
              <w:top w:val="nil"/>
              <w:left w:val="nil"/>
              <w:bottom w:val="single" w:sz="4" w:space="0" w:color="auto"/>
              <w:right w:val="single" w:sz="4" w:space="0" w:color="auto"/>
            </w:tcBorders>
            <w:shd w:val="clear" w:color="auto" w:fill="auto"/>
            <w:noWrap/>
            <w:vAlign w:val="center"/>
          </w:tcPr>
          <w:p w14:paraId="551A8439"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12.2</w:t>
            </w:r>
          </w:p>
        </w:tc>
        <w:tc>
          <w:tcPr>
            <w:tcW w:w="1172" w:type="dxa"/>
            <w:tcBorders>
              <w:top w:val="nil"/>
              <w:left w:val="nil"/>
              <w:bottom w:val="single" w:sz="4" w:space="0" w:color="auto"/>
              <w:right w:val="single" w:sz="4" w:space="0" w:color="auto"/>
            </w:tcBorders>
            <w:shd w:val="clear" w:color="auto" w:fill="auto"/>
            <w:noWrap/>
            <w:vAlign w:val="center"/>
          </w:tcPr>
          <w:p w14:paraId="754F5B77"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0.3</w:t>
            </w:r>
          </w:p>
        </w:tc>
        <w:tc>
          <w:tcPr>
            <w:tcW w:w="809" w:type="dxa"/>
            <w:tcBorders>
              <w:top w:val="nil"/>
              <w:left w:val="nil"/>
              <w:bottom w:val="single" w:sz="4" w:space="0" w:color="auto"/>
              <w:right w:val="single" w:sz="4" w:space="0" w:color="auto"/>
            </w:tcBorders>
            <w:shd w:val="clear" w:color="auto" w:fill="auto"/>
            <w:noWrap/>
            <w:vAlign w:val="center"/>
          </w:tcPr>
          <w:p w14:paraId="0074DF7E"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2.4%</w:t>
            </w:r>
          </w:p>
        </w:tc>
      </w:tr>
      <w:tr w:rsidR="00BD63E8" w:rsidRPr="00955C76" w14:paraId="22A441AE" w14:textId="77777777" w:rsidTr="008D1F64">
        <w:trPr>
          <w:trHeight w:val="315"/>
          <w:jc w:val="center"/>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29EE6E1E"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3</w:t>
            </w:r>
          </w:p>
        </w:tc>
        <w:tc>
          <w:tcPr>
            <w:tcW w:w="1749" w:type="dxa"/>
            <w:tcBorders>
              <w:top w:val="nil"/>
              <w:left w:val="nil"/>
              <w:bottom w:val="single" w:sz="4" w:space="0" w:color="auto"/>
              <w:right w:val="single" w:sz="4" w:space="0" w:color="auto"/>
            </w:tcBorders>
            <w:shd w:val="clear" w:color="auto" w:fill="auto"/>
            <w:noWrap/>
            <w:vAlign w:val="center"/>
            <w:hideMark/>
          </w:tcPr>
          <w:p w14:paraId="3B0331C7" w14:textId="77777777" w:rsidR="00BD63E8" w:rsidRPr="007A1166" w:rsidRDefault="00BD63E8" w:rsidP="008D1F64">
            <w:pPr>
              <w:keepNext/>
              <w:keepLines/>
              <w:rPr>
                <w:rFonts w:ascii="Arial" w:hAnsi="Arial" w:cs="Arial"/>
                <w:sz w:val="20"/>
                <w:szCs w:val="20"/>
              </w:rPr>
            </w:pPr>
            <w:r w:rsidRPr="007A1166">
              <w:rPr>
                <w:rFonts w:ascii="Arial" w:hAnsi="Arial" w:cs="Arial"/>
                <w:sz w:val="20"/>
                <w:szCs w:val="20"/>
              </w:rPr>
              <w:t>Enhanced Text</w:t>
            </w:r>
          </w:p>
        </w:tc>
        <w:tc>
          <w:tcPr>
            <w:tcW w:w="928" w:type="dxa"/>
            <w:tcBorders>
              <w:top w:val="nil"/>
              <w:left w:val="nil"/>
              <w:bottom w:val="single" w:sz="4" w:space="0" w:color="auto"/>
              <w:right w:val="single" w:sz="4" w:space="0" w:color="auto"/>
            </w:tcBorders>
            <w:shd w:val="clear" w:color="auto" w:fill="auto"/>
            <w:noWrap/>
            <w:vAlign w:val="center"/>
          </w:tcPr>
          <w:p w14:paraId="04997C52"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693</w:t>
            </w:r>
          </w:p>
        </w:tc>
        <w:tc>
          <w:tcPr>
            <w:tcW w:w="1184" w:type="dxa"/>
            <w:tcBorders>
              <w:top w:val="nil"/>
              <w:left w:val="nil"/>
              <w:bottom w:val="single" w:sz="4" w:space="0" w:color="auto"/>
              <w:right w:val="single" w:sz="4" w:space="0" w:color="auto"/>
            </w:tcBorders>
            <w:shd w:val="clear" w:color="auto" w:fill="auto"/>
            <w:noWrap/>
            <w:vAlign w:val="center"/>
          </w:tcPr>
          <w:p w14:paraId="0F43097E"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11</w:t>
            </w:r>
          </w:p>
        </w:tc>
        <w:tc>
          <w:tcPr>
            <w:tcW w:w="1172" w:type="dxa"/>
            <w:tcBorders>
              <w:top w:val="nil"/>
              <w:left w:val="nil"/>
              <w:bottom w:val="single" w:sz="4" w:space="0" w:color="auto"/>
              <w:right w:val="single" w:sz="4" w:space="0" w:color="auto"/>
            </w:tcBorders>
            <w:shd w:val="clear" w:color="auto" w:fill="auto"/>
            <w:noWrap/>
            <w:vAlign w:val="center"/>
          </w:tcPr>
          <w:p w14:paraId="19CFE6FD"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1.6</w:t>
            </w:r>
          </w:p>
        </w:tc>
        <w:tc>
          <w:tcPr>
            <w:tcW w:w="1253" w:type="dxa"/>
            <w:tcBorders>
              <w:top w:val="nil"/>
              <w:left w:val="nil"/>
              <w:bottom w:val="single" w:sz="4" w:space="0" w:color="auto"/>
              <w:right w:val="single" w:sz="4" w:space="0" w:color="auto"/>
            </w:tcBorders>
            <w:shd w:val="clear" w:color="auto" w:fill="auto"/>
            <w:noWrap/>
            <w:vAlign w:val="center"/>
          </w:tcPr>
          <w:p w14:paraId="57DD44EF"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16.2</w:t>
            </w:r>
          </w:p>
        </w:tc>
        <w:tc>
          <w:tcPr>
            <w:tcW w:w="1172" w:type="dxa"/>
            <w:tcBorders>
              <w:top w:val="nil"/>
              <w:left w:val="nil"/>
              <w:bottom w:val="single" w:sz="4" w:space="0" w:color="auto"/>
              <w:right w:val="single" w:sz="4" w:space="0" w:color="auto"/>
            </w:tcBorders>
            <w:shd w:val="clear" w:color="auto" w:fill="auto"/>
            <w:noWrap/>
            <w:vAlign w:val="center"/>
          </w:tcPr>
          <w:p w14:paraId="5EAA7A89"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2.3</w:t>
            </w:r>
          </w:p>
        </w:tc>
        <w:tc>
          <w:tcPr>
            <w:tcW w:w="809" w:type="dxa"/>
            <w:tcBorders>
              <w:top w:val="nil"/>
              <w:left w:val="nil"/>
              <w:bottom w:val="single" w:sz="4" w:space="0" w:color="auto"/>
              <w:right w:val="single" w:sz="4" w:space="0" w:color="auto"/>
            </w:tcBorders>
            <w:shd w:val="clear" w:color="auto" w:fill="auto"/>
            <w:noWrap/>
            <w:vAlign w:val="center"/>
          </w:tcPr>
          <w:p w14:paraId="4D2BC152"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14.0%</w:t>
            </w:r>
          </w:p>
        </w:tc>
      </w:tr>
      <w:tr w:rsidR="00BD63E8" w:rsidRPr="00955C76" w14:paraId="2D61A9F2" w14:textId="77777777" w:rsidTr="008D1F64">
        <w:trPr>
          <w:trHeight w:val="315"/>
          <w:jc w:val="center"/>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1278705A"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4</w:t>
            </w:r>
          </w:p>
        </w:tc>
        <w:tc>
          <w:tcPr>
            <w:tcW w:w="1749" w:type="dxa"/>
            <w:tcBorders>
              <w:top w:val="nil"/>
              <w:left w:val="nil"/>
              <w:bottom w:val="single" w:sz="4" w:space="0" w:color="auto"/>
              <w:right w:val="single" w:sz="4" w:space="0" w:color="auto"/>
            </w:tcBorders>
            <w:shd w:val="clear" w:color="auto" w:fill="auto"/>
            <w:noWrap/>
            <w:vAlign w:val="center"/>
            <w:hideMark/>
          </w:tcPr>
          <w:p w14:paraId="317AF2C1" w14:textId="77777777" w:rsidR="00BD63E8" w:rsidRPr="007A1166" w:rsidRDefault="00BD63E8" w:rsidP="008D1F64">
            <w:pPr>
              <w:keepNext/>
              <w:keepLines/>
              <w:rPr>
                <w:rFonts w:ascii="Arial" w:hAnsi="Arial" w:cs="Arial"/>
                <w:sz w:val="20"/>
                <w:szCs w:val="20"/>
              </w:rPr>
            </w:pPr>
            <w:r w:rsidRPr="007A1166">
              <w:rPr>
                <w:rFonts w:ascii="Arial" w:hAnsi="Arial" w:cs="Arial"/>
                <w:sz w:val="20"/>
                <w:szCs w:val="20"/>
              </w:rPr>
              <w:t>Standard Text, Enhanced Email</w:t>
            </w:r>
          </w:p>
        </w:tc>
        <w:tc>
          <w:tcPr>
            <w:tcW w:w="928" w:type="dxa"/>
            <w:tcBorders>
              <w:top w:val="nil"/>
              <w:left w:val="nil"/>
              <w:bottom w:val="single" w:sz="4" w:space="0" w:color="auto"/>
              <w:right w:val="single" w:sz="4" w:space="0" w:color="auto"/>
            </w:tcBorders>
            <w:shd w:val="clear" w:color="auto" w:fill="auto"/>
            <w:noWrap/>
            <w:vAlign w:val="center"/>
          </w:tcPr>
          <w:p w14:paraId="54BFA995"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2,000</w:t>
            </w:r>
          </w:p>
        </w:tc>
        <w:tc>
          <w:tcPr>
            <w:tcW w:w="1184" w:type="dxa"/>
            <w:tcBorders>
              <w:top w:val="nil"/>
              <w:left w:val="nil"/>
              <w:bottom w:val="single" w:sz="4" w:space="0" w:color="auto"/>
              <w:right w:val="single" w:sz="4" w:space="0" w:color="auto"/>
            </w:tcBorders>
            <w:shd w:val="clear" w:color="auto" w:fill="auto"/>
            <w:noWrap/>
            <w:vAlign w:val="center"/>
          </w:tcPr>
          <w:p w14:paraId="57D9A04E"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44</w:t>
            </w:r>
          </w:p>
        </w:tc>
        <w:tc>
          <w:tcPr>
            <w:tcW w:w="1172" w:type="dxa"/>
            <w:tcBorders>
              <w:top w:val="nil"/>
              <w:left w:val="nil"/>
              <w:bottom w:val="single" w:sz="4" w:space="0" w:color="auto"/>
              <w:right w:val="single" w:sz="4" w:space="0" w:color="auto"/>
            </w:tcBorders>
            <w:shd w:val="clear" w:color="auto" w:fill="auto"/>
            <w:noWrap/>
            <w:vAlign w:val="center"/>
          </w:tcPr>
          <w:p w14:paraId="52E7AEBF"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3.0</w:t>
            </w:r>
          </w:p>
        </w:tc>
        <w:tc>
          <w:tcPr>
            <w:tcW w:w="1253" w:type="dxa"/>
            <w:tcBorders>
              <w:top w:val="nil"/>
              <w:left w:val="nil"/>
              <w:bottom w:val="single" w:sz="4" w:space="0" w:color="auto"/>
              <w:right w:val="single" w:sz="4" w:space="0" w:color="auto"/>
            </w:tcBorders>
            <w:shd w:val="clear" w:color="auto" w:fill="auto"/>
            <w:noWrap/>
            <w:vAlign w:val="center"/>
          </w:tcPr>
          <w:p w14:paraId="1D27AA22"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21.9</w:t>
            </w:r>
          </w:p>
        </w:tc>
        <w:tc>
          <w:tcPr>
            <w:tcW w:w="1172" w:type="dxa"/>
            <w:tcBorders>
              <w:top w:val="nil"/>
              <w:left w:val="nil"/>
              <w:bottom w:val="single" w:sz="4" w:space="0" w:color="auto"/>
              <w:right w:val="single" w:sz="4" w:space="0" w:color="auto"/>
            </w:tcBorders>
            <w:shd w:val="clear" w:color="auto" w:fill="auto"/>
            <w:noWrap/>
            <w:vAlign w:val="center"/>
          </w:tcPr>
          <w:p w14:paraId="15B69E8A"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1.5</w:t>
            </w:r>
          </w:p>
        </w:tc>
        <w:tc>
          <w:tcPr>
            <w:tcW w:w="809" w:type="dxa"/>
            <w:tcBorders>
              <w:top w:val="nil"/>
              <w:left w:val="nil"/>
              <w:bottom w:val="single" w:sz="4" w:space="0" w:color="auto"/>
              <w:right w:val="single" w:sz="4" w:space="0" w:color="auto"/>
            </w:tcBorders>
            <w:shd w:val="clear" w:color="auto" w:fill="auto"/>
            <w:noWrap/>
            <w:vAlign w:val="center"/>
          </w:tcPr>
          <w:p w14:paraId="19ECD2DA" w14:textId="77777777" w:rsidR="00BD63E8" w:rsidRPr="007A1166" w:rsidRDefault="00BD63E8" w:rsidP="008D1F64">
            <w:pPr>
              <w:keepNext/>
              <w:keepLines/>
              <w:jc w:val="center"/>
              <w:rPr>
                <w:rFonts w:ascii="Arial" w:hAnsi="Arial" w:cs="Arial"/>
                <w:sz w:val="20"/>
                <w:szCs w:val="20"/>
              </w:rPr>
            </w:pPr>
            <w:r w:rsidRPr="007A1166">
              <w:rPr>
                <w:rFonts w:ascii="Arial" w:hAnsi="Arial" w:cs="Arial"/>
                <w:sz w:val="20"/>
                <w:szCs w:val="20"/>
              </w:rPr>
              <w:t>6.8%</w:t>
            </w:r>
          </w:p>
        </w:tc>
      </w:tr>
    </w:tbl>
    <w:p w14:paraId="16C17DF6" w14:textId="77777777" w:rsidR="00BD63E8" w:rsidRDefault="00BD63E8" w:rsidP="00BD63E8">
      <w:pPr>
        <w:spacing w:after="120"/>
        <w:rPr>
          <w:szCs w:val="32"/>
        </w:rPr>
      </w:pPr>
    </w:p>
    <w:p w14:paraId="0DCF3FC1" w14:textId="24518A35" w:rsidR="00A9257A" w:rsidRDefault="00BD63E8" w:rsidP="00BD63E8">
      <w:pPr>
        <w:spacing w:after="120"/>
        <w:rPr>
          <w:szCs w:val="32"/>
        </w:rPr>
      </w:pPr>
      <w:r>
        <w:rPr>
          <w:szCs w:val="32"/>
        </w:rPr>
        <w:t>Taken together, the results indicate that large customers who received Enhanced ISS have significantly higher load impacts than customers who receive standard notifications. There is cause for caution against using these results for policy purposes (</w:t>
      </w:r>
      <w:r w:rsidRPr="00BE1AD6">
        <w:rPr>
          <w:i/>
          <w:szCs w:val="32"/>
        </w:rPr>
        <w:t>i.e.</w:t>
      </w:r>
      <w:r>
        <w:rPr>
          <w:szCs w:val="32"/>
        </w:rPr>
        <w:t>, by proposing expanded use of Enhanced ISS) in that the Enhanced ISS customers self-selected into their group. It may be the case that the most responsive customers elected to receive Enhanced ISS and that the benefits of providing Enhanced ISS to more customers (particularly non-volunteers) would be lower than suggested by the results shown here.</w:t>
      </w:r>
    </w:p>
    <w:p w14:paraId="222E450F" w14:textId="0D1DDBDB" w:rsidR="001C1578" w:rsidRDefault="001C1578" w:rsidP="003A20DB">
      <w:pPr>
        <w:pStyle w:val="Heading3"/>
      </w:pPr>
      <w:bookmarkStart w:id="182" w:name="_Toc509837316"/>
      <w:r>
        <w:t>Newly Enrolled Customers</w:t>
      </w:r>
      <w:bookmarkEnd w:id="182"/>
    </w:p>
    <w:p w14:paraId="6B1FAEF6" w14:textId="672FE6A6" w:rsidR="000731CE" w:rsidRDefault="002056C9" w:rsidP="001C1578">
      <w:pPr>
        <w:spacing w:after="120"/>
        <w:rPr>
          <w:szCs w:val="32"/>
        </w:rPr>
      </w:pPr>
      <w:r>
        <w:rPr>
          <w:noProof/>
          <w:szCs w:val="32"/>
        </w:rPr>
        <mc:AlternateContent>
          <mc:Choice Requires="wps">
            <w:drawing>
              <wp:anchor distT="0" distB="0" distL="114300" distR="114300" simplePos="0" relativeHeight="251674624" behindDoc="0" locked="0" layoutInCell="1" allowOverlap="1" wp14:anchorId="3ECFD283" wp14:editId="47C4F0FD">
                <wp:simplePos x="0" y="0"/>
                <wp:positionH relativeFrom="margin">
                  <wp:align>right</wp:align>
                </wp:positionH>
                <wp:positionV relativeFrom="paragraph">
                  <wp:posOffset>808355</wp:posOffset>
                </wp:positionV>
                <wp:extent cx="5422789" cy="397566"/>
                <wp:effectExtent l="0" t="0" r="26035" b="21590"/>
                <wp:wrapNone/>
                <wp:docPr id="28" name="Text Box 28"/>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13644A56"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CFD283" id="Text Box 28" o:spid="_x0000_s1034" type="#_x0000_t202" style="position:absolute;margin-left:375.8pt;margin-top:63.65pt;width:427pt;height:31.3pt;z-index:2516746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" fillcolor="white [3201]" strokeweight=".5pt">
                <v:textbox>
                  <w:txbxContent>
                    <w:p w14:paraId="13644A56"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0731CE">
        <w:rPr>
          <w:szCs w:val="32"/>
        </w:rPr>
        <w:t xml:space="preserve">The </w:t>
      </w:r>
      <w:r w:rsidR="000731CE" w:rsidRPr="000731CE">
        <w:rPr>
          <w:i/>
          <w:szCs w:val="32"/>
        </w:rPr>
        <w:t>ex-post</w:t>
      </w:r>
      <w:r w:rsidR="000731CE">
        <w:rPr>
          <w:szCs w:val="32"/>
        </w:rPr>
        <w:t xml:space="preserve"> analyses in this study are designed to estimate incremental event-day load impacts. That is, the load impact that CPP customers provide on event days compared </w:t>
      </w:r>
      <w:r w:rsidR="000731CE">
        <w:rPr>
          <w:szCs w:val="32"/>
        </w:rPr>
        <w:lastRenderedPageBreak/>
        <w:t>their usage on non-event days within the program year. By matching to control-group customers using non-event days from within the program year, this method prevents us from estimating whether CPP participation is associated with non-event day load impacts. It’s not clear what one should expect from CPP customers on non-event days. Because they receive a discount relative to the otherwise applicable rate (in exchange for facing event days), the pure price incentive might produce load increases on non-event days. Conversely, it’s possible that increased awareness of usage could lead customers to make changes that apply to event and non-event days (</w:t>
      </w:r>
      <w:r w:rsidR="000731CE" w:rsidRPr="000731CE">
        <w:rPr>
          <w:i/>
          <w:szCs w:val="32"/>
        </w:rPr>
        <w:t>e.g.</w:t>
      </w:r>
      <w:r w:rsidR="000731CE">
        <w:rPr>
          <w:szCs w:val="32"/>
        </w:rPr>
        <w:t xml:space="preserve">, purchasing a smart thermostat or installing more efficient lighting).  </w:t>
      </w:r>
    </w:p>
    <w:p w14:paraId="485A4BE0" w14:textId="153C0A1D" w:rsidR="001C1578" w:rsidRDefault="000731CE" w:rsidP="001C1578">
      <w:pPr>
        <w:spacing w:after="120"/>
        <w:rPr>
          <w:szCs w:val="32"/>
        </w:rPr>
      </w:pPr>
      <w:r>
        <w:rPr>
          <w:szCs w:val="32"/>
        </w:rPr>
        <w:t>PG&amp;E expressed</w:t>
      </w:r>
      <w:r w:rsidR="00695356">
        <w:rPr>
          <w:szCs w:val="32"/>
        </w:rPr>
        <w:t xml:space="preserve"> interest in exploring the non-event-day load impacts for CPP customers</w:t>
      </w:r>
      <w:r w:rsidR="001C1578">
        <w:rPr>
          <w:szCs w:val="32"/>
        </w:rPr>
        <w:t>.</w:t>
      </w:r>
      <w:r>
        <w:rPr>
          <w:szCs w:val="32"/>
        </w:rPr>
        <w:t xml:space="preserve"> </w:t>
      </w:r>
      <w:r w:rsidR="00695356">
        <w:rPr>
          <w:szCs w:val="32"/>
        </w:rPr>
        <w:t xml:space="preserve">To facilitate this analysis, we focused on newly enrolled customers (those who joined CPP in November or December 2016) so that we have a compact pre-treatment period that may be used to match CPP customers to control-group customers. </w:t>
      </w:r>
      <w:r w:rsidR="002B673A">
        <w:rPr>
          <w:szCs w:val="32"/>
        </w:rPr>
        <w:t xml:space="preserve">That is, while our primary </w:t>
      </w:r>
      <w:r w:rsidR="002B673A" w:rsidRPr="002B673A">
        <w:rPr>
          <w:i/>
          <w:szCs w:val="32"/>
        </w:rPr>
        <w:t>ex-post</w:t>
      </w:r>
      <w:r w:rsidR="002B673A">
        <w:rPr>
          <w:szCs w:val="32"/>
        </w:rPr>
        <w:t xml:space="preserve"> study matched customers on event-like non-event days during the 2017 program year, this “new customer” analysis matches customers using loads from 2016, when both the treatment and control-group customers took service under the non-CPP rates. The 2016 dates used in matching and estimation are the CPP event dates from that program year (those days are not yet event days for any customers included in the analysis). </w:t>
      </w:r>
    </w:p>
    <w:p w14:paraId="4F1AD881" w14:textId="6D6E4B52" w:rsidR="00CF199C" w:rsidRDefault="002B673A" w:rsidP="001C1578">
      <w:pPr>
        <w:spacing w:after="120"/>
        <w:rPr>
          <w:szCs w:val="32"/>
        </w:rPr>
      </w:pPr>
      <w:r>
        <w:rPr>
          <w:szCs w:val="32"/>
        </w:rPr>
        <w:t>The difference-in-differences regression model is then expanded in a straightforward fashion to estimate the 2017 load impact</w:t>
      </w:r>
      <w:r w:rsidR="006A1EFB">
        <w:rPr>
          <w:szCs w:val="32"/>
        </w:rPr>
        <w:t xml:space="preserve"> (which applies to all event and non-event days) and incremental event-day load impact</w:t>
      </w:r>
      <w:r>
        <w:rPr>
          <w:szCs w:val="32"/>
        </w:rPr>
        <w:t xml:space="preserve">. Specifically, the models use data for 2016 dates, 2017 non-event days, and 2017 event days. The regression model adds a variable indicating treatment customers on 2017 days to the model shown in Section </w:t>
      </w:r>
      <w:r>
        <w:rPr>
          <w:szCs w:val="32"/>
        </w:rPr>
        <w:fldChar w:fldCharType="begin"/>
      </w:r>
      <w:r>
        <w:rPr>
          <w:szCs w:val="32"/>
        </w:rPr>
        <w:instrText xml:space="preserve"> REF _Ref507503759 \r \h </w:instrText>
      </w:r>
      <w:r>
        <w:rPr>
          <w:szCs w:val="32"/>
        </w:rPr>
      </w:r>
      <w:r>
        <w:rPr>
          <w:szCs w:val="32"/>
        </w:rPr>
        <w:fldChar w:fldCharType="separate"/>
      </w:r>
      <w:r w:rsidR="005D5C7C">
        <w:rPr>
          <w:szCs w:val="32"/>
        </w:rPr>
        <w:t>2.1.2</w:t>
      </w:r>
      <w:r>
        <w:rPr>
          <w:szCs w:val="32"/>
        </w:rPr>
        <w:fldChar w:fldCharType="end"/>
      </w:r>
      <w:r>
        <w:rPr>
          <w:szCs w:val="32"/>
        </w:rPr>
        <w:t>. The model is then estimated by size, industry group, and hour of the day.</w:t>
      </w:r>
    </w:p>
    <w:p w14:paraId="637CA2DE" w14:textId="7BEAA7F8" w:rsidR="002B673A" w:rsidRDefault="00AC4ADF" w:rsidP="001C1578">
      <w:pPr>
        <w:spacing w:after="120"/>
        <w:rPr>
          <w:szCs w:val="32"/>
        </w:rPr>
      </w:pPr>
      <w:r>
        <w:rPr>
          <w:szCs w:val="32"/>
        </w:rPr>
        <w:t>The figures below (</w:t>
      </w:r>
      <w:r>
        <w:rPr>
          <w:szCs w:val="32"/>
        </w:rPr>
        <w:fldChar w:fldCharType="begin"/>
      </w:r>
      <w:r>
        <w:rPr>
          <w:szCs w:val="32"/>
        </w:rPr>
        <w:instrText xml:space="preserve"> REF _Ref507503857 \h </w:instrText>
      </w:r>
      <w:r>
        <w:rPr>
          <w:szCs w:val="32"/>
        </w:rPr>
      </w:r>
      <w:r>
        <w:rPr>
          <w:szCs w:val="32"/>
        </w:rPr>
        <w:fldChar w:fldCharType="separate"/>
      </w:r>
      <w:r w:rsidR="005D5C7C">
        <w:t xml:space="preserve">Figure </w:t>
      </w:r>
      <w:r w:rsidR="005D5C7C">
        <w:rPr>
          <w:noProof/>
        </w:rPr>
        <w:t>3</w:t>
      </w:r>
      <w:r w:rsidR="005D5C7C">
        <w:t>.</w:t>
      </w:r>
      <w:r w:rsidR="005D5C7C">
        <w:rPr>
          <w:noProof/>
        </w:rPr>
        <w:t>14</w:t>
      </w:r>
      <w:r>
        <w:rPr>
          <w:szCs w:val="32"/>
        </w:rPr>
        <w:fldChar w:fldCharType="end"/>
      </w:r>
      <w:r>
        <w:rPr>
          <w:szCs w:val="32"/>
        </w:rPr>
        <w:t xml:space="preserve"> through </w:t>
      </w:r>
      <w:r>
        <w:rPr>
          <w:szCs w:val="32"/>
        </w:rPr>
        <w:fldChar w:fldCharType="begin"/>
      </w:r>
      <w:r>
        <w:rPr>
          <w:szCs w:val="32"/>
        </w:rPr>
        <w:instrText xml:space="preserve"> REF _Ref507503866 \h </w:instrText>
      </w:r>
      <w:r>
        <w:rPr>
          <w:szCs w:val="32"/>
        </w:rPr>
      </w:r>
      <w:r>
        <w:rPr>
          <w:szCs w:val="32"/>
        </w:rPr>
        <w:fldChar w:fldCharType="separate"/>
      </w:r>
      <w:r w:rsidR="005D5C7C">
        <w:t xml:space="preserve">Figure </w:t>
      </w:r>
      <w:r w:rsidR="005D5C7C">
        <w:rPr>
          <w:noProof/>
        </w:rPr>
        <w:t>3</w:t>
      </w:r>
      <w:r w:rsidR="005D5C7C">
        <w:t>.</w:t>
      </w:r>
      <w:r w:rsidR="005D5C7C">
        <w:rPr>
          <w:noProof/>
        </w:rPr>
        <w:t>16</w:t>
      </w:r>
      <w:r>
        <w:rPr>
          <w:szCs w:val="32"/>
        </w:rPr>
        <w:fldChar w:fldCharType="end"/>
      </w:r>
      <w:r>
        <w:rPr>
          <w:szCs w:val="32"/>
        </w:rPr>
        <w:t xml:space="preserve">) show the hourly </w:t>
      </w:r>
      <w:r w:rsidR="00153348">
        <w:rPr>
          <w:szCs w:val="32"/>
        </w:rPr>
        <w:t xml:space="preserve">incremental event-day </w:t>
      </w:r>
      <w:r>
        <w:rPr>
          <w:szCs w:val="32"/>
        </w:rPr>
        <w:t>load impacts (</w:t>
      </w:r>
      <w:r w:rsidR="00A11421">
        <w:rPr>
          <w:szCs w:val="32"/>
        </w:rPr>
        <w:t xml:space="preserve">the blue solid line, </w:t>
      </w:r>
      <w:r>
        <w:rPr>
          <w:szCs w:val="32"/>
        </w:rPr>
        <w:t xml:space="preserve">calculated by averaging event-specific load impact coefficients) and 2017 </w:t>
      </w:r>
      <w:r w:rsidR="00153348">
        <w:rPr>
          <w:szCs w:val="32"/>
        </w:rPr>
        <w:t xml:space="preserve">“everyday” load impact </w:t>
      </w:r>
      <w:r w:rsidR="00A11421">
        <w:rPr>
          <w:szCs w:val="32"/>
        </w:rPr>
        <w:t>(the dashed orange line</w:t>
      </w:r>
      <w:r w:rsidR="00153348">
        <w:rPr>
          <w:szCs w:val="32"/>
        </w:rPr>
        <w:t>, which applies to both event days and event-like non-event days in 2017</w:t>
      </w:r>
      <w:r w:rsidR="00A11421">
        <w:rPr>
          <w:szCs w:val="32"/>
        </w:rPr>
        <w:t xml:space="preserve">) </w:t>
      </w:r>
      <w:r>
        <w:rPr>
          <w:szCs w:val="32"/>
        </w:rPr>
        <w:t xml:space="preserve">by size group. The load impacts are scaled to the relevant enrollment level and a positive number means the customers reduced usage in that hour (as is the convention throughout the report). </w:t>
      </w:r>
    </w:p>
    <w:p w14:paraId="70C630A6" w14:textId="13E6D007" w:rsidR="00306580" w:rsidRDefault="00306580" w:rsidP="001C1578">
      <w:pPr>
        <w:spacing w:after="120"/>
        <w:rPr>
          <w:szCs w:val="32"/>
        </w:rPr>
      </w:pPr>
      <w:r>
        <w:rPr>
          <w:szCs w:val="32"/>
        </w:rPr>
        <w:t xml:space="preserve">The most important conclusion </w:t>
      </w:r>
      <w:r w:rsidR="00E17311">
        <w:rPr>
          <w:szCs w:val="32"/>
        </w:rPr>
        <w:t xml:space="preserve">from this analysis </w:t>
      </w:r>
      <w:r>
        <w:rPr>
          <w:szCs w:val="32"/>
        </w:rPr>
        <w:t xml:space="preserve">is that </w:t>
      </w:r>
      <w:proofErr w:type="gramStart"/>
      <w:r>
        <w:rPr>
          <w:szCs w:val="32"/>
        </w:rPr>
        <w:t>the majority of</w:t>
      </w:r>
      <w:proofErr w:type="gramEnd"/>
      <w:r>
        <w:rPr>
          <w:szCs w:val="32"/>
        </w:rPr>
        <w:t xml:space="preserve"> the </w:t>
      </w:r>
      <w:r w:rsidR="00313A94">
        <w:rPr>
          <w:szCs w:val="32"/>
        </w:rPr>
        <w:t xml:space="preserve">everyday </w:t>
      </w:r>
      <w:r>
        <w:rPr>
          <w:szCs w:val="32"/>
        </w:rPr>
        <w:t xml:space="preserve">load impacts are not statistically significantly different from zero. Only 20 percent of the 576 estimated coefficients (24 hours times 3 size groups x 8 industry groups) are statistically significant. The </w:t>
      </w:r>
      <w:r w:rsidR="00A11421">
        <w:rPr>
          <w:szCs w:val="32"/>
        </w:rPr>
        <w:t xml:space="preserve">small- and medium-sized customers </w:t>
      </w:r>
      <w:r>
        <w:rPr>
          <w:szCs w:val="32"/>
        </w:rPr>
        <w:t xml:space="preserve">lean toward load increases on </w:t>
      </w:r>
      <w:r w:rsidR="00313A94">
        <w:rPr>
          <w:szCs w:val="32"/>
        </w:rPr>
        <w:t xml:space="preserve">these </w:t>
      </w:r>
      <w:r>
        <w:rPr>
          <w:szCs w:val="32"/>
        </w:rPr>
        <w:t xml:space="preserve">days (17 percent of the coefficients indicate statistically significant load increases, versus 11 percent that show significant load decreases), while the large customer </w:t>
      </w:r>
      <w:r w:rsidR="00313A94">
        <w:rPr>
          <w:szCs w:val="32"/>
        </w:rPr>
        <w:t>everyday</w:t>
      </w:r>
      <w:r>
        <w:rPr>
          <w:szCs w:val="32"/>
        </w:rPr>
        <w:t xml:space="preserve"> load impacts are almost entirely lacking in statistical significance (4 percent of the estimates indicate a statistically significant load decrease and none of them indicate a significant load increase). </w:t>
      </w:r>
    </w:p>
    <w:p w14:paraId="2A4DE619" w14:textId="302E7BAE" w:rsidR="00306580" w:rsidRDefault="00306580" w:rsidP="001C1578">
      <w:pPr>
        <w:spacing w:after="120"/>
        <w:rPr>
          <w:szCs w:val="32"/>
        </w:rPr>
      </w:pPr>
      <w:r>
        <w:rPr>
          <w:szCs w:val="32"/>
        </w:rPr>
        <w:lastRenderedPageBreak/>
        <w:t xml:space="preserve">This analysis does not provide evidence that a failure to account for non-event-day load impacts in our primary </w:t>
      </w:r>
      <w:r w:rsidRPr="00E17311">
        <w:rPr>
          <w:i/>
          <w:szCs w:val="32"/>
        </w:rPr>
        <w:t>ex-post</w:t>
      </w:r>
      <w:r>
        <w:rPr>
          <w:szCs w:val="32"/>
        </w:rPr>
        <w:t xml:space="preserve"> study leads to misleading results (</w:t>
      </w:r>
      <w:r w:rsidRPr="00E17311">
        <w:rPr>
          <w:i/>
          <w:szCs w:val="32"/>
        </w:rPr>
        <w:t>i.e.</w:t>
      </w:r>
      <w:r>
        <w:rPr>
          <w:szCs w:val="32"/>
        </w:rPr>
        <w:t>, either over- or under-counting total program load impacts</w:t>
      </w:r>
      <w:r w:rsidR="00E17311">
        <w:rPr>
          <w:szCs w:val="32"/>
        </w:rPr>
        <w:t>).</w:t>
      </w:r>
    </w:p>
    <w:p w14:paraId="12937DB4" w14:textId="77777777" w:rsidR="00306580" w:rsidRDefault="00306580" w:rsidP="001C1578">
      <w:pPr>
        <w:spacing w:after="120"/>
        <w:rPr>
          <w:szCs w:val="32"/>
        </w:rPr>
      </w:pPr>
    </w:p>
    <w:p w14:paraId="13CB2142" w14:textId="292844AA" w:rsidR="00CF199C" w:rsidRDefault="00A11E78" w:rsidP="00A11E78">
      <w:pPr>
        <w:pStyle w:val="FigureCaption"/>
        <w:keepLines/>
        <w:rPr>
          <w:szCs w:val="32"/>
        </w:rPr>
      </w:pPr>
      <w:bookmarkStart w:id="183" w:name="_Ref507503857"/>
      <w:bookmarkStart w:id="184" w:name="_Toc509837462"/>
      <w:r>
        <w:t xml:space="preserve">Figure </w:t>
      </w:r>
      <w:fldSimple w:instr=" STYLEREF 1 \s ">
        <w:r w:rsidR="005D5C7C">
          <w:rPr>
            <w:noProof/>
          </w:rPr>
          <w:t>3</w:t>
        </w:r>
      </w:fldSimple>
      <w:r>
        <w:t>.</w:t>
      </w:r>
      <w:fldSimple w:instr=" SEQ Figure \* ARABIC \s 1 ">
        <w:r w:rsidR="005D5C7C">
          <w:rPr>
            <w:noProof/>
          </w:rPr>
          <w:t>14</w:t>
        </w:r>
      </w:fldSimple>
      <w:bookmarkEnd w:id="183"/>
      <w:r>
        <w:t xml:space="preserve">: Average </w:t>
      </w:r>
      <w:r w:rsidR="007A0383">
        <w:t xml:space="preserve">Incremental </w:t>
      </w:r>
      <w:r>
        <w:t xml:space="preserve">Event-Day and </w:t>
      </w:r>
      <w:r w:rsidR="007A0383">
        <w:t>Everyd</w:t>
      </w:r>
      <w:r>
        <w:t xml:space="preserve">ay Load Impacts, </w:t>
      </w:r>
      <w:r w:rsidRPr="00A11E78">
        <w:rPr>
          <w:i/>
        </w:rPr>
        <w:t>Small Newly Enrolled Customers</w:t>
      </w:r>
      <w:bookmarkEnd w:id="184"/>
    </w:p>
    <w:p w14:paraId="530072AF" w14:textId="5C68B1FB" w:rsidR="00CF199C" w:rsidRDefault="006A1EFB" w:rsidP="00A11E78">
      <w:pPr>
        <w:keepNext/>
        <w:keepLines/>
        <w:spacing w:after="120"/>
        <w:rPr>
          <w:szCs w:val="32"/>
        </w:rPr>
      </w:pPr>
      <w:r>
        <w:rPr>
          <w:noProof/>
        </w:rPr>
        <w:drawing>
          <wp:inline distT="0" distB="0" distL="0" distR="0" wp14:anchorId="3780C42C" wp14:editId="60547055">
            <wp:extent cx="5486400" cy="3980815"/>
            <wp:effectExtent l="0" t="0" r="0" b="635"/>
            <wp:docPr id="4" name="Chart 4">
              <a:extLst xmlns:a="http://schemas.openxmlformats.org/drawingml/2006/main">
                <a:ext uri="{FF2B5EF4-FFF2-40B4-BE49-F238E27FC236}">
                  <a16:creationId xmlns:a16="http://schemas.microsoft.com/office/drawing/2014/main" id="{3937B7A3-A8D7-4071-945B-8D98B3E7EE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2D61AF3E" w14:textId="7CAAAFB6" w:rsidR="00CF199C" w:rsidRDefault="00CF199C" w:rsidP="001C1578">
      <w:pPr>
        <w:spacing w:after="120"/>
        <w:rPr>
          <w:szCs w:val="32"/>
        </w:rPr>
      </w:pPr>
    </w:p>
    <w:p w14:paraId="6D80BF66" w14:textId="29B1E9FC" w:rsidR="00A11E78" w:rsidRDefault="00A11E78" w:rsidP="00A11E78">
      <w:pPr>
        <w:pStyle w:val="FigureCaption"/>
        <w:keepLines/>
        <w:rPr>
          <w:szCs w:val="32"/>
        </w:rPr>
      </w:pPr>
      <w:bookmarkStart w:id="185" w:name="_Toc509837463"/>
      <w:r>
        <w:lastRenderedPageBreak/>
        <w:t xml:space="preserve">Figure </w:t>
      </w:r>
      <w:fldSimple w:instr=" STYLEREF 1 \s ">
        <w:r w:rsidR="005D5C7C">
          <w:rPr>
            <w:noProof/>
          </w:rPr>
          <w:t>3</w:t>
        </w:r>
      </w:fldSimple>
      <w:r>
        <w:t>.</w:t>
      </w:r>
      <w:fldSimple w:instr=" SEQ Figure \* ARABIC \s 1 ">
        <w:r w:rsidR="005D5C7C">
          <w:rPr>
            <w:noProof/>
          </w:rPr>
          <w:t>15</w:t>
        </w:r>
      </w:fldSimple>
      <w:r>
        <w:t xml:space="preserve">: </w:t>
      </w:r>
      <w:r w:rsidR="007A0383">
        <w:t>Average Incremental Event-Day and Everyday Load Impacts</w:t>
      </w:r>
      <w:r>
        <w:t xml:space="preserve">, </w:t>
      </w:r>
      <w:r>
        <w:rPr>
          <w:i/>
        </w:rPr>
        <w:t>Medium</w:t>
      </w:r>
      <w:r w:rsidRPr="00A11E78">
        <w:rPr>
          <w:i/>
        </w:rPr>
        <w:t xml:space="preserve"> Newly Enrolled Customers</w:t>
      </w:r>
      <w:bookmarkEnd w:id="185"/>
    </w:p>
    <w:p w14:paraId="3243BB8C" w14:textId="151C0B82" w:rsidR="00A11E78" w:rsidRDefault="006A1EFB" w:rsidP="00A11E78">
      <w:pPr>
        <w:keepNext/>
        <w:keepLines/>
        <w:spacing w:after="120"/>
        <w:rPr>
          <w:szCs w:val="32"/>
        </w:rPr>
      </w:pPr>
      <w:r>
        <w:rPr>
          <w:noProof/>
        </w:rPr>
        <w:drawing>
          <wp:inline distT="0" distB="0" distL="0" distR="0" wp14:anchorId="6FF24707" wp14:editId="264B6560">
            <wp:extent cx="5486400" cy="3980815"/>
            <wp:effectExtent l="0" t="0" r="0" b="635"/>
            <wp:docPr id="6" name="Chart 6">
              <a:extLst xmlns:a="http://schemas.openxmlformats.org/drawingml/2006/main">
                <a:ext uri="{FF2B5EF4-FFF2-40B4-BE49-F238E27FC236}">
                  <a16:creationId xmlns:a16="http://schemas.microsoft.com/office/drawing/2014/main" id="{A64807AD-ABDC-4471-A8CC-E14FADA15C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0BEA07DB" w14:textId="100D51C0" w:rsidR="00A11E78" w:rsidRDefault="00A11E78" w:rsidP="001C1578">
      <w:pPr>
        <w:spacing w:after="120"/>
        <w:rPr>
          <w:szCs w:val="32"/>
        </w:rPr>
      </w:pPr>
    </w:p>
    <w:p w14:paraId="7423BA89" w14:textId="51832C11" w:rsidR="00A11E78" w:rsidRPr="00A11E78" w:rsidRDefault="00A11E78" w:rsidP="00A11E78">
      <w:pPr>
        <w:pStyle w:val="FigureCaption"/>
        <w:keepLines/>
      </w:pPr>
      <w:bookmarkStart w:id="186" w:name="_Ref507503866"/>
      <w:bookmarkStart w:id="187" w:name="_Toc509837464"/>
      <w:r>
        <w:lastRenderedPageBreak/>
        <w:t xml:space="preserve">Figure </w:t>
      </w:r>
      <w:fldSimple w:instr=" STYLEREF 1 \s ">
        <w:r w:rsidR="005D5C7C">
          <w:rPr>
            <w:noProof/>
          </w:rPr>
          <w:t>3</w:t>
        </w:r>
      </w:fldSimple>
      <w:r>
        <w:t>.</w:t>
      </w:r>
      <w:fldSimple w:instr=" SEQ Figure \* ARABIC \s 1 ">
        <w:r w:rsidR="005D5C7C">
          <w:rPr>
            <w:noProof/>
          </w:rPr>
          <w:t>16</w:t>
        </w:r>
      </w:fldSimple>
      <w:bookmarkEnd w:id="186"/>
      <w:r>
        <w:t>:</w:t>
      </w:r>
      <w:r w:rsidRPr="00A11E78">
        <w:t xml:space="preserve"> </w:t>
      </w:r>
      <w:r w:rsidR="007A0383">
        <w:t>Average Incremental Event-Day and Everyday Load Impacts</w:t>
      </w:r>
      <w:r>
        <w:t xml:space="preserve">, </w:t>
      </w:r>
      <w:r>
        <w:rPr>
          <w:i/>
        </w:rPr>
        <w:t>Large</w:t>
      </w:r>
      <w:r w:rsidRPr="00A11E78">
        <w:rPr>
          <w:i/>
        </w:rPr>
        <w:t xml:space="preserve"> Newly Enrolled Customers</w:t>
      </w:r>
      <w:bookmarkEnd w:id="187"/>
    </w:p>
    <w:p w14:paraId="21FC0E4E" w14:textId="1825D10C" w:rsidR="00A11E78" w:rsidRDefault="006A1EFB" w:rsidP="00A11E78">
      <w:pPr>
        <w:keepNext/>
        <w:keepLines/>
        <w:spacing w:after="120"/>
        <w:rPr>
          <w:szCs w:val="32"/>
        </w:rPr>
      </w:pPr>
      <w:r>
        <w:rPr>
          <w:noProof/>
        </w:rPr>
        <w:drawing>
          <wp:inline distT="0" distB="0" distL="0" distR="0" wp14:anchorId="7DD16F4E" wp14:editId="79DA7079">
            <wp:extent cx="5486400" cy="3980815"/>
            <wp:effectExtent l="0" t="0" r="0" b="635"/>
            <wp:docPr id="7" name="Chart 7">
              <a:extLst xmlns:a="http://schemas.openxmlformats.org/drawingml/2006/main">
                <a:ext uri="{FF2B5EF4-FFF2-40B4-BE49-F238E27FC236}">
                  <a16:creationId xmlns:a16="http://schemas.microsoft.com/office/drawing/2014/main" id="{013BC0DE-7697-43EB-A90D-34B6098B1B8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F2ACD8B" w14:textId="6A011DDF" w:rsidR="00CF199C" w:rsidRDefault="00CF199C" w:rsidP="001C1578">
      <w:pPr>
        <w:spacing w:after="120"/>
        <w:rPr>
          <w:szCs w:val="32"/>
        </w:rPr>
      </w:pPr>
    </w:p>
    <w:p w14:paraId="04D9FA16" w14:textId="1EC9742C" w:rsidR="001C1578" w:rsidRDefault="001C1578" w:rsidP="003A20DB">
      <w:pPr>
        <w:pStyle w:val="Heading3"/>
      </w:pPr>
      <w:bookmarkStart w:id="188" w:name="_Toc509837317"/>
      <w:proofErr w:type="spellStart"/>
      <w:r>
        <w:t>AutoDR</w:t>
      </w:r>
      <w:proofErr w:type="spellEnd"/>
      <w:r>
        <w:t xml:space="preserve"> </w:t>
      </w:r>
      <w:r w:rsidR="00617124">
        <w:t>Customers</w:t>
      </w:r>
      <w:bookmarkEnd w:id="188"/>
    </w:p>
    <w:p w14:paraId="72145A88" w14:textId="40C74173" w:rsidR="005A67A9" w:rsidRDefault="00617124" w:rsidP="00617124">
      <w:pPr>
        <w:spacing w:after="120"/>
        <w:rPr>
          <w:szCs w:val="32"/>
        </w:rPr>
      </w:pPr>
      <w:r>
        <w:rPr>
          <w:szCs w:val="32"/>
        </w:rPr>
        <w:t>This section summarizes results for all PDP customers who participat</w:t>
      </w:r>
      <w:r w:rsidR="005A67A9">
        <w:rPr>
          <w:szCs w:val="32"/>
        </w:rPr>
        <w:t>ed</w:t>
      </w:r>
      <w:r>
        <w:rPr>
          <w:szCs w:val="32"/>
        </w:rPr>
        <w:t xml:space="preserve"> in the </w:t>
      </w:r>
      <w:r w:rsidR="005A67A9">
        <w:t>Automated Demand Response (</w:t>
      </w:r>
      <w:proofErr w:type="spellStart"/>
      <w:r w:rsidR="005A67A9">
        <w:t>AutoDR</w:t>
      </w:r>
      <w:proofErr w:type="spellEnd"/>
      <w:r w:rsidR="005A67A9">
        <w:t>)</w:t>
      </w:r>
      <w:r>
        <w:rPr>
          <w:szCs w:val="32"/>
        </w:rPr>
        <w:t xml:space="preserve"> program</w:t>
      </w:r>
      <w:r w:rsidR="005A67A9">
        <w:rPr>
          <w:szCs w:val="32"/>
        </w:rPr>
        <w:t xml:space="preserve">, which </w:t>
      </w:r>
      <w:r w:rsidR="005A67A9">
        <w:t>provides customers incentives to invest in energy management technologies that will enable their equipment or facilities to reduce demand automatically in response to a physical signal sent from the utility. It encourages customers to expand their energy management capabilities by participating in DR programs using automated electric controls and management strategies. When a DR event is called</w:t>
      </w:r>
      <w:r w:rsidR="005A67A9" w:rsidRPr="009C2770">
        <w:t xml:space="preserve">, </w:t>
      </w:r>
      <w:r w:rsidR="005A67A9" w:rsidRPr="005805E9">
        <w:rPr>
          <w:rFonts w:cs="Garamond"/>
          <w:color w:val="000000"/>
        </w:rPr>
        <w:t>a communications signal from the utility</w:t>
      </w:r>
      <w:r w:rsidR="005A67A9" w:rsidRPr="009C2770">
        <w:rPr>
          <w:rFonts w:cs="Garamond"/>
          <w:color w:val="000000"/>
        </w:rPr>
        <w:t xml:space="preserve"> </w:t>
      </w:r>
      <w:r w:rsidR="005A67A9" w:rsidRPr="00EA176E">
        <w:rPr>
          <w:rFonts w:cs="Garamond"/>
          <w:color w:val="000000"/>
        </w:rPr>
        <w:t>enable</w:t>
      </w:r>
      <w:r w:rsidR="005A67A9">
        <w:rPr>
          <w:rFonts w:cs="Garamond"/>
          <w:color w:val="000000"/>
        </w:rPr>
        <w:t>s</w:t>
      </w:r>
      <w:r w:rsidR="005A67A9" w:rsidRPr="00EA176E">
        <w:rPr>
          <w:rFonts w:cs="Garamond"/>
          <w:color w:val="000000"/>
        </w:rPr>
        <w:t xml:space="preserve"> the execution of a sequence of </w:t>
      </w:r>
      <w:r w:rsidR="005A67A9">
        <w:rPr>
          <w:rFonts w:cs="Garamond"/>
          <w:color w:val="000000"/>
        </w:rPr>
        <w:t>load shed strategies without participant intervention.</w:t>
      </w:r>
    </w:p>
    <w:p w14:paraId="08F0931E" w14:textId="2E9C8878" w:rsidR="00617124" w:rsidRDefault="00617124" w:rsidP="00617124">
      <w:pPr>
        <w:spacing w:after="120"/>
        <w:rPr>
          <w:szCs w:val="32"/>
        </w:rPr>
      </w:pPr>
      <w:r>
        <w:rPr>
          <w:szCs w:val="32"/>
        </w:rPr>
        <w:t xml:space="preserve">We present results for the average event hour for each event day as well as for the typical event. Additional results for these customers can be found in </w:t>
      </w:r>
      <w:r w:rsidRPr="00822514">
        <w:t>electronic form in Protocol table generators provided along with this report</w:t>
      </w:r>
      <w:r>
        <w:rPr>
          <w:szCs w:val="32"/>
        </w:rPr>
        <w:t>.</w:t>
      </w:r>
    </w:p>
    <w:p w14:paraId="329E5AFF" w14:textId="5915184F" w:rsidR="00617124" w:rsidRDefault="00F7523F" w:rsidP="00617124">
      <w:pPr>
        <w:spacing w:after="120"/>
        <w:rPr>
          <w:szCs w:val="32"/>
        </w:rPr>
      </w:pPr>
      <w:r>
        <w:rPr>
          <w:noProof/>
          <w:szCs w:val="32"/>
        </w:rPr>
        <mc:AlternateContent>
          <mc:Choice Requires="wps">
            <w:drawing>
              <wp:anchor distT="0" distB="0" distL="114300" distR="114300" simplePos="0" relativeHeight="251676672" behindDoc="0" locked="0" layoutInCell="1" allowOverlap="1" wp14:anchorId="54B64119" wp14:editId="0FC02CA1">
                <wp:simplePos x="0" y="0"/>
                <wp:positionH relativeFrom="margin">
                  <wp:align>right</wp:align>
                </wp:positionH>
                <wp:positionV relativeFrom="paragraph">
                  <wp:posOffset>1236566</wp:posOffset>
                </wp:positionV>
                <wp:extent cx="5422789" cy="397566"/>
                <wp:effectExtent l="0" t="0" r="26035" b="21590"/>
                <wp:wrapNone/>
                <wp:docPr id="32" name="Text Box 32"/>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76520345"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B64119" id="Text Box 32" o:spid="_x0000_s1035" type="#_x0000_t202" style="position:absolute;margin-left:375.8pt;margin-top:97.35pt;width:427pt;height:31.3pt;z-index:25167667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" fillcolor="white [3201]" strokeweight=".5pt">
                <v:textbox>
                  <w:txbxContent>
                    <w:p w14:paraId="76520345"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617124">
        <w:rPr>
          <w:szCs w:val="32"/>
        </w:rPr>
        <w:fldChar w:fldCharType="begin"/>
      </w:r>
      <w:r w:rsidR="00617124">
        <w:rPr>
          <w:szCs w:val="32"/>
        </w:rPr>
        <w:instrText xml:space="preserve"> REF _Ref506981478 \h </w:instrText>
      </w:r>
      <w:r w:rsidR="00617124">
        <w:rPr>
          <w:szCs w:val="32"/>
        </w:rPr>
      </w:r>
      <w:r w:rsidR="00617124">
        <w:rPr>
          <w:szCs w:val="32"/>
        </w:rPr>
        <w:fldChar w:fldCharType="separate"/>
      </w:r>
      <w:r w:rsidR="005D5C7C">
        <w:t xml:space="preserve">Table </w:t>
      </w:r>
      <w:r w:rsidR="005D5C7C">
        <w:rPr>
          <w:noProof/>
        </w:rPr>
        <w:t>3</w:t>
      </w:r>
      <w:r w:rsidR="005D5C7C">
        <w:t>.</w:t>
      </w:r>
      <w:r w:rsidR="005D5C7C">
        <w:rPr>
          <w:noProof/>
        </w:rPr>
        <w:t>16</w:t>
      </w:r>
      <w:r w:rsidR="00617124">
        <w:rPr>
          <w:szCs w:val="32"/>
        </w:rPr>
        <w:fldChar w:fldCharType="end"/>
      </w:r>
      <w:r w:rsidR="00617124">
        <w:rPr>
          <w:szCs w:val="32"/>
        </w:rPr>
        <w:t xml:space="preserve"> </w:t>
      </w:r>
      <w:r w:rsidR="00D502F1">
        <w:rPr>
          <w:szCs w:val="32"/>
        </w:rPr>
        <w:t>summarizes aggregate event-hour results for each event</w:t>
      </w:r>
      <w:r w:rsidR="005A67A9">
        <w:rPr>
          <w:szCs w:val="32"/>
        </w:rPr>
        <w:t xml:space="preserve"> </w:t>
      </w:r>
      <w:r w:rsidR="00D502F1">
        <w:rPr>
          <w:szCs w:val="32"/>
        </w:rPr>
        <w:t xml:space="preserve">day as well as the typical event day for PDP customers who participate in </w:t>
      </w:r>
      <w:proofErr w:type="spellStart"/>
      <w:r w:rsidR="00D502F1">
        <w:rPr>
          <w:szCs w:val="32"/>
        </w:rPr>
        <w:t>AutoDR</w:t>
      </w:r>
      <w:proofErr w:type="spellEnd"/>
      <w:r w:rsidR="00D502F1">
        <w:rPr>
          <w:szCs w:val="32"/>
        </w:rPr>
        <w:t>, including the number of enrolled customers, the reference and observed loads, and the estimated load impacts (in MWh/hour and as a percentage of the reference load)</w:t>
      </w:r>
      <w:r w:rsidR="00617124">
        <w:rPr>
          <w:szCs w:val="32"/>
        </w:rPr>
        <w:t xml:space="preserve">. </w:t>
      </w:r>
      <w:r w:rsidR="00D502F1">
        <w:rPr>
          <w:szCs w:val="32"/>
        </w:rPr>
        <w:t>Enrollments increased</w:t>
      </w:r>
      <w:r w:rsidR="00B977E4">
        <w:rPr>
          <w:szCs w:val="32"/>
        </w:rPr>
        <w:t xml:space="preserve"> by </w:t>
      </w:r>
      <w:r w:rsidR="002056C9" w:rsidRPr="002056C9">
        <w:rPr>
          <w:szCs w:val="32"/>
          <w:highlight w:val="black"/>
        </w:rPr>
        <w:t>--</w:t>
      </w:r>
      <w:r w:rsidR="00B977E4">
        <w:rPr>
          <w:szCs w:val="32"/>
        </w:rPr>
        <w:t xml:space="preserve"> customers over the season, with </w:t>
      </w:r>
      <w:r w:rsidR="002056C9" w:rsidRPr="002056C9">
        <w:rPr>
          <w:szCs w:val="32"/>
          <w:highlight w:val="black"/>
        </w:rPr>
        <w:t>--</w:t>
      </w:r>
      <w:r w:rsidR="00B977E4">
        <w:rPr>
          <w:szCs w:val="32"/>
        </w:rPr>
        <w:t xml:space="preserve"> customers enrolled</w:t>
      </w:r>
      <w:r w:rsidR="00D502F1">
        <w:rPr>
          <w:szCs w:val="32"/>
        </w:rPr>
        <w:t xml:space="preserve"> in </w:t>
      </w:r>
      <w:proofErr w:type="spellStart"/>
      <w:r w:rsidR="00D502F1">
        <w:rPr>
          <w:szCs w:val="32"/>
        </w:rPr>
        <w:t>AutoDR</w:t>
      </w:r>
      <w:proofErr w:type="spellEnd"/>
      <w:r w:rsidR="00B977E4">
        <w:rPr>
          <w:szCs w:val="32"/>
        </w:rPr>
        <w:t xml:space="preserve"> on average during the </w:t>
      </w:r>
      <w:r w:rsidR="00B977E4">
        <w:rPr>
          <w:szCs w:val="32"/>
        </w:rPr>
        <w:lastRenderedPageBreak/>
        <w:t xml:space="preserve">season. </w:t>
      </w:r>
      <w:r w:rsidR="005A67A9">
        <w:rPr>
          <w:szCs w:val="32"/>
        </w:rPr>
        <w:t xml:space="preserve">The estimated load impact is </w:t>
      </w:r>
      <w:proofErr w:type="gramStart"/>
      <w:r w:rsidR="005A67A9">
        <w:rPr>
          <w:szCs w:val="32"/>
        </w:rPr>
        <w:t>fairly stable</w:t>
      </w:r>
      <w:proofErr w:type="gramEnd"/>
      <w:r w:rsidR="005A67A9">
        <w:rPr>
          <w:szCs w:val="32"/>
        </w:rPr>
        <w:t xml:space="preserve"> across event days, averaging </w:t>
      </w:r>
      <w:r w:rsidR="002056C9" w:rsidRPr="002056C9">
        <w:rPr>
          <w:szCs w:val="32"/>
          <w:highlight w:val="black"/>
        </w:rPr>
        <w:t>---</w:t>
      </w:r>
      <w:r w:rsidR="005A67A9">
        <w:rPr>
          <w:szCs w:val="32"/>
        </w:rPr>
        <w:t xml:space="preserve"> MWh/hour (</w:t>
      </w:r>
      <w:r w:rsidR="002056C9" w:rsidRPr="002056C9">
        <w:rPr>
          <w:szCs w:val="32"/>
          <w:highlight w:val="black"/>
        </w:rPr>
        <w:t>--</w:t>
      </w:r>
      <w:r w:rsidR="00617124">
        <w:rPr>
          <w:szCs w:val="32"/>
        </w:rPr>
        <w:t xml:space="preserve"> percent </w:t>
      </w:r>
      <w:r w:rsidR="005A67A9">
        <w:rPr>
          <w:szCs w:val="32"/>
        </w:rPr>
        <w:t xml:space="preserve">of </w:t>
      </w:r>
      <w:r w:rsidR="00617124">
        <w:rPr>
          <w:szCs w:val="32"/>
        </w:rPr>
        <w:t>reference loads</w:t>
      </w:r>
      <w:r w:rsidR="005A67A9">
        <w:rPr>
          <w:szCs w:val="32"/>
        </w:rPr>
        <w:t>)</w:t>
      </w:r>
      <w:r w:rsidR="00617124">
        <w:rPr>
          <w:szCs w:val="32"/>
        </w:rPr>
        <w:t xml:space="preserve">. </w:t>
      </w:r>
      <w:r w:rsidR="00B977E4">
        <w:rPr>
          <w:szCs w:val="32"/>
        </w:rPr>
        <w:t xml:space="preserve">This load </w:t>
      </w:r>
      <w:r w:rsidR="00D502F1">
        <w:rPr>
          <w:szCs w:val="32"/>
        </w:rPr>
        <w:t>impact</w:t>
      </w:r>
      <w:r w:rsidR="00B977E4">
        <w:rPr>
          <w:szCs w:val="32"/>
        </w:rPr>
        <w:t xml:space="preserve"> falls short of the </w:t>
      </w:r>
      <w:r w:rsidR="002056C9" w:rsidRPr="002056C9">
        <w:rPr>
          <w:szCs w:val="32"/>
          <w:highlight w:val="black"/>
        </w:rPr>
        <w:t>----</w:t>
      </w:r>
      <w:r w:rsidR="00B977E4">
        <w:rPr>
          <w:szCs w:val="32"/>
        </w:rPr>
        <w:t xml:space="preserve"> MW of approved reduction for the customers in this program. </w:t>
      </w:r>
    </w:p>
    <w:p w14:paraId="43F72882" w14:textId="242556D0" w:rsidR="0062146F" w:rsidRDefault="0062146F" w:rsidP="001C1578">
      <w:pPr>
        <w:spacing w:after="120"/>
        <w:rPr>
          <w:szCs w:val="32"/>
        </w:rPr>
      </w:pPr>
    </w:p>
    <w:p w14:paraId="7B39E8C3" w14:textId="0FBA2818" w:rsidR="00884FC9" w:rsidRDefault="00884FC9" w:rsidP="005769CB">
      <w:pPr>
        <w:pStyle w:val="TableCaption"/>
      </w:pPr>
      <w:bookmarkStart w:id="189" w:name="_Ref506981478"/>
      <w:bookmarkStart w:id="190" w:name="_Toc509837373"/>
      <w:r>
        <w:t xml:space="preserve">Table </w:t>
      </w:r>
      <w:fldSimple w:instr=" STYLEREF 1 \s ">
        <w:r w:rsidR="005D5C7C">
          <w:rPr>
            <w:noProof/>
          </w:rPr>
          <w:t>3</w:t>
        </w:r>
      </w:fldSimple>
      <w:r w:rsidR="0069714C">
        <w:t>.</w:t>
      </w:r>
      <w:fldSimple w:instr=" SEQ Table \* ARABIC \s 1 ">
        <w:r w:rsidR="005D5C7C">
          <w:rPr>
            <w:noProof/>
          </w:rPr>
          <w:t>16</w:t>
        </w:r>
      </w:fldSimple>
      <w:bookmarkEnd w:id="189"/>
      <w:r>
        <w:t xml:space="preserve">: Average Event-Hour Load Impacts for </w:t>
      </w:r>
      <w:proofErr w:type="spellStart"/>
      <w:r>
        <w:t>AutoDR</w:t>
      </w:r>
      <w:proofErr w:type="spellEnd"/>
      <w:r>
        <w:t xml:space="preserve"> Customers by Event, </w:t>
      </w:r>
      <w:r w:rsidR="005769CB">
        <w:rPr>
          <w:i/>
        </w:rPr>
        <w:t>PG&amp;E</w:t>
      </w:r>
      <w:bookmarkEnd w:id="190"/>
    </w:p>
    <w:tbl>
      <w:tblPr>
        <w:tblW w:w="9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170"/>
        <w:gridCol w:w="1350"/>
        <w:gridCol w:w="1350"/>
        <w:gridCol w:w="1397"/>
        <w:gridCol w:w="810"/>
        <w:gridCol w:w="1170"/>
      </w:tblGrid>
      <w:tr w:rsidR="00AE478F" w14:paraId="72153B0D" w14:textId="0E0E18E9" w:rsidTr="00BB6129">
        <w:trPr>
          <w:jc w:val="center"/>
        </w:trPr>
        <w:tc>
          <w:tcPr>
            <w:tcW w:w="1980" w:type="dxa"/>
            <w:tcBorders>
              <w:right w:val="single" w:sz="4" w:space="0" w:color="FFFFFF" w:themeColor="background1"/>
            </w:tcBorders>
            <w:shd w:val="clear" w:color="auto" w:fill="0C2577"/>
            <w:vAlign w:val="center"/>
          </w:tcPr>
          <w:p w14:paraId="24C4E5B8" w14:textId="2B84C337" w:rsidR="00AE478F" w:rsidRPr="007E0A27" w:rsidRDefault="00AE478F" w:rsidP="00AE478F">
            <w:pPr>
              <w:keepNext/>
              <w:keepLines/>
              <w:jc w:val="center"/>
              <w:rPr>
                <w:rFonts w:ascii="Arial" w:hAnsi="Arial" w:cs="Arial"/>
                <w:b/>
                <w:sz w:val="20"/>
                <w:szCs w:val="20"/>
              </w:rPr>
            </w:pPr>
            <w:r>
              <w:rPr>
                <w:rFonts w:ascii="Arial" w:hAnsi="Arial" w:cs="Arial"/>
                <w:b/>
                <w:sz w:val="20"/>
                <w:szCs w:val="20"/>
              </w:rPr>
              <w:t>Event Date</w:t>
            </w:r>
          </w:p>
        </w:tc>
        <w:tc>
          <w:tcPr>
            <w:tcW w:w="1170" w:type="dxa"/>
            <w:tcBorders>
              <w:top w:val="nil"/>
              <w:left w:val="nil"/>
              <w:bottom w:val="nil"/>
              <w:right w:val="single" w:sz="4" w:space="0" w:color="FFFFFF"/>
            </w:tcBorders>
            <w:shd w:val="clear" w:color="000000" w:fill="0C2577"/>
            <w:vAlign w:val="center"/>
          </w:tcPr>
          <w:p w14:paraId="30AD7B38" w14:textId="3E3D4DEE" w:rsidR="00AE478F" w:rsidRPr="007E0A27" w:rsidRDefault="00AE478F" w:rsidP="00AE478F">
            <w:pPr>
              <w:keepNext/>
              <w:keepLines/>
              <w:jc w:val="center"/>
              <w:rPr>
                <w:rFonts w:ascii="Arial" w:hAnsi="Arial" w:cs="Arial"/>
                <w:b/>
                <w:sz w:val="20"/>
                <w:szCs w:val="20"/>
              </w:rPr>
            </w:pPr>
            <w:r>
              <w:rPr>
                <w:rFonts w:ascii="Arial" w:hAnsi="Arial" w:cs="Arial"/>
                <w:b/>
                <w:bCs/>
                <w:color w:val="FFFFFF"/>
                <w:sz w:val="20"/>
                <w:szCs w:val="20"/>
              </w:rPr>
              <w:t># of Service Accounts</w:t>
            </w:r>
          </w:p>
        </w:tc>
        <w:tc>
          <w:tcPr>
            <w:tcW w:w="1350" w:type="dxa"/>
            <w:tcBorders>
              <w:top w:val="nil"/>
              <w:left w:val="nil"/>
              <w:bottom w:val="nil"/>
              <w:right w:val="single" w:sz="4" w:space="0" w:color="FFFFFF"/>
            </w:tcBorders>
            <w:shd w:val="clear" w:color="000000" w:fill="0C2577"/>
            <w:vAlign w:val="center"/>
          </w:tcPr>
          <w:p w14:paraId="0A5CCFBD" w14:textId="2149EF19" w:rsidR="00AE478F" w:rsidRPr="007E0A27" w:rsidRDefault="00AE478F" w:rsidP="00AE478F">
            <w:pPr>
              <w:keepNext/>
              <w:keepLines/>
              <w:jc w:val="center"/>
              <w:rPr>
                <w:rFonts w:ascii="Arial" w:hAnsi="Arial" w:cs="Arial"/>
                <w:b/>
                <w:sz w:val="20"/>
                <w:szCs w:val="20"/>
              </w:rPr>
            </w:pPr>
            <w:r>
              <w:rPr>
                <w:rFonts w:ascii="Arial" w:hAnsi="Arial" w:cs="Arial"/>
                <w:b/>
                <w:bCs/>
                <w:color w:val="FFFFFF"/>
                <w:sz w:val="20"/>
                <w:szCs w:val="20"/>
              </w:rPr>
              <w:t>Estimated Reference Load (MW</w:t>
            </w:r>
            <w:r w:rsidR="005966B5">
              <w:rPr>
                <w:rFonts w:ascii="Arial" w:hAnsi="Arial" w:cs="Arial"/>
                <w:b/>
                <w:bCs/>
                <w:color w:val="FFFFFF"/>
                <w:sz w:val="20"/>
                <w:szCs w:val="20"/>
              </w:rPr>
              <w:t>h/hour</w:t>
            </w:r>
            <w:r>
              <w:rPr>
                <w:rFonts w:ascii="Arial" w:hAnsi="Arial" w:cs="Arial"/>
                <w:b/>
                <w:bCs/>
                <w:color w:val="FFFFFF"/>
                <w:sz w:val="20"/>
                <w:szCs w:val="20"/>
              </w:rPr>
              <w:t>)</w:t>
            </w:r>
          </w:p>
        </w:tc>
        <w:tc>
          <w:tcPr>
            <w:tcW w:w="1350" w:type="dxa"/>
            <w:tcBorders>
              <w:top w:val="nil"/>
              <w:left w:val="nil"/>
              <w:bottom w:val="nil"/>
              <w:right w:val="single" w:sz="4" w:space="0" w:color="FFFFFF"/>
            </w:tcBorders>
            <w:shd w:val="clear" w:color="000000" w:fill="0C2577"/>
            <w:vAlign w:val="center"/>
          </w:tcPr>
          <w:p w14:paraId="259A4893" w14:textId="1017F1A4" w:rsidR="00AE478F" w:rsidRPr="007E0A27" w:rsidRDefault="00AE478F" w:rsidP="00AE478F">
            <w:pPr>
              <w:keepNext/>
              <w:keepLines/>
              <w:jc w:val="center"/>
              <w:rPr>
                <w:rFonts w:ascii="Arial" w:hAnsi="Arial" w:cs="Arial"/>
                <w:b/>
                <w:sz w:val="20"/>
                <w:szCs w:val="20"/>
              </w:rPr>
            </w:pPr>
            <w:r>
              <w:rPr>
                <w:rFonts w:ascii="Arial" w:hAnsi="Arial" w:cs="Arial"/>
                <w:b/>
                <w:bCs/>
                <w:color w:val="FFFFFF"/>
                <w:sz w:val="20"/>
                <w:szCs w:val="20"/>
              </w:rPr>
              <w:t>Observed Load (MW</w:t>
            </w:r>
            <w:r w:rsidR="005966B5">
              <w:rPr>
                <w:rFonts w:ascii="Arial" w:hAnsi="Arial" w:cs="Arial"/>
                <w:b/>
                <w:bCs/>
                <w:color w:val="FFFFFF"/>
                <w:sz w:val="20"/>
                <w:szCs w:val="20"/>
              </w:rPr>
              <w:t>h/hour</w:t>
            </w:r>
            <w:r>
              <w:rPr>
                <w:rFonts w:ascii="Arial" w:hAnsi="Arial" w:cs="Arial"/>
                <w:b/>
                <w:bCs/>
                <w:color w:val="FFFFFF"/>
                <w:sz w:val="20"/>
                <w:szCs w:val="20"/>
              </w:rPr>
              <w:t>)</w:t>
            </w:r>
          </w:p>
        </w:tc>
        <w:tc>
          <w:tcPr>
            <w:tcW w:w="1397" w:type="dxa"/>
            <w:tcBorders>
              <w:top w:val="nil"/>
              <w:left w:val="nil"/>
              <w:bottom w:val="nil"/>
              <w:right w:val="single" w:sz="4" w:space="0" w:color="FFFFFF"/>
            </w:tcBorders>
            <w:shd w:val="clear" w:color="000000" w:fill="0C2577"/>
            <w:vAlign w:val="center"/>
          </w:tcPr>
          <w:p w14:paraId="2ADEEABF" w14:textId="6304A849" w:rsidR="00AE478F" w:rsidRPr="007E0A27" w:rsidRDefault="00AE478F" w:rsidP="00AE478F">
            <w:pPr>
              <w:keepNext/>
              <w:keepLines/>
              <w:jc w:val="center"/>
              <w:rPr>
                <w:rFonts w:ascii="Arial" w:hAnsi="Arial" w:cs="Arial"/>
                <w:b/>
                <w:sz w:val="20"/>
                <w:szCs w:val="20"/>
              </w:rPr>
            </w:pPr>
            <w:r>
              <w:rPr>
                <w:rFonts w:ascii="Arial" w:hAnsi="Arial" w:cs="Arial"/>
                <w:b/>
                <w:bCs/>
                <w:color w:val="FFFFFF"/>
                <w:sz w:val="20"/>
                <w:szCs w:val="20"/>
              </w:rPr>
              <w:t>Estimated Load Impact (MW</w:t>
            </w:r>
            <w:r w:rsidR="00BB6129">
              <w:rPr>
                <w:rFonts w:ascii="Arial" w:hAnsi="Arial" w:cs="Arial"/>
                <w:b/>
                <w:bCs/>
                <w:color w:val="FFFFFF"/>
                <w:sz w:val="20"/>
                <w:szCs w:val="20"/>
              </w:rPr>
              <w:t>h/hour</w:t>
            </w:r>
            <w:r>
              <w:rPr>
                <w:rFonts w:ascii="Arial" w:hAnsi="Arial" w:cs="Arial"/>
                <w:b/>
                <w:bCs/>
                <w:color w:val="FFFFFF"/>
                <w:sz w:val="20"/>
                <w:szCs w:val="20"/>
              </w:rPr>
              <w:t>)</w:t>
            </w:r>
          </w:p>
        </w:tc>
        <w:tc>
          <w:tcPr>
            <w:tcW w:w="810" w:type="dxa"/>
            <w:tcBorders>
              <w:top w:val="nil"/>
              <w:left w:val="nil"/>
              <w:bottom w:val="nil"/>
              <w:right w:val="single" w:sz="4" w:space="0" w:color="FFFFFF"/>
            </w:tcBorders>
            <w:shd w:val="clear" w:color="000000" w:fill="0C2577"/>
            <w:vAlign w:val="center"/>
          </w:tcPr>
          <w:p w14:paraId="44E075D5" w14:textId="18E85DE0" w:rsidR="00AE478F" w:rsidRPr="007E0A27" w:rsidRDefault="00AE478F" w:rsidP="00AE478F">
            <w:pPr>
              <w:keepNext/>
              <w:keepLines/>
              <w:jc w:val="center"/>
              <w:rPr>
                <w:rFonts w:ascii="Arial" w:hAnsi="Arial" w:cs="Arial"/>
                <w:b/>
                <w:sz w:val="20"/>
                <w:szCs w:val="20"/>
              </w:rPr>
            </w:pPr>
            <w:r>
              <w:rPr>
                <w:rFonts w:ascii="Arial" w:hAnsi="Arial" w:cs="Arial"/>
                <w:b/>
                <w:bCs/>
                <w:color w:val="FFFFFF"/>
                <w:sz w:val="20"/>
                <w:szCs w:val="20"/>
              </w:rPr>
              <w:t>% LI</w:t>
            </w:r>
          </w:p>
        </w:tc>
        <w:tc>
          <w:tcPr>
            <w:tcW w:w="1170" w:type="dxa"/>
            <w:tcBorders>
              <w:top w:val="nil"/>
              <w:left w:val="nil"/>
              <w:bottom w:val="nil"/>
              <w:right w:val="nil"/>
            </w:tcBorders>
            <w:shd w:val="clear" w:color="000000" w:fill="0C2577"/>
            <w:vAlign w:val="center"/>
          </w:tcPr>
          <w:p w14:paraId="4DDE4ABB" w14:textId="56597F70" w:rsidR="00AE478F" w:rsidRPr="007E0A27" w:rsidRDefault="00AE478F" w:rsidP="00AE478F">
            <w:pPr>
              <w:keepNext/>
              <w:keepLines/>
              <w:jc w:val="center"/>
              <w:rPr>
                <w:rFonts w:ascii="Arial" w:hAnsi="Arial" w:cs="Arial"/>
                <w:b/>
                <w:sz w:val="20"/>
                <w:szCs w:val="20"/>
              </w:rPr>
            </w:pPr>
            <w:r>
              <w:rPr>
                <w:rFonts w:ascii="Arial" w:hAnsi="Arial" w:cs="Arial"/>
                <w:b/>
                <w:bCs/>
                <w:color w:val="FFFFFF"/>
                <w:sz w:val="20"/>
                <w:szCs w:val="20"/>
              </w:rPr>
              <w:t>Approved MW</w:t>
            </w:r>
          </w:p>
        </w:tc>
      </w:tr>
      <w:tr w:rsidR="00731555" w14:paraId="72A0D570" w14:textId="63E5C897" w:rsidTr="002056C9">
        <w:trPr>
          <w:jc w:val="center"/>
        </w:trPr>
        <w:tc>
          <w:tcPr>
            <w:tcW w:w="1980" w:type="dxa"/>
            <w:vAlign w:val="center"/>
          </w:tcPr>
          <w:p w14:paraId="33875749" w14:textId="389B878C" w:rsidR="00731555" w:rsidRPr="007E0A27" w:rsidRDefault="00731555" w:rsidP="00731555">
            <w:pPr>
              <w:keepNext/>
              <w:keepLines/>
              <w:jc w:val="center"/>
              <w:rPr>
                <w:rFonts w:ascii="Arial" w:hAnsi="Arial" w:cs="Arial"/>
                <w:sz w:val="20"/>
                <w:szCs w:val="20"/>
              </w:rPr>
            </w:pPr>
            <w:r w:rsidRPr="000A24BE">
              <w:rPr>
                <w:rFonts w:ascii="Arial" w:hAnsi="Arial" w:cs="Arial"/>
                <w:color w:val="000000"/>
                <w:sz w:val="20"/>
                <w:szCs w:val="20"/>
              </w:rPr>
              <w:t>6/16/2017</w:t>
            </w:r>
          </w:p>
        </w:tc>
        <w:tc>
          <w:tcPr>
            <w:tcW w:w="1170" w:type="dxa"/>
            <w:shd w:val="clear" w:color="auto" w:fill="000000" w:themeFill="text1"/>
            <w:vAlign w:val="bottom"/>
          </w:tcPr>
          <w:p w14:paraId="6A2C6535" w14:textId="7F29BA06"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44338C5A" w14:textId="3F501B07"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89C3A55" w14:textId="78ADD1A2"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6C7675FD" w14:textId="17678033"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17996412" w14:textId="47475A7E"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14D2ED6" w14:textId="16514817" w:rsidR="00731555" w:rsidRPr="000547DF" w:rsidRDefault="00731555" w:rsidP="00731555">
            <w:pPr>
              <w:jc w:val="center"/>
              <w:rPr>
                <w:rFonts w:ascii="Arial" w:hAnsi="Arial" w:cs="Arial"/>
                <w:sz w:val="20"/>
                <w:szCs w:val="20"/>
              </w:rPr>
            </w:pPr>
          </w:p>
        </w:tc>
      </w:tr>
      <w:tr w:rsidR="00731555" w14:paraId="50EFE5AA" w14:textId="090A8364" w:rsidTr="002056C9">
        <w:trPr>
          <w:jc w:val="center"/>
        </w:trPr>
        <w:tc>
          <w:tcPr>
            <w:tcW w:w="1980" w:type="dxa"/>
            <w:vAlign w:val="center"/>
          </w:tcPr>
          <w:p w14:paraId="1F290DCB" w14:textId="78E2B102" w:rsidR="00731555" w:rsidRPr="007E0A27" w:rsidRDefault="00731555" w:rsidP="00731555">
            <w:pPr>
              <w:keepNext/>
              <w:keepLines/>
              <w:jc w:val="center"/>
              <w:rPr>
                <w:rFonts w:ascii="Arial" w:hAnsi="Arial" w:cs="Arial"/>
                <w:sz w:val="20"/>
                <w:szCs w:val="20"/>
              </w:rPr>
            </w:pPr>
            <w:r w:rsidRPr="000A24BE">
              <w:rPr>
                <w:rFonts w:ascii="Arial" w:hAnsi="Arial" w:cs="Arial"/>
                <w:color w:val="000000"/>
                <w:sz w:val="20"/>
                <w:szCs w:val="20"/>
              </w:rPr>
              <w:t>6/19/2017</w:t>
            </w:r>
          </w:p>
        </w:tc>
        <w:tc>
          <w:tcPr>
            <w:tcW w:w="1170" w:type="dxa"/>
            <w:shd w:val="clear" w:color="auto" w:fill="000000" w:themeFill="text1"/>
            <w:vAlign w:val="bottom"/>
          </w:tcPr>
          <w:p w14:paraId="0502F200" w14:textId="0EC8A27D"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5D0AA7E4" w14:textId="59D656B1"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CD7B103" w14:textId="6192DA87"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79AEC276" w14:textId="4BF3C329"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40672B2B" w14:textId="6BA8F60A"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735F36EB" w14:textId="7ED27A40" w:rsidR="00731555" w:rsidRPr="000547DF" w:rsidRDefault="00731555" w:rsidP="00731555">
            <w:pPr>
              <w:jc w:val="center"/>
              <w:rPr>
                <w:rFonts w:ascii="Arial" w:hAnsi="Arial" w:cs="Arial"/>
                <w:sz w:val="20"/>
                <w:szCs w:val="20"/>
              </w:rPr>
            </w:pPr>
          </w:p>
        </w:tc>
      </w:tr>
      <w:tr w:rsidR="00731555" w14:paraId="2912D168" w14:textId="77777777" w:rsidTr="002056C9">
        <w:trPr>
          <w:jc w:val="center"/>
        </w:trPr>
        <w:tc>
          <w:tcPr>
            <w:tcW w:w="1980" w:type="dxa"/>
            <w:vAlign w:val="center"/>
          </w:tcPr>
          <w:p w14:paraId="79BA28A5" w14:textId="2BAD8F4A"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6/20/2017</w:t>
            </w:r>
          </w:p>
        </w:tc>
        <w:tc>
          <w:tcPr>
            <w:tcW w:w="1170" w:type="dxa"/>
            <w:shd w:val="clear" w:color="auto" w:fill="000000" w:themeFill="text1"/>
            <w:vAlign w:val="bottom"/>
          </w:tcPr>
          <w:p w14:paraId="75B63D33" w14:textId="594F42B8"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6B56B6A6" w14:textId="68DBF4E7"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8A9F882" w14:textId="20AEB17E"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2BAF9D52" w14:textId="229A9E11"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0B3323A4" w14:textId="3AE948CC"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43EAFDAE" w14:textId="420E5540" w:rsidR="00731555" w:rsidRPr="000547DF" w:rsidRDefault="00731555" w:rsidP="00731555">
            <w:pPr>
              <w:jc w:val="center"/>
              <w:rPr>
                <w:rFonts w:ascii="Arial" w:hAnsi="Arial" w:cs="Arial"/>
                <w:sz w:val="20"/>
                <w:szCs w:val="20"/>
              </w:rPr>
            </w:pPr>
          </w:p>
        </w:tc>
      </w:tr>
      <w:tr w:rsidR="00731555" w14:paraId="136A45DC" w14:textId="77777777" w:rsidTr="002056C9">
        <w:trPr>
          <w:jc w:val="center"/>
        </w:trPr>
        <w:tc>
          <w:tcPr>
            <w:tcW w:w="1980" w:type="dxa"/>
            <w:vAlign w:val="center"/>
          </w:tcPr>
          <w:p w14:paraId="234A2E96" w14:textId="3C5EE393"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6/22/2017</w:t>
            </w:r>
          </w:p>
        </w:tc>
        <w:tc>
          <w:tcPr>
            <w:tcW w:w="1170" w:type="dxa"/>
            <w:shd w:val="clear" w:color="auto" w:fill="000000" w:themeFill="text1"/>
            <w:vAlign w:val="bottom"/>
          </w:tcPr>
          <w:p w14:paraId="6FE9F7D2" w14:textId="310AAE83"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DD5307E" w14:textId="538F06F4"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6B23FB1" w14:textId="5E0A7DF5"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2F425520" w14:textId="0E513FD5"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1EC86ECA" w14:textId="5B34A956"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A4EFDC6" w14:textId="50BF6FE6" w:rsidR="00731555" w:rsidRPr="000547DF" w:rsidRDefault="00731555" w:rsidP="00731555">
            <w:pPr>
              <w:jc w:val="center"/>
              <w:rPr>
                <w:rFonts w:ascii="Arial" w:hAnsi="Arial" w:cs="Arial"/>
                <w:sz w:val="20"/>
                <w:szCs w:val="20"/>
              </w:rPr>
            </w:pPr>
          </w:p>
        </w:tc>
      </w:tr>
      <w:tr w:rsidR="00731555" w14:paraId="37284DE9" w14:textId="77777777" w:rsidTr="002056C9">
        <w:trPr>
          <w:jc w:val="center"/>
        </w:trPr>
        <w:tc>
          <w:tcPr>
            <w:tcW w:w="1980" w:type="dxa"/>
            <w:vAlign w:val="center"/>
          </w:tcPr>
          <w:p w14:paraId="5ED7593D" w14:textId="1F4D4224"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6/23/2017</w:t>
            </w:r>
          </w:p>
        </w:tc>
        <w:tc>
          <w:tcPr>
            <w:tcW w:w="1170" w:type="dxa"/>
            <w:shd w:val="clear" w:color="auto" w:fill="000000" w:themeFill="text1"/>
            <w:vAlign w:val="bottom"/>
          </w:tcPr>
          <w:p w14:paraId="06875361" w14:textId="5432EFFE"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10965807" w14:textId="13A5A18A"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2BBC953" w14:textId="5EEBB5AD"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29276B9E" w14:textId="4D87699E"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6858469E" w14:textId="795BB04D"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1D99FA69" w14:textId="01D59256" w:rsidR="00731555" w:rsidRPr="000547DF" w:rsidRDefault="00731555" w:rsidP="00731555">
            <w:pPr>
              <w:jc w:val="center"/>
              <w:rPr>
                <w:rFonts w:ascii="Arial" w:hAnsi="Arial" w:cs="Arial"/>
                <w:sz w:val="20"/>
                <w:szCs w:val="20"/>
              </w:rPr>
            </w:pPr>
          </w:p>
        </w:tc>
      </w:tr>
      <w:tr w:rsidR="00731555" w14:paraId="67134F11" w14:textId="77777777" w:rsidTr="002056C9">
        <w:trPr>
          <w:jc w:val="center"/>
        </w:trPr>
        <w:tc>
          <w:tcPr>
            <w:tcW w:w="1980" w:type="dxa"/>
            <w:vAlign w:val="center"/>
          </w:tcPr>
          <w:p w14:paraId="1593B89D" w14:textId="71EF1A58"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7/7/2017</w:t>
            </w:r>
          </w:p>
        </w:tc>
        <w:tc>
          <w:tcPr>
            <w:tcW w:w="1170" w:type="dxa"/>
            <w:shd w:val="clear" w:color="auto" w:fill="000000" w:themeFill="text1"/>
            <w:vAlign w:val="bottom"/>
          </w:tcPr>
          <w:p w14:paraId="5F1E1668" w14:textId="3B83B4D1"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204E768A" w14:textId="32A33DB9"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D264F0A" w14:textId="18AFFDAB"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41B33AB4" w14:textId="00D223B1"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13DFDFD6" w14:textId="125277FF"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E9AE36C" w14:textId="412DBA57" w:rsidR="00731555" w:rsidRPr="000547DF" w:rsidRDefault="00731555" w:rsidP="00731555">
            <w:pPr>
              <w:jc w:val="center"/>
              <w:rPr>
                <w:rFonts w:ascii="Arial" w:hAnsi="Arial" w:cs="Arial"/>
                <w:sz w:val="20"/>
                <w:szCs w:val="20"/>
              </w:rPr>
            </w:pPr>
          </w:p>
        </w:tc>
      </w:tr>
      <w:tr w:rsidR="00731555" w14:paraId="6B3DA725" w14:textId="77777777" w:rsidTr="002056C9">
        <w:trPr>
          <w:jc w:val="center"/>
        </w:trPr>
        <w:tc>
          <w:tcPr>
            <w:tcW w:w="1980" w:type="dxa"/>
            <w:vAlign w:val="center"/>
          </w:tcPr>
          <w:p w14:paraId="7CE9089F" w14:textId="7CD295CE"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7/27/2017</w:t>
            </w:r>
          </w:p>
        </w:tc>
        <w:tc>
          <w:tcPr>
            <w:tcW w:w="1170" w:type="dxa"/>
            <w:shd w:val="clear" w:color="auto" w:fill="000000" w:themeFill="text1"/>
            <w:vAlign w:val="bottom"/>
          </w:tcPr>
          <w:p w14:paraId="12FCBFA3" w14:textId="5E190A91"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5509E12" w14:textId="045F7BB2"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0CCC174" w14:textId="28454471"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4A26395C" w14:textId="7A479C54"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37735D6F" w14:textId="498123CF"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5FD4368D" w14:textId="46BC8683" w:rsidR="00731555" w:rsidRPr="000547DF" w:rsidRDefault="00731555" w:rsidP="00731555">
            <w:pPr>
              <w:jc w:val="center"/>
              <w:rPr>
                <w:rFonts w:ascii="Arial" w:hAnsi="Arial" w:cs="Arial"/>
                <w:sz w:val="20"/>
                <w:szCs w:val="20"/>
              </w:rPr>
            </w:pPr>
          </w:p>
        </w:tc>
      </w:tr>
      <w:tr w:rsidR="00731555" w14:paraId="1D948113" w14:textId="77777777" w:rsidTr="002056C9">
        <w:trPr>
          <w:jc w:val="center"/>
        </w:trPr>
        <w:tc>
          <w:tcPr>
            <w:tcW w:w="1980" w:type="dxa"/>
            <w:vAlign w:val="center"/>
          </w:tcPr>
          <w:p w14:paraId="5C87289C" w14:textId="35C9F925"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7/31/2017</w:t>
            </w:r>
          </w:p>
        </w:tc>
        <w:tc>
          <w:tcPr>
            <w:tcW w:w="1170" w:type="dxa"/>
            <w:shd w:val="clear" w:color="auto" w:fill="000000" w:themeFill="text1"/>
            <w:vAlign w:val="bottom"/>
          </w:tcPr>
          <w:p w14:paraId="482DC74E" w14:textId="30C5F5C6"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1F43E4FD" w14:textId="1339F057"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AB475BC" w14:textId="4A0DEC95"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48156D23" w14:textId="21FB8AF0"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7908A842" w14:textId="70C3C8CE"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5C2BF64B" w14:textId="01B751A5" w:rsidR="00731555" w:rsidRPr="000547DF" w:rsidRDefault="00731555" w:rsidP="00731555">
            <w:pPr>
              <w:jc w:val="center"/>
              <w:rPr>
                <w:rFonts w:ascii="Arial" w:hAnsi="Arial" w:cs="Arial"/>
                <w:sz w:val="20"/>
                <w:szCs w:val="20"/>
              </w:rPr>
            </w:pPr>
          </w:p>
        </w:tc>
      </w:tr>
      <w:tr w:rsidR="00731555" w14:paraId="2C843521" w14:textId="77777777" w:rsidTr="002056C9">
        <w:trPr>
          <w:jc w:val="center"/>
        </w:trPr>
        <w:tc>
          <w:tcPr>
            <w:tcW w:w="1980" w:type="dxa"/>
            <w:vAlign w:val="center"/>
          </w:tcPr>
          <w:p w14:paraId="0C39A605" w14:textId="2067DD48"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8/1/2017</w:t>
            </w:r>
          </w:p>
        </w:tc>
        <w:tc>
          <w:tcPr>
            <w:tcW w:w="1170" w:type="dxa"/>
            <w:shd w:val="clear" w:color="auto" w:fill="000000" w:themeFill="text1"/>
            <w:vAlign w:val="bottom"/>
          </w:tcPr>
          <w:p w14:paraId="1AA2C74A" w14:textId="6D185136"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1C42192" w14:textId="26502E98"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C48C704" w14:textId="3A4FE6A6"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5F07AA5C" w14:textId="4E269C88"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441F7752" w14:textId="04D72EAF"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6314DD9" w14:textId="3572814D" w:rsidR="00731555" w:rsidRPr="000547DF" w:rsidRDefault="00731555" w:rsidP="00731555">
            <w:pPr>
              <w:jc w:val="center"/>
              <w:rPr>
                <w:rFonts w:ascii="Arial" w:hAnsi="Arial" w:cs="Arial"/>
                <w:sz w:val="20"/>
                <w:szCs w:val="20"/>
              </w:rPr>
            </w:pPr>
          </w:p>
        </w:tc>
      </w:tr>
      <w:tr w:rsidR="00731555" w14:paraId="13909655" w14:textId="77777777" w:rsidTr="002056C9">
        <w:trPr>
          <w:jc w:val="center"/>
        </w:trPr>
        <w:tc>
          <w:tcPr>
            <w:tcW w:w="1980" w:type="dxa"/>
            <w:vAlign w:val="center"/>
          </w:tcPr>
          <w:p w14:paraId="40EBA22B" w14:textId="4BA0C8A8"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8/2/2017</w:t>
            </w:r>
          </w:p>
        </w:tc>
        <w:tc>
          <w:tcPr>
            <w:tcW w:w="1170" w:type="dxa"/>
            <w:shd w:val="clear" w:color="auto" w:fill="000000" w:themeFill="text1"/>
            <w:vAlign w:val="bottom"/>
          </w:tcPr>
          <w:p w14:paraId="2AB92829" w14:textId="486B0C89"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1C466CE3" w14:textId="28DD2F44"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54CBF896" w14:textId="4898CC29"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300C6E35" w14:textId="6FC73713"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67ECA751" w14:textId="1BF3B72F"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7CDBB3E0" w14:textId="58F07635" w:rsidR="00731555" w:rsidRPr="000547DF" w:rsidRDefault="00731555" w:rsidP="00731555">
            <w:pPr>
              <w:jc w:val="center"/>
              <w:rPr>
                <w:rFonts w:ascii="Arial" w:hAnsi="Arial" w:cs="Arial"/>
                <w:sz w:val="20"/>
                <w:szCs w:val="20"/>
              </w:rPr>
            </w:pPr>
          </w:p>
        </w:tc>
      </w:tr>
      <w:tr w:rsidR="00731555" w14:paraId="16C6B6C7" w14:textId="77777777" w:rsidTr="002056C9">
        <w:trPr>
          <w:jc w:val="center"/>
        </w:trPr>
        <w:tc>
          <w:tcPr>
            <w:tcW w:w="1980" w:type="dxa"/>
            <w:vAlign w:val="center"/>
          </w:tcPr>
          <w:p w14:paraId="051A0F4C" w14:textId="723EA307"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8/28/2017</w:t>
            </w:r>
          </w:p>
        </w:tc>
        <w:tc>
          <w:tcPr>
            <w:tcW w:w="1170" w:type="dxa"/>
            <w:shd w:val="clear" w:color="auto" w:fill="000000" w:themeFill="text1"/>
            <w:vAlign w:val="bottom"/>
          </w:tcPr>
          <w:p w14:paraId="53C99300" w14:textId="401A77D5"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7195045" w14:textId="3F050EED"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21296F23" w14:textId="76EB616A"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4D996629" w14:textId="603F4949"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10F10193" w14:textId="400378D5"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8D60D3E" w14:textId="4DCCAC86" w:rsidR="00731555" w:rsidRPr="000547DF" w:rsidRDefault="00731555" w:rsidP="00731555">
            <w:pPr>
              <w:jc w:val="center"/>
              <w:rPr>
                <w:rFonts w:ascii="Arial" w:hAnsi="Arial" w:cs="Arial"/>
                <w:sz w:val="20"/>
                <w:szCs w:val="20"/>
              </w:rPr>
            </w:pPr>
          </w:p>
        </w:tc>
      </w:tr>
      <w:tr w:rsidR="00731555" w14:paraId="675577CE" w14:textId="77777777" w:rsidTr="002056C9">
        <w:trPr>
          <w:jc w:val="center"/>
        </w:trPr>
        <w:tc>
          <w:tcPr>
            <w:tcW w:w="1980" w:type="dxa"/>
            <w:vAlign w:val="center"/>
          </w:tcPr>
          <w:p w14:paraId="62D827C0" w14:textId="6801471D"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8/29/2017</w:t>
            </w:r>
          </w:p>
        </w:tc>
        <w:tc>
          <w:tcPr>
            <w:tcW w:w="1170" w:type="dxa"/>
            <w:shd w:val="clear" w:color="auto" w:fill="000000" w:themeFill="text1"/>
            <w:vAlign w:val="bottom"/>
          </w:tcPr>
          <w:p w14:paraId="1979DD53" w14:textId="688262B6"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32C7431" w14:textId="14E32154"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B72811A" w14:textId="693E44D2"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42CF7B51" w14:textId="3B9549D5"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2CBAA719" w14:textId="488F46A0"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FA9274D" w14:textId="52740922" w:rsidR="00731555" w:rsidRPr="000547DF" w:rsidRDefault="00731555" w:rsidP="00731555">
            <w:pPr>
              <w:jc w:val="center"/>
              <w:rPr>
                <w:rFonts w:ascii="Arial" w:hAnsi="Arial" w:cs="Arial"/>
                <w:sz w:val="20"/>
                <w:szCs w:val="20"/>
              </w:rPr>
            </w:pPr>
          </w:p>
        </w:tc>
      </w:tr>
      <w:tr w:rsidR="00731555" w14:paraId="54C96050" w14:textId="77777777" w:rsidTr="002056C9">
        <w:trPr>
          <w:jc w:val="center"/>
        </w:trPr>
        <w:tc>
          <w:tcPr>
            <w:tcW w:w="1980" w:type="dxa"/>
            <w:vAlign w:val="center"/>
          </w:tcPr>
          <w:p w14:paraId="7C3C798D" w14:textId="1412223E"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8/31/2017</w:t>
            </w:r>
          </w:p>
        </w:tc>
        <w:tc>
          <w:tcPr>
            <w:tcW w:w="1170" w:type="dxa"/>
            <w:shd w:val="clear" w:color="auto" w:fill="000000" w:themeFill="text1"/>
            <w:vAlign w:val="bottom"/>
          </w:tcPr>
          <w:p w14:paraId="3710014C" w14:textId="6B7A6066"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7C0E89D0" w14:textId="1AD1536E"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54C9DC29" w14:textId="207A9C77"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5F0FE470" w14:textId="57D4F9A9"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7FBB8AD4" w14:textId="61CEDBD9"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58C9E7AB" w14:textId="6D11E018" w:rsidR="00731555" w:rsidRPr="000547DF" w:rsidRDefault="00731555" w:rsidP="00731555">
            <w:pPr>
              <w:jc w:val="center"/>
              <w:rPr>
                <w:rFonts w:ascii="Arial" w:hAnsi="Arial" w:cs="Arial"/>
                <w:sz w:val="20"/>
                <w:szCs w:val="20"/>
              </w:rPr>
            </w:pPr>
          </w:p>
        </w:tc>
      </w:tr>
      <w:tr w:rsidR="00731555" w14:paraId="41BAC5DF" w14:textId="77777777" w:rsidTr="002056C9">
        <w:trPr>
          <w:jc w:val="center"/>
        </w:trPr>
        <w:tc>
          <w:tcPr>
            <w:tcW w:w="1980" w:type="dxa"/>
            <w:vAlign w:val="center"/>
          </w:tcPr>
          <w:p w14:paraId="56A7A1BF" w14:textId="16B85DEC"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9/1/2017</w:t>
            </w:r>
          </w:p>
        </w:tc>
        <w:tc>
          <w:tcPr>
            <w:tcW w:w="1170" w:type="dxa"/>
            <w:shd w:val="clear" w:color="auto" w:fill="000000" w:themeFill="text1"/>
            <w:vAlign w:val="bottom"/>
          </w:tcPr>
          <w:p w14:paraId="77F4F39A" w14:textId="350B9D78"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0B324546" w14:textId="05A56475"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22983851" w14:textId="7DD23E1A"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44B54382" w14:textId="3810F6A1"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78EBA206" w14:textId="02D81E59"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02B3AB2E" w14:textId="50D12729" w:rsidR="00731555" w:rsidRPr="000547DF" w:rsidRDefault="00731555" w:rsidP="00731555">
            <w:pPr>
              <w:jc w:val="center"/>
              <w:rPr>
                <w:rFonts w:ascii="Arial" w:hAnsi="Arial" w:cs="Arial"/>
                <w:sz w:val="20"/>
                <w:szCs w:val="20"/>
              </w:rPr>
            </w:pPr>
          </w:p>
        </w:tc>
      </w:tr>
      <w:tr w:rsidR="00731555" w14:paraId="13AB2517" w14:textId="77777777" w:rsidTr="002056C9">
        <w:trPr>
          <w:jc w:val="center"/>
        </w:trPr>
        <w:tc>
          <w:tcPr>
            <w:tcW w:w="1980" w:type="dxa"/>
            <w:vAlign w:val="center"/>
          </w:tcPr>
          <w:p w14:paraId="52CEB529" w14:textId="39F7DF75" w:rsidR="00731555" w:rsidRDefault="00731555" w:rsidP="00731555">
            <w:pPr>
              <w:keepNext/>
              <w:keepLines/>
              <w:jc w:val="center"/>
              <w:rPr>
                <w:rFonts w:ascii="Arial" w:hAnsi="Arial" w:cs="Arial"/>
                <w:sz w:val="20"/>
                <w:szCs w:val="20"/>
              </w:rPr>
            </w:pPr>
            <w:r w:rsidRPr="000A24BE">
              <w:rPr>
                <w:rFonts w:ascii="Arial" w:hAnsi="Arial" w:cs="Arial"/>
                <w:color w:val="000000"/>
                <w:sz w:val="20"/>
                <w:szCs w:val="20"/>
              </w:rPr>
              <w:t>9/2/2017</w:t>
            </w:r>
          </w:p>
        </w:tc>
        <w:tc>
          <w:tcPr>
            <w:tcW w:w="1170" w:type="dxa"/>
            <w:shd w:val="clear" w:color="auto" w:fill="000000" w:themeFill="text1"/>
            <w:vAlign w:val="bottom"/>
          </w:tcPr>
          <w:p w14:paraId="5F08C92C" w14:textId="1AEE2390"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6F1A90AC" w14:textId="764D9F88" w:rsidR="00731555" w:rsidRPr="000547DF" w:rsidRDefault="00731555" w:rsidP="00731555">
            <w:pPr>
              <w:jc w:val="center"/>
              <w:rPr>
                <w:rFonts w:ascii="Arial" w:hAnsi="Arial" w:cs="Arial"/>
                <w:sz w:val="20"/>
                <w:szCs w:val="20"/>
              </w:rPr>
            </w:pPr>
          </w:p>
        </w:tc>
        <w:tc>
          <w:tcPr>
            <w:tcW w:w="1350" w:type="dxa"/>
            <w:shd w:val="clear" w:color="auto" w:fill="000000" w:themeFill="text1"/>
            <w:vAlign w:val="bottom"/>
          </w:tcPr>
          <w:p w14:paraId="692D01B4" w14:textId="43AA4609" w:rsidR="00731555" w:rsidRPr="000547DF" w:rsidRDefault="00731555" w:rsidP="00731555">
            <w:pPr>
              <w:jc w:val="center"/>
              <w:rPr>
                <w:rFonts w:ascii="Arial" w:hAnsi="Arial" w:cs="Arial"/>
                <w:sz w:val="20"/>
                <w:szCs w:val="20"/>
              </w:rPr>
            </w:pPr>
          </w:p>
        </w:tc>
        <w:tc>
          <w:tcPr>
            <w:tcW w:w="1397" w:type="dxa"/>
            <w:shd w:val="clear" w:color="auto" w:fill="000000" w:themeFill="text1"/>
            <w:vAlign w:val="bottom"/>
          </w:tcPr>
          <w:p w14:paraId="7EA753E4" w14:textId="296C8801" w:rsidR="00731555" w:rsidRPr="000547DF" w:rsidRDefault="00731555" w:rsidP="00731555">
            <w:pPr>
              <w:jc w:val="center"/>
              <w:rPr>
                <w:rFonts w:ascii="Arial" w:hAnsi="Arial" w:cs="Arial"/>
                <w:sz w:val="20"/>
                <w:szCs w:val="20"/>
              </w:rPr>
            </w:pPr>
          </w:p>
        </w:tc>
        <w:tc>
          <w:tcPr>
            <w:tcW w:w="810" w:type="dxa"/>
            <w:shd w:val="clear" w:color="auto" w:fill="000000" w:themeFill="text1"/>
            <w:vAlign w:val="bottom"/>
          </w:tcPr>
          <w:p w14:paraId="744A5B8B" w14:textId="61FC5C44" w:rsidR="00731555" w:rsidRPr="000547DF" w:rsidRDefault="00731555" w:rsidP="00731555">
            <w:pPr>
              <w:jc w:val="center"/>
              <w:rPr>
                <w:rFonts w:ascii="Arial" w:hAnsi="Arial" w:cs="Arial"/>
                <w:sz w:val="20"/>
                <w:szCs w:val="20"/>
              </w:rPr>
            </w:pPr>
          </w:p>
        </w:tc>
        <w:tc>
          <w:tcPr>
            <w:tcW w:w="1170" w:type="dxa"/>
            <w:shd w:val="clear" w:color="auto" w:fill="000000" w:themeFill="text1"/>
            <w:vAlign w:val="bottom"/>
          </w:tcPr>
          <w:p w14:paraId="63A6DE4D" w14:textId="19A4CA94" w:rsidR="00731555" w:rsidRPr="000547DF" w:rsidRDefault="00731555" w:rsidP="00731555">
            <w:pPr>
              <w:jc w:val="center"/>
              <w:rPr>
                <w:rFonts w:ascii="Arial" w:hAnsi="Arial" w:cs="Arial"/>
                <w:sz w:val="20"/>
                <w:szCs w:val="20"/>
              </w:rPr>
            </w:pPr>
          </w:p>
        </w:tc>
      </w:tr>
      <w:tr w:rsidR="00731555" w14:paraId="5A15B39F" w14:textId="77777777" w:rsidTr="002056C9">
        <w:trPr>
          <w:jc w:val="center"/>
        </w:trPr>
        <w:tc>
          <w:tcPr>
            <w:tcW w:w="1980" w:type="dxa"/>
            <w:vAlign w:val="center"/>
          </w:tcPr>
          <w:p w14:paraId="2C320142" w14:textId="7544523C" w:rsidR="00731555" w:rsidRDefault="00731555" w:rsidP="00731555">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shd w:val="clear" w:color="auto" w:fill="000000" w:themeFill="text1"/>
            <w:vAlign w:val="bottom"/>
          </w:tcPr>
          <w:p w14:paraId="1566FA4D" w14:textId="2D231C3A" w:rsidR="00731555" w:rsidRPr="00731555" w:rsidRDefault="00731555" w:rsidP="00731555">
            <w:pPr>
              <w:jc w:val="center"/>
              <w:rPr>
                <w:rFonts w:ascii="Arial" w:hAnsi="Arial" w:cs="Arial"/>
                <w:b/>
                <w:sz w:val="20"/>
                <w:szCs w:val="20"/>
              </w:rPr>
            </w:pPr>
          </w:p>
        </w:tc>
        <w:tc>
          <w:tcPr>
            <w:tcW w:w="1350" w:type="dxa"/>
            <w:shd w:val="clear" w:color="auto" w:fill="000000" w:themeFill="text1"/>
            <w:vAlign w:val="bottom"/>
          </w:tcPr>
          <w:p w14:paraId="2A9D0DBA" w14:textId="3DC7981B" w:rsidR="00731555" w:rsidRPr="00731555" w:rsidRDefault="00731555" w:rsidP="00731555">
            <w:pPr>
              <w:jc w:val="center"/>
              <w:rPr>
                <w:rFonts w:ascii="Arial" w:hAnsi="Arial" w:cs="Arial"/>
                <w:b/>
                <w:sz w:val="20"/>
                <w:szCs w:val="20"/>
              </w:rPr>
            </w:pPr>
          </w:p>
        </w:tc>
        <w:tc>
          <w:tcPr>
            <w:tcW w:w="1350" w:type="dxa"/>
            <w:shd w:val="clear" w:color="auto" w:fill="000000" w:themeFill="text1"/>
            <w:vAlign w:val="bottom"/>
          </w:tcPr>
          <w:p w14:paraId="6624636C" w14:textId="157B7F19" w:rsidR="00731555" w:rsidRPr="00731555" w:rsidRDefault="00731555" w:rsidP="00731555">
            <w:pPr>
              <w:jc w:val="center"/>
              <w:rPr>
                <w:rFonts w:ascii="Arial" w:hAnsi="Arial" w:cs="Arial"/>
                <w:b/>
                <w:sz w:val="20"/>
                <w:szCs w:val="20"/>
              </w:rPr>
            </w:pPr>
          </w:p>
        </w:tc>
        <w:tc>
          <w:tcPr>
            <w:tcW w:w="1397" w:type="dxa"/>
            <w:shd w:val="clear" w:color="auto" w:fill="000000" w:themeFill="text1"/>
            <w:vAlign w:val="bottom"/>
          </w:tcPr>
          <w:p w14:paraId="1D0711AF" w14:textId="261BD9B3" w:rsidR="00731555" w:rsidRPr="00731555" w:rsidRDefault="00731555" w:rsidP="00731555">
            <w:pPr>
              <w:jc w:val="center"/>
              <w:rPr>
                <w:rFonts w:ascii="Arial" w:hAnsi="Arial" w:cs="Arial"/>
                <w:b/>
                <w:sz w:val="20"/>
                <w:szCs w:val="20"/>
              </w:rPr>
            </w:pPr>
          </w:p>
        </w:tc>
        <w:tc>
          <w:tcPr>
            <w:tcW w:w="810" w:type="dxa"/>
            <w:shd w:val="clear" w:color="auto" w:fill="000000" w:themeFill="text1"/>
            <w:vAlign w:val="bottom"/>
          </w:tcPr>
          <w:p w14:paraId="333E2C2F" w14:textId="20638CC3" w:rsidR="00731555" w:rsidRPr="00731555" w:rsidRDefault="00731555" w:rsidP="00731555">
            <w:pPr>
              <w:jc w:val="center"/>
              <w:rPr>
                <w:rFonts w:ascii="Arial" w:hAnsi="Arial" w:cs="Arial"/>
                <w:b/>
                <w:sz w:val="20"/>
                <w:szCs w:val="20"/>
              </w:rPr>
            </w:pPr>
          </w:p>
        </w:tc>
        <w:tc>
          <w:tcPr>
            <w:tcW w:w="1170" w:type="dxa"/>
            <w:shd w:val="clear" w:color="auto" w:fill="000000" w:themeFill="text1"/>
            <w:vAlign w:val="bottom"/>
          </w:tcPr>
          <w:p w14:paraId="7331D718" w14:textId="3CD7083B" w:rsidR="00731555" w:rsidRPr="00731555" w:rsidRDefault="00731555" w:rsidP="00731555">
            <w:pPr>
              <w:jc w:val="center"/>
              <w:rPr>
                <w:rFonts w:ascii="Arial" w:hAnsi="Arial" w:cs="Arial"/>
                <w:b/>
                <w:sz w:val="20"/>
                <w:szCs w:val="20"/>
              </w:rPr>
            </w:pPr>
          </w:p>
        </w:tc>
      </w:tr>
    </w:tbl>
    <w:p w14:paraId="1E4A8AD1" w14:textId="77777777" w:rsidR="00176626" w:rsidRDefault="00176626" w:rsidP="00176626">
      <w:pPr>
        <w:spacing w:after="120"/>
        <w:rPr>
          <w:szCs w:val="32"/>
        </w:rPr>
      </w:pPr>
    </w:p>
    <w:p w14:paraId="67BEAD70" w14:textId="64F216C8" w:rsidR="00132CE7" w:rsidRDefault="00132CE7" w:rsidP="003A20DB">
      <w:pPr>
        <w:pStyle w:val="Heading2"/>
      </w:pPr>
      <w:bookmarkStart w:id="191" w:name="_Toc509837318"/>
      <w:r>
        <w:t xml:space="preserve">PG&amp;E </w:t>
      </w:r>
      <w:r w:rsidR="003A20DB">
        <w:t>Ex-A</w:t>
      </w:r>
      <w:r>
        <w:t>nte Load Impacts</w:t>
      </w:r>
      <w:bookmarkEnd w:id="191"/>
    </w:p>
    <w:p w14:paraId="3E87AC89" w14:textId="196E7C8A" w:rsidR="001E58CE" w:rsidRDefault="001E58CE" w:rsidP="001E58CE">
      <w:r>
        <w:t xml:space="preserve">This section </w:t>
      </w:r>
      <w:r w:rsidR="006A7F87">
        <w:t>provides t</w:t>
      </w:r>
      <w:r>
        <w:t xml:space="preserve">he </w:t>
      </w:r>
      <w:r w:rsidRPr="00E6482F">
        <w:rPr>
          <w:i/>
        </w:rPr>
        <w:t>ex-</w:t>
      </w:r>
      <w:r w:rsidR="006A7F87">
        <w:rPr>
          <w:i/>
        </w:rPr>
        <w:t>ante</w:t>
      </w:r>
      <w:r>
        <w:t xml:space="preserve"> </w:t>
      </w:r>
      <w:r w:rsidR="00BF3DBD">
        <w:t xml:space="preserve">PDP </w:t>
      </w:r>
      <w:r>
        <w:t xml:space="preserve">load impact </w:t>
      </w:r>
      <w:r w:rsidR="006A7F87">
        <w:t>forecasts</w:t>
      </w:r>
      <w:r>
        <w:t xml:space="preserve"> </w:t>
      </w:r>
      <w:r w:rsidR="00F410AF">
        <w:t xml:space="preserve">based on </w:t>
      </w:r>
      <w:r w:rsidR="00BF3DBD">
        <w:t xml:space="preserve">an </w:t>
      </w:r>
      <w:r w:rsidR="00F410AF">
        <w:t>enrollment</w:t>
      </w:r>
      <w:r w:rsidR="00BF3DBD">
        <w:t xml:space="preserve"> forecast provided by PG&amp;E</w:t>
      </w:r>
      <w:r w:rsidR="00F410AF">
        <w:t>.</w:t>
      </w:r>
      <w:r w:rsidR="00DD1541">
        <w:t xml:space="preserve"> Results are presented by size group, with the small and medium customers combined into an SMB section.</w:t>
      </w:r>
      <w:r>
        <w:t xml:space="preserve"> </w:t>
      </w:r>
      <w:r w:rsidR="00DD1541">
        <w:t xml:space="preserve">Within each size group, we present the following: a summary of </w:t>
      </w:r>
      <w:r w:rsidR="006268D2">
        <w:t>the enrollment forecast provided by PG&amp;E</w:t>
      </w:r>
      <w:r w:rsidR="00DD1541">
        <w:t>;</w:t>
      </w:r>
      <w:r w:rsidR="008131D7">
        <w:t xml:space="preserve"> </w:t>
      </w:r>
      <w:r w:rsidR="00A95C1C">
        <w:t xml:space="preserve">a figure showing the hourly reference load and load impact on a typical event day; a figure showing the share of load impacts by LCA; a figure showing the seasonal pattern of load impacts; and a figure summarizing annual load impacts by weather scenario. </w:t>
      </w:r>
      <w:r w:rsidRPr="00822514">
        <w:t>Detailed results for each hour</w:t>
      </w:r>
      <w:r w:rsidR="006268D2">
        <w:t xml:space="preserve">, weather scenario, </w:t>
      </w:r>
      <w:r w:rsidR="00546AA7">
        <w:t>month</w:t>
      </w:r>
      <w:r w:rsidR="006268D2">
        <w:t xml:space="preserve">, and </w:t>
      </w:r>
      <w:r w:rsidR="00546AA7">
        <w:t xml:space="preserve">forecast </w:t>
      </w:r>
      <w:r w:rsidR="006268D2">
        <w:t xml:space="preserve">year </w:t>
      </w:r>
      <w:r w:rsidR="00546AA7">
        <w:t>a</w:t>
      </w:r>
      <w:r>
        <w:t xml:space="preserve">re available </w:t>
      </w:r>
      <w:r w:rsidRPr="00822514">
        <w:t>in electronic form in Protocol table generators provided along with this report.</w:t>
      </w:r>
    </w:p>
    <w:p w14:paraId="1EEC9351" w14:textId="77777777" w:rsidR="009B4CF1" w:rsidRDefault="009B4CF1" w:rsidP="001E58CE"/>
    <w:p w14:paraId="000D0848" w14:textId="44679CDF" w:rsidR="001E58CE" w:rsidRDefault="00F7523F" w:rsidP="001E58CE">
      <w:r>
        <w:rPr>
          <w:noProof/>
          <w:szCs w:val="32"/>
        </w:rPr>
        <mc:AlternateContent>
          <mc:Choice Requires="wps">
            <w:drawing>
              <wp:anchor distT="0" distB="0" distL="114300" distR="114300" simplePos="0" relativeHeight="251678720" behindDoc="0" locked="0" layoutInCell="1" allowOverlap="1" wp14:anchorId="38F8FC3F" wp14:editId="2FEC5583">
                <wp:simplePos x="0" y="0"/>
                <wp:positionH relativeFrom="margin">
                  <wp:align>right</wp:align>
                </wp:positionH>
                <wp:positionV relativeFrom="paragraph">
                  <wp:posOffset>1891748</wp:posOffset>
                </wp:positionV>
                <wp:extent cx="5422789" cy="397566"/>
                <wp:effectExtent l="0" t="0" r="26035" b="21590"/>
                <wp:wrapNone/>
                <wp:docPr id="34" name="Text Box 34"/>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0AC3296C"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F8FC3F" id="Text Box 34" o:spid="_x0000_s1036" type="#_x0000_t202" style="position:absolute;margin-left:375.8pt;margin-top:148.95pt;width:427pt;height:31.3pt;z-index:25167872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" fillcolor="white [3201]" strokeweight=".5pt">
                <v:textbox>
                  <w:txbxContent>
                    <w:p w14:paraId="0AC3296C"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1E58CE">
        <w:t>As described in Section</w:t>
      </w:r>
      <w:r w:rsidR="00FB6D9B">
        <w:t xml:space="preserve"> </w:t>
      </w:r>
      <w:r w:rsidR="00FB6D9B">
        <w:fldChar w:fldCharType="begin"/>
      </w:r>
      <w:r w:rsidR="00FB6D9B">
        <w:instrText xml:space="preserve"> REF _Ref507242366 \r \h </w:instrText>
      </w:r>
      <w:r w:rsidR="00FB6D9B">
        <w:fldChar w:fldCharType="separate"/>
      </w:r>
      <w:r w:rsidR="005D5C7C">
        <w:t>2.2</w:t>
      </w:r>
      <w:r w:rsidR="00FB6D9B">
        <w:fldChar w:fldCharType="end"/>
      </w:r>
      <w:r w:rsidR="001E58CE">
        <w:t xml:space="preserve">, </w:t>
      </w:r>
      <w:r w:rsidR="00FB6D9B">
        <w:rPr>
          <w:rFonts w:asciiTheme="minorHAnsi" w:hAnsiTheme="minorHAnsi"/>
          <w:i/>
        </w:rPr>
        <w:t>per-customer l</w:t>
      </w:r>
      <w:r w:rsidR="00FB6D9B" w:rsidRPr="009F1F3A">
        <w:rPr>
          <w:rFonts w:asciiTheme="minorHAnsi" w:hAnsiTheme="minorHAnsi"/>
          <w:i/>
        </w:rPr>
        <w:t>oad impacts</w:t>
      </w:r>
      <w:r w:rsidR="00FB6D9B">
        <w:t xml:space="preserve"> </w:t>
      </w:r>
      <w:r w:rsidR="001E58CE">
        <w:t>a</w:t>
      </w:r>
      <w:r w:rsidR="00FB6D9B">
        <w:t xml:space="preserve">re derived from analysis of current and previous </w:t>
      </w:r>
      <w:r w:rsidR="00FB6D9B" w:rsidRPr="00FB6D9B">
        <w:rPr>
          <w:i/>
        </w:rPr>
        <w:t>ex-post</w:t>
      </w:r>
      <w:r w:rsidR="00FB6D9B">
        <w:t xml:space="preserve"> load impacts. We investigate</w:t>
      </w:r>
      <w:r w:rsidR="00B931F1">
        <w:t>d</w:t>
      </w:r>
      <w:r w:rsidR="00FB6D9B">
        <w:t xml:space="preserve"> the effect of weather on estimated load impacts, and found that </w:t>
      </w:r>
      <w:r w:rsidR="00BD260A">
        <w:t>the results were not reasonable for</w:t>
      </w:r>
      <w:r w:rsidR="00FB6D9B">
        <w:t xml:space="preserve"> </w:t>
      </w:r>
      <w:r w:rsidR="00A95C1C">
        <w:t>most</w:t>
      </w:r>
      <w:r w:rsidR="00BD260A">
        <w:t xml:space="preserve"> customer </w:t>
      </w:r>
      <w:r w:rsidR="00A95C1C">
        <w:t>groups</w:t>
      </w:r>
      <w:r w:rsidR="00FB6D9B">
        <w:t xml:space="preserve">. </w:t>
      </w:r>
      <w:r w:rsidR="00A95C1C">
        <w:t xml:space="preserve">Therefore, in a manner </w:t>
      </w:r>
      <w:proofErr w:type="gramStart"/>
      <w:r w:rsidR="00A95C1C">
        <w:t>s</w:t>
      </w:r>
      <w:r w:rsidR="00FB6D9B">
        <w:t>imilar to</w:t>
      </w:r>
      <w:proofErr w:type="gramEnd"/>
      <w:r w:rsidR="00FB6D9B">
        <w:t xml:space="preserve"> the approach used in the 201</w:t>
      </w:r>
      <w:r w:rsidR="00A95C1C">
        <w:t>6</w:t>
      </w:r>
      <w:r w:rsidR="00FB6D9B">
        <w:t xml:space="preserve"> </w:t>
      </w:r>
      <w:r w:rsidR="00A95C1C">
        <w:t xml:space="preserve">evaluation, the </w:t>
      </w:r>
      <w:r w:rsidR="00A95C1C" w:rsidRPr="00B931F1">
        <w:rPr>
          <w:i/>
        </w:rPr>
        <w:t>ex-ante</w:t>
      </w:r>
      <w:r w:rsidR="00A95C1C">
        <w:t xml:space="preserve"> load impacts are simulated by multiplying forecast reference loads by the </w:t>
      </w:r>
      <w:r w:rsidR="00A95C1C" w:rsidRPr="00A95C1C">
        <w:rPr>
          <w:i/>
        </w:rPr>
        <w:t>ex-post</w:t>
      </w:r>
      <w:r w:rsidR="00A95C1C">
        <w:t xml:space="preserve"> percentage load impacts (by size, LCA, and hour of the day). </w:t>
      </w:r>
    </w:p>
    <w:p w14:paraId="3D302B38" w14:textId="45E04CCC" w:rsidR="003A20DB" w:rsidRDefault="003A20DB" w:rsidP="003A20DB">
      <w:pPr>
        <w:pStyle w:val="Heading3"/>
      </w:pPr>
      <w:bookmarkStart w:id="192" w:name="_Toc509837319"/>
      <w:r>
        <w:lastRenderedPageBreak/>
        <w:t>Large Customers</w:t>
      </w:r>
      <w:bookmarkEnd w:id="192"/>
    </w:p>
    <w:p w14:paraId="191084E5" w14:textId="214F304F" w:rsidR="00132CE7" w:rsidRDefault="00E9688B" w:rsidP="003A20DB">
      <w:pPr>
        <w:spacing w:after="120"/>
        <w:rPr>
          <w:szCs w:val="32"/>
        </w:rPr>
      </w:pPr>
      <w:r>
        <w:rPr>
          <w:szCs w:val="32"/>
        </w:rPr>
        <w:fldChar w:fldCharType="begin"/>
      </w:r>
      <w:r>
        <w:rPr>
          <w:szCs w:val="32"/>
        </w:rPr>
        <w:instrText xml:space="preserve"> REF _Ref507244686 \h </w:instrText>
      </w:r>
      <w:r>
        <w:rPr>
          <w:szCs w:val="32"/>
        </w:rPr>
      </w:r>
      <w:r>
        <w:rPr>
          <w:szCs w:val="32"/>
        </w:rPr>
        <w:fldChar w:fldCharType="separate"/>
      </w:r>
      <w:r w:rsidR="005D5C7C">
        <w:t xml:space="preserve">Figure </w:t>
      </w:r>
      <w:r w:rsidR="005D5C7C">
        <w:rPr>
          <w:noProof/>
        </w:rPr>
        <w:t>3</w:t>
      </w:r>
      <w:r w:rsidR="005D5C7C">
        <w:t>.</w:t>
      </w:r>
      <w:r w:rsidR="005D5C7C">
        <w:rPr>
          <w:noProof/>
        </w:rPr>
        <w:t>17</w:t>
      </w:r>
      <w:r>
        <w:rPr>
          <w:szCs w:val="32"/>
        </w:rPr>
        <w:fldChar w:fldCharType="end"/>
      </w:r>
      <w:r>
        <w:rPr>
          <w:szCs w:val="32"/>
        </w:rPr>
        <w:t xml:space="preserve"> summarizes PG&amp;E’s enrollment forecast for large customers</w:t>
      </w:r>
      <w:r w:rsidR="003A20DB">
        <w:rPr>
          <w:szCs w:val="32"/>
        </w:rPr>
        <w:t>.</w:t>
      </w:r>
      <w:r w:rsidR="00861019">
        <w:rPr>
          <w:szCs w:val="32"/>
        </w:rPr>
        <w:t xml:space="preserve"> PG&amp;E anticipates a</w:t>
      </w:r>
      <w:r w:rsidR="001143E8">
        <w:rPr>
          <w:szCs w:val="32"/>
        </w:rPr>
        <w:t xml:space="preserve"> 22</w:t>
      </w:r>
      <w:r w:rsidR="00861019">
        <w:rPr>
          <w:szCs w:val="32"/>
        </w:rPr>
        <w:t xml:space="preserve"> percent increase in large customer enrollments </w:t>
      </w:r>
      <w:r w:rsidR="00421141">
        <w:rPr>
          <w:szCs w:val="32"/>
        </w:rPr>
        <w:t>in</w:t>
      </w:r>
      <w:r w:rsidR="00861019">
        <w:rPr>
          <w:szCs w:val="32"/>
        </w:rPr>
        <w:t xml:space="preserve"> 2019 </w:t>
      </w:r>
      <w:r w:rsidR="00421141">
        <w:rPr>
          <w:szCs w:val="32"/>
        </w:rPr>
        <w:t xml:space="preserve">followed by </w:t>
      </w:r>
      <w:r w:rsidR="00861019">
        <w:rPr>
          <w:szCs w:val="32"/>
        </w:rPr>
        <w:t xml:space="preserve">an additional </w:t>
      </w:r>
      <w:r w:rsidR="001143E8">
        <w:rPr>
          <w:szCs w:val="32"/>
        </w:rPr>
        <w:t>4</w:t>
      </w:r>
      <w:r w:rsidR="00861019">
        <w:rPr>
          <w:szCs w:val="32"/>
        </w:rPr>
        <w:t xml:space="preserve">9 percent increase in 2020. After 2020, there is expected to be a more modest increase of </w:t>
      </w:r>
      <w:r w:rsidR="001143E8">
        <w:rPr>
          <w:szCs w:val="32"/>
        </w:rPr>
        <w:t>approximately 0.05</w:t>
      </w:r>
      <w:r w:rsidR="00861019">
        <w:rPr>
          <w:szCs w:val="32"/>
        </w:rPr>
        <w:t xml:space="preserve"> percent per year.</w:t>
      </w:r>
      <w:r w:rsidR="00ED19BC">
        <w:rPr>
          <w:szCs w:val="32"/>
        </w:rPr>
        <w:t xml:space="preserve"> This enrollment forecast directly translates into the large increases in aggregate load impacts forecasted in 2019 and 2020, and more modest increases in load impacts depicted in </w:t>
      </w:r>
      <w:r w:rsidR="00ED19BC">
        <w:rPr>
          <w:szCs w:val="32"/>
        </w:rPr>
        <w:fldChar w:fldCharType="begin"/>
      </w:r>
      <w:r w:rsidR="00ED19BC">
        <w:rPr>
          <w:szCs w:val="32"/>
        </w:rPr>
        <w:instrText xml:space="preserve"> REF _Ref507245566 \h </w:instrText>
      </w:r>
      <w:r w:rsidR="00ED19BC">
        <w:rPr>
          <w:szCs w:val="32"/>
        </w:rPr>
      </w:r>
      <w:r w:rsidR="00ED19BC">
        <w:rPr>
          <w:szCs w:val="32"/>
        </w:rPr>
        <w:fldChar w:fldCharType="separate"/>
      </w:r>
      <w:r w:rsidR="005D5C7C">
        <w:t xml:space="preserve">Figure </w:t>
      </w:r>
      <w:r w:rsidR="005D5C7C">
        <w:rPr>
          <w:noProof/>
        </w:rPr>
        <w:t>3</w:t>
      </w:r>
      <w:r w:rsidR="005D5C7C">
        <w:t>.</w:t>
      </w:r>
      <w:r w:rsidR="005D5C7C">
        <w:rPr>
          <w:noProof/>
        </w:rPr>
        <w:t>21</w:t>
      </w:r>
      <w:r w:rsidR="00ED19BC">
        <w:rPr>
          <w:szCs w:val="32"/>
        </w:rPr>
        <w:fldChar w:fldCharType="end"/>
      </w:r>
      <w:r w:rsidR="00ED19BC">
        <w:rPr>
          <w:szCs w:val="32"/>
        </w:rPr>
        <w:t>.</w:t>
      </w:r>
    </w:p>
    <w:p w14:paraId="6FF4DC97" w14:textId="6F17F293" w:rsidR="005A0C35" w:rsidRDefault="005A0C35" w:rsidP="003A20DB">
      <w:pPr>
        <w:spacing w:after="120"/>
        <w:rPr>
          <w:szCs w:val="32"/>
        </w:rPr>
      </w:pPr>
    </w:p>
    <w:p w14:paraId="3FFCA328" w14:textId="6F2E2B6D" w:rsidR="00C84E7B" w:rsidRDefault="00C84E7B" w:rsidP="00C84E7B">
      <w:pPr>
        <w:pStyle w:val="FigureCaption"/>
        <w:rPr>
          <w:i/>
        </w:rPr>
      </w:pPr>
      <w:bookmarkStart w:id="193" w:name="_Ref507244686"/>
      <w:bookmarkStart w:id="194" w:name="_Toc509837465"/>
      <w:r>
        <w:t xml:space="preserve">Figure </w:t>
      </w:r>
      <w:fldSimple w:instr=" STYLEREF 1 \s ">
        <w:r w:rsidR="005D5C7C">
          <w:rPr>
            <w:noProof/>
          </w:rPr>
          <w:t>3</w:t>
        </w:r>
      </w:fldSimple>
      <w:r w:rsidR="00A11E78">
        <w:t>.</w:t>
      </w:r>
      <w:fldSimple w:instr=" SEQ Figure \* ARABIC \s 1 ">
        <w:r w:rsidR="005D5C7C">
          <w:rPr>
            <w:noProof/>
          </w:rPr>
          <w:t>17</w:t>
        </w:r>
      </w:fldSimple>
      <w:bookmarkEnd w:id="193"/>
      <w:r>
        <w:t xml:space="preserve">: PDP Enrollments, </w:t>
      </w:r>
      <w:r>
        <w:rPr>
          <w:i/>
        </w:rPr>
        <w:t>PG&amp;E Large</w:t>
      </w:r>
      <w:bookmarkEnd w:id="194"/>
    </w:p>
    <w:p w14:paraId="0E1A296F" w14:textId="130334B9" w:rsidR="00FB3572" w:rsidRDefault="001143E8" w:rsidP="00FB3572">
      <w:r>
        <w:rPr>
          <w:noProof/>
        </w:rPr>
        <w:drawing>
          <wp:inline distT="0" distB="0" distL="0" distR="0" wp14:anchorId="7D0A6296" wp14:editId="500611A6">
            <wp:extent cx="5486400" cy="3980815"/>
            <wp:effectExtent l="0" t="0" r="0" b="635"/>
            <wp:docPr id="30" name="Chart 30">
              <a:extLst xmlns:a="http://schemas.openxmlformats.org/drawingml/2006/main">
                <a:ext uri="{FF2B5EF4-FFF2-40B4-BE49-F238E27FC236}">
                  <a16:creationId xmlns:a16="http://schemas.microsoft.com/office/drawing/2014/main" id="{8F9B1363-40B8-4D8E-93AA-2FDA78C382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5AD28000" w14:textId="3DE24BE3" w:rsidR="00FB3572" w:rsidRDefault="00F410AF" w:rsidP="00FB3572">
      <w:r>
        <w:fldChar w:fldCharType="begin"/>
      </w:r>
      <w:r>
        <w:instrText xml:space="preserve"> REF _Ref507247682 \h </w:instrText>
      </w:r>
      <w:r>
        <w:fldChar w:fldCharType="separate"/>
      </w:r>
      <w:r w:rsidR="005D5C7C">
        <w:t xml:space="preserve">Figure </w:t>
      </w:r>
      <w:r w:rsidR="005D5C7C">
        <w:rPr>
          <w:noProof/>
        </w:rPr>
        <w:t>3</w:t>
      </w:r>
      <w:r w:rsidR="005D5C7C">
        <w:t>.</w:t>
      </w:r>
      <w:r w:rsidR="005D5C7C">
        <w:rPr>
          <w:noProof/>
        </w:rPr>
        <w:t>18</w:t>
      </w:r>
      <w:r>
        <w:fldChar w:fldCharType="end"/>
      </w:r>
      <w:r w:rsidR="00782ABA">
        <w:t xml:space="preserve"> illustrates the aggregate reference load, observed load, and load impact for</w:t>
      </w:r>
      <w:r w:rsidR="00CD6497">
        <w:t xml:space="preserve"> large customers on</w:t>
      </w:r>
      <w:r w:rsidR="00782ABA">
        <w:t xml:space="preserve"> the typical event day in August in 2022 for the PG&amp;E 1-in-2 weather scenario.</w:t>
      </w:r>
      <w:r w:rsidR="008711BE">
        <w:t xml:space="preserve"> The shape of the</w:t>
      </w:r>
      <w:r w:rsidR="003B39B5">
        <w:t xml:space="preserve"> </w:t>
      </w:r>
      <w:r w:rsidR="003B39B5" w:rsidRPr="003B39B5">
        <w:rPr>
          <w:i/>
        </w:rPr>
        <w:t>ex-ante</w:t>
      </w:r>
      <w:r w:rsidR="008711BE">
        <w:t xml:space="preserve"> loads and load impacts is </w:t>
      </w:r>
      <w:proofErr w:type="gramStart"/>
      <w:r w:rsidR="008711BE">
        <w:t>similar to</w:t>
      </w:r>
      <w:proofErr w:type="gramEnd"/>
      <w:r w:rsidR="008711BE">
        <w:t xml:space="preserve"> the </w:t>
      </w:r>
      <w:r w:rsidR="008711BE" w:rsidRPr="003B39B5">
        <w:rPr>
          <w:i/>
        </w:rPr>
        <w:t>ex-post</w:t>
      </w:r>
      <w:r w:rsidR="008711BE">
        <w:t xml:space="preserve"> results in </w:t>
      </w:r>
      <w:r w:rsidR="008711BE">
        <w:fldChar w:fldCharType="begin"/>
      </w:r>
      <w:r w:rsidR="008711BE">
        <w:instrText xml:space="preserve"> REF _Ref506895201 \h </w:instrText>
      </w:r>
      <w:r w:rsidR="008711BE">
        <w:fldChar w:fldCharType="separate"/>
      </w:r>
      <w:r w:rsidR="005D5C7C">
        <w:t xml:space="preserve">Figure </w:t>
      </w:r>
      <w:r w:rsidR="005D5C7C">
        <w:rPr>
          <w:noProof/>
        </w:rPr>
        <w:t>3</w:t>
      </w:r>
      <w:r w:rsidR="005D5C7C">
        <w:t>.</w:t>
      </w:r>
      <w:r w:rsidR="005D5C7C">
        <w:rPr>
          <w:noProof/>
        </w:rPr>
        <w:t>2</w:t>
      </w:r>
      <w:r w:rsidR="008711BE">
        <w:fldChar w:fldCharType="end"/>
      </w:r>
      <w:r w:rsidR="008711BE">
        <w:t>, while the magnitudes are much larger</w:t>
      </w:r>
      <w:r w:rsidR="009A5DB0">
        <w:t xml:space="preserve"> due to higher enrollment</w:t>
      </w:r>
      <w:r w:rsidR="008711BE">
        <w:t xml:space="preserve">. The </w:t>
      </w:r>
      <w:r w:rsidR="009A5DB0">
        <w:t xml:space="preserve">average event-hour </w:t>
      </w:r>
      <w:r w:rsidR="008711BE">
        <w:t xml:space="preserve">load impact </w:t>
      </w:r>
      <w:r w:rsidR="009A5DB0">
        <w:t xml:space="preserve">is </w:t>
      </w:r>
      <w:r w:rsidR="008711BE">
        <w:t>4</w:t>
      </w:r>
      <w:r w:rsidR="001143E8">
        <w:t>6</w:t>
      </w:r>
      <w:r w:rsidR="009A5DB0">
        <w:t>.</w:t>
      </w:r>
      <w:r w:rsidR="001143E8">
        <w:t>4</w:t>
      </w:r>
      <w:r w:rsidR="008711BE">
        <w:t xml:space="preserve"> MWh/hour</w:t>
      </w:r>
      <w:r w:rsidR="009A5DB0">
        <w:t>, or 3.0</w:t>
      </w:r>
      <w:r w:rsidR="008711BE">
        <w:t xml:space="preserve"> percent </w:t>
      </w:r>
      <w:r w:rsidR="009A5DB0">
        <w:t xml:space="preserve">of the </w:t>
      </w:r>
      <w:r w:rsidR="008711BE">
        <w:t>reference load.</w:t>
      </w:r>
    </w:p>
    <w:p w14:paraId="32A4CE4B" w14:textId="5E1B94EB" w:rsidR="00FB3572" w:rsidRDefault="00FB3572" w:rsidP="00C84E7B">
      <w:pPr>
        <w:pStyle w:val="FigureCaption"/>
        <w:rPr>
          <w:i/>
        </w:rPr>
      </w:pPr>
    </w:p>
    <w:p w14:paraId="50446951" w14:textId="09CE9FCB" w:rsidR="00FB3572" w:rsidRPr="00C84E7B" w:rsidRDefault="00FB3572" w:rsidP="00FB3572"/>
    <w:p w14:paraId="15650669" w14:textId="78A82F95" w:rsidR="00440573" w:rsidRDefault="00440573" w:rsidP="003A20DB">
      <w:pPr>
        <w:spacing w:after="120"/>
        <w:rPr>
          <w:szCs w:val="32"/>
        </w:rPr>
      </w:pPr>
    </w:p>
    <w:p w14:paraId="550D40FF" w14:textId="01E3F507" w:rsidR="00187991" w:rsidRDefault="00187991" w:rsidP="003A20DB">
      <w:pPr>
        <w:spacing w:after="120"/>
        <w:rPr>
          <w:szCs w:val="32"/>
        </w:rPr>
      </w:pPr>
    </w:p>
    <w:p w14:paraId="3340B8E3" w14:textId="260A9B96" w:rsidR="00C84E7B" w:rsidRDefault="00C84E7B" w:rsidP="003A20DB">
      <w:pPr>
        <w:spacing w:after="120"/>
        <w:rPr>
          <w:szCs w:val="32"/>
        </w:rPr>
      </w:pPr>
    </w:p>
    <w:p w14:paraId="7FFF90BF" w14:textId="67A45329" w:rsidR="00187991" w:rsidRDefault="00187991" w:rsidP="003A20DB">
      <w:pPr>
        <w:spacing w:after="120"/>
        <w:rPr>
          <w:szCs w:val="32"/>
        </w:rPr>
      </w:pPr>
    </w:p>
    <w:p w14:paraId="6E352541" w14:textId="54F691DF" w:rsidR="00187991" w:rsidRDefault="00187991" w:rsidP="003A20DB">
      <w:pPr>
        <w:spacing w:after="120"/>
        <w:rPr>
          <w:szCs w:val="32"/>
        </w:rPr>
      </w:pPr>
    </w:p>
    <w:p w14:paraId="0657E667" w14:textId="13C444E4" w:rsidR="001B3142" w:rsidRDefault="001B3142" w:rsidP="001B3142">
      <w:pPr>
        <w:pStyle w:val="FigureCaption"/>
        <w:rPr>
          <w:i/>
        </w:rPr>
      </w:pPr>
      <w:bookmarkStart w:id="195" w:name="_Ref507247682"/>
      <w:bookmarkStart w:id="196" w:name="_Toc509837466"/>
      <w:r>
        <w:t xml:space="preserve">Figure </w:t>
      </w:r>
      <w:fldSimple w:instr=" STYLEREF 1 \s ">
        <w:r w:rsidR="005D5C7C">
          <w:rPr>
            <w:noProof/>
          </w:rPr>
          <w:t>3</w:t>
        </w:r>
      </w:fldSimple>
      <w:r w:rsidR="00A11E78">
        <w:t>.</w:t>
      </w:r>
      <w:fldSimple w:instr=" SEQ Figure \* ARABIC \s 1 ">
        <w:r w:rsidR="005D5C7C">
          <w:rPr>
            <w:noProof/>
          </w:rPr>
          <w:t>18</w:t>
        </w:r>
      </w:fldSimple>
      <w:bookmarkEnd w:id="195"/>
      <w:r>
        <w:t xml:space="preserve">: </w:t>
      </w:r>
      <w:r w:rsidRPr="003E379F">
        <w:t>Aggregate Hourly Loads and Load Impacts</w:t>
      </w:r>
      <w:r>
        <w:t xml:space="preserve"> in 2022 for</w:t>
      </w:r>
      <w:r>
        <w:rPr>
          <w:i/>
        </w:rPr>
        <w:t xml:space="preserve"> PG&amp;E 1-in-2 </w:t>
      </w:r>
      <w:r w:rsidR="00782ABA">
        <w:rPr>
          <w:i/>
        </w:rPr>
        <w:t>Typical Event</w:t>
      </w:r>
      <w:r>
        <w:rPr>
          <w:i/>
        </w:rPr>
        <w:t xml:space="preserve"> Day, PG&amp;E Large</w:t>
      </w:r>
      <w:bookmarkEnd w:id="196"/>
    </w:p>
    <w:p w14:paraId="7A3D9E41" w14:textId="5CE142D8" w:rsidR="00B865B0" w:rsidRDefault="001143E8" w:rsidP="00B865B0">
      <w:r>
        <w:rPr>
          <w:noProof/>
        </w:rPr>
        <w:drawing>
          <wp:inline distT="0" distB="0" distL="0" distR="0" wp14:anchorId="48CE2EDC" wp14:editId="2F62775F">
            <wp:extent cx="5486400" cy="3980815"/>
            <wp:effectExtent l="0" t="0" r="0" b="635"/>
            <wp:docPr id="52" name="Chart 52">
              <a:extLst xmlns:a="http://schemas.openxmlformats.org/drawingml/2006/main">
                <a:ext uri="{FF2B5EF4-FFF2-40B4-BE49-F238E27FC236}">
                  <a16:creationId xmlns:a16="http://schemas.microsoft.com/office/drawing/2014/main" id="{EBBD2EAC-D31E-4A84-B972-25EEF880FE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E8B6392" w14:textId="777B2D58" w:rsidR="00F410AF" w:rsidRDefault="00F410AF" w:rsidP="00B865B0"/>
    <w:p w14:paraId="59C836ED" w14:textId="52CEE647" w:rsidR="00BE4EEC" w:rsidRDefault="00F410AF" w:rsidP="00BE4EEC">
      <w:pPr>
        <w:spacing w:after="120"/>
        <w:rPr>
          <w:szCs w:val="32"/>
        </w:rPr>
      </w:pPr>
      <w:r>
        <w:rPr>
          <w:szCs w:val="32"/>
        </w:rPr>
        <w:fldChar w:fldCharType="begin"/>
      </w:r>
      <w:r>
        <w:rPr>
          <w:szCs w:val="32"/>
        </w:rPr>
        <w:instrText xml:space="preserve"> REF _Ref507247689 \h </w:instrText>
      </w:r>
      <w:r>
        <w:rPr>
          <w:szCs w:val="32"/>
        </w:rPr>
      </w:r>
      <w:r>
        <w:rPr>
          <w:szCs w:val="32"/>
        </w:rPr>
        <w:fldChar w:fldCharType="separate"/>
      </w:r>
      <w:r w:rsidR="005D5C7C" w:rsidRPr="00D502FB">
        <w:rPr>
          <w:highlight w:val="lightGray"/>
        </w:rPr>
        <w:t xml:space="preserve">Figure </w:t>
      </w:r>
      <w:r w:rsidR="005D5C7C">
        <w:rPr>
          <w:noProof/>
          <w:highlight w:val="lightGray"/>
        </w:rPr>
        <w:t>3</w:t>
      </w:r>
      <w:r w:rsidR="005D5C7C" w:rsidRPr="00D502FB">
        <w:rPr>
          <w:highlight w:val="lightGray"/>
        </w:rPr>
        <w:t>.</w:t>
      </w:r>
      <w:r w:rsidR="005D5C7C">
        <w:rPr>
          <w:noProof/>
          <w:highlight w:val="lightGray"/>
        </w:rPr>
        <w:t>19</w:t>
      </w:r>
      <w:r>
        <w:rPr>
          <w:szCs w:val="32"/>
        </w:rPr>
        <w:fldChar w:fldCharType="end"/>
      </w:r>
      <w:r w:rsidR="00BE4EEC">
        <w:rPr>
          <w:szCs w:val="32"/>
        </w:rPr>
        <w:t xml:space="preserve"> shows the forecasted share of load impacts by LCA during the average event</w:t>
      </w:r>
      <w:r w:rsidR="00C22EA5">
        <w:rPr>
          <w:szCs w:val="32"/>
        </w:rPr>
        <w:t xml:space="preserve"> </w:t>
      </w:r>
      <w:r w:rsidR="00BE4EEC">
        <w:rPr>
          <w:szCs w:val="32"/>
        </w:rPr>
        <w:t>hour on the typical event day in 2022 under PG&amp;E’s 1-in-2 weather scenario. Several LCAs including the Greater Bay Area, Northern Coast, and Sierra gain larger shares of total load impacts compare to the</w:t>
      </w:r>
      <w:r w:rsidR="009A5DB0">
        <w:rPr>
          <w:szCs w:val="32"/>
        </w:rPr>
        <w:t xml:space="preserve"> </w:t>
      </w:r>
      <w:r w:rsidR="009A5DB0" w:rsidRPr="009A5DB0">
        <w:rPr>
          <w:i/>
          <w:szCs w:val="32"/>
        </w:rPr>
        <w:t>ex-post</w:t>
      </w:r>
      <w:r w:rsidR="00BE4EEC">
        <w:rPr>
          <w:szCs w:val="32"/>
        </w:rPr>
        <w:t xml:space="preserve"> results presented in </w:t>
      </w:r>
      <w:r w:rsidR="00BE4EEC">
        <w:rPr>
          <w:szCs w:val="32"/>
        </w:rPr>
        <w:fldChar w:fldCharType="begin"/>
      </w:r>
      <w:r w:rsidR="00BE4EEC">
        <w:rPr>
          <w:szCs w:val="32"/>
        </w:rPr>
        <w:instrText xml:space="preserve"> REF _Ref506904156 \h </w:instrText>
      </w:r>
      <w:r w:rsidR="00BE4EEC">
        <w:rPr>
          <w:szCs w:val="32"/>
        </w:rPr>
      </w:r>
      <w:r w:rsidR="00BE4EEC">
        <w:rPr>
          <w:szCs w:val="32"/>
        </w:rPr>
        <w:fldChar w:fldCharType="separate"/>
      </w:r>
      <w:r w:rsidR="005D5C7C" w:rsidRPr="00D90CBD">
        <w:rPr>
          <w:highlight w:val="lightGray"/>
        </w:rPr>
        <w:t xml:space="preserve">Figure </w:t>
      </w:r>
      <w:r w:rsidR="005D5C7C">
        <w:rPr>
          <w:noProof/>
          <w:highlight w:val="lightGray"/>
        </w:rPr>
        <w:t>3</w:t>
      </w:r>
      <w:r w:rsidR="005D5C7C" w:rsidRPr="00D90CBD">
        <w:rPr>
          <w:highlight w:val="lightGray"/>
        </w:rPr>
        <w:t>.</w:t>
      </w:r>
      <w:r w:rsidR="005D5C7C">
        <w:rPr>
          <w:noProof/>
          <w:highlight w:val="lightGray"/>
        </w:rPr>
        <w:t>4</w:t>
      </w:r>
      <w:r w:rsidR="00BE4EEC">
        <w:rPr>
          <w:szCs w:val="32"/>
        </w:rPr>
        <w:fldChar w:fldCharType="end"/>
      </w:r>
      <w:r w:rsidR="00BE4EEC">
        <w:rPr>
          <w:szCs w:val="32"/>
        </w:rPr>
        <w:t xml:space="preserve">. Notably, customers not in any LCA, who achieved 52 percent of the </w:t>
      </w:r>
      <w:r w:rsidR="00BE4EEC" w:rsidRPr="00BE4EEC">
        <w:rPr>
          <w:i/>
          <w:szCs w:val="32"/>
        </w:rPr>
        <w:t>ex-post</w:t>
      </w:r>
      <w:r w:rsidR="00BE4EEC">
        <w:rPr>
          <w:szCs w:val="32"/>
        </w:rPr>
        <w:t xml:space="preserve"> load impacts, are forecasted to have a lower share of </w:t>
      </w:r>
      <w:r w:rsidR="00BE4EEC" w:rsidRPr="00BE4EEC">
        <w:rPr>
          <w:i/>
          <w:szCs w:val="32"/>
        </w:rPr>
        <w:t>ex-ante</w:t>
      </w:r>
      <w:r w:rsidR="00BE4EEC">
        <w:rPr>
          <w:szCs w:val="32"/>
        </w:rPr>
        <w:t xml:space="preserve"> load impacts of 4</w:t>
      </w:r>
      <w:r w:rsidR="001143E8">
        <w:rPr>
          <w:szCs w:val="32"/>
        </w:rPr>
        <w:t>2</w:t>
      </w:r>
      <w:r w:rsidR="00BE4EEC">
        <w:rPr>
          <w:szCs w:val="32"/>
        </w:rPr>
        <w:t xml:space="preserve"> percent.</w:t>
      </w:r>
    </w:p>
    <w:p w14:paraId="727454F8" w14:textId="55A5F3A0" w:rsidR="00187991" w:rsidRDefault="00187991" w:rsidP="003A20DB">
      <w:pPr>
        <w:spacing w:after="120"/>
        <w:rPr>
          <w:szCs w:val="32"/>
        </w:rPr>
      </w:pPr>
    </w:p>
    <w:p w14:paraId="381B5473" w14:textId="132C4755" w:rsidR="00EE4C42" w:rsidRPr="00EE4C42" w:rsidRDefault="00EE4C42" w:rsidP="00EE4C42">
      <w:pPr>
        <w:pStyle w:val="FigureCaption"/>
        <w:rPr>
          <w:i/>
        </w:rPr>
      </w:pPr>
      <w:bookmarkStart w:id="197" w:name="_Ref507247689"/>
      <w:bookmarkStart w:id="198" w:name="_Toc509837467"/>
      <w:r w:rsidRPr="00D502FB">
        <w:rPr>
          <w:highlight w:val="lightGray"/>
        </w:rPr>
        <w:lastRenderedPageBreak/>
        <w:t xml:space="preserve">Figure </w:t>
      </w:r>
      <w:r w:rsidR="00D90CBD" w:rsidRPr="00D502FB">
        <w:rPr>
          <w:highlight w:val="lightGray"/>
        </w:rPr>
        <w:fldChar w:fldCharType="begin"/>
      </w:r>
      <w:r w:rsidR="00D90CBD" w:rsidRPr="00D502FB">
        <w:rPr>
          <w:highlight w:val="lightGray"/>
        </w:rPr>
        <w:instrText xml:space="preserve"> STYLEREF 1 \s </w:instrText>
      </w:r>
      <w:r w:rsidR="00D90CBD" w:rsidRPr="00D502FB">
        <w:rPr>
          <w:highlight w:val="lightGray"/>
        </w:rPr>
        <w:fldChar w:fldCharType="separate"/>
      </w:r>
      <w:r w:rsidR="005D5C7C">
        <w:rPr>
          <w:noProof/>
          <w:highlight w:val="lightGray"/>
        </w:rPr>
        <w:t>3</w:t>
      </w:r>
      <w:r w:rsidR="00D90CBD" w:rsidRPr="00D502FB">
        <w:rPr>
          <w:noProof/>
          <w:highlight w:val="lightGray"/>
        </w:rPr>
        <w:fldChar w:fldCharType="end"/>
      </w:r>
      <w:r w:rsidR="00A11E78" w:rsidRPr="00D502FB">
        <w:rPr>
          <w:highlight w:val="lightGray"/>
        </w:rPr>
        <w:t>.</w:t>
      </w:r>
      <w:r w:rsidR="00D90CBD" w:rsidRPr="00D502FB">
        <w:rPr>
          <w:highlight w:val="lightGray"/>
        </w:rPr>
        <w:fldChar w:fldCharType="begin"/>
      </w:r>
      <w:r w:rsidR="00D90CBD" w:rsidRPr="00D502FB">
        <w:rPr>
          <w:highlight w:val="lightGray"/>
        </w:rPr>
        <w:instrText xml:space="preserve"> SEQ Figure \* ARABIC \s 1 </w:instrText>
      </w:r>
      <w:r w:rsidR="00D90CBD" w:rsidRPr="00D502FB">
        <w:rPr>
          <w:highlight w:val="lightGray"/>
        </w:rPr>
        <w:fldChar w:fldCharType="separate"/>
      </w:r>
      <w:r w:rsidR="005D5C7C">
        <w:rPr>
          <w:noProof/>
          <w:highlight w:val="lightGray"/>
        </w:rPr>
        <w:t>19</w:t>
      </w:r>
      <w:r w:rsidR="00D90CBD" w:rsidRPr="00D502FB">
        <w:rPr>
          <w:noProof/>
          <w:highlight w:val="lightGray"/>
        </w:rPr>
        <w:fldChar w:fldCharType="end"/>
      </w:r>
      <w:bookmarkEnd w:id="197"/>
      <w:r w:rsidRPr="00D502FB">
        <w:rPr>
          <w:highlight w:val="lightGray"/>
        </w:rPr>
        <w:t>: Share of Load Impact</w:t>
      </w:r>
      <w:r w:rsidR="00782ABA" w:rsidRPr="00D502FB">
        <w:rPr>
          <w:highlight w:val="lightGray"/>
        </w:rPr>
        <w:t>s</w:t>
      </w:r>
      <w:r w:rsidRPr="00D502FB">
        <w:rPr>
          <w:highlight w:val="lightGray"/>
        </w:rPr>
        <w:t xml:space="preserve"> by LCA </w:t>
      </w:r>
      <w:r w:rsidR="00782ABA" w:rsidRPr="00D502FB">
        <w:rPr>
          <w:highlight w:val="lightGray"/>
        </w:rPr>
        <w:t>in 2022 for</w:t>
      </w:r>
      <w:r w:rsidR="00782ABA" w:rsidRPr="00D502FB">
        <w:rPr>
          <w:i/>
          <w:highlight w:val="lightGray"/>
        </w:rPr>
        <w:t xml:space="preserve"> PG&amp;E 1-in-2 Typical Event Day</w:t>
      </w:r>
      <w:r w:rsidRPr="00D502FB">
        <w:rPr>
          <w:i/>
          <w:highlight w:val="lightGray"/>
        </w:rPr>
        <w:t>,</w:t>
      </w:r>
      <w:r w:rsidR="00782ABA" w:rsidRPr="00D502FB">
        <w:rPr>
          <w:i/>
          <w:highlight w:val="lightGray"/>
        </w:rPr>
        <w:t xml:space="preserve"> </w:t>
      </w:r>
      <w:r w:rsidRPr="00D502FB">
        <w:rPr>
          <w:i/>
          <w:highlight w:val="lightGray"/>
        </w:rPr>
        <w:t>PG&amp;E Large</w:t>
      </w:r>
      <w:bookmarkEnd w:id="198"/>
    </w:p>
    <w:p w14:paraId="15978DD6" w14:textId="15F84805" w:rsidR="00187991" w:rsidRDefault="002056C9" w:rsidP="002056C9">
      <w:pPr>
        <w:spacing w:after="120"/>
        <w:jc w:val="center"/>
        <w:rPr>
          <w:szCs w:val="32"/>
        </w:rPr>
      </w:pPr>
      <w:r>
        <w:rPr>
          <w:noProof/>
        </w:rPr>
        <w:drawing>
          <wp:inline distT="0" distB="0" distL="0" distR="0" wp14:anchorId="70EFA481" wp14:editId="74D340D6">
            <wp:extent cx="5008245" cy="3975652"/>
            <wp:effectExtent l="0" t="0" r="1905" b="6350"/>
            <wp:docPr id="104" name="Chart 104">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2C09285" w14:textId="77EB5E36" w:rsidR="00187991" w:rsidRDefault="00187991" w:rsidP="003A20DB">
      <w:pPr>
        <w:spacing w:after="120"/>
        <w:rPr>
          <w:szCs w:val="32"/>
        </w:rPr>
      </w:pPr>
    </w:p>
    <w:p w14:paraId="43EEEF03" w14:textId="6E5A65FA" w:rsidR="00EE4C42" w:rsidRDefault="00F410AF" w:rsidP="003A20DB">
      <w:pPr>
        <w:spacing w:after="120"/>
        <w:rPr>
          <w:szCs w:val="32"/>
        </w:rPr>
      </w:pPr>
      <w:r>
        <w:rPr>
          <w:szCs w:val="32"/>
        </w:rPr>
        <w:fldChar w:fldCharType="begin"/>
      </w:r>
      <w:r>
        <w:rPr>
          <w:szCs w:val="32"/>
        </w:rPr>
        <w:instrText xml:space="preserve"> REF _Ref507247695 \h </w:instrText>
      </w:r>
      <w:r>
        <w:rPr>
          <w:szCs w:val="32"/>
        </w:rPr>
      </w:r>
      <w:r>
        <w:rPr>
          <w:szCs w:val="32"/>
        </w:rPr>
        <w:fldChar w:fldCharType="separate"/>
      </w:r>
      <w:r w:rsidR="005D5C7C">
        <w:t xml:space="preserve">Figure </w:t>
      </w:r>
      <w:r w:rsidR="005D5C7C">
        <w:rPr>
          <w:noProof/>
        </w:rPr>
        <w:t>3</w:t>
      </w:r>
      <w:r w:rsidR="005D5C7C">
        <w:t>.</w:t>
      </w:r>
      <w:r w:rsidR="005D5C7C">
        <w:rPr>
          <w:noProof/>
        </w:rPr>
        <w:t>20</w:t>
      </w:r>
      <w:r>
        <w:rPr>
          <w:szCs w:val="32"/>
        </w:rPr>
        <w:fldChar w:fldCharType="end"/>
      </w:r>
      <w:r w:rsidR="00703D32">
        <w:rPr>
          <w:szCs w:val="32"/>
        </w:rPr>
        <w:t xml:space="preserve"> </w:t>
      </w:r>
      <w:r w:rsidR="00D8044E">
        <w:rPr>
          <w:szCs w:val="32"/>
        </w:rPr>
        <w:t>illustrate</w:t>
      </w:r>
      <w:r w:rsidR="00703D32">
        <w:rPr>
          <w:szCs w:val="32"/>
        </w:rPr>
        <w:t>s the seasonality in the forecasted</w:t>
      </w:r>
      <w:r w:rsidR="00703D32" w:rsidRPr="00703D32">
        <w:rPr>
          <w:i/>
          <w:szCs w:val="32"/>
        </w:rPr>
        <w:t xml:space="preserve"> </w:t>
      </w:r>
      <w:r w:rsidR="00D8044E">
        <w:rPr>
          <w:szCs w:val="32"/>
        </w:rPr>
        <w:t>load</w:t>
      </w:r>
      <w:r w:rsidR="00703D32">
        <w:rPr>
          <w:szCs w:val="32"/>
        </w:rPr>
        <w:t xml:space="preserve"> impacts</w:t>
      </w:r>
      <w:r w:rsidR="00D8044E">
        <w:rPr>
          <w:szCs w:val="32"/>
        </w:rPr>
        <w:t xml:space="preserve"> by comparing aggregate load impacts for the average hour in the </w:t>
      </w:r>
      <w:r w:rsidR="009A5DB0">
        <w:rPr>
          <w:szCs w:val="32"/>
        </w:rPr>
        <w:t>R</w:t>
      </w:r>
      <w:r w:rsidR="00D8044E">
        <w:rPr>
          <w:szCs w:val="32"/>
        </w:rPr>
        <w:t>esource</w:t>
      </w:r>
      <w:r w:rsidR="009A5DB0">
        <w:rPr>
          <w:szCs w:val="32"/>
        </w:rPr>
        <w:t xml:space="preserve"> A</w:t>
      </w:r>
      <w:r w:rsidR="00D8044E">
        <w:rPr>
          <w:szCs w:val="32"/>
        </w:rPr>
        <w:t xml:space="preserve">dequacy </w:t>
      </w:r>
      <w:r w:rsidR="009A5DB0">
        <w:rPr>
          <w:szCs w:val="32"/>
        </w:rPr>
        <w:t xml:space="preserve">(RA) </w:t>
      </w:r>
      <w:r w:rsidR="00D8044E">
        <w:rPr>
          <w:szCs w:val="32"/>
        </w:rPr>
        <w:t>window in 2022 across months for PG&amp;E’s 1-in-2 peak day weather scenario.</w:t>
      </w:r>
      <w:r w:rsidR="009A5DB0">
        <w:rPr>
          <w:szCs w:val="32"/>
        </w:rPr>
        <w:t xml:space="preserve"> The RA window is 1 to 6 p.m. from April through October and 4 to 9 p.m. for the remainder of the year. </w:t>
      </w:r>
      <w:r w:rsidR="00D8044E">
        <w:rPr>
          <w:szCs w:val="32"/>
        </w:rPr>
        <w:t>The</w:t>
      </w:r>
      <w:r w:rsidR="009A5DB0">
        <w:rPr>
          <w:szCs w:val="32"/>
        </w:rPr>
        <w:t xml:space="preserve"> lower load impacts from November through March are largely </w:t>
      </w:r>
      <w:proofErr w:type="gramStart"/>
      <w:r w:rsidR="009A5DB0">
        <w:rPr>
          <w:szCs w:val="32"/>
        </w:rPr>
        <w:t>due to the fact that</w:t>
      </w:r>
      <w:proofErr w:type="gramEnd"/>
      <w:r w:rsidR="009A5DB0">
        <w:rPr>
          <w:szCs w:val="32"/>
        </w:rPr>
        <w:t xml:space="preserve"> the RA window in those months includes three hours that are not PDP event hours, where the summer RA window includes only one such hour.</w:t>
      </w:r>
      <w:r w:rsidR="00D8044E">
        <w:rPr>
          <w:szCs w:val="32"/>
        </w:rPr>
        <w:t xml:space="preserve"> The load impact </w:t>
      </w:r>
      <w:r w:rsidR="00281C71">
        <w:rPr>
          <w:szCs w:val="32"/>
        </w:rPr>
        <w:t xml:space="preserve">is highest in </w:t>
      </w:r>
      <w:r w:rsidR="00D8044E">
        <w:rPr>
          <w:szCs w:val="32"/>
        </w:rPr>
        <w:t>September</w:t>
      </w:r>
      <w:r w:rsidR="00650DA9">
        <w:rPr>
          <w:szCs w:val="32"/>
        </w:rPr>
        <w:t xml:space="preserve"> </w:t>
      </w:r>
      <w:r w:rsidR="00281C71">
        <w:rPr>
          <w:szCs w:val="32"/>
        </w:rPr>
        <w:t>(</w:t>
      </w:r>
      <w:r w:rsidR="001143E8">
        <w:rPr>
          <w:szCs w:val="32"/>
        </w:rPr>
        <w:t>41</w:t>
      </w:r>
      <w:r w:rsidR="00650DA9">
        <w:rPr>
          <w:szCs w:val="32"/>
        </w:rPr>
        <w:t xml:space="preserve"> MWh/hour</w:t>
      </w:r>
      <w:r w:rsidR="00281C71">
        <w:rPr>
          <w:szCs w:val="32"/>
        </w:rPr>
        <w:t>)</w:t>
      </w:r>
      <w:r w:rsidR="00650DA9">
        <w:rPr>
          <w:szCs w:val="32"/>
        </w:rPr>
        <w:t xml:space="preserve"> and </w:t>
      </w:r>
      <w:r w:rsidR="00281C71">
        <w:rPr>
          <w:szCs w:val="32"/>
        </w:rPr>
        <w:t xml:space="preserve">lowest in </w:t>
      </w:r>
      <w:r w:rsidR="00650DA9">
        <w:rPr>
          <w:szCs w:val="32"/>
        </w:rPr>
        <w:t xml:space="preserve">February </w:t>
      </w:r>
      <w:r w:rsidR="00281C71">
        <w:rPr>
          <w:szCs w:val="32"/>
        </w:rPr>
        <w:t>(</w:t>
      </w:r>
      <w:r w:rsidR="00650DA9">
        <w:rPr>
          <w:szCs w:val="32"/>
        </w:rPr>
        <w:t>1</w:t>
      </w:r>
      <w:r w:rsidR="001143E8">
        <w:rPr>
          <w:szCs w:val="32"/>
        </w:rPr>
        <w:t>6</w:t>
      </w:r>
      <w:r w:rsidR="00650DA9">
        <w:rPr>
          <w:szCs w:val="32"/>
        </w:rPr>
        <w:t xml:space="preserve"> MWh/hour</w:t>
      </w:r>
      <w:r w:rsidR="00281C71">
        <w:rPr>
          <w:szCs w:val="32"/>
        </w:rPr>
        <w:t>)</w:t>
      </w:r>
      <w:r w:rsidR="00D8044E">
        <w:rPr>
          <w:szCs w:val="32"/>
        </w:rPr>
        <w:t>.</w:t>
      </w:r>
    </w:p>
    <w:p w14:paraId="349E8E6C" w14:textId="576C33DD" w:rsidR="00EE4C42" w:rsidRDefault="00EE4C42" w:rsidP="003A20DB">
      <w:pPr>
        <w:spacing w:after="120"/>
        <w:rPr>
          <w:szCs w:val="32"/>
        </w:rPr>
      </w:pPr>
    </w:p>
    <w:p w14:paraId="2254C00B" w14:textId="475C884D" w:rsidR="002B400B" w:rsidRDefault="002B400B" w:rsidP="003A20DB">
      <w:pPr>
        <w:spacing w:after="120"/>
        <w:rPr>
          <w:szCs w:val="32"/>
        </w:rPr>
      </w:pPr>
    </w:p>
    <w:p w14:paraId="402008FC" w14:textId="61C06703" w:rsidR="002B400B" w:rsidRDefault="002B400B" w:rsidP="003A20DB">
      <w:pPr>
        <w:spacing w:after="120"/>
        <w:rPr>
          <w:szCs w:val="32"/>
        </w:rPr>
      </w:pPr>
    </w:p>
    <w:p w14:paraId="1FE9BD09" w14:textId="6A92D3EE" w:rsidR="002B400B" w:rsidRDefault="00F7523F" w:rsidP="003A20DB">
      <w:pPr>
        <w:spacing w:after="120"/>
        <w:rPr>
          <w:szCs w:val="32"/>
        </w:rPr>
      </w:pPr>
      <w:r>
        <w:rPr>
          <w:noProof/>
          <w:szCs w:val="32"/>
        </w:rPr>
        <mc:AlternateContent>
          <mc:Choice Requires="wps">
            <w:drawing>
              <wp:anchor distT="0" distB="0" distL="114300" distR="114300" simplePos="0" relativeHeight="251680768" behindDoc="0" locked="0" layoutInCell="1" allowOverlap="1" wp14:anchorId="1DD93EB5" wp14:editId="755B4A17">
                <wp:simplePos x="0" y="0"/>
                <wp:positionH relativeFrom="margin">
                  <wp:align>right</wp:align>
                </wp:positionH>
                <wp:positionV relativeFrom="paragraph">
                  <wp:posOffset>1382671</wp:posOffset>
                </wp:positionV>
                <wp:extent cx="5422789" cy="397566"/>
                <wp:effectExtent l="0" t="0" r="26035" b="21590"/>
                <wp:wrapNone/>
                <wp:docPr id="35" name="Text Box 35"/>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02789E0A"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D93EB5" id="Text Box 35" o:spid="_x0000_s1037" type="#_x0000_t202" style="position:absolute;margin-left:375.8pt;margin-top:108.85pt;width:427pt;height:31.3pt;z-index:25168076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" fillcolor="white [3201]" strokeweight=".5pt">
                <v:textbox>
                  <w:txbxContent>
                    <w:p w14:paraId="02789E0A" w14:textId="77777777" w:rsidR="006F4399" w:rsidRPr="00EB41EA" w:rsidRDefault="006F4399" w:rsidP="00F7523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179F2AE6" w14:textId="25D45FE8" w:rsidR="002B400B" w:rsidRDefault="002B400B" w:rsidP="002B400B">
      <w:pPr>
        <w:pStyle w:val="FigureCaption"/>
        <w:rPr>
          <w:i/>
        </w:rPr>
      </w:pPr>
      <w:bookmarkStart w:id="199" w:name="_Ref507247695"/>
      <w:bookmarkStart w:id="200" w:name="_Toc509837468"/>
      <w:r>
        <w:lastRenderedPageBreak/>
        <w:t xml:space="preserve">Figure </w:t>
      </w:r>
      <w:fldSimple w:instr=" STYLEREF 1 \s ">
        <w:r w:rsidR="005D5C7C">
          <w:rPr>
            <w:noProof/>
          </w:rPr>
          <w:t>3</w:t>
        </w:r>
      </w:fldSimple>
      <w:r w:rsidR="00A11E78">
        <w:t>.</w:t>
      </w:r>
      <w:fldSimple w:instr=" SEQ Figure \* ARABIC \s 1 ">
        <w:r w:rsidR="005D5C7C">
          <w:rPr>
            <w:noProof/>
          </w:rPr>
          <w:t>20</w:t>
        </w:r>
      </w:fldSimple>
      <w:bookmarkEnd w:id="199"/>
      <w:r>
        <w:t xml:space="preserve">: </w:t>
      </w:r>
      <w:r w:rsidRPr="003E379F">
        <w:t>Aggregate</w:t>
      </w:r>
      <w:r>
        <w:t xml:space="preserve"> </w:t>
      </w:r>
      <w:r w:rsidRPr="003E379F">
        <w:t xml:space="preserve">Load Impacts </w:t>
      </w:r>
      <w:r>
        <w:t>by Month</w:t>
      </w:r>
      <w:r w:rsidRPr="003E379F">
        <w:t xml:space="preserve"> </w:t>
      </w:r>
      <w:r>
        <w:t xml:space="preserve">over RA Window in 2022 for </w:t>
      </w:r>
      <w:r>
        <w:rPr>
          <w:i/>
        </w:rPr>
        <w:t>PG&amp;E 1-in-2 Peak Day</w:t>
      </w:r>
      <w:r>
        <w:t xml:space="preserve">, </w:t>
      </w:r>
      <w:r>
        <w:rPr>
          <w:i/>
        </w:rPr>
        <w:t>PG&amp;E Large</w:t>
      </w:r>
      <w:bookmarkEnd w:id="200"/>
    </w:p>
    <w:p w14:paraId="5B41E2B9" w14:textId="68440FA3" w:rsidR="00FB3572" w:rsidRDefault="001143E8" w:rsidP="00FB3572">
      <w:r>
        <w:rPr>
          <w:noProof/>
        </w:rPr>
        <w:drawing>
          <wp:inline distT="0" distB="0" distL="0" distR="0" wp14:anchorId="1618CAEA" wp14:editId="5D49BCC6">
            <wp:extent cx="5486400" cy="3980815"/>
            <wp:effectExtent l="0" t="0" r="0" b="635"/>
            <wp:docPr id="74" name="Chart 74">
              <a:extLst xmlns:a="http://schemas.openxmlformats.org/drawingml/2006/main">
                <a:ext uri="{FF2B5EF4-FFF2-40B4-BE49-F238E27FC236}">
                  <a16:creationId xmlns:a16="http://schemas.microsoft.com/office/drawing/2014/main" id="{620BB8F2-5EE1-4664-8954-E62191D264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211E305" w14:textId="08A9E742" w:rsidR="00FB3572" w:rsidRDefault="00FB3572" w:rsidP="00FB3572"/>
    <w:p w14:paraId="6F1C524C" w14:textId="0067F6FB" w:rsidR="00325864" w:rsidRDefault="00F410AF" w:rsidP="003A20DB">
      <w:pPr>
        <w:spacing w:after="120"/>
        <w:rPr>
          <w:szCs w:val="32"/>
        </w:rPr>
      </w:pPr>
      <w:r>
        <w:rPr>
          <w:szCs w:val="32"/>
        </w:rPr>
        <w:fldChar w:fldCharType="begin"/>
      </w:r>
      <w:r>
        <w:rPr>
          <w:szCs w:val="32"/>
        </w:rPr>
        <w:instrText xml:space="preserve"> REF _Ref507245566 \h </w:instrText>
      </w:r>
      <w:r>
        <w:rPr>
          <w:szCs w:val="32"/>
        </w:rPr>
      </w:r>
      <w:r>
        <w:rPr>
          <w:szCs w:val="32"/>
        </w:rPr>
        <w:fldChar w:fldCharType="separate"/>
      </w:r>
      <w:r w:rsidR="005D5C7C">
        <w:t xml:space="preserve">Figure </w:t>
      </w:r>
      <w:r w:rsidR="005D5C7C">
        <w:rPr>
          <w:noProof/>
        </w:rPr>
        <w:t>3</w:t>
      </w:r>
      <w:r w:rsidR="005D5C7C">
        <w:t>.</w:t>
      </w:r>
      <w:r w:rsidR="005D5C7C">
        <w:rPr>
          <w:noProof/>
        </w:rPr>
        <w:t>21</w:t>
      </w:r>
      <w:r>
        <w:rPr>
          <w:szCs w:val="32"/>
        </w:rPr>
        <w:fldChar w:fldCharType="end"/>
      </w:r>
      <w:r w:rsidR="00325864">
        <w:rPr>
          <w:szCs w:val="32"/>
        </w:rPr>
        <w:t xml:space="preserve"> </w:t>
      </w:r>
      <w:r w:rsidR="00281C71">
        <w:rPr>
          <w:szCs w:val="32"/>
        </w:rPr>
        <w:t xml:space="preserve">shows the change in load impacts over time and across weather scenarios. Each value is the </w:t>
      </w:r>
      <w:r w:rsidR="00325864">
        <w:rPr>
          <w:szCs w:val="32"/>
        </w:rPr>
        <w:t>aggregate load impact</w:t>
      </w:r>
      <w:r w:rsidR="00281C71">
        <w:rPr>
          <w:szCs w:val="32"/>
        </w:rPr>
        <w:t xml:space="preserve"> during the RA window of </w:t>
      </w:r>
      <w:r w:rsidR="00325864">
        <w:rPr>
          <w:szCs w:val="32"/>
        </w:rPr>
        <w:t xml:space="preserve">the typical event day. Customers who </w:t>
      </w:r>
      <w:r w:rsidR="00281C71">
        <w:rPr>
          <w:szCs w:val="32"/>
        </w:rPr>
        <w:t xml:space="preserve">join </w:t>
      </w:r>
      <w:r w:rsidR="00325864">
        <w:rPr>
          <w:szCs w:val="32"/>
        </w:rPr>
        <w:t xml:space="preserve">PDP in 2019 and 2020 cause forecast load impacts to increase by </w:t>
      </w:r>
      <w:r w:rsidR="00281C71">
        <w:rPr>
          <w:szCs w:val="32"/>
        </w:rPr>
        <w:t xml:space="preserve">approximately </w:t>
      </w:r>
      <w:r w:rsidR="001143E8">
        <w:rPr>
          <w:szCs w:val="32"/>
        </w:rPr>
        <w:t>4</w:t>
      </w:r>
      <w:r w:rsidR="00325864">
        <w:rPr>
          <w:szCs w:val="32"/>
        </w:rPr>
        <w:t xml:space="preserve"> MWh/hour and </w:t>
      </w:r>
      <w:r w:rsidR="001143E8">
        <w:rPr>
          <w:szCs w:val="32"/>
        </w:rPr>
        <w:t>10</w:t>
      </w:r>
      <w:r w:rsidR="00325864">
        <w:rPr>
          <w:szCs w:val="32"/>
        </w:rPr>
        <w:t xml:space="preserve"> MWh/hour, respectively. There are relatively minor differences between the forecast load impacts for the alternative weather scenarios over the forecast period.</w:t>
      </w:r>
      <w:r w:rsidR="00281C71">
        <w:rPr>
          <w:szCs w:val="32"/>
        </w:rPr>
        <w:t xml:space="preserve"> The highest load impacts for each year occur under utility-specific 1-in-10 weather conditions.</w:t>
      </w:r>
    </w:p>
    <w:p w14:paraId="0813841D" w14:textId="48A9D96F" w:rsidR="002B400B" w:rsidRDefault="002B400B" w:rsidP="002B400B">
      <w:pPr>
        <w:pStyle w:val="FigureCaption"/>
        <w:rPr>
          <w:i/>
        </w:rPr>
      </w:pPr>
      <w:bookmarkStart w:id="201" w:name="_Ref507245566"/>
      <w:bookmarkStart w:id="202" w:name="_Toc509837469"/>
      <w:r>
        <w:lastRenderedPageBreak/>
        <w:t xml:space="preserve">Figure </w:t>
      </w:r>
      <w:fldSimple w:instr=" STYLEREF 1 \s ">
        <w:r w:rsidR="005D5C7C">
          <w:rPr>
            <w:noProof/>
          </w:rPr>
          <w:t>3</w:t>
        </w:r>
      </w:fldSimple>
      <w:r w:rsidR="00A11E78">
        <w:t>.</w:t>
      </w:r>
      <w:fldSimple w:instr=" SEQ Figure \* ARABIC \s 1 ">
        <w:r w:rsidR="005D5C7C">
          <w:rPr>
            <w:noProof/>
          </w:rPr>
          <w:t>21</w:t>
        </w:r>
      </w:fldSimple>
      <w:bookmarkEnd w:id="201"/>
      <w:r>
        <w:t xml:space="preserve">: </w:t>
      </w:r>
      <w:r w:rsidRPr="003E379F">
        <w:t xml:space="preserve">Aggregate </w:t>
      </w:r>
      <w:r>
        <w:t>Load Impacts for</w:t>
      </w:r>
      <w:r w:rsidR="00325864">
        <w:t xml:space="preserve"> the</w:t>
      </w:r>
      <w:r>
        <w:t xml:space="preserve"> </w:t>
      </w:r>
      <w:r w:rsidR="00515724">
        <w:t>Typical Event Day</w:t>
      </w:r>
      <w:r>
        <w:t xml:space="preserve"> by Year and Weather Scenario over RA Window, </w:t>
      </w:r>
      <w:r>
        <w:rPr>
          <w:i/>
        </w:rPr>
        <w:t>PG&amp;E Large</w:t>
      </w:r>
      <w:bookmarkEnd w:id="202"/>
    </w:p>
    <w:p w14:paraId="62B297DC" w14:textId="1D2AA6DF" w:rsidR="00FB3572" w:rsidRDefault="001143E8" w:rsidP="00FB3572">
      <w:r>
        <w:rPr>
          <w:noProof/>
        </w:rPr>
        <w:drawing>
          <wp:inline distT="0" distB="0" distL="0" distR="0" wp14:anchorId="08506D04" wp14:editId="7A290F54">
            <wp:extent cx="5486400" cy="3980815"/>
            <wp:effectExtent l="0" t="0" r="0" b="635"/>
            <wp:docPr id="75" name="Chart 75">
              <a:extLst xmlns:a="http://schemas.openxmlformats.org/drawingml/2006/main">
                <a:ext uri="{FF2B5EF4-FFF2-40B4-BE49-F238E27FC236}">
                  <a16:creationId xmlns:a16="http://schemas.microsoft.com/office/drawing/2014/main" id="{677C3D30-5855-4924-8792-4EEAEF20C6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5E4222E3" w14:textId="041FF4CC" w:rsidR="002B400B" w:rsidRDefault="002B400B" w:rsidP="003A20DB">
      <w:pPr>
        <w:spacing w:after="120"/>
        <w:rPr>
          <w:szCs w:val="32"/>
        </w:rPr>
      </w:pPr>
    </w:p>
    <w:p w14:paraId="5118AA6A" w14:textId="093A5605" w:rsidR="003A20DB" w:rsidRDefault="00D223A1" w:rsidP="003A20DB">
      <w:pPr>
        <w:pStyle w:val="Heading3"/>
      </w:pPr>
      <w:bookmarkStart w:id="203" w:name="_Toc509837320"/>
      <w:r>
        <w:t>S</w:t>
      </w:r>
      <w:r w:rsidR="003A20DB">
        <w:t>MB Customers</w:t>
      </w:r>
      <w:bookmarkEnd w:id="203"/>
    </w:p>
    <w:p w14:paraId="6676D509" w14:textId="207CF184" w:rsidR="00ED19BC" w:rsidRDefault="00ED19BC" w:rsidP="003A20DB">
      <w:pPr>
        <w:spacing w:after="120"/>
        <w:rPr>
          <w:szCs w:val="32"/>
        </w:rPr>
      </w:pPr>
      <w:r>
        <w:rPr>
          <w:szCs w:val="32"/>
        </w:rPr>
        <w:fldChar w:fldCharType="begin"/>
      </w:r>
      <w:r>
        <w:rPr>
          <w:szCs w:val="32"/>
        </w:rPr>
        <w:instrText xml:space="preserve"> REF _Ref507245382 \h </w:instrText>
      </w:r>
      <w:r>
        <w:rPr>
          <w:szCs w:val="32"/>
        </w:rPr>
      </w:r>
      <w:r>
        <w:rPr>
          <w:szCs w:val="32"/>
        </w:rPr>
        <w:fldChar w:fldCharType="separate"/>
      </w:r>
      <w:r w:rsidR="005D5C7C">
        <w:t xml:space="preserve">Figure </w:t>
      </w:r>
      <w:r w:rsidR="005D5C7C">
        <w:rPr>
          <w:noProof/>
        </w:rPr>
        <w:t>3</w:t>
      </w:r>
      <w:r w:rsidR="005D5C7C">
        <w:t>.</w:t>
      </w:r>
      <w:r w:rsidR="005D5C7C">
        <w:rPr>
          <w:noProof/>
        </w:rPr>
        <w:t>22</w:t>
      </w:r>
      <w:r>
        <w:rPr>
          <w:szCs w:val="32"/>
        </w:rPr>
        <w:fldChar w:fldCharType="end"/>
      </w:r>
      <w:r>
        <w:rPr>
          <w:szCs w:val="32"/>
        </w:rPr>
        <w:t xml:space="preserve"> summarizes PG&amp;E’s enrollment forecast for SMB customers. PG&amp;E anticipates a </w:t>
      </w:r>
      <w:r w:rsidR="001143E8">
        <w:rPr>
          <w:szCs w:val="32"/>
        </w:rPr>
        <w:t>12</w:t>
      </w:r>
      <w:r>
        <w:rPr>
          <w:szCs w:val="32"/>
        </w:rPr>
        <w:t xml:space="preserve"> percent increase in small customer enrollments and a </w:t>
      </w:r>
      <w:r w:rsidR="001143E8">
        <w:rPr>
          <w:szCs w:val="32"/>
        </w:rPr>
        <w:t>14</w:t>
      </w:r>
      <w:r>
        <w:rPr>
          <w:szCs w:val="32"/>
        </w:rPr>
        <w:t xml:space="preserve"> percent increase in medium customers enrollments </w:t>
      </w:r>
      <w:r w:rsidR="00281C71">
        <w:rPr>
          <w:szCs w:val="32"/>
        </w:rPr>
        <w:t xml:space="preserve">in </w:t>
      </w:r>
      <w:r>
        <w:rPr>
          <w:szCs w:val="32"/>
        </w:rPr>
        <w:t xml:space="preserve">2019. Enrollments are expected to </w:t>
      </w:r>
      <w:r w:rsidR="004C5712">
        <w:rPr>
          <w:szCs w:val="32"/>
        </w:rPr>
        <w:t xml:space="preserve">further </w:t>
      </w:r>
      <w:r>
        <w:rPr>
          <w:szCs w:val="32"/>
        </w:rPr>
        <w:t xml:space="preserve">increase by </w:t>
      </w:r>
      <w:r w:rsidR="004C5712">
        <w:rPr>
          <w:szCs w:val="32"/>
        </w:rPr>
        <w:t xml:space="preserve">32 </w:t>
      </w:r>
      <w:r>
        <w:rPr>
          <w:szCs w:val="32"/>
        </w:rPr>
        <w:t xml:space="preserve">percent for small customers and </w:t>
      </w:r>
      <w:r w:rsidR="004C5712">
        <w:rPr>
          <w:szCs w:val="32"/>
        </w:rPr>
        <w:t xml:space="preserve">43 </w:t>
      </w:r>
      <w:r>
        <w:rPr>
          <w:szCs w:val="32"/>
        </w:rPr>
        <w:t xml:space="preserve">percent for medium customers </w:t>
      </w:r>
      <w:r w:rsidR="00281C71">
        <w:rPr>
          <w:szCs w:val="32"/>
        </w:rPr>
        <w:t>i</w:t>
      </w:r>
      <w:r>
        <w:rPr>
          <w:szCs w:val="32"/>
        </w:rPr>
        <w:t xml:space="preserve">n 2020. </w:t>
      </w:r>
      <w:r w:rsidR="00281C71">
        <w:rPr>
          <w:szCs w:val="32"/>
        </w:rPr>
        <w:t xml:space="preserve">In 2022, </w:t>
      </w:r>
      <w:r w:rsidR="004C5712">
        <w:rPr>
          <w:szCs w:val="32"/>
        </w:rPr>
        <w:t xml:space="preserve">an </w:t>
      </w:r>
      <w:r w:rsidR="00281C71">
        <w:rPr>
          <w:szCs w:val="32"/>
        </w:rPr>
        <w:t xml:space="preserve">increase </w:t>
      </w:r>
      <w:r w:rsidR="004C5712">
        <w:rPr>
          <w:szCs w:val="32"/>
        </w:rPr>
        <w:t xml:space="preserve">of 8 percent is forecast for both groups. The changes in other years are modest in comparison. </w:t>
      </w:r>
      <w:r>
        <w:rPr>
          <w:szCs w:val="32"/>
        </w:rPr>
        <w:t xml:space="preserve">This pattern is reflected in the load impact forecasts shown in </w:t>
      </w:r>
      <w:r>
        <w:rPr>
          <w:szCs w:val="32"/>
        </w:rPr>
        <w:fldChar w:fldCharType="begin"/>
      </w:r>
      <w:r>
        <w:rPr>
          <w:szCs w:val="32"/>
        </w:rPr>
        <w:instrText xml:space="preserve"> REF _Ref507246296 \h </w:instrText>
      </w:r>
      <w:r>
        <w:rPr>
          <w:szCs w:val="32"/>
        </w:rPr>
      </w:r>
      <w:r>
        <w:rPr>
          <w:szCs w:val="32"/>
        </w:rPr>
        <w:fldChar w:fldCharType="separate"/>
      </w:r>
      <w:r w:rsidR="005D5C7C">
        <w:t xml:space="preserve">Figure </w:t>
      </w:r>
      <w:r w:rsidR="005D5C7C">
        <w:rPr>
          <w:noProof/>
        </w:rPr>
        <w:t>3</w:t>
      </w:r>
      <w:r w:rsidR="005D5C7C">
        <w:t>.</w:t>
      </w:r>
      <w:r w:rsidR="005D5C7C">
        <w:rPr>
          <w:noProof/>
        </w:rPr>
        <w:t>29</w:t>
      </w:r>
      <w:r>
        <w:rPr>
          <w:szCs w:val="32"/>
        </w:rPr>
        <w:fldChar w:fldCharType="end"/>
      </w:r>
      <w:r>
        <w:rPr>
          <w:szCs w:val="32"/>
        </w:rPr>
        <w:t xml:space="preserve"> and </w:t>
      </w:r>
      <w:r>
        <w:rPr>
          <w:szCs w:val="32"/>
        </w:rPr>
        <w:fldChar w:fldCharType="begin"/>
      </w:r>
      <w:r>
        <w:rPr>
          <w:szCs w:val="32"/>
        </w:rPr>
        <w:instrText xml:space="preserve"> REF _Ref507246298 \h </w:instrText>
      </w:r>
      <w:r>
        <w:rPr>
          <w:szCs w:val="32"/>
        </w:rPr>
      </w:r>
      <w:r>
        <w:rPr>
          <w:szCs w:val="32"/>
        </w:rPr>
        <w:fldChar w:fldCharType="separate"/>
      </w:r>
      <w:r w:rsidR="005D5C7C">
        <w:t xml:space="preserve">Figure </w:t>
      </w:r>
      <w:r w:rsidR="005D5C7C">
        <w:rPr>
          <w:noProof/>
        </w:rPr>
        <w:t>3</w:t>
      </w:r>
      <w:r w:rsidR="005D5C7C">
        <w:t>.</w:t>
      </w:r>
      <w:r w:rsidR="005D5C7C">
        <w:rPr>
          <w:noProof/>
        </w:rPr>
        <w:t>30</w:t>
      </w:r>
      <w:r>
        <w:rPr>
          <w:szCs w:val="32"/>
        </w:rPr>
        <w:fldChar w:fldCharType="end"/>
      </w:r>
      <w:r>
        <w:rPr>
          <w:szCs w:val="32"/>
        </w:rPr>
        <w:t>.</w:t>
      </w:r>
    </w:p>
    <w:p w14:paraId="79DEBB8E" w14:textId="43D7148C" w:rsidR="00286530" w:rsidRDefault="00286530" w:rsidP="003A20DB">
      <w:pPr>
        <w:spacing w:after="120"/>
        <w:rPr>
          <w:szCs w:val="32"/>
        </w:rPr>
      </w:pPr>
    </w:p>
    <w:p w14:paraId="509225C5" w14:textId="419B694A" w:rsidR="00C84E7B" w:rsidRDefault="00C84E7B" w:rsidP="00C84E7B">
      <w:pPr>
        <w:pStyle w:val="FigureCaption"/>
        <w:rPr>
          <w:i/>
        </w:rPr>
      </w:pPr>
      <w:bookmarkStart w:id="204" w:name="_Ref507245382"/>
      <w:bookmarkStart w:id="205" w:name="_Toc509837470"/>
      <w:r>
        <w:lastRenderedPageBreak/>
        <w:t xml:space="preserve">Figure </w:t>
      </w:r>
      <w:fldSimple w:instr=" STYLEREF 1 \s ">
        <w:r w:rsidR="005D5C7C">
          <w:rPr>
            <w:noProof/>
          </w:rPr>
          <w:t>3</w:t>
        </w:r>
      </w:fldSimple>
      <w:r w:rsidR="00A11E78">
        <w:t>.</w:t>
      </w:r>
      <w:fldSimple w:instr=" SEQ Figure \* ARABIC \s 1 ">
        <w:r w:rsidR="005D5C7C">
          <w:rPr>
            <w:noProof/>
          </w:rPr>
          <w:t>22</w:t>
        </w:r>
      </w:fldSimple>
      <w:bookmarkEnd w:id="204"/>
      <w:r>
        <w:t xml:space="preserve">: PDP Enrollments, </w:t>
      </w:r>
      <w:r>
        <w:rPr>
          <w:i/>
        </w:rPr>
        <w:t>PG&amp;E SMB</w:t>
      </w:r>
      <w:bookmarkEnd w:id="205"/>
    </w:p>
    <w:p w14:paraId="64D174AC" w14:textId="4D708DF3" w:rsidR="00883982" w:rsidRDefault="001143E8" w:rsidP="00883982">
      <w:r>
        <w:rPr>
          <w:noProof/>
        </w:rPr>
        <w:drawing>
          <wp:inline distT="0" distB="0" distL="0" distR="0" wp14:anchorId="72027B51" wp14:editId="74EC291D">
            <wp:extent cx="5486400" cy="3980815"/>
            <wp:effectExtent l="0" t="0" r="0" b="635"/>
            <wp:docPr id="77" name="Chart 77">
              <a:extLst xmlns:a="http://schemas.openxmlformats.org/drawingml/2006/main">
                <a:ext uri="{FF2B5EF4-FFF2-40B4-BE49-F238E27FC236}">
                  <a16:creationId xmlns:a16="http://schemas.microsoft.com/office/drawing/2014/main" id="{CC3C5F74-75D5-4C37-B153-9BC271A751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4207B2FA" w14:textId="20FF4614" w:rsidR="00883982" w:rsidRPr="00C84E7B" w:rsidRDefault="00883982" w:rsidP="00883982"/>
    <w:p w14:paraId="0DF418F0" w14:textId="7412EF39" w:rsidR="00CD6497" w:rsidRDefault="00F410AF" w:rsidP="00CD6497">
      <w:r>
        <w:rPr>
          <w:szCs w:val="32"/>
        </w:rPr>
        <w:fldChar w:fldCharType="begin"/>
      </w:r>
      <w:r>
        <w:rPr>
          <w:szCs w:val="32"/>
        </w:rPr>
        <w:instrText xml:space="preserve"> REF _Ref507247254 \h </w:instrText>
      </w:r>
      <w:r>
        <w:rPr>
          <w:szCs w:val="32"/>
        </w:rPr>
      </w:r>
      <w:r>
        <w:rPr>
          <w:szCs w:val="32"/>
        </w:rPr>
        <w:fldChar w:fldCharType="separate"/>
      </w:r>
      <w:r w:rsidR="005D5C7C">
        <w:t xml:space="preserve">Figure </w:t>
      </w:r>
      <w:r w:rsidR="005D5C7C">
        <w:rPr>
          <w:noProof/>
        </w:rPr>
        <w:t>3</w:t>
      </w:r>
      <w:r w:rsidR="005D5C7C">
        <w:t>.</w:t>
      </w:r>
      <w:r w:rsidR="005D5C7C">
        <w:rPr>
          <w:noProof/>
        </w:rPr>
        <w:t>23</w:t>
      </w:r>
      <w:r>
        <w:rPr>
          <w:szCs w:val="32"/>
        </w:rPr>
        <w:fldChar w:fldCharType="end"/>
      </w:r>
      <w:r>
        <w:rPr>
          <w:szCs w:val="32"/>
        </w:rPr>
        <w:t xml:space="preserve"> </w:t>
      </w:r>
      <w:r w:rsidR="00CD6497">
        <w:t xml:space="preserve">illustrates the aggregate reference loads, observed loads, and load impacts for medium customers on the typical event day in August in 2022 for the PG&amp;E 1-in-2 weather scenario. The shape of the </w:t>
      </w:r>
      <w:r w:rsidR="00CD6497" w:rsidRPr="003B39B5">
        <w:rPr>
          <w:i/>
        </w:rPr>
        <w:t>ex-ante</w:t>
      </w:r>
      <w:r w:rsidR="00CD6497">
        <w:t xml:space="preserve"> loads and load impacts is </w:t>
      </w:r>
      <w:proofErr w:type="gramStart"/>
      <w:r w:rsidR="00CD6497">
        <w:t>similar to</w:t>
      </w:r>
      <w:proofErr w:type="gramEnd"/>
      <w:r w:rsidR="00CD6497">
        <w:t xml:space="preserve"> the </w:t>
      </w:r>
      <w:r w:rsidR="00CD6497" w:rsidRPr="003B39B5">
        <w:rPr>
          <w:i/>
        </w:rPr>
        <w:t>ex-post</w:t>
      </w:r>
      <w:r w:rsidR="00CD6497">
        <w:t xml:space="preserve"> results in </w:t>
      </w:r>
      <w:r w:rsidR="00CD6497">
        <w:fldChar w:fldCharType="begin"/>
      </w:r>
      <w:r w:rsidR="00CD6497">
        <w:instrText xml:space="preserve"> REF _Ref506911981 \h </w:instrText>
      </w:r>
      <w:r w:rsidR="00CD6497">
        <w:fldChar w:fldCharType="separate"/>
      </w:r>
      <w:r w:rsidR="005D5C7C">
        <w:t xml:space="preserve">Figure </w:t>
      </w:r>
      <w:r w:rsidR="005D5C7C">
        <w:rPr>
          <w:noProof/>
        </w:rPr>
        <w:t>3</w:t>
      </w:r>
      <w:r w:rsidR="005D5C7C">
        <w:t>.</w:t>
      </w:r>
      <w:r w:rsidR="005D5C7C">
        <w:rPr>
          <w:noProof/>
        </w:rPr>
        <w:t>6</w:t>
      </w:r>
      <w:r w:rsidR="00CD6497">
        <w:fldChar w:fldCharType="end"/>
      </w:r>
      <w:r w:rsidR="00CD6497">
        <w:t xml:space="preserve">, </w:t>
      </w:r>
      <w:r w:rsidR="00281C71">
        <w:t xml:space="preserve">though </w:t>
      </w:r>
      <w:r w:rsidR="00CD6497">
        <w:t>the magnitudes are much larger</w:t>
      </w:r>
      <w:r w:rsidR="00281C71">
        <w:t xml:space="preserve"> due to higher enrollment</w:t>
      </w:r>
      <w:r w:rsidR="00CD6497">
        <w:t>. The forecast predicts an average load impact of 2</w:t>
      </w:r>
      <w:r w:rsidR="00281C71">
        <w:t>1.</w:t>
      </w:r>
      <w:r w:rsidR="004C5712">
        <w:t>8</w:t>
      </w:r>
      <w:r w:rsidR="00CD6497">
        <w:t xml:space="preserve"> MWh/hour</w:t>
      </w:r>
      <w:r w:rsidR="00281C71">
        <w:t>, or 1.1 percent of the reference load</w:t>
      </w:r>
      <w:r w:rsidR="00CD6497">
        <w:t>.</w:t>
      </w:r>
    </w:p>
    <w:p w14:paraId="3E00932B" w14:textId="6CFA4CF7" w:rsidR="003208ED" w:rsidRDefault="003208ED" w:rsidP="003A20DB">
      <w:pPr>
        <w:spacing w:after="120"/>
        <w:rPr>
          <w:szCs w:val="32"/>
        </w:rPr>
      </w:pPr>
    </w:p>
    <w:p w14:paraId="13116F82" w14:textId="4D803E75" w:rsidR="002B400B" w:rsidRDefault="002B400B" w:rsidP="002B400B">
      <w:pPr>
        <w:pStyle w:val="FigureCaption"/>
        <w:rPr>
          <w:i/>
        </w:rPr>
      </w:pPr>
      <w:bookmarkStart w:id="206" w:name="_Ref507247254"/>
      <w:bookmarkStart w:id="207" w:name="_Toc509837471"/>
      <w:r>
        <w:lastRenderedPageBreak/>
        <w:t xml:space="preserve">Figure </w:t>
      </w:r>
      <w:fldSimple w:instr=" STYLEREF 1 \s ">
        <w:r w:rsidR="005D5C7C">
          <w:rPr>
            <w:noProof/>
          </w:rPr>
          <w:t>3</w:t>
        </w:r>
      </w:fldSimple>
      <w:r w:rsidR="00A11E78">
        <w:t>.</w:t>
      </w:r>
      <w:fldSimple w:instr=" SEQ Figure \* ARABIC \s 1 ">
        <w:r w:rsidR="005D5C7C">
          <w:rPr>
            <w:noProof/>
          </w:rPr>
          <w:t>23</w:t>
        </w:r>
      </w:fldSimple>
      <w:bookmarkEnd w:id="206"/>
      <w:r>
        <w:t>:</w:t>
      </w:r>
      <w:r w:rsidRPr="00EE4C42">
        <w:t xml:space="preserve"> </w:t>
      </w:r>
      <w:r w:rsidR="008C4F13" w:rsidRPr="003E379F">
        <w:t>Aggregate Hourly Loads and Load Impacts</w:t>
      </w:r>
      <w:r w:rsidR="008C4F13">
        <w:t xml:space="preserve"> in 2022 for</w:t>
      </w:r>
      <w:r w:rsidR="008C4F13">
        <w:rPr>
          <w:i/>
        </w:rPr>
        <w:t xml:space="preserve"> PG&amp;E 1-in-2 Typical Event Day</w:t>
      </w:r>
      <w:r>
        <w:rPr>
          <w:i/>
        </w:rPr>
        <w:t>, PG&amp;E Medium</w:t>
      </w:r>
      <w:bookmarkEnd w:id="207"/>
    </w:p>
    <w:p w14:paraId="01422447" w14:textId="5B7C55D1" w:rsidR="00883982" w:rsidRDefault="004C5712" w:rsidP="00883982">
      <w:r>
        <w:rPr>
          <w:noProof/>
        </w:rPr>
        <w:drawing>
          <wp:inline distT="0" distB="0" distL="0" distR="0" wp14:anchorId="4BF50738" wp14:editId="2B885569">
            <wp:extent cx="5486400" cy="3980815"/>
            <wp:effectExtent l="0" t="0" r="0" b="635"/>
            <wp:docPr id="82" name="Chart 82">
              <a:extLst xmlns:a="http://schemas.openxmlformats.org/drawingml/2006/main">
                <a:ext uri="{FF2B5EF4-FFF2-40B4-BE49-F238E27FC236}">
                  <a16:creationId xmlns:a16="http://schemas.microsoft.com/office/drawing/2014/main" id="{C56E7310-4A80-44B9-B43B-E78C3BC7FF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2D2C1400" w14:textId="2EAFADED" w:rsidR="00F410AF" w:rsidRDefault="00F410AF" w:rsidP="00883982"/>
    <w:p w14:paraId="40999A4C" w14:textId="1DB56BF2" w:rsidR="00CD6497" w:rsidRDefault="00F410AF" w:rsidP="00CD6497">
      <w:r>
        <w:fldChar w:fldCharType="begin"/>
      </w:r>
      <w:r>
        <w:instrText xml:space="preserve"> REF _Ref507247714 \h </w:instrText>
      </w:r>
      <w:r>
        <w:fldChar w:fldCharType="separate"/>
      </w:r>
      <w:r w:rsidR="005D5C7C">
        <w:t xml:space="preserve">Figure </w:t>
      </w:r>
      <w:r w:rsidR="005D5C7C">
        <w:rPr>
          <w:noProof/>
        </w:rPr>
        <w:t>3</w:t>
      </w:r>
      <w:r w:rsidR="005D5C7C">
        <w:t>.</w:t>
      </w:r>
      <w:r w:rsidR="005D5C7C">
        <w:rPr>
          <w:noProof/>
        </w:rPr>
        <w:t>24</w:t>
      </w:r>
      <w:r>
        <w:fldChar w:fldCharType="end"/>
      </w:r>
      <w:r w:rsidR="00CD6497">
        <w:t xml:space="preserve"> illustrates the aggregate reference loads, observed loads, and load impacts for </w:t>
      </w:r>
      <w:r w:rsidR="00281C71">
        <w:t xml:space="preserve">small </w:t>
      </w:r>
      <w:r w:rsidR="00CD6497">
        <w:t xml:space="preserve">customers on the typical event day in August in 2022 for the PG&amp;E 1-in-2 weather scenario. There are some slight differences in the shape of the </w:t>
      </w:r>
      <w:r w:rsidR="00CD6497" w:rsidRPr="003B39B5">
        <w:rPr>
          <w:i/>
        </w:rPr>
        <w:t>ex-ante</w:t>
      </w:r>
      <w:r w:rsidR="00CD6497">
        <w:t xml:space="preserve"> loads and load impacts compared to the </w:t>
      </w:r>
      <w:r w:rsidR="00CD6497" w:rsidRPr="003B39B5">
        <w:rPr>
          <w:i/>
        </w:rPr>
        <w:t>ex-post</w:t>
      </w:r>
      <w:r w:rsidR="00CD6497">
        <w:t xml:space="preserve"> results in </w:t>
      </w:r>
      <w:r w:rsidR="00CD6497">
        <w:fldChar w:fldCharType="begin"/>
      </w:r>
      <w:r w:rsidR="00CD6497">
        <w:instrText xml:space="preserve"> REF _Ref506911986 \h </w:instrText>
      </w:r>
      <w:r w:rsidR="00CD6497">
        <w:fldChar w:fldCharType="separate"/>
      </w:r>
      <w:r w:rsidR="005D5C7C">
        <w:t xml:space="preserve">Figure </w:t>
      </w:r>
      <w:r w:rsidR="005D5C7C">
        <w:rPr>
          <w:noProof/>
        </w:rPr>
        <w:t>3</w:t>
      </w:r>
      <w:r w:rsidR="005D5C7C">
        <w:t>.</w:t>
      </w:r>
      <w:r w:rsidR="005D5C7C">
        <w:rPr>
          <w:noProof/>
        </w:rPr>
        <w:t>7</w:t>
      </w:r>
      <w:r w:rsidR="00CD6497">
        <w:fldChar w:fldCharType="end"/>
      </w:r>
      <w:r w:rsidR="0079277E">
        <w:t>, though the overall pattern is similar.</w:t>
      </w:r>
      <w:r w:rsidR="00CD6497">
        <w:t xml:space="preserve"> The forecast predicts an average load impact of </w:t>
      </w:r>
      <w:r w:rsidR="007A269D">
        <w:t>3</w:t>
      </w:r>
      <w:r w:rsidR="00281C71">
        <w:t>.3</w:t>
      </w:r>
      <w:r w:rsidR="00CD6497">
        <w:t xml:space="preserve"> MWh/hour</w:t>
      </w:r>
      <w:r w:rsidR="00281C71">
        <w:t>, or 0.6 percent of the reference load</w:t>
      </w:r>
      <w:r w:rsidR="00CD6497">
        <w:t>.</w:t>
      </w:r>
    </w:p>
    <w:p w14:paraId="228ED59E" w14:textId="77777777" w:rsidR="00CD6497" w:rsidRDefault="00CD6497" w:rsidP="00883982"/>
    <w:p w14:paraId="0CF99AE0" w14:textId="6C8BDD2A" w:rsidR="002B400B" w:rsidRDefault="002B400B" w:rsidP="003A20DB">
      <w:pPr>
        <w:spacing w:after="120"/>
        <w:rPr>
          <w:szCs w:val="32"/>
        </w:rPr>
      </w:pPr>
    </w:p>
    <w:p w14:paraId="53B1395F" w14:textId="68C2BEEC" w:rsidR="002B400B" w:rsidRDefault="002B400B" w:rsidP="002B400B">
      <w:pPr>
        <w:pStyle w:val="FigureCaption"/>
        <w:rPr>
          <w:i/>
        </w:rPr>
      </w:pPr>
      <w:bookmarkStart w:id="208" w:name="_Ref507247714"/>
      <w:bookmarkStart w:id="209" w:name="_Toc509837472"/>
      <w:r>
        <w:lastRenderedPageBreak/>
        <w:t xml:space="preserve">Figure </w:t>
      </w:r>
      <w:fldSimple w:instr=" STYLEREF 1 \s ">
        <w:r w:rsidR="005D5C7C">
          <w:rPr>
            <w:noProof/>
          </w:rPr>
          <w:t>3</w:t>
        </w:r>
      </w:fldSimple>
      <w:r w:rsidR="00A11E78">
        <w:t>.</w:t>
      </w:r>
      <w:fldSimple w:instr=" SEQ Figure \* ARABIC \s 1 ">
        <w:r w:rsidR="005D5C7C">
          <w:rPr>
            <w:noProof/>
          </w:rPr>
          <w:t>24</w:t>
        </w:r>
      </w:fldSimple>
      <w:bookmarkEnd w:id="208"/>
      <w:r>
        <w:t xml:space="preserve">: </w:t>
      </w:r>
      <w:r w:rsidR="008C4F13" w:rsidRPr="003E379F">
        <w:t>Aggregate Hourly Loads and Load Impacts</w:t>
      </w:r>
      <w:r w:rsidR="008C4F13">
        <w:t xml:space="preserve"> in 2022 for</w:t>
      </w:r>
      <w:r w:rsidR="008C4F13">
        <w:rPr>
          <w:i/>
        </w:rPr>
        <w:t xml:space="preserve"> PG&amp;E 1-in-2 Typical Event Day</w:t>
      </w:r>
      <w:r>
        <w:rPr>
          <w:i/>
        </w:rPr>
        <w:t>, PG&amp;E Small</w:t>
      </w:r>
      <w:bookmarkEnd w:id="209"/>
    </w:p>
    <w:p w14:paraId="43CD4D4F" w14:textId="74D2B6BA" w:rsidR="00883982" w:rsidRDefault="004C5712" w:rsidP="00883982">
      <w:r>
        <w:rPr>
          <w:noProof/>
        </w:rPr>
        <w:drawing>
          <wp:inline distT="0" distB="0" distL="0" distR="0" wp14:anchorId="52B8F707" wp14:editId="71F6C056">
            <wp:extent cx="5486400" cy="3980815"/>
            <wp:effectExtent l="0" t="0" r="0" b="635"/>
            <wp:docPr id="85" name="Chart 85">
              <a:extLst xmlns:a="http://schemas.openxmlformats.org/drawingml/2006/main">
                <a:ext uri="{FF2B5EF4-FFF2-40B4-BE49-F238E27FC236}">
                  <a16:creationId xmlns:a16="http://schemas.microsoft.com/office/drawing/2014/main" id="{D5F7C1E8-598A-49C8-9AE6-29E64B1DE1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73BA4084" w14:textId="2D8BD200" w:rsidR="00F410AF" w:rsidRDefault="00F410AF" w:rsidP="00883982"/>
    <w:p w14:paraId="628DF23E" w14:textId="31CD4528" w:rsidR="00883982" w:rsidRDefault="00883982" w:rsidP="00883982"/>
    <w:p w14:paraId="279B2CD0" w14:textId="641FA483" w:rsidR="00BE4EEC" w:rsidRDefault="00F410AF" w:rsidP="00BE4EEC">
      <w:pPr>
        <w:spacing w:after="120"/>
        <w:rPr>
          <w:szCs w:val="32"/>
        </w:rPr>
      </w:pPr>
      <w:r>
        <w:rPr>
          <w:szCs w:val="32"/>
        </w:rPr>
        <w:fldChar w:fldCharType="begin"/>
      </w:r>
      <w:r>
        <w:rPr>
          <w:szCs w:val="32"/>
        </w:rPr>
        <w:instrText xml:space="preserve"> REF _Ref507247719 \h </w:instrText>
      </w:r>
      <w:r>
        <w:rPr>
          <w:szCs w:val="32"/>
        </w:rPr>
      </w:r>
      <w:r>
        <w:rPr>
          <w:szCs w:val="32"/>
        </w:rPr>
        <w:fldChar w:fldCharType="separate"/>
      </w:r>
      <w:r w:rsidR="005D5C7C">
        <w:t xml:space="preserve">Figure </w:t>
      </w:r>
      <w:r w:rsidR="005D5C7C">
        <w:rPr>
          <w:noProof/>
        </w:rPr>
        <w:t>3</w:t>
      </w:r>
      <w:r w:rsidR="005D5C7C">
        <w:t>.</w:t>
      </w:r>
      <w:r w:rsidR="005D5C7C">
        <w:rPr>
          <w:noProof/>
        </w:rPr>
        <w:t>25</w:t>
      </w:r>
      <w:r>
        <w:rPr>
          <w:szCs w:val="32"/>
        </w:rPr>
        <w:fldChar w:fldCharType="end"/>
      </w:r>
      <w:r w:rsidR="007A269D">
        <w:rPr>
          <w:szCs w:val="32"/>
        </w:rPr>
        <w:t xml:space="preserve"> </w:t>
      </w:r>
      <w:r w:rsidR="00BE4EEC">
        <w:rPr>
          <w:szCs w:val="32"/>
        </w:rPr>
        <w:t xml:space="preserve">shows the forecasted share of load impacts for medium customers </w:t>
      </w:r>
      <w:r w:rsidR="0079277E">
        <w:rPr>
          <w:szCs w:val="32"/>
        </w:rPr>
        <w:t xml:space="preserve">by </w:t>
      </w:r>
      <w:r w:rsidR="00BE4EEC">
        <w:rPr>
          <w:szCs w:val="32"/>
        </w:rPr>
        <w:t>LCA</w:t>
      </w:r>
      <w:r w:rsidR="0079277E">
        <w:rPr>
          <w:szCs w:val="32"/>
        </w:rPr>
        <w:t xml:space="preserve">, based on </w:t>
      </w:r>
      <w:r w:rsidR="00BE4EEC">
        <w:rPr>
          <w:szCs w:val="32"/>
        </w:rPr>
        <w:t xml:space="preserve">the average event-hour </w:t>
      </w:r>
      <w:r w:rsidR="0079277E">
        <w:rPr>
          <w:szCs w:val="32"/>
        </w:rPr>
        <w:t xml:space="preserve">load impact </w:t>
      </w:r>
      <w:r w:rsidR="00BE4EEC">
        <w:rPr>
          <w:szCs w:val="32"/>
        </w:rPr>
        <w:t xml:space="preserve">on the typical event day in 2022 under PG&amp;E’s 1-in-2 weather scenario. Several LCAs including the Greater Bay Area, Northern Coast, and Sierra gain larger shares of total load impacts compare to the </w:t>
      </w:r>
      <w:r w:rsidR="0079277E" w:rsidRPr="0079277E">
        <w:rPr>
          <w:i/>
          <w:szCs w:val="32"/>
        </w:rPr>
        <w:t>ex-post</w:t>
      </w:r>
      <w:r w:rsidR="0079277E">
        <w:rPr>
          <w:szCs w:val="32"/>
        </w:rPr>
        <w:t xml:space="preserve"> estimates </w:t>
      </w:r>
      <w:r w:rsidR="00BE4EEC">
        <w:rPr>
          <w:szCs w:val="32"/>
        </w:rPr>
        <w:t xml:space="preserve">presented in </w:t>
      </w:r>
      <w:r w:rsidR="00BE4EEC">
        <w:rPr>
          <w:szCs w:val="32"/>
        </w:rPr>
        <w:fldChar w:fldCharType="begin"/>
      </w:r>
      <w:r w:rsidR="00BE4EEC">
        <w:rPr>
          <w:szCs w:val="32"/>
        </w:rPr>
        <w:instrText xml:space="preserve"> REF _Ref506975585 \h </w:instrText>
      </w:r>
      <w:r w:rsidR="00BE4EEC">
        <w:rPr>
          <w:szCs w:val="32"/>
        </w:rPr>
      </w:r>
      <w:r w:rsidR="00BE4EEC">
        <w:rPr>
          <w:szCs w:val="32"/>
        </w:rPr>
        <w:fldChar w:fldCharType="separate"/>
      </w:r>
      <w:r w:rsidR="005D5C7C">
        <w:t xml:space="preserve">Figure </w:t>
      </w:r>
      <w:r w:rsidR="005D5C7C">
        <w:rPr>
          <w:noProof/>
        </w:rPr>
        <w:t>3</w:t>
      </w:r>
      <w:r w:rsidR="005D5C7C">
        <w:t>.</w:t>
      </w:r>
      <w:r w:rsidR="005D5C7C">
        <w:rPr>
          <w:noProof/>
        </w:rPr>
        <w:t>10</w:t>
      </w:r>
      <w:r w:rsidR="00BE4EEC">
        <w:rPr>
          <w:szCs w:val="32"/>
        </w:rPr>
        <w:fldChar w:fldCharType="end"/>
      </w:r>
      <w:r w:rsidR="00BE4EEC">
        <w:rPr>
          <w:szCs w:val="32"/>
        </w:rPr>
        <w:t xml:space="preserve">. </w:t>
      </w:r>
      <w:r w:rsidR="003A492F">
        <w:rPr>
          <w:szCs w:val="32"/>
        </w:rPr>
        <w:t>The Greater Bay Area</w:t>
      </w:r>
      <w:r w:rsidR="0079277E">
        <w:rPr>
          <w:szCs w:val="32"/>
        </w:rPr>
        <w:t xml:space="preserve"> </w:t>
      </w:r>
      <w:r w:rsidR="003A492F">
        <w:rPr>
          <w:szCs w:val="32"/>
        </w:rPr>
        <w:t xml:space="preserve">gains almost 10 percent </w:t>
      </w:r>
      <w:r w:rsidR="0079277E">
        <w:rPr>
          <w:szCs w:val="32"/>
        </w:rPr>
        <w:t xml:space="preserve">points </w:t>
      </w:r>
      <w:r w:rsidR="003A492F">
        <w:rPr>
          <w:szCs w:val="32"/>
        </w:rPr>
        <w:t>of the load impact</w:t>
      </w:r>
      <w:r w:rsidR="0079277E">
        <w:rPr>
          <w:szCs w:val="32"/>
        </w:rPr>
        <w:t xml:space="preserve"> share</w:t>
      </w:r>
      <w:r w:rsidR="003A492F">
        <w:rPr>
          <w:szCs w:val="32"/>
        </w:rPr>
        <w:t xml:space="preserve">. </w:t>
      </w:r>
      <w:r w:rsidR="0079277E">
        <w:rPr>
          <w:szCs w:val="32"/>
        </w:rPr>
        <w:t>Conversely</w:t>
      </w:r>
      <w:r w:rsidR="00BE4EEC">
        <w:rPr>
          <w:szCs w:val="32"/>
        </w:rPr>
        <w:t>, customers not in any LCA</w:t>
      </w:r>
      <w:r w:rsidR="0079277E">
        <w:rPr>
          <w:szCs w:val="32"/>
        </w:rPr>
        <w:t xml:space="preserve"> lose approximately 8 percentage points of the load impact share</w:t>
      </w:r>
      <w:r w:rsidR="00BE4EEC">
        <w:rPr>
          <w:szCs w:val="32"/>
        </w:rPr>
        <w:t>.</w:t>
      </w:r>
      <w:r w:rsidR="0079277E">
        <w:rPr>
          <w:szCs w:val="32"/>
        </w:rPr>
        <w:t xml:space="preserve"> These changes are due to differences between </w:t>
      </w:r>
      <w:r w:rsidR="0079277E" w:rsidRPr="0079277E">
        <w:rPr>
          <w:i/>
          <w:szCs w:val="32"/>
        </w:rPr>
        <w:t>ex-post</w:t>
      </w:r>
      <w:r w:rsidR="0079277E">
        <w:rPr>
          <w:szCs w:val="32"/>
        </w:rPr>
        <w:t xml:space="preserve"> and </w:t>
      </w:r>
      <w:r w:rsidR="0079277E" w:rsidRPr="0079277E">
        <w:rPr>
          <w:i/>
          <w:szCs w:val="32"/>
        </w:rPr>
        <w:t>ex-ante</w:t>
      </w:r>
      <w:r w:rsidR="0079277E">
        <w:rPr>
          <w:szCs w:val="32"/>
        </w:rPr>
        <w:t xml:space="preserve"> enrollment shares across LCAs.</w:t>
      </w:r>
    </w:p>
    <w:p w14:paraId="57A9C915" w14:textId="2AD3C87C" w:rsidR="002B400B" w:rsidRDefault="002B400B" w:rsidP="003A20DB">
      <w:pPr>
        <w:spacing w:after="120"/>
        <w:rPr>
          <w:szCs w:val="32"/>
        </w:rPr>
      </w:pPr>
    </w:p>
    <w:p w14:paraId="301AB6FA" w14:textId="7A99DEA6" w:rsidR="00D56056" w:rsidRPr="00D56056" w:rsidRDefault="00D56056" w:rsidP="00D56056">
      <w:pPr>
        <w:pStyle w:val="FigureCaption"/>
        <w:rPr>
          <w:i/>
        </w:rPr>
      </w:pPr>
      <w:bookmarkStart w:id="210" w:name="_Ref507247719"/>
      <w:bookmarkStart w:id="211" w:name="_Toc509837473"/>
      <w:r>
        <w:lastRenderedPageBreak/>
        <w:t xml:space="preserve">Figure </w:t>
      </w:r>
      <w:fldSimple w:instr=" STYLEREF 1 \s ">
        <w:r w:rsidR="005D5C7C">
          <w:rPr>
            <w:noProof/>
          </w:rPr>
          <w:t>3</w:t>
        </w:r>
      </w:fldSimple>
      <w:r w:rsidR="00A11E78">
        <w:t>.</w:t>
      </w:r>
      <w:fldSimple w:instr=" SEQ Figure \* ARABIC \s 1 ">
        <w:r w:rsidR="005D5C7C">
          <w:rPr>
            <w:noProof/>
          </w:rPr>
          <w:t>25</w:t>
        </w:r>
      </w:fldSimple>
      <w:bookmarkEnd w:id="210"/>
      <w:r>
        <w:t xml:space="preserve">: </w:t>
      </w:r>
      <w:r w:rsidR="00782ABA">
        <w:t>Share of Load Impacts by LCA in 2022 for</w:t>
      </w:r>
      <w:r w:rsidR="00782ABA">
        <w:rPr>
          <w:i/>
        </w:rPr>
        <w:t xml:space="preserve"> PG&amp;E 1-in-2 Typical Event Day, P</w:t>
      </w:r>
      <w:r>
        <w:rPr>
          <w:i/>
        </w:rPr>
        <w:t>G&amp;E Medium</w:t>
      </w:r>
      <w:bookmarkEnd w:id="211"/>
    </w:p>
    <w:p w14:paraId="0BECFD42" w14:textId="27BDACB3" w:rsidR="00D56056" w:rsidRDefault="00D56056" w:rsidP="003A20DB">
      <w:pPr>
        <w:spacing w:after="120"/>
        <w:rPr>
          <w:szCs w:val="32"/>
        </w:rPr>
      </w:pPr>
      <w:r>
        <w:rPr>
          <w:noProof/>
          <w:szCs w:val="32"/>
        </w:rPr>
        <w:drawing>
          <wp:inline distT="0" distB="0" distL="0" distR="0" wp14:anchorId="3B33F007" wp14:editId="33581EA9">
            <wp:extent cx="5487035" cy="398716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87035" cy="3987165"/>
                    </a:xfrm>
                    <a:prstGeom prst="rect">
                      <a:avLst/>
                    </a:prstGeom>
                    <a:noFill/>
                  </pic:spPr>
                </pic:pic>
              </a:graphicData>
            </a:graphic>
          </wp:inline>
        </w:drawing>
      </w:r>
    </w:p>
    <w:p w14:paraId="32970607" w14:textId="6EA9E491" w:rsidR="00D56056" w:rsidRDefault="00D56056" w:rsidP="003A20DB">
      <w:pPr>
        <w:spacing w:after="120"/>
        <w:rPr>
          <w:szCs w:val="32"/>
        </w:rPr>
      </w:pPr>
    </w:p>
    <w:p w14:paraId="06B27734" w14:textId="0CFB501D" w:rsidR="00D56056" w:rsidRDefault="00D56056" w:rsidP="003A20DB">
      <w:pPr>
        <w:spacing w:after="120"/>
        <w:rPr>
          <w:szCs w:val="32"/>
        </w:rPr>
      </w:pPr>
    </w:p>
    <w:p w14:paraId="0F489144" w14:textId="17B39545" w:rsidR="00BE4EEC" w:rsidRDefault="00F410AF" w:rsidP="00BE4EEC">
      <w:pPr>
        <w:spacing w:after="120"/>
        <w:rPr>
          <w:szCs w:val="32"/>
        </w:rPr>
      </w:pPr>
      <w:r>
        <w:rPr>
          <w:szCs w:val="32"/>
        </w:rPr>
        <w:fldChar w:fldCharType="begin"/>
      </w:r>
      <w:r>
        <w:rPr>
          <w:szCs w:val="32"/>
        </w:rPr>
        <w:instrText xml:space="preserve"> REF _Ref507247724 \h </w:instrText>
      </w:r>
      <w:r>
        <w:rPr>
          <w:szCs w:val="32"/>
        </w:rPr>
      </w:r>
      <w:r>
        <w:rPr>
          <w:szCs w:val="32"/>
        </w:rPr>
        <w:fldChar w:fldCharType="separate"/>
      </w:r>
      <w:r w:rsidR="005D5C7C">
        <w:t xml:space="preserve">Figure </w:t>
      </w:r>
      <w:r w:rsidR="005D5C7C">
        <w:rPr>
          <w:noProof/>
        </w:rPr>
        <w:t>3</w:t>
      </w:r>
      <w:r w:rsidR="005D5C7C">
        <w:t>.</w:t>
      </w:r>
      <w:r w:rsidR="005D5C7C">
        <w:rPr>
          <w:noProof/>
        </w:rPr>
        <w:t>26</w:t>
      </w:r>
      <w:r>
        <w:rPr>
          <w:szCs w:val="32"/>
        </w:rPr>
        <w:fldChar w:fldCharType="end"/>
      </w:r>
      <w:r w:rsidR="00BE4EEC">
        <w:rPr>
          <w:szCs w:val="32"/>
        </w:rPr>
        <w:t xml:space="preserve"> shows </w:t>
      </w:r>
      <w:r w:rsidR="0079277E">
        <w:rPr>
          <w:szCs w:val="32"/>
        </w:rPr>
        <w:t xml:space="preserve">same shares for small customers. In this case, the customers not in any LCA (“Other”) account for the highest share of the load impacts, followed by customers in Stockton. </w:t>
      </w:r>
    </w:p>
    <w:p w14:paraId="52115632" w14:textId="5F6C272D" w:rsidR="00D56056" w:rsidRDefault="00D56056" w:rsidP="003A20DB">
      <w:pPr>
        <w:spacing w:after="120"/>
        <w:rPr>
          <w:szCs w:val="32"/>
        </w:rPr>
      </w:pPr>
    </w:p>
    <w:p w14:paraId="1A3FF4A2" w14:textId="03472841" w:rsidR="00D56056" w:rsidRPr="00D56056" w:rsidRDefault="00D56056" w:rsidP="00D56056">
      <w:pPr>
        <w:pStyle w:val="FigureCaption"/>
        <w:rPr>
          <w:i/>
        </w:rPr>
      </w:pPr>
      <w:bookmarkStart w:id="212" w:name="_Ref507247724"/>
      <w:bookmarkStart w:id="213" w:name="_Toc509837474"/>
      <w:r>
        <w:lastRenderedPageBreak/>
        <w:t xml:space="preserve">Figure </w:t>
      </w:r>
      <w:fldSimple w:instr=" STYLEREF 1 \s ">
        <w:r w:rsidR="005D5C7C">
          <w:rPr>
            <w:noProof/>
          </w:rPr>
          <w:t>3</w:t>
        </w:r>
      </w:fldSimple>
      <w:r w:rsidR="00A11E78">
        <w:t>.</w:t>
      </w:r>
      <w:fldSimple w:instr=" SEQ Figure \* ARABIC \s 1 ">
        <w:r w:rsidR="005D5C7C">
          <w:rPr>
            <w:noProof/>
          </w:rPr>
          <w:t>26</w:t>
        </w:r>
      </w:fldSimple>
      <w:bookmarkEnd w:id="212"/>
      <w:r>
        <w:t xml:space="preserve">: </w:t>
      </w:r>
      <w:r w:rsidR="00782ABA">
        <w:t>Share of Load Impacts by LCA in 2022 for</w:t>
      </w:r>
      <w:r w:rsidR="00782ABA">
        <w:rPr>
          <w:i/>
        </w:rPr>
        <w:t xml:space="preserve"> PG&amp;E 1-in-2 Typical Event Day, </w:t>
      </w:r>
      <w:r>
        <w:rPr>
          <w:i/>
        </w:rPr>
        <w:t>PG&amp;E Small</w:t>
      </w:r>
      <w:bookmarkEnd w:id="213"/>
    </w:p>
    <w:p w14:paraId="4B770C91" w14:textId="61D349E6" w:rsidR="00D56056" w:rsidRDefault="00D56056" w:rsidP="003A20DB">
      <w:pPr>
        <w:spacing w:after="120"/>
        <w:rPr>
          <w:szCs w:val="32"/>
        </w:rPr>
      </w:pPr>
      <w:r>
        <w:rPr>
          <w:noProof/>
          <w:szCs w:val="32"/>
        </w:rPr>
        <w:drawing>
          <wp:inline distT="0" distB="0" distL="0" distR="0" wp14:anchorId="6F5847D6" wp14:editId="711F88E2">
            <wp:extent cx="5487035" cy="398716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87035" cy="3987165"/>
                    </a:xfrm>
                    <a:prstGeom prst="rect">
                      <a:avLst/>
                    </a:prstGeom>
                    <a:noFill/>
                  </pic:spPr>
                </pic:pic>
              </a:graphicData>
            </a:graphic>
          </wp:inline>
        </w:drawing>
      </w:r>
    </w:p>
    <w:p w14:paraId="142BD883" w14:textId="2AEC3CFF" w:rsidR="00EE4C42" w:rsidRDefault="00EE4C42" w:rsidP="003A20DB">
      <w:pPr>
        <w:spacing w:after="120"/>
        <w:rPr>
          <w:szCs w:val="32"/>
        </w:rPr>
      </w:pPr>
    </w:p>
    <w:p w14:paraId="43ECC59F" w14:textId="67F2FF42" w:rsidR="00EE4C42" w:rsidRDefault="00EE4C42" w:rsidP="003A20DB">
      <w:pPr>
        <w:spacing w:after="120"/>
        <w:rPr>
          <w:szCs w:val="32"/>
        </w:rPr>
      </w:pPr>
    </w:p>
    <w:p w14:paraId="239BFB7B" w14:textId="644788BA" w:rsidR="002B400B" w:rsidRDefault="00F410AF" w:rsidP="003A20DB">
      <w:pPr>
        <w:spacing w:after="120"/>
        <w:rPr>
          <w:szCs w:val="32"/>
        </w:rPr>
      </w:pPr>
      <w:r>
        <w:rPr>
          <w:szCs w:val="32"/>
        </w:rPr>
        <w:fldChar w:fldCharType="begin"/>
      </w:r>
      <w:r>
        <w:rPr>
          <w:szCs w:val="32"/>
        </w:rPr>
        <w:instrText xml:space="preserve"> REF _Ref507247728 \h </w:instrText>
      </w:r>
      <w:r>
        <w:rPr>
          <w:szCs w:val="32"/>
        </w:rPr>
      </w:r>
      <w:r>
        <w:rPr>
          <w:szCs w:val="32"/>
        </w:rPr>
        <w:fldChar w:fldCharType="separate"/>
      </w:r>
      <w:r w:rsidR="005D5C7C">
        <w:t xml:space="preserve">Figure </w:t>
      </w:r>
      <w:r w:rsidR="005D5C7C">
        <w:rPr>
          <w:noProof/>
        </w:rPr>
        <w:t>3</w:t>
      </w:r>
      <w:r w:rsidR="005D5C7C">
        <w:t>.</w:t>
      </w:r>
      <w:r w:rsidR="005D5C7C">
        <w:rPr>
          <w:noProof/>
        </w:rPr>
        <w:t>27</w:t>
      </w:r>
      <w:r>
        <w:rPr>
          <w:szCs w:val="32"/>
        </w:rPr>
        <w:fldChar w:fldCharType="end"/>
      </w:r>
      <w:r w:rsidR="00650DA9">
        <w:rPr>
          <w:szCs w:val="32"/>
        </w:rPr>
        <w:t xml:space="preserve"> </w:t>
      </w:r>
      <w:r w:rsidR="0079277E">
        <w:rPr>
          <w:szCs w:val="32"/>
        </w:rPr>
        <w:t>shows t</w:t>
      </w:r>
      <w:r w:rsidR="00650DA9">
        <w:rPr>
          <w:szCs w:val="32"/>
        </w:rPr>
        <w:t xml:space="preserve">he seasonality </w:t>
      </w:r>
      <w:r w:rsidR="0079277E">
        <w:rPr>
          <w:szCs w:val="32"/>
        </w:rPr>
        <w:t>of</w:t>
      </w:r>
      <w:r w:rsidR="00650DA9">
        <w:rPr>
          <w:szCs w:val="32"/>
        </w:rPr>
        <w:t xml:space="preserve"> the forecasted</w:t>
      </w:r>
      <w:r w:rsidR="00650DA9" w:rsidRPr="00703D32">
        <w:rPr>
          <w:i/>
          <w:szCs w:val="32"/>
        </w:rPr>
        <w:t xml:space="preserve"> </w:t>
      </w:r>
      <w:r w:rsidR="00650DA9">
        <w:rPr>
          <w:szCs w:val="32"/>
        </w:rPr>
        <w:t xml:space="preserve">load impacts for medium customers </w:t>
      </w:r>
      <w:r w:rsidR="0079277E">
        <w:rPr>
          <w:szCs w:val="32"/>
        </w:rPr>
        <w:t xml:space="preserve">based on the 2022 </w:t>
      </w:r>
      <w:r w:rsidR="00650DA9">
        <w:rPr>
          <w:szCs w:val="32"/>
        </w:rPr>
        <w:t xml:space="preserve">aggregate load impacts for the average </w:t>
      </w:r>
      <w:r w:rsidR="0079277E">
        <w:rPr>
          <w:szCs w:val="32"/>
        </w:rPr>
        <w:t>h</w:t>
      </w:r>
      <w:r w:rsidR="00650DA9">
        <w:rPr>
          <w:szCs w:val="32"/>
        </w:rPr>
        <w:t xml:space="preserve">our in the </w:t>
      </w:r>
      <w:r w:rsidR="0079277E">
        <w:rPr>
          <w:szCs w:val="32"/>
        </w:rPr>
        <w:t>RA</w:t>
      </w:r>
      <w:r w:rsidR="00650DA9">
        <w:rPr>
          <w:szCs w:val="32"/>
        </w:rPr>
        <w:t xml:space="preserve"> window for PG&amp;E’s 1-in-2 weather scenario. </w:t>
      </w:r>
      <w:r w:rsidR="0079277E">
        <w:rPr>
          <w:szCs w:val="32"/>
        </w:rPr>
        <w:t xml:space="preserve">Again, the lower </w:t>
      </w:r>
      <w:r w:rsidR="00650DA9">
        <w:rPr>
          <w:szCs w:val="32"/>
        </w:rPr>
        <w:t xml:space="preserve">non-summer </w:t>
      </w:r>
      <w:r w:rsidR="0079277E">
        <w:rPr>
          <w:szCs w:val="32"/>
        </w:rPr>
        <w:t xml:space="preserve">load impacts of approximately </w:t>
      </w:r>
      <w:r w:rsidR="00650DA9">
        <w:rPr>
          <w:szCs w:val="32"/>
        </w:rPr>
        <w:t xml:space="preserve">4 MWh/hour </w:t>
      </w:r>
      <w:r w:rsidR="0079277E">
        <w:rPr>
          <w:szCs w:val="32"/>
        </w:rPr>
        <w:t xml:space="preserve">(compared to the 19 MWh/hour load impacts from April through October) are due to differences in the RA window. </w:t>
      </w:r>
      <w:r w:rsidR="00650DA9">
        <w:rPr>
          <w:szCs w:val="32"/>
        </w:rPr>
        <w:t xml:space="preserve">The load impact </w:t>
      </w:r>
      <w:r w:rsidR="0079277E">
        <w:rPr>
          <w:szCs w:val="32"/>
        </w:rPr>
        <w:t xml:space="preserve">is highest in </w:t>
      </w:r>
      <w:r w:rsidR="00650DA9">
        <w:rPr>
          <w:szCs w:val="32"/>
        </w:rPr>
        <w:t xml:space="preserve">August </w:t>
      </w:r>
      <w:r w:rsidR="0079277E">
        <w:rPr>
          <w:szCs w:val="32"/>
        </w:rPr>
        <w:t>(</w:t>
      </w:r>
      <w:r w:rsidR="00650DA9">
        <w:rPr>
          <w:szCs w:val="32"/>
        </w:rPr>
        <w:t>20 MWh/hour</w:t>
      </w:r>
      <w:r w:rsidR="0079277E">
        <w:rPr>
          <w:szCs w:val="32"/>
        </w:rPr>
        <w:t xml:space="preserve">) and lowest in </w:t>
      </w:r>
      <w:r w:rsidR="00650DA9">
        <w:rPr>
          <w:szCs w:val="32"/>
        </w:rPr>
        <w:t xml:space="preserve">March </w:t>
      </w:r>
      <w:r w:rsidR="0079277E">
        <w:rPr>
          <w:szCs w:val="32"/>
        </w:rPr>
        <w:t>(</w:t>
      </w:r>
      <w:r w:rsidR="00650DA9">
        <w:rPr>
          <w:szCs w:val="32"/>
        </w:rPr>
        <w:t>4 MWh/hour</w:t>
      </w:r>
      <w:r w:rsidR="0079277E">
        <w:rPr>
          <w:szCs w:val="32"/>
        </w:rPr>
        <w:t>)</w:t>
      </w:r>
      <w:r w:rsidR="00650DA9">
        <w:rPr>
          <w:szCs w:val="32"/>
        </w:rPr>
        <w:t>.</w:t>
      </w:r>
    </w:p>
    <w:p w14:paraId="04EE0134" w14:textId="6901BE01" w:rsidR="002B400B" w:rsidRDefault="002B400B" w:rsidP="002B400B">
      <w:pPr>
        <w:pStyle w:val="FigureCaption"/>
        <w:rPr>
          <w:i/>
        </w:rPr>
      </w:pPr>
      <w:bookmarkStart w:id="214" w:name="_Ref507247728"/>
      <w:bookmarkStart w:id="215" w:name="_Toc509837475"/>
      <w:r>
        <w:lastRenderedPageBreak/>
        <w:t xml:space="preserve">Figure </w:t>
      </w:r>
      <w:fldSimple w:instr=" STYLEREF 1 \s ">
        <w:r w:rsidR="005D5C7C">
          <w:rPr>
            <w:noProof/>
          </w:rPr>
          <w:t>3</w:t>
        </w:r>
      </w:fldSimple>
      <w:r w:rsidR="00A11E78">
        <w:t>.</w:t>
      </w:r>
      <w:fldSimple w:instr=" SEQ Figure \* ARABIC \s 1 ">
        <w:r w:rsidR="005D5C7C">
          <w:rPr>
            <w:noProof/>
          </w:rPr>
          <w:t>27</w:t>
        </w:r>
      </w:fldSimple>
      <w:bookmarkEnd w:id="214"/>
      <w:r>
        <w:t xml:space="preserve">: </w:t>
      </w:r>
      <w:r w:rsidRPr="003E379F">
        <w:t>Aggregate</w:t>
      </w:r>
      <w:r>
        <w:t xml:space="preserve"> </w:t>
      </w:r>
      <w:r w:rsidRPr="003E379F">
        <w:t xml:space="preserve">Load Impacts </w:t>
      </w:r>
      <w:r>
        <w:t>by Month</w:t>
      </w:r>
      <w:r w:rsidRPr="003E379F">
        <w:t xml:space="preserve"> </w:t>
      </w:r>
      <w:r>
        <w:t xml:space="preserve">over RA Window in 2022 for </w:t>
      </w:r>
      <w:r>
        <w:rPr>
          <w:i/>
        </w:rPr>
        <w:t>PG&amp;E 1-in-2 Peak Day</w:t>
      </w:r>
      <w:r>
        <w:t xml:space="preserve">, </w:t>
      </w:r>
      <w:r>
        <w:rPr>
          <w:i/>
        </w:rPr>
        <w:t>PG&amp;E Medium</w:t>
      </w:r>
      <w:bookmarkEnd w:id="215"/>
    </w:p>
    <w:p w14:paraId="417740ED" w14:textId="6AABA559" w:rsidR="00883982" w:rsidRDefault="008D3DB1" w:rsidP="00883982">
      <w:r>
        <w:rPr>
          <w:noProof/>
        </w:rPr>
        <w:drawing>
          <wp:inline distT="0" distB="0" distL="0" distR="0" wp14:anchorId="55F341C4" wp14:editId="379D70C2">
            <wp:extent cx="5486400" cy="3980815"/>
            <wp:effectExtent l="0" t="0" r="0" b="635"/>
            <wp:docPr id="91" name="Chart 91">
              <a:extLst xmlns:a="http://schemas.openxmlformats.org/drawingml/2006/main">
                <a:ext uri="{FF2B5EF4-FFF2-40B4-BE49-F238E27FC236}">
                  <a16:creationId xmlns:a16="http://schemas.microsoft.com/office/drawing/2014/main" id="{11481B67-5A97-4BE8-A008-303DE3D683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2C3D86A9" w14:textId="327C3E46" w:rsidR="00EE4C42" w:rsidRDefault="00F410AF" w:rsidP="003A20DB">
      <w:pPr>
        <w:spacing w:after="120"/>
        <w:rPr>
          <w:szCs w:val="32"/>
        </w:rPr>
      </w:pPr>
      <w:r>
        <w:rPr>
          <w:szCs w:val="32"/>
        </w:rPr>
        <w:fldChar w:fldCharType="begin"/>
      </w:r>
      <w:r>
        <w:rPr>
          <w:szCs w:val="32"/>
        </w:rPr>
        <w:instrText xml:space="preserve"> REF _Ref507247732 \h </w:instrText>
      </w:r>
      <w:r>
        <w:rPr>
          <w:szCs w:val="32"/>
        </w:rPr>
      </w:r>
      <w:r>
        <w:rPr>
          <w:szCs w:val="32"/>
        </w:rPr>
        <w:fldChar w:fldCharType="separate"/>
      </w:r>
      <w:r w:rsidR="005D5C7C">
        <w:t xml:space="preserve">Figure </w:t>
      </w:r>
      <w:r w:rsidR="005D5C7C">
        <w:rPr>
          <w:noProof/>
        </w:rPr>
        <w:t>3</w:t>
      </w:r>
      <w:r w:rsidR="005D5C7C">
        <w:t>.</w:t>
      </w:r>
      <w:r w:rsidR="005D5C7C">
        <w:rPr>
          <w:noProof/>
        </w:rPr>
        <w:t>28</w:t>
      </w:r>
      <w:r>
        <w:rPr>
          <w:szCs w:val="32"/>
        </w:rPr>
        <w:fldChar w:fldCharType="end"/>
      </w:r>
      <w:r w:rsidR="00650DA9">
        <w:rPr>
          <w:szCs w:val="32"/>
        </w:rPr>
        <w:t xml:space="preserve"> illustrates the seasonality in the forecasted</w:t>
      </w:r>
      <w:r w:rsidR="00650DA9" w:rsidRPr="00703D32">
        <w:rPr>
          <w:i/>
          <w:szCs w:val="32"/>
        </w:rPr>
        <w:t xml:space="preserve"> </w:t>
      </w:r>
      <w:r w:rsidR="00650DA9">
        <w:rPr>
          <w:szCs w:val="32"/>
        </w:rPr>
        <w:t>load impacts for small customers</w:t>
      </w:r>
      <w:r w:rsidR="00CA3C39">
        <w:rPr>
          <w:szCs w:val="32"/>
        </w:rPr>
        <w:t xml:space="preserve">. The seasonal pattern is </w:t>
      </w:r>
      <w:proofErr w:type="gramStart"/>
      <w:r w:rsidR="00CA3C39">
        <w:rPr>
          <w:szCs w:val="32"/>
        </w:rPr>
        <w:t>similar to</w:t>
      </w:r>
      <w:proofErr w:type="gramEnd"/>
      <w:r w:rsidR="00CA3C39">
        <w:rPr>
          <w:szCs w:val="32"/>
        </w:rPr>
        <w:t xml:space="preserve"> that of the medium customers, though perhaps more exaggerated. </w:t>
      </w:r>
    </w:p>
    <w:p w14:paraId="03BC3C47" w14:textId="11FA0A60" w:rsidR="002B400B" w:rsidRDefault="002B400B" w:rsidP="002B400B">
      <w:pPr>
        <w:pStyle w:val="FigureCaption"/>
        <w:rPr>
          <w:i/>
        </w:rPr>
      </w:pPr>
      <w:bookmarkStart w:id="216" w:name="_Ref507247732"/>
      <w:bookmarkStart w:id="217" w:name="_Toc509837476"/>
      <w:r>
        <w:lastRenderedPageBreak/>
        <w:t xml:space="preserve">Figure </w:t>
      </w:r>
      <w:fldSimple w:instr=" STYLEREF 1 \s ">
        <w:r w:rsidR="005D5C7C">
          <w:rPr>
            <w:noProof/>
          </w:rPr>
          <w:t>3</w:t>
        </w:r>
      </w:fldSimple>
      <w:r w:rsidR="00A11E78">
        <w:t>.</w:t>
      </w:r>
      <w:fldSimple w:instr=" SEQ Figure \* ARABIC \s 1 ">
        <w:r w:rsidR="005D5C7C">
          <w:rPr>
            <w:noProof/>
          </w:rPr>
          <w:t>28</w:t>
        </w:r>
      </w:fldSimple>
      <w:bookmarkEnd w:id="216"/>
      <w:r>
        <w:t xml:space="preserve">: </w:t>
      </w:r>
      <w:r w:rsidRPr="003E379F">
        <w:t>Aggregate</w:t>
      </w:r>
      <w:r>
        <w:t xml:space="preserve"> </w:t>
      </w:r>
      <w:r w:rsidRPr="003E379F">
        <w:t xml:space="preserve">Load Impacts </w:t>
      </w:r>
      <w:r>
        <w:t>by Month</w:t>
      </w:r>
      <w:r w:rsidRPr="003E379F">
        <w:t xml:space="preserve"> </w:t>
      </w:r>
      <w:r>
        <w:t xml:space="preserve">over RA Window in 2022 for </w:t>
      </w:r>
      <w:r>
        <w:rPr>
          <w:i/>
        </w:rPr>
        <w:t>PG&amp;E 1-in-2 Peak Day</w:t>
      </w:r>
      <w:r>
        <w:t xml:space="preserve">, </w:t>
      </w:r>
      <w:r>
        <w:rPr>
          <w:i/>
        </w:rPr>
        <w:t>PG&amp;E Small</w:t>
      </w:r>
      <w:bookmarkEnd w:id="217"/>
    </w:p>
    <w:p w14:paraId="32C84702" w14:textId="25F12DCB" w:rsidR="00883982" w:rsidRDefault="008D3DB1" w:rsidP="00883982">
      <w:r>
        <w:rPr>
          <w:noProof/>
        </w:rPr>
        <w:drawing>
          <wp:inline distT="0" distB="0" distL="0" distR="0" wp14:anchorId="30768FE7" wp14:editId="580E971F">
            <wp:extent cx="5486400" cy="3980815"/>
            <wp:effectExtent l="0" t="0" r="0" b="635"/>
            <wp:docPr id="106" name="Chart 106">
              <a:extLst xmlns:a="http://schemas.openxmlformats.org/drawingml/2006/main">
                <a:ext uri="{FF2B5EF4-FFF2-40B4-BE49-F238E27FC236}">
                  <a16:creationId xmlns:a16="http://schemas.microsoft.com/office/drawing/2014/main" id="{73A794A7-5C56-45E2-99E1-FAAE1493A2B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109D7C14" w14:textId="77777777" w:rsidR="002B400B" w:rsidRDefault="002B400B" w:rsidP="003A20DB">
      <w:pPr>
        <w:spacing w:after="120"/>
        <w:rPr>
          <w:szCs w:val="32"/>
        </w:rPr>
      </w:pPr>
    </w:p>
    <w:p w14:paraId="274E4C0D" w14:textId="36EF2671" w:rsidR="00EE4C42" w:rsidRDefault="00F410AF" w:rsidP="003A20DB">
      <w:pPr>
        <w:spacing w:after="120"/>
        <w:rPr>
          <w:szCs w:val="32"/>
        </w:rPr>
      </w:pPr>
      <w:r>
        <w:rPr>
          <w:szCs w:val="32"/>
        </w:rPr>
        <w:fldChar w:fldCharType="begin"/>
      </w:r>
      <w:r>
        <w:rPr>
          <w:szCs w:val="32"/>
        </w:rPr>
        <w:instrText xml:space="preserve"> REF _Ref507246296 \h </w:instrText>
      </w:r>
      <w:r>
        <w:rPr>
          <w:szCs w:val="32"/>
        </w:rPr>
      </w:r>
      <w:r>
        <w:rPr>
          <w:szCs w:val="32"/>
        </w:rPr>
        <w:fldChar w:fldCharType="separate"/>
      </w:r>
      <w:r w:rsidR="005D5C7C">
        <w:t xml:space="preserve">Figure </w:t>
      </w:r>
      <w:r w:rsidR="005D5C7C">
        <w:rPr>
          <w:noProof/>
        </w:rPr>
        <w:t>3</w:t>
      </w:r>
      <w:r w:rsidR="005D5C7C">
        <w:t>.</w:t>
      </w:r>
      <w:r w:rsidR="005D5C7C">
        <w:rPr>
          <w:noProof/>
        </w:rPr>
        <w:t>29</w:t>
      </w:r>
      <w:r>
        <w:rPr>
          <w:szCs w:val="32"/>
        </w:rPr>
        <w:fldChar w:fldCharType="end"/>
      </w:r>
      <w:r w:rsidR="00325864">
        <w:rPr>
          <w:szCs w:val="32"/>
        </w:rPr>
        <w:t xml:space="preserve"> </w:t>
      </w:r>
      <w:r w:rsidR="007B4D03">
        <w:rPr>
          <w:szCs w:val="32"/>
        </w:rPr>
        <w:t>shows the change in load impacts over time and across weather scenarios. Each value is the aggregate load impact during the RA window of the typical event day.</w:t>
      </w:r>
      <w:r w:rsidR="00325864">
        <w:rPr>
          <w:szCs w:val="32"/>
        </w:rPr>
        <w:t xml:space="preserve"> Customers who </w:t>
      </w:r>
      <w:r w:rsidR="007B4D03">
        <w:rPr>
          <w:szCs w:val="32"/>
        </w:rPr>
        <w:t xml:space="preserve">join </w:t>
      </w:r>
      <w:r w:rsidR="00325864">
        <w:rPr>
          <w:szCs w:val="32"/>
        </w:rPr>
        <w:t>PDP in 2019 and 202</w:t>
      </w:r>
      <w:r w:rsidR="00D87022">
        <w:rPr>
          <w:szCs w:val="32"/>
        </w:rPr>
        <w:t>0</w:t>
      </w:r>
      <w:r w:rsidR="00325864">
        <w:rPr>
          <w:szCs w:val="32"/>
        </w:rPr>
        <w:t xml:space="preserve"> cause forecasted load impacts to increase by </w:t>
      </w:r>
      <w:r w:rsidR="00D87022">
        <w:rPr>
          <w:szCs w:val="32"/>
        </w:rPr>
        <w:t>1.8</w:t>
      </w:r>
      <w:r w:rsidR="00325864">
        <w:rPr>
          <w:szCs w:val="32"/>
        </w:rPr>
        <w:t xml:space="preserve"> MWh/hour and </w:t>
      </w:r>
      <w:r w:rsidR="00D87022">
        <w:rPr>
          <w:szCs w:val="32"/>
        </w:rPr>
        <w:t>5.3</w:t>
      </w:r>
      <w:r w:rsidR="00325864">
        <w:rPr>
          <w:szCs w:val="32"/>
        </w:rPr>
        <w:t xml:space="preserve"> MWh/hour, respectively. There are relatively minor differences between the forecasted load impacts for the alternative weather scenarios over the forecast period.</w:t>
      </w:r>
    </w:p>
    <w:p w14:paraId="3FBE9228" w14:textId="5AABC4EE" w:rsidR="00EE4C42" w:rsidRDefault="00EE4C42" w:rsidP="003A20DB">
      <w:pPr>
        <w:spacing w:after="120"/>
        <w:rPr>
          <w:szCs w:val="32"/>
        </w:rPr>
      </w:pPr>
    </w:p>
    <w:p w14:paraId="020B079F" w14:textId="060C6E0C" w:rsidR="00EE4C42" w:rsidRDefault="00EE4C42" w:rsidP="00EE4C42">
      <w:pPr>
        <w:pStyle w:val="FigureCaption"/>
        <w:rPr>
          <w:i/>
        </w:rPr>
      </w:pPr>
      <w:bookmarkStart w:id="218" w:name="_Ref507246296"/>
      <w:bookmarkStart w:id="219" w:name="_Toc509837477"/>
      <w:r>
        <w:lastRenderedPageBreak/>
        <w:t xml:space="preserve">Figure </w:t>
      </w:r>
      <w:fldSimple w:instr=" STYLEREF 1 \s ">
        <w:r w:rsidR="005D5C7C">
          <w:rPr>
            <w:noProof/>
          </w:rPr>
          <w:t>3</w:t>
        </w:r>
      </w:fldSimple>
      <w:r w:rsidR="00A11E78">
        <w:t>.</w:t>
      </w:r>
      <w:fldSimple w:instr=" SEQ Figure \* ARABIC \s 1 ">
        <w:r w:rsidR="005D5C7C">
          <w:rPr>
            <w:noProof/>
          </w:rPr>
          <w:t>29</w:t>
        </w:r>
      </w:fldSimple>
      <w:bookmarkEnd w:id="218"/>
      <w:r>
        <w:t xml:space="preserve">: </w:t>
      </w:r>
      <w:r w:rsidRPr="003E379F">
        <w:t xml:space="preserve">Aggregate </w:t>
      </w:r>
      <w:r>
        <w:t xml:space="preserve">Load Impacts for </w:t>
      </w:r>
      <w:r w:rsidR="00325864">
        <w:t xml:space="preserve">the </w:t>
      </w:r>
      <w:r w:rsidR="00515724">
        <w:t>Typical Event Day</w:t>
      </w:r>
      <w:r>
        <w:t xml:space="preserve"> by Year and Weather Scenario over RA Window, </w:t>
      </w:r>
      <w:r>
        <w:rPr>
          <w:i/>
        </w:rPr>
        <w:t>PG&amp;E Medium</w:t>
      </w:r>
      <w:bookmarkEnd w:id="219"/>
    </w:p>
    <w:p w14:paraId="5E0FDFE7" w14:textId="37774F3F" w:rsidR="00883982" w:rsidRDefault="00D87022" w:rsidP="00883982">
      <w:r>
        <w:rPr>
          <w:noProof/>
        </w:rPr>
        <w:drawing>
          <wp:inline distT="0" distB="0" distL="0" distR="0" wp14:anchorId="7727ECDD" wp14:editId="1E39696B">
            <wp:extent cx="5486400" cy="3980815"/>
            <wp:effectExtent l="0" t="0" r="0" b="635"/>
            <wp:docPr id="108" name="Chart 108">
              <a:extLst xmlns:a="http://schemas.openxmlformats.org/drawingml/2006/main">
                <a:ext uri="{FF2B5EF4-FFF2-40B4-BE49-F238E27FC236}">
                  <a16:creationId xmlns:a16="http://schemas.microsoft.com/office/drawing/2014/main" id="{13069146-4679-474D-A170-E3322DB740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613AD9F5" w14:textId="7E9C7271" w:rsidR="00883982" w:rsidRDefault="00883982" w:rsidP="00883982"/>
    <w:p w14:paraId="0AAEB216" w14:textId="29CF77CD" w:rsidR="00EE4C42" w:rsidRDefault="00EE4C42" w:rsidP="003A20DB">
      <w:pPr>
        <w:spacing w:after="120"/>
        <w:rPr>
          <w:szCs w:val="32"/>
        </w:rPr>
      </w:pPr>
    </w:p>
    <w:p w14:paraId="13846E58" w14:textId="15C0D7A2" w:rsidR="00EE4C42" w:rsidRDefault="00F410AF" w:rsidP="003A20DB">
      <w:pPr>
        <w:spacing w:after="120"/>
        <w:rPr>
          <w:szCs w:val="32"/>
        </w:rPr>
      </w:pPr>
      <w:r>
        <w:rPr>
          <w:szCs w:val="32"/>
        </w:rPr>
        <w:fldChar w:fldCharType="begin"/>
      </w:r>
      <w:r>
        <w:rPr>
          <w:szCs w:val="32"/>
        </w:rPr>
        <w:instrText xml:space="preserve"> REF _Ref507246298 \h </w:instrText>
      </w:r>
      <w:r>
        <w:rPr>
          <w:szCs w:val="32"/>
        </w:rPr>
      </w:r>
      <w:r>
        <w:rPr>
          <w:szCs w:val="32"/>
        </w:rPr>
        <w:fldChar w:fldCharType="separate"/>
      </w:r>
      <w:r w:rsidR="005D5C7C">
        <w:t xml:space="preserve">Figure </w:t>
      </w:r>
      <w:r w:rsidR="005D5C7C">
        <w:rPr>
          <w:noProof/>
        </w:rPr>
        <w:t>3</w:t>
      </w:r>
      <w:r w:rsidR="005D5C7C">
        <w:t>.</w:t>
      </w:r>
      <w:r w:rsidR="005D5C7C">
        <w:rPr>
          <w:noProof/>
        </w:rPr>
        <w:t>30</w:t>
      </w:r>
      <w:r>
        <w:rPr>
          <w:szCs w:val="32"/>
        </w:rPr>
        <w:fldChar w:fldCharType="end"/>
      </w:r>
      <w:r w:rsidR="00325864">
        <w:rPr>
          <w:szCs w:val="32"/>
        </w:rPr>
        <w:t xml:space="preserve"> </w:t>
      </w:r>
      <w:r w:rsidR="007B4D03">
        <w:rPr>
          <w:szCs w:val="32"/>
        </w:rPr>
        <w:t xml:space="preserve">shows the same information for small customers. As with medium customers, the changes in load impacts reflect changes in enrollments; and the highest load impacts in each year are associated with the utility-specific 1-in-10 weather conditions. </w:t>
      </w:r>
    </w:p>
    <w:p w14:paraId="5B6B8EB8" w14:textId="44BE987C" w:rsidR="00EE4C42" w:rsidRDefault="00EE4C42" w:rsidP="003A20DB">
      <w:pPr>
        <w:spacing w:after="120"/>
        <w:rPr>
          <w:szCs w:val="32"/>
        </w:rPr>
      </w:pPr>
    </w:p>
    <w:p w14:paraId="17BD7CCF" w14:textId="0150990C" w:rsidR="00EE4C42" w:rsidRDefault="00EE4C42" w:rsidP="003A20DB">
      <w:pPr>
        <w:spacing w:after="120"/>
        <w:rPr>
          <w:szCs w:val="32"/>
        </w:rPr>
      </w:pPr>
    </w:p>
    <w:p w14:paraId="32D72719" w14:textId="6B121C81" w:rsidR="00EE4C42" w:rsidRDefault="00EE4C42" w:rsidP="00EE4C42">
      <w:pPr>
        <w:pStyle w:val="FigureCaption"/>
        <w:rPr>
          <w:i/>
        </w:rPr>
      </w:pPr>
      <w:bookmarkStart w:id="220" w:name="_Ref507246298"/>
      <w:bookmarkStart w:id="221" w:name="_Toc509837478"/>
      <w:r>
        <w:lastRenderedPageBreak/>
        <w:t xml:space="preserve">Figure </w:t>
      </w:r>
      <w:fldSimple w:instr=" STYLEREF 1 \s ">
        <w:r w:rsidR="005D5C7C">
          <w:rPr>
            <w:noProof/>
          </w:rPr>
          <w:t>3</w:t>
        </w:r>
      </w:fldSimple>
      <w:r w:rsidR="00A11E78">
        <w:t>.</w:t>
      </w:r>
      <w:fldSimple w:instr=" SEQ Figure \* ARABIC \s 1 ">
        <w:r w:rsidR="005D5C7C">
          <w:rPr>
            <w:noProof/>
          </w:rPr>
          <w:t>30</w:t>
        </w:r>
      </w:fldSimple>
      <w:bookmarkEnd w:id="220"/>
      <w:r>
        <w:t>:</w:t>
      </w:r>
      <w:r w:rsidRPr="00EE4C42">
        <w:t xml:space="preserve"> </w:t>
      </w:r>
      <w:r w:rsidRPr="003E379F">
        <w:t xml:space="preserve">Aggregate </w:t>
      </w:r>
      <w:r>
        <w:t xml:space="preserve">Load Impacts for </w:t>
      </w:r>
      <w:r w:rsidR="00325864">
        <w:t xml:space="preserve">the </w:t>
      </w:r>
      <w:r w:rsidR="00515724">
        <w:t>Typical Event Day</w:t>
      </w:r>
      <w:r>
        <w:t xml:space="preserve"> by Year and Weather Scenario over RA Window, </w:t>
      </w:r>
      <w:r>
        <w:rPr>
          <w:i/>
        </w:rPr>
        <w:t>PG&amp;E Small</w:t>
      </w:r>
      <w:bookmarkEnd w:id="221"/>
    </w:p>
    <w:p w14:paraId="0781020C" w14:textId="68996C1E" w:rsidR="00945E37" w:rsidRDefault="00D87022" w:rsidP="00945E37">
      <w:r>
        <w:rPr>
          <w:noProof/>
        </w:rPr>
        <w:drawing>
          <wp:inline distT="0" distB="0" distL="0" distR="0" wp14:anchorId="60D5A49F" wp14:editId="48E00219">
            <wp:extent cx="5486400" cy="3980815"/>
            <wp:effectExtent l="0" t="0" r="0" b="635"/>
            <wp:docPr id="109" name="Chart 109">
              <a:extLst xmlns:a="http://schemas.openxmlformats.org/drawingml/2006/main">
                <a:ext uri="{FF2B5EF4-FFF2-40B4-BE49-F238E27FC236}">
                  <a16:creationId xmlns:a16="http://schemas.microsoft.com/office/drawing/2014/main" id="{60D459AE-7164-4FA3-9085-60B84ECD32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5B2F13B6" w14:textId="2B9998D9" w:rsidR="00945E37" w:rsidRDefault="00945E37" w:rsidP="00945E37"/>
    <w:p w14:paraId="6D5ED08E" w14:textId="1CE42E18" w:rsidR="003A20DB" w:rsidRDefault="003A20DB" w:rsidP="003A20DB">
      <w:pPr>
        <w:pStyle w:val="Heading2"/>
      </w:pPr>
      <w:bookmarkStart w:id="222" w:name="_Toc509837321"/>
      <w:r>
        <w:t>PG&amp;E Load Impact Reconciliations</w:t>
      </w:r>
      <w:bookmarkEnd w:id="222"/>
    </w:p>
    <w:p w14:paraId="6A261BE6" w14:textId="77777777" w:rsidR="008D4A3E" w:rsidRDefault="008D4A3E" w:rsidP="008D4A3E">
      <w:bookmarkStart w:id="223" w:name="_Hlk507078347"/>
      <w:bookmarkStart w:id="224" w:name="_Ref506974906"/>
      <w:r>
        <w:t xml:space="preserve">In a continuing effort to clarify the relationships between </w:t>
      </w:r>
      <w:r>
        <w:rPr>
          <w:i/>
        </w:rPr>
        <w:t>ex-post</w:t>
      </w:r>
      <w:r>
        <w:t xml:space="preserve"> and </w:t>
      </w:r>
      <w:r>
        <w:rPr>
          <w:i/>
        </w:rPr>
        <w:t>ex-ante</w:t>
      </w:r>
      <w:r>
        <w:t xml:space="preserve"> results, this section compares several sets of estimated load impacts for PDP, including the following:</w:t>
      </w:r>
    </w:p>
    <w:p w14:paraId="53092A35" w14:textId="77777777" w:rsidR="008D4A3E" w:rsidRDefault="008D4A3E" w:rsidP="008D4A3E">
      <w:pPr>
        <w:numPr>
          <w:ilvl w:val="0"/>
          <w:numId w:val="10"/>
        </w:numPr>
      </w:pPr>
      <w:r>
        <w:rPr>
          <w:i/>
        </w:rPr>
        <w:t>Ex-post</w:t>
      </w:r>
      <w:r>
        <w:t xml:space="preserve"> load impacts from the current and previous studies;</w:t>
      </w:r>
    </w:p>
    <w:p w14:paraId="21A5236C" w14:textId="77777777" w:rsidR="008D4A3E" w:rsidRDefault="008D4A3E" w:rsidP="008D4A3E">
      <w:pPr>
        <w:numPr>
          <w:ilvl w:val="0"/>
          <w:numId w:val="10"/>
        </w:numPr>
      </w:pPr>
      <w:r>
        <w:rPr>
          <w:i/>
        </w:rPr>
        <w:t>Ex-ante</w:t>
      </w:r>
      <w:r>
        <w:t xml:space="preserve"> load impacts from the current and previous studies; </w:t>
      </w:r>
    </w:p>
    <w:p w14:paraId="574CBCDA" w14:textId="77777777" w:rsidR="008D4A3E" w:rsidRDefault="008D4A3E" w:rsidP="008D4A3E">
      <w:pPr>
        <w:numPr>
          <w:ilvl w:val="0"/>
          <w:numId w:val="10"/>
        </w:numPr>
      </w:pPr>
      <w:r>
        <w:t xml:space="preserve">Current </w:t>
      </w:r>
      <w:r>
        <w:rPr>
          <w:i/>
        </w:rPr>
        <w:t>ex-post</w:t>
      </w:r>
      <w:r>
        <w:t xml:space="preserve"> and previous </w:t>
      </w:r>
      <w:r>
        <w:rPr>
          <w:i/>
        </w:rPr>
        <w:t>ex-ante</w:t>
      </w:r>
      <w:r>
        <w:t xml:space="preserve"> load impacts; and </w:t>
      </w:r>
    </w:p>
    <w:p w14:paraId="35F5D023" w14:textId="77777777" w:rsidR="008D4A3E" w:rsidRDefault="008D4A3E" w:rsidP="008D4A3E">
      <w:pPr>
        <w:numPr>
          <w:ilvl w:val="0"/>
          <w:numId w:val="10"/>
        </w:numPr>
      </w:pPr>
      <w:r>
        <w:t xml:space="preserve">Current </w:t>
      </w:r>
      <w:r w:rsidRPr="00095BA1">
        <w:rPr>
          <w:i/>
        </w:rPr>
        <w:t>ex-post</w:t>
      </w:r>
      <w:r>
        <w:t xml:space="preserve"> and </w:t>
      </w:r>
      <w:r w:rsidRPr="00095BA1">
        <w:rPr>
          <w:i/>
        </w:rPr>
        <w:t>ex-ante</w:t>
      </w:r>
      <w:r>
        <w:t xml:space="preserve"> load impacts.</w:t>
      </w:r>
    </w:p>
    <w:p w14:paraId="323E997F" w14:textId="77777777" w:rsidR="008D4A3E" w:rsidRDefault="008D4A3E" w:rsidP="008D4A3E"/>
    <w:p w14:paraId="26935B41" w14:textId="77777777" w:rsidR="008D4A3E" w:rsidRPr="00E67E92" w:rsidRDefault="008D4A3E" w:rsidP="008D4A3E">
      <w:r>
        <w:t xml:space="preserve">The term “current” refers to the present study, which includes </w:t>
      </w:r>
      <w:r w:rsidRPr="00A102B2">
        <w:rPr>
          <w:i/>
        </w:rPr>
        <w:t>ex-post</w:t>
      </w:r>
      <w:r>
        <w:t xml:space="preserve"> and </w:t>
      </w:r>
      <w:r w:rsidRPr="00A102B2">
        <w:rPr>
          <w:i/>
        </w:rPr>
        <w:t>ex-ante</w:t>
      </w:r>
      <w:r>
        <w:t xml:space="preserve"> results for PY2017. The term “previous” refers to findings in reports for PY2016. In the final comparison above, we illustrate the linkage between the PY2017 </w:t>
      </w:r>
      <w:r>
        <w:rPr>
          <w:i/>
        </w:rPr>
        <w:t>ex-post</w:t>
      </w:r>
      <w:r>
        <w:t xml:space="preserve"> load impacts and the </w:t>
      </w:r>
      <w:r>
        <w:rPr>
          <w:i/>
        </w:rPr>
        <w:t>ex-ante</w:t>
      </w:r>
      <w:r>
        <w:t xml:space="preserve"> forecast (of the 1-in-2 August peak day) for 2018.</w:t>
      </w:r>
    </w:p>
    <w:p w14:paraId="7E209657" w14:textId="77777777" w:rsidR="008D4A3E" w:rsidRDefault="008D4A3E" w:rsidP="008D4A3E">
      <w:pPr>
        <w:pStyle w:val="Heading3"/>
        <w:numPr>
          <w:ilvl w:val="2"/>
          <w:numId w:val="43"/>
        </w:numPr>
        <w:rPr>
          <w:sz w:val="24"/>
        </w:rPr>
      </w:pPr>
      <w:bookmarkStart w:id="225" w:name="_Toc507081145"/>
      <w:bookmarkStart w:id="226" w:name="_Toc507140054"/>
      <w:bookmarkStart w:id="227" w:name="_Toc509837322"/>
      <w:bookmarkStart w:id="228" w:name="_Toc383597952"/>
      <w:bookmarkStart w:id="229" w:name="_Toc413421725"/>
      <w:bookmarkStart w:id="230" w:name="_Toc477781288"/>
      <w:r>
        <w:rPr>
          <w:sz w:val="24"/>
        </w:rPr>
        <w:t>PG&amp;E Large Customer Reconciliations</w:t>
      </w:r>
      <w:bookmarkEnd w:id="225"/>
      <w:bookmarkEnd w:id="226"/>
      <w:bookmarkEnd w:id="227"/>
    </w:p>
    <w:bookmarkEnd w:id="228"/>
    <w:bookmarkEnd w:id="229"/>
    <w:bookmarkEnd w:id="230"/>
    <w:p w14:paraId="43347D9E" w14:textId="77777777" w:rsidR="008D4A3E" w:rsidRPr="00823315" w:rsidRDefault="008D4A3E" w:rsidP="008D4A3E">
      <w:pPr>
        <w:rPr>
          <w:b/>
          <w:i/>
        </w:rPr>
      </w:pPr>
      <w:r w:rsidRPr="00823315">
        <w:rPr>
          <w:b/>
          <w:i/>
        </w:rPr>
        <w:t>Previous vs. Current Ex-Post</w:t>
      </w:r>
    </w:p>
    <w:p w14:paraId="4FC3F389" w14:textId="7A958AE4" w:rsidR="008D4A3E" w:rsidRDefault="008D4A3E" w:rsidP="008D4A3E">
      <w:r>
        <w:fldChar w:fldCharType="begin"/>
      </w:r>
      <w:r>
        <w:instrText xml:space="preserve"> REF _Ref507076858 \h </w:instrText>
      </w:r>
      <w:r>
        <w:fldChar w:fldCharType="separate"/>
      </w:r>
      <w:r w:rsidR="005D5C7C">
        <w:t xml:space="preserve">Table </w:t>
      </w:r>
      <w:r w:rsidR="005D5C7C">
        <w:rPr>
          <w:noProof/>
        </w:rPr>
        <w:t>3</w:t>
      </w:r>
      <w:r w:rsidR="005D5C7C">
        <w:t>.</w:t>
      </w:r>
      <w:r w:rsidR="005D5C7C">
        <w:rPr>
          <w:noProof/>
        </w:rPr>
        <w:t>17</w:t>
      </w:r>
      <w:r>
        <w:fldChar w:fldCharType="end"/>
      </w:r>
      <w:r>
        <w:t xml:space="preserve"> shows the average event-hour reference loads and load impacts for the average event day during the current and previous program years. </w:t>
      </w:r>
      <w:r w:rsidR="001956B7">
        <w:t xml:space="preserve">Enrollment </w:t>
      </w:r>
      <w:r w:rsidR="001956B7">
        <w:lastRenderedPageBreak/>
        <w:t>decreased in PY2017, which appears to have reduced the average usage level. The reference load decreasing from 293 to 267 kWh/hour/customer despite higher event-hour temperatures in PY2017. Percentage load impacts were somewhat lower in PY2017, decreasing from 4.9 to 4.2 percent.</w:t>
      </w:r>
    </w:p>
    <w:p w14:paraId="2B62A025" w14:textId="77777777" w:rsidR="008D4A3E" w:rsidRDefault="008D4A3E" w:rsidP="008D4A3E"/>
    <w:p w14:paraId="01A668F6" w14:textId="299DC916" w:rsidR="008D4A3E" w:rsidRDefault="008D4A3E" w:rsidP="008D4A3E">
      <w:pPr>
        <w:pStyle w:val="TableCaption"/>
      </w:pPr>
      <w:bookmarkStart w:id="231" w:name="_Ref507076858"/>
      <w:bookmarkStart w:id="232" w:name="_Toc507081209"/>
      <w:bookmarkStart w:id="233" w:name="_Toc509837374"/>
      <w:r>
        <w:t xml:space="preserve">Table </w:t>
      </w:r>
      <w:fldSimple w:instr=" STYLEREF 1 \s ">
        <w:r w:rsidR="005D5C7C">
          <w:rPr>
            <w:noProof/>
          </w:rPr>
          <w:t>3</w:t>
        </w:r>
      </w:fldSimple>
      <w:r w:rsidR="0069714C">
        <w:t>.</w:t>
      </w:r>
      <w:fldSimple w:instr=" SEQ Table \* ARABIC \s 1 ">
        <w:r w:rsidR="005D5C7C">
          <w:rPr>
            <w:noProof/>
          </w:rPr>
          <w:t>17</w:t>
        </w:r>
      </w:fldSimple>
      <w:bookmarkEnd w:id="231"/>
      <w:r w:rsidRPr="00376F46">
        <w:t xml:space="preserve">: </w:t>
      </w:r>
      <w:r>
        <w:t xml:space="preserve">Current vs. Previous </w:t>
      </w:r>
      <w:r w:rsidRPr="001634AA">
        <w:rPr>
          <w:i/>
        </w:rPr>
        <w:t>Ex-Post</w:t>
      </w:r>
      <w:r>
        <w:t xml:space="preserve"> Load Impacts for the Average Event</w:t>
      </w:r>
      <w:bookmarkEnd w:id="232"/>
      <w:bookmarkEnd w:id="2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5"/>
        <w:gridCol w:w="1731"/>
        <w:gridCol w:w="1512"/>
        <w:gridCol w:w="1512"/>
      </w:tblGrid>
      <w:tr w:rsidR="008D4A3E" w14:paraId="0E6CB74D" w14:textId="77777777" w:rsidTr="003C7443">
        <w:trPr>
          <w:trHeight w:val="728"/>
          <w:jc w:val="center"/>
        </w:trPr>
        <w:tc>
          <w:tcPr>
            <w:tcW w:w="1295" w:type="dxa"/>
            <w:tcBorders>
              <w:right w:val="single" w:sz="4" w:space="0" w:color="FFFFFF"/>
            </w:tcBorders>
            <w:shd w:val="clear" w:color="auto" w:fill="0C2577"/>
            <w:vAlign w:val="center"/>
          </w:tcPr>
          <w:p w14:paraId="68155DB6"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731" w:type="dxa"/>
            <w:tcBorders>
              <w:left w:val="single" w:sz="4" w:space="0" w:color="FFFFFF"/>
              <w:right w:val="single" w:sz="4" w:space="0" w:color="FFFFFF"/>
            </w:tcBorders>
            <w:shd w:val="clear" w:color="auto" w:fill="0C2577"/>
            <w:vAlign w:val="center"/>
          </w:tcPr>
          <w:p w14:paraId="16B8FFBD"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512" w:type="dxa"/>
            <w:tcBorders>
              <w:left w:val="single" w:sz="4" w:space="0" w:color="FFFFFF"/>
              <w:right w:val="single" w:sz="4" w:space="0" w:color="FFFFFF"/>
            </w:tcBorders>
            <w:shd w:val="clear" w:color="auto" w:fill="0C2577"/>
            <w:vAlign w:val="center"/>
          </w:tcPr>
          <w:p w14:paraId="5237B4D3"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6</w:t>
            </w:r>
          </w:p>
        </w:tc>
        <w:tc>
          <w:tcPr>
            <w:tcW w:w="1512" w:type="dxa"/>
            <w:tcBorders>
              <w:left w:val="single" w:sz="4" w:space="0" w:color="FFFFFF"/>
            </w:tcBorders>
            <w:shd w:val="clear" w:color="auto" w:fill="0C2577"/>
            <w:vAlign w:val="center"/>
          </w:tcPr>
          <w:p w14:paraId="3E20E136"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7</w:t>
            </w:r>
          </w:p>
        </w:tc>
      </w:tr>
      <w:tr w:rsidR="008D4A3E" w14:paraId="1E06A42D" w14:textId="77777777" w:rsidTr="003C7443">
        <w:trPr>
          <w:jc w:val="center"/>
        </w:trPr>
        <w:tc>
          <w:tcPr>
            <w:tcW w:w="1295" w:type="dxa"/>
            <w:vMerge w:val="restart"/>
            <w:shd w:val="clear" w:color="auto" w:fill="auto"/>
            <w:vAlign w:val="center"/>
          </w:tcPr>
          <w:p w14:paraId="7BC0C0E9"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Total</w:t>
            </w:r>
          </w:p>
        </w:tc>
        <w:tc>
          <w:tcPr>
            <w:tcW w:w="1731" w:type="dxa"/>
            <w:shd w:val="clear" w:color="auto" w:fill="auto"/>
          </w:tcPr>
          <w:p w14:paraId="2CB5B6D6"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SAIDs</w:t>
            </w:r>
          </w:p>
        </w:tc>
        <w:tc>
          <w:tcPr>
            <w:tcW w:w="1512" w:type="dxa"/>
            <w:shd w:val="clear" w:color="auto" w:fill="auto"/>
            <w:vAlign w:val="center"/>
          </w:tcPr>
          <w:p w14:paraId="523403E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2,118</w:t>
            </w:r>
          </w:p>
        </w:tc>
        <w:tc>
          <w:tcPr>
            <w:tcW w:w="1512" w:type="dxa"/>
            <w:shd w:val="clear" w:color="auto" w:fill="auto"/>
            <w:vAlign w:val="center"/>
          </w:tcPr>
          <w:p w14:paraId="3085F4A1"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1,982</w:t>
            </w:r>
          </w:p>
        </w:tc>
      </w:tr>
      <w:tr w:rsidR="008D4A3E" w14:paraId="7449055C" w14:textId="77777777" w:rsidTr="003C7443">
        <w:trPr>
          <w:trHeight w:val="242"/>
          <w:jc w:val="center"/>
        </w:trPr>
        <w:tc>
          <w:tcPr>
            <w:tcW w:w="1295" w:type="dxa"/>
            <w:vMerge/>
            <w:shd w:val="clear" w:color="auto" w:fill="auto"/>
            <w:vAlign w:val="center"/>
          </w:tcPr>
          <w:p w14:paraId="7FD50419"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2A0B244D"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(MW)</w:t>
            </w:r>
          </w:p>
        </w:tc>
        <w:tc>
          <w:tcPr>
            <w:tcW w:w="1512" w:type="dxa"/>
            <w:shd w:val="clear" w:color="auto" w:fill="auto"/>
            <w:vAlign w:val="center"/>
          </w:tcPr>
          <w:p w14:paraId="087C632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620</w:t>
            </w:r>
          </w:p>
        </w:tc>
        <w:tc>
          <w:tcPr>
            <w:tcW w:w="1512" w:type="dxa"/>
            <w:shd w:val="clear" w:color="auto" w:fill="auto"/>
            <w:vAlign w:val="center"/>
          </w:tcPr>
          <w:p w14:paraId="26F3DBEE"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528</w:t>
            </w:r>
          </w:p>
        </w:tc>
      </w:tr>
      <w:tr w:rsidR="008D4A3E" w14:paraId="4038C2B1" w14:textId="77777777" w:rsidTr="003C7443">
        <w:trPr>
          <w:jc w:val="center"/>
        </w:trPr>
        <w:tc>
          <w:tcPr>
            <w:tcW w:w="1295" w:type="dxa"/>
            <w:vMerge/>
            <w:shd w:val="clear" w:color="auto" w:fill="auto"/>
            <w:vAlign w:val="center"/>
          </w:tcPr>
          <w:p w14:paraId="305F9AB3"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5EBE9DAA"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(MW)</w:t>
            </w:r>
          </w:p>
        </w:tc>
        <w:tc>
          <w:tcPr>
            <w:tcW w:w="1512" w:type="dxa"/>
            <w:shd w:val="clear" w:color="auto" w:fill="auto"/>
            <w:vAlign w:val="center"/>
          </w:tcPr>
          <w:p w14:paraId="51B37E64"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30.5</w:t>
            </w:r>
          </w:p>
        </w:tc>
        <w:tc>
          <w:tcPr>
            <w:tcW w:w="1512" w:type="dxa"/>
            <w:shd w:val="clear" w:color="auto" w:fill="auto"/>
            <w:vAlign w:val="center"/>
          </w:tcPr>
          <w:p w14:paraId="6E0490ED"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22.4</w:t>
            </w:r>
          </w:p>
        </w:tc>
      </w:tr>
      <w:tr w:rsidR="008D4A3E" w14:paraId="7157A146" w14:textId="77777777" w:rsidTr="003C7443">
        <w:trPr>
          <w:jc w:val="center"/>
        </w:trPr>
        <w:tc>
          <w:tcPr>
            <w:tcW w:w="1295" w:type="dxa"/>
            <w:vMerge/>
            <w:shd w:val="clear" w:color="auto" w:fill="auto"/>
            <w:vAlign w:val="center"/>
          </w:tcPr>
          <w:p w14:paraId="5C91DE09"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62FFE206" w14:textId="77777777" w:rsidR="008D4A3E" w:rsidRPr="009C75E1" w:rsidRDefault="008D4A3E" w:rsidP="003C7443">
            <w:pPr>
              <w:keepNext/>
              <w:keepLines/>
              <w:rPr>
                <w:rFonts w:ascii="Arial" w:hAnsi="Arial" w:cs="Arial"/>
                <w:sz w:val="20"/>
                <w:szCs w:val="20"/>
              </w:rPr>
            </w:pPr>
            <w:r>
              <w:rPr>
                <w:rFonts w:ascii="Arial" w:hAnsi="Arial" w:cs="Arial"/>
                <w:sz w:val="20"/>
                <w:szCs w:val="20"/>
              </w:rPr>
              <w:t>Avg. Temp.</w:t>
            </w:r>
          </w:p>
        </w:tc>
        <w:tc>
          <w:tcPr>
            <w:tcW w:w="1512" w:type="dxa"/>
            <w:shd w:val="clear" w:color="auto" w:fill="auto"/>
            <w:vAlign w:val="center"/>
          </w:tcPr>
          <w:p w14:paraId="0D8EE975"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89.9</w:t>
            </w:r>
          </w:p>
        </w:tc>
        <w:tc>
          <w:tcPr>
            <w:tcW w:w="1512" w:type="dxa"/>
            <w:shd w:val="clear" w:color="auto" w:fill="auto"/>
            <w:vAlign w:val="center"/>
          </w:tcPr>
          <w:p w14:paraId="3E9EE8D9"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92.8</w:t>
            </w:r>
          </w:p>
        </w:tc>
      </w:tr>
      <w:tr w:rsidR="008D4A3E" w14:paraId="48A56161" w14:textId="77777777" w:rsidTr="003C7443">
        <w:trPr>
          <w:jc w:val="center"/>
        </w:trPr>
        <w:tc>
          <w:tcPr>
            <w:tcW w:w="1295" w:type="dxa"/>
            <w:vMerge w:val="restart"/>
            <w:shd w:val="clear" w:color="auto" w:fill="auto"/>
            <w:vAlign w:val="center"/>
          </w:tcPr>
          <w:p w14:paraId="49D2EF78"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Per SAID</w:t>
            </w:r>
          </w:p>
        </w:tc>
        <w:tc>
          <w:tcPr>
            <w:tcW w:w="1731" w:type="dxa"/>
            <w:shd w:val="clear" w:color="auto" w:fill="auto"/>
          </w:tcPr>
          <w:p w14:paraId="3C399DF2"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(kW)</w:t>
            </w:r>
          </w:p>
        </w:tc>
        <w:tc>
          <w:tcPr>
            <w:tcW w:w="1512" w:type="dxa"/>
            <w:shd w:val="clear" w:color="auto" w:fill="auto"/>
            <w:vAlign w:val="center"/>
          </w:tcPr>
          <w:p w14:paraId="096D0E1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293</w:t>
            </w:r>
          </w:p>
        </w:tc>
        <w:tc>
          <w:tcPr>
            <w:tcW w:w="1512" w:type="dxa"/>
            <w:shd w:val="clear" w:color="auto" w:fill="auto"/>
            <w:vAlign w:val="center"/>
          </w:tcPr>
          <w:p w14:paraId="37C2D656"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267</w:t>
            </w:r>
          </w:p>
        </w:tc>
      </w:tr>
      <w:tr w:rsidR="008D4A3E" w14:paraId="2134AE8A" w14:textId="77777777" w:rsidTr="003C7443">
        <w:trPr>
          <w:jc w:val="center"/>
        </w:trPr>
        <w:tc>
          <w:tcPr>
            <w:tcW w:w="1295" w:type="dxa"/>
            <w:vMerge/>
            <w:shd w:val="clear" w:color="auto" w:fill="auto"/>
          </w:tcPr>
          <w:p w14:paraId="0B95B2AA"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08F3D0DE"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(kW)</w:t>
            </w:r>
          </w:p>
        </w:tc>
        <w:tc>
          <w:tcPr>
            <w:tcW w:w="1512" w:type="dxa"/>
            <w:shd w:val="clear" w:color="auto" w:fill="auto"/>
            <w:vAlign w:val="center"/>
          </w:tcPr>
          <w:p w14:paraId="0CA0957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14.4</w:t>
            </w:r>
          </w:p>
        </w:tc>
        <w:tc>
          <w:tcPr>
            <w:tcW w:w="1512" w:type="dxa"/>
            <w:shd w:val="clear" w:color="auto" w:fill="auto"/>
            <w:vAlign w:val="center"/>
          </w:tcPr>
          <w:p w14:paraId="0792AE48"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11.3</w:t>
            </w:r>
          </w:p>
        </w:tc>
      </w:tr>
      <w:tr w:rsidR="008D4A3E" w14:paraId="3C49DE3C" w14:textId="77777777" w:rsidTr="003C7443">
        <w:trPr>
          <w:jc w:val="center"/>
        </w:trPr>
        <w:tc>
          <w:tcPr>
            <w:tcW w:w="1295" w:type="dxa"/>
            <w:vMerge/>
            <w:shd w:val="clear" w:color="auto" w:fill="auto"/>
          </w:tcPr>
          <w:p w14:paraId="7D18A850"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35FE1081"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Load Impact</w:t>
            </w:r>
          </w:p>
        </w:tc>
        <w:tc>
          <w:tcPr>
            <w:tcW w:w="1512" w:type="dxa"/>
            <w:shd w:val="clear" w:color="auto" w:fill="auto"/>
            <w:vAlign w:val="center"/>
          </w:tcPr>
          <w:p w14:paraId="6ECC000C"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4.9%</w:t>
            </w:r>
          </w:p>
        </w:tc>
        <w:tc>
          <w:tcPr>
            <w:tcW w:w="1512" w:type="dxa"/>
            <w:shd w:val="clear" w:color="auto" w:fill="auto"/>
            <w:vAlign w:val="center"/>
          </w:tcPr>
          <w:p w14:paraId="232ACEBD"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4.2%</w:t>
            </w:r>
          </w:p>
        </w:tc>
      </w:tr>
    </w:tbl>
    <w:p w14:paraId="78DF78C3" w14:textId="77777777" w:rsidR="008D4A3E" w:rsidRDefault="008D4A3E" w:rsidP="008D4A3E"/>
    <w:p w14:paraId="3028D04B" w14:textId="77777777" w:rsidR="008D4A3E" w:rsidRPr="00823315" w:rsidRDefault="008D4A3E" w:rsidP="008D4A3E">
      <w:pPr>
        <w:rPr>
          <w:b/>
          <w:i/>
        </w:rPr>
      </w:pPr>
      <w:bookmarkStart w:id="234" w:name="_Toc383597953"/>
      <w:bookmarkStart w:id="235" w:name="_Toc413421726"/>
      <w:bookmarkStart w:id="236" w:name="_Toc477781289"/>
      <w:r w:rsidRPr="00823315">
        <w:rPr>
          <w:b/>
          <w:i/>
        </w:rPr>
        <w:t>Previous versus current ex-ante</w:t>
      </w:r>
      <w:bookmarkEnd w:id="234"/>
      <w:bookmarkEnd w:id="235"/>
      <w:bookmarkEnd w:id="236"/>
    </w:p>
    <w:p w14:paraId="28CBA60A" w14:textId="7CF275D8" w:rsidR="008D4A3E" w:rsidRDefault="008D4A3E" w:rsidP="008D4A3E">
      <w:bookmarkStart w:id="237" w:name="_Toc383597954"/>
      <w:bookmarkStart w:id="238" w:name="_Toc413421727"/>
      <w:bookmarkStart w:id="239" w:name="_Toc477781290"/>
      <w:r>
        <w:t xml:space="preserve">In this sub-section, we compare the </w:t>
      </w:r>
      <w:r w:rsidRPr="00933F01">
        <w:rPr>
          <w:i/>
        </w:rPr>
        <w:t>ex-ante</w:t>
      </w:r>
      <w:r>
        <w:t xml:space="preserve"> forecast prepared following PY2016 (the “previous study”) to the </w:t>
      </w:r>
      <w:r w:rsidRPr="00933F01">
        <w:rPr>
          <w:i/>
        </w:rPr>
        <w:t>ex-ante</w:t>
      </w:r>
      <w:r>
        <w:t xml:space="preserve"> forecast contained in this study (the “current study”). </w:t>
      </w:r>
      <w:r>
        <w:fldChar w:fldCharType="begin"/>
      </w:r>
      <w:r>
        <w:instrText xml:space="preserve"> REF _Ref507077025 \h </w:instrText>
      </w:r>
      <w:r>
        <w:fldChar w:fldCharType="separate"/>
      </w:r>
      <w:r w:rsidR="005D5C7C">
        <w:t xml:space="preserve">Table </w:t>
      </w:r>
      <w:r w:rsidR="005D5C7C">
        <w:rPr>
          <w:noProof/>
        </w:rPr>
        <w:t>3</w:t>
      </w:r>
      <w:r w:rsidR="005D5C7C">
        <w:t>.</w:t>
      </w:r>
      <w:r w:rsidR="005D5C7C">
        <w:rPr>
          <w:noProof/>
        </w:rPr>
        <w:t>18</w:t>
      </w:r>
      <w:r>
        <w:fldChar w:fldCharType="end"/>
      </w:r>
      <w:r>
        <w:t xml:space="preserve"> reports the average event-hour load impacts for the August 2018 peak day under utility-specific 1-in-2 weather conditions.</w:t>
      </w:r>
      <w:r w:rsidR="001956B7">
        <w:t xml:space="preserve"> The aggregate load impact forecast decreased substantially across years, from 58.2 to </w:t>
      </w:r>
      <w:r w:rsidR="004F1A4D">
        <w:t>30</w:t>
      </w:r>
      <w:r w:rsidR="001956B7">
        <w:t>.1 MWh/hour. This is due to a combination of reduced enrollment, lower-use customers, and lower percentage load impacts.</w:t>
      </w:r>
    </w:p>
    <w:p w14:paraId="27AD8A7A" w14:textId="77777777" w:rsidR="008D4A3E" w:rsidRDefault="008D4A3E" w:rsidP="008D4A3E"/>
    <w:p w14:paraId="47A630AE" w14:textId="0BC3834C" w:rsidR="008D4A3E" w:rsidRDefault="008D4A3E" w:rsidP="008D4A3E">
      <w:pPr>
        <w:pStyle w:val="TableCaption"/>
      </w:pPr>
      <w:bookmarkStart w:id="240" w:name="_Ref507077025"/>
      <w:bookmarkStart w:id="241" w:name="_Toc507081210"/>
      <w:bookmarkStart w:id="242" w:name="_Toc509837375"/>
      <w:r>
        <w:t xml:space="preserve">Table </w:t>
      </w:r>
      <w:fldSimple w:instr=" STYLEREF 1 \s ">
        <w:r w:rsidR="005D5C7C">
          <w:rPr>
            <w:noProof/>
          </w:rPr>
          <w:t>3</w:t>
        </w:r>
      </w:fldSimple>
      <w:r w:rsidR="0069714C">
        <w:t>.</w:t>
      </w:r>
      <w:fldSimple w:instr=" SEQ Table \* ARABIC \s 1 ">
        <w:r w:rsidR="005D5C7C">
          <w:rPr>
            <w:noProof/>
          </w:rPr>
          <w:t>18</w:t>
        </w:r>
      </w:fldSimple>
      <w:bookmarkEnd w:id="240"/>
      <w:r w:rsidRPr="00376F46">
        <w:t xml:space="preserve">: </w:t>
      </w:r>
      <w:r>
        <w:t xml:space="preserve">Previous vs. Current </w:t>
      </w:r>
      <w:r w:rsidRPr="001634AA">
        <w:rPr>
          <w:i/>
        </w:rPr>
        <w:t>Ex-Ante</w:t>
      </w:r>
      <w:r>
        <w:t xml:space="preserve"> Load Impacts, </w:t>
      </w:r>
      <w:r>
        <w:rPr>
          <w:i/>
        </w:rPr>
        <w:t xml:space="preserve">Utility </w:t>
      </w:r>
      <w:r w:rsidRPr="001634AA">
        <w:rPr>
          <w:i/>
        </w:rPr>
        <w:t>1-in-2 August 2018 Peak Day</w:t>
      </w:r>
      <w:bookmarkEnd w:id="241"/>
      <w:bookmarkEnd w:id="2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1916"/>
        <w:gridCol w:w="1445"/>
        <w:gridCol w:w="1369"/>
      </w:tblGrid>
      <w:tr w:rsidR="008D4A3E" w14:paraId="7330CBC3" w14:textId="77777777" w:rsidTr="003C7443">
        <w:trPr>
          <w:jc w:val="center"/>
        </w:trPr>
        <w:tc>
          <w:tcPr>
            <w:tcW w:w="1153" w:type="dxa"/>
            <w:tcBorders>
              <w:right w:val="single" w:sz="4" w:space="0" w:color="FFFFFF"/>
            </w:tcBorders>
            <w:shd w:val="clear" w:color="auto" w:fill="0C2577"/>
            <w:vAlign w:val="center"/>
          </w:tcPr>
          <w:p w14:paraId="4DA64C31"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916" w:type="dxa"/>
            <w:tcBorders>
              <w:left w:val="single" w:sz="4" w:space="0" w:color="FFFFFF"/>
              <w:right w:val="single" w:sz="4" w:space="0" w:color="FFFFFF"/>
            </w:tcBorders>
            <w:shd w:val="clear" w:color="auto" w:fill="0C2577"/>
            <w:vAlign w:val="center"/>
          </w:tcPr>
          <w:p w14:paraId="7FC5CA7D"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445" w:type="dxa"/>
            <w:tcBorders>
              <w:left w:val="single" w:sz="4" w:space="0" w:color="FFFFFF"/>
              <w:right w:val="single" w:sz="4" w:space="0" w:color="FFFFFF"/>
            </w:tcBorders>
            <w:shd w:val="clear" w:color="auto" w:fill="0C2577"/>
            <w:vAlign w:val="center"/>
          </w:tcPr>
          <w:p w14:paraId="61F623AE" w14:textId="77777777" w:rsidR="008D4A3E" w:rsidRPr="009C75E1" w:rsidRDefault="008D4A3E" w:rsidP="003C7443">
            <w:pPr>
              <w:keepNext/>
              <w:keepLines/>
              <w:jc w:val="center"/>
              <w:rPr>
                <w:rFonts w:ascii="Arial" w:hAnsi="Arial" w:cs="Arial"/>
                <w:b/>
                <w:sz w:val="20"/>
                <w:szCs w:val="20"/>
              </w:rPr>
            </w:pPr>
          </w:p>
          <w:p w14:paraId="3AC3B73B"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Previous</w:t>
            </w:r>
            <w:r>
              <w:rPr>
                <w:rFonts w:ascii="Arial" w:hAnsi="Arial" w:cs="Arial"/>
                <w:b/>
                <w:sz w:val="20"/>
                <w:szCs w:val="20"/>
              </w:rPr>
              <w:t xml:space="preserve"> Study</w:t>
            </w:r>
          </w:p>
          <w:p w14:paraId="0159374B" w14:textId="77777777" w:rsidR="008D4A3E" w:rsidRPr="009C75E1" w:rsidRDefault="008D4A3E" w:rsidP="003C7443">
            <w:pPr>
              <w:keepNext/>
              <w:keepLines/>
              <w:jc w:val="center"/>
              <w:rPr>
                <w:rFonts w:ascii="Arial" w:hAnsi="Arial" w:cs="Arial"/>
                <w:b/>
                <w:sz w:val="20"/>
                <w:szCs w:val="20"/>
              </w:rPr>
            </w:pPr>
          </w:p>
        </w:tc>
        <w:tc>
          <w:tcPr>
            <w:tcW w:w="1369" w:type="dxa"/>
            <w:tcBorders>
              <w:left w:val="single" w:sz="4" w:space="0" w:color="FFFFFF"/>
            </w:tcBorders>
            <w:shd w:val="clear" w:color="auto" w:fill="0C2577"/>
            <w:vAlign w:val="center"/>
          </w:tcPr>
          <w:p w14:paraId="56AAD817"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Current</w:t>
            </w:r>
            <w:r>
              <w:rPr>
                <w:rFonts w:ascii="Arial" w:hAnsi="Arial" w:cs="Arial"/>
                <w:b/>
                <w:sz w:val="20"/>
                <w:szCs w:val="20"/>
              </w:rPr>
              <w:t xml:space="preserve"> Study</w:t>
            </w:r>
          </w:p>
        </w:tc>
      </w:tr>
      <w:tr w:rsidR="008D4A3E" w14:paraId="640B6C60" w14:textId="77777777" w:rsidTr="003C7443">
        <w:trPr>
          <w:jc w:val="center"/>
        </w:trPr>
        <w:tc>
          <w:tcPr>
            <w:tcW w:w="1153" w:type="dxa"/>
            <w:vMerge w:val="restart"/>
            <w:shd w:val="clear" w:color="auto" w:fill="auto"/>
            <w:vAlign w:val="center"/>
          </w:tcPr>
          <w:p w14:paraId="3205E23D"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Total</w:t>
            </w:r>
          </w:p>
        </w:tc>
        <w:tc>
          <w:tcPr>
            <w:tcW w:w="1916" w:type="dxa"/>
            <w:shd w:val="clear" w:color="auto" w:fill="auto"/>
          </w:tcPr>
          <w:p w14:paraId="26C5154E"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SAIDs</w:t>
            </w:r>
          </w:p>
        </w:tc>
        <w:tc>
          <w:tcPr>
            <w:tcW w:w="1445" w:type="dxa"/>
            <w:shd w:val="clear" w:color="auto" w:fill="auto"/>
          </w:tcPr>
          <w:p w14:paraId="71CF0E5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3,387</w:t>
            </w:r>
          </w:p>
        </w:tc>
        <w:tc>
          <w:tcPr>
            <w:tcW w:w="1369" w:type="dxa"/>
            <w:shd w:val="clear" w:color="auto" w:fill="auto"/>
          </w:tcPr>
          <w:p w14:paraId="2F6580D0" w14:textId="44846161" w:rsidR="008D4A3E" w:rsidRPr="009C75E1" w:rsidRDefault="004F7053" w:rsidP="003C7443">
            <w:pPr>
              <w:keepNext/>
              <w:keepLines/>
              <w:jc w:val="center"/>
              <w:rPr>
                <w:rFonts w:ascii="Arial" w:hAnsi="Arial" w:cs="Arial"/>
                <w:sz w:val="20"/>
                <w:szCs w:val="20"/>
              </w:rPr>
            </w:pPr>
            <w:r>
              <w:rPr>
                <w:rFonts w:ascii="Arial" w:hAnsi="Arial" w:cs="Arial"/>
                <w:sz w:val="20"/>
                <w:szCs w:val="20"/>
              </w:rPr>
              <w:t>3,154</w:t>
            </w:r>
          </w:p>
        </w:tc>
      </w:tr>
      <w:tr w:rsidR="008D4A3E" w14:paraId="4F94CE9C" w14:textId="77777777" w:rsidTr="003C7443">
        <w:trPr>
          <w:trHeight w:val="242"/>
          <w:jc w:val="center"/>
        </w:trPr>
        <w:tc>
          <w:tcPr>
            <w:tcW w:w="1153" w:type="dxa"/>
            <w:vMerge/>
            <w:shd w:val="clear" w:color="auto" w:fill="auto"/>
            <w:vAlign w:val="center"/>
          </w:tcPr>
          <w:p w14:paraId="25497D49"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0F582E44"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(MW)</w:t>
            </w:r>
          </w:p>
        </w:tc>
        <w:tc>
          <w:tcPr>
            <w:tcW w:w="1445" w:type="dxa"/>
            <w:shd w:val="clear" w:color="auto" w:fill="auto"/>
          </w:tcPr>
          <w:p w14:paraId="44F3AAE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1,001</w:t>
            </w:r>
          </w:p>
        </w:tc>
        <w:tc>
          <w:tcPr>
            <w:tcW w:w="1369" w:type="dxa"/>
            <w:shd w:val="clear" w:color="auto" w:fill="auto"/>
          </w:tcPr>
          <w:p w14:paraId="52EFAB8B" w14:textId="7280C290" w:rsidR="008D4A3E" w:rsidRPr="009C75E1" w:rsidRDefault="004F1A4D" w:rsidP="003C7443">
            <w:pPr>
              <w:keepNext/>
              <w:keepLines/>
              <w:jc w:val="center"/>
              <w:rPr>
                <w:rFonts w:ascii="Arial" w:hAnsi="Arial" w:cs="Arial"/>
                <w:sz w:val="20"/>
                <w:szCs w:val="20"/>
              </w:rPr>
            </w:pPr>
            <w:r>
              <w:rPr>
                <w:rFonts w:ascii="Arial" w:hAnsi="Arial" w:cs="Arial"/>
                <w:sz w:val="20"/>
                <w:szCs w:val="20"/>
              </w:rPr>
              <w:t>861</w:t>
            </w:r>
          </w:p>
        </w:tc>
      </w:tr>
      <w:tr w:rsidR="008D4A3E" w14:paraId="0627A709" w14:textId="77777777" w:rsidTr="003C7443">
        <w:trPr>
          <w:jc w:val="center"/>
        </w:trPr>
        <w:tc>
          <w:tcPr>
            <w:tcW w:w="1153" w:type="dxa"/>
            <w:vMerge/>
            <w:shd w:val="clear" w:color="auto" w:fill="auto"/>
            <w:vAlign w:val="center"/>
          </w:tcPr>
          <w:p w14:paraId="1AC70BB8"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61194B89"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(MW)</w:t>
            </w:r>
          </w:p>
        </w:tc>
        <w:tc>
          <w:tcPr>
            <w:tcW w:w="1445" w:type="dxa"/>
            <w:shd w:val="clear" w:color="auto" w:fill="auto"/>
          </w:tcPr>
          <w:p w14:paraId="2273C1B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58.2</w:t>
            </w:r>
          </w:p>
        </w:tc>
        <w:tc>
          <w:tcPr>
            <w:tcW w:w="1369" w:type="dxa"/>
            <w:shd w:val="clear" w:color="auto" w:fill="auto"/>
          </w:tcPr>
          <w:p w14:paraId="4DDBD92E" w14:textId="028F6074" w:rsidR="008D4A3E" w:rsidRPr="009C75E1" w:rsidRDefault="004F1A4D" w:rsidP="003C7443">
            <w:pPr>
              <w:keepNext/>
              <w:keepLines/>
              <w:jc w:val="center"/>
              <w:rPr>
                <w:rFonts w:ascii="Arial" w:hAnsi="Arial" w:cs="Arial"/>
                <w:sz w:val="20"/>
                <w:szCs w:val="20"/>
              </w:rPr>
            </w:pPr>
            <w:r>
              <w:rPr>
                <w:rFonts w:ascii="Arial" w:hAnsi="Arial" w:cs="Arial"/>
                <w:sz w:val="20"/>
                <w:szCs w:val="20"/>
              </w:rPr>
              <w:t>30</w:t>
            </w:r>
            <w:r w:rsidR="008D4A3E">
              <w:rPr>
                <w:rFonts w:ascii="Arial" w:hAnsi="Arial" w:cs="Arial"/>
                <w:sz w:val="20"/>
                <w:szCs w:val="20"/>
              </w:rPr>
              <w:t>.1</w:t>
            </w:r>
          </w:p>
        </w:tc>
      </w:tr>
      <w:tr w:rsidR="008D4A3E" w14:paraId="3F0D0E4A" w14:textId="77777777" w:rsidTr="003C7443">
        <w:trPr>
          <w:jc w:val="center"/>
        </w:trPr>
        <w:tc>
          <w:tcPr>
            <w:tcW w:w="1153" w:type="dxa"/>
            <w:vMerge/>
            <w:shd w:val="clear" w:color="auto" w:fill="auto"/>
            <w:vAlign w:val="center"/>
          </w:tcPr>
          <w:p w14:paraId="3A3FB845"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398D0B27" w14:textId="77777777" w:rsidR="008D4A3E" w:rsidRPr="009C75E1" w:rsidRDefault="008D4A3E" w:rsidP="003C7443">
            <w:pPr>
              <w:keepNext/>
              <w:keepLines/>
              <w:rPr>
                <w:rFonts w:ascii="Arial" w:hAnsi="Arial" w:cs="Arial"/>
                <w:sz w:val="20"/>
                <w:szCs w:val="20"/>
              </w:rPr>
            </w:pPr>
            <w:r>
              <w:rPr>
                <w:rFonts w:ascii="Arial" w:hAnsi="Arial" w:cs="Arial"/>
                <w:sz w:val="20"/>
                <w:szCs w:val="20"/>
              </w:rPr>
              <w:t>Avg. Temp.</w:t>
            </w:r>
          </w:p>
        </w:tc>
        <w:tc>
          <w:tcPr>
            <w:tcW w:w="1445" w:type="dxa"/>
            <w:shd w:val="clear" w:color="auto" w:fill="auto"/>
          </w:tcPr>
          <w:p w14:paraId="72F1BA12"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93.9</w:t>
            </w:r>
          </w:p>
        </w:tc>
        <w:tc>
          <w:tcPr>
            <w:tcW w:w="1369" w:type="dxa"/>
            <w:shd w:val="clear" w:color="auto" w:fill="auto"/>
          </w:tcPr>
          <w:p w14:paraId="3E7C3BC0" w14:textId="5928E3B0" w:rsidR="008D4A3E" w:rsidRPr="009C75E1" w:rsidRDefault="008D4A3E" w:rsidP="003C7443">
            <w:pPr>
              <w:keepNext/>
              <w:keepLines/>
              <w:jc w:val="center"/>
              <w:rPr>
                <w:rFonts w:ascii="Arial" w:hAnsi="Arial" w:cs="Arial"/>
                <w:sz w:val="20"/>
                <w:szCs w:val="20"/>
              </w:rPr>
            </w:pPr>
            <w:r>
              <w:rPr>
                <w:rFonts w:ascii="Arial" w:hAnsi="Arial" w:cs="Arial"/>
                <w:sz w:val="20"/>
                <w:szCs w:val="20"/>
              </w:rPr>
              <w:t>91.</w:t>
            </w:r>
            <w:r w:rsidR="004F1A4D">
              <w:rPr>
                <w:rFonts w:ascii="Arial" w:hAnsi="Arial" w:cs="Arial"/>
                <w:sz w:val="20"/>
                <w:szCs w:val="20"/>
              </w:rPr>
              <w:t>9</w:t>
            </w:r>
          </w:p>
        </w:tc>
      </w:tr>
      <w:tr w:rsidR="008D4A3E" w14:paraId="6178B910" w14:textId="77777777" w:rsidTr="003C7443">
        <w:trPr>
          <w:jc w:val="center"/>
        </w:trPr>
        <w:tc>
          <w:tcPr>
            <w:tcW w:w="1153" w:type="dxa"/>
            <w:vMerge w:val="restart"/>
            <w:shd w:val="clear" w:color="auto" w:fill="auto"/>
            <w:vAlign w:val="center"/>
          </w:tcPr>
          <w:p w14:paraId="72EA090B"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Per SAID</w:t>
            </w:r>
          </w:p>
        </w:tc>
        <w:tc>
          <w:tcPr>
            <w:tcW w:w="1916" w:type="dxa"/>
            <w:shd w:val="clear" w:color="auto" w:fill="auto"/>
          </w:tcPr>
          <w:p w14:paraId="1769D4DF"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(kW)</w:t>
            </w:r>
          </w:p>
        </w:tc>
        <w:tc>
          <w:tcPr>
            <w:tcW w:w="1445" w:type="dxa"/>
            <w:shd w:val="clear" w:color="auto" w:fill="auto"/>
          </w:tcPr>
          <w:p w14:paraId="52183BD0"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295</w:t>
            </w:r>
          </w:p>
        </w:tc>
        <w:tc>
          <w:tcPr>
            <w:tcW w:w="1369" w:type="dxa"/>
            <w:shd w:val="clear" w:color="auto" w:fill="auto"/>
          </w:tcPr>
          <w:p w14:paraId="06BB7B60" w14:textId="7BA0310F" w:rsidR="008D4A3E" w:rsidRPr="009C75E1" w:rsidRDefault="008D4A3E" w:rsidP="003C7443">
            <w:pPr>
              <w:keepNext/>
              <w:keepLines/>
              <w:jc w:val="center"/>
              <w:rPr>
                <w:rFonts w:ascii="Arial" w:hAnsi="Arial" w:cs="Arial"/>
                <w:sz w:val="20"/>
                <w:szCs w:val="20"/>
              </w:rPr>
            </w:pPr>
            <w:r>
              <w:rPr>
                <w:rFonts w:ascii="Arial" w:hAnsi="Arial" w:cs="Arial"/>
                <w:sz w:val="20"/>
                <w:szCs w:val="20"/>
              </w:rPr>
              <w:t>27</w:t>
            </w:r>
            <w:r w:rsidR="004F1A4D">
              <w:rPr>
                <w:rFonts w:ascii="Arial" w:hAnsi="Arial" w:cs="Arial"/>
                <w:sz w:val="20"/>
                <w:szCs w:val="20"/>
              </w:rPr>
              <w:t>3</w:t>
            </w:r>
          </w:p>
        </w:tc>
      </w:tr>
      <w:tr w:rsidR="008D4A3E" w14:paraId="55084E8F" w14:textId="77777777" w:rsidTr="003C7443">
        <w:trPr>
          <w:jc w:val="center"/>
        </w:trPr>
        <w:tc>
          <w:tcPr>
            <w:tcW w:w="1153" w:type="dxa"/>
            <w:vMerge/>
            <w:shd w:val="clear" w:color="auto" w:fill="auto"/>
          </w:tcPr>
          <w:p w14:paraId="6F607493"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62651C78"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(kW)</w:t>
            </w:r>
          </w:p>
        </w:tc>
        <w:tc>
          <w:tcPr>
            <w:tcW w:w="1445" w:type="dxa"/>
            <w:shd w:val="clear" w:color="auto" w:fill="auto"/>
          </w:tcPr>
          <w:p w14:paraId="5C02052E"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17.2</w:t>
            </w:r>
          </w:p>
        </w:tc>
        <w:tc>
          <w:tcPr>
            <w:tcW w:w="1369" w:type="dxa"/>
            <w:shd w:val="clear" w:color="auto" w:fill="auto"/>
          </w:tcPr>
          <w:p w14:paraId="548D8A87" w14:textId="6F8871BC" w:rsidR="008D4A3E" w:rsidRPr="009C75E1" w:rsidRDefault="004F1A4D" w:rsidP="003C7443">
            <w:pPr>
              <w:keepNext/>
              <w:keepLines/>
              <w:jc w:val="center"/>
              <w:rPr>
                <w:rFonts w:ascii="Arial" w:hAnsi="Arial" w:cs="Arial"/>
                <w:sz w:val="20"/>
                <w:szCs w:val="20"/>
              </w:rPr>
            </w:pPr>
            <w:r>
              <w:rPr>
                <w:rFonts w:ascii="Arial" w:hAnsi="Arial" w:cs="Arial"/>
                <w:sz w:val="20"/>
                <w:szCs w:val="20"/>
              </w:rPr>
              <w:t>9.5</w:t>
            </w:r>
          </w:p>
        </w:tc>
      </w:tr>
      <w:tr w:rsidR="008D4A3E" w14:paraId="2C1B52AB" w14:textId="77777777" w:rsidTr="003C7443">
        <w:trPr>
          <w:jc w:val="center"/>
        </w:trPr>
        <w:tc>
          <w:tcPr>
            <w:tcW w:w="1153" w:type="dxa"/>
            <w:vMerge/>
            <w:shd w:val="clear" w:color="auto" w:fill="auto"/>
          </w:tcPr>
          <w:p w14:paraId="3ABAA4E8"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255533C5"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Load Impact</w:t>
            </w:r>
          </w:p>
        </w:tc>
        <w:tc>
          <w:tcPr>
            <w:tcW w:w="1445" w:type="dxa"/>
            <w:shd w:val="clear" w:color="auto" w:fill="auto"/>
          </w:tcPr>
          <w:p w14:paraId="50AFDE16"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5.8%</w:t>
            </w:r>
          </w:p>
        </w:tc>
        <w:tc>
          <w:tcPr>
            <w:tcW w:w="1369" w:type="dxa"/>
            <w:shd w:val="clear" w:color="auto" w:fill="auto"/>
          </w:tcPr>
          <w:p w14:paraId="05E7E3D0" w14:textId="664B6563" w:rsidR="008D4A3E" w:rsidRPr="009C75E1" w:rsidRDefault="008D4A3E" w:rsidP="003C7443">
            <w:pPr>
              <w:keepNext/>
              <w:keepLines/>
              <w:jc w:val="center"/>
              <w:rPr>
                <w:rFonts w:ascii="Arial" w:hAnsi="Arial" w:cs="Arial"/>
                <w:sz w:val="20"/>
                <w:szCs w:val="20"/>
              </w:rPr>
            </w:pPr>
            <w:r>
              <w:rPr>
                <w:rFonts w:ascii="Arial" w:hAnsi="Arial" w:cs="Arial"/>
                <w:sz w:val="20"/>
                <w:szCs w:val="20"/>
              </w:rPr>
              <w:t>3.</w:t>
            </w:r>
            <w:r w:rsidR="004F1A4D">
              <w:rPr>
                <w:rFonts w:ascii="Arial" w:hAnsi="Arial" w:cs="Arial"/>
                <w:sz w:val="20"/>
                <w:szCs w:val="20"/>
              </w:rPr>
              <w:t>5</w:t>
            </w:r>
            <w:r>
              <w:rPr>
                <w:rFonts w:ascii="Arial" w:hAnsi="Arial" w:cs="Arial"/>
                <w:sz w:val="20"/>
                <w:szCs w:val="20"/>
              </w:rPr>
              <w:t>%</w:t>
            </w:r>
          </w:p>
        </w:tc>
      </w:tr>
    </w:tbl>
    <w:p w14:paraId="2F3F3520" w14:textId="77777777" w:rsidR="008D4A3E" w:rsidRDefault="008D4A3E" w:rsidP="008D4A3E"/>
    <w:p w14:paraId="26E5DFA6" w14:textId="77777777" w:rsidR="008D4A3E" w:rsidRPr="00823315" w:rsidRDefault="008D4A3E" w:rsidP="008D4A3E">
      <w:pPr>
        <w:rPr>
          <w:b/>
          <w:i/>
        </w:rPr>
      </w:pPr>
      <w:r w:rsidRPr="00823315">
        <w:rPr>
          <w:b/>
          <w:i/>
        </w:rPr>
        <w:t>Previous ex-ante versus current ex-post</w:t>
      </w:r>
      <w:bookmarkEnd w:id="237"/>
      <w:bookmarkEnd w:id="238"/>
      <w:bookmarkEnd w:id="239"/>
    </w:p>
    <w:bookmarkStart w:id="243" w:name="_Toc383597955"/>
    <w:bookmarkStart w:id="244" w:name="_Toc413421728"/>
    <w:bookmarkStart w:id="245" w:name="_Toc477781291"/>
    <w:p w14:paraId="5BC1A0AB" w14:textId="60B1631B" w:rsidR="008D4A3E" w:rsidRDefault="008D4A3E" w:rsidP="008D4A3E">
      <w:r>
        <w:fldChar w:fldCharType="begin"/>
      </w:r>
      <w:r>
        <w:instrText xml:space="preserve"> REF _Ref507077396 \h </w:instrText>
      </w:r>
      <w:r>
        <w:fldChar w:fldCharType="separate"/>
      </w:r>
      <w:r w:rsidR="005D5C7C">
        <w:t xml:space="preserve">Table </w:t>
      </w:r>
      <w:r w:rsidR="005D5C7C">
        <w:rPr>
          <w:noProof/>
        </w:rPr>
        <w:t>3</w:t>
      </w:r>
      <w:r w:rsidR="005D5C7C">
        <w:t>.</w:t>
      </w:r>
      <w:r w:rsidR="005D5C7C">
        <w:rPr>
          <w:noProof/>
        </w:rPr>
        <w:t>19</w:t>
      </w:r>
      <w:r>
        <w:fldChar w:fldCharType="end"/>
      </w:r>
      <w:r>
        <w:t xml:space="preserve"> provides a comparison of the </w:t>
      </w:r>
      <w:r w:rsidRPr="005926F0">
        <w:rPr>
          <w:i/>
        </w:rPr>
        <w:t>ex-ante</w:t>
      </w:r>
      <w:r>
        <w:t xml:space="preserve"> forecast of 2017 load impacts prepared following PY2016 and the PY2017 load impacts estimated as part of this study. The </w:t>
      </w:r>
      <w:r w:rsidRPr="005926F0">
        <w:rPr>
          <w:i/>
        </w:rPr>
        <w:t>ex-ante</w:t>
      </w:r>
      <w:r>
        <w:t xml:space="preserve"> forecast shown in the table represents the August peak day during a utility-specific 1-in-2 weather year. The </w:t>
      </w:r>
      <w:r w:rsidRPr="005926F0">
        <w:rPr>
          <w:i/>
        </w:rPr>
        <w:t>ex-post</w:t>
      </w:r>
      <w:r>
        <w:t xml:space="preserve"> load impacts are based on the average event day. </w:t>
      </w:r>
      <w:r w:rsidR="00C02CE6">
        <w:t xml:space="preserve">The </w:t>
      </w:r>
      <w:r w:rsidR="00C02CE6">
        <w:lastRenderedPageBreak/>
        <w:t xml:space="preserve">load impact forecast as part of the previous evaluation exceeded the </w:t>
      </w:r>
      <w:r w:rsidR="00C02CE6" w:rsidRPr="00C02CE6">
        <w:rPr>
          <w:i/>
        </w:rPr>
        <w:t>ex-post</w:t>
      </w:r>
      <w:r w:rsidR="00C02CE6">
        <w:t xml:space="preserve"> estimated load impact by a substantial margin (45.2 vs. 22.4 MWh/hour). This can be attributed to a combination of fewer, smaller, and less responsive customers than forecast.</w:t>
      </w:r>
    </w:p>
    <w:p w14:paraId="2E3DB742" w14:textId="77777777" w:rsidR="008D4A3E" w:rsidRDefault="008D4A3E" w:rsidP="008D4A3E"/>
    <w:p w14:paraId="10AC317A" w14:textId="3B342745" w:rsidR="008D4A3E" w:rsidRDefault="008D4A3E" w:rsidP="008D4A3E">
      <w:pPr>
        <w:pStyle w:val="TableCaption"/>
      </w:pPr>
      <w:bookmarkStart w:id="246" w:name="_Ref507077396"/>
      <w:bookmarkStart w:id="247" w:name="_Toc507081211"/>
      <w:bookmarkStart w:id="248" w:name="_Toc509837376"/>
      <w:r>
        <w:t xml:space="preserve">Table </w:t>
      </w:r>
      <w:fldSimple w:instr=" STYLEREF 1 \s ">
        <w:r w:rsidR="005D5C7C">
          <w:rPr>
            <w:noProof/>
          </w:rPr>
          <w:t>3</w:t>
        </w:r>
      </w:fldSimple>
      <w:r w:rsidR="0069714C">
        <w:t>.</w:t>
      </w:r>
      <w:fldSimple w:instr=" SEQ Table \* ARABIC \s 1 ">
        <w:r w:rsidR="005D5C7C">
          <w:rPr>
            <w:noProof/>
          </w:rPr>
          <w:t>19</w:t>
        </w:r>
      </w:fldSimple>
      <w:bookmarkEnd w:id="246"/>
      <w:r>
        <w:t>:</w:t>
      </w:r>
      <w:r w:rsidRPr="00827AFF">
        <w:t xml:space="preserve"> </w:t>
      </w:r>
      <w:r w:rsidRPr="00376F46">
        <w:t xml:space="preserve">Comparison of </w:t>
      </w:r>
      <w:r>
        <w:t xml:space="preserve">Previous </w:t>
      </w:r>
      <w:r>
        <w:rPr>
          <w:i/>
        </w:rPr>
        <w:t>Ex-Ante</w:t>
      </w:r>
      <w:r>
        <w:t xml:space="preserve"> and Current </w:t>
      </w:r>
      <w:r>
        <w:rPr>
          <w:i/>
        </w:rPr>
        <w:t>Ex-Post</w:t>
      </w:r>
      <w:r>
        <w:t xml:space="preserve"> </w:t>
      </w:r>
      <w:r w:rsidRPr="00376F46">
        <w:t>Impacts</w:t>
      </w:r>
      <w:bookmarkEnd w:id="247"/>
      <w:bookmarkEnd w:id="2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8D4A3E" w14:paraId="3E6E6DAA" w14:textId="77777777" w:rsidTr="003C7443">
        <w:trPr>
          <w:jc w:val="center"/>
        </w:trPr>
        <w:tc>
          <w:tcPr>
            <w:tcW w:w="1548" w:type="dxa"/>
            <w:tcBorders>
              <w:right w:val="single" w:sz="4" w:space="0" w:color="FFFFFF"/>
            </w:tcBorders>
            <w:shd w:val="clear" w:color="auto" w:fill="0C2577"/>
            <w:vAlign w:val="center"/>
          </w:tcPr>
          <w:p w14:paraId="38F2C846"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54F9ECAF"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12F9EBD0"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2017 August Peak Day from PY2016 Study</w:t>
            </w:r>
          </w:p>
        </w:tc>
        <w:tc>
          <w:tcPr>
            <w:tcW w:w="1772" w:type="dxa"/>
            <w:tcBorders>
              <w:left w:val="single" w:sz="4" w:space="0" w:color="FFFFFF"/>
            </w:tcBorders>
            <w:shd w:val="clear" w:color="auto" w:fill="0C2577"/>
            <w:vAlign w:val="center"/>
          </w:tcPr>
          <w:p w14:paraId="18D8562B"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r>
      <w:tr w:rsidR="008D4A3E" w14:paraId="4EA50009" w14:textId="77777777" w:rsidTr="003C7443">
        <w:trPr>
          <w:jc w:val="center"/>
        </w:trPr>
        <w:tc>
          <w:tcPr>
            <w:tcW w:w="1548" w:type="dxa"/>
            <w:vMerge w:val="restart"/>
            <w:shd w:val="clear" w:color="auto" w:fill="auto"/>
            <w:vAlign w:val="center"/>
          </w:tcPr>
          <w:p w14:paraId="2D71D585"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03192317"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tcPr>
          <w:p w14:paraId="7663DFAD"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2,646</w:t>
            </w:r>
          </w:p>
        </w:tc>
        <w:tc>
          <w:tcPr>
            <w:tcW w:w="1772" w:type="dxa"/>
            <w:shd w:val="clear" w:color="auto" w:fill="auto"/>
            <w:vAlign w:val="center"/>
          </w:tcPr>
          <w:p w14:paraId="7088E42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1,982</w:t>
            </w:r>
          </w:p>
        </w:tc>
      </w:tr>
      <w:tr w:rsidR="008D4A3E" w14:paraId="2EC40783" w14:textId="77777777" w:rsidTr="003C7443">
        <w:trPr>
          <w:trHeight w:val="242"/>
          <w:jc w:val="center"/>
        </w:trPr>
        <w:tc>
          <w:tcPr>
            <w:tcW w:w="1548" w:type="dxa"/>
            <w:vMerge/>
            <w:shd w:val="clear" w:color="auto" w:fill="auto"/>
            <w:vAlign w:val="center"/>
          </w:tcPr>
          <w:p w14:paraId="2AFF33B6"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1B6F89D0"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tcPr>
          <w:p w14:paraId="2106A8FC"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782</w:t>
            </w:r>
          </w:p>
        </w:tc>
        <w:tc>
          <w:tcPr>
            <w:tcW w:w="1772" w:type="dxa"/>
            <w:shd w:val="clear" w:color="auto" w:fill="auto"/>
            <w:vAlign w:val="center"/>
          </w:tcPr>
          <w:p w14:paraId="178D9CC6"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528</w:t>
            </w:r>
          </w:p>
        </w:tc>
      </w:tr>
      <w:tr w:rsidR="008D4A3E" w14:paraId="15254D27" w14:textId="77777777" w:rsidTr="003C7443">
        <w:trPr>
          <w:jc w:val="center"/>
        </w:trPr>
        <w:tc>
          <w:tcPr>
            <w:tcW w:w="1548" w:type="dxa"/>
            <w:vMerge/>
            <w:shd w:val="clear" w:color="auto" w:fill="auto"/>
            <w:vAlign w:val="center"/>
          </w:tcPr>
          <w:p w14:paraId="3160ED2E"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6E77C737"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tcPr>
          <w:p w14:paraId="04226A1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45.2</w:t>
            </w:r>
          </w:p>
        </w:tc>
        <w:tc>
          <w:tcPr>
            <w:tcW w:w="1772" w:type="dxa"/>
            <w:shd w:val="clear" w:color="auto" w:fill="auto"/>
            <w:vAlign w:val="center"/>
          </w:tcPr>
          <w:p w14:paraId="374CB76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22.4</w:t>
            </w:r>
          </w:p>
        </w:tc>
      </w:tr>
      <w:tr w:rsidR="008D4A3E" w14:paraId="49319C2C" w14:textId="77777777" w:rsidTr="003C7443">
        <w:trPr>
          <w:jc w:val="center"/>
        </w:trPr>
        <w:tc>
          <w:tcPr>
            <w:tcW w:w="1548" w:type="dxa"/>
            <w:vMerge/>
            <w:shd w:val="clear" w:color="auto" w:fill="auto"/>
            <w:vAlign w:val="center"/>
          </w:tcPr>
          <w:p w14:paraId="530D9D5F"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4C5B14EF" w14:textId="77777777" w:rsidR="008D4A3E" w:rsidRPr="009C75E1" w:rsidRDefault="008D4A3E" w:rsidP="003C7443">
            <w:pPr>
              <w:keepNext/>
              <w:keepLines/>
              <w:rPr>
                <w:rFonts w:ascii="Arial" w:hAnsi="Arial" w:cs="Arial"/>
                <w:sz w:val="20"/>
                <w:szCs w:val="20"/>
              </w:rPr>
            </w:pPr>
            <w:r>
              <w:rPr>
                <w:rFonts w:ascii="Arial" w:hAnsi="Arial" w:cs="Arial"/>
                <w:sz w:val="20"/>
                <w:szCs w:val="20"/>
              </w:rPr>
              <w:t>Avg. Temp.</w:t>
            </w:r>
          </w:p>
        </w:tc>
        <w:tc>
          <w:tcPr>
            <w:tcW w:w="1771" w:type="dxa"/>
            <w:shd w:val="clear" w:color="auto" w:fill="auto"/>
          </w:tcPr>
          <w:p w14:paraId="5D3F0358" w14:textId="77777777" w:rsidR="008D4A3E" w:rsidRDefault="008D4A3E" w:rsidP="003C7443">
            <w:pPr>
              <w:keepNext/>
              <w:keepLines/>
              <w:jc w:val="center"/>
              <w:rPr>
                <w:rFonts w:ascii="Arial" w:hAnsi="Arial" w:cs="Arial"/>
                <w:sz w:val="20"/>
                <w:szCs w:val="20"/>
              </w:rPr>
            </w:pPr>
            <w:r>
              <w:rPr>
                <w:rFonts w:ascii="Arial" w:hAnsi="Arial" w:cs="Arial"/>
                <w:sz w:val="20"/>
                <w:szCs w:val="20"/>
              </w:rPr>
              <w:t>93.9</w:t>
            </w:r>
          </w:p>
        </w:tc>
        <w:tc>
          <w:tcPr>
            <w:tcW w:w="1772" w:type="dxa"/>
            <w:shd w:val="clear" w:color="auto" w:fill="auto"/>
            <w:vAlign w:val="center"/>
          </w:tcPr>
          <w:p w14:paraId="55701DBC" w14:textId="77777777" w:rsidR="008D4A3E" w:rsidRDefault="008D4A3E" w:rsidP="003C7443">
            <w:pPr>
              <w:keepNext/>
              <w:keepLines/>
              <w:jc w:val="center"/>
              <w:rPr>
                <w:rFonts w:ascii="Arial" w:hAnsi="Arial" w:cs="Arial"/>
                <w:sz w:val="20"/>
                <w:szCs w:val="20"/>
              </w:rPr>
            </w:pPr>
            <w:r>
              <w:rPr>
                <w:rFonts w:ascii="Arial" w:hAnsi="Arial" w:cs="Arial"/>
                <w:sz w:val="20"/>
                <w:szCs w:val="20"/>
              </w:rPr>
              <w:t>92.8</w:t>
            </w:r>
          </w:p>
        </w:tc>
      </w:tr>
      <w:tr w:rsidR="008D4A3E" w14:paraId="67A6A620" w14:textId="77777777" w:rsidTr="003C7443">
        <w:trPr>
          <w:jc w:val="center"/>
        </w:trPr>
        <w:tc>
          <w:tcPr>
            <w:tcW w:w="1548" w:type="dxa"/>
            <w:vMerge w:val="restart"/>
            <w:shd w:val="clear" w:color="auto" w:fill="auto"/>
            <w:vAlign w:val="center"/>
          </w:tcPr>
          <w:p w14:paraId="0F412CE3"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5263BF54"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tcPr>
          <w:p w14:paraId="57AFE290"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295</w:t>
            </w:r>
          </w:p>
        </w:tc>
        <w:tc>
          <w:tcPr>
            <w:tcW w:w="1772" w:type="dxa"/>
            <w:shd w:val="clear" w:color="auto" w:fill="auto"/>
            <w:vAlign w:val="center"/>
          </w:tcPr>
          <w:p w14:paraId="1193A17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267</w:t>
            </w:r>
          </w:p>
        </w:tc>
      </w:tr>
      <w:tr w:rsidR="008D4A3E" w14:paraId="70108C0A" w14:textId="77777777" w:rsidTr="003C7443">
        <w:trPr>
          <w:jc w:val="center"/>
        </w:trPr>
        <w:tc>
          <w:tcPr>
            <w:tcW w:w="1548" w:type="dxa"/>
            <w:vMerge/>
            <w:shd w:val="clear" w:color="auto" w:fill="auto"/>
          </w:tcPr>
          <w:p w14:paraId="7F400D89"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575440E5"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tcPr>
          <w:p w14:paraId="564A8268"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17.1</w:t>
            </w:r>
          </w:p>
        </w:tc>
        <w:tc>
          <w:tcPr>
            <w:tcW w:w="1772" w:type="dxa"/>
            <w:shd w:val="clear" w:color="auto" w:fill="auto"/>
            <w:vAlign w:val="center"/>
          </w:tcPr>
          <w:p w14:paraId="0379BB3C"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11.3</w:t>
            </w:r>
          </w:p>
        </w:tc>
      </w:tr>
      <w:tr w:rsidR="008D4A3E" w14:paraId="2C2D2D26" w14:textId="77777777" w:rsidTr="003C7443">
        <w:trPr>
          <w:jc w:val="center"/>
        </w:trPr>
        <w:tc>
          <w:tcPr>
            <w:tcW w:w="1548" w:type="dxa"/>
            <w:vMerge/>
            <w:shd w:val="clear" w:color="auto" w:fill="auto"/>
          </w:tcPr>
          <w:p w14:paraId="45D95205"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3D2C635B"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tcPr>
          <w:p w14:paraId="6AEC7638"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5.8%</w:t>
            </w:r>
          </w:p>
        </w:tc>
        <w:tc>
          <w:tcPr>
            <w:tcW w:w="1772" w:type="dxa"/>
            <w:shd w:val="clear" w:color="auto" w:fill="auto"/>
            <w:vAlign w:val="center"/>
          </w:tcPr>
          <w:p w14:paraId="0C802C39"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4.2%</w:t>
            </w:r>
          </w:p>
        </w:tc>
      </w:tr>
    </w:tbl>
    <w:p w14:paraId="5C29C53F" w14:textId="77777777" w:rsidR="008D4A3E" w:rsidRDefault="008D4A3E" w:rsidP="008D4A3E"/>
    <w:p w14:paraId="4980F5CD" w14:textId="77777777" w:rsidR="008D4A3E" w:rsidRPr="00823315" w:rsidRDefault="008D4A3E" w:rsidP="008D4A3E">
      <w:pPr>
        <w:rPr>
          <w:b/>
          <w:i/>
        </w:rPr>
      </w:pPr>
      <w:r w:rsidRPr="00823315">
        <w:rPr>
          <w:b/>
          <w:i/>
        </w:rPr>
        <w:t>Current ex-post versus current ex-ante</w:t>
      </w:r>
      <w:bookmarkEnd w:id="243"/>
      <w:bookmarkEnd w:id="244"/>
      <w:bookmarkEnd w:id="245"/>
    </w:p>
    <w:p w14:paraId="7362933C" w14:textId="2CF6FEA1" w:rsidR="008D4A3E" w:rsidRDefault="008D4A3E" w:rsidP="008D4A3E">
      <w:r>
        <w:fldChar w:fldCharType="begin"/>
      </w:r>
      <w:r>
        <w:instrText xml:space="preserve"> REF _Ref507077622 \h </w:instrText>
      </w:r>
      <w:r>
        <w:fldChar w:fldCharType="separate"/>
      </w:r>
      <w:r w:rsidR="005D5C7C">
        <w:t xml:space="preserve">Table </w:t>
      </w:r>
      <w:r w:rsidR="005D5C7C">
        <w:rPr>
          <w:noProof/>
        </w:rPr>
        <w:t>3</w:t>
      </w:r>
      <w:r w:rsidR="005D5C7C">
        <w:t>.</w:t>
      </w:r>
      <w:r w:rsidR="005D5C7C">
        <w:rPr>
          <w:noProof/>
        </w:rPr>
        <w:t>20</w:t>
      </w:r>
      <w:r>
        <w:fldChar w:fldCharType="end"/>
      </w:r>
      <w:r>
        <w:t xml:space="preserve"> compares the </w:t>
      </w:r>
      <w:r w:rsidRPr="005926F0">
        <w:rPr>
          <w:i/>
        </w:rPr>
        <w:t>ex-post</w:t>
      </w:r>
      <w:r>
        <w:t xml:space="preserve"> and </w:t>
      </w:r>
      <w:r w:rsidRPr="005926F0">
        <w:rPr>
          <w:i/>
        </w:rPr>
        <w:t>ex-ante</w:t>
      </w:r>
      <w:r>
        <w:t xml:space="preserve"> load impacts from this study. The </w:t>
      </w:r>
      <w:r w:rsidRPr="005926F0">
        <w:rPr>
          <w:i/>
        </w:rPr>
        <w:t>ex-ante</w:t>
      </w:r>
      <w:r>
        <w:t xml:space="preserve"> load impacts in the table represent the 2018 August peak day with utility-specific 1-in-2 weather conditions. </w:t>
      </w:r>
      <w:r w:rsidR="00C02CE6">
        <w:t xml:space="preserve">The aggregate load impact is forecast to increase from 22.4 MWh/hour in PY2017 to </w:t>
      </w:r>
      <w:r w:rsidR="004F1A4D">
        <w:t>30</w:t>
      </w:r>
      <w:r w:rsidR="00C02CE6">
        <w:t>.1 MWh/hour in 2018.</w:t>
      </w:r>
    </w:p>
    <w:p w14:paraId="27B755DE" w14:textId="77777777" w:rsidR="008D4A3E" w:rsidRDefault="008D4A3E" w:rsidP="008D4A3E"/>
    <w:p w14:paraId="3F65DCDF" w14:textId="3BB221FC" w:rsidR="008D4A3E" w:rsidRDefault="008D4A3E" w:rsidP="008D4A3E">
      <w:pPr>
        <w:pStyle w:val="TableCaption"/>
      </w:pPr>
      <w:bookmarkStart w:id="249" w:name="_Ref507077622"/>
      <w:bookmarkStart w:id="250" w:name="_Toc507081212"/>
      <w:bookmarkStart w:id="251" w:name="_Toc509837377"/>
      <w:r>
        <w:t xml:space="preserve">Table </w:t>
      </w:r>
      <w:fldSimple w:instr=" STYLEREF 1 \s ">
        <w:r w:rsidR="005D5C7C">
          <w:rPr>
            <w:noProof/>
          </w:rPr>
          <w:t>3</w:t>
        </w:r>
      </w:fldSimple>
      <w:r w:rsidR="0069714C">
        <w:t>.</w:t>
      </w:r>
      <w:fldSimple w:instr=" SEQ Table \* ARABIC \s 1 ">
        <w:r w:rsidR="005D5C7C">
          <w:rPr>
            <w:noProof/>
          </w:rPr>
          <w:t>20</w:t>
        </w:r>
      </w:fldSimple>
      <w:bookmarkEnd w:id="249"/>
      <w:r>
        <w:t xml:space="preserve">: </w:t>
      </w:r>
      <w:r w:rsidRPr="00376F46">
        <w:t xml:space="preserve">Comparison of </w:t>
      </w:r>
      <w:r>
        <w:t xml:space="preserve">Current </w:t>
      </w:r>
      <w:r>
        <w:rPr>
          <w:i/>
        </w:rPr>
        <w:t>Ex-Post</w:t>
      </w:r>
      <w:r>
        <w:t xml:space="preserve"> and </w:t>
      </w:r>
      <w:r>
        <w:rPr>
          <w:i/>
        </w:rPr>
        <w:t>Ex-Ante</w:t>
      </w:r>
      <w:r>
        <w:t xml:space="preserve"> Load </w:t>
      </w:r>
      <w:r w:rsidRPr="00376F46">
        <w:t>Impacts</w:t>
      </w:r>
      <w:bookmarkEnd w:id="250"/>
      <w:bookmarkEnd w:id="2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8D4A3E" w14:paraId="31D848B2" w14:textId="77777777" w:rsidTr="003C7443">
        <w:trPr>
          <w:jc w:val="center"/>
        </w:trPr>
        <w:tc>
          <w:tcPr>
            <w:tcW w:w="1548" w:type="dxa"/>
            <w:tcBorders>
              <w:right w:val="single" w:sz="4" w:space="0" w:color="FFFFFF"/>
            </w:tcBorders>
            <w:shd w:val="clear" w:color="auto" w:fill="0C2577"/>
            <w:vAlign w:val="center"/>
          </w:tcPr>
          <w:p w14:paraId="41D72BD5"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76B95587"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3F13235D"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c>
          <w:tcPr>
            <w:tcW w:w="1772" w:type="dxa"/>
            <w:tcBorders>
              <w:left w:val="single" w:sz="4" w:space="0" w:color="FFFFFF"/>
            </w:tcBorders>
            <w:shd w:val="clear" w:color="auto" w:fill="0C2577"/>
            <w:vAlign w:val="center"/>
          </w:tcPr>
          <w:p w14:paraId="5C40826C"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2018 August Peak Day from PY2017 Study</w:t>
            </w:r>
          </w:p>
        </w:tc>
      </w:tr>
      <w:tr w:rsidR="004F1A4D" w14:paraId="73B39B93" w14:textId="77777777" w:rsidTr="003C7443">
        <w:trPr>
          <w:jc w:val="center"/>
        </w:trPr>
        <w:tc>
          <w:tcPr>
            <w:tcW w:w="1548" w:type="dxa"/>
            <w:vMerge w:val="restart"/>
            <w:shd w:val="clear" w:color="auto" w:fill="auto"/>
            <w:vAlign w:val="center"/>
          </w:tcPr>
          <w:p w14:paraId="516997E0" w14:textId="77777777" w:rsidR="004F1A4D" w:rsidRPr="009C75E1" w:rsidRDefault="004F1A4D" w:rsidP="004F1A4D">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5AF44397"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67D1E22D"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1,982</w:t>
            </w:r>
          </w:p>
        </w:tc>
        <w:tc>
          <w:tcPr>
            <w:tcW w:w="1772" w:type="dxa"/>
            <w:shd w:val="clear" w:color="auto" w:fill="auto"/>
          </w:tcPr>
          <w:p w14:paraId="79DECEE2" w14:textId="1E9BC258" w:rsidR="004F1A4D" w:rsidRPr="009C75E1" w:rsidRDefault="004F1A4D" w:rsidP="004F1A4D">
            <w:pPr>
              <w:keepNext/>
              <w:keepLines/>
              <w:jc w:val="center"/>
              <w:rPr>
                <w:rFonts w:ascii="Arial" w:hAnsi="Arial" w:cs="Arial"/>
                <w:sz w:val="20"/>
                <w:szCs w:val="20"/>
              </w:rPr>
            </w:pPr>
            <w:r>
              <w:rPr>
                <w:rFonts w:ascii="Arial" w:hAnsi="Arial" w:cs="Arial"/>
                <w:sz w:val="20"/>
                <w:szCs w:val="20"/>
              </w:rPr>
              <w:t>3,154</w:t>
            </w:r>
          </w:p>
        </w:tc>
      </w:tr>
      <w:tr w:rsidR="004F1A4D" w14:paraId="044211BE" w14:textId="77777777" w:rsidTr="003C7443">
        <w:trPr>
          <w:trHeight w:val="242"/>
          <w:jc w:val="center"/>
        </w:trPr>
        <w:tc>
          <w:tcPr>
            <w:tcW w:w="1548" w:type="dxa"/>
            <w:vMerge/>
            <w:shd w:val="clear" w:color="auto" w:fill="auto"/>
            <w:vAlign w:val="center"/>
          </w:tcPr>
          <w:p w14:paraId="4C6450C3"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3F7B1425"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6FC097F8"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528</w:t>
            </w:r>
          </w:p>
        </w:tc>
        <w:tc>
          <w:tcPr>
            <w:tcW w:w="1772" w:type="dxa"/>
            <w:shd w:val="clear" w:color="auto" w:fill="auto"/>
          </w:tcPr>
          <w:p w14:paraId="4A92FEB4" w14:textId="10C80410" w:rsidR="004F1A4D" w:rsidRPr="009C75E1" w:rsidRDefault="004F1A4D" w:rsidP="004F1A4D">
            <w:pPr>
              <w:keepNext/>
              <w:keepLines/>
              <w:jc w:val="center"/>
              <w:rPr>
                <w:rFonts w:ascii="Arial" w:hAnsi="Arial" w:cs="Arial"/>
                <w:sz w:val="20"/>
                <w:szCs w:val="20"/>
              </w:rPr>
            </w:pPr>
            <w:r>
              <w:rPr>
                <w:rFonts w:ascii="Arial" w:hAnsi="Arial" w:cs="Arial"/>
                <w:sz w:val="20"/>
                <w:szCs w:val="20"/>
              </w:rPr>
              <w:t>861</w:t>
            </w:r>
          </w:p>
        </w:tc>
      </w:tr>
      <w:tr w:rsidR="004F1A4D" w14:paraId="2082EBE0" w14:textId="77777777" w:rsidTr="003C7443">
        <w:trPr>
          <w:jc w:val="center"/>
        </w:trPr>
        <w:tc>
          <w:tcPr>
            <w:tcW w:w="1548" w:type="dxa"/>
            <w:vMerge/>
            <w:shd w:val="clear" w:color="auto" w:fill="auto"/>
            <w:vAlign w:val="center"/>
          </w:tcPr>
          <w:p w14:paraId="75AF4B09"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60DE8E21"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54FF7D8D"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22.4</w:t>
            </w:r>
          </w:p>
        </w:tc>
        <w:tc>
          <w:tcPr>
            <w:tcW w:w="1772" w:type="dxa"/>
            <w:shd w:val="clear" w:color="auto" w:fill="auto"/>
          </w:tcPr>
          <w:p w14:paraId="688063D6" w14:textId="014641B0" w:rsidR="004F1A4D" w:rsidRPr="009C75E1" w:rsidRDefault="004F1A4D" w:rsidP="004F1A4D">
            <w:pPr>
              <w:keepNext/>
              <w:keepLines/>
              <w:jc w:val="center"/>
              <w:rPr>
                <w:rFonts w:ascii="Arial" w:hAnsi="Arial" w:cs="Arial"/>
                <w:sz w:val="20"/>
                <w:szCs w:val="20"/>
              </w:rPr>
            </w:pPr>
            <w:r>
              <w:rPr>
                <w:rFonts w:ascii="Arial" w:hAnsi="Arial" w:cs="Arial"/>
                <w:sz w:val="20"/>
                <w:szCs w:val="20"/>
              </w:rPr>
              <w:t>30.1</w:t>
            </w:r>
          </w:p>
        </w:tc>
      </w:tr>
      <w:tr w:rsidR="004F1A4D" w14:paraId="7CBB8D57" w14:textId="77777777" w:rsidTr="003C7443">
        <w:trPr>
          <w:jc w:val="center"/>
        </w:trPr>
        <w:tc>
          <w:tcPr>
            <w:tcW w:w="1548" w:type="dxa"/>
            <w:vMerge/>
            <w:shd w:val="clear" w:color="auto" w:fill="auto"/>
            <w:vAlign w:val="center"/>
          </w:tcPr>
          <w:p w14:paraId="599FAFC3"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5E26BF4E" w14:textId="77777777" w:rsidR="004F1A4D" w:rsidRPr="009C75E1" w:rsidRDefault="004F1A4D" w:rsidP="004F1A4D">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0F85E9A8" w14:textId="77777777" w:rsidR="004F1A4D" w:rsidRDefault="004F1A4D" w:rsidP="004F1A4D">
            <w:pPr>
              <w:keepNext/>
              <w:keepLines/>
              <w:jc w:val="center"/>
              <w:rPr>
                <w:rFonts w:ascii="Arial" w:hAnsi="Arial" w:cs="Arial"/>
                <w:sz w:val="20"/>
                <w:szCs w:val="20"/>
              </w:rPr>
            </w:pPr>
            <w:r>
              <w:rPr>
                <w:rFonts w:ascii="Arial" w:hAnsi="Arial" w:cs="Arial"/>
                <w:sz w:val="20"/>
                <w:szCs w:val="20"/>
              </w:rPr>
              <w:t>92.8</w:t>
            </w:r>
          </w:p>
        </w:tc>
        <w:tc>
          <w:tcPr>
            <w:tcW w:w="1772" w:type="dxa"/>
            <w:shd w:val="clear" w:color="auto" w:fill="auto"/>
          </w:tcPr>
          <w:p w14:paraId="1F618F1A" w14:textId="22D37DD9" w:rsidR="004F1A4D" w:rsidRDefault="004F1A4D" w:rsidP="004F1A4D">
            <w:pPr>
              <w:keepNext/>
              <w:keepLines/>
              <w:jc w:val="center"/>
              <w:rPr>
                <w:rFonts w:ascii="Arial" w:hAnsi="Arial" w:cs="Arial"/>
                <w:sz w:val="20"/>
                <w:szCs w:val="20"/>
              </w:rPr>
            </w:pPr>
            <w:r>
              <w:rPr>
                <w:rFonts w:ascii="Arial" w:hAnsi="Arial" w:cs="Arial"/>
                <w:sz w:val="20"/>
                <w:szCs w:val="20"/>
              </w:rPr>
              <w:t>91.9</w:t>
            </w:r>
          </w:p>
        </w:tc>
      </w:tr>
      <w:tr w:rsidR="004F1A4D" w14:paraId="7B0915FC" w14:textId="77777777" w:rsidTr="003C7443">
        <w:trPr>
          <w:jc w:val="center"/>
        </w:trPr>
        <w:tc>
          <w:tcPr>
            <w:tcW w:w="1548" w:type="dxa"/>
            <w:vMerge w:val="restart"/>
            <w:shd w:val="clear" w:color="auto" w:fill="auto"/>
            <w:vAlign w:val="center"/>
          </w:tcPr>
          <w:p w14:paraId="422A4BF3" w14:textId="77777777" w:rsidR="004F1A4D" w:rsidRPr="009C75E1" w:rsidRDefault="004F1A4D" w:rsidP="004F1A4D">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6BB0812A"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6D582AEE"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267</w:t>
            </w:r>
          </w:p>
        </w:tc>
        <w:tc>
          <w:tcPr>
            <w:tcW w:w="1772" w:type="dxa"/>
            <w:shd w:val="clear" w:color="auto" w:fill="auto"/>
          </w:tcPr>
          <w:p w14:paraId="6A73E445" w14:textId="6F54638F" w:rsidR="004F1A4D" w:rsidRPr="009C75E1" w:rsidRDefault="004F1A4D" w:rsidP="004F1A4D">
            <w:pPr>
              <w:keepNext/>
              <w:keepLines/>
              <w:jc w:val="center"/>
              <w:rPr>
                <w:rFonts w:ascii="Arial" w:hAnsi="Arial" w:cs="Arial"/>
                <w:sz w:val="20"/>
                <w:szCs w:val="20"/>
              </w:rPr>
            </w:pPr>
            <w:r>
              <w:rPr>
                <w:rFonts w:ascii="Arial" w:hAnsi="Arial" w:cs="Arial"/>
                <w:sz w:val="20"/>
                <w:szCs w:val="20"/>
              </w:rPr>
              <w:t>273</w:t>
            </w:r>
          </w:p>
        </w:tc>
      </w:tr>
      <w:tr w:rsidR="004F1A4D" w14:paraId="23AC2540" w14:textId="77777777" w:rsidTr="003C7443">
        <w:trPr>
          <w:jc w:val="center"/>
        </w:trPr>
        <w:tc>
          <w:tcPr>
            <w:tcW w:w="1548" w:type="dxa"/>
            <w:vMerge/>
            <w:shd w:val="clear" w:color="auto" w:fill="auto"/>
          </w:tcPr>
          <w:p w14:paraId="269D6C78"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0056FE41"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2464C21B"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11.3</w:t>
            </w:r>
          </w:p>
        </w:tc>
        <w:tc>
          <w:tcPr>
            <w:tcW w:w="1772" w:type="dxa"/>
            <w:shd w:val="clear" w:color="auto" w:fill="auto"/>
          </w:tcPr>
          <w:p w14:paraId="48774C05" w14:textId="234A7D0F" w:rsidR="004F1A4D" w:rsidRPr="009C75E1" w:rsidRDefault="004F1A4D" w:rsidP="004F1A4D">
            <w:pPr>
              <w:keepNext/>
              <w:keepLines/>
              <w:jc w:val="center"/>
              <w:rPr>
                <w:rFonts w:ascii="Arial" w:hAnsi="Arial" w:cs="Arial"/>
                <w:sz w:val="20"/>
                <w:szCs w:val="20"/>
              </w:rPr>
            </w:pPr>
            <w:r>
              <w:rPr>
                <w:rFonts w:ascii="Arial" w:hAnsi="Arial" w:cs="Arial"/>
                <w:sz w:val="20"/>
                <w:szCs w:val="20"/>
              </w:rPr>
              <w:t>9.5</w:t>
            </w:r>
          </w:p>
        </w:tc>
      </w:tr>
      <w:tr w:rsidR="004F1A4D" w14:paraId="0BE8A4E6" w14:textId="77777777" w:rsidTr="003C7443">
        <w:trPr>
          <w:jc w:val="center"/>
        </w:trPr>
        <w:tc>
          <w:tcPr>
            <w:tcW w:w="1548" w:type="dxa"/>
            <w:vMerge/>
            <w:shd w:val="clear" w:color="auto" w:fill="auto"/>
          </w:tcPr>
          <w:p w14:paraId="1E1DBC07"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75C31FB9"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59A4EB79"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4.2%</w:t>
            </w:r>
          </w:p>
        </w:tc>
        <w:tc>
          <w:tcPr>
            <w:tcW w:w="1772" w:type="dxa"/>
            <w:shd w:val="clear" w:color="auto" w:fill="auto"/>
          </w:tcPr>
          <w:p w14:paraId="26EA771F" w14:textId="215A61B9" w:rsidR="004F1A4D" w:rsidRPr="009C75E1" w:rsidRDefault="004F1A4D" w:rsidP="004F1A4D">
            <w:pPr>
              <w:keepNext/>
              <w:keepLines/>
              <w:jc w:val="center"/>
              <w:rPr>
                <w:rFonts w:ascii="Arial" w:hAnsi="Arial" w:cs="Arial"/>
                <w:sz w:val="20"/>
                <w:szCs w:val="20"/>
              </w:rPr>
            </w:pPr>
            <w:r>
              <w:rPr>
                <w:rFonts w:ascii="Arial" w:hAnsi="Arial" w:cs="Arial"/>
                <w:sz w:val="20"/>
                <w:szCs w:val="20"/>
              </w:rPr>
              <w:t>3.5%</w:t>
            </w:r>
          </w:p>
        </w:tc>
      </w:tr>
    </w:tbl>
    <w:p w14:paraId="770ACDB7" w14:textId="77777777" w:rsidR="008D4A3E" w:rsidRDefault="008D4A3E" w:rsidP="008D4A3E"/>
    <w:p w14:paraId="7482CE3A" w14:textId="44D29304" w:rsidR="008D4A3E" w:rsidRDefault="008D4A3E" w:rsidP="008D4A3E">
      <w:r>
        <w:fldChar w:fldCharType="begin"/>
      </w:r>
      <w:r>
        <w:instrText xml:space="preserve"> REF _Ref507077792 \h </w:instrText>
      </w:r>
      <w:r>
        <w:fldChar w:fldCharType="separate"/>
      </w:r>
      <w:r w:rsidR="005D5C7C">
        <w:t xml:space="preserve">Table </w:t>
      </w:r>
      <w:r w:rsidR="005D5C7C">
        <w:rPr>
          <w:noProof/>
        </w:rPr>
        <w:t>3</w:t>
      </w:r>
      <w:r w:rsidR="005D5C7C">
        <w:t>.</w:t>
      </w:r>
      <w:r w:rsidR="005D5C7C">
        <w:rPr>
          <w:noProof/>
        </w:rPr>
        <w:t>21</w:t>
      </w:r>
      <w:r>
        <w:fldChar w:fldCharType="end"/>
      </w:r>
      <w:r>
        <w:t xml:space="preserve"> documents the various potential sources of differences between the </w:t>
      </w:r>
      <w:r w:rsidRPr="002A342D">
        <w:rPr>
          <w:i/>
        </w:rPr>
        <w:t>ex-post</w:t>
      </w:r>
      <w:r>
        <w:t xml:space="preserve"> and </w:t>
      </w:r>
      <w:r w:rsidRPr="002A342D">
        <w:rPr>
          <w:i/>
        </w:rPr>
        <w:t>ex-ante</w:t>
      </w:r>
      <w:r>
        <w:t xml:space="preserve"> load impacts. </w:t>
      </w:r>
      <w:r w:rsidR="00C02CE6">
        <w:t xml:space="preserve">The two biggest drivers of differences are the </w:t>
      </w:r>
      <w:r w:rsidR="004F1A4D">
        <w:t>59</w:t>
      </w:r>
      <w:r w:rsidR="00C02CE6">
        <w:t xml:space="preserve"> percent increase in customer enrollment (which scales the aggregate load impact up by a commensurate amount) and a shift in the distribution of enrollments across LCAs, which causes a slight reduction in the average percentage load impact (which decreases from 4.2 to 3.</w:t>
      </w:r>
      <w:r w:rsidR="004F1A4D">
        <w:t>5</w:t>
      </w:r>
      <w:r w:rsidR="00C02CE6">
        <w:t xml:space="preserve"> percent).</w:t>
      </w:r>
    </w:p>
    <w:p w14:paraId="592E84E0" w14:textId="77777777" w:rsidR="008D4A3E" w:rsidRDefault="008D4A3E" w:rsidP="008D4A3E"/>
    <w:p w14:paraId="68AC5E50" w14:textId="7612C198" w:rsidR="008D4A3E" w:rsidRDefault="008D4A3E" w:rsidP="008D4A3E">
      <w:pPr>
        <w:pStyle w:val="TableCaption"/>
      </w:pPr>
      <w:bookmarkStart w:id="252" w:name="_Ref507077792"/>
      <w:bookmarkStart w:id="253" w:name="_Toc507081213"/>
      <w:bookmarkStart w:id="254" w:name="_Toc509837378"/>
      <w:r>
        <w:lastRenderedPageBreak/>
        <w:t xml:space="preserve">Table </w:t>
      </w:r>
      <w:fldSimple w:instr=" STYLEREF 1 \s ">
        <w:r w:rsidR="005D5C7C">
          <w:rPr>
            <w:noProof/>
          </w:rPr>
          <w:t>3</w:t>
        </w:r>
      </w:fldSimple>
      <w:r w:rsidR="0069714C">
        <w:t>.</w:t>
      </w:r>
      <w:fldSimple w:instr=" SEQ Table \* ARABIC \s 1 ">
        <w:r w:rsidR="005D5C7C">
          <w:rPr>
            <w:noProof/>
          </w:rPr>
          <w:t>21</w:t>
        </w:r>
      </w:fldSimple>
      <w:bookmarkEnd w:id="252"/>
      <w:r w:rsidRPr="00726438">
        <w:t>:</w:t>
      </w:r>
      <w:r>
        <w:t xml:space="preserve"> Comparison of </w:t>
      </w:r>
      <w:r>
        <w:rPr>
          <w:i/>
        </w:rPr>
        <w:t>Ex-Post</w:t>
      </w:r>
      <w:r w:rsidRPr="00726438">
        <w:t xml:space="preserve"> </w:t>
      </w:r>
      <w:r>
        <w:t xml:space="preserve">and </w:t>
      </w:r>
      <w:r>
        <w:rPr>
          <w:i/>
        </w:rPr>
        <w:t>Ex-Ante</w:t>
      </w:r>
      <w:r>
        <w:t xml:space="preserve"> Factors</w:t>
      </w:r>
      <w:bookmarkEnd w:id="253"/>
      <w:bookmarkEnd w:id="254"/>
    </w:p>
    <w:tbl>
      <w:tblPr>
        <w:tblW w:w="9452" w:type="dxa"/>
        <w:jc w:val="center"/>
        <w:tblLook w:val="04A0" w:firstRow="1" w:lastRow="0" w:firstColumn="1" w:lastColumn="0" w:noHBand="0" w:noVBand="1"/>
      </w:tblPr>
      <w:tblGrid>
        <w:gridCol w:w="1518"/>
        <w:gridCol w:w="3028"/>
        <w:gridCol w:w="2340"/>
        <w:gridCol w:w="2566"/>
      </w:tblGrid>
      <w:tr w:rsidR="008D4A3E" w:rsidRPr="008E5D4C" w14:paraId="24735C1F" w14:textId="77777777" w:rsidTr="003C7443">
        <w:trPr>
          <w:trHeight w:val="510"/>
          <w:jc w:val="center"/>
        </w:trPr>
        <w:tc>
          <w:tcPr>
            <w:tcW w:w="1518" w:type="dxa"/>
            <w:tcBorders>
              <w:top w:val="single" w:sz="4" w:space="0" w:color="auto"/>
              <w:left w:val="single" w:sz="4" w:space="0" w:color="auto"/>
              <w:bottom w:val="single" w:sz="4" w:space="0" w:color="auto"/>
              <w:right w:val="single" w:sz="4" w:space="0" w:color="FFFFFF"/>
            </w:tcBorders>
            <w:shd w:val="clear" w:color="auto" w:fill="0C2577"/>
            <w:vAlign w:val="center"/>
            <w:hideMark/>
          </w:tcPr>
          <w:p w14:paraId="37AB1434" w14:textId="77777777" w:rsidR="008D4A3E" w:rsidRPr="008E5D4C" w:rsidRDefault="008D4A3E" w:rsidP="003C7443">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3932F35F" w14:textId="77777777" w:rsidR="008D4A3E" w:rsidRPr="008E5D4C" w:rsidRDefault="008D4A3E" w:rsidP="003C7443">
            <w:pPr>
              <w:pStyle w:val="TableHeader"/>
              <w:keepNext/>
              <w:keepLines/>
              <w:rPr>
                <w:color w:val="auto"/>
                <w:szCs w:val="20"/>
              </w:rPr>
            </w:pPr>
            <w:r>
              <w:rPr>
                <w:i/>
                <w:color w:val="auto"/>
                <w:szCs w:val="20"/>
              </w:rPr>
              <w:t>Ex-Post</w:t>
            </w:r>
          </w:p>
        </w:tc>
        <w:tc>
          <w:tcPr>
            <w:tcW w:w="2340"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72AF4D3D" w14:textId="77777777" w:rsidR="008D4A3E" w:rsidRPr="008E5D4C" w:rsidRDefault="008D4A3E" w:rsidP="003C7443">
            <w:pPr>
              <w:pStyle w:val="TableHeader"/>
              <w:keepNext/>
              <w:keepLines/>
              <w:rPr>
                <w:color w:val="auto"/>
                <w:szCs w:val="20"/>
              </w:rPr>
            </w:pPr>
            <w:r>
              <w:rPr>
                <w:i/>
                <w:color w:val="auto"/>
                <w:szCs w:val="20"/>
              </w:rPr>
              <w:t>Ex-Ante</w:t>
            </w:r>
          </w:p>
        </w:tc>
        <w:tc>
          <w:tcPr>
            <w:tcW w:w="2566" w:type="dxa"/>
            <w:tcBorders>
              <w:top w:val="single" w:sz="4" w:space="0" w:color="auto"/>
              <w:left w:val="single" w:sz="4" w:space="0" w:color="FFFFFF"/>
              <w:bottom w:val="single" w:sz="4" w:space="0" w:color="auto"/>
              <w:right w:val="single" w:sz="4" w:space="0" w:color="auto"/>
            </w:tcBorders>
            <w:shd w:val="clear" w:color="auto" w:fill="0C2577"/>
            <w:vAlign w:val="center"/>
            <w:hideMark/>
          </w:tcPr>
          <w:p w14:paraId="4A33132C" w14:textId="77777777" w:rsidR="008D4A3E" w:rsidRPr="008E5D4C" w:rsidRDefault="008D4A3E" w:rsidP="003C7443">
            <w:pPr>
              <w:pStyle w:val="TableHeader"/>
              <w:keepNext/>
              <w:keepLines/>
              <w:rPr>
                <w:color w:val="auto"/>
                <w:szCs w:val="20"/>
              </w:rPr>
            </w:pPr>
            <w:r w:rsidRPr="008E5D4C">
              <w:rPr>
                <w:color w:val="auto"/>
                <w:szCs w:val="20"/>
              </w:rPr>
              <w:t>Expected Impact</w:t>
            </w:r>
          </w:p>
        </w:tc>
      </w:tr>
      <w:tr w:rsidR="008D4A3E" w:rsidRPr="007F356D" w14:paraId="23A6EDFE" w14:textId="77777777" w:rsidTr="003C7443">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78A1E2A1" w14:textId="77777777" w:rsidR="008D4A3E" w:rsidRPr="008E5D4C" w:rsidRDefault="008D4A3E" w:rsidP="003C7443">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758044BA" w14:textId="77777777" w:rsidR="008D4A3E" w:rsidRPr="008E5D4C" w:rsidRDefault="008D4A3E" w:rsidP="003C7443">
            <w:pPr>
              <w:pStyle w:val="TableText"/>
              <w:keepNext/>
              <w:keepLines/>
              <w:spacing w:after="120"/>
              <w:jc w:val="left"/>
              <w:rPr>
                <w:rFonts w:cs="Calibri"/>
                <w:sz w:val="20"/>
                <w:szCs w:val="20"/>
              </w:rPr>
            </w:pPr>
            <w:r>
              <w:rPr>
                <w:rFonts w:cs="Calibri"/>
                <w:sz w:val="20"/>
                <w:szCs w:val="20"/>
              </w:rPr>
              <w:t xml:space="preserve">Average event-hour temperature of 92.8 </w:t>
            </w:r>
            <w:r>
              <w:rPr>
                <w:rFonts w:cs="Arial"/>
                <w:sz w:val="20"/>
                <w:szCs w:val="20"/>
              </w:rPr>
              <w:t>°</w:t>
            </w:r>
            <w:r>
              <w:rPr>
                <w:rFonts w:cs="Calibri"/>
                <w:sz w:val="20"/>
                <w:szCs w:val="20"/>
              </w:rPr>
              <w:t>F during the average event day.</w:t>
            </w:r>
          </w:p>
        </w:tc>
        <w:tc>
          <w:tcPr>
            <w:tcW w:w="2340" w:type="dxa"/>
            <w:tcBorders>
              <w:top w:val="single" w:sz="4" w:space="0" w:color="auto"/>
              <w:left w:val="nil"/>
              <w:bottom w:val="single" w:sz="4" w:space="0" w:color="auto"/>
              <w:right w:val="single" w:sz="4" w:space="0" w:color="auto"/>
            </w:tcBorders>
            <w:shd w:val="clear" w:color="000000" w:fill="FFFFFF"/>
          </w:tcPr>
          <w:p w14:paraId="54D998B8" w14:textId="539FFAA9" w:rsidR="008D4A3E" w:rsidRPr="008E5D4C" w:rsidRDefault="008D4A3E" w:rsidP="003C7443">
            <w:pPr>
              <w:pStyle w:val="TableText"/>
              <w:keepNext/>
              <w:keepLines/>
              <w:jc w:val="left"/>
              <w:rPr>
                <w:sz w:val="20"/>
                <w:szCs w:val="20"/>
              </w:rPr>
            </w:pPr>
            <w:r>
              <w:rPr>
                <w:rFonts w:cs="Calibri"/>
                <w:sz w:val="20"/>
                <w:szCs w:val="20"/>
              </w:rPr>
              <w:t>Average event-hour temperature of 91.</w:t>
            </w:r>
            <w:r w:rsidR="004F1A4D">
              <w:rPr>
                <w:rFonts w:cs="Calibri"/>
                <w:sz w:val="20"/>
                <w:szCs w:val="20"/>
              </w:rPr>
              <w:t>9</w:t>
            </w:r>
            <w:r>
              <w:rPr>
                <w:rFonts w:cs="Calibri"/>
                <w:sz w:val="20"/>
                <w:szCs w:val="20"/>
              </w:rPr>
              <w:t xml:space="preserve"> </w:t>
            </w:r>
            <w:r>
              <w:rPr>
                <w:rFonts w:cs="Arial"/>
                <w:sz w:val="20"/>
                <w:szCs w:val="20"/>
              </w:rPr>
              <w:t>°</w:t>
            </w:r>
            <w:r>
              <w:rPr>
                <w:rFonts w:cs="Calibri"/>
                <w:sz w:val="20"/>
                <w:szCs w:val="20"/>
              </w:rPr>
              <w:t>F during the PG&amp;E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3AC49C24" w14:textId="77777777" w:rsidR="008D4A3E" w:rsidRPr="008E5D4C" w:rsidRDefault="008D4A3E" w:rsidP="003C7443">
            <w:pPr>
              <w:pStyle w:val="TableText"/>
              <w:keepNext/>
              <w:keepLines/>
              <w:jc w:val="left"/>
              <w:rPr>
                <w:sz w:val="20"/>
                <w:szCs w:val="20"/>
              </w:rPr>
            </w:pPr>
            <w:r>
              <w:rPr>
                <w:sz w:val="20"/>
                <w:szCs w:val="20"/>
              </w:rPr>
              <w:t xml:space="preserve">Slightly higher </w:t>
            </w:r>
            <w:r w:rsidRPr="0044495E">
              <w:rPr>
                <w:i/>
                <w:sz w:val="20"/>
                <w:szCs w:val="20"/>
              </w:rPr>
              <w:t>ex-post</w:t>
            </w:r>
            <w:r>
              <w:rPr>
                <w:sz w:val="20"/>
                <w:szCs w:val="20"/>
              </w:rPr>
              <w:t xml:space="preserve"> temperatures may have increased the per-customer load impact (</w:t>
            </w:r>
            <w:r w:rsidRPr="0044495E">
              <w:rPr>
                <w:i/>
                <w:sz w:val="20"/>
                <w:szCs w:val="20"/>
              </w:rPr>
              <w:t>ceteris paribus</w:t>
            </w:r>
            <w:r>
              <w:rPr>
                <w:sz w:val="20"/>
                <w:szCs w:val="20"/>
              </w:rPr>
              <w:t>).</w:t>
            </w:r>
          </w:p>
        </w:tc>
      </w:tr>
      <w:tr w:rsidR="008D4A3E" w:rsidRPr="007F356D" w14:paraId="6282BBBA"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5604E5BD" w14:textId="77777777" w:rsidR="008D4A3E" w:rsidRPr="008E5D4C" w:rsidRDefault="008D4A3E" w:rsidP="003C7443">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14EE73E8" w14:textId="77777777" w:rsidR="008D4A3E" w:rsidRPr="008E5D4C" w:rsidRDefault="008D4A3E" w:rsidP="003C7443">
            <w:pPr>
              <w:pStyle w:val="TableText"/>
              <w:keepNext/>
              <w:keepLines/>
              <w:jc w:val="left"/>
              <w:rPr>
                <w:rFonts w:cs="Calibri"/>
                <w:sz w:val="20"/>
                <w:szCs w:val="20"/>
              </w:rPr>
            </w:pPr>
            <w:r>
              <w:rPr>
                <w:rFonts w:cs="Calibri"/>
                <w:sz w:val="20"/>
                <w:szCs w:val="20"/>
              </w:rPr>
              <w:t>Hours-ending 15 through 18.</w:t>
            </w:r>
          </w:p>
        </w:tc>
        <w:tc>
          <w:tcPr>
            <w:tcW w:w="2340" w:type="dxa"/>
            <w:tcBorders>
              <w:top w:val="nil"/>
              <w:left w:val="nil"/>
              <w:bottom w:val="single" w:sz="4" w:space="0" w:color="auto"/>
              <w:right w:val="single" w:sz="4" w:space="0" w:color="auto"/>
            </w:tcBorders>
            <w:shd w:val="clear" w:color="000000" w:fill="FFFFFF"/>
          </w:tcPr>
          <w:p w14:paraId="1AE14282" w14:textId="77777777" w:rsidR="008D4A3E" w:rsidRPr="008E5D4C" w:rsidRDefault="008D4A3E" w:rsidP="003C7443">
            <w:pPr>
              <w:pStyle w:val="TableText"/>
              <w:keepNext/>
              <w:keepLines/>
              <w:jc w:val="left"/>
              <w:rPr>
                <w:sz w:val="20"/>
                <w:szCs w:val="20"/>
              </w:rPr>
            </w:pPr>
            <w:r>
              <w:rPr>
                <w:rFonts w:cs="Calibri"/>
                <w:sz w:val="20"/>
                <w:szCs w:val="20"/>
              </w:rPr>
              <w:t>Hours-ending 15 through 18.</w:t>
            </w:r>
          </w:p>
        </w:tc>
        <w:tc>
          <w:tcPr>
            <w:tcW w:w="2566" w:type="dxa"/>
            <w:tcBorders>
              <w:top w:val="nil"/>
              <w:left w:val="nil"/>
              <w:bottom w:val="single" w:sz="4" w:space="0" w:color="auto"/>
              <w:right w:val="single" w:sz="4" w:space="0" w:color="auto"/>
            </w:tcBorders>
            <w:shd w:val="clear" w:color="000000" w:fill="FFFFFF"/>
          </w:tcPr>
          <w:p w14:paraId="4EC123AE" w14:textId="77777777" w:rsidR="008D4A3E" w:rsidRPr="008E5D4C" w:rsidRDefault="008D4A3E" w:rsidP="003C7443">
            <w:pPr>
              <w:pStyle w:val="TableText"/>
              <w:keepNext/>
              <w:keepLines/>
              <w:jc w:val="left"/>
              <w:rPr>
                <w:sz w:val="20"/>
                <w:szCs w:val="20"/>
              </w:rPr>
            </w:pPr>
            <w:r>
              <w:rPr>
                <w:sz w:val="20"/>
                <w:szCs w:val="20"/>
              </w:rPr>
              <w:t xml:space="preserve">None, though </w:t>
            </w:r>
            <w:r w:rsidRPr="00061085">
              <w:rPr>
                <w:i/>
                <w:sz w:val="20"/>
                <w:szCs w:val="20"/>
              </w:rPr>
              <w:t>ex-ante</w:t>
            </w:r>
            <w:r>
              <w:rPr>
                <w:sz w:val="20"/>
                <w:szCs w:val="20"/>
              </w:rPr>
              <w:t xml:space="preserve"> load impact summaries for the Resource Adequacy window will be lower because they include non-event hours (HE 14 from Apr. to Oct.; HE 19-21 from Nov. to Mar.)</w:t>
            </w:r>
          </w:p>
        </w:tc>
      </w:tr>
      <w:tr w:rsidR="008D4A3E" w:rsidRPr="007F356D" w14:paraId="2CD7F77A"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4C68AF87" w14:textId="77777777" w:rsidR="008D4A3E" w:rsidRPr="008E5D4C" w:rsidRDefault="008D4A3E" w:rsidP="003C7443">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6722A987" w14:textId="77777777" w:rsidR="008D4A3E" w:rsidRPr="008E5D4C" w:rsidRDefault="008D4A3E" w:rsidP="003C7443">
            <w:pPr>
              <w:pStyle w:val="TableText"/>
              <w:keepNext/>
              <w:keepLines/>
              <w:jc w:val="left"/>
              <w:rPr>
                <w:rFonts w:cs="Calibri"/>
                <w:sz w:val="20"/>
                <w:szCs w:val="20"/>
              </w:rPr>
            </w:pPr>
            <w:r>
              <w:rPr>
                <w:rFonts w:cs="Calibri"/>
                <w:sz w:val="20"/>
                <w:szCs w:val="20"/>
              </w:rPr>
              <w:t>100 percent</w:t>
            </w:r>
          </w:p>
        </w:tc>
        <w:tc>
          <w:tcPr>
            <w:tcW w:w="2340" w:type="dxa"/>
            <w:tcBorders>
              <w:top w:val="nil"/>
              <w:left w:val="nil"/>
              <w:bottom w:val="single" w:sz="4" w:space="0" w:color="auto"/>
              <w:right w:val="single" w:sz="4" w:space="0" w:color="auto"/>
            </w:tcBorders>
            <w:shd w:val="clear" w:color="000000" w:fill="FFFFFF"/>
          </w:tcPr>
          <w:p w14:paraId="37CE97EE" w14:textId="77777777" w:rsidR="008D4A3E" w:rsidRPr="008E5D4C" w:rsidRDefault="008D4A3E" w:rsidP="003C7443">
            <w:pPr>
              <w:pStyle w:val="TableText"/>
              <w:keepNext/>
              <w:keepLines/>
              <w:jc w:val="left"/>
              <w:rPr>
                <w:sz w:val="20"/>
                <w:szCs w:val="20"/>
              </w:rPr>
            </w:pPr>
            <w:r>
              <w:rPr>
                <w:sz w:val="20"/>
                <w:szCs w:val="20"/>
              </w:rPr>
              <w:t>100 percent</w:t>
            </w:r>
          </w:p>
        </w:tc>
        <w:tc>
          <w:tcPr>
            <w:tcW w:w="2566" w:type="dxa"/>
            <w:tcBorders>
              <w:top w:val="nil"/>
              <w:left w:val="nil"/>
              <w:bottom w:val="single" w:sz="4" w:space="0" w:color="auto"/>
              <w:right w:val="single" w:sz="4" w:space="0" w:color="auto"/>
            </w:tcBorders>
            <w:shd w:val="clear" w:color="000000" w:fill="FFFFFF"/>
          </w:tcPr>
          <w:p w14:paraId="0BA750EB" w14:textId="77777777" w:rsidR="008D4A3E" w:rsidRPr="008E5D4C" w:rsidRDefault="008D4A3E" w:rsidP="003C7443">
            <w:pPr>
              <w:pStyle w:val="TableText"/>
              <w:keepNext/>
              <w:keepLines/>
              <w:jc w:val="left"/>
              <w:rPr>
                <w:sz w:val="20"/>
                <w:szCs w:val="20"/>
              </w:rPr>
            </w:pPr>
            <w:r>
              <w:rPr>
                <w:sz w:val="20"/>
                <w:szCs w:val="20"/>
              </w:rPr>
              <w:t>None.</w:t>
            </w:r>
          </w:p>
        </w:tc>
      </w:tr>
      <w:tr w:rsidR="008D4A3E" w:rsidRPr="007F356D" w14:paraId="5C0AE01C"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743DCE52" w14:textId="77777777" w:rsidR="008D4A3E" w:rsidRPr="008E5D4C" w:rsidRDefault="008D4A3E" w:rsidP="003C7443">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0221192D" w14:textId="77777777" w:rsidR="008D4A3E" w:rsidRPr="008E5D4C" w:rsidRDefault="008D4A3E" w:rsidP="003C7443">
            <w:pPr>
              <w:pStyle w:val="TableText"/>
              <w:keepNext/>
              <w:keepLines/>
              <w:jc w:val="left"/>
              <w:rPr>
                <w:rFonts w:cs="Calibri"/>
                <w:sz w:val="20"/>
                <w:szCs w:val="20"/>
              </w:rPr>
            </w:pPr>
            <w:r>
              <w:rPr>
                <w:rFonts w:cs="Calibri"/>
                <w:sz w:val="20"/>
                <w:szCs w:val="20"/>
              </w:rPr>
              <w:t>1,982 service accounts.</w:t>
            </w:r>
          </w:p>
        </w:tc>
        <w:tc>
          <w:tcPr>
            <w:tcW w:w="2340" w:type="dxa"/>
            <w:tcBorders>
              <w:top w:val="nil"/>
              <w:left w:val="nil"/>
              <w:bottom w:val="single" w:sz="4" w:space="0" w:color="auto"/>
              <w:right w:val="single" w:sz="4" w:space="0" w:color="auto"/>
            </w:tcBorders>
            <w:shd w:val="clear" w:color="000000" w:fill="FFFFFF"/>
          </w:tcPr>
          <w:p w14:paraId="4ACF90B7" w14:textId="1780EEC4" w:rsidR="008D4A3E" w:rsidRPr="008E5D4C" w:rsidRDefault="004F1A4D" w:rsidP="003C7443">
            <w:pPr>
              <w:pStyle w:val="TableText"/>
              <w:keepNext/>
              <w:keepLines/>
              <w:jc w:val="left"/>
              <w:rPr>
                <w:sz w:val="20"/>
                <w:szCs w:val="20"/>
              </w:rPr>
            </w:pPr>
            <w:r>
              <w:rPr>
                <w:sz w:val="20"/>
                <w:szCs w:val="20"/>
              </w:rPr>
              <w:t>3,154</w:t>
            </w:r>
            <w:r w:rsidR="008D4A3E">
              <w:rPr>
                <w:sz w:val="20"/>
                <w:szCs w:val="20"/>
              </w:rPr>
              <w:t xml:space="preserve"> service accounts.</w:t>
            </w:r>
          </w:p>
        </w:tc>
        <w:tc>
          <w:tcPr>
            <w:tcW w:w="2566" w:type="dxa"/>
            <w:tcBorders>
              <w:top w:val="nil"/>
              <w:left w:val="nil"/>
              <w:bottom w:val="single" w:sz="4" w:space="0" w:color="auto"/>
              <w:right w:val="single" w:sz="4" w:space="0" w:color="auto"/>
            </w:tcBorders>
            <w:shd w:val="clear" w:color="000000" w:fill="FFFFFF"/>
          </w:tcPr>
          <w:p w14:paraId="17EF8D42" w14:textId="77777777" w:rsidR="008D4A3E" w:rsidRPr="00866CCC" w:rsidRDefault="008D4A3E" w:rsidP="003C7443">
            <w:pPr>
              <w:pStyle w:val="TableText"/>
              <w:keepNext/>
              <w:keepLines/>
              <w:jc w:val="left"/>
              <w:rPr>
                <w:sz w:val="20"/>
                <w:szCs w:val="20"/>
                <w:highlight w:val="yellow"/>
              </w:rPr>
            </w:pPr>
            <w:r w:rsidRPr="0044495E">
              <w:rPr>
                <w:sz w:val="20"/>
                <w:szCs w:val="20"/>
              </w:rPr>
              <w:t xml:space="preserve">Higher </w:t>
            </w:r>
            <w:r w:rsidRPr="0054538A">
              <w:rPr>
                <w:i/>
                <w:sz w:val="20"/>
                <w:szCs w:val="20"/>
              </w:rPr>
              <w:t>ex-ante</w:t>
            </w:r>
            <w:r w:rsidRPr="0044495E">
              <w:rPr>
                <w:sz w:val="20"/>
                <w:szCs w:val="20"/>
              </w:rPr>
              <w:t xml:space="preserve"> enrollment</w:t>
            </w:r>
            <w:r>
              <w:rPr>
                <w:sz w:val="20"/>
                <w:szCs w:val="20"/>
              </w:rPr>
              <w:t xml:space="preserve"> leads to higher aggregate load impact. The </w:t>
            </w:r>
            <w:r w:rsidRPr="0044495E">
              <w:rPr>
                <w:i/>
                <w:sz w:val="20"/>
                <w:szCs w:val="20"/>
              </w:rPr>
              <w:t>ex-ante</w:t>
            </w:r>
            <w:r>
              <w:rPr>
                <w:sz w:val="20"/>
                <w:szCs w:val="20"/>
              </w:rPr>
              <w:t xml:space="preserve"> distribution of enrollments across LCAs leads to a slight decrease in percentage load impacts.</w:t>
            </w:r>
          </w:p>
        </w:tc>
      </w:tr>
      <w:tr w:rsidR="008D4A3E" w:rsidRPr="007F356D" w14:paraId="42C8BFD7"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284488C9" w14:textId="77777777" w:rsidR="008D4A3E" w:rsidRPr="008E5D4C" w:rsidRDefault="008D4A3E" w:rsidP="003C7443">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68404F19" w14:textId="77777777" w:rsidR="008D4A3E" w:rsidRPr="008E5D4C" w:rsidRDefault="008D4A3E" w:rsidP="003C7443">
            <w:pPr>
              <w:pStyle w:val="TableText"/>
              <w:keepNext/>
              <w:keepLines/>
              <w:spacing w:after="120"/>
              <w:jc w:val="left"/>
              <w:rPr>
                <w:rFonts w:cs="Calibri"/>
                <w:sz w:val="20"/>
                <w:szCs w:val="20"/>
              </w:rPr>
            </w:pPr>
            <w:r>
              <w:rPr>
                <w:rFonts w:cs="Calibri"/>
                <w:sz w:val="20"/>
                <w:szCs w:val="20"/>
              </w:rPr>
              <w:t>Panel models by LCA with fixed customer and date effects and a matched control-group of non-participants.</w:t>
            </w:r>
          </w:p>
        </w:tc>
        <w:tc>
          <w:tcPr>
            <w:tcW w:w="2340" w:type="dxa"/>
            <w:tcBorders>
              <w:top w:val="nil"/>
              <w:left w:val="nil"/>
              <w:bottom w:val="single" w:sz="4" w:space="0" w:color="auto"/>
              <w:right w:val="single" w:sz="4" w:space="0" w:color="auto"/>
            </w:tcBorders>
            <w:shd w:val="clear" w:color="000000" w:fill="FFFFFF"/>
          </w:tcPr>
          <w:p w14:paraId="0627683F" w14:textId="77777777" w:rsidR="008D4A3E" w:rsidRPr="008E5D4C" w:rsidRDefault="008D4A3E" w:rsidP="003C7443">
            <w:pPr>
              <w:pStyle w:val="TableText"/>
              <w:keepNext/>
              <w:keepLines/>
              <w:jc w:val="left"/>
              <w:rPr>
                <w:sz w:val="20"/>
                <w:szCs w:val="20"/>
              </w:rPr>
            </w:pPr>
            <w:r>
              <w:rPr>
                <w:sz w:val="20"/>
                <w:szCs w:val="20"/>
              </w:rPr>
              <w:t xml:space="preserve">Simulated LCA-specific reference loads by LCA from a representative sample of customers. Then applied percentage load impacts derived from the </w:t>
            </w:r>
            <w:r w:rsidRPr="000C58FA">
              <w:rPr>
                <w:i/>
                <w:sz w:val="20"/>
                <w:szCs w:val="20"/>
              </w:rPr>
              <w:t>ex-post</w:t>
            </w:r>
            <w:r>
              <w:rPr>
                <w:sz w:val="20"/>
                <w:szCs w:val="20"/>
              </w:rPr>
              <w:t xml:space="preserve"> analysis, excluding the weekend event day.</w:t>
            </w:r>
          </w:p>
        </w:tc>
        <w:tc>
          <w:tcPr>
            <w:tcW w:w="2566" w:type="dxa"/>
            <w:tcBorders>
              <w:top w:val="nil"/>
              <w:left w:val="nil"/>
              <w:bottom w:val="single" w:sz="4" w:space="0" w:color="auto"/>
              <w:right w:val="single" w:sz="4" w:space="0" w:color="auto"/>
            </w:tcBorders>
            <w:shd w:val="clear" w:color="000000" w:fill="FFFFFF"/>
          </w:tcPr>
          <w:p w14:paraId="30D6FD86" w14:textId="77777777" w:rsidR="008D4A3E" w:rsidRPr="008E5D4C" w:rsidRDefault="008D4A3E" w:rsidP="003C7443">
            <w:pPr>
              <w:pStyle w:val="TableText"/>
              <w:keepNext/>
              <w:keepLines/>
              <w:jc w:val="left"/>
              <w:rPr>
                <w:sz w:val="20"/>
                <w:szCs w:val="20"/>
              </w:rPr>
            </w:pPr>
            <w:r>
              <w:rPr>
                <w:sz w:val="20"/>
                <w:szCs w:val="20"/>
              </w:rPr>
              <w:t xml:space="preserve">The method is not expected to consistently produce differences between the </w:t>
            </w:r>
            <w:r w:rsidRPr="000C58FA">
              <w:rPr>
                <w:i/>
                <w:sz w:val="20"/>
                <w:szCs w:val="20"/>
              </w:rPr>
              <w:t>ex-post</w:t>
            </w:r>
            <w:r>
              <w:rPr>
                <w:sz w:val="20"/>
                <w:szCs w:val="20"/>
              </w:rPr>
              <w:t xml:space="preserve"> and </w:t>
            </w:r>
            <w:r w:rsidRPr="000C58FA">
              <w:rPr>
                <w:i/>
                <w:sz w:val="20"/>
                <w:szCs w:val="20"/>
              </w:rPr>
              <w:t>ex-ante</w:t>
            </w:r>
            <w:r>
              <w:rPr>
                <w:sz w:val="20"/>
                <w:szCs w:val="20"/>
              </w:rPr>
              <w:t xml:space="preserve"> impacts.</w:t>
            </w:r>
          </w:p>
        </w:tc>
      </w:tr>
    </w:tbl>
    <w:p w14:paraId="2A7483DB" w14:textId="77777777" w:rsidR="008D4A3E" w:rsidRDefault="008D4A3E" w:rsidP="008D4A3E">
      <w:pPr>
        <w:pStyle w:val="Heading3"/>
        <w:numPr>
          <w:ilvl w:val="2"/>
          <w:numId w:val="43"/>
        </w:numPr>
        <w:rPr>
          <w:sz w:val="24"/>
        </w:rPr>
      </w:pPr>
      <w:bookmarkStart w:id="255" w:name="_Toc507081146"/>
      <w:bookmarkStart w:id="256" w:name="_Toc507140055"/>
      <w:bookmarkStart w:id="257" w:name="_Toc509837323"/>
      <w:r>
        <w:rPr>
          <w:sz w:val="24"/>
        </w:rPr>
        <w:t>PG&amp;E SMB Customer Reconciliations</w:t>
      </w:r>
      <w:bookmarkEnd w:id="255"/>
      <w:bookmarkEnd w:id="256"/>
      <w:bookmarkEnd w:id="257"/>
    </w:p>
    <w:p w14:paraId="52F33FD9" w14:textId="77777777" w:rsidR="008D4A3E" w:rsidRPr="00823315" w:rsidRDefault="008D4A3E" w:rsidP="008D4A3E">
      <w:pPr>
        <w:rPr>
          <w:b/>
          <w:i/>
        </w:rPr>
      </w:pPr>
      <w:r w:rsidRPr="00823315">
        <w:rPr>
          <w:b/>
          <w:i/>
        </w:rPr>
        <w:t>Previous vs. Current Ex-Post</w:t>
      </w:r>
    </w:p>
    <w:p w14:paraId="58E5591F" w14:textId="246F24CF" w:rsidR="008D4A3E" w:rsidRDefault="008D4A3E" w:rsidP="008D4A3E">
      <w:r>
        <w:fldChar w:fldCharType="begin"/>
      </w:r>
      <w:r>
        <w:instrText xml:space="preserve"> REF _Ref507078064 \h </w:instrText>
      </w:r>
      <w:r>
        <w:fldChar w:fldCharType="separate"/>
      </w:r>
      <w:r w:rsidR="005D5C7C">
        <w:t xml:space="preserve">Table </w:t>
      </w:r>
      <w:r w:rsidR="005D5C7C">
        <w:rPr>
          <w:noProof/>
        </w:rPr>
        <w:t>3</w:t>
      </w:r>
      <w:r w:rsidR="005D5C7C">
        <w:t>.</w:t>
      </w:r>
      <w:r w:rsidR="005D5C7C">
        <w:rPr>
          <w:noProof/>
        </w:rPr>
        <w:t>22</w:t>
      </w:r>
      <w:r>
        <w:fldChar w:fldCharType="end"/>
      </w:r>
      <w:r>
        <w:t xml:space="preserve"> shows the average event-hour reference loads and load impacts for the average event day during the current and previous program years. </w:t>
      </w:r>
      <w:r w:rsidR="00CA02A5">
        <w:t>Aggregate load impacts were approximately 10 MWh/hour lower in PY2017, which is primarily due to a lower percentage load impact. The higher temperatures in PY2017 contributed to higher per-customer reference loads in that year.</w:t>
      </w:r>
    </w:p>
    <w:p w14:paraId="7198ECAD" w14:textId="77777777" w:rsidR="008D4A3E" w:rsidRDefault="008D4A3E" w:rsidP="008D4A3E"/>
    <w:p w14:paraId="12BC90B4" w14:textId="45FC25FA" w:rsidR="008D4A3E" w:rsidRDefault="008D4A3E" w:rsidP="008D4A3E">
      <w:pPr>
        <w:pStyle w:val="TableCaption"/>
      </w:pPr>
      <w:bookmarkStart w:id="258" w:name="_Ref507078064"/>
      <w:bookmarkStart w:id="259" w:name="_Toc507081214"/>
      <w:bookmarkStart w:id="260" w:name="_Toc509837379"/>
      <w:r>
        <w:lastRenderedPageBreak/>
        <w:t xml:space="preserve">Table </w:t>
      </w:r>
      <w:fldSimple w:instr=" STYLEREF 1 \s ">
        <w:r w:rsidR="005D5C7C">
          <w:rPr>
            <w:noProof/>
          </w:rPr>
          <w:t>3</w:t>
        </w:r>
      </w:fldSimple>
      <w:r w:rsidR="0069714C">
        <w:t>.</w:t>
      </w:r>
      <w:fldSimple w:instr=" SEQ Table \* ARABIC \s 1 ">
        <w:r w:rsidR="005D5C7C">
          <w:rPr>
            <w:noProof/>
          </w:rPr>
          <w:t>22</w:t>
        </w:r>
      </w:fldSimple>
      <w:bookmarkEnd w:id="258"/>
      <w:r w:rsidRPr="00376F46">
        <w:t xml:space="preserve">: </w:t>
      </w:r>
      <w:r>
        <w:t xml:space="preserve">Current vs. Previous </w:t>
      </w:r>
      <w:r w:rsidRPr="001634AA">
        <w:rPr>
          <w:i/>
        </w:rPr>
        <w:t>Ex-Post</w:t>
      </w:r>
      <w:r>
        <w:t xml:space="preserve"> Load Impacts for the Average Event</w:t>
      </w:r>
      <w:bookmarkEnd w:id="259"/>
      <w:bookmarkEnd w:id="2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5"/>
        <w:gridCol w:w="1731"/>
        <w:gridCol w:w="1512"/>
        <w:gridCol w:w="1512"/>
      </w:tblGrid>
      <w:tr w:rsidR="008D4A3E" w14:paraId="196EC030" w14:textId="77777777" w:rsidTr="003C7443">
        <w:trPr>
          <w:trHeight w:val="728"/>
          <w:jc w:val="center"/>
        </w:trPr>
        <w:tc>
          <w:tcPr>
            <w:tcW w:w="1295" w:type="dxa"/>
            <w:tcBorders>
              <w:right w:val="single" w:sz="4" w:space="0" w:color="FFFFFF"/>
            </w:tcBorders>
            <w:shd w:val="clear" w:color="auto" w:fill="0C2577"/>
            <w:vAlign w:val="center"/>
          </w:tcPr>
          <w:p w14:paraId="6707F393"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731" w:type="dxa"/>
            <w:tcBorders>
              <w:left w:val="single" w:sz="4" w:space="0" w:color="FFFFFF"/>
              <w:right w:val="single" w:sz="4" w:space="0" w:color="FFFFFF"/>
            </w:tcBorders>
            <w:shd w:val="clear" w:color="auto" w:fill="0C2577"/>
            <w:vAlign w:val="center"/>
          </w:tcPr>
          <w:p w14:paraId="3718325C"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512" w:type="dxa"/>
            <w:tcBorders>
              <w:left w:val="single" w:sz="4" w:space="0" w:color="FFFFFF"/>
              <w:right w:val="single" w:sz="4" w:space="0" w:color="FFFFFF"/>
            </w:tcBorders>
            <w:shd w:val="clear" w:color="auto" w:fill="0C2577"/>
            <w:vAlign w:val="center"/>
          </w:tcPr>
          <w:p w14:paraId="3650B2BD"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6</w:t>
            </w:r>
          </w:p>
        </w:tc>
        <w:tc>
          <w:tcPr>
            <w:tcW w:w="1512" w:type="dxa"/>
            <w:tcBorders>
              <w:left w:val="single" w:sz="4" w:space="0" w:color="FFFFFF"/>
            </w:tcBorders>
            <w:shd w:val="clear" w:color="auto" w:fill="0C2577"/>
            <w:vAlign w:val="center"/>
          </w:tcPr>
          <w:p w14:paraId="50E5C2CB"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7</w:t>
            </w:r>
          </w:p>
        </w:tc>
      </w:tr>
      <w:tr w:rsidR="008D4A3E" w14:paraId="4EBB921F" w14:textId="77777777" w:rsidTr="003C7443">
        <w:trPr>
          <w:jc w:val="center"/>
        </w:trPr>
        <w:tc>
          <w:tcPr>
            <w:tcW w:w="1295" w:type="dxa"/>
            <w:vMerge w:val="restart"/>
            <w:shd w:val="clear" w:color="auto" w:fill="auto"/>
            <w:vAlign w:val="center"/>
          </w:tcPr>
          <w:p w14:paraId="48CFAE21"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Total</w:t>
            </w:r>
          </w:p>
        </w:tc>
        <w:tc>
          <w:tcPr>
            <w:tcW w:w="1731" w:type="dxa"/>
            <w:shd w:val="clear" w:color="auto" w:fill="auto"/>
          </w:tcPr>
          <w:p w14:paraId="625806C5"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SAIDs</w:t>
            </w:r>
          </w:p>
        </w:tc>
        <w:tc>
          <w:tcPr>
            <w:tcW w:w="1512" w:type="dxa"/>
            <w:shd w:val="clear" w:color="auto" w:fill="auto"/>
            <w:vAlign w:val="center"/>
          </w:tcPr>
          <w:p w14:paraId="6608AB26"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206,786</w:t>
            </w:r>
          </w:p>
        </w:tc>
        <w:tc>
          <w:tcPr>
            <w:tcW w:w="1512" w:type="dxa"/>
            <w:shd w:val="clear" w:color="auto" w:fill="auto"/>
            <w:vAlign w:val="center"/>
          </w:tcPr>
          <w:p w14:paraId="759ACD1C"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203,183</w:t>
            </w:r>
          </w:p>
        </w:tc>
      </w:tr>
      <w:tr w:rsidR="008D4A3E" w14:paraId="2CD7B826" w14:textId="77777777" w:rsidTr="003C7443">
        <w:trPr>
          <w:trHeight w:val="242"/>
          <w:jc w:val="center"/>
        </w:trPr>
        <w:tc>
          <w:tcPr>
            <w:tcW w:w="1295" w:type="dxa"/>
            <w:vMerge/>
            <w:shd w:val="clear" w:color="auto" w:fill="auto"/>
            <w:vAlign w:val="center"/>
          </w:tcPr>
          <w:p w14:paraId="0CE19F48"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46A855D6"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(MW)</w:t>
            </w:r>
          </w:p>
        </w:tc>
        <w:tc>
          <w:tcPr>
            <w:tcW w:w="1512" w:type="dxa"/>
            <w:shd w:val="clear" w:color="auto" w:fill="auto"/>
            <w:vAlign w:val="center"/>
          </w:tcPr>
          <w:p w14:paraId="42F1D3ED"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1,016</w:t>
            </w:r>
          </w:p>
        </w:tc>
        <w:tc>
          <w:tcPr>
            <w:tcW w:w="1512" w:type="dxa"/>
            <w:shd w:val="clear" w:color="auto" w:fill="auto"/>
            <w:vAlign w:val="center"/>
          </w:tcPr>
          <w:p w14:paraId="525BF520"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1,318</w:t>
            </w:r>
          </w:p>
        </w:tc>
      </w:tr>
      <w:tr w:rsidR="008D4A3E" w14:paraId="59682318" w14:textId="77777777" w:rsidTr="003C7443">
        <w:trPr>
          <w:jc w:val="center"/>
        </w:trPr>
        <w:tc>
          <w:tcPr>
            <w:tcW w:w="1295" w:type="dxa"/>
            <w:vMerge/>
            <w:shd w:val="clear" w:color="auto" w:fill="auto"/>
            <w:vAlign w:val="center"/>
          </w:tcPr>
          <w:p w14:paraId="6AC05661"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6FBEB980"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(MW)</w:t>
            </w:r>
          </w:p>
        </w:tc>
        <w:tc>
          <w:tcPr>
            <w:tcW w:w="1512" w:type="dxa"/>
            <w:shd w:val="clear" w:color="auto" w:fill="auto"/>
            <w:vAlign w:val="center"/>
          </w:tcPr>
          <w:p w14:paraId="02DF63C8"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25.4</w:t>
            </w:r>
          </w:p>
        </w:tc>
        <w:tc>
          <w:tcPr>
            <w:tcW w:w="1512" w:type="dxa"/>
            <w:shd w:val="clear" w:color="auto" w:fill="auto"/>
            <w:vAlign w:val="center"/>
          </w:tcPr>
          <w:p w14:paraId="4F03A1EF"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15.0</w:t>
            </w:r>
          </w:p>
        </w:tc>
      </w:tr>
      <w:tr w:rsidR="008D4A3E" w14:paraId="71F9DA60" w14:textId="77777777" w:rsidTr="003C7443">
        <w:trPr>
          <w:jc w:val="center"/>
        </w:trPr>
        <w:tc>
          <w:tcPr>
            <w:tcW w:w="1295" w:type="dxa"/>
            <w:vMerge/>
            <w:shd w:val="clear" w:color="auto" w:fill="auto"/>
            <w:vAlign w:val="center"/>
          </w:tcPr>
          <w:p w14:paraId="0B173553"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14657052" w14:textId="77777777" w:rsidR="008D4A3E" w:rsidRPr="009C75E1" w:rsidRDefault="008D4A3E" w:rsidP="003C7443">
            <w:pPr>
              <w:keepNext/>
              <w:keepLines/>
              <w:rPr>
                <w:rFonts w:ascii="Arial" w:hAnsi="Arial" w:cs="Arial"/>
                <w:sz w:val="20"/>
                <w:szCs w:val="20"/>
              </w:rPr>
            </w:pPr>
            <w:r>
              <w:rPr>
                <w:rFonts w:ascii="Arial" w:hAnsi="Arial" w:cs="Arial"/>
                <w:sz w:val="20"/>
                <w:szCs w:val="20"/>
              </w:rPr>
              <w:t>Avg. Temp.</w:t>
            </w:r>
          </w:p>
        </w:tc>
        <w:tc>
          <w:tcPr>
            <w:tcW w:w="1512" w:type="dxa"/>
            <w:shd w:val="clear" w:color="auto" w:fill="auto"/>
            <w:vAlign w:val="center"/>
          </w:tcPr>
          <w:p w14:paraId="1292B1FD"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88.9</w:t>
            </w:r>
          </w:p>
        </w:tc>
        <w:tc>
          <w:tcPr>
            <w:tcW w:w="1512" w:type="dxa"/>
            <w:shd w:val="clear" w:color="auto" w:fill="auto"/>
            <w:vAlign w:val="center"/>
          </w:tcPr>
          <w:p w14:paraId="20C2F33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94.5</w:t>
            </w:r>
          </w:p>
        </w:tc>
      </w:tr>
      <w:tr w:rsidR="008D4A3E" w14:paraId="25983E58" w14:textId="77777777" w:rsidTr="003C7443">
        <w:trPr>
          <w:jc w:val="center"/>
        </w:trPr>
        <w:tc>
          <w:tcPr>
            <w:tcW w:w="1295" w:type="dxa"/>
            <w:vMerge w:val="restart"/>
            <w:shd w:val="clear" w:color="auto" w:fill="auto"/>
            <w:vAlign w:val="center"/>
          </w:tcPr>
          <w:p w14:paraId="193B7AB5"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Per SAID</w:t>
            </w:r>
          </w:p>
        </w:tc>
        <w:tc>
          <w:tcPr>
            <w:tcW w:w="1731" w:type="dxa"/>
            <w:shd w:val="clear" w:color="auto" w:fill="auto"/>
          </w:tcPr>
          <w:p w14:paraId="19DF1F8A"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(kW)</w:t>
            </w:r>
          </w:p>
        </w:tc>
        <w:tc>
          <w:tcPr>
            <w:tcW w:w="1512" w:type="dxa"/>
            <w:shd w:val="clear" w:color="auto" w:fill="auto"/>
            <w:vAlign w:val="center"/>
          </w:tcPr>
          <w:p w14:paraId="1FC9A3F0"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4.9</w:t>
            </w:r>
          </w:p>
        </w:tc>
        <w:tc>
          <w:tcPr>
            <w:tcW w:w="1512" w:type="dxa"/>
            <w:shd w:val="clear" w:color="auto" w:fill="auto"/>
            <w:vAlign w:val="center"/>
          </w:tcPr>
          <w:p w14:paraId="15A2E78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6.5</w:t>
            </w:r>
          </w:p>
        </w:tc>
      </w:tr>
      <w:tr w:rsidR="008D4A3E" w14:paraId="55BC9DC4" w14:textId="77777777" w:rsidTr="003C7443">
        <w:trPr>
          <w:jc w:val="center"/>
        </w:trPr>
        <w:tc>
          <w:tcPr>
            <w:tcW w:w="1295" w:type="dxa"/>
            <w:vMerge/>
            <w:shd w:val="clear" w:color="auto" w:fill="auto"/>
          </w:tcPr>
          <w:p w14:paraId="5C9C80D2"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7B06E3BC"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(kW)</w:t>
            </w:r>
          </w:p>
        </w:tc>
        <w:tc>
          <w:tcPr>
            <w:tcW w:w="1512" w:type="dxa"/>
            <w:shd w:val="clear" w:color="auto" w:fill="auto"/>
            <w:vAlign w:val="center"/>
          </w:tcPr>
          <w:p w14:paraId="525B8F45"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0.12</w:t>
            </w:r>
          </w:p>
        </w:tc>
        <w:tc>
          <w:tcPr>
            <w:tcW w:w="1512" w:type="dxa"/>
            <w:shd w:val="clear" w:color="auto" w:fill="auto"/>
            <w:vAlign w:val="center"/>
          </w:tcPr>
          <w:p w14:paraId="1D941A2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0.07</w:t>
            </w:r>
          </w:p>
        </w:tc>
      </w:tr>
      <w:tr w:rsidR="008D4A3E" w14:paraId="737855B1" w14:textId="77777777" w:rsidTr="003C7443">
        <w:trPr>
          <w:jc w:val="center"/>
        </w:trPr>
        <w:tc>
          <w:tcPr>
            <w:tcW w:w="1295" w:type="dxa"/>
            <w:vMerge/>
            <w:shd w:val="clear" w:color="auto" w:fill="auto"/>
          </w:tcPr>
          <w:p w14:paraId="3FFD403F" w14:textId="77777777" w:rsidR="008D4A3E" w:rsidRPr="009C75E1" w:rsidRDefault="008D4A3E" w:rsidP="003C7443">
            <w:pPr>
              <w:keepNext/>
              <w:keepLines/>
              <w:rPr>
                <w:rFonts w:ascii="Arial" w:hAnsi="Arial" w:cs="Arial"/>
                <w:sz w:val="20"/>
                <w:szCs w:val="20"/>
              </w:rPr>
            </w:pPr>
          </w:p>
        </w:tc>
        <w:tc>
          <w:tcPr>
            <w:tcW w:w="1731" w:type="dxa"/>
            <w:shd w:val="clear" w:color="auto" w:fill="auto"/>
          </w:tcPr>
          <w:p w14:paraId="719674C5"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Load Impact</w:t>
            </w:r>
          </w:p>
        </w:tc>
        <w:tc>
          <w:tcPr>
            <w:tcW w:w="1512" w:type="dxa"/>
            <w:shd w:val="clear" w:color="auto" w:fill="auto"/>
            <w:vAlign w:val="center"/>
          </w:tcPr>
          <w:p w14:paraId="340A992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2.5%</w:t>
            </w:r>
          </w:p>
        </w:tc>
        <w:tc>
          <w:tcPr>
            <w:tcW w:w="1512" w:type="dxa"/>
            <w:shd w:val="clear" w:color="auto" w:fill="auto"/>
            <w:vAlign w:val="center"/>
          </w:tcPr>
          <w:p w14:paraId="15A1990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1.1%</w:t>
            </w:r>
          </w:p>
        </w:tc>
      </w:tr>
    </w:tbl>
    <w:p w14:paraId="6A7C5152" w14:textId="77777777" w:rsidR="008D4A3E" w:rsidRDefault="008D4A3E" w:rsidP="008D4A3E"/>
    <w:p w14:paraId="3E48B7E4" w14:textId="77777777" w:rsidR="008D4A3E" w:rsidRPr="00823315" w:rsidRDefault="008D4A3E" w:rsidP="008D4A3E">
      <w:pPr>
        <w:rPr>
          <w:b/>
          <w:i/>
        </w:rPr>
      </w:pPr>
      <w:r w:rsidRPr="00823315">
        <w:rPr>
          <w:b/>
          <w:i/>
        </w:rPr>
        <w:t>Previous versus current ex-ante</w:t>
      </w:r>
    </w:p>
    <w:p w14:paraId="06C37E66" w14:textId="7BFEAEBF" w:rsidR="008D4A3E" w:rsidRDefault="008D4A3E" w:rsidP="008D4A3E">
      <w:r>
        <w:t xml:space="preserve">In this sub-section, we compare the </w:t>
      </w:r>
      <w:r w:rsidRPr="00933F01">
        <w:rPr>
          <w:i/>
        </w:rPr>
        <w:t>ex-ante</w:t>
      </w:r>
      <w:r>
        <w:t xml:space="preserve"> forecast prepared following PY2016 (the “previous study”) to the </w:t>
      </w:r>
      <w:r w:rsidRPr="00933F01">
        <w:rPr>
          <w:i/>
        </w:rPr>
        <w:t>ex-ante</w:t>
      </w:r>
      <w:r>
        <w:t xml:space="preserve"> forecast contained in this study (the “current study”). </w:t>
      </w:r>
      <w:r>
        <w:fldChar w:fldCharType="begin"/>
      </w:r>
      <w:r>
        <w:instrText xml:space="preserve"> REF _Ref507078065 \h </w:instrText>
      </w:r>
      <w:r>
        <w:fldChar w:fldCharType="separate"/>
      </w:r>
      <w:r w:rsidR="005D5C7C">
        <w:t xml:space="preserve">Table </w:t>
      </w:r>
      <w:r w:rsidR="005D5C7C">
        <w:rPr>
          <w:noProof/>
        </w:rPr>
        <w:t>3</w:t>
      </w:r>
      <w:r w:rsidR="005D5C7C">
        <w:t>.</w:t>
      </w:r>
      <w:r w:rsidR="005D5C7C">
        <w:rPr>
          <w:noProof/>
        </w:rPr>
        <w:t>23</w:t>
      </w:r>
      <w:r>
        <w:fldChar w:fldCharType="end"/>
      </w:r>
      <w:r>
        <w:t xml:space="preserve"> reports the average event-hour load impacts for the August 2018 peak day under utility-specific 1-in-2 weather conditions. </w:t>
      </w:r>
      <w:r w:rsidR="00CA02A5">
        <w:t>The aggregate 2018 load impact forecast declined substantially across years, from 44.6 MWh/hour to 16.</w:t>
      </w:r>
      <w:r w:rsidR="004F1A4D">
        <w:t>5</w:t>
      </w:r>
      <w:r w:rsidR="00CA02A5">
        <w:t xml:space="preserve"> MWh/hour. Lower forecast enrollments explain a portion of the decline, but a halving of the percentage load impact (from 2.2 to 1.1 percent) is the primary driver.</w:t>
      </w:r>
    </w:p>
    <w:p w14:paraId="14D4B6FF" w14:textId="77777777" w:rsidR="008D4A3E" w:rsidRDefault="008D4A3E" w:rsidP="008D4A3E"/>
    <w:p w14:paraId="3F7D00FF" w14:textId="3880E0A9" w:rsidR="008D4A3E" w:rsidRDefault="008D4A3E" w:rsidP="008D4A3E">
      <w:pPr>
        <w:pStyle w:val="TableCaption"/>
      </w:pPr>
      <w:bookmarkStart w:id="261" w:name="_Ref507078065"/>
      <w:bookmarkStart w:id="262" w:name="_Toc507081215"/>
      <w:bookmarkStart w:id="263" w:name="_Toc509837380"/>
      <w:r>
        <w:t xml:space="preserve">Table </w:t>
      </w:r>
      <w:fldSimple w:instr=" STYLEREF 1 \s ">
        <w:r w:rsidR="005D5C7C">
          <w:rPr>
            <w:noProof/>
          </w:rPr>
          <w:t>3</w:t>
        </w:r>
      </w:fldSimple>
      <w:r w:rsidR="0069714C">
        <w:t>.</w:t>
      </w:r>
      <w:fldSimple w:instr=" SEQ Table \* ARABIC \s 1 ">
        <w:r w:rsidR="005D5C7C">
          <w:rPr>
            <w:noProof/>
          </w:rPr>
          <w:t>23</w:t>
        </w:r>
      </w:fldSimple>
      <w:bookmarkEnd w:id="261"/>
      <w:r w:rsidRPr="00376F46">
        <w:t xml:space="preserve">: </w:t>
      </w:r>
      <w:r>
        <w:t xml:space="preserve">Previous vs. Current </w:t>
      </w:r>
      <w:r w:rsidRPr="001634AA">
        <w:rPr>
          <w:i/>
        </w:rPr>
        <w:t>Ex-Ante</w:t>
      </w:r>
      <w:r>
        <w:t xml:space="preserve"> Load Impacts, </w:t>
      </w:r>
      <w:r>
        <w:rPr>
          <w:i/>
        </w:rPr>
        <w:t>Utility</w:t>
      </w:r>
      <w:r w:rsidRPr="001634AA">
        <w:rPr>
          <w:i/>
        </w:rPr>
        <w:t xml:space="preserve"> 1-in-2 August 2018 Peak Day</w:t>
      </w:r>
      <w:bookmarkEnd w:id="262"/>
      <w:bookmarkEnd w:id="26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1916"/>
        <w:gridCol w:w="1445"/>
        <w:gridCol w:w="1369"/>
      </w:tblGrid>
      <w:tr w:rsidR="008D4A3E" w14:paraId="7D619F3D" w14:textId="77777777" w:rsidTr="003C7443">
        <w:trPr>
          <w:jc w:val="center"/>
        </w:trPr>
        <w:tc>
          <w:tcPr>
            <w:tcW w:w="1153" w:type="dxa"/>
            <w:tcBorders>
              <w:right w:val="single" w:sz="4" w:space="0" w:color="FFFFFF"/>
            </w:tcBorders>
            <w:shd w:val="clear" w:color="auto" w:fill="0C2577"/>
            <w:vAlign w:val="center"/>
          </w:tcPr>
          <w:p w14:paraId="399BFE7E"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916" w:type="dxa"/>
            <w:tcBorders>
              <w:left w:val="single" w:sz="4" w:space="0" w:color="FFFFFF"/>
              <w:right w:val="single" w:sz="4" w:space="0" w:color="FFFFFF"/>
            </w:tcBorders>
            <w:shd w:val="clear" w:color="auto" w:fill="0C2577"/>
            <w:vAlign w:val="center"/>
          </w:tcPr>
          <w:p w14:paraId="307F0908"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445" w:type="dxa"/>
            <w:tcBorders>
              <w:left w:val="single" w:sz="4" w:space="0" w:color="FFFFFF"/>
              <w:right w:val="single" w:sz="4" w:space="0" w:color="FFFFFF"/>
            </w:tcBorders>
            <w:shd w:val="clear" w:color="auto" w:fill="0C2577"/>
            <w:vAlign w:val="center"/>
          </w:tcPr>
          <w:p w14:paraId="148A48E8" w14:textId="77777777" w:rsidR="008D4A3E" w:rsidRPr="009C75E1" w:rsidRDefault="008D4A3E" w:rsidP="003C7443">
            <w:pPr>
              <w:keepNext/>
              <w:keepLines/>
              <w:jc w:val="center"/>
              <w:rPr>
                <w:rFonts w:ascii="Arial" w:hAnsi="Arial" w:cs="Arial"/>
                <w:b/>
                <w:sz w:val="20"/>
                <w:szCs w:val="20"/>
              </w:rPr>
            </w:pPr>
          </w:p>
          <w:p w14:paraId="181BAD52"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Previous</w:t>
            </w:r>
            <w:r>
              <w:rPr>
                <w:rFonts w:ascii="Arial" w:hAnsi="Arial" w:cs="Arial"/>
                <w:b/>
                <w:sz w:val="20"/>
                <w:szCs w:val="20"/>
              </w:rPr>
              <w:t xml:space="preserve"> Study</w:t>
            </w:r>
          </w:p>
          <w:p w14:paraId="78D4EFBD" w14:textId="77777777" w:rsidR="008D4A3E" w:rsidRPr="009C75E1" w:rsidRDefault="008D4A3E" w:rsidP="003C7443">
            <w:pPr>
              <w:keepNext/>
              <w:keepLines/>
              <w:jc w:val="center"/>
              <w:rPr>
                <w:rFonts w:ascii="Arial" w:hAnsi="Arial" w:cs="Arial"/>
                <w:b/>
                <w:sz w:val="20"/>
                <w:szCs w:val="20"/>
              </w:rPr>
            </w:pPr>
          </w:p>
        </w:tc>
        <w:tc>
          <w:tcPr>
            <w:tcW w:w="1369" w:type="dxa"/>
            <w:tcBorders>
              <w:left w:val="single" w:sz="4" w:space="0" w:color="FFFFFF"/>
            </w:tcBorders>
            <w:shd w:val="clear" w:color="auto" w:fill="0C2577"/>
            <w:vAlign w:val="center"/>
          </w:tcPr>
          <w:p w14:paraId="1BFE1468"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Current</w:t>
            </w:r>
            <w:r>
              <w:rPr>
                <w:rFonts w:ascii="Arial" w:hAnsi="Arial" w:cs="Arial"/>
                <w:b/>
                <w:sz w:val="20"/>
                <w:szCs w:val="20"/>
              </w:rPr>
              <w:t xml:space="preserve"> Study</w:t>
            </w:r>
          </w:p>
        </w:tc>
      </w:tr>
      <w:tr w:rsidR="008D4A3E" w14:paraId="3FBB8D0F" w14:textId="77777777" w:rsidTr="003C7443">
        <w:trPr>
          <w:jc w:val="center"/>
        </w:trPr>
        <w:tc>
          <w:tcPr>
            <w:tcW w:w="1153" w:type="dxa"/>
            <w:vMerge w:val="restart"/>
            <w:shd w:val="clear" w:color="auto" w:fill="auto"/>
            <w:vAlign w:val="center"/>
          </w:tcPr>
          <w:p w14:paraId="2526CF9D"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Total</w:t>
            </w:r>
          </w:p>
        </w:tc>
        <w:tc>
          <w:tcPr>
            <w:tcW w:w="1916" w:type="dxa"/>
            <w:shd w:val="clear" w:color="auto" w:fill="auto"/>
          </w:tcPr>
          <w:p w14:paraId="5CF7759A"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SAIDs</w:t>
            </w:r>
          </w:p>
        </w:tc>
        <w:tc>
          <w:tcPr>
            <w:tcW w:w="1445" w:type="dxa"/>
            <w:shd w:val="clear" w:color="auto" w:fill="auto"/>
          </w:tcPr>
          <w:p w14:paraId="1C677E4C"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297,371</w:t>
            </w:r>
          </w:p>
        </w:tc>
        <w:tc>
          <w:tcPr>
            <w:tcW w:w="1369" w:type="dxa"/>
            <w:shd w:val="clear" w:color="auto" w:fill="auto"/>
          </w:tcPr>
          <w:p w14:paraId="4964EBEC" w14:textId="69F730EA" w:rsidR="008D4A3E" w:rsidRPr="009C75E1" w:rsidRDefault="004F1A4D" w:rsidP="003C7443">
            <w:pPr>
              <w:keepNext/>
              <w:keepLines/>
              <w:jc w:val="center"/>
              <w:rPr>
                <w:rFonts w:ascii="Arial" w:hAnsi="Arial" w:cs="Arial"/>
                <w:sz w:val="20"/>
                <w:szCs w:val="20"/>
              </w:rPr>
            </w:pPr>
            <w:r>
              <w:rPr>
                <w:rFonts w:ascii="Arial" w:hAnsi="Arial" w:cs="Arial"/>
                <w:sz w:val="20"/>
                <w:szCs w:val="20"/>
              </w:rPr>
              <w:t>235,093</w:t>
            </w:r>
          </w:p>
        </w:tc>
      </w:tr>
      <w:tr w:rsidR="008D4A3E" w14:paraId="60C91DFA" w14:textId="77777777" w:rsidTr="003C7443">
        <w:trPr>
          <w:trHeight w:val="242"/>
          <w:jc w:val="center"/>
        </w:trPr>
        <w:tc>
          <w:tcPr>
            <w:tcW w:w="1153" w:type="dxa"/>
            <w:vMerge/>
            <w:shd w:val="clear" w:color="auto" w:fill="auto"/>
            <w:vAlign w:val="center"/>
          </w:tcPr>
          <w:p w14:paraId="191F4780"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6006C52D"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(MW)</w:t>
            </w:r>
          </w:p>
        </w:tc>
        <w:tc>
          <w:tcPr>
            <w:tcW w:w="1445" w:type="dxa"/>
            <w:shd w:val="clear" w:color="auto" w:fill="auto"/>
          </w:tcPr>
          <w:p w14:paraId="7EC73AB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2,041</w:t>
            </w:r>
          </w:p>
        </w:tc>
        <w:tc>
          <w:tcPr>
            <w:tcW w:w="1369" w:type="dxa"/>
            <w:shd w:val="clear" w:color="auto" w:fill="auto"/>
          </w:tcPr>
          <w:p w14:paraId="3C2489D9" w14:textId="500A6258" w:rsidR="008D4A3E" w:rsidRPr="009C75E1" w:rsidRDefault="004F1A4D" w:rsidP="003C7443">
            <w:pPr>
              <w:keepNext/>
              <w:keepLines/>
              <w:jc w:val="center"/>
              <w:rPr>
                <w:rFonts w:ascii="Arial" w:hAnsi="Arial" w:cs="Arial"/>
                <w:sz w:val="20"/>
                <w:szCs w:val="20"/>
              </w:rPr>
            </w:pPr>
            <w:r>
              <w:rPr>
                <w:rFonts w:ascii="Arial" w:hAnsi="Arial" w:cs="Arial"/>
                <w:sz w:val="20"/>
                <w:szCs w:val="20"/>
              </w:rPr>
              <w:t>1,558</w:t>
            </w:r>
          </w:p>
        </w:tc>
      </w:tr>
      <w:tr w:rsidR="008D4A3E" w14:paraId="1A506E5A" w14:textId="77777777" w:rsidTr="003C7443">
        <w:trPr>
          <w:jc w:val="center"/>
        </w:trPr>
        <w:tc>
          <w:tcPr>
            <w:tcW w:w="1153" w:type="dxa"/>
            <w:vMerge/>
            <w:shd w:val="clear" w:color="auto" w:fill="auto"/>
            <w:vAlign w:val="center"/>
          </w:tcPr>
          <w:p w14:paraId="1E8FD8FD"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0F841B3C"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(MW)</w:t>
            </w:r>
          </w:p>
        </w:tc>
        <w:tc>
          <w:tcPr>
            <w:tcW w:w="1445" w:type="dxa"/>
            <w:shd w:val="clear" w:color="auto" w:fill="auto"/>
          </w:tcPr>
          <w:p w14:paraId="5A157E8C"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44.6</w:t>
            </w:r>
          </w:p>
        </w:tc>
        <w:tc>
          <w:tcPr>
            <w:tcW w:w="1369" w:type="dxa"/>
            <w:shd w:val="clear" w:color="auto" w:fill="auto"/>
          </w:tcPr>
          <w:p w14:paraId="05A4B214" w14:textId="1D15034C" w:rsidR="008D4A3E" w:rsidRPr="009C75E1" w:rsidRDefault="008D4A3E" w:rsidP="003C7443">
            <w:pPr>
              <w:keepNext/>
              <w:keepLines/>
              <w:jc w:val="center"/>
              <w:rPr>
                <w:rFonts w:ascii="Arial" w:hAnsi="Arial" w:cs="Arial"/>
                <w:sz w:val="20"/>
                <w:szCs w:val="20"/>
              </w:rPr>
            </w:pPr>
            <w:r>
              <w:rPr>
                <w:rFonts w:ascii="Arial" w:hAnsi="Arial" w:cs="Arial"/>
                <w:sz w:val="20"/>
                <w:szCs w:val="20"/>
              </w:rPr>
              <w:t>16.</w:t>
            </w:r>
            <w:r w:rsidR="004F1A4D">
              <w:rPr>
                <w:rFonts w:ascii="Arial" w:hAnsi="Arial" w:cs="Arial"/>
                <w:sz w:val="20"/>
                <w:szCs w:val="20"/>
              </w:rPr>
              <w:t>5</w:t>
            </w:r>
          </w:p>
        </w:tc>
      </w:tr>
      <w:tr w:rsidR="008D4A3E" w14:paraId="7AE3A3C9" w14:textId="77777777" w:rsidTr="003C7443">
        <w:trPr>
          <w:jc w:val="center"/>
        </w:trPr>
        <w:tc>
          <w:tcPr>
            <w:tcW w:w="1153" w:type="dxa"/>
            <w:vMerge/>
            <w:shd w:val="clear" w:color="auto" w:fill="auto"/>
            <w:vAlign w:val="center"/>
          </w:tcPr>
          <w:p w14:paraId="1AA6384E"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75CAD85B" w14:textId="77777777" w:rsidR="008D4A3E" w:rsidRPr="009C75E1" w:rsidRDefault="008D4A3E" w:rsidP="003C7443">
            <w:pPr>
              <w:keepNext/>
              <w:keepLines/>
              <w:rPr>
                <w:rFonts w:ascii="Arial" w:hAnsi="Arial" w:cs="Arial"/>
                <w:sz w:val="20"/>
                <w:szCs w:val="20"/>
              </w:rPr>
            </w:pPr>
            <w:r>
              <w:rPr>
                <w:rFonts w:ascii="Arial" w:hAnsi="Arial" w:cs="Arial"/>
                <w:sz w:val="20"/>
                <w:szCs w:val="20"/>
              </w:rPr>
              <w:t>Avg. Temp.</w:t>
            </w:r>
          </w:p>
        </w:tc>
        <w:tc>
          <w:tcPr>
            <w:tcW w:w="1445" w:type="dxa"/>
            <w:shd w:val="clear" w:color="auto" w:fill="auto"/>
          </w:tcPr>
          <w:p w14:paraId="01DB1AF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91.2</w:t>
            </w:r>
          </w:p>
        </w:tc>
        <w:tc>
          <w:tcPr>
            <w:tcW w:w="1369" w:type="dxa"/>
            <w:shd w:val="clear" w:color="auto" w:fill="auto"/>
          </w:tcPr>
          <w:p w14:paraId="4DA62B9A"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92.5</w:t>
            </w:r>
          </w:p>
        </w:tc>
      </w:tr>
      <w:tr w:rsidR="008D4A3E" w14:paraId="3C8B69A5" w14:textId="77777777" w:rsidTr="003C7443">
        <w:trPr>
          <w:jc w:val="center"/>
        </w:trPr>
        <w:tc>
          <w:tcPr>
            <w:tcW w:w="1153" w:type="dxa"/>
            <w:vMerge w:val="restart"/>
            <w:shd w:val="clear" w:color="auto" w:fill="auto"/>
            <w:vAlign w:val="center"/>
          </w:tcPr>
          <w:p w14:paraId="0A0F5BFF"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Per SAID</w:t>
            </w:r>
          </w:p>
        </w:tc>
        <w:tc>
          <w:tcPr>
            <w:tcW w:w="1916" w:type="dxa"/>
            <w:shd w:val="clear" w:color="auto" w:fill="auto"/>
          </w:tcPr>
          <w:p w14:paraId="0A48F06D"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(kW)</w:t>
            </w:r>
          </w:p>
        </w:tc>
        <w:tc>
          <w:tcPr>
            <w:tcW w:w="1445" w:type="dxa"/>
            <w:shd w:val="clear" w:color="auto" w:fill="auto"/>
          </w:tcPr>
          <w:p w14:paraId="2B3C2E36"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6.9</w:t>
            </w:r>
          </w:p>
        </w:tc>
        <w:tc>
          <w:tcPr>
            <w:tcW w:w="1369" w:type="dxa"/>
            <w:shd w:val="clear" w:color="auto" w:fill="auto"/>
          </w:tcPr>
          <w:p w14:paraId="3EC59254" w14:textId="26F66D15" w:rsidR="008D4A3E" w:rsidRPr="009C75E1" w:rsidRDefault="008D4A3E" w:rsidP="003C7443">
            <w:pPr>
              <w:keepNext/>
              <w:keepLines/>
              <w:jc w:val="center"/>
              <w:rPr>
                <w:rFonts w:ascii="Arial" w:hAnsi="Arial" w:cs="Arial"/>
                <w:sz w:val="20"/>
                <w:szCs w:val="20"/>
              </w:rPr>
            </w:pPr>
            <w:r>
              <w:rPr>
                <w:rFonts w:ascii="Arial" w:hAnsi="Arial" w:cs="Arial"/>
                <w:sz w:val="20"/>
                <w:szCs w:val="20"/>
              </w:rPr>
              <w:t>6.</w:t>
            </w:r>
            <w:r w:rsidR="004F1A4D">
              <w:rPr>
                <w:rFonts w:ascii="Arial" w:hAnsi="Arial" w:cs="Arial"/>
                <w:sz w:val="20"/>
                <w:szCs w:val="20"/>
              </w:rPr>
              <w:t>6</w:t>
            </w:r>
          </w:p>
        </w:tc>
      </w:tr>
      <w:tr w:rsidR="008D4A3E" w14:paraId="0C1CC71E" w14:textId="77777777" w:rsidTr="003C7443">
        <w:trPr>
          <w:jc w:val="center"/>
        </w:trPr>
        <w:tc>
          <w:tcPr>
            <w:tcW w:w="1153" w:type="dxa"/>
            <w:vMerge/>
            <w:shd w:val="clear" w:color="auto" w:fill="auto"/>
          </w:tcPr>
          <w:p w14:paraId="4B60C392"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5A3B8FB4"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(kW)</w:t>
            </w:r>
          </w:p>
        </w:tc>
        <w:tc>
          <w:tcPr>
            <w:tcW w:w="1445" w:type="dxa"/>
            <w:shd w:val="clear" w:color="auto" w:fill="auto"/>
          </w:tcPr>
          <w:p w14:paraId="3A04DA29"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0.15</w:t>
            </w:r>
          </w:p>
        </w:tc>
        <w:tc>
          <w:tcPr>
            <w:tcW w:w="1369" w:type="dxa"/>
            <w:shd w:val="clear" w:color="auto" w:fill="auto"/>
          </w:tcPr>
          <w:p w14:paraId="673234B4"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0.07</w:t>
            </w:r>
          </w:p>
        </w:tc>
      </w:tr>
      <w:tr w:rsidR="008D4A3E" w14:paraId="244A52CB" w14:textId="77777777" w:rsidTr="003C7443">
        <w:trPr>
          <w:jc w:val="center"/>
        </w:trPr>
        <w:tc>
          <w:tcPr>
            <w:tcW w:w="1153" w:type="dxa"/>
            <w:vMerge/>
            <w:shd w:val="clear" w:color="auto" w:fill="auto"/>
          </w:tcPr>
          <w:p w14:paraId="470F88B0" w14:textId="77777777" w:rsidR="008D4A3E" w:rsidRPr="009C75E1" w:rsidRDefault="008D4A3E" w:rsidP="003C7443">
            <w:pPr>
              <w:keepNext/>
              <w:keepLines/>
              <w:rPr>
                <w:rFonts w:ascii="Arial" w:hAnsi="Arial" w:cs="Arial"/>
                <w:sz w:val="20"/>
                <w:szCs w:val="20"/>
              </w:rPr>
            </w:pPr>
          </w:p>
        </w:tc>
        <w:tc>
          <w:tcPr>
            <w:tcW w:w="1916" w:type="dxa"/>
            <w:shd w:val="clear" w:color="auto" w:fill="auto"/>
          </w:tcPr>
          <w:p w14:paraId="39FBAA05"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Load Impact</w:t>
            </w:r>
          </w:p>
        </w:tc>
        <w:tc>
          <w:tcPr>
            <w:tcW w:w="1445" w:type="dxa"/>
            <w:shd w:val="clear" w:color="auto" w:fill="auto"/>
          </w:tcPr>
          <w:p w14:paraId="06B652BE"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2.2%</w:t>
            </w:r>
          </w:p>
        </w:tc>
        <w:tc>
          <w:tcPr>
            <w:tcW w:w="1369" w:type="dxa"/>
            <w:shd w:val="clear" w:color="auto" w:fill="auto"/>
          </w:tcPr>
          <w:p w14:paraId="1B90FD18"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1.1%</w:t>
            </w:r>
          </w:p>
        </w:tc>
      </w:tr>
    </w:tbl>
    <w:p w14:paraId="5256FDC0" w14:textId="77777777" w:rsidR="008D4A3E" w:rsidRDefault="008D4A3E" w:rsidP="008D4A3E"/>
    <w:p w14:paraId="6E519DF1" w14:textId="77777777" w:rsidR="008D4A3E" w:rsidRPr="00823315" w:rsidRDefault="008D4A3E" w:rsidP="008D4A3E">
      <w:pPr>
        <w:rPr>
          <w:b/>
          <w:i/>
        </w:rPr>
      </w:pPr>
      <w:r w:rsidRPr="00823315">
        <w:rPr>
          <w:b/>
          <w:i/>
        </w:rPr>
        <w:t>Previous ex-ante versus current ex-post</w:t>
      </w:r>
    </w:p>
    <w:p w14:paraId="4C2515AB" w14:textId="2F4E6475" w:rsidR="008D4A3E" w:rsidRDefault="008D4A3E" w:rsidP="008D4A3E">
      <w:r>
        <w:fldChar w:fldCharType="begin"/>
      </w:r>
      <w:r>
        <w:instrText xml:space="preserve"> REF _Ref507078076 \h </w:instrText>
      </w:r>
      <w:r>
        <w:fldChar w:fldCharType="separate"/>
      </w:r>
      <w:r w:rsidR="005D5C7C">
        <w:t xml:space="preserve">Table </w:t>
      </w:r>
      <w:r w:rsidR="005D5C7C">
        <w:rPr>
          <w:noProof/>
        </w:rPr>
        <w:t>3</w:t>
      </w:r>
      <w:r w:rsidR="005D5C7C">
        <w:t>.</w:t>
      </w:r>
      <w:r w:rsidR="005D5C7C">
        <w:rPr>
          <w:noProof/>
        </w:rPr>
        <w:t>24</w:t>
      </w:r>
      <w:r>
        <w:fldChar w:fldCharType="end"/>
      </w:r>
      <w:r>
        <w:t xml:space="preserve"> provides a comparison of the </w:t>
      </w:r>
      <w:r w:rsidRPr="005926F0">
        <w:rPr>
          <w:i/>
        </w:rPr>
        <w:t>ex-ante</w:t>
      </w:r>
      <w:r>
        <w:t xml:space="preserve"> forecast of 2017 load impacts prepared following PY2016 and the PY2017 load impacts estimated as part of this study. The </w:t>
      </w:r>
      <w:r w:rsidRPr="005926F0">
        <w:rPr>
          <w:i/>
        </w:rPr>
        <w:t>ex-ante</w:t>
      </w:r>
      <w:r>
        <w:t xml:space="preserve"> forecast shown in the table represents the August peak day during a utility-specific 1-in-2 weather year. The </w:t>
      </w:r>
      <w:r w:rsidRPr="005926F0">
        <w:rPr>
          <w:i/>
        </w:rPr>
        <w:t>ex-post</w:t>
      </w:r>
      <w:r>
        <w:t xml:space="preserve"> load impacts are based on the average event day. </w:t>
      </w:r>
      <w:r w:rsidR="00CA02A5">
        <w:t>The forecast created as part of the previous study predicted higher load impacts than we estimated in this study. While enrollments are lower than were forecast, the lower percentage load impacts are the primary driver of the difference.</w:t>
      </w:r>
    </w:p>
    <w:p w14:paraId="45BD2959" w14:textId="77777777" w:rsidR="008D4A3E" w:rsidRDefault="008D4A3E" w:rsidP="008D4A3E"/>
    <w:p w14:paraId="04E80836" w14:textId="7EAB26EE" w:rsidR="008D4A3E" w:rsidRDefault="008D4A3E" w:rsidP="008D4A3E">
      <w:pPr>
        <w:pStyle w:val="TableCaption"/>
      </w:pPr>
      <w:bookmarkStart w:id="264" w:name="_Ref507078076"/>
      <w:bookmarkStart w:id="265" w:name="_Toc507081216"/>
      <w:bookmarkStart w:id="266" w:name="_Toc509837381"/>
      <w:r>
        <w:lastRenderedPageBreak/>
        <w:t xml:space="preserve">Table </w:t>
      </w:r>
      <w:fldSimple w:instr=" STYLEREF 1 \s ">
        <w:r w:rsidR="005D5C7C">
          <w:rPr>
            <w:noProof/>
          </w:rPr>
          <w:t>3</w:t>
        </w:r>
      </w:fldSimple>
      <w:r w:rsidR="0069714C">
        <w:t>.</w:t>
      </w:r>
      <w:fldSimple w:instr=" SEQ Table \* ARABIC \s 1 ">
        <w:r w:rsidR="005D5C7C">
          <w:rPr>
            <w:noProof/>
          </w:rPr>
          <w:t>24</w:t>
        </w:r>
      </w:fldSimple>
      <w:bookmarkEnd w:id="264"/>
      <w:r>
        <w:t>:</w:t>
      </w:r>
      <w:r w:rsidRPr="00827AFF">
        <w:t xml:space="preserve"> </w:t>
      </w:r>
      <w:r w:rsidRPr="00376F46">
        <w:t xml:space="preserve">Comparison of </w:t>
      </w:r>
      <w:r>
        <w:t xml:space="preserve">Previous </w:t>
      </w:r>
      <w:r>
        <w:rPr>
          <w:i/>
        </w:rPr>
        <w:t>Ex-Ante</w:t>
      </w:r>
      <w:r>
        <w:t xml:space="preserve"> and Current </w:t>
      </w:r>
      <w:r>
        <w:rPr>
          <w:i/>
        </w:rPr>
        <w:t>Ex-Post</w:t>
      </w:r>
      <w:r>
        <w:t xml:space="preserve"> </w:t>
      </w:r>
      <w:r w:rsidRPr="00376F46">
        <w:t>Impacts</w:t>
      </w:r>
      <w:bookmarkEnd w:id="265"/>
      <w:bookmarkEnd w:id="2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8D4A3E" w14:paraId="7A90A7EC" w14:textId="77777777" w:rsidTr="003C7443">
        <w:trPr>
          <w:jc w:val="center"/>
        </w:trPr>
        <w:tc>
          <w:tcPr>
            <w:tcW w:w="1548" w:type="dxa"/>
            <w:tcBorders>
              <w:right w:val="single" w:sz="4" w:space="0" w:color="FFFFFF"/>
            </w:tcBorders>
            <w:shd w:val="clear" w:color="auto" w:fill="0C2577"/>
            <w:vAlign w:val="center"/>
          </w:tcPr>
          <w:p w14:paraId="548FC107"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29ED1956"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07F1D262"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2017 August Peak Day from PY2016 Study</w:t>
            </w:r>
          </w:p>
        </w:tc>
        <w:tc>
          <w:tcPr>
            <w:tcW w:w="1772" w:type="dxa"/>
            <w:tcBorders>
              <w:left w:val="single" w:sz="4" w:space="0" w:color="FFFFFF"/>
            </w:tcBorders>
            <w:shd w:val="clear" w:color="auto" w:fill="0C2577"/>
            <w:vAlign w:val="center"/>
          </w:tcPr>
          <w:p w14:paraId="6320C0C8"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r>
      <w:tr w:rsidR="008D4A3E" w14:paraId="345997D2" w14:textId="77777777" w:rsidTr="003C7443">
        <w:trPr>
          <w:jc w:val="center"/>
        </w:trPr>
        <w:tc>
          <w:tcPr>
            <w:tcW w:w="1548" w:type="dxa"/>
            <w:vMerge w:val="restart"/>
            <w:shd w:val="clear" w:color="auto" w:fill="auto"/>
            <w:vAlign w:val="center"/>
          </w:tcPr>
          <w:p w14:paraId="1A86FED3"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47EAA251"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tcPr>
          <w:p w14:paraId="0F61EA13"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225,654</w:t>
            </w:r>
          </w:p>
        </w:tc>
        <w:tc>
          <w:tcPr>
            <w:tcW w:w="1772" w:type="dxa"/>
            <w:shd w:val="clear" w:color="auto" w:fill="auto"/>
            <w:vAlign w:val="center"/>
          </w:tcPr>
          <w:p w14:paraId="3A5D9CEA"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203,183</w:t>
            </w:r>
          </w:p>
        </w:tc>
      </w:tr>
      <w:tr w:rsidR="008D4A3E" w14:paraId="49531156" w14:textId="77777777" w:rsidTr="003C7443">
        <w:trPr>
          <w:trHeight w:val="242"/>
          <w:jc w:val="center"/>
        </w:trPr>
        <w:tc>
          <w:tcPr>
            <w:tcW w:w="1548" w:type="dxa"/>
            <w:vMerge/>
            <w:shd w:val="clear" w:color="auto" w:fill="auto"/>
            <w:vAlign w:val="center"/>
          </w:tcPr>
          <w:p w14:paraId="6C2232D2"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770492D4"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tcPr>
          <w:p w14:paraId="0581C8A1"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1,517</w:t>
            </w:r>
          </w:p>
        </w:tc>
        <w:tc>
          <w:tcPr>
            <w:tcW w:w="1772" w:type="dxa"/>
            <w:shd w:val="clear" w:color="auto" w:fill="auto"/>
            <w:vAlign w:val="center"/>
          </w:tcPr>
          <w:p w14:paraId="5EFA7478"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1,318</w:t>
            </w:r>
          </w:p>
        </w:tc>
      </w:tr>
      <w:tr w:rsidR="008D4A3E" w14:paraId="1E39C413" w14:textId="77777777" w:rsidTr="003C7443">
        <w:trPr>
          <w:jc w:val="center"/>
        </w:trPr>
        <w:tc>
          <w:tcPr>
            <w:tcW w:w="1548" w:type="dxa"/>
            <w:vMerge/>
            <w:shd w:val="clear" w:color="auto" w:fill="auto"/>
            <w:vAlign w:val="center"/>
          </w:tcPr>
          <w:p w14:paraId="12CCDFBF"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58B04B26"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tcPr>
          <w:p w14:paraId="7E3FC372"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33.3</w:t>
            </w:r>
          </w:p>
        </w:tc>
        <w:tc>
          <w:tcPr>
            <w:tcW w:w="1772" w:type="dxa"/>
            <w:shd w:val="clear" w:color="auto" w:fill="auto"/>
            <w:vAlign w:val="center"/>
          </w:tcPr>
          <w:p w14:paraId="6F39FA0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15.0</w:t>
            </w:r>
          </w:p>
        </w:tc>
      </w:tr>
      <w:tr w:rsidR="008D4A3E" w14:paraId="15C13C82" w14:textId="77777777" w:rsidTr="003C7443">
        <w:trPr>
          <w:jc w:val="center"/>
        </w:trPr>
        <w:tc>
          <w:tcPr>
            <w:tcW w:w="1548" w:type="dxa"/>
            <w:vMerge/>
            <w:shd w:val="clear" w:color="auto" w:fill="auto"/>
            <w:vAlign w:val="center"/>
          </w:tcPr>
          <w:p w14:paraId="2923C52D"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5C5012A2" w14:textId="77777777" w:rsidR="008D4A3E" w:rsidRPr="009C75E1" w:rsidRDefault="008D4A3E" w:rsidP="003C7443">
            <w:pPr>
              <w:keepNext/>
              <w:keepLines/>
              <w:rPr>
                <w:rFonts w:ascii="Arial" w:hAnsi="Arial" w:cs="Arial"/>
                <w:sz w:val="20"/>
                <w:szCs w:val="20"/>
              </w:rPr>
            </w:pPr>
            <w:r>
              <w:rPr>
                <w:rFonts w:ascii="Arial" w:hAnsi="Arial" w:cs="Arial"/>
                <w:sz w:val="20"/>
                <w:szCs w:val="20"/>
              </w:rPr>
              <w:t>Avg. Temp.</w:t>
            </w:r>
          </w:p>
        </w:tc>
        <w:tc>
          <w:tcPr>
            <w:tcW w:w="1771" w:type="dxa"/>
            <w:shd w:val="clear" w:color="auto" w:fill="auto"/>
          </w:tcPr>
          <w:p w14:paraId="06E7AF0A" w14:textId="77777777" w:rsidR="008D4A3E" w:rsidRDefault="008D4A3E" w:rsidP="003C7443">
            <w:pPr>
              <w:keepNext/>
              <w:keepLines/>
              <w:jc w:val="center"/>
              <w:rPr>
                <w:rFonts w:ascii="Arial" w:hAnsi="Arial" w:cs="Arial"/>
                <w:sz w:val="20"/>
                <w:szCs w:val="20"/>
              </w:rPr>
            </w:pPr>
            <w:r>
              <w:rPr>
                <w:rFonts w:ascii="Arial" w:hAnsi="Arial" w:cs="Arial"/>
                <w:sz w:val="20"/>
                <w:szCs w:val="20"/>
              </w:rPr>
              <w:t>91.3</w:t>
            </w:r>
          </w:p>
        </w:tc>
        <w:tc>
          <w:tcPr>
            <w:tcW w:w="1772" w:type="dxa"/>
            <w:shd w:val="clear" w:color="auto" w:fill="auto"/>
            <w:vAlign w:val="center"/>
          </w:tcPr>
          <w:p w14:paraId="0132D27A" w14:textId="77777777" w:rsidR="008D4A3E" w:rsidRDefault="008D4A3E" w:rsidP="003C7443">
            <w:pPr>
              <w:keepNext/>
              <w:keepLines/>
              <w:jc w:val="center"/>
              <w:rPr>
                <w:rFonts w:ascii="Arial" w:hAnsi="Arial" w:cs="Arial"/>
                <w:sz w:val="20"/>
                <w:szCs w:val="20"/>
              </w:rPr>
            </w:pPr>
            <w:r>
              <w:rPr>
                <w:rFonts w:ascii="Arial" w:hAnsi="Arial" w:cs="Arial"/>
                <w:sz w:val="20"/>
                <w:szCs w:val="20"/>
              </w:rPr>
              <w:t>94.5</w:t>
            </w:r>
          </w:p>
        </w:tc>
      </w:tr>
      <w:tr w:rsidR="008D4A3E" w14:paraId="55EBA1A7" w14:textId="77777777" w:rsidTr="003C7443">
        <w:trPr>
          <w:jc w:val="center"/>
        </w:trPr>
        <w:tc>
          <w:tcPr>
            <w:tcW w:w="1548" w:type="dxa"/>
            <w:vMerge w:val="restart"/>
            <w:shd w:val="clear" w:color="auto" w:fill="auto"/>
            <w:vAlign w:val="center"/>
          </w:tcPr>
          <w:p w14:paraId="313B04D2" w14:textId="77777777" w:rsidR="008D4A3E" w:rsidRPr="009C75E1" w:rsidRDefault="008D4A3E" w:rsidP="003C7443">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4034B71B"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tcPr>
          <w:p w14:paraId="41615B97"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6.7</w:t>
            </w:r>
          </w:p>
        </w:tc>
        <w:tc>
          <w:tcPr>
            <w:tcW w:w="1772" w:type="dxa"/>
            <w:shd w:val="clear" w:color="auto" w:fill="auto"/>
            <w:vAlign w:val="center"/>
          </w:tcPr>
          <w:p w14:paraId="4F038AAB"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6.5</w:t>
            </w:r>
          </w:p>
        </w:tc>
      </w:tr>
      <w:tr w:rsidR="008D4A3E" w14:paraId="6493DCA2" w14:textId="77777777" w:rsidTr="003C7443">
        <w:trPr>
          <w:jc w:val="center"/>
        </w:trPr>
        <w:tc>
          <w:tcPr>
            <w:tcW w:w="1548" w:type="dxa"/>
            <w:vMerge/>
            <w:shd w:val="clear" w:color="auto" w:fill="auto"/>
          </w:tcPr>
          <w:p w14:paraId="4BA57436"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25680EB7"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tcPr>
          <w:p w14:paraId="240946D1"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0.15</w:t>
            </w:r>
          </w:p>
        </w:tc>
        <w:tc>
          <w:tcPr>
            <w:tcW w:w="1772" w:type="dxa"/>
            <w:shd w:val="clear" w:color="auto" w:fill="auto"/>
            <w:vAlign w:val="center"/>
          </w:tcPr>
          <w:p w14:paraId="12EE8C95"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0.07</w:t>
            </w:r>
          </w:p>
        </w:tc>
      </w:tr>
      <w:tr w:rsidR="008D4A3E" w14:paraId="569F3134" w14:textId="77777777" w:rsidTr="003C7443">
        <w:trPr>
          <w:jc w:val="center"/>
        </w:trPr>
        <w:tc>
          <w:tcPr>
            <w:tcW w:w="1548" w:type="dxa"/>
            <w:vMerge/>
            <w:shd w:val="clear" w:color="auto" w:fill="auto"/>
          </w:tcPr>
          <w:p w14:paraId="17842F03" w14:textId="77777777" w:rsidR="008D4A3E" w:rsidRPr="009C75E1" w:rsidRDefault="008D4A3E" w:rsidP="003C7443">
            <w:pPr>
              <w:keepNext/>
              <w:keepLines/>
              <w:rPr>
                <w:rFonts w:ascii="Arial" w:hAnsi="Arial" w:cs="Arial"/>
                <w:sz w:val="20"/>
                <w:szCs w:val="20"/>
              </w:rPr>
            </w:pPr>
          </w:p>
        </w:tc>
        <w:tc>
          <w:tcPr>
            <w:tcW w:w="1994" w:type="dxa"/>
            <w:shd w:val="clear" w:color="auto" w:fill="auto"/>
          </w:tcPr>
          <w:p w14:paraId="450C38BE" w14:textId="77777777" w:rsidR="008D4A3E" w:rsidRPr="009C75E1" w:rsidRDefault="008D4A3E" w:rsidP="003C7443">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tcPr>
          <w:p w14:paraId="00E9A2C6"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2.2%</w:t>
            </w:r>
          </w:p>
        </w:tc>
        <w:tc>
          <w:tcPr>
            <w:tcW w:w="1772" w:type="dxa"/>
            <w:shd w:val="clear" w:color="auto" w:fill="auto"/>
            <w:vAlign w:val="center"/>
          </w:tcPr>
          <w:p w14:paraId="1E163FED" w14:textId="77777777" w:rsidR="008D4A3E" w:rsidRPr="009C75E1" w:rsidRDefault="008D4A3E" w:rsidP="003C7443">
            <w:pPr>
              <w:keepNext/>
              <w:keepLines/>
              <w:jc w:val="center"/>
              <w:rPr>
                <w:rFonts w:ascii="Arial" w:hAnsi="Arial" w:cs="Arial"/>
                <w:sz w:val="20"/>
                <w:szCs w:val="20"/>
              </w:rPr>
            </w:pPr>
            <w:r>
              <w:rPr>
                <w:rFonts w:ascii="Arial" w:hAnsi="Arial" w:cs="Arial"/>
                <w:sz w:val="20"/>
                <w:szCs w:val="20"/>
              </w:rPr>
              <w:t>1.1%</w:t>
            </w:r>
          </w:p>
        </w:tc>
      </w:tr>
    </w:tbl>
    <w:p w14:paraId="342F6F85" w14:textId="77777777" w:rsidR="008D4A3E" w:rsidRDefault="008D4A3E" w:rsidP="008D4A3E"/>
    <w:p w14:paraId="1AD61863" w14:textId="77777777" w:rsidR="008D4A3E" w:rsidRPr="00823315" w:rsidRDefault="008D4A3E" w:rsidP="008D4A3E">
      <w:pPr>
        <w:rPr>
          <w:b/>
          <w:i/>
        </w:rPr>
      </w:pPr>
      <w:r w:rsidRPr="00823315">
        <w:rPr>
          <w:b/>
          <w:i/>
        </w:rPr>
        <w:t>Current ex-post versus current ex-ante</w:t>
      </w:r>
    </w:p>
    <w:p w14:paraId="227243FE" w14:textId="5EB95AA0" w:rsidR="008D4A3E" w:rsidRDefault="008D4A3E" w:rsidP="008D4A3E">
      <w:r>
        <w:fldChar w:fldCharType="begin"/>
      </w:r>
      <w:r>
        <w:instrText xml:space="preserve"> REF _Ref507078094 \h </w:instrText>
      </w:r>
      <w:r>
        <w:fldChar w:fldCharType="separate"/>
      </w:r>
      <w:r w:rsidR="005D5C7C">
        <w:t xml:space="preserve">Table </w:t>
      </w:r>
      <w:r w:rsidR="005D5C7C">
        <w:rPr>
          <w:noProof/>
        </w:rPr>
        <w:t>3</w:t>
      </w:r>
      <w:r w:rsidR="005D5C7C">
        <w:t>.</w:t>
      </w:r>
      <w:r w:rsidR="005D5C7C">
        <w:rPr>
          <w:noProof/>
        </w:rPr>
        <w:t>25</w:t>
      </w:r>
      <w:r>
        <w:fldChar w:fldCharType="end"/>
      </w:r>
      <w:r>
        <w:t xml:space="preserve"> compares the </w:t>
      </w:r>
      <w:r w:rsidRPr="005926F0">
        <w:rPr>
          <w:i/>
        </w:rPr>
        <w:t>ex-post</w:t>
      </w:r>
      <w:r>
        <w:t xml:space="preserve"> and </w:t>
      </w:r>
      <w:r w:rsidRPr="005926F0">
        <w:rPr>
          <w:i/>
        </w:rPr>
        <w:t>ex-ante</w:t>
      </w:r>
      <w:r>
        <w:t xml:space="preserve"> load impacts from this study. The </w:t>
      </w:r>
      <w:r w:rsidRPr="005926F0">
        <w:rPr>
          <w:i/>
        </w:rPr>
        <w:t>ex-ante</w:t>
      </w:r>
      <w:r>
        <w:t xml:space="preserve"> load impacts in the table represent the 2018 August peak day with utility-specific 1-in-2 weather conditions. </w:t>
      </w:r>
      <w:r w:rsidR="00CA02A5">
        <w:t>The forecast calls for an increase in the aggregate load impact from 15.0 MWh/hour in PY2017 to 16.</w:t>
      </w:r>
      <w:r w:rsidR="004F1A4D">
        <w:t>5</w:t>
      </w:r>
      <w:r w:rsidR="00CA02A5">
        <w:t xml:space="preserve"> MWh/hour in 2018. This is almost entirely due to an increase in customer enrollment.</w:t>
      </w:r>
    </w:p>
    <w:p w14:paraId="14A71954" w14:textId="77777777" w:rsidR="008D4A3E" w:rsidRDefault="008D4A3E" w:rsidP="008D4A3E"/>
    <w:p w14:paraId="69836BE0" w14:textId="7BC7B0DB" w:rsidR="008D4A3E" w:rsidRDefault="008D4A3E" w:rsidP="008D4A3E">
      <w:pPr>
        <w:pStyle w:val="TableCaption"/>
      </w:pPr>
      <w:bookmarkStart w:id="267" w:name="_Ref507078094"/>
      <w:bookmarkStart w:id="268" w:name="_Toc507081217"/>
      <w:bookmarkStart w:id="269" w:name="_Toc509837382"/>
      <w:r>
        <w:t xml:space="preserve">Table </w:t>
      </w:r>
      <w:fldSimple w:instr=" STYLEREF 1 \s ">
        <w:r w:rsidR="005D5C7C">
          <w:rPr>
            <w:noProof/>
          </w:rPr>
          <w:t>3</w:t>
        </w:r>
      </w:fldSimple>
      <w:r w:rsidR="0069714C">
        <w:t>.</w:t>
      </w:r>
      <w:fldSimple w:instr=" SEQ Table \* ARABIC \s 1 ">
        <w:r w:rsidR="005D5C7C">
          <w:rPr>
            <w:noProof/>
          </w:rPr>
          <w:t>25</w:t>
        </w:r>
      </w:fldSimple>
      <w:bookmarkEnd w:id="267"/>
      <w:r>
        <w:t xml:space="preserve">: </w:t>
      </w:r>
      <w:r w:rsidRPr="00376F46">
        <w:t xml:space="preserve">Comparison of </w:t>
      </w:r>
      <w:r>
        <w:t xml:space="preserve">Current </w:t>
      </w:r>
      <w:r>
        <w:rPr>
          <w:i/>
        </w:rPr>
        <w:t>Ex-Post</w:t>
      </w:r>
      <w:r>
        <w:t xml:space="preserve"> and </w:t>
      </w:r>
      <w:r>
        <w:rPr>
          <w:i/>
        </w:rPr>
        <w:t>Ex-Ante</w:t>
      </w:r>
      <w:r>
        <w:t xml:space="preserve"> Load </w:t>
      </w:r>
      <w:r w:rsidRPr="00376F46">
        <w:t>Impacts</w:t>
      </w:r>
      <w:bookmarkEnd w:id="268"/>
      <w:bookmarkEnd w:id="2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8D4A3E" w14:paraId="275CCBF4" w14:textId="77777777" w:rsidTr="003C7443">
        <w:trPr>
          <w:jc w:val="center"/>
        </w:trPr>
        <w:tc>
          <w:tcPr>
            <w:tcW w:w="1548" w:type="dxa"/>
            <w:tcBorders>
              <w:right w:val="single" w:sz="4" w:space="0" w:color="FFFFFF"/>
            </w:tcBorders>
            <w:shd w:val="clear" w:color="auto" w:fill="0C2577"/>
            <w:vAlign w:val="center"/>
          </w:tcPr>
          <w:p w14:paraId="71CE71B3"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17ECCD80" w14:textId="77777777" w:rsidR="008D4A3E" w:rsidRPr="009C75E1" w:rsidRDefault="008D4A3E"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72946982"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c>
          <w:tcPr>
            <w:tcW w:w="1772" w:type="dxa"/>
            <w:tcBorders>
              <w:left w:val="single" w:sz="4" w:space="0" w:color="FFFFFF"/>
            </w:tcBorders>
            <w:shd w:val="clear" w:color="auto" w:fill="0C2577"/>
            <w:vAlign w:val="center"/>
          </w:tcPr>
          <w:p w14:paraId="42A0A167" w14:textId="77777777" w:rsidR="008D4A3E" w:rsidRPr="009C75E1" w:rsidRDefault="008D4A3E"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2018 August Peak Day from PY2017 Study</w:t>
            </w:r>
          </w:p>
        </w:tc>
      </w:tr>
      <w:tr w:rsidR="004F1A4D" w14:paraId="710FD4FE" w14:textId="77777777" w:rsidTr="003C7443">
        <w:trPr>
          <w:jc w:val="center"/>
        </w:trPr>
        <w:tc>
          <w:tcPr>
            <w:tcW w:w="1548" w:type="dxa"/>
            <w:vMerge w:val="restart"/>
            <w:shd w:val="clear" w:color="auto" w:fill="auto"/>
            <w:vAlign w:val="center"/>
          </w:tcPr>
          <w:p w14:paraId="2E0919D2" w14:textId="77777777" w:rsidR="004F1A4D" w:rsidRPr="009C75E1" w:rsidRDefault="004F1A4D" w:rsidP="004F1A4D">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2E306063"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10EE7A4D"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203,183</w:t>
            </w:r>
          </w:p>
        </w:tc>
        <w:tc>
          <w:tcPr>
            <w:tcW w:w="1772" w:type="dxa"/>
            <w:shd w:val="clear" w:color="auto" w:fill="auto"/>
          </w:tcPr>
          <w:p w14:paraId="27D6A8A0" w14:textId="49289C1F" w:rsidR="004F1A4D" w:rsidRPr="009C75E1" w:rsidRDefault="004F1A4D" w:rsidP="004F1A4D">
            <w:pPr>
              <w:keepNext/>
              <w:keepLines/>
              <w:jc w:val="center"/>
              <w:rPr>
                <w:rFonts w:ascii="Arial" w:hAnsi="Arial" w:cs="Arial"/>
                <w:sz w:val="20"/>
                <w:szCs w:val="20"/>
              </w:rPr>
            </w:pPr>
            <w:r>
              <w:rPr>
                <w:rFonts w:ascii="Arial" w:hAnsi="Arial" w:cs="Arial"/>
                <w:sz w:val="20"/>
                <w:szCs w:val="20"/>
              </w:rPr>
              <w:t>235,093</w:t>
            </w:r>
          </w:p>
        </w:tc>
      </w:tr>
      <w:tr w:rsidR="004F1A4D" w14:paraId="1D9BFE94" w14:textId="77777777" w:rsidTr="003C7443">
        <w:trPr>
          <w:trHeight w:val="242"/>
          <w:jc w:val="center"/>
        </w:trPr>
        <w:tc>
          <w:tcPr>
            <w:tcW w:w="1548" w:type="dxa"/>
            <w:vMerge/>
            <w:shd w:val="clear" w:color="auto" w:fill="auto"/>
            <w:vAlign w:val="center"/>
          </w:tcPr>
          <w:p w14:paraId="076B106F"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3162250D"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1D343C71"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1,318</w:t>
            </w:r>
          </w:p>
        </w:tc>
        <w:tc>
          <w:tcPr>
            <w:tcW w:w="1772" w:type="dxa"/>
            <w:shd w:val="clear" w:color="auto" w:fill="auto"/>
          </w:tcPr>
          <w:p w14:paraId="77FF70EC" w14:textId="596B5515" w:rsidR="004F1A4D" w:rsidRPr="009C75E1" w:rsidRDefault="004F1A4D" w:rsidP="004F1A4D">
            <w:pPr>
              <w:keepNext/>
              <w:keepLines/>
              <w:jc w:val="center"/>
              <w:rPr>
                <w:rFonts w:ascii="Arial" w:hAnsi="Arial" w:cs="Arial"/>
                <w:sz w:val="20"/>
                <w:szCs w:val="20"/>
              </w:rPr>
            </w:pPr>
            <w:r>
              <w:rPr>
                <w:rFonts w:ascii="Arial" w:hAnsi="Arial" w:cs="Arial"/>
                <w:sz w:val="20"/>
                <w:szCs w:val="20"/>
              </w:rPr>
              <w:t>1,558</w:t>
            </w:r>
          </w:p>
        </w:tc>
      </w:tr>
      <w:tr w:rsidR="004F1A4D" w14:paraId="5D8F371C" w14:textId="77777777" w:rsidTr="003C7443">
        <w:trPr>
          <w:jc w:val="center"/>
        </w:trPr>
        <w:tc>
          <w:tcPr>
            <w:tcW w:w="1548" w:type="dxa"/>
            <w:vMerge/>
            <w:shd w:val="clear" w:color="auto" w:fill="auto"/>
            <w:vAlign w:val="center"/>
          </w:tcPr>
          <w:p w14:paraId="04823C86"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1358A278"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4A5D9B80"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15.0</w:t>
            </w:r>
          </w:p>
        </w:tc>
        <w:tc>
          <w:tcPr>
            <w:tcW w:w="1772" w:type="dxa"/>
            <w:shd w:val="clear" w:color="auto" w:fill="auto"/>
          </w:tcPr>
          <w:p w14:paraId="04236967" w14:textId="2E8CE4BB" w:rsidR="004F1A4D" w:rsidRPr="009C75E1" w:rsidRDefault="004F1A4D" w:rsidP="004F1A4D">
            <w:pPr>
              <w:keepNext/>
              <w:keepLines/>
              <w:jc w:val="center"/>
              <w:rPr>
                <w:rFonts w:ascii="Arial" w:hAnsi="Arial" w:cs="Arial"/>
                <w:sz w:val="20"/>
                <w:szCs w:val="20"/>
              </w:rPr>
            </w:pPr>
            <w:r>
              <w:rPr>
                <w:rFonts w:ascii="Arial" w:hAnsi="Arial" w:cs="Arial"/>
                <w:sz w:val="20"/>
                <w:szCs w:val="20"/>
              </w:rPr>
              <w:t>16.5</w:t>
            </w:r>
          </w:p>
        </w:tc>
      </w:tr>
      <w:tr w:rsidR="004F1A4D" w14:paraId="5CF924F7" w14:textId="77777777" w:rsidTr="003C7443">
        <w:trPr>
          <w:jc w:val="center"/>
        </w:trPr>
        <w:tc>
          <w:tcPr>
            <w:tcW w:w="1548" w:type="dxa"/>
            <w:vMerge/>
            <w:shd w:val="clear" w:color="auto" w:fill="auto"/>
            <w:vAlign w:val="center"/>
          </w:tcPr>
          <w:p w14:paraId="5A420AD5"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32A6692B" w14:textId="77777777" w:rsidR="004F1A4D" w:rsidRPr="009C75E1" w:rsidRDefault="004F1A4D" w:rsidP="004F1A4D">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351D5DA7" w14:textId="77777777" w:rsidR="004F1A4D" w:rsidRDefault="004F1A4D" w:rsidP="004F1A4D">
            <w:pPr>
              <w:keepNext/>
              <w:keepLines/>
              <w:jc w:val="center"/>
              <w:rPr>
                <w:rFonts w:ascii="Arial" w:hAnsi="Arial" w:cs="Arial"/>
                <w:sz w:val="20"/>
                <w:szCs w:val="20"/>
              </w:rPr>
            </w:pPr>
            <w:r>
              <w:rPr>
                <w:rFonts w:ascii="Arial" w:hAnsi="Arial" w:cs="Arial"/>
                <w:sz w:val="20"/>
                <w:szCs w:val="20"/>
              </w:rPr>
              <w:t>94.5</w:t>
            </w:r>
          </w:p>
        </w:tc>
        <w:tc>
          <w:tcPr>
            <w:tcW w:w="1772" w:type="dxa"/>
            <w:shd w:val="clear" w:color="auto" w:fill="auto"/>
          </w:tcPr>
          <w:p w14:paraId="429EB100" w14:textId="367B0B54" w:rsidR="004F1A4D" w:rsidRDefault="004F1A4D" w:rsidP="004F1A4D">
            <w:pPr>
              <w:keepNext/>
              <w:keepLines/>
              <w:jc w:val="center"/>
              <w:rPr>
                <w:rFonts w:ascii="Arial" w:hAnsi="Arial" w:cs="Arial"/>
                <w:sz w:val="20"/>
                <w:szCs w:val="20"/>
              </w:rPr>
            </w:pPr>
            <w:r>
              <w:rPr>
                <w:rFonts w:ascii="Arial" w:hAnsi="Arial" w:cs="Arial"/>
                <w:sz w:val="20"/>
                <w:szCs w:val="20"/>
              </w:rPr>
              <w:t>92.5</w:t>
            </w:r>
          </w:p>
        </w:tc>
      </w:tr>
      <w:tr w:rsidR="004F1A4D" w14:paraId="53B04563" w14:textId="77777777" w:rsidTr="003C7443">
        <w:trPr>
          <w:jc w:val="center"/>
        </w:trPr>
        <w:tc>
          <w:tcPr>
            <w:tcW w:w="1548" w:type="dxa"/>
            <w:vMerge w:val="restart"/>
            <w:shd w:val="clear" w:color="auto" w:fill="auto"/>
            <w:vAlign w:val="center"/>
          </w:tcPr>
          <w:p w14:paraId="5D0BFB02" w14:textId="77777777" w:rsidR="004F1A4D" w:rsidRPr="009C75E1" w:rsidRDefault="004F1A4D" w:rsidP="004F1A4D">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2FA96F6B"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122420BC"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6.5</w:t>
            </w:r>
          </w:p>
        </w:tc>
        <w:tc>
          <w:tcPr>
            <w:tcW w:w="1772" w:type="dxa"/>
            <w:shd w:val="clear" w:color="auto" w:fill="auto"/>
          </w:tcPr>
          <w:p w14:paraId="0F087D01" w14:textId="0A45E3AB" w:rsidR="004F1A4D" w:rsidRPr="009C75E1" w:rsidRDefault="004F1A4D" w:rsidP="004F1A4D">
            <w:pPr>
              <w:keepNext/>
              <w:keepLines/>
              <w:jc w:val="center"/>
              <w:rPr>
                <w:rFonts w:ascii="Arial" w:hAnsi="Arial" w:cs="Arial"/>
                <w:sz w:val="20"/>
                <w:szCs w:val="20"/>
              </w:rPr>
            </w:pPr>
            <w:r>
              <w:rPr>
                <w:rFonts w:ascii="Arial" w:hAnsi="Arial" w:cs="Arial"/>
                <w:sz w:val="20"/>
                <w:szCs w:val="20"/>
              </w:rPr>
              <w:t>6.6</w:t>
            </w:r>
          </w:p>
        </w:tc>
      </w:tr>
      <w:tr w:rsidR="004F1A4D" w14:paraId="6B569CDD" w14:textId="77777777" w:rsidTr="003C7443">
        <w:trPr>
          <w:jc w:val="center"/>
        </w:trPr>
        <w:tc>
          <w:tcPr>
            <w:tcW w:w="1548" w:type="dxa"/>
            <w:vMerge/>
            <w:shd w:val="clear" w:color="auto" w:fill="auto"/>
          </w:tcPr>
          <w:p w14:paraId="2C62BF62"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6354D2F7"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482E28B1"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0.07</w:t>
            </w:r>
          </w:p>
        </w:tc>
        <w:tc>
          <w:tcPr>
            <w:tcW w:w="1772" w:type="dxa"/>
            <w:shd w:val="clear" w:color="auto" w:fill="auto"/>
          </w:tcPr>
          <w:p w14:paraId="2DDBFBC6" w14:textId="2FF1D495" w:rsidR="004F1A4D" w:rsidRPr="009C75E1" w:rsidRDefault="004F1A4D" w:rsidP="004F1A4D">
            <w:pPr>
              <w:keepNext/>
              <w:keepLines/>
              <w:jc w:val="center"/>
              <w:rPr>
                <w:rFonts w:ascii="Arial" w:hAnsi="Arial" w:cs="Arial"/>
                <w:sz w:val="20"/>
                <w:szCs w:val="20"/>
              </w:rPr>
            </w:pPr>
            <w:r>
              <w:rPr>
                <w:rFonts w:ascii="Arial" w:hAnsi="Arial" w:cs="Arial"/>
                <w:sz w:val="20"/>
                <w:szCs w:val="20"/>
              </w:rPr>
              <w:t>0.07</w:t>
            </w:r>
          </w:p>
        </w:tc>
      </w:tr>
      <w:tr w:rsidR="004F1A4D" w14:paraId="06703632" w14:textId="77777777" w:rsidTr="003C7443">
        <w:trPr>
          <w:jc w:val="center"/>
        </w:trPr>
        <w:tc>
          <w:tcPr>
            <w:tcW w:w="1548" w:type="dxa"/>
            <w:vMerge/>
            <w:shd w:val="clear" w:color="auto" w:fill="auto"/>
          </w:tcPr>
          <w:p w14:paraId="74CCC47E" w14:textId="77777777" w:rsidR="004F1A4D" w:rsidRPr="009C75E1" w:rsidRDefault="004F1A4D" w:rsidP="004F1A4D">
            <w:pPr>
              <w:keepNext/>
              <w:keepLines/>
              <w:rPr>
                <w:rFonts w:ascii="Arial" w:hAnsi="Arial" w:cs="Arial"/>
                <w:sz w:val="20"/>
                <w:szCs w:val="20"/>
              </w:rPr>
            </w:pPr>
          </w:p>
        </w:tc>
        <w:tc>
          <w:tcPr>
            <w:tcW w:w="1994" w:type="dxa"/>
            <w:shd w:val="clear" w:color="auto" w:fill="auto"/>
          </w:tcPr>
          <w:p w14:paraId="6E9AF980" w14:textId="77777777" w:rsidR="004F1A4D" w:rsidRPr="009C75E1" w:rsidRDefault="004F1A4D" w:rsidP="004F1A4D">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4A629AB6" w14:textId="77777777" w:rsidR="004F1A4D" w:rsidRPr="009C75E1" w:rsidRDefault="004F1A4D" w:rsidP="004F1A4D">
            <w:pPr>
              <w:keepNext/>
              <w:keepLines/>
              <w:jc w:val="center"/>
              <w:rPr>
                <w:rFonts w:ascii="Arial" w:hAnsi="Arial" w:cs="Arial"/>
                <w:sz w:val="20"/>
                <w:szCs w:val="20"/>
              </w:rPr>
            </w:pPr>
            <w:r>
              <w:rPr>
                <w:rFonts w:ascii="Arial" w:hAnsi="Arial" w:cs="Arial"/>
                <w:sz w:val="20"/>
                <w:szCs w:val="20"/>
              </w:rPr>
              <w:t>1.1%</w:t>
            </w:r>
          </w:p>
        </w:tc>
        <w:tc>
          <w:tcPr>
            <w:tcW w:w="1772" w:type="dxa"/>
            <w:shd w:val="clear" w:color="auto" w:fill="auto"/>
          </w:tcPr>
          <w:p w14:paraId="43D611A8" w14:textId="06F16C77" w:rsidR="004F1A4D" w:rsidRPr="009C75E1" w:rsidRDefault="004F1A4D" w:rsidP="004F1A4D">
            <w:pPr>
              <w:keepNext/>
              <w:keepLines/>
              <w:jc w:val="center"/>
              <w:rPr>
                <w:rFonts w:ascii="Arial" w:hAnsi="Arial" w:cs="Arial"/>
                <w:sz w:val="20"/>
                <w:szCs w:val="20"/>
              </w:rPr>
            </w:pPr>
            <w:r>
              <w:rPr>
                <w:rFonts w:ascii="Arial" w:hAnsi="Arial" w:cs="Arial"/>
                <w:sz w:val="20"/>
                <w:szCs w:val="20"/>
              </w:rPr>
              <w:t>1.1%</w:t>
            </w:r>
          </w:p>
        </w:tc>
      </w:tr>
    </w:tbl>
    <w:p w14:paraId="19DBDFAD" w14:textId="77777777" w:rsidR="008D4A3E" w:rsidRDefault="008D4A3E" w:rsidP="008D4A3E"/>
    <w:p w14:paraId="2320BC94" w14:textId="2236AB03" w:rsidR="008D4A3E" w:rsidRDefault="008D4A3E" w:rsidP="008D4A3E">
      <w:r>
        <w:fldChar w:fldCharType="begin"/>
      </w:r>
      <w:r>
        <w:instrText xml:space="preserve"> REF _Ref507077959 \h </w:instrText>
      </w:r>
      <w:r>
        <w:fldChar w:fldCharType="separate"/>
      </w:r>
      <w:r w:rsidR="005D5C7C">
        <w:t xml:space="preserve">Table </w:t>
      </w:r>
      <w:r w:rsidR="005D5C7C">
        <w:rPr>
          <w:noProof/>
        </w:rPr>
        <w:t>3</w:t>
      </w:r>
      <w:r w:rsidR="005D5C7C">
        <w:t>.</w:t>
      </w:r>
      <w:r w:rsidR="005D5C7C">
        <w:rPr>
          <w:noProof/>
        </w:rPr>
        <w:t>26</w:t>
      </w:r>
      <w:r>
        <w:fldChar w:fldCharType="end"/>
      </w:r>
      <w:r>
        <w:t xml:space="preserve"> documents the various potential sources of differences between the </w:t>
      </w:r>
      <w:r w:rsidRPr="002A342D">
        <w:rPr>
          <w:i/>
        </w:rPr>
        <w:t>ex-post</w:t>
      </w:r>
      <w:r>
        <w:t xml:space="preserve"> and </w:t>
      </w:r>
      <w:r w:rsidRPr="002A342D">
        <w:rPr>
          <w:i/>
        </w:rPr>
        <w:t>ex-ante</w:t>
      </w:r>
      <w:r>
        <w:t xml:space="preserve"> load impacts. </w:t>
      </w:r>
      <w:r w:rsidR="00CA02A5">
        <w:t>As stated above, the expected increase in customer enrollment is the primary driver of the forecast increase in the aggregate load impact.</w:t>
      </w:r>
    </w:p>
    <w:p w14:paraId="39EF2D3E" w14:textId="77777777" w:rsidR="008D4A3E" w:rsidRDefault="008D4A3E" w:rsidP="008D4A3E"/>
    <w:p w14:paraId="27A77532" w14:textId="49CC2D17" w:rsidR="008D4A3E" w:rsidRDefault="008D4A3E" w:rsidP="008D4A3E">
      <w:pPr>
        <w:pStyle w:val="TableCaption"/>
      </w:pPr>
      <w:bookmarkStart w:id="270" w:name="_Ref507077959"/>
      <w:bookmarkStart w:id="271" w:name="_Toc507081218"/>
      <w:bookmarkStart w:id="272" w:name="_Toc509837383"/>
      <w:r>
        <w:lastRenderedPageBreak/>
        <w:t xml:space="preserve">Table </w:t>
      </w:r>
      <w:fldSimple w:instr=" STYLEREF 1 \s ">
        <w:r w:rsidR="005D5C7C">
          <w:rPr>
            <w:noProof/>
          </w:rPr>
          <w:t>3</w:t>
        </w:r>
      </w:fldSimple>
      <w:r w:rsidR="0069714C">
        <w:t>.</w:t>
      </w:r>
      <w:fldSimple w:instr=" SEQ Table \* ARABIC \s 1 ">
        <w:r w:rsidR="005D5C7C">
          <w:rPr>
            <w:noProof/>
          </w:rPr>
          <w:t>26</w:t>
        </w:r>
      </w:fldSimple>
      <w:bookmarkEnd w:id="270"/>
      <w:r w:rsidRPr="00726438">
        <w:t>:</w:t>
      </w:r>
      <w:r>
        <w:t xml:space="preserve"> Comparison of </w:t>
      </w:r>
      <w:r>
        <w:rPr>
          <w:i/>
        </w:rPr>
        <w:t>Ex-Post</w:t>
      </w:r>
      <w:r w:rsidRPr="00726438">
        <w:t xml:space="preserve"> </w:t>
      </w:r>
      <w:r>
        <w:t xml:space="preserve">and </w:t>
      </w:r>
      <w:r>
        <w:rPr>
          <w:i/>
        </w:rPr>
        <w:t>Ex-Ante</w:t>
      </w:r>
      <w:r>
        <w:t xml:space="preserve"> Factors</w:t>
      </w:r>
      <w:bookmarkEnd w:id="271"/>
      <w:bookmarkEnd w:id="272"/>
    </w:p>
    <w:tbl>
      <w:tblPr>
        <w:tblW w:w="9452" w:type="dxa"/>
        <w:jc w:val="center"/>
        <w:tblLook w:val="04A0" w:firstRow="1" w:lastRow="0" w:firstColumn="1" w:lastColumn="0" w:noHBand="0" w:noVBand="1"/>
      </w:tblPr>
      <w:tblGrid>
        <w:gridCol w:w="1518"/>
        <w:gridCol w:w="3028"/>
        <w:gridCol w:w="2340"/>
        <w:gridCol w:w="2566"/>
      </w:tblGrid>
      <w:tr w:rsidR="008D4A3E" w:rsidRPr="008E5D4C" w14:paraId="1226D34E" w14:textId="77777777" w:rsidTr="003C7443">
        <w:trPr>
          <w:trHeight w:val="510"/>
          <w:jc w:val="center"/>
        </w:trPr>
        <w:tc>
          <w:tcPr>
            <w:tcW w:w="1518" w:type="dxa"/>
            <w:tcBorders>
              <w:top w:val="single" w:sz="4" w:space="0" w:color="auto"/>
              <w:left w:val="single" w:sz="4" w:space="0" w:color="auto"/>
              <w:bottom w:val="single" w:sz="4" w:space="0" w:color="auto"/>
              <w:right w:val="single" w:sz="4" w:space="0" w:color="FFFFFF"/>
            </w:tcBorders>
            <w:shd w:val="clear" w:color="auto" w:fill="0C2577"/>
            <w:vAlign w:val="center"/>
            <w:hideMark/>
          </w:tcPr>
          <w:p w14:paraId="5E47D88D" w14:textId="77777777" w:rsidR="008D4A3E" w:rsidRPr="008E5D4C" w:rsidRDefault="008D4A3E" w:rsidP="003C7443">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054B8DD1" w14:textId="77777777" w:rsidR="008D4A3E" w:rsidRPr="008E5D4C" w:rsidRDefault="008D4A3E" w:rsidP="003C7443">
            <w:pPr>
              <w:pStyle w:val="TableHeader"/>
              <w:keepNext/>
              <w:keepLines/>
              <w:rPr>
                <w:color w:val="auto"/>
                <w:szCs w:val="20"/>
              </w:rPr>
            </w:pPr>
            <w:r>
              <w:rPr>
                <w:i/>
                <w:color w:val="auto"/>
                <w:szCs w:val="20"/>
              </w:rPr>
              <w:t>Ex-Post</w:t>
            </w:r>
          </w:p>
        </w:tc>
        <w:tc>
          <w:tcPr>
            <w:tcW w:w="2340"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3E8C3051" w14:textId="77777777" w:rsidR="008D4A3E" w:rsidRPr="008E5D4C" w:rsidRDefault="008D4A3E" w:rsidP="003C7443">
            <w:pPr>
              <w:pStyle w:val="TableHeader"/>
              <w:keepNext/>
              <w:keepLines/>
              <w:rPr>
                <w:color w:val="auto"/>
                <w:szCs w:val="20"/>
              </w:rPr>
            </w:pPr>
            <w:r>
              <w:rPr>
                <w:i/>
                <w:color w:val="auto"/>
                <w:szCs w:val="20"/>
              </w:rPr>
              <w:t>Ex-Ante</w:t>
            </w:r>
          </w:p>
        </w:tc>
        <w:tc>
          <w:tcPr>
            <w:tcW w:w="2566" w:type="dxa"/>
            <w:tcBorders>
              <w:top w:val="single" w:sz="4" w:space="0" w:color="auto"/>
              <w:left w:val="single" w:sz="4" w:space="0" w:color="FFFFFF"/>
              <w:bottom w:val="single" w:sz="4" w:space="0" w:color="auto"/>
              <w:right w:val="single" w:sz="4" w:space="0" w:color="auto"/>
            </w:tcBorders>
            <w:shd w:val="clear" w:color="auto" w:fill="0C2577"/>
            <w:vAlign w:val="center"/>
            <w:hideMark/>
          </w:tcPr>
          <w:p w14:paraId="23265F68" w14:textId="77777777" w:rsidR="008D4A3E" w:rsidRPr="008E5D4C" w:rsidRDefault="008D4A3E" w:rsidP="003C7443">
            <w:pPr>
              <w:pStyle w:val="TableHeader"/>
              <w:keepNext/>
              <w:keepLines/>
              <w:rPr>
                <w:color w:val="auto"/>
                <w:szCs w:val="20"/>
              </w:rPr>
            </w:pPr>
            <w:r w:rsidRPr="008E5D4C">
              <w:rPr>
                <w:color w:val="auto"/>
                <w:szCs w:val="20"/>
              </w:rPr>
              <w:t>Expected Impact</w:t>
            </w:r>
          </w:p>
        </w:tc>
      </w:tr>
      <w:tr w:rsidR="008D4A3E" w:rsidRPr="007F356D" w14:paraId="43F68134" w14:textId="77777777" w:rsidTr="003C7443">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7685057D" w14:textId="77777777" w:rsidR="008D4A3E" w:rsidRPr="008E5D4C" w:rsidRDefault="008D4A3E" w:rsidP="003C7443">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6830886A" w14:textId="77777777" w:rsidR="008D4A3E" w:rsidRPr="008E5D4C" w:rsidRDefault="008D4A3E" w:rsidP="003C7443">
            <w:pPr>
              <w:pStyle w:val="TableText"/>
              <w:keepNext/>
              <w:keepLines/>
              <w:spacing w:after="120"/>
              <w:jc w:val="left"/>
              <w:rPr>
                <w:rFonts w:cs="Calibri"/>
                <w:sz w:val="20"/>
                <w:szCs w:val="20"/>
              </w:rPr>
            </w:pPr>
            <w:r>
              <w:rPr>
                <w:rFonts w:cs="Calibri"/>
                <w:sz w:val="20"/>
                <w:szCs w:val="20"/>
              </w:rPr>
              <w:t xml:space="preserve">Average event-hour temperature of 94.5 </w:t>
            </w:r>
            <w:r>
              <w:rPr>
                <w:rFonts w:cs="Arial"/>
                <w:sz w:val="20"/>
                <w:szCs w:val="20"/>
              </w:rPr>
              <w:t>°</w:t>
            </w:r>
            <w:r>
              <w:rPr>
                <w:rFonts w:cs="Calibri"/>
                <w:sz w:val="20"/>
                <w:szCs w:val="20"/>
              </w:rPr>
              <w:t>F during the average event day.</w:t>
            </w:r>
          </w:p>
        </w:tc>
        <w:tc>
          <w:tcPr>
            <w:tcW w:w="2340" w:type="dxa"/>
            <w:tcBorders>
              <w:top w:val="single" w:sz="4" w:space="0" w:color="auto"/>
              <w:left w:val="nil"/>
              <w:bottom w:val="single" w:sz="4" w:space="0" w:color="auto"/>
              <w:right w:val="single" w:sz="4" w:space="0" w:color="auto"/>
            </w:tcBorders>
            <w:shd w:val="clear" w:color="000000" w:fill="FFFFFF"/>
          </w:tcPr>
          <w:p w14:paraId="28EE3C07" w14:textId="77777777" w:rsidR="008D4A3E" w:rsidRPr="008E5D4C" w:rsidRDefault="008D4A3E" w:rsidP="003C7443">
            <w:pPr>
              <w:pStyle w:val="TableText"/>
              <w:keepNext/>
              <w:keepLines/>
              <w:jc w:val="left"/>
              <w:rPr>
                <w:sz w:val="20"/>
                <w:szCs w:val="20"/>
              </w:rPr>
            </w:pPr>
            <w:r>
              <w:rPr>
                <w:rFonts w:cs="Calibri"/>
                <w:sz w:val="20"/>
                <w:szCs w:val="20"/>
              </w:rPr>
              <w:t xml:space="preserve">Average event-hour temperature of 92.5 </w:t>
            </w:r>
            <w:r>
              <w:rPr>
                <w:rFonts w:cs="Arial"/>
                <w:sz w:val="20"/>
                <w:szCs w:val="20"/>
              </w:rPr>
              <w:t>°</w:t>
            </w:r>
            <w:r>
              <w:rPr>
                <w:rFonts w:cs="Calibri"/>
                <w:sz w:val="20"/>
                <w:szCs w:val="20"/>
              </w:rPr>
              <w:t>F during the PG&amp;E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56819323" w14:textId="77777777" w:rsidR="008D4A3E" w:rsidRPr="008E5D4C" w:rsidRDefault="008D4A3E" w:rsidP="003C7443">
            <w:pPr>
              <w:pStyle w:val="TableText"/>
              <w:keepNext/>
              <w:keepLines/>
              <w:jc w:val="left"/>
              <w:rPr>
                <w:sz w:val="20"/>
                <w:szCs w:val="20"/>
              </w:rPr>
            </w:pPr>
            <w:r>
              <w:rPr>
                <w:sz w:val="20"/>
                <w:szCs w:val="20"/>
              </w:rPr>
              <w:t xml:space="preserve">Slightly higher </w:t>
            </w:r>
            <w:r w:rsidRPr="0044495E">
              <w:rPr>
                <w:i/>
                <w:sz w:val="20"/>
                <w:szCs w:val="20"/>
              </w:rPr>
              <w:t>ex-post</w:t>
            </w:r>
            <w:r>
              <w:rPr>
                <w:sz w:val="20"/>
                <w:szCs w:val="20"/>
              </w:rPr>
              <w:t xml:space="preserve"> temperatures may have increased the per-customer load impact (</w:t>
            </w:r>
            <w:r w:rsidRPr="0044495E">
              <w:rPr>
                <w:i/>
                <w:sz w:val="20"/>
                <w:szCs w:val="20"/>
              </w:rPr>
              <w:t>ceteris paribus</w:t>
            </w:r>
            <w:r>
              <w:rPr>
                <w:sz w:val="20"/>
                <w:szCs w:val="20"/>
              </w:rPr>
              <w:t>).</w:t>
            </w:r>
          </w:p>
        </w:tc>
      </w:tr>
      <w:tr w:rsidR="008D4A3E" w:rsidRPr="007F356D" w14:paraId="478A1368"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62C77969" w14:textId="77777777" w:rsidR="008D4A3E" w:rsidRPr="008E5D4C" w:rsidRDefault="008D4A3E" w:rsidP="003C7443">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1989A2F7" w14:textId="77777777" w:rsidR="008D4A3E" w:rsidRPr="008E5D4C" w:rsidRDefault="008D4A3E" w:rsidP="003C7443">
            <w:pPr>
              <w:pStyle w:val="TableText"/>
              <w:keepNext/>
              <w:keepLines/>
              <w:jc w:val="left"/>
              <w:rPr>
                <w:rFonts w:cs="Calibri"/>
                <w:sz w:val="20"/>
                <w:szCs w:val="20"/>
              </w:rPr>
            </w:pPr>
            <w:r>
              <w:rPr>
                <w:rFonts w:cs="Calibri"/>
                <w:sz w:val="20"/>
                <w:szCs w:val="20"/>
              </w:rPr>
              <w:t>Hours-ending 15 through 18.</w:t>
            </w:r>
          </w:p>
        </w:tc>
        <w:tc>
          <w:tcPr>
            <w:tcW w:w="2340" w:type="dxa"/>
            <w:tcBorders>
              <w:top w:val="nil"/>
              <w:left w:val="nil"/>
              <w:bottom w:val="single" w:sz="4" w:space="0" w:color="auto"/>
              <w:right w:val="single" w:sz="4" w:space="0" w:color="auto"/>
            </w:tcBorders>
            <w:shd w:val="clear" w:color="000000" w:fill="FFFFFF"/>
          </w:tcPr>
          <w:p w14:paraId="503D8DD5" w14:textId="77777777" w:rsidR="008D4A3E" w:rsidRPr="008E5D4C" w:rsidRDefault="008D4A3E" w:rsidP="003C7443">
            <w:pPr>
              <w:pStyle w:val="TableText"/>
              <w:keepNext/>
              <w:keepLines/>
              <w:jc w:val="left"/>
              <w:rPr>
                <w:sz w:val="20"/>
                <w:szCs w:val="20"/>
              </w:rPr>
            </w:pPr>
            <w:r>
              <w:rPr>
                <w:rFonts w:cs="Calibri"/>
                <w:sz w:val="20"/>
                <w:szCs w:val="20"/>
              </w:rPr>
              <w:t>Hours-ending 15 through 18.</w:t>
            </w:r>
          </w:p>
        </w:tc>
        <w:tc>
          <w:tcPr>
            <w:tcW w:w="2566" w:type="dxa"/>
            <w:tcBorders>
              <w:top w:val="nil"/>
              <w:left w:val="nil"/>
              <w:bottom w:val="single" w:sz="4" w:space="0" w:color="auto"/>
              <w:right w:val="single" w:sz="4" w:space="0" w:color="auto"/>
            </w:tcBorders>
            <w:shd w:val="clear" w:color="000000" w:fill="FFFFFF"/>
          </w:tcPr>
          <w:p w14:paraId="647715BE" w14:textId="77777777" w:rsidR="008D4A3E" w:rsidRPr="008E5D4C" w:rsidRDefault="008D4A3E" w:rsidP="003C7443">
            <w:pPr>
              <w:pStyle w:val="TableText"/>
              <w:keepNext/>
              <w:keepLines/>
              <w:jc w:val="left"/>
              <w:rPr>
                <w:sz w:val="20"/>
                <w:szCs w:val="20"/>
              </w:rPr>
            </w:pPr>
            <w:r>
              <w:rPr>
                <w:sz w:val="20"/>
                <w:szCs w:val="20"/>
              </w:rPr>
              <w:t xml:space="preserve">None, though </w:t>
            </w:r>
            <w:r w:rsidRPr="00061085">
              <w:rPr>
                <w:i/>
                <w:sz w:val="20"/>
                <w:szCs w:val="20"/>
              </w:rPr>
              <w:t>ex-ante</w:t>
            </w:r>
            <w:r>
              <w:rPr>
                <w:sz w:val="20"/>
                <w:szCs w:val="20"/>
              </w:rPr>
              <w:t xml:space="preserve"> load impact summaries for the Resource Adequacy window will be lower because they include non-event hours (HE 14 from Apr. to Oct.; HE 19-21 from Nov. to Mar.)</w:t>
            </w:r>
          </w:p>
        </w:tc>
      </w:tr>
      <w:tr w:rsidR="008D4A3E" w:rsidRPr="007F356D" w14:paraId="548DEC15"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17176083" w14:textId="77777777" w:rsidR="008D4A3E" w:rsidRPr="008E5D4C" w:rsidRDefault="008D4A3E" w:rsidP="003C7443">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76DE525C" w14:textId="77777777" w:rsidR="008D4A3E" w:rsidRPr="008E5D4C" w:rsidRDefault="008D4A3E" w:rsidP="003C7443">
            <w:pPr>
              <w:pStyle w:val="TableText"/>
              <w:keepNext/>
              <w:keepLines/>
              <w:jc w:val="left"/>
              <w:rPr>
                <w:rFonts w:cs="Calibri"/>
                <w:sz w:val="20"/>
                <w:szCs w:val="20"/>
              </w:rPr>
            </w:pPr>
            <w:r>
              <w:rPr>
                <w:rFonts w:cs="Calibri"/>
                <w:sz w:val="20"/>
                <w:szCs w:val="20"/>
              </w:rPr>
              <w:t>100 percent</w:t>
            </w:r>
          </w:p>
        </w:tc>
        <w:tc>
          <w:tcPr>
            <w:tcW w:w="2340" w:type="dxa"/>
            <w:tcBorders>
              <w:top w:val="nil"/>
              <w:left w:val="nil"/>
              <w:bottom w:val="single" w:sz="4" w:space="0" w:color="auto"/>
              <w:right w:val="single" w:sz="4" w:space="0" w:color="auto"/>
            </w:tcBorders>
            <w:shd w:val="clear" w:color="000000" w:fill="FFFFFF"/>
          </w:tcPr>
          <w:p w14:paraId="4A0A8C48" w14:textId="77777777" w:rsidR="008D4A3E" w:rsidRPr="008E5D4C" w:rsidRDefault="008D4A3E" w:rsidP="003C7443">
            <w:pPr>
              <w:pStyle w:val="TableText"/>
              <w:keepNext/>
              <w:keepLines/>
              <w:jc w:val="left"/>
              <w:rPr>
                <w:sz w:val="20"/>
                <w:szCs w:val="20"/>
              </w:rPr>
            </w:pPr>
            <w:r>
              <w:rPr>
                <w:sz w:val="20"/>
                <w:szCs w:val="20"/>
              </w:rPr>
              <w:t>100 percent</w:t>
            </w:r>
          </w:p>
        </w:tc>
        <w:tc>
          <w:tcPr>
            <w:tcW w:w="2566" w:type="dxa"/>
            <w:tcBorders>
              <w:top w:val="nil"/>
              <w:left w:val="nil"/>
              <w:bottom w:val="single" w:sz="4" w:space="0" w:color="auto"/>
              <w:right w:val="single" w:sz="4" w:space="0" w:color="auto"/>
            </w:tcBorders>
            <w:shd w:val="clear" w:color="000000" w:fill="FFFFFF"/>
          </w:tcPr>
          <w:p w14:paraId="11B47F8D" w14:textId="77777777" w:rsidR="008D4A3E" w:rsidRPr="008E5D4C" w:rsidRDefault="008D4A3E" w:rsidP="003C7443">
            <w:pPr>
              <w:pStyle w:val="TableText"/>
              <w:keepNext/>
              <w:keepLines/>
              <w:jc w:val="left"/>
              <w:rPr>
                <w:sz w:val="20"/>
                <w:szCs w:val="20"/>
              </w:rPr>
            </w:pPr>
            <w:r>
              <w:rPr>
                <w:sz w:val="20"/>
                <w:szCs w:val="20"/>
              </w:rPr>
              <w:t>None.</w:t>
            </w:r>
          </w:p>
        </w:tc>
      </w:tr>
      <w:tr w:rsidR="008D4A3E" w:rsidRPr="007F356D" w14:paraId="5F713738"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63A6D3BE" w14:textId="77777777" w:rsidR="008D4A3E" w:rsidRPr="008E5D4C" w:rsidRDefault="008D4A3E" w:rsidP="003C7443">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1216125E" w14:textId="77777777" w:rsidR="008D4A3E" w:rsidRPr="008E5D4C" w:rsidRDefault="008D4A3E" w:rsidP="003C7443">
            <w:pPr>
              <w:pStyle w:val="TableText"/>
              <w:keepNext/>
              <w:keepLines/>
              <w:jc w:val="left"/>
              <w:rPr>
                <w:rFonts w:cs="Calibri"/>
                <w:sz w:val="20"/>
                <w:szCs w:val="20"/>
              </w:rPr>
            </w:pPr>
            <w:r>
              <w:rPr>
                <w:rFonts w:cs="Calibri"/>
                <w:sz w:val="20"/>
                <w:szCs w:val="20"/>
              </w:rPr>
              <w:t>203,183 service accounts.</w:t>
            </w:r>
          </w:p>
        </w:tc>
        <w:tc>
          <w:tcPr>
            <w:tcW w:w="2340" w:type="dxa"/>
            <w:tcBorders>
              <w:top w:val="nil"/>
              <w:left w:val="nil"/>
              <w:bottom w:val="single" w:sz="4" w:space="0" w:color="auto"/>
              <w:right w:val="single" w:sz="4" w:space="0" w:color="auto"/>
            </w:tcBorders>
            <w:shd w:val="clear" w:color="000000" w:fill="FFFFFF"/>
          </w:tcPr>
          <w:p w14:paraId="73CB5AAA" w14:textId="45FFC6E5" w:rsidR="008D4A3E" w:rsidRPr="008E5D4C" w:rsidRDefault="008D4A3E" w:rsidP="003C7443">
            <w:pPr>
              <w:pStyle w:val="TableText"/>
              <w:keepNext/>
              <w:keepLines/>
              <w:jc w:val="left"/>
              <w:rPr>
                <w:sz w:val="20"/>
                <w:szCs w:val="20"/>
              </w:rPr>
            </w:pPr>
            <w:r>
              <w:rPr>
                <w:sz w:val="20"/>
                <w:szCs w:val="20"/>
              </w:rPr>
              <w:t>235,</w:t>
            </w:r>
            <w:r w:rsidR="004F1A4D">
              <w:rPr>
                <w:sz w:val="20"/>
                <w:szCs w:val="20"/>
              </w:rPr>
              <w:t>093</w:t>
            </w:r>
            <w:r>
              <w:rPr>
                <w:sz w:val="20"/>
                <w:szCs w:val="20"/>
              </w:rPr>
              <w:t xml:space="preserve"> service accounts.</w:t>
            </w:r>
          </w:p>
        </w:tc>
        <w:tc>
          <w:tcPr>
            <w:tcW w:w="2566" w:type="dxa"/>
            <w:tcBorders>
              <w:top w:val="nil"/>
              <w:left w:val="nil"/>
              <w:bottom w:val="single" w:sz="4" w:space="0" w:color="auto"/>
              <w:right w:val="single" w:sz="4" w:space="0" w:color="auto"/>
            </w:tcBorders>
            <w:shd w:val="clear" w:color="000000" w:fill="FFFFFF"/>
          </w:tcPr>
          <w:p w14:paraId="5B6226A4" w14:textId="77777777" w:rsidR="008D4A3E" w:rsidRPr="00866CCC" w:rsidRDefault="008D4A3E" w:rsidP="003C7443">
            <w:pPr>
              <w:pStyle w:val="TableText"/>
              <w:keepNext/>
              <w:keepLines/>
              <w:jc w:val="left"/>
              <w:rPr>
                <w:sz w:val="20"/>
                <w:szCs w:val="20"/>
                <w:highlight w:val="yellow"/>
              </w:rPr>
            </w:pPr>
            <w:r w:rsidRPr="0044495E">
              <w:rPr>
                <w:sz w:val="20"/>
                <w:szCs w:val="20"/>
              </w:rPr>
              <w:t xml:space="preserve">Higher </w:t>
            </w:r>
            <w:r w:rsidRPr="0054538A">
              <w:rPr>
                <w:i/>
                <w:sz w:val="20"/>
                <w:szCs w:val="20"/>
              </w:rPr>
              <w:t>ex-ante</w:t>
            </w:r>
            <w:r w:rsidRPr="0044495E">
              <w:rPr>
                <w:sz w:val="20"/>
                <w:szCs w:val="20"/>
              </w:rPr>
              <w:t xml:space="preserve"> enrollment</w:t>
            </w:r>
            <w:r>
              <w:rPr>
                <w:sz w:val="20"/>
                <w:szCs w:val="20"/>
              </w:rPr>
              <w:t xml:space="preserve"> leads to higher aggregate load impact. </w:t>
            </w:r>
          </w:p>
        </w:tc>
      </w:tr>
      <w:tr w:rsidR="008D4A3E" w:rsidRPr="007F356D" w14:paraId="182DE861"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156050CA" w14:textId="77777777" w:rsidR="008D4A3E" w:rsidRPr="008E5D4C" w:rsidRDefault="008D4A3E" w:rsidP="003C7443">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2B080903" w14:textId="77777777" w:rsidR="008D4A3E" w:rsidRPr="008E5D4C" w:rsidRDefault="008D4A3E" w:rsidP="003C7443">
            <w:pPr>
              <w:pStyle w:val="TableText"/>
              <w:keepNext/>
              <w:keepLines/>
              <w:spacing w:after="120"/>
              <w:jc w:val="left"/>
              <w:rPr>
                <w:rFonts w:cs="Calibri"/>
                <w:sz w:val="20"/>
                <w:szCs w:val="20"/>
              </w:rPr>
            </w:pPr>
            <w:r>
              <w:rPr>
                <w:rFonts w:cs="Calibri"/>
                <w:sz w:val="20"/>
                <w:szCs w:val="20"/>
              </w:rPr>
              <w:t>Panel models by size and LCA with fixed customer and date effects and a matched control-group of non-participants.</w:t>
            </w:r>
          </w:p>
        </w:tc>
        <w:tc>
          <w:tcPr>
            <w:tcW w:w="2340" w:type="dxa"/>
            <w:tcBorders>
              <w:top w:val="nil"/>
              <w:left w:val="nil"/>
              <w:bottom w:val="single" w:sz="4" w:space="0" w:color="auto"/>
              <w:right w:val="single" w:sz="4" w:space="0" w:color="auto"/>
            </w:tcBorders>
            <w:shd w:val="clear" w:color="000000" w:fill="FFFFFF"/>
          </w:tcPr>
          <w:p w14:paraId="6E4E7155" w14:textId="77777777" w:rsidR="008D4A3E" w:rsidRPr="008E5D4C" w:rsidRDefault="008D4A3E" w:rsidP="003C7443">
            <w:pPr>
              <w:pStyle w:val="TableText"/>
              <w:keepNext/>
              <w:keepLines/>
              <w:jc w:val="left"/>
              <w:rPr>
                <w:sz w:val="20"/>
                <w:szCs w:val="20"/>
              </w:rPr>
            </w:pPr>
            <w:r>
              <w:rPr>
                <w:sz w:val="20"/>
                <w:szCs w:val="20"/>
              </w:rPr>
              <w:t xml:space="preserve">Simulated size- and LCA-specific reference loads by LCA from a representative sample of customers. Then applied percentage load impacts derived from the </w:t>
            </w:r>
            <w:r w:rsidRPr="000C58FA">
              <w:rPr>
                <w:i/>
                <w:sz w:val="20"/>
                <w:szCs w:val="20"/>
              </w:rPr>
              <w:t>ex-post</w:t>
            </w:r>
            <w:r>
              <w:rPr>
                <w:sz w:val="20"/>
                <w:szCs w:val="20"/>
              </w:rPr>
              <w:t xml:space="preserve"> analysis, excluding the weekend event day.</w:t>
            </w:r>
          </w:p>
        </w:tc>
        <w:tc>
          <w:tcPr>
            <w:tcW w:w="2566" w:type="dxa"/>
            <w:tcBorders>
              <w:top w:val="nil"/>
              <w:left w:val="nil"/>
              <w:bottom w:val="single" w:sz="4" w:space="0" w:color="auto"/>
              <w:right w:val="single" w:sz="4" w:space="0" w:color="auto"/>
            </w:tcBorders>
            <w:shd w:val="clear" w:color="000000" w:fill="FFFFFF"/>
          </w:tcPr>
          <w:p w14:paraId="525EC164" w14:textId="77777777" w:rsidR="008D4A3E" w:rsidRPr="008E5D4C" w:rsidRDefault="008D4A3E" w:rsidP="003C7443">
            <w:pPr>
              <w:pStyle w:val="TableText"/>
              <w:keepNext/>
              <w:keepLines/>
              <w:jc w:val="left"/>
              <w:rPr>
                <w:sz w:val="20"/>
                <w:szCs w:val="20"/>
              </w:rPr>
            </w:pPr>
            <w:r>
              <w:rPr>
                <w:sz w:val="20"/>
                <w:szCs w:val="20"/>
              </w:rPr>
              <w:t xml:space="preserve">The method is not expected to consistently produce differences between the </w:t>
            </w:r>
            <w:r w:rsidRPr="000C58FA">
              <w:rPr>
                <w:i/>
                <w:sz w:val="20"/>
                <w:szCs w:val="20"/>
              </w:rPr>
              <w:t>ex-post</w:t>
            </w:r>
            <w:r>
              <w:rPr>
                <w:sz w:val="20"/>
                <w:szCs w:val="20"/>
              </w:rPr>
              <w:t xml:space="preserve"> and </w:t>
            </w:r>
            <w:r w:rsidRPr="000C58FA">
              <w:rPr>
                <w:i/>
                <w:sz w:val="20"/>
                <w:szCs w:val="20"/>
              </w:rPr>
              <w:t>ex-ante</w:t>
            </w:r>
            <w:r>
              <w:rPr>
                <w:sz w:val="20"/>
                <w:szCs w:val="20"/>
              </w:rPr>
              <w:t xml:space="preserve"> impacts.</w:t>
            </w:r>
          </w:p>
        </w:tc>
      </w:tr>
      <w:bookmarkEnd w:id="223"/>
    </w:tbl>
    <w:p w14:paraId="34389CEB" w14:textId="77777777" w:rsidR="008D4A3E" w:rsidRDefault="008D4A3E" w:rsidP="008D4A3E">
      <w:pPr>
        <w:spacing w:after="120"/>
        <w:rPr>
          <w:szCs w:val="32"/>
        </w:rPr>
      </w:pPr>
    </w:p>
    <w:p w14:paraId="3A60392F" w14:textId="33808443" w:rsidR="00CB13E9" w:rsidRDefault="00CB13E9" w:rsidP="00CB13E9">
      <w:pPr>
        <w:pStyle w:val="Heading1"/>
        <w:spacing w:before="480" w:after="120"/>
      </w:pPr>
      <w:bookmarkStart w:id="273" w:name="_Toc509837324"/>
      <w:r>
        <w:t>SCE</w:t>
      </w:r>
      <w:bookmarkEnd w:id="224"/>
      <w:bookmarkEnd w:id="273"/>
    </w:p>
    <w:p w14:paraId="187E8ED4" w14:textId="70C85BB3" w:rsidR="00CB13E9" w:rsidRDefault="00CB13E9" w:rsidP="00CB13E9">
      <w:pPr>
        <w:pStyle w:val="Heading2"/>
        <w:spacing w:after="120"/>
      </w:pPr>
      <w:bookmarkStart w:id="274" w:name="_Ref507243836"/>
      <w:bookmarkStart w:id="275" w:name="_Toc509837325"/>
      <w:r>
        <w:t>SCE Ex-Post Load Impacts</w:t>
      </w:r>
      <w:bookmarkEnd w:id="274"/>
      <w:bookmarkEnd w:id="275"/>
    </w:p>
    <w:p w14:paraId="2C6AF90E" w14:textId="77777777" w:rsidR="00685706" w:rsidRDefault="00685706" w:rsidP="00685706">
      <w:r>
        <w:t xml:space="preserve">This section documents the findings from the </w:t>
      </w:r>
      <w:r w:rsidRPr="00863D4E">
        <w:rPr>
          <w:i/>
        </w:rPr>
        <w:t>ex-post</w:t>
      </w:r>
      <w:r>
        <w:t xml:space="preserve"> load impact analysis for SCE. The primary load impact results include estimates of average event-hour load impacts, in aggregate and per-customer, for the typical event day as well as for each individual event. Results for all hours for the typical event day are also illustrated in figures and presented in data tables.</w:t>
      </w:r>
      <w:r w:rsidRPr="003915B7">
        <w:t xml:space="preserve"> </w:t>
      </w:r>
      <w:r w:rsidRPr="00822514">
        <w:t xml:space="preserve">Detailed results for each hour </w:t>
      </w:r>
      <w:r>
        <w:t xml:space="preserve">for each event are available </w:t>
      </w:r>
      <w:r w:rsidRPr="00822514">
        <w:t>in electronic form in Protocol table generators provided along with this report.</w:t>
      </w:r>
    </w:p>
    <w:p w14:paraId="1EE14BFB" w14:textId="77777777" w:rsidR="00685706" w:rsidRDefault="00685706" w:rsidP="00685706"/>
    <w:p w14:paraId="442C9102" w14:textId="46220DFB" w:rsidR="00685706" w:rsidRDefault="00685706" w:rsidP="00685706">
      <w:r>
        <w:t xml:space="preserve">As described in Section </w:t>
      </w:r>
      <w:r>
        <w:fldChar w:fldCharType="begin"/>
      </w:r>
      <w:r>
        <w:instrText xml:space="preserve"> REF _Ref506899729 \n \h </w:instrText>
      </w:r>
      <w:r>
        <w:fldChar w:fldCharType="separate"/>
      </w:r>
      <w:r w:rsidR="005D5C7C">
        <w:t>2</w:t>
      </w:r>
      <w:r>
        <w:fldChar w:fldCharType="end"/>
      </w:r>
      <w:r>
        <w:t>, all results presented in this section are derived from panel fixed-effects regression analyses of hourly data for CPP customers and a match</w:t>
      </w:r>
      <w:r w:rsidR="00C956A6">
        <w:t>ed</w:t>
      </w:r>
      <w:r>
        <w:t xml:space="preserve"> control group. The evaluation of match quality and a discussion thereof is presented in </w:t>
      </w:r>
      <w:r>
        <w:lastRenderedPageBreak/>
        <w:t xml:space="preserve">the appendix. The estimated model is described in Section </w:t>
      </w:r>
      <w:r>
        <w:fldChar w:fldCharType="begin"/>
      </w:r>
      <w:r>
        <w:instrText xml:space="preserve"> REF _Ref506987991 \r \h </w:instrText>
      </w:r>
      <w:r>
        <w:fldChar w:fldCharType="separate"/>
      </w:r>
      <w:r w:rsidR="005D5C7C">
        <w:t>2.1.2</w:t>
      </w:r>
      <w:r>
        <w:fldChar w:fldCharType="end"/>
      </w:r>
      <w:r>
        <w:t xml:space="preserve">, </w:t>
      </w:r>
      <w:r w:rsidR="00C956A6">
        <w:t xml:space="preserve">with the SCE model </w:t>
      </w:r>
      <w:r>
        <w:t>including the morning load variable and the mean temperature for the first 17 hours of each day. Furthermore, we control for concurrent events that are called for other programs, including BIP, CBP, and DRC, by including indicators for customers who are dually enrolled and who are called (or in the case of CBP and DRC, nominated when their aggregator is called) for a given event that occurs during an event or non-event day.</w:t>
      </w:r>
    </w:p>
    <w:p w14:paraId="4A3A0AD2" w14:textId="0D900665" w:rsidR="00CB13E9" w:rsidRDefault="00CB13E9" w:rsidP="00CB13E9">
      <w:pPr>
        <w:pStyle w:val="Heading3"/>
      </w:pPr>
      <w:bookmarkStart w:id="276" w:name="_Toc509837326"/>
      <w:r>
        <w:t>Large Customers</w:t>
      </w:r>
      <w:bookmarkEnd w:id="276"/>
    </w:p>
    <w:p w14:paraId="416E7DF7" w14:textId="1B8D9FD8" w:rsidR="00685706" w:rsidRDefault="00685706" w:rsidP="00685706">
      <w:r>
        <w:t xml:space="preserve">This section summarizes results for all large SCE customers, defined as customers with maximum demand over 200 kW. The presented results include: the average event-hour load impact by event day; the hourly load impact for the average event day; and load impacts by industry group and LCA for the average event hour. Summaries of load impacts for dually enrolled customers, </w:t>
      </w:r>
      <w:proofErr w:type="spellStart"/>
      <w:r>
        <w:t>AutoDR</w:t>
      </w:r>
      <w:proofErr w:type="spellEnd"/>
      <w:r>
        <w:t xml:space="preserve"> customers, and TA/TI customers are presented in subsequent </w:t>
      </w:r>
      <w:r w:rsidR="00E105E9">
        <w:t>sub-</w:t>
      </w:r>
      <w:r>
        <w:t>sections.</w:t>
      </w:r>
    </w:p>
    <w:p w14:paraId="5E635A84" w14:textId="2C1F49E3" w:rsidR="00685706" w:rsidRDefault="00685706" w:rsidP="00685706"/>
    <w:p w14:paraId="72AAF054" w14:textId="6AF38A93" w:rsidR="00D2754C" w:rsidRDefault="00685706" w:rsidP="00685706">
      <w:r>
        <w:t xml:space="preserve">The </w:t>
      </w:r>
      <w:r w:rsidRPr="00685706">
        <w:rPr>
          <w:i/>
        </w:rPr>
        <w:t>ex-post</w:t>
      </w:r>
      <w:r>
        <w:t xml:space="preserve"> load impacts for SCE’s large CPP customers are summarized for all 1</w:t>
      </w:r>
      <w:r w:rsidR="00D2754C">
        <w:t>2</w:t>
      </w:r>
      <w:r>
        <w:t xml:space="preserve"> events in </w:t>
      </w:r>
      <w:r>
        <w:fldChar w:fldCharType="begin"/>
      </w:r>
      <w:r>
        <w:instrText xml:space="preserve"> REF _Ref506988837 \h </w:instrText>
      </w:r>
      <w:r>
        <w:fldChar w:fldCharType="separate"/>
      </w:r>
      <w:r w:rsidR="005D5C7C">
        <w:t xml:space="preserve">Figure </w:t>
      </w:r>
      <w:r w:rsidR="005D5C7C">
        <w:rPr>
          <w:noProof/>
        </w:rPr>
        <w:t>4</w:t>
      </w:r>
      <w:r w:rsidR="005D5C7C">
        <w:t>.</w:t>
      </w:r>
      <w:r w:rsidR="005D5C7C">
        <w:rPr>
          <w:noProof/>
        </w:rPr>
        <w:t>1</w:t>
      </w:r>
      <w:r>
        <w:fldChar w:fldCharType="end"/>
      </w:r>
      <w:r>
        <w:t>. The blue bars indicate the magnitude of the aggregate load impact (in MWh/hour). The green bands correspond to 80 percent confidence intervals around these estimates (</w:t>
      </w:r>
      <w:r w:rsidRPr="00C956A6">
        <w:rPr>
          <w:i/>
        </w:rPr>
        <w:t>i.e.</w:t>
      </w:r>
      <w:r w:rsidR="00C956A6">
        <w:t>,</w:t>
      </w:r>
      <w:r>
        <w:t xml:space="preserve"> the 10</w:t>
      </w:r>
      <w:r w:rsidRPr="00685706">
        <w:rPr>
          <w:vertAlign w:val="superscript"/>
        </w:rPr>
        <w:t>th</w:t>
      </w:r>
      <w:r>
        <w:t xml:space="preserve"> and 90</w:t>
      </w:r>
      <w:r w:rsidRPr="00685706">
        <w:rPr>
          <w:vertAlign w:val="superscript"/>
        </w:rPr>
        <w:t>th</w:t>
      </w:r>
      <w:r>
        <w:t xml:space="preserve"> percentile scenarios from the uncertainty-adjusted load impacts). The orange line represents the average temperatures</w:t>
      </w:r>
      <w:r w:rsidR="00D2754C">
        <w:t xml:space="preserve"> experienced by the customers during the event hours.</w:t>
      </w:r>
    </w:p>
    <w:p w14:paraId="1301850C" w14:textId="77777777" w:rsidR="00D2754C" w:rsidRDefault="00D2754C" w:rsidP="00685706"/>
    <w:p w14:paraId="47624868" w14:textId="2895AD81" w:rsidR="00685706" w:rsidRPr="00686D67" w:rsidRDefault="00D2754C" w:rsidP="00685706">
      <w:r>
        <w:t>These results indicate that large customers</w:t>
      </w:r>
      <w:r w:rsidR="00685706">
        <w:t xml:space="preserve"> </w:t>
      </w:r>
      <w:r>
        <w:t xml:space="preserve">had statistically significant load reductions on each of the 12 event days, ranging from 16 to 29 MWh/hour. The load impact averaged 22 MWh/hour, with 67 percent of the event days having a load impact </w:t>
      </w:r>
      <w:proofErr w:type="gramStart"/>
      <w:r>
        <w:t>in excess of</w:t>
      </w:r>
      <w:proofErr w:type="gramEnd"/>
      <w:r>
        <w:t xml:space="preserve"> 20 MWh/hour. </w:t>
      </w:r>
      <w:r w:rsidR="00A27595">
        <w:fldChar w:fldCharType="begin"/>
      </w:r>
      <w:r w:rsidR="00A27595">
        <w:instrText xml:space="preserve"> REF _Ref506988837 \h </w:instrText>
      </w:r>
      <w:r w:rsidR="00A27595">
        <w:fldChar w:fldCharType="separate"/>
      </w:r>
      <w:r w:rsidR="005D5C7C">
        <w:t xml:space="preserve">Figure </w:t>
      </w:r>
      <w:r w:rsidR="005D5C7C">
        <w:rPr>
          <w:noProof/>
        </w:rPr>
        <w:t>4</w:t>
      </w:r>
      <w:r w:rsidR="005D5C7C">
        <w:t>.</w:t>
      </w:r>
      <w:r w:rsidR="005D5C7C">
        <w:rPr>
          <w:noProof/>
        </w:rPr>
        <w:t>1</w:t>
      </w:r>
      <w:r w:rsidR="00A27595">
        <w:fldChar w:fldCharType="end"/>
      </w:r>
      <w:r w:rsidR="00A27595">
        <w:t xml:space="preserve"> shows some evidence of a relationship between load impacts and average temperatures. The two events with the lowest load impacts (July 27</w:t>
      </w:r>
      <w:r w:rsidR="00A27595" w:rsidRPr="00A27595">
        <w:rPr>
          <w:vertAlign w:val="superscript"/>
        </w:rPr>
        <w:t>th</w:t>
      </w:r>
      <w:r w:rsidR="00A27595">
        <w:t xml:space="preserve"> and July 31</w:t>
      </w:r>
      <w:r w:rsidR="00A27595" w:rsidRPr="00A27595">
        <w:rPr>
          <w:vertAlign w:val="superscript"/>
        </w:rPr>
        <w:t>st</w:t>
      </w:r>
      <w:r w:rsidR="00A27595">
        <w:t xml:space="preserve">) experienced the lower </w:t>
      </w:r>
      <w:r w:rsidR="00C956A6">
        <w:t xml:space="preserve">than </w:t>
      </w:r>
      <w:r w:rsidR="00A27595">
        <w:t>average temperatures (approximately 87 °F on both dates), whiles the event with the highest load impact (August 29</w:t>
      </w:r>
      <w:r w:rsidR="00A27595" w:rsidRPr="00A27595">
        <w:rPr>
          <w:vertAlign w:val="superscript"/>
        </w:rPr>
        <w:t>th</w:t>
      </w:r>
      <w:r w:rsidR="00A27595">
        <w:t xml:space="preserve">) had the highest average temperature for the event days of 96 °F.  </w:t>
      </w:r>
    </w:p>
    <w:p w14:paraId="30622C2A" w14:textId="3EAB758E" w:rsidR="00685706" w:rsidRDefault="00961DCE" w:rsidP="00685706">
      <w:pPr>
        <w:pStyle w:val="FigureCaption"/>
        <w:keepLines/>
        <w:rPr>
          <w:i/>
        </w:rPr>
      </w:pPr>
      <w:bookmarkStart w:id="277" w:name="_Ref506988837"/>
      <w:bookmarkStart w:id="278" w:name="_Toc509837479"/>
      <w:r>
        <w:lastRenderedPageBreak/>
        <w:t xml:space="preserve">Figure </w:t>
      </w:r>
      <w:fldSimple w:instr=" STYLEREF 1 \s ">
        <w:r w:rsidR="005D5C7C">
          <w:rPr>
            <w:noProof/>
          </w:rPr>
          <w:t>4</w:t>
        </w:r>
      </w:fldSimple>
      <w:r w:rsidR="00A11E78">
        <w:t>.</w:t>
      </w:r>
      <w:fldSimple w:instr=" SEQ Figure \* ARABIC \s 1 ">
        <w:r w:rsidR="005D5C7C">
          <w:rPr>
            <w:noProof/>
          </w:rPr>
          <w:t>1</w:t>
        </w:r>
      </w:fldSimple>
      <w:bookmarkEnd w:id="277"/>
      <w:r>
        <w:t xml:space="preserve">: Average Event-Hour Load Impacts by Event, </w:t>
      </w:r>
      <w:r>
        <w:rPr>
          <w:i/>
        </w:rPr>
        <w:t>SCE Large</w:t>
      </w:r>
      <w:bookmarkEnd w:id="278"/>
    </w:p>
    <w:p w14:paraId="5EA2A0D6" w14:textId="0B3EF896" w:rsidR="00F3243D" w:rsidRDefault="00F3243D" w:rsidP="00685706">
      <w:r>
        <w:rPr>
          <w:noProof/>
        </w:rPr>
        <w:drawing>
          <wp:inline distT="0" distB="0" distL="0" distR="0" wp14:anchorId="09D34273" wp14:editId="6A6FABD2">
            <wp:extent cx="5486400" cy="3983990"/>
            <wp:effectExtent l="0" t="0" r="0" b="0"/>
            <wp:docPr id="119" name="Chart 119">
              <a:extLst xmlns:a="http://schemas.openxmlformats.org/drawingml/2006/main">
                <a:ext uri="{FF2B5EF4-FFF2-40B4-BE49-F238E27FC236}">
                  <a16:creationId xmlns:a16="http://schemas.microsoft.com/office/drawing/2014/main" id="{FF6D6E1F-6713-483D-A846-1B3F975B15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17351F7A" w14:textId="681BDE76" w:rsidR="00961DCE" w:rsidRDefault="00961DCE" w:rsidP="00CB13E9">
      <w:pPr>
        <w:spacing w:after="120"/>
        <w:rPr>
          <w:szCs w:val="32"/>
        </w:rPr>
      </w:pPr>
    </w:p>
    <w:p w14:paraId="10325573" w14:textId="5593F990" w:rsidR="00A27595" w:rsidRDefault="00A27595" w:rsidP="00CB13E9">
      <w:pPr>
        <w:spacing w:after="120"/>
        <w:rPr>
          <w:szCs w:val="32"/>
        </w:rPr>
      </w:pPr>
      <w:r>
        <w:rPr>
          <w:szCs w:val="32"/>
        </w:rPr>
        <w:fldChar w:fldCharType="begin"/>
      </w:r>
      <w:r>
        <w:rPr>
          <w:szCs w:val="32"/>
        </w:rPr>
        <w:instrText xml:space="preserve"> REF _Ref506990201 \h </w:instrText>
      </w:r>
      <w:r>
        <w:rPr>
          <w:szCs w:val="32"/>
        </w:rPr>
      </w:r>
      <w:r>
        <w:rPr>
          <w:szCs w:val="32"/>
        </w:rPr>
        <w:fldChar w:fldCharType="separate"/>
      </w:r>
      <w:r w:rsidR="005D5C7C">
        <w:t xml:space="preserve">Table </w:t>
      </w:r>
      <w:r w:rsidR="005D5C7C">
        <w:rPr>
          <w:noProof/>
        </w:rPr>
        <w:t>4</w:t>
      </w:r>
      <w:r w:rsidR="005D5C7C">
        <w:t>.</w:t>
      </w:r>
      <w:r w:rsidR="005D5C7C">
        <w:rPr>
          <w:noProof/>
        </w:rPr>
        <w:t>1</w:t>
      </w:r>
      <w:r>
        <w:rPr>
          <w:szCs w:val="32"/>
        </w:rPr>
        <w:fldChar w:fldCharType="end"/>
      </w:r>
      <w:r>
        <w:rPr>
          <w:szCs w:val="32"/>
        </w:rPr>
        <w:t xml:space="preserve"> summarizes enrollments, average event-hour load impacts, and reference loads for each event day and the average event. There a slight increase in enrolled customers over the course of the season. Estimated load reductions averaged </w:t>
      </w:r>
      <w:r w:rsidR="007A0383">
        <w:rPr>
          <w:szCs w:val="32"/>
        </w:rPr>
        <w:t>10</w:t>
      </w:r>
      <w:r>
        <w:rPr>
          <w:szCs w:val="32"/>
        </w:rPr>
        <w:t xml:space="preserve"> kWh/hour/customer across event days, which amounts to a </w:t>
      </w:r>
      <w:r w:rsidR="007A0383">
        <w:rPr>
          <w:szCs w:val="32"/>
        </w:rPr>
        <w:t>4</w:t>
      </w:r>
      <w:r>
        <w:rPr>
          <w:szCs w:val="32"/>
        </w:rPr>
        <w:t xml:space="preserve"> percent load reduction. </w:t>
      </w:r>
    </w:p>
    <w:p w14:paraId="5FE13A8E" w14:textId="613B3FE5" w:rsidR="002E5631" w:rsidRDefault="002E5631" w:rsidP="002E5631">
      <w:pPr>
        <w:pStyle w:val="TableCaption"/>
      </w:pPr>
      <w:bookmarkStart w:id="279" w:name="_Ref506990201"/>
      <w:bookmarkStart w:id="280" w:name="_Toc509837384"/>
      <w:r>
        <w:lastRenderedPageBreak/>
        <w:t xml:space="preserve">Table </w:t>
      </w:r>
      <w:fldSimple w:instr=" STYLEREF 1 \s ">
        <w:r w:rsidR="005D5C7C">
          <w:rPr>
            <w:noProof/>
          </w:rPr>
          <w:t>4</w:t>
        </w:r>
      </w:fldSimple>
      <w:r w:rsidR="0069714C">
        <w:t>.</w:t>
      </w:r>
      <w:fldSimple w:instr=" SEQ Table \* ARABIC \s 1 ">
        <w:r w:rsidR="005D5C7C">
          <w:rPr>
            <w:noProof/>
          </w:rPr>
          <w:t>1</w:t>
        </w:r>
      </w:fldSimple>
      <w:bookmarkEnd w:id="279"/>
      <w:r>
        <w:t>:</w:t>
      </w:r>
      <w:r w:rsidRPr="002E5631">
        <w:t xml:space="preserve"> </w:t>
      </w:r>
      <w:r>
        <w:t xml:space="preserve">Average Event-Hour Load Impacts by Event, </w:t>
      </w:r>
      <w:r>
        <w:rPr>
          <w:i/>
        </w:rPr>
        <w:t>SC</w:t>
      </w:r>
      <w:r w:rsidRPr="00283F52">
        <w:rPr>
          <w:i/>
        </w:rPr>
        <w:t xml:space="preserve">E </w:t>
      </w:r>
      <w:r>
        <w:rPr>
          <w:i/>
        </w:rPr>
        <w:t>Large</w:t>
      </w:r>
      <w:bookmarkEnd w:id="280"/>
    </w:p>
    <w:tbl>
      <w:tblPr>
        <w:tblW w:w="8478" w:type="dxa"/>
        <w:jc w:val="center"/>
        <w:tblLook w:val="04A0" w:firstRow="1" w:lastRow="0" w:firstColumn="1" w:lastColumn="0" w:noHBand="0" w:noVBand="1"/>
      </w:tblPr>
      <w:tblGrid>
        <w:gridCol w:w="1980"/>
        <w:gridCol w:w="1080"/>
        <w:gridCol w:w="972"/>
        <w:gridCol w:w="864"/>
        <w:gridCol w:w="988"/>
        <w:gridCol w:w="861"/>
        <w:gridCol w:w="898"/>
        <w:gridCol w:w="835"/>
      </w:tblGrid>
      <w:tr w:rsidR="00697C02" w:rsidRPr="003B78F6" w14:paraId="3F1BC8FE" w14:textId="77777777" w:rsidTr="00F42180">
        <w:trPr>
          <w:trHeight w:val="300"/>
          <w:jc w:val="center"/>
        </w:trPr>
        <w:tc>
          <w:tcPr>
            <w:tcW w:w="1980" w:type="dxa"/>
            <w:vMerge w:val="restart"/>
            <w:tcBorders>
              <w:top w:val="single" w:sz="4" w:space="0" w:color="000000" w:themeColor="text1"/>
              <w:left w:val="single" w:sz="4" w:space="0" w:color="000000" w:themeColor="text1"/>
              <w:right w:val="single" w:sz="4" w:space="0" w:color="FFFFFF"/>
            </w:tcBorders>
            <w:shd w:val="clear" w:color="auto" w:fill="0C2577"/>
            <w:noWrap/>
            <w:vAlign w:val="center"/>
            <w:hideMark/>
          </w:tcPr>
          <w:p w14:paraId="26FBDDC1"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Event Date</w:t>
            </w:r>
          </w:p>
        </w:tc>
        <w:tc>
          <w:tcPr>
            <w:tcW w:w="1080" w:type="dxa"/>
            <w:vMerge w:val="restart"/>
            <w:tcBorders>
              <w:top w:val="single" w:sz="4" w:space="0" w:color="000000" w:themeColor="text1"/>
              <w:left w:val="single" w:sz="4" w:space="0" w:color="FFFFFF"/>
              <w:right w:val="single" w:sz="4" w:space="0" w:color="FFFFFF"/>
            </w:tcBorders>
            <w:shd w:val="clear" w:color="auto" w:fill="0C2577"/>
            <w:noWrap/>
            <w:vAlign w:val="center"/>
            <w:hideMark/>
          </w:tcPr>
          <w:p w14:paraId="2777042A" w14:textId="77777777" w:rsidR="00697C02" w:rsidRPr="003B78F6" w:rsidRDefault="00697C02" w:rsidP="00A66A92">
            <w:pPr>
              <w:keepNext/>
              <w:keepLines/>
              <w:jc w:val="center"/>
              <w:rPr>
                <w:rFonts w:ascii="Arial" w:hAnsi="Arial" w:cs="Arial"/>
                <w:sz w:val="20"/>
                <w:szCs w:val="20"/>
              </w:rPr>
            </w:pPr>
          </w:p>
          <w:p w14:paraId="1BE78AF0"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 Enrolled</w:t>
            </w:r>
          </w:p>
        </w:tc>
        <w:tc>
          <w:tcPr>
            <w:tcW w:w="1836" w:type="dxa"/>
            <w:gridSpan w:val="2"/>
            <w:tcBorders>
              <w:top w:val="single" w:sz="4" w:space="0" w:color="000000" w:themeColor="text1"/>
              <w:left w:val="single" w:sz="4" w:space="0" w:color="FFFFFF"/>
              <w:bottom w:val="single" w:sz="4" w:space="0" w:color="FFFFFF"/>
              <w:right w:val="single" w:sz="4" w:space="0" w:color="FFFFFF"/>
            </w:tcBorders>
            <w:shd w:val="clear" w:color="auto" w:fill="0C2577"/>
            <w:noWrap/>
            <w:vAlign w:val="center"/>
            <w:hideMark/>
          </w:tcPr>
          <w:p w14:paraId="1CC9DE33" w14:textId="029E80CF"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Aggregate</w:t>
            </w:r>
            <w:r w:rsidR="00102FCC">
              <w:rPr>
                <w:rFonts w:ascii="Arial" w:hAnsi="Arial" w:cs="Arial"/>
                <w:b/>
                <w:bCs/>
                <w:sz w:val="20"/>
                <w:szCs w:val="20"/>
              </w:rPr>
              <w:t xml:space="preserve"> (MWh/hour)</w:t>
            </w:r>
          </w:p>
        </w:tc>
        <w:tc>
          <w:tcPr>
            <w:tcW w:w="1849" w:type="dxa"/>
            <w:gridSpan w:val="2"/>
            <w:tcBorders>
              <w:top w:val="single" w:sz="4" w:space="0" w:color="000000" w:themeColor="text1"/>
              <w:left w:val="single" w:sz="4" w:space="0" w:color="FFFFFF"/>
              <w:bottom w:val="single" w:sz="4" w:space="0" w:color="FFFFFF"/>
              <w:right w:val="single" w:sz="4" w:space="0" w:color="FFFFFF"/>
            </w:tcBorders>
            <w:shd w:val="clear" w:color="auto" w:fill="0C2577"/>
            <w:noWrap/>
            <w:vAlign w:val="center"/>
            <w:hideMark/>
          </w:tcPr>
          <w:p w14:paraId="075E092C" w14:textId="40D74B37"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Per-Customer</w:t>
            </w:r>
            <w:r w:rsidR="00102FCC">
              <w:rPr>
                <w:rFonts w:ascii="Arial" w:hAnsi="Arial" w:cs="Arial"/>
                <w:b/>
                <w:bCs/>
                <w:sz w:val="20"/>
                <w:szCs w:val="20"/>
              </w:rPr>
              <w:t xml:space="preserve"> (kWh/hour)</w:t>
            </w:r>
          </w:p>
        </w:tc>
        <w:tc>
          <w:tcPr>
            <w:tcW w:w="898" w:type="dxa"/>
            <w:vMerge w:val="restart"/>
            <w:tcBorders>
              <w:top w:val="single" w:sz="4" w:space="0" w:color="000000" w:themeColor="text1"/>
              <w:left w:val="single" w:sz="4" w:space="0" w:color="FFFFFF"/>
              <w:right w:val="single" w:sz="4" w:space="0" w:color="FFFFFF"/>
            </w:tcBorders>
            <w:shd w:val="clear" w:color="auto" w:fill="0C2577"/>
            <w:noWrap/>
            <w:vAlign w:val="center"/>
            <w:hideMark/>
          </w:tcPr>
          <w:p w14:paraId="3D928AC4" w14:textId="77777777" w:rsidR="00697C02" w:rsidRPr="003B78F6" w:rsidRDefault="00697C02" w:rsidP="00A66A92">
            <w:pPr>
              <w:keepNext/>
              <w:keepLines/>
              <w:jc w:val="center"/>
              <w:rPr>
                <w:rFonts w:ascii="Arial" w:hAnsi="Arial" w:cs="Arial"/>
                <w:sz w:val="20"/>
                <w:szCs w:val="20"/>
              </w:rPr>
            </w:pPr>
          </w:p>
          <w:p w14:paraId="39E25A5E"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 Load Impact</w:t>
            </w:r>
          </w:p>
        </w:tc>
        <w:tc>
          <w:tcPr>
            <w:tcW w:w="835" w:type="dxa"/>
            <w:vMerge w:val="restart"/>
            <w:tcBorders>
              <w:top w:val="single" w:sz="4" w:space="0" w:color="000000" w:themeColor="text1"/>
              <w:left w:val="single" w:sz="4" w:space="0" w:color="FFFFFF"/>
              <w:right w:val="single" w:sz="4" w:space="0" w:color="000000" w:themeColor="text1"/>
            </w:tcBorders>
            <w:shd w:val="clear" w:color="auto" w:fill="0C2577"/>
            <w:noWrap/>
            <w:vAlign w:val="center"/>
            <w:hideMark/>
          </w:tcPr>
          <w:p w14:paraId="3BB1A7D5" w14:textId="77777777" w:rsidR="00697C02" w:rsidRPr="003B78F6" w:rsidRDefault="00697C02" w:rsidP="00A66A92">
            <w:pPr>
              <w:keepNext/>
              <w:keepLines/>
              <w:jc w:val="center"/>
              <w:rPr>
                <w:rFonts w:ascii="Arial" w:hAnsi="Arial" w:cs="Arial"/>
                <w:sz w:val="20"/>
                <w:szCs w:val="20"/>
              </w:rPr>
            </w:pPr>
          </w:p>
          <w:p w14:paraId="29806E7F"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Ave. Event Temp.</w:t>
            </w:r>
          </w:p>
        </w:tc>
      </w:tr>
      <w:tr w:rsidR="00697C02" w:rsidRPr="003B78F6" w14:paraId="53A725F7" w14:textId="77777777" w:rsidTr="00F42180">
        <w:trPr>
          <w:trHeight w:val="900"/>
          <w:jc w:val="center"/>
        </w:trPr>
        <w:tc>
          <w:tcPr>
            <w:tcW w:w="1980" w:type="dxa"/>
            <w:vMerge/>
            <w:tcBorders>
              <w:left w:val="single" w:sz="4" w:space="0" w:color="000000" w:themeColor="text1"/>
              <w:bottom w:val="single" w:sz="4" w:space="0" w:color="auto"/>
              <w:right w:val="single" w:sz="4" w:space="0" w:color="FFFFFF"/>
            </w:tcBorders>
            <w:shd w:val="clear" w:color="auto" w:fill="B4C6E7" w:themeFill="accent5" w:themeFillTint="66"/>
            <w:vAlign w:val="center"/>
            <w:hideMark/>
          </w:tcPr>
          <w:p w14:paraId="27FA7D5C" w14:textId="77777777" w:rsidR="00697C02" w:rsidRPr="003B78F6" w:rsidRDefault="00697C02" w:rsidP="00A66A92">
            <w:pPr>
              <w:keepNext/>
              <w:keepLines/>
              <w:jc w:val="center"/>
              <w:rPr>
                <w:rFonts w:ascii="Arial" w:hAnsi="Arial" w:cs="Arial"/>
                <w:b/>
                <w:bCs/>
                <w:sz w:val="20"/>
                <w:szCs w:val="20"/>
              </w:rPr>
            </w:pPr>
          </w:p>
        </w:tc>
        <w:tc>
          <w:tcPr>
            <w:tcW w:w="1080"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4FA7F808" w14:textId="77777777" w:rsidR="00697C02" w:rsidRPr="003B78F6" w:rsidRDefault="00697C02" w:rsidP="00A66A92">
            <w:pPr>
              <w:keepNext/>
              <w:keepLines/>
              <w:jc w:val="center"/>
              <w:rPr>
                <w:rFonts w:ascii="Arial" w:hAnsi="Arial" w:cs="Arial"/>
                <w:b/>
                <w:bCs/>
                <w:sz w:val="20"/>
                <w:szCs w:val="20"/>
              </w:rPr>
            </w:pPr>
          </w:p>
        </w:tc>
        <w:tc>
          <w:tcPr>
            <w:tcW w:w="972"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79E31AED" w14:textId="611AC3E4"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Ref. Load </w:t>
            </w:r>
          </w:p>
        </w:tc>
        <w:tc>
          <w:tcPr>
            <w:tcW w:w="864"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188CF601" w14:textId="7EBB6755"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Load Impact </w:t>
            </w:r>
          </w:p>
        </w:tc>
        <w:tc>
          <w:tcPr>
            <w:tcW w:w="988"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72C63A3C" w14:textId="022DA16A"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Ref. Load </w:t>
            </w:r>
          </w:p>
        </w:tc>
        <w:tc>
          <w:tcPr>
            <w:tcW w:w="861"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39B500A4" w14:textId="23547FF0"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Load Impact </w:t>
            </w:r>
          </w:p>
        </w:tc>
        <w:tc>
          <w:tcPr>
            <w:tcW w:w="898"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6FE65C55" w14:textId="77777777" w:rsidR="00697C02" w:rsidRPr="003B78F6" w:rsidRDefault="00697C02" w:rsidP="00A66A92">
            <w:pPr>
              <w:keepNext/>
              <w:keepLines/>
              <w:jc w:val="center"/>
              <w:rPr>
                <w:rFonts w:ascii="Arial" w:hAnsi="Arial" w:cs="Arial"/>
                <w:b/>
                <w:bCs/>
                <w:sz w:val="20"/>
                <w:szCs w:val="20"/>
              </w:rPr>
            </w:pPr>
          </w:p>
        </w:tc>
        <w:tc>
          <w:tcPr>
            <w:tcW w:w="835" w:type="dxa"/>
            <w:vMerge/>
            <w:tcBorders>
              <w:left w:val="single" w:sz="4" w:space="0" w:color="FFFFFF"/>
              <w:bottom w:val="single" w:sz="4" w:space="0" w:color="auto"/>
              <w:right w:val="single" w:sz="4" w:space="0" w:color="000000" w:themeColor="text1"/>
            </w:tcBorders>
            <w:shd w:val="clear" w:color="auto" w:fill="B4C6E7" w:themeFill="accent5" w:themeFillTint="66"/>
            <w:vAlign w:val="center"/>
            <w:hideMark/>
          </w:tcPr>
          <w:p w14:paraId="73711107" w14:textId="77777777" w:rsidR="00697C02" w:rsidRPr="003B78F6" w:rsidRDefault="00697C02" w:rsidP="00A66A92">
            <w:pPr>
              <w:keepNext/>
              <w:keepLines/>
              <w:jc w:val="center"/>
              <w:rPr>
                <w:rFonts w:ascii="Arial" w:hAnsi="Arial" w:cs="Arial"/>
                <w:b/>
                <w:bCs/>
                <w:sz w:val="20"/>
                <w:szCs w:val="20"/>
              </w:rPr>
            </w:pPr>
          </w:p>
        </w:tc>
      </w:tr>
      <w:tr w:rsidR="00F3243D" w:rsidRPr="003B78F6" w14:paraId="4035F73A"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4E684846" w14:textId="529C634B"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6/19/2017</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A99394" w14:textId="2D424FC1"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2,277</w:t>
            </w:r>
          </w:p>
        </w:tc>
        <w:tc>
          <w:tcPr>
            <w:tcW w:w="972" w:type="dxa"/>
            <w:tcBorders>
              <w:top w:val="single" w:sz="4" w:space="0" w:color="auto"/>
              <w:left w:val="nil"/>
              <w:bottom w:val="single" w:sz="4" w:space="0" w:color="auto"/>
              <w:right w:val="single" w:sz="4" w:space="0" w:color="auto"/>
            </w:tcBorders>
            <w:shd w:val="clear" w:color="auto" w:fill="auto"/>
            <w:noWrap/>
            <w:vAlign w:val="bottom"/>
          </w:tcPr>
          <w:p w14:paraId="318F48B1" w14:textId="7BA5E85A"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530.4</w:t>
            </w:r>
          </w:p>
        </w:tc>
        <w:tc>
          <w:tcPr>
            <w:tcW w:w="864" w:type="dxa"/>
            <w:tcBorders>
              <w:top w:val="single" w:sz="4" w:space="0" w:color="auto"/>
              <w:left w:val="nil"/>
              <w:bottom w:val="single" w:sz="4" w:space="0" w:color="auto"/>
              <w:right w:val="single" w:sz="4" w:space="0" w:color="auto"/>
            </w:tcBorders>
            <w:shd w:val="clear" w:color="auto" w:fill="auto"/>
            <w:noWrap/>
            <w:vAlign w:val="bottom"/>
          </w:tcPr>
          <w:p w14:paraId="60E4836B" w14:textId="0D1A6DC9"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21.6</w:t>
            </w:r>
          </w:p>
        </w:tc>
        <w:tc>
          <w:tcPr>
            <w:tcW w:w="988" w:type="dxa"/>
            <w:tcBorders>
              <w:top w:val="single" w:sz="4" w:space="0" w:color="auto"/>
              <w:left w:val="nil"/>
              <w:bottom w:val="single" w:sz="4" w:space="0" w:color="auto"/>
              <w:right w:val="single" w:sz="4" w:space="0" w:color="auto"/>
            </w:tcBorders>
            <w:shd w:val="clear" w:color="auto" w:fill="auto"/>
            <w:noWrap/>
            <w:vAlign w:val="bottom"/>
          </w:tcPr>
          <w:p w14:paraId="399286E6" w14:textId="75ADC650"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232.9</w:t>
            </w:r>
          </w:p>
        </w:tc>
        <w:tc>
          <w:tcPr>
            <w:tcW w:w="861" w:type="dxa"/>
            <w:tcBorders>
              <w:top w:val="single" w:sz="4" w:space="0" w:color="auto"/>
              <w:left w:val="nil"/>
              <w:bottom w:val="single" w:sz="4" w:space="0" w:color="auto"/>
              <w:right w:val="single" w:sz="4" w:space="0" w:color="auto"/>
            </w:tcBorders>
            <w:shd w:val="clear" w:color="auto" w:fill="auto"/>
            <w:noWrap/>
            <w:vAlign w:val="bottom"/>
          </w:tcPr>
          <w:p w14:paraId="454DF607" w14:textId="11325A1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9.5</w:t>
            </w:r>
          </w:p>
        </w:tc>
        <w:tc>
          <w:tcPr>
            <w:tcW w:w="898" w:type="dxa"/>
            <w:tcBorders>
              <w:top w:val="single" w:sz="4" w:space="0" w:color="auto"/>
              <w:left w:val="nil"/>
              <w:bottom w:val="single" w:sz="4" w:space="0" w:color="auto"/>
              <w:right w:val="single" w:sz="4" w:space="0" w:color="auto"/>
            </w:tcBorders>
            <w:shd w:val="clear" w:color="auto" w:fill="auto"/>
            <w:noWrap/>
            <w:vAlign w:val="bottom"/>
          </w:tcPr>
          <w:p w14:paraId="5AE44787" w14:textId="1A2C1D3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4.1%</w:t>
            </w:r>
          </w:p>
        </w:tc>
        <w:tc>
          <w:tcPr>
            <w:tcW w:w="835" w:type="dxa"/>
            <w:tcBorders>
              <w:top w:val="single" w:sz="4" w:space="0" w:color="auto"/>
              <w:left w:val="nil"/>
              <w:bottom w:val="single" w:sz="4" w:space="0" w:color="auto"/>
              <w:right w:val="single" w:sz="4" w:space="0" w:color="auto"/>
            </w:tcBorders>
            <w:shd w:val="clear" w:color="auto" w:fill="auto"/>
            <w:noWrap/>
            <w:vAlign w:val="bottom"/>
          </w:tcPr>
          <w:p w14:paraId="0298EFD9" w14:textId="3E40C7D4"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88.2</w:t>
            </w:r>
          </w:p>
        </w:tc>
      </w:tr>
      <w:tr w:rsidR="00F3243D" w:rsidRPr="003B78F6" w14:paraId="2790123C"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715A4A08" w14:textId="354371DB"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6/20/2017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2FD6FD35" w14:textId="1AD6BC20"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2,274</w:t>
            </w:r>
          </w:p>
        </w:tc>
        <w:tc>
          <w:tcPr>
            <w:tcW w:w="972" w:type="dxa"/>
            <w:tcBorders>
              <w:top w:val="nil"/>
              <w:left w:val="nil"/>
              <w:bottom w:val="single" w:sz="4" w:space="0" w:color="auto"/>
              <w:right w:val="single" w:sz="4" w:space="0" w:color="auto"/>
            </w:tcBorders>
            <w:shd w:val="clear" w:color="auto" w:fill="auto"/>
            <w:noWrap/>
            <w:vAlign w:val="bottom"/>
          </w:tcPr>
          <w:p w14:paraId="65BCAE19" w14:textId="3ED90613"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543.5</w:t>
            </w:r>
          </w:p>
        </w:tc>
        <w:tc>
          <w:tcPr>
            <w:tcW w:w="864" w:type="dxa"/>
            <w:tcBorders>
              <w:top w:val="nil"/>
              <w:left w:val="nil"/>
              <w:bottom w:val="single" w:sz="4" w:space="0" w:color="auto"/>
              <w:right w:val="single" w:sz="4" w:space="0" w:color="auto"/>
            </w:tcBorders>
            <w:shd w:val="clear" w:color="auto" w:fill="auto"/>
            <w:noWrap/>
            <w:vAlign w:val="bottom"/>
          </w:tcPr>
          <w:p w14:paraId="126FD8BD" w14:textId="5208349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18.9</w:t>
            </w:r>
          </w:p>
        </w:tc>
        <w:tc>
          <w:tcPr>
            <w:tcW w:w="988" w:type="dxa"/>
            <w:tcBorders>
              <w:top w:val="nil"/>
              <w:left w:val="nil"/>
              <w:bottom w:val="single" w:sz="4" w:space="0" w:color="auto"/>
              <w:right w:val="single" w:sz="4" w:space="0" w:color="auto"/>
            </w:tcBorders>
            <w:shd w:val="clear" w:color="auto" w:fill="auto"/>
            <w:noWrap/>
            <w:vAlign w:val="bottom"/>
          </w:tcPr>
          <w:p w14:paraId="67DA9476" w14:textId="704BA1FB"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239.0</w:t>
            </w:r>
          </w:p>
        </w:tc>
        <w:tc>
          <w:tcPr>
            <w:tcW w:w="861" w:type="dxa"/>
            <w:tcBorders>
              <w:top w:val="nil"/>
              <w:left w:val="nil"/>
              <w:bottom w:val="single" w:sz="4" w:space="0" w:color="auto"/>
              <w:right w:val="single" w:sz="4" w:space="0" w:color="auto"/>
            </w:tcBorders>
            <w:shd w:val="clear" w:color="auto" w:fill="auto"/>
            <w:noWrap/>
            <w:vAlign w:val="bottom"/>
          </w:tcPr>
          <w:p w14:paraId="477E6FD9" w14:textId="1FAC3E0E"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8.3</w:t>
            </w:r>
          </w:p>
        </w:tc>
        <w:tc>
          <w:tcPr>
            <w:tcW w:w="898" w:type="dxa"/>
            <w:tcBorders>
              <w:top w:val="nil"/>
              <w:left w:val="nil"/>
              <w:bottom w:val="single" w:sz="4" w:space="0" w:color="auto"/>
              <w:right w:val="single" w:sz="4" w:space="0" w:color="auto"/>
            </w:tcBorders>
            <w:shd w:val="clear" w:color="auto" w:fill="auto"/>
            <w:noWrap/>
            <w:vAlign w:val="bottom"/>
          </w:tcPr>
          <w:p w14:paraId="5895B0C5" w14:textId="70F4949F"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3.5%</w:t>
            </w:r>
          </w:p>
        </w:tc>
        <w:tc>
          <w:tcPr>
            <w:tcW w:w="835" w:type="dxa"/>
            <w:tcBorders>
              <w:top w:val="nil"/>
              <w:left w:val="nil"/>
              <w:bottom w:val="single" w:sz="4" w:space="0" w:color="auto"/>
              <w:right w:val="single" w:sz="4" w:space="0" w:color="auto"/>
            </w:tcBorders>
            <w:shd w:val="clear" w:color="auto" w:fill="auto"/>
            <w:noWrap/>
            <w:vAlign w:val="bottom"/>
          </w:tcPr>
          <w:p w14:paraId="01AB66B6" w14:textId="1A5C257C"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90.5</w:t>
            </w:r>
          </w:p>
        </w:tc>
      </w:tr>
      <w:tr w:rsidR="00F3243D" w:rsidRPr="003B78F6" w14:paraId="493414CC"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5D185187" w14:textId="2A7F14DF"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7/6/2017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08FC8EB3" w14:textId="6B7FD586"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2,274</w:t>
            </w:r>
          </w:p>
        </w:tc>
        <w:tc>
          <w:tcPr>
            <w:tcW w:w="972" w:type="dxa"/>
            <w:tcBorders>
              <w:top w:val="nil"/>
              <w:left w:val="nil"/>
              <w:bottom w:val="single" w:sz="4" w:space="0" w:color="auto"/>
              <w:right w:val="single" w:sz="4" w:space="0" w:color="auto"/>
            </w:tcBorders>
            <w:shd w:val="clear" w:color="auto" w:fill="auto"/>
            <w:noWrap/>
            <w:vAlign w:val="bottom"/>
          </w:tcPr>
          <w:p w14:paraId="5BFB16A8" w14:textId="6151BF33"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542.7</w:t>
            </w:r>
          </w:p>
        </w:tc>
        <w:tc>
          <w:tcPr>
            <w:tcW w:w="864" w:type="dxa"/>
            <w:tcBorders>
              <w:top w:val="nil"/>
              <w:left w:val="nil"/>
              <w:bottom w:val="single" w:sz="4" w:space="0" w:color="auto"/>
              <w:right w:val="single" w:sz="4" w:space="0" w:color="auto"/>
            </w:tcBorders>
            <w:shd w:val="clear" w:color="auto" w:fill="auto"/>
            <w:noWrap/>
            <w:vAlign w:val="bottom"/>
          </w:tcPr>
          <w:p w14:paraId="4AA11C9F" w14:textId="42417000"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24.7</w:t>
            </w:r>
          </w:p>
        </w:tc>
        <w:tc>
          <w:tcPr>
            <w:tcW w:w="988" w:type="dxa"/>
            <w:tcBorders>
              <w:top w:val="nil"/>
              <w:left w:val="nil"/>
              <w:bottom w:val="single" w:sz="4" w:space="0" w:color="auto"/>
              <w:right w:val="single" w:sz="4" w:space="0" w:color="auto"/>
            </w:tcBorders>
            <w:shd w:val="clear" w:color="auto" w:fill="auto"/>
            <w:noWrap/>
            <w:vAlign w:val="bottom"/>
          </w:tcPr>
          <w:p w14:paraId="21D3E7B0" w14:textId="3A5B8315"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238.6</w:t>
            </w:r>
          </w:p>
        </w:tc>
        <w:tc>
          <w:tcPr>
            <w:tcW w:w="861" w:type="dxa"/>
            <w:tcBorders>
              <w:top w:val="nil"/>
              <w:left w:val="nil"/>
              <w:bottom w:val="single" w:sz="4" w:space="0" w:color="auto"/>
              <w:right w:val="single" w:sz="4" w:space="0" w:color="auto"/>
            </w:tcBorders>
            <w:shd w:val="clear" w:color="auto" w:fill="auto"/>
            <w:noWrap/>
            <w:vAlign w:val="bottom"/>
          </w:tcPr>
          <w:p w14:paraId="596C224D" w14:textId="6D81B4F6"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10.9</w:t>
            </w:r>
          </w:p>
        </w:tc>
        <w:tc>
          <w:tcPr>
            <w:tcW w:w="898" w:type="dxa"/>
            <w:tcBorders>
              <w:top w:val="nil"/>
              <w:left w:val="nil"/>
              <w:bottom w:val="single" w:sz="4" w:space="0" w:color="auto"/>
              <w:right w:val="single" w:sz="4" w:space="0" w:color="auto"/>
            </w:tcBorders>
            <w:shd w:val="clear" w:color="auto" w:fill="auto"/>
            <w:noWrap/>
            <w:vAlign w:val="bottom"/>
          </w:tcPr>
          <w:p w14:paraId="246CDC3C" w14:textId="6C0A6CE2"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4.5%</w:t>
            </w:r>
          </w:p>
        </w:tc>
        <w:tc>
          <w:tcPr>
            <w:tcW w:w="835" w:type="dxa"/>
            <w:tcBorders>
              <w:top w:val="nil"/>
              <w:left w:val="nil"/>
              <w:bottom w:val="single" w:sz="4" w:space="0" w:color="auto"/>
              <w:right w:val="single" w:sz="4" w:space="0" w:color="auto"/>
            </w:tcBorders>
            <w:shd w:val="clear" w:color="auto" w:fill="auto"/>
            <w:noWrap/>
            <w:vAlign w:val="bottom"/>
          </w:tcPr>
          <w:p w14:paraId="7F49B1B9" w14:textId="094E9C0D"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90.5</w:t>
            </w:r>
          </w:p>
        </w:tc>
      </w:tr>
      <w:tr w:rsidR="00F3243D" w:rsidRPr="003B78F6" w14:paraId="39F68F55"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6E0EA30F" w14:textId="70E48FCD"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7/7/2017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42926532" w14:textId="11517648"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2,275</w:t>
            </w:r>
          </w:p>
        </w:tc>
        <w:tc>
          <w:tcPr>
            <w:tcW w:w="972" w:type="dxa"/>
            <w:tcBorders>
              <w:top w:val="nil"/>
              <w:left w:val="nil"/>
              <w:bottom w:val="single" w:sz="4" w:space="0" w:color="auto"/>
              <w:right w:val="single" w:sz="4" w:space="0" w:color="auto"/>
            </w:tcBorders>
            <w:shd w:val="clear" w:color="auto" w:fill="auto"/>
            <w:noWrap/>
            <w:vAlign w:val="bottom"/>
          </w:tcPr>
          <w:p w14:paraId="0540F4A0" w14:textId="47AD54A9"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548.7</w:t>
            </w:r>
          </w:p>
        </w:tc>
        <w:tc>
          <w:tcPr>
            <w:tcW w:w="864" w:type="dxa"/>
            <w:tcBorders>
              <w:top w:val="nil"/>
              <w:left w:val="nil"/>
              <w:bottom w:val="single" w:sz="4" w:space="0" w:color="auto"/>
              <w:right w:val="single" w:sz="4" w:space="0" w:color="auto"/>
            </w:tcBorders>
            <w:shd w:val="clear" w:color="auto" w:fill="auto"/>
            <w:noWrap/>
            <w:vAlign w:val="bottom"/>
          </w:tcPr>
          <w:p w14:paraId="27F56037" w14:textId="0D8093AE"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24.1</w:t>
            </w:r>
          </w:p>
        </w:tc>
        <w:tc>
          <w:tcPr>
            <w:tcW w:w="988" w:type="dxa"/>
            <w:tcBorders>
              <w:top w:val="nil"/>
              <w:left w:val="nil"/>
              <w:bottom w:val="single" w:sz="4" w:space="0" w:color="auto"/>
              <w:right w:val="single" w:sz="4" w:space="0" w:color="auto"/>
            </w:tcBorders>
            <w:shd w:val="clear" w:color="auto" w:fill="auto"/>
            <w:noWrap/>
            <w:vAlign w:val="bottom"/>
          </w:tcPr>
          <w:p w14:paraId="0B78D967" w14:textId="6B49DF8F"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241.2</w:t>
            </w:r>
          </w:p>
        </w:tc>
        <w:tc>
          <w:tcPr>
            <w:tcW w:w="861" w:type="dxa"/>
            <w:tcBorders>
              <w:top w:val="nil"/>
              <w:left w:val="nil"/>
              <w:bottom w:val="single" w:sz="4" w:space="0" w:color="auto"/>
              <w:right w:val="single" w:sz="4" w:space="0" w:color="auto"/>
            </w:tcBorders>
            <w:shd w:val="clear" w:color="auto" w:fill="auto"/>
            <w:noWrap/>
            <w:vAlign w:val="bottom"/>
          </w:tcPr>
          <w:p w14:paraId="3638F978" w14:textId="370ADF4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10.6</w:t>
            </w:r>
          </w:p>
        </w:tc>
        <w:tc>
          <w:tcPr>
            <w:tcW w:w="898" w:type="dxa"/>
            <w:tcBorders>
              <w:top w:val="nil"/>
              <w:left w:val="nil"/>
              <w:bottom w:val="single" w:sz="4" w:space="0" w:color="auto"/>
              <w:right w:val="single" w:sz="4" w:space="0" w:color="auto"/>
            </w:tcBorders>
            <w:shd w:val="clear" w:color="auto" w:fill="auto"/>
            <w:noWrap/>
            <w:vAlign w:val="bottom"/>
          </w:tcPr>
          <w:p w14:paraId="42C73B26" w14:textId="7B5993FC"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4.4%</w:t>
            </w:r>
          </w:p>
        </w:tc>
        <w:tc>
          <w:tcPr>
            <w:tcW w:w="835" w:type="dxa"/>
            <w:tcBorders>
              <w:top w:val="nil"/>
              <w:left w:val="nil"/>
              <w:bottom w:val="single" w:sz="4" w:space="0" w:color="auto"/>
              <w:right w:val="single" w:sz="4" w:space="0" w:color="auto"/>
            </w:tcBorders>
            <w:shd w:val="clear" w:color="auto" w:fill="auto"/>
            <w:noWrap/>
            <w:vAlign w:val="bottom"/>
          </w:tcPr>
          <w:p w14:paraId="7034F060" w14:textId="2F08A6AC"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95.2</w:t>
            </w:r>
          </w:p>
        </w:tc>
      </w:tr>
      <w:tr w:rsidR="00F3243D" w:rsidRPr="003B78F6" w14:paraId="57893E60"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42E57E7B" w14:textId="0760349E"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7/27/2017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7931FCE9" w14:textId="3A3A5A64"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2,287</w:t>
            </w:r>
          </w:p>
        </w:tc>
        <w:tc>
          <w:tcPr>
            <w:tcW w:w="972" w:type="dxa"/>
            <w:tcBorders>
              <w:top w:val="nil"/>
              <w:left w:val="nil"/>
              <w:bottom w:val="single" w:sz="4" w:space="0" w:color="auto"/>
              <w:right w:val="single" w:sz="4" w:space="0" w:color="auto"/>
            </w:tcBorders>
            <w:shd w:val="clear" w:color="auto" w:fill="auto"/>
            <w:noWrap/>
            <w:vAlign w:val="bottom"/>
          </w:tcPr>
          <w:p w14:paraId="0DC07ABF" w14:textId="53BA4E0F"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544.0</w:t>
            </w:r>
          </w:p>
        </w:tc>
        <w:tc>
          <w:tcPr>
            <w:tcW w:w="864" w:type="dxa"/>
            <w:tcBorders>
              <w:top w:val="nil"/>
              <w:left w:val="nil"/>
              <w:bottom w:val="single" w:sz="4" w:space="0" w:color="auto"/>
              <w:right w:val="single" w:sz="4" w:space="0" w:color="auto"/>
            </w:tcBorders>
            <w:shd w:val="clear" w:color="auto" w:fill="auto"/>
            <w:noWrap/>
            <w:vAlign w:val="bottom"/>
          </w:tcPr>
          <w:p w14:paraId="2C31ADDB" w14:textId="290D3136"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15.9</w:t>
            </w:r>
          </w:p>
        </w:tc>
        <w:tc>
          <w:tcPr>
            <w:tcW w:w="988" w:type="dxa"/>
            <w:tcBorders>
              <w:top w:val="nil"/>
              <w:left w:val="nil"/>
              <w:bottom w:val="single" w:sz="4" w:space="0" w:color="auto"/>
              <w:right w:val="single" w:sz="4" w:space="0" w:color="auto"/>
            </w:tcBorders>
            <w:shd w:val="clear" w:color="auto" w:fill="auto"/>
            <w:noWrap/>
            <w:vAlign w:val="bottom"/>
          </w:tcPr>
          <w:p w14:paraId="08E77471" w14:textId="118D4845"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237.8</w:t>
            </w:r>
          </w:p>
        </w:tc>
        <w:tc>
          <w:tcPr>
            <w:tcW w:w="861" w:type="dxa"/>
            <w:tcBorders>
              <w:top w:val="nil"/>
              <w:left w:val="nil"/>
              <w:bottom w:val="single" w:sz="4" w:space="0" w:color="auto"/>
              <w:right w:val="single" w:sz="4" w:space="0" w:color="auto"/>
            </w:tcBorders>
            <w:shd w:val="clear" w:color="auto" w:fill="auto"/>
            <w:noWrap/>
            <w:vAlign w:val="bottom"/>
          </w:tcPr>
          <w:p w14:paraId="326ACA46" w14:textId="2DBB3D07"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6.9</w:t>
            </w:r>
          </w:p>
        </w:tc>
        <w:tc>
          <w:tcPr>
            <w:tcW w:w="898" w:type="dxa"/>
            <w:tcBorders>
              <w:top w:val="nil"/>
              <w:left w:val="nil"/>
              <w:bottom w:val="single" w:sz="4" w:space="0" w:color="auto"/>
              <w:right w:val="single" w:sz="4" w:space="0" w:color="auto"/>
            </w:tcBorders>
            <w:shd w:val="clear" w:color="auto" w:fill="auto"/>
            <w:noWrap/>
            <w:vAlign w:val="bottom"/>
          </w:tcPr>
          <w:p w14:paraId="45DEB440" w14:textId="26E1EE11"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2.9%</w:t>
            </w:r>
          </w:p>
        </w:tc>
        <w:tc>
          <w:tcPr>
            <w:tcW w:w="835" w:type="dxa"/>
            <w:tcBorders>
              <w:top w:val="nil"/>
              <w:left w:val="nil"/>
              <w:bottom w:val="single" w:sz="4" w:space="0" w:color="auto"/>
              <w:right w:val="single" w:sz="4" w:space="0" w:color="auto"/>
            </w:tcBorders>
            <w:shd w:val="clear" w:color="auto" w:fill="auto"/>
            <w:noWrap/>
            <w:vAlign w:val="bottom"/>
          </w:tcPr>
          <w:p w14:paraId="0BB5C668" w14:textId="1DEC3941"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87.3</w:t>
            </w:r>
          </w:p>
        </w:tc>
      </w:tr>
      <w:tr w:rsidR="00F3243D" w:rsidRPr="003B78F6" w14:paraId="3A20B158"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472AC45D" w14:textId="7C3E63C6"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7/31/2017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4EBBF54E" w14:textId="0556CC67"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2,288</w:t>
            </w:r>
          </w:p>
        </w:tc>
        <w:tc>
          <w:tcPr>
            <w:tcW w:w="972" w:type="dxa"/>
            <w:tcBorders>
              <w:top w:val="nil"/>
              <w:left w:val="nil"/>
              <w:bottom w:val="single" w:sz="4" w:space="0" w:color="auto"/>
              <w:right w:val="single" w:sz="4" w:space="0" w:color="auto"/>
            </w:tcBorders>
            <w:shd w:val="clear" w:color="auto" w:fill="auto"/>
            <w:noWrap/>
            <w:vAlign w:val="bottom"/>
          </w:tcPr>
          <w:p w14:paraId="1BBEA328" w14:textId="38386109"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532.2</w:t>
            </w:r>
          </w:p>
        </w:tc>
        <w:tc>
          <w:tcPr>
            <w:tcW w:w="864" w:type="dxa"/>
            <w:tcBorders>
              <w:top w:val="nil"/>
              <w:left w:val="nil"/>
              <w:bottom w:val="single" w:sz="4" w:space="0" w:color="auto"/>
              <w:right w:val="single" w:sz="4" w:space="0" w:color="auto"/>
            </w:tcBorders>
            <w:shd w:val="clear" w:color="auto" w:fill="auto"/>
            <w:noWrap/>
            <w:vAlign w:val="bottom"/>
          </w:tcPr>
          <w:p w14:paraId="7B85E5A2" w14:textId="2E36ADA3"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16.2</w:t>
            </w:r>
          </w:p>
        </w:tc>
        <w:tc>
          <w:tcPr>
            <w:tcW w:w="988" w:type="dxa"/>
            <w:tcBorders>
              <w:top w:val="nil"/>
              <w:left w:val="nil"/>
              <w:bottom w:val="single" w:sz="4" w:space="0" w:color="auto"/>
              <w:right w:val="single" w:sz="4" w:space="0" w:color="auto"/>
            </w:tcBorders>
            <w:shd w:val="clear" w:color="auto" w:fill="auto"/>
            <w:noWrap/>
            <w:vAlign w:val="bottom"/>
          </w:tcPr>
          <w:p w14:paraId="5AC76937" w14:textId="38D355E1"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232.6</w:t>
            </w:r>
          </w:p>
        </w:tc>
        <w:tc>
          <w:tcPr>
            <w:tcW w:w="861" w:type="dxa"/>
            <w:tcBorders>
              <w:top w:val="nil"/>
              <w:left w:val="nil"/>
              <w:bottom w:val="single" w:sz="4" w:space="0" w:color="auto"/>
              <w:right w:val="single" w:sz="4" w:space="0" w:color="auto"/>
            </w:tcBorders>
            <w:shd w:val="clear" w:color="auto" w:fill="auto"/>
            <w:noWrap/>
            <w:vAlign w:val="bottom"/>
          </w:tcPr>
          <w:p w14:paraId="2F1C5C71" w14:textId="748FF170"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7.1</w:t>
            </w:r>
          </w:p>
        </w:tc>
        <w:tc>
          <w:tcPr>
            <w:tcW w:w="898" w:type="dxa"/>
            <w:tcBorders>
              <w:top w:val="nil"/>
              <w:left w:val="nil"/>
              <w:bottom w:val="single" w:sz="4" w:space="0" w:color="auto"/>
              <w:right w:val="single" w:sz="4" w:space="0" w:color="auto"/>
            </w:tcBorders>
            <w:shd w:val="clear" w:color="auto" w:fill="auto"/>
            <w:noWrap/>
            <w:vAlign w:val="bottom"/>
          </w:tcPr>
          <w:p w14:paraId="6E131F62" w14:textId="758E6C71"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3.0%</w:t>
            </w:r>
          </w:p>
        </w:tc>
        <w:tc>
          <w:tcPr>
            <w:tcW w:w="835" w:type="dxa"/>
            <w:tcBorders>
              <w:top w:val="nil"/>
              <w:left w:val="nil"/>
              <w:bottom w:val="single" w:sz="4" w:space="0" w:color="auto"/>
              <w:right w:val="single" w:sz="4" w:space="0" w:color="auto"/>
            </w:tcBorders>
            <w:shd w:val="clear" w:color="auto" w:fill="auto"/>
            <w:noWrap/>
            <w:vAlign w:val="bottom"/>
          </w:tcPr>
          <w:p w14:paraId="6EA7E59D" w14:textId="6CE54F99"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86.4</w:t>
            </w:r>
          </w:p>
        </w:tc>
      </w:tr>
      <w:tr w:rsidR="00F3243D" w:rsidRPr="003B78F6" w14:paraId="3CC7C04E"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134059CF" w14:textId="48134256"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8/1/2017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26C20FB3" w14:textId="1E0A0847"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2,288</w:t>
            </w:r>
          </w:p>
        </w:tc>
        <w:tc>
          <w:tcPr>
            <w:tcW w:w="972" w:type="dxa"/>
            <w:tcBorders>
              <w:top w:val="nil"/>
              <w:left w:val="nil"/>
              <w:bottom w:val="single" w:sz="4" w:space="0" w:color="auto"/>
              <w:right w:val="single" w:sz="4" w:space="0" w:color="auto"/>
            </w:tcBorders>
            <w:shd w:val="clear" w:color="auto" w:fill="auto"/>
            <w:noWrap/>
            <w:vAlign w:val="bottom"/>
          </w:tcPr>
          <w:p w14:paraId="7DE11406" w14:textId="54D8CADA"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560.9</w:t>
            </w:r>
          </w:p>
        </w:tc>
        <w:tc>
          <w:tcPr>
            <w:tcW w:w="864" w:type="dxa"/>
            <w:tcBorders>
              <w:top w:val="nil"/>
              <w:left w:val="nil"/>
              <w:bottom w:val="single" w:sz="4" w:space="0" w:color="auto"/>
              <w:right w:val="single" w:sz="4" w:space="0" w:color="auto"/>
            </w:tcBorders>
            <w:shd w:val="clear" w:color="auto" w:fill="auto"/>
            <w:noWrap/>
            <w:vAlign w:val="bottom"/>
          </w:tcPr>
          <w:p w14:paraId="3ECA2DC1" w14:textId="21122EE3"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22.1</w:t>
            </w:r>
          </w:p>
        </w:tc>
        <w:tc>
          <w:tcPr>
            <w:tcW w:w="988" w:type="dxa"/>
            <w:tcBorders>
              <w:top w:val="nil"/>
              <w:left w:val="nil"/>
              <w:bottom w:val="single" w:sz="4" w:space="0" w:color="auto"/>
              <w:right w:val="single" w:sz="4" w:space="0" w:color="auto"/>
            </w:tcBorders>
            <w:shd w:val="clear" w:color="auto" w:fill="auto"/>
            <w:noWrap/>
            <w:vAlign w:val="bottom"/>
          </w:tcPr>
          <w:p w14:paraId="6D4A1D74" w14:textId="22B46403"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245.1</w:t>
            </w:r>
          </w:p>
        </w:tc>
        <w:tc>
          <w:tcPr>
            <w:tcW w:w="861" w:type="dxa"/>
            <w:tcBorders>
              <w:top w:val="nil"/>
              <w:left w:val="nil"/>
              <w:bottom w:val="single" w:sz="4" w:space="0" w:color="auto"/>
              <w:right w:val="single" w:sz="4" w:space="0" w:color="auto"/>
            </w:tcBorders>
            <w:shd w:val="clear" w:color="auto" w:fill="auto"/>
            <w:noWrap/>
            <w:vAlign w:val="bottom"/>
          </w:tcPr>
          <w:p w14:paraId="4F58CAE6" w14:textId="713F621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9.7</w:t>
            </w:r>
          </w:p>
        </w:tc>
        <w:tc>
          <w:tcPr>
            <w:tcW w:w="898" w:type="dxa"/>
            <w:tcBorders>
              <w:top w:val="nil"/>
              <w:left w:val="nil"/>
              <w:bottom w:val="single" w:sz="4" w:space="0" w:color="auto"/>
              <w:right w:val="single" w:sz="4" w:space="0" w:color="auto"/>
            </w:tcBorders>
            <w:shd w:val="clear" w:color="auto" w:fill="auto"/>
            <w:noWrap/>
            <w:vAlign w:val="bottom"/>
          </w:tcPr>
          <w:p w14:paraId="1C6CB8CB" w14:textId="237EE700"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3.9%</w:t>
            </w:r>
          </w:p>
        </w:tc>
        <w:tc>
          <w:tcPr>
            <w:tcW w:w="835" w:type="dxa"/>
            <w:tcBorders>
              <w:top w:val="nil"/>
              <w:left w:val="nil"/>
              <w:bottom w:val="single" w:sz="4" w:space="0" w:color="auto"/>
              <w:right w:val="single" w:sz="4" w:space="0" w:color="auto"/>
            </w:tcBorders>
            <w:shd w:val="clear" w:color="auto" w:fill="auto"/>
            <w:noWrap/>
            <w:vAlign w:val="bottom"/>
          </w:tcPr>
          <w:p w14:paraId="11F9F20E" w14:textId="39B31D89"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89.9</w:t>
            </w:r>
          </w:p>
        </w:tc>
      </w:tr>
      <w:tr w:rsidR="00F3243D" w:rsidRPr="003B78F6" w14:paraId="00798609"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5629332C" w14:textId="542508AF"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8/28/2017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059CF9BA" w14:textId="5ED110E9"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2,305</w:t>
            </w:r>
          </w:p>
        </w:tc>
        <w:tc>
          <w:tcPr>
            <w:tcW w:w="972" w:type="dxa"/>
            <w:tcBorders>
              <w:top w:val="nil"/>
              <w:left w:val="nil"/>
              <w:bottom w:val="single" w:sz="4" w:space="0" w:color="auto"/>
              <w:right w:val="single" w:sz="4" w:space="0" w:color="auto"/>
            </w:tcBorders>
            <w:shd w:val="clear" w:color="auto" w:fill="auto"/>
            <w:noWrap/>
            <w:vAlign w:val="bottom"/>
          </w:tcPr>
          <w:p w14:paraId="722506C5" w14:textId="28833B2D"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584.6</w:t>
            </w:r>
          </w:p>
        </w:tc>
        <w:tc>
          <w:tcPr>
            <w:tcW w:w="864" w:type="dxa"/>
            <w:tcBorders>
              <w:top w:val="nil"/>
              <w:left w:val="nil"/>
              <w:bottom w:val="single" w:sz="4" w:space="0" w:color="auto"/>
              <w:right w:val="single" w:sz="4" w:space="0" w:color="auto"/>
            </w:tcBorders>
            <w:shd w:val="clear" w:color="auto" w:fill="auto"/>
            <w:noWrap/>
            <w:vAlign w:val="bottom"/>
          </w:tcPr>
          <w:p w14:paraId="1181A83C" w14:textId="0B4188D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25.7</w:t>
            </w:r>
          </w:p>
        </w:tc>
        <w:tc>
          <w:tcPr>
            <w:tcW w:w="988" w:type="dxa"/>
            <w:tcBorders>
              <w:top w:val="nil"/>
              <w:left w:val="nil"/>
              <w:bottom w:val="single" w:sz="4" w:space="0" w:color="auto"/>
              <w:right w:val="single" w:sz="4" w:space="0" w:color="auto"/>
            </w:tcBorders>
            <w:shd w:val="clear" w:color="auto" w:fill="auto"/>
            <w:noWrap/>
            <w:vAlign w:val="bottom"/>
          </w:tcPr>
          <w:p w14:paraId="361FB23B" w14:textId="428EA37B"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253.6</w:t>
            </w:r>
          </w:p>
        </w:tc>
        <w:tc>
          <w:tcPr>
            <w:tcW w:w="861" w:type="dxa"/>
            <w:tcBorders>
              <w:top w:val="nil"/>
              <w:left w:val="nil"/>
              <w:bottom w:val="single" w:sz="4" w:space="0" w:color="auto"/>
              <w:right w:val="single" w:sz="4" w:space="0" w:color="auto"/>
            </w:tcBorders>
            <w:shd w:val="clear" w:color="auto" w:fill="auto"/>
            <w:noWrap/>
            <w:vAlign w:val="bottom"/>
          </w:tcPr>
          <w:p w14:paraId="79055041" w14:textId="494EF4A9"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11.1</w:t>
            </w:r>
          </w:p>
        </w:tc>
        <w:tc>
          <w:tcPr>
            <w:tcW w:w="898" w:type="dxa"/>
            <w:tcBorders>
              <w:top w:val="nil"/>
              <w:left w:val="nil"/>
              <w:bottom w:val="single" w:sz="4" w:space="0" w:color="auto"/>
              <w:right w:val="single" w:sz="4" w:space="0" w:color="auto"/>
            </w:tcBorders>
            <w:shd w:val="clear" w:color="auto" w:fill="auto"/>
            <w:noWrap/>
            <w:vAlign w:val="bottom"/>
          </w:tcPr>
          <w:p w14:paraId="5BE4D11C" w14:textId="06A44968"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4.4%</w:t>
            </w:r>
          </w:p>
        </w:tc>
        <w:tc>
          <w:tcPr>
            <w:tcW w:w="835" w:type="dxa"/>
            <w:tcBorders>
              <w:top w:val="nil"/>
              <w:left w:val="nil"/>
              <w:bottom w:val="single" w:sz="4" w:space="0" w:color="auto"/>
              <w:right w:val="single" w:sz="4" w:space="0" w:color="auto"/>
            </w:tcBorders>
            <w:shd w:val="clear" w:color="auto" w:fill="auto"/>
            <w:noWrap/>
            <w:vAlign w:val="bottom"/>
          </w:tcPr>
          <w:p w14:paraId="743716FB" w14:textId="1D8E9D3D"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94.0</w:t>
            </w:r>
          </w:p>
        </w:tc>
      </w:tr>
      <w:tr w:rsidR="00F3243D" w:rsidRPr="003B78F6" w14:paraId="34B0FBC1"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5117BBA5" w14:textId="26A89156"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8/29/2017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16868183" w14:textId="4F2AEED7"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2,305</w:t>
            </w:r>
          </w:p>
        </w:tc>
        <w:tc>
          <w:tcPr>
            <w:tcW w:w="972" w:type="dxa"/>
            <w:tcBorders>
              <w:top w:val="nil"/>
              <w:left w:val="nil"/>
              <w:bottom w:val="single" w:sz="4" w:space="0" w:color="auto"/>
              <w:right w:val="single" w:sz="4" w:space="0" w:color="auto"/>
            </w:tcBorders>
            <w:shd w:val="clear" w:color="auto" w:fill="auto"/>
            <w:noWrap/>
            <w:vAlign w:val="bottom"/>
          </w:tcPr>
          <w:p w14:paraId="412331FE" w14:textId="613BEBD5"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607.6</w:t>
            </w:r>
          </w:p>
        </w:tc>
        <w:tc>
          <w:tcPr>
            <w:tcW w:w="864" w:type="dxa"/>
            <w:tcBorders>
              <w:top w:val="nil"/>
              <w:left w:val="nil"/>
              <w:bottom w:val="single" w:sz="4" w:space="0" w:color="auto"/>
              <w:right w:val="single" w:sz="4" w:space="0" w:color="auto"/>
            </w:tcBorders>
            <w:shd w:val="clear" w:color="auto" w:fill="auto"/>
            <w:noWrap/>
            <w:vAlign w:val="bottom"/>
          </w:tcPr>
          <w:p w14:paraId="7E41A7F9" w14:textId="0AE4A12E"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29.4</w:t>
            </w:r>
          </w:p>
        </w:tc>
        <w:tc>
          <w:tcPr>
            <w:tcW w:w="988" w:type="dxa"/>
            <w:tcBorders>
              <w:top w:val="nil"/>
              <w:left w:val="nil"/>
              <w:bottom w:val="single" w:sz="4" w:space="0" w:color="auto"/>
              <w:right w:val="single" w:sz="4" w:space="0" w:color="auto"/>
            </w:tcBorders>
            <w:shd w:val="clear" w:color="auto" w:fill="auto"/>
            <w:noWrap/>
            <w:vAlign w:val="bottom"/>
          </w:tcPr>
          <w:p w14:paraId="37D5FF55" w14:textId="50A329CD"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263.6</w:t>
            </w:r>
          </w:p>
        </w:tc>
        <w:tc>
          <w:tcPr>
            <w:tcW w:w="861" w:type="dxa"/>
            <w:tcBorders>
              <w:top w:val="nil"/>
              <w:left w:val="nil"/>
              <w:bottom w:val="single" w:sz="4" w:space="0" w:color="auto"/>
              <w:right w:val="single" w:sz="4" w:space="0" w:color="auto"/>
            </w:tcBorders>
            <w:shd w:val="clear" w:color="auto" w:fill="auto"/>
            <w:noWrap/>
            <w:vAlign w:val="bottom"/>
          </w:tcPr>
          <w:p w14:paraId="27B12DBB" w14:textId="4C556A41"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12.8</w:t>
            </w:r>
          </w:p>
        </w:tc>
        <w:tc>
          <w:tcPr>
            <w:tcW w:w="898" w:type="dxa"/>
            <w:tcBorders>
              <w:top w:val="nil"/>
              <w:left w:val="nil"/>
              <w:bottom w:val="single" w:sz="4" w:space="0" w:color="auto"/>
              <w:right w:val="single" w:sz="4" w:space="0" w:color="auto"/>
            </w:tcBorders>
            <w:shd w:val="clear" w:color="auto" w:fill="auto"/>
            <w:noWrap/>
            <w:vAlign w:val="bottom"/>
          </w:tcPr>
          <w:p w14:paraId="53342E35" w14:textId="5F829AA8"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4.8%</w:t>
            </w:r>
          </w:p>
        </w:tc>
        <w:tc>
          <w:tcPr>
            <w:tcW w:w="835" w:type="dxa"/>
            <w:tcBorders>
              <w:top w:val="nil"/>
              <w:left w:val="nil"/>
              <w:bottom w:val="single" w:sz="4" w:space="0" w:color="auto"/>
              <w:right w:val="single" w:sz="4" w:space="0" w:color="auto"/>
            </w:tcBorders>
            <w:shd w:val="clear" w:color="auto" w:fill="auto"/>
            <w:noWrap/>
            <w:vAlign w:val="bottom"/>
          </w:tcPr>
          <w:p w14:paraId="13DD87D7" w14:textId="70CB1EE2"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95.4</w:t>
            </w:r>
          </w:p>
        </w:tc>
      </w:tr>
      <w:tr w:rsidR="00F3243D" w:rsidRPr="003B78F6" w14:paraId="22BA9324"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04B6DAE2" w14:textId="3D1030A7"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8/31/2017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75F7B351" w14:textId="17E5BC10"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2,309</w:t>
            </w:r>
          </w:p>
        </w:tc>
        <w:tc>
          <w:tcPr>
            <w:tcW w:w="972" w:type="dxa"/>
            <w:tcBorders>
              <w:top w:val="nil"/>
              <w:left w:val="nil"/>
              <w:bottom w:val="single" w:sz="4" w:space="0" w:color="auto"/>
              <w:right w:val="single" w:sz="4" w:space="0" w:color="auto"/>
            </w:tcBorders>
            <w:shd w:val="clear" w:color="auto" w:fill="auto"/>
            <w:noWrap/>
            <w:vAlign w:val="bottom"/>
          </w:tcPr>
          <w:p w14:paraId="3AA71280" w14:textId="3E82426D"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604.0</w:t>
            </w:r>
          </w:p>
        </w:tc>
        <w:tc>
          <w:tcPr>
            <w:tcW w:w="864" w:type="dxa"/>
            <w:tcBorders>
              <w:top w:val="nil"/>
              <w:left w:val="nil"/>
              <w:bottom w:val="single" w:sz="4" w:space="0" w:color="auto"/>
              <w:right w:val="single" w:sz="4" w:space="0" w:color="auto"/>
            </w:tcBorders>
            <w:shd w:val="clear" w:color="auto" w:fill="auto"/>
            <w:noWrap/>
            <w:vAlign w:val="bottom"/>
          </w:tcPr>
          <w:p w14:paraId="367D9DE1" w14:textId="43DA401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24.0</w:t>
            </w:r>
          </w:p>
        </w:tc>
        <w:tc>
          <w:tcPr>
            <w:tcW w:w="988" w:type="dxa"/>
            <w:tcBorders>
              <w:top w:val="nil"/>
              <w:left w:val="nil"/>
              <w:bottom w:val="single" w:sz="4" w:space="0" w:color="auto"/>
              <w:right w:val="single" w:sz="4" w:space="0" w:color="auto"/>
            </w:tcBorders>
            <w:shd w:val="clear" w:color="auto" w:fill="auto"/>
            <w:noWrap/>
            <w:vAlign w:val="bottom"/>
          </w:tcPr>
          <w:p w14:paraId="0C1E915D" w14:textId="7299477C"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261.6</w:t>
            </w:r>
          </w:p>
        </w:tc>
        <w:tc>
          <w:tcPr>
            <w:tcW w:w="861" w:type="dxa"/>
            <w:tcBorders>
              <w:top w:val="nil"/>
              <w:left w:val="nil"/>
              <w:bottom w:val="single" w:sz="4" w:space="0" w:color="auto"/>
              <w:right w:val="single" w:sz="4" w:space="0" w:color="auto"/>
            </w:tcBorders>
            <w:shd w:val="clear" w:color="auto" w:fill="auto"/>
            <w:noWrap/>
            <w:vAlign w:val="bottom"/>
          </w:tcPr>
          <w:p w14:paraId="0BBB6159" w14:textId="419F7283"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10.4</w:t>
            </w:r>
          </w:p>
        </w:tc>
        <w:tc>
          <w:tcPr>
            <w:tcW w:w="898" w:type="dxa"/>
            <w:tcBorders>
              <w:top w:val="nil"/>
              <w:left w:val="nil"/>
              <w:bottom w:val="single" w:sz="4" w:space="0" w:color="auto"/>
              <w:right w:val="single" w:sz="4" w:space="0" w:color="auto"/>
            </w:tcBorders>
            <w:shd w:val="clear" w:color="auto" w:fill="auto"/>
            <w:noWrap/>
            <w:vAlign w:val="bottom"/>
          </w:tcPr>
          <w:p w14:paraId="2E924E87" w14:textId="14A5F1B4"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4.0%</w:t>
            </w:r>
          </w:p>
        </w:tc>
        <w:tc>
          <w:tcPr>
            <w:tcW w:w="835" w:type="dxa"/>
            <w:tcBorders>
              <w:top w:val="nil"/>
              <w:left w:val="nil"/>
              <w:bottom w:val="single" w:sz="4" w:space="0" w:color="auto"/>
              <w:right w:val="single" w:sz="4" w:space="0" w:color="auto"/>
            </w:tcBorders>
            <w:shd w:val="clear" w:color="auto" w:fill="auto"/>
            <w:noWrap/>
            <w:vAlign w:val="bottom"/>
          </w:tcPr>
          <w:p w14:paraId="3DDB578D" w14:textId="65C0FB06"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94.6</w:t>
            </w:r>
          </w:p>
        </w:tc>
      </w:tr>
      <w:tr w:rsidR="00F3243D" w:rsidRPr="003B78F6" w14:paraId="0486F3F4"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6AAB9A87" w14:textId="4C149F3A"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9/5/2017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54540DB3" w14:textId="51C6EA6C"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2,309</w:t>
            </w:r>
          </w:p>
        </w:tc>
        <w:tc>
          <w:tcPr>
            <w:tcW w:w="972" w:type="dxa"/>
            <w:tcBorders>
              <w:top w:val="nil"/>
              <w:left w:val="nil"/>
              <w:bottom w:val="single" w:sz="4" w:space="0" w:color="auto"/>
              <w:right w:val="single" w:sz="4" w:space="0" w:color="auto"/>
            </w:tcBorders>
            <w:shd w:val="clear" w:color="auto" w:fill="auto"/>
            <w:noWrap/>
            <w:vAlign w:val="bottom"/>
          </w:tcPr>
          <w:p w14:paraId="379E7201" w14:textId="30477DBE"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570.3</w:t>
            </w:r>
          </w:p>
        </w:tc>
        <w:tc>
          <w:tcPr>
            <w:tcW w:w="864" w:type="dxa"/>
            <w:tcBorders>
              <w:top w:val="nil"/>
              <w:left w:val="nil"/>
              <w:bottom w:val="single" w:sz="4" w:space="0" w:color="auto"/>
              <w:right w:val="single" w:sz="4" w:space="0" w:color="auto"/>
            </w:tcBorders>
            <w:shd w:val="clear" w:color="auto" w:fill="auto"/>
            <w:noWrap/>
            <w:vAlign w:val="bottom"/>
          </w:tcPr>
          <w:p w14:paraId="5488725E" w14:textId="09F58AEE"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18.3</w:t>
            </w:r>
          </w:p>
        </w:tc>
        <w:tc>
          <w:tcPr>
            <w:tcW w:w="988" w:type="dxa"/>
            <w:tcBorders>
              <w:top w:val="nil"/>
              <w:left w:val="nil"/>
              <w:bottom w:val="single" w:sz="4" w:space="0" w:color="auto"/>
              <w:right w:val="single" w:sz="4" w:space="0" w:color="auto"/>
            </w:tcBorders>
            <w:shd w:val="clear" w:color="auto" w:fill="auto"/>
            <w:noWrap/>
            <w:vAlign w:val="bottom"/>
          </w:tcPr>
          <w:p w14:paraId="11987078" w14:textId="3B2D09FA"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247.0</w:t>
            </w:r>
          </w:p>
        </w:tc>
        <w:tc>
          <w:tcPr>
            <w:tcW w:w="861" w:type="dxa"/>
            <w:tcBorders>
              <w:top w:val="nil"/>
              <w:left w:val="nil"/>
              <w:bottom w:val="single" w:sz="4" w:space="0" w:color="auto"/>
              <w:right w:val="single" w:sz="4" w:space="0" w:color="auto"/>
            </w:tcBorders>
            <w:shd w:val="clear" w:color="auto" w:fill="auto"/>
            <w:noWrap/>
            <w:vAlign w:val="bottom"/>
          </w:tcPr>
          <w:p w14:paraId="201F69C9" w14:textId="60685069"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7.9</w:t>
            </w:r>
          </w:p>
        </w:tc>
        <w:tc>
          <w:tcPr>
            <w:tcW w:w="898" w:type="dxa"/>
            <w:tcBorders>
              <w:top w:val="nil"/>
              <w:left w:val="nil"/>
              <w:bottom w:val="single" w:sz="4" w:space="0" w:color="auto"/>
              <w:right w:val="single" w:sz="4" w:space="0" w:color="auto"/>
            </w:tcBorders>
            <w:shd w:val="clear" w:color="auto" w:fill="auto"/>
            <w:noWrap/>
            <w:vAlign w:val="bottom"/>
          </w:tcPr>
          <w:p w14:paraId="702A14B7" w14:textId="1B021FAF"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3.2%</w:t>
            </w:r>
          </w:p>
        </w:tc>
        <w:tc>
          <w:tcPr>
            <w:tcW w:w="835" w:type="dxa"/>
            <w:tcBorders>
              <w:top w:val="nil"/>
              <w:left w:val="nil"/>
              <w:bottom w:val="single" w:sz="4" w:space="0" w:color="auto"/>
              <w:right w:val="single" w:sz="4" w:space="0" w:color="auto"/>
            </w:tcBorders>
            <w:shd w:val="clear" w:color="auto" w:fill="auto"/>
            <w:noWrap/>
            <w:vAlign w:val="bottom"/>
          </w:tcPr>
          <w:p w14:paraId="1969A260" w14:textId="25CBB5F3"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86.1</w:t>
            </w:r>
          </w:p>
        </w:tc>
      </w:tr>
      <w:tr w:rsidR="00F3243D" w:rsidRPr="003B78F6" w14:paraId="4B94C134" w14:textId="77777777" w:rsidTr="00D00404">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48497829" w14:textId="3A9FBA7D"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9/12/2017</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4593904A" w14:textId="6C4BADC4"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2,307</w:t>
            </w:r>
          </w:p>
        </w:tc>
        <w:tc>
          <w:tcPr>
            <w:tcW w:w="972" w:type="dxa"/>
            <w:tcBorders>
              <w:top w:val="nil"/>
              <w:left w:val="nil"/>
              <w:bottom w:val="single" w:sz="4" w:space="0" w:color="auto"/>
              <w:right w:val="single" w:sz="4" w:space="0" w:color="auto"/>
            </w:tcBorders>
            <w:shd w:val="clear" w:color="auto" w:fill="auto"/>
            <w:noWrap/>
            <w:vAlign w:val="bottom"/>
          </w:tcPr>
          <w:p w14:paraId="49134717" w14:textId="14EADA2A"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561.0</w:t>
            </w:r>
          </w:p>
        </w:tc>
        <w:tc>
          <w:tcPr>
            <w:tcW w:w="864" w:type="dxa"/>
            <w:tcBorders>
              <w:top w:val="nil"/>
              <w:left w:val="nil"/>
              <w:bottom w:val="single" w:sz="4" w:space="0" w:color="auto"/>
              <w:right w:val="single" w:sz="4" w:space="0" w:color="auto"/>
            </w:tcBorders>
            <w:shd w:val="clear" w:color="auto" w:fill="auto"/>
            <w:noWrap/>
            <w:vAlign w:val="bottom"/>
          </w:tcPr>
          <w:p w14:paraId="039B1FE4" w14:textId="3B8A0665"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22.5</w:t>
            </w:r>
          </w:p>
        </w:tc>
        <w:tc>
          <w:tcPr>
            <w:tcW w:w="988" w:type="dxa"/>
            <w:tcBorders>
              <w:top w:val="nil"/>
              <w:left w:val="nil"/>
              <w:bottom w:val="single" w:sz="4" w:space="0" w:color="auto"/>
              <w:right w:val="single" w:sz="4" w:space="0" w:color="auto"/>
            </w:tcBorders>
            <w:shd w:val="clear" w:color="auto" w:fill="auto"/>
            <w:noWrap/>
            <w:vAlign w:val="bottom"/>
          </w:tcPr>
          <w:p w14:paraId="71231BD5" w14:textId="3C2CED52"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243.2</w:t>
            </w:r>
          </w:p>
        </w:tc>
        <w:tc>
          <w:tcPr>
            <w:tcW w:w="861" w:type="dxa"/>
            <w:tcBorders>
              <w:top w:val="nil"/>
              <w:left w:val="nil"/>
              <w:bottom w:val="single" w:sz="4" w:space="0" w:color="auto"/>
              <w:right w:val="single" w:sz="4" w:space="0" w:color="auto"/>
            </w:tcBorders>
            <w:shd w:val="clear" w:color="auto" w:fill="auto"/>
            <w:noWrap/>
            <w:vAlign w:val="bottom"/>
          </w:tcPr>
          <w:p w14:paraId="6AEFA872" w14:textId="69171C6C"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9.7</w:t>
            </w:r>
          </w:p>
        </w:tc>
        <w:tc>
          <w:tcPr>
            <w:tcW w:w="898" w:type="dxa"/>
            <w:tcBorders>
              <w:top w:val="nil"/>
              <w:left w:val="nil"/>
              <w:bottom w:val="single" w:sz="4" w:space="0" w:color="auto"/>
              <w:right w:val="single" w:sz="4" w:space="0" w:color="auto"/>
            </w:tcBorders>
            <w:shd w:val="clear" w:color="auto" w:fill="auto"/>
            <w:noWrap/>
            <w:vAlign w:val="bottom"/>
          </w:tcPr>
          <w:p w14:paraId="071E172D" w14:textId="3B7AE34C" w:rsidR="00F3243D" w:rsidRPr="003B78F6" w:rsidRDefault="00F3243D" w:rsidP="00F3243D">
            <w:pPr>
              <w:keepNext/>
              <w:keepLines/>
              <w:ind w:firstLineChars="100" w:firstLine="200"/>
              <w:jc w:val="center"/>
              <w:rPr>
                <w:rFonts w:ascii="Arial" w:hAnsi="Arial" w:cs="Arial"/>
                <w:sz w:val="20"/>
                <w:szCs w:val="20"/>
              </w:rPr>
            </w:pPr>
            <w:r>
              <w:rPr>
                <w:rFonts w:ascii="Arial" w:hAnsi="Arial" w:cs="Arial"/>
                <w:color w:val="000000"/>
                <w:sz w:val="20"/>
                <w:szCs w:val="20"/>
              </w:rPr>
              <w:t>4.0%</w:t>
            </w:r>
          </w:p>
        </w:tc>
        <w:tc>
          <w:tcPr>
            <w:tcW w:w="835" w:type="dxa"/>
            <w:tcBorders>
              <w:top w:val="nil"/>
              <w:left w:val="nil"/>
              <w:bottom w:val="single" w:sz="4" w:space="0" w:color="auto"/>
              <w:right w:val="single" w:sz="4" w:space="0" w:color="auto"/>
            </w:tcBorders>
            <w:shd w:val="clear" w:color="auto" w:fill="auto"/>
            <w:noWrap/>
            <w:vAlign w:val="bottom"/>
          </w:tcPr>
          <w:p w14:paraId="286BD345" w14:textId="56B429F2" w:rsidR="00F3243D" w:rsidRPr="003B78F6" w:rsidRDefault="00F3243D" w:rsidP="00F3243D">
            <w:pPr>
              <w:keepNext/>
              <w:keepLines/>
              <w:jc w:val="center"/>
              <w:rPr>
                <w:rFonts w:ascii="Arial" w:hAnsi="Arial" w:cs="Arial"/>
                <w:sz w:val="20"/>
                <w:szCs w:val="20"/>
              </w:rPr>
            </w:pPr>
            <w:r>
              <w:rPr>
                <w:rFonts w:ascii="Arial" w:hAnsi="Arial" w:cs="Arial"/>
                <w:color w:val="000000"/>
                <w:sz w:val="20"/>
                <w:szCs w:val="20"/>
              </w:rPr>
              <w:t>83.6</w:t>
            </w:r>
          </w:p>
        </w:tc>
      </w:tr>
      <w:tr w:rsidR="00F3243D" w:rsidRPr="003B78F6" w14:paraId="3BED153B" w14:textId="77777777" w:rsidTr="00D00404">
        <w:trPr>
          <w:trHeight w:val="302"/>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64050FB2" w14:textId="77777777" w:rsidR="00F3243D" w:rsidRPr="003B78F6" w:rsidRDefault="00F3243D" w:rsidP="00F3243D">
            <w:pPr>
              <w:keepNext/>
              <w:keepLines/>
              <w:jc w:val="center"/>
              <w:rPr>
                <w:rFonts w:ascii="Arial" w:hAnsi="Arial" w:cs="Arial"/>
                <w:b/>
                <w:bCs/>
                <w:sz w:val="20"/>
                <w:szCs w:val="20"/>
              </w:rPr>
            </w:pPr>
            <w:r w:rsidRPr="003B78F6">
              <w:rPr>
                <w:rFonts w:ascii="Arial" w:hAnsi="Arial" w:cs="Arial"/>
                <w:b/>
                <w:bCs/>
                <w:sz w:val="20"/>
                <w:szCs w:val="20"/>
              </w:rPr>
              <w:t>Typical Event Day</w:t>
            </w:r>
          </w:p>
        </w:tc>
        <w:tc>
          <w:tcPr>
            <w:tcW w:w="1080" w:type="dxa"/>
            <w:tcBorders>
              <w:top w:val="nil"/>
              <w:left w:val="single" w:sz="4" w:space="0" w:color="auto"/>
              <w:bottom w:val="single" w:sz="4" w:space="0" w:color="auto"/>
              <w:right w:val="single" w:sz="4" w:space="0" w:color="auto"/>
            </w:tcBorders>
            <w:shd w:val="clear" w:color="auto" w:fill="auto"/>
            <w:noWrap/>
            <w:vAlign w:val="bottom"/>
          </w:tcPr>
          <w:p w14:paraId="31381587" w14:textId="3C20A691" w:rsidR="00F3243D" w:rsidRPr="00697C02" w:rsidRDefault="00F3243D" w:rsidP="00F3243D">
            <w:pPr>
              <w:keepNext/>
              <w:keepLines/>
              <w:jc w:val="center"/>
              <w:rPr>
                <w:rFonts w:ascii="Arial" w:hAnsi="Arial" w:cs="Arial"/>
                <w:b/>
                <w:bCs/>
                <w:sz w:val="20"/>
                <w:szCs w:val="20"/>
              </w:rPr>
            </w:pPr>
            <w:r>
              <w:rPr>
                <w:rFonts w:ascii="Arial" w:hAnsi="Arial" w:cs="Arial"/>
                <w:b/>
                <w:bCs/>
                <w:color w:val="000000"/>
                <w:sz w:val="20"/>
                <w:szCs w:val="20"/>
              </w:rPr>
              <w:t>2,292</w:t>
            </w:r>
          </w:p>
        </w:tc>
        <w:tc>
          <w:tcPr>
            <w:tcW w:w="972" w:type="dxa"/>
            <w:tcBorders>
              <w:top w:val="nil"/>
              <w:left w:val="nil"/>
              <w:bottom w:val="single" w:sz="4" w:space="0" w:color="auto"/>
              <w:right w:val="single" w:sz="4" w:space="0" w:color="auto"/>
            </w:tcBorders>
            <w:shd w:val="clear" w:color="auto" w:fill="auto"/>
            <w:noWrap/>
            <w:vAlign w:val="bottom"/>
          </w:tcPr>
          <w:p w14:paraId="4F9EAB2B" w14:textId="34B2A01E" w:rsidR="00F3243D" w:rsidRPr="00697C02" w:rsidRDefault="00F3243D" w:rsidP="00F3243D">
            <w:pPr>
              <w:keepNext/>
              <w:keepLines/>
              <w:ind w:firstLineChars="100" w:firstLine="201"/>
              <w:jc w:val="center"/>
              <w:rPr>
                <w:rFonts w:ascii="Arial" w:hAnsi="Arial" w:cs="Arial"/>
                <w:b/>
                <w:bCs/>
                <w:sz w:val="20"/>
                <w:szCs w:val="20"/>
              </w:rPr>
            </w:pPr>
            <w:r>
              <w:rPr>
                <w:rFonts w:ascii="Arial" w:hAnsi="Arial" w:cs="Arial"/>
                <w:b/>
                <w:bCs/>
                <w:color w:val="000000"/>
                <w:sz w:val="20"/>
                <w:szCs w:val="20"/>
              </w:rPr>
              <w:t>560.8</w:t>
            </w:r>
          </w:p>
        </w:tc>
        <w:tc>
          <w:tcPr>
            <w:tcW w:w="864" w:type="dxa"/>
            <w:tcBorders>
              <w:top w:val="nil"/>
              <w:left w:val="nil"/>
              <w:bottom w:val="single" w:sz="4" w:space="0" w:color="auto"/>
              <w:right w:val="single" w:sz="4" w:space="0" w:color="auto"/>
            </w:tcBorders>
            <w:shd w:val="clear" w:color="auto" w:fill="auto"/>
            <w:noWrap/>
            <w:vAlign w:val="bottom"/>
          </w:tcPr>
          <w:p w14:paraId="15196345" w14:textId="25080F46" w:rsidR="00F3243D" w:rsidRPr="00697C02" w:rsidRDefault="00F3243D" w:rsidP="00F3243D">
            <w:pPr>
              <w:keepNext/>
              <w:keepLines/>
              <w:ind w:firstLineChars="100" w:firstLine="201"/>
              <w:jc w:val="center"/>
              <w:rPr>
                <w:rFonts w:ascii="Arial" w:hAnsi="Arial" w:cs="Arial"/>
                <w:b/>
                <w:bCs/>
                <w:sz w:val="20"/>
                <w:szCs w:val="20"/>
              </w:rPr>
            </w:pPr>
            <w:r>
              <w:rPr>
                <w:rFonts w:ascii="Arial" w:hAnsi="Arial" w:cs="Arial"/>
                <w:b/>
                <w:bCs/>
                <w:color w:val="000000"/>
                <w:sz w:val="20"/>
                <w:szCs w:val="20"/>
              </w:rPr>
              <w:t>21.9</w:t>
            </w:r>
          </w:p>
        </w:tc>
        <w:tc>
          <w:tcPr>
            <w:tcW w:w="988" w:type="dxa"/>
            <w:tcBorders>
              <w:top w:val="nil"/>
              <w:left w:val="nil"/>
              <w:bottom w:val="single" w:sz="4" w:space="0" w:color="auto"/>
              <w:right w:val="single" w:sz="4" w:space="0" w:color="auto"/>
            </w:tcBorders>
            <w:shd w:val="clear" w:color="auto" w:fill="auto"/>
            <w:noWrap/>
            <w:vAlign w:val="bottom"/>
          </w:tcPr>
          <w:p w14:paraId="0A020EF5" w14:textId="1BEEE3C6" w:rsidR="00F3243D" w:rsidRPr="00697C02" w:rsidRDefault="00F3243D" w:rsidP="00F3243D">
            <w:pPr>
              <w:keepNext/>
              <w:keepLines/>
              <w:ind w:firstLineChars="100" w:firstLine="201"/>
              <w:jc w:val="center"/>
              <w:rPr>
                <w:rFonts w:ascii="Arial" w:hAnsi="Arial" w:cs="Arial"/>
                <w:b/>
                <w:bCs/>
                <w:sz w:val="20"/>
                <w:szCs w:val="20"/>
              </w:rPr>
            </w:pPr>
            <w:r>
              <w:rPr>
                <w:rFonts w:ascii="Arial" w:hAnsi="Arial" w:cs="Arial"/>
                <w:b/>
                <w:bCs/>
                <w:color w:val="000000"/>
                <w:sz w:val="20"/>
                <w:szCs w:val="20"/>
              </w:rPr>
              <w:t>244.7</w:t>
            </w:r>
          </w:p>
        </w:tc>
        <w:tc>
          <w:tcPr>
            <w:tcW w:w="861" w:type="dxa"/>
            <w:tcBorders>
              <w:top w:val="nil"/>
              <w:left w:val="nil"/>
              <w:bottom w:val="single" w:sz="4" w:space="0" w:color="auto"/>
              <w:right w:val="single" w:sz="4" w:space="0" w:color="auto"/>
            </w:tcBorders>
            <w:shd w:val="clear" w:color="auto" w:fill="auto"/>
            <w:noWrap/>
            <w:vAlign w:val="bottom"/>
          </w:tcPr>
          <w:p w14:paraId="0C048C06" w14:textId="6ED5ED86" w:rsidR="00F3243D" w:rsidRPr="00697C02" w:rsidRDefault="00F3243D" w:rsidP="00F3243D">
            <w:pPr>
              <w:keepNext/>
              <w:keepLines/>
              <w:ind w:firstLineChars="100" w:firstLine="201"/>
              <w:jc w:val="center"/>
              <w:rPr>
                <w:rFonts w:ascii="Arial" w:hAnsi="Arial" w:cs="Arial"/>
                <w:b/>
                <w:bCs/>
                <w:sz w:val="20"/>
                <w:szCs w:val="20"/>
              </w:rPr>
            </w:pPr>
            <w:r>
              <w:rPr>
                <w:rFonts w:ascii="Arial" w:hAnsi="Arial" w:cs="Arial"/>
                <w:b/>
                <w:bCs/>
                <w:color w:val="000000"/>
                <w:sz w:val="20"/>
                <w:szCs w:val="20"/>
              </w:rPr>
              <w:t>9.6</w:t>
            </w:r>
          </w:p>
        </w:tc>
        <w:tc>
          <w:tcPr>
            <w:tcW w:w="898" w:type="dxa"/>
            <w:tcBorders>
              <w:top w:val="nil"/>
              <w:left w:val="nil"/>
              <w:bottom w:val="single" w:sz="4" w:space="0" w:color="auto"/>
              <w:right w:val="single" w:sz="4" w:space="0" w:color="auto"/>
            </w:tcBorders>
            <w:shd w:val="clear" w:color="auto" w:fill="auto"/>
            <w:noWrap/>
            <w:vAlign w:val="bottom"/>
          </w:tcPr>
          <w:p w14:paraId="257C6C71" w14:textId="28C4A14B" w:rsidR="00F3243D" w:rsidRPr="00697C02" w:rsidRDefault="00F3243D" w:rsidP="00F3243D">
            <w:pPr>
              <w:keepNext/>
              <w:keepLines/>
              <w:ind w:firstLineChars="100" w:firstLine="201"/>
              <w:jc w:val="center"/>
              <w:rPr>
                <w:rFonts w:ascii="Arial" w:hAnsi="Arial" w:cs="Arial"/>
                <w:b/>
                <w:bCs/>
                <w:sz w:val="20"/>
                <w:szCs w:val="20"/>
              </w:rPr>
            </w:pPr>
            <w:r>
              <w:rPr>
                <w:rFonts w:ascii="Arial" w:hAnsi="Arial" w:cs="Arial"/>
                <w:b/>
                <w:bCs/>
                <w:color w:val="000000"/>
                <w:sz w:val="20"/>
                <w:szCs w:val="20"/>
              </w:rPr>
              <w:t>3.9%</w:t>
            </w:r>
          </w:p>
        </w:tc>
        <w:tc>
          <w:tcPr>
            <w:tcW w:w="835" w:type="dxa"/>
            <w:tcBorders>
              <w:top w:val="nil"/>
              <w:left w:val="nil"/>
              <w:bottom w:val="single" w:sz="4" w:space="0" w:color="auto"/>
              <w:right w:val="single" w:sz="4" w:space="0" w:color="auto"/>
            </w:tcBorders>
            <w:shd w:val="clear" w:color="auto" w:fill="auto"/>
            <w:noWrap/>
            <w:vAlign w:val="bottom"/>
          </w:tcPr>
          <w:p w14:paraId="3158EF9D" w14:textId="528E00C2" w:rsidR="00F3243D" w:rsidRPr="00697C02" w:rsidRDefault="00F3243D" w:rsidP="00F3243D">
            <w:pPr>
              <w:keepNext/>
              <w:keepLines/>
              <w:jc w:val="center"/>
              <w:rPr>
                <w:rFonts w:ascii="Arial" w:hAnsi="Arial" w:cs="Arial"/>
                <w:b/>
                <w:bCs/>
                <w:sz w:val="20"/>
                <w:szCs w:val="20"/>
              </w:rPr>
            </w:pPr>
            <w:r>
              <w:rPr>
                <w:rFonts w:ascii="Arial" w:hAnsi="Arial" w:cs="Arial"/>
                <w:b/>
                <w:bCs/>
                <w:color w:val="000000"/>
                <w:sz w:val="20"/>
                <w:szCs w:val="20"/>
              </w:rPr>
              <w:t>90.1</w:t>
            </w:r>
          </w:p>
        </w:tc>
      </w:tr>
    </w:tbl>
    <w:p w14:paraId="7156F215" w14:textId="0D443B6A" w:rsidR="00697C02" w:rsidRDefault="00697C02" w:rsidP="00CB13E9">
      <w:pPr>
        <w:spacing w:after="120"/>
        <w:rPr>
          <w:szCs w:val="32"/>
        </w:rPr>
      </w:pPr>
    </w:p>
    <w:p w14:paraId="0DA80510" w14:textId="4C99CA01" w:rsidR="00A27595" w:rsidRDefault="00A27595" w:rsidP="00CB13E9">
      <w:pPr>
        <w:spacing w:after="120"/>
        <w:rPr>
          <w:szCs w:val="32"/>
        </w:rPr>
      </w:pPr>
      <w:r>
        <w:rPr>
          <w:szCs w:val="32"/>
        </w:rPr>
        <w:fldChar w:fldCharType="begin"/>
      </w:r>
      <w:r>
        <w:rPr>
          <w:szCs w:val="32"/>
        </w:rPr>
        <w:instrText xml:space="preserve"> REF _Ref506991132 \h </w:instrText>
      </w:r>
      <w:r>
        <w:rPr>
          <w:szCs w:val="32"/>
        </w:rPr>
      </w:r>
      <w:r>
        <w:rPr>
          <w:szCs w:val="32"/>
        </w:rPr>
        <w:fldChar w:fldCharType="separate"/>
      </w:r>
      <w:r w:rsidR="005D5C7C">
        <w:t xml:space="preserve">Figure </w:t>
      </w:r>
      <w:r w:rsidR="005D5C7C">
        <w:rPr>
          <w:noProof/>
        </w:rPr>
        <w:t>4</w:t>
      </w:r>
      <w:r w:rsidR="005D5C7C">
        <w:t>.</w:t>
      </w:r>
      <w:r w:rsidR="005D5C7C">
        <w:rPr>
          <w:noProof/>
        </w:rPr>
        <w:t>2</w:t>
      </w:r>
      <w:r>
        <w:rPr>
          <w:szCs w:val="32"/>
        </w:rPr>
        <w:fldChar w:fldCharType="end"/>
      </w:r>
      <w:r>
        <w:rPr>
          <w:szCs w:val="32"/>
        </w:rPr>
        <w:t xml:space="preserve"> shows the aggregate hourly reference loads, observed loads, and estimated load impacts on the typical event day. </w:t>
      </w:r>
      <w:r>
        <w:rPr>
          <w:szCs w:val="32"/>
        </w:rPr>
        <w:fldChar w:fldCharType="begin"/>
      </w:r>
      <w:r>
        <w:rPr>
          <w:szCs w:val="32"/>
        </w:rPr>
        <w:instrText xml:space="preserve"> REF _Ref506991186 \h </w:instrText>
      </w:r>
      <w:r>
        <w:rPr>
          <w:szCs w:val="32"/>
        </w:rPr>
      </w:r>
      <w:r>
        <w:rPr>
          <w:szCs w:val="32"/>
        </w:rPr>
        <w:fldChar w:fldCharType="separate"/>
      </w:r>
      <w:r w:rsidR="005D5C7C">
        <w:t xml:space="preserve">Table </w:t>
      </w:r>
      <w:r w:rsidR="005D5C7C">
        <w:rPr>
          <w:noProof/>
        </w:rPr>
        <w:t>4</w:t>
      </w:r>
      <w:r w:rsidR="005D5C7C">
        <w:t>.</w:t>
      </w:r>
      <w:r w:rsidR="005D5C7C">
        <w:rPr>
          <w:noProof/>
        </w:rPr>
        <w:t>3</w:t>
      </w:r>
      <w:r>
        <w:rPr>
          <w:szCs w:val="32"/>
        </w:rPr>
        <w:fldChar w:fldCharType="end"/>
      </w:r>
      <w:r>
        <w:rPr>
          <w:szCs w:val="32"/>
        </w:rPr>
        <w:t xml:space="preserve"> contains the hourly typical event day results in the manner require by the Protocols, including hourly temperatures and uncertainty adjusted load impacts. Notice that the highest load impact tends to occur in the first hour of the event (2:00 to 3:00 p.m.). The hourly load impact estimates do not show evidence of significant pre-cooling or post-event snapback, which would appear as load increases in the hours surrounding the event.</w:t>
      </w:r>
      <w:r w:rsidR="008A403F">
        <w:rPr>
          <w:szCs w:val="32"/>
        </w:rPr>
        <w:t xml:space="preserve"> Rather, there are smaller load impacts in the hours immediately preceding (10 MWh from 1:00 to 2:00 p.m.) and following (4 MWh from 6:00 to 7:00 p.m.) the event. Overall, these results do not suggest that large customers are responding to events by shifting event-hour loads to hours outside the event window.</w:t>
      </w:r>
    </w:p>
    <w:p w14:paraId="7EF4F5BA" w14:textId="278076A1" w:rsidR="00E03C8D" w:rsidRDefault="00E03C8D" w:rsidP="00E03C8D">
      <w:pPr>
        <w:pStyle w:val="FigureCaption"/>
        <w:rPr>
          <w:i/>
        </w:rPr>
      </w:pPr>
      <w:bookmarkStart w:id="281" w:name="_Ref506991132"/>
      <w:bookmarkStart w:id="282" w:name="_Toc509837480"/>
      <w:r>
        <w:lastRenderedPageBreak/>
        <w:t xml:space="preserve">Figure </w:t>
      </w:r>
      <w:fldSimple w:instr=" STYLEREF 1 \s ">
        <w:r w:rsidR="005D5C7C">
          <w:rPr>
            <w:noProof/>
          </w:rPr>
          <w:t>4</w:t>
        </w:r>
      </w:fldSimple>
      <w:r w:rsidR="00A11E78">
        <w:t>.</w:t>
      </w:r>
      <w:fldSimple w:instr=" SEQ Figure \* ARABIC \s 1 ">
        <w:r w:rsidR="005D5C7C">
          <w:rPr>
            <w:noProof/>
          </w:rPr>
          <w:t>2</w:t>
        </w:r>
      </w:fldSimple>
      <w:bookmarkEnd w:id="281"/>
      <w:r>
        <w:t>:</w:t>
      </w:r>
      <w:r w:rsidRPr="002E5631">
        <w:t xml:space="preserve"> </w:t>
      </w:r>
      <w:r>
        <w:t>Typical Event Day Reference Loads and Load Profile, SCE</w:t>
      </w:r>
      <w:r>
        <w:rPr>
          <w:i/>
        </w:rPr>
        <w:t xml:space="preserve"> Large</w:t>
      </w:r>
      <w:bookmarkEnd w:id="282"/>
    </w:p>
    <w:p w14:paraId="4248DAB6" w14:textId="55D880C7" w:rsidR="000050F0" w:rsidRDefault="007A0383" w:rsidP="000050F0">
      <w:r>
        <w:rPr>
          <w:noProof/>
        </w:rPr>
        <w:drawing>
          <wp:inline distT="0" distB="0" distL="0" distR="0" wp14:anchorId="6DD146BB" wp14:editId="556C1657">
            <wp:extent cx="5486400" cy="3980815"/>
            <wp:effectExtent l="0" t="0" r="0" b="635"/>
            <wp:docPr id="17" name="Chart 17">
              <a:extLst xmlns:a="http://schemas.openxmlformats.org/drawingml/2006/main">
                <a:ext uri="{FF2B5EF4-FFF2-40B4-BE49-F238E27FC236}">
                  <a16:creationId xmlns:a16="http://schemas.microsoft.com/office/drawing/2014/main" id="{F257872B-48CD-499B-9AE2-0DD6153B2B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51DF9C76" w14:textId="41BC32CC" w:rsidR="000050F0" w:rsidRDefault="000050F0" w:rsidP="000050F0"/>
    <w:p w14:paraId="4FF80CCB" w14:textId="164A3513" w:rsidR="00E03C8D" w:rsidRDefault="00E03C8D" w:rsidP="00CB13E9">
      <w:pPr>
        <w:spacing w:after="120"/>
        <w:rPr>
          <w:szCs w:val="32"/>
        </w:rPr>
      </w:pPr>
    </w:p>
    <w:p w14:paraId="2E2B86F9" w14:textId="7B7B6625" w:rsidR="00C53814" w:rsidRDefault="00C53814" w:rsidP="00CB13E9">
      <w:pPr>
        <w:spacing w:after="120"/>
        <w:rPr>
          <w:szCs w:val="32"/>
        </w:rPr>
      </w:pPr>
    </w:p>
    <w:p w14:paraId="26C7995D" w14:textId="577A3D79" w:rsidR="008A403F" w:rsidRDefault="008A403F" w:rsidP="008A403F">
      <w:pPr>
        <w:pStyle w:val="TableCaption"/>
      </w:pPr>
      <w:bookmarkStart w:id="283" w:name="_Toc509837385"/>
      <w:r>
        <w:lastRenderedPageBreak/>
        <w:t xml:space="preserve">Table </w:t>
      </w:r>
      <w:fldSimple w:instr=" STYLEREF 1 \s ">
        <w:r w:rsidR="005D5C7C">
          <w:rPr>
            <w:noProof/>
          </w:rPr>
          <w:t>4</w:t>
        </w:r>
      </w:fldSimple>
      <w:r w:rsidR="0069714C">
        <w:t>.</w:t>
      </w:r>
      <w:fldSimple w:instr=" SEQ Table \* ARABIC \s 1 ">
        <w:r w:rsidR="005D5C7C">
          <w:rPr>
            <w:noProof/>
          </w:rPr>
          <w:t>2</w:t>
        </w:r>
      </w:fldSimple>
      <w:r>
        <w:t xml:space="preserve">: </w:t>
      </w:r>
      <w:r w:rsidR="00515724">
        <w:t>Typical Event Day</w:t>
      </w:r>
      <w:r>
        <w:t xml:space="preserve"> Load Impacts and Uncertainty Adjusted Estimates by hour</w:t>
      </w:r>
      <w:r w:rsidRPr="009300C9">
        <w:rPr>
          <w:i/>
        </w:rPr>
        <w:t xml:space="preserve">, </w:t>
      </w:r>
      <w:r>
        <w:rPr>
          <w:i/>
        </w:rPr>
        <w:t>SC</w:t>
      </w:r>
      <w:r w:rsidRPr="009300C9">
        <w:rPr>
          <w:i/>
        </w:rPr>
        <w:t xml:space="preserve">E </w:t>
      </w:r>
      <w:r>
        <w:rPr>
          <w:i/>
        </w:rPr>
        <w:t>Large</w:t>
      </w:r>
      <w:bookmarkEnd w:id="283"/>
    </w:p>
    <w:p w14:paraId="08670542" w14:textId="1D7523E2" w:rsidR="00A27595" w:rsidRDefault="00BE50D6" w:rsidP="00CB13E9">
      <w:pPr>
        <w:spacing w:after="120"/>
        <w:rPr>
          <w:szCs w:val="32"/>
        </w:rPr>
      </w:pPr>
      <w:r w:rsidRPr="00BE50D6">
        <w:rPr>
          <w:noProof/>
        </w:rPr>
        <w:drawing>
          <wp:inline distT="0" distB="0" distL="0" distR="0" wp14:anchorId="33C02D78" wp14:editId="29656A31">
            <wp:extent cx="5486400" cy="4396230"/>
            <wp:effectExtent l="0" t="0" r="0" b="444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86400" cy="4396230"/>
                    </a:xfrm>
                    <a:prstGeom prst="rect">
                      <a:avLst/>
                    </a:prstGeom>
                    <a:noFill/>
                    <a:ln>
                      <a:noFill/>
                    </a:ln>
                  </pic:spPr>
                </pic:pic>
              </a:graphicData>
            </a:graphic>
          </wp:inline>
        </w:drawing>
      </w:r>
    </w:p>
    <w:p w14:paraId="31EE5192" w14:textId="77777777" w:rsidR="00BE50D6" w:rsidRDefault="00BE50D6" w:rsidP="00CB13E9">
      <w:pPr>
        <w:spacing w:after="120"/>
        <w:rPr>
          <w:szCs w:val="32"/>
        </w:rPr>
      </w:pPr>
    </w:p>
    <w:p w14:paraId="19B55309" w14:textId="5A988D19" w:rsidR="00A27595" w:rsidRDefault="008A403F" w:rsidP="00CB13E9">
      <w:pPr>
        <w:spacing w:after="120"/>
        <w:rPr>
          <w:szCs w:val="32"/>
        </w:rPr>
      </w:pPr>
      <w:r>
        <w:rPr>
          <w:szCs w:val="32"/>
        </w:rPr>
        <w:t xml:space="preserve">Next, we look at SCE large customer estimate by industry group. </w:t>
      </w:r>
      <w:r>
        <w:rPr>
          <w:szCs w:val="32"/>
        </w:rPr>
        <w:fldChar w:fldCharType="begin"/>
      </w:r>
      <w:r>
        <w:rPr>
          <w:szCs w:val="32"/>
        </w:rPr>
        <w:instrText xml:space="preserve"> REF _Ref506991186 \h </w:instrText>
      </w:r>
      <w:r>
        <w:rPr>
          <w:szCs w:val="32"/>
        </w:rPr>
      </w:r>
      <w:r>
        <w:rPr>
          <w:szCs w:val="32"/>
        </w:rPr>
        <w:fldChar w:fldCharType="separate"/>
      </w:r>
      <w:r w:rsidR="005D5C7C">
        <w:t xml:space="preserve">Table </w:t>
      </w:r>
      <w:r w:rsidR="005D5C7C">
        <w:rPr>
          <w:noProof/>
        </w:rPr>
        <w:t>4</w:t>
      </w:r>
      <w:r w:rsidR="005D5C7C">
        <w:t>.</w:t>
      </w:r>
      <w:r w:rsidR="005D5C7C">
        <w:rPr>
          <w:noProof/>
        </w:rPr>
        <w:t>3</w:t>
      </w:r>
      <w:r>
        <w:rPr>
          <w:szCs w:val="32"/>
        </w:rPr>
        <w:fldChar w:fldCharType="end"/>
      </w:r>
      <w:r w:rsidR="00DA3738">
        <w:rPr>
          <w:szCs w:val="32"/>
        </w:rPr>
        <w:t xml:space="preserve"> summarizes aggregate event-hour results for the typical event day for eight industry groups, including the number of enrolled customers, the reference and observed loads, and the estimated load impacts (in MWh/hour and as a percentage of the reference load).</w:t>
      </w:r>
      <w:r w:rsidR="00A75354">
        <w:rPr>
          <w:szCs w:val="32"/>
        </w:rPr>
        <w:t xml:space="preserve"> </w:t>
      </w:r>
      <w:r w:rsidR="00DA3738">
        <w:rPr>
          <w:szCs w:val="32"/>
        </w:rPr>
        <w:t>Enrollments are concentrated in the Manufacturing and Offices, Hotels, Health &amp; Services groups, which represent a combined 53 percent of large customers. These two groups also have the largest estimated reference loads of 156 and 157 MWh/hour, respectively. Manufacturing</w:t>
      </w:r>
      <w:r w:rsidR="00170658">
        <w:rPr>
          <w:szCs w:val="32"/>
        </w:rPr>
        <w:t>,</w:t>
      </w:r>
      <w:r w:rsidR="00DA3738">
        <w:rPr>
          <w:szCs w:val="32"/>
        </w:rPr>
        <w:t xml:space="preserve"> </w:t>
      </w:r>
      <w:r w:rsidR="00170658">
        <w:rPr>
          <w:szCs w:val="32"/>
        </w:rPr>
        <w:t xml:space="preserve">with 15 MWh/hour of load impact, </w:t>
      </w:r>
      <w:r w:rsidR="00A75354">
        <w:rPr>
          <w:szCs w:val="32"/>
        </w:rPr>
        <w:t xml:space="preserve">accounts for the bulk of the </w:t>
      </w:r>
      <w:r w:rsidR="00DA3738">
        <w:rPr>
          <w:szCs w:val="32"/>
        </w:rPr>
        <w:t>load impacts for large CPP customers</w:t>
      </w:r>
      <w:r w:rsidR="00A75354">
        <w:rPr>
          <w:szCs w:val="32"/>
        </w:rPr>
        <w:t xml:space="preserve">, </w:t>
      </w:r>
      <w:r w:rsidR="00170658">
        <w:rPr>
          <w:szCs w:val="32"/>
        </w:rPr>
        <w:t>represent</w:t>
      </w:r>
      <w:r w:rsidR="00A75354">
        <w:rPr>
          <w:szCs w:val="32"/>
        </w:rPr>
        <w:t>ing two-thirds</w:t>
      </w:r>
      <w:r w:rsidR="00170658">
        <w:rPr>
          <w:szCs w:val="32"/>
        </w:rPr>
        <w:t xml:space="preserve"> of the aggregate load reduction.</w:t>
      </w:r>
      <w:r w:rsidR="00DA3738">
        <w:rPr>
          <w:szCs w:val="32"/>
        </w:rPr>
        <w:t xml:space="preserve"> </w:t>
      </w:r>
      <w:r w:rsidR="00170658">
        <w:rPr>
          <w:szCs w:val="32"/>
        </w:rPr>
        <w:t xml:space="preserve">There are </w:t>
      </w:r>
      <w:r w:rsidR="002F0A89" w:rsidRPr="002F0A89">
        <w:rPr>
          <w:szCs w:val="32"/>
          <w:highlight w:val="black"/>
        </w:rPr>
        <w:t>---------------------------------------------------------------------------------------------------------------------------------------------------------------------------------</w:t>
      </w:r>
      <w:r w:rsidR="00170658">
        <w:rPr>
          <w:szCs w:val="32"/>
        </w:rPr>
        <w:t xml:space="preserve">.  </w:t>
      </w:r>
      <w:r w:rsidR="00DA3738">
        <w:rPr>
          <w:szCs w:val="32"/>
        </w:rPr>
        <w:t xml:space="preserve"> </w:t>
      </w:r>
    </w:p>
    <w:p w14:paraId="2C0A1EE0" w14:textId="128ADE36" w:rsidR="00A27595" w:rsidRDefault="003166C0" w:rsidP="00CB13E9">
      <w:pPr>
        <w:spacing w:after="120"/>
        <w:rPr>
          <w:szCs w:val="32"/>
        </w:rPr>
      </w:pPr>
      <w:r>
        <w:rPr>
          <w:noProof/>
          <w:szCs w:val="32"/>
        </w:rPr>
        <mc:AlternateContent>
          <mc:Choice Requires="wps">
            <w:drawing>
              <wp:anchor distT="0" distB="0" distL="114300" distR="114300" simplePos="0" relativeHeight="251682816" behindDoc="0" locked="0" layoutInCell="1" allowOverlap="1" wp14:anchorId="747B6C4B" wp14:editId="0C42FC73">
                <wp:simplePos x="0" y="0"/>
                <wp:positionH relativeFrom="margin">
                  <wp:align>right</wp:align>
                </wp:positionH>
                <wp:positionV relativeFrom="paragraph">
                  <wp:posOffset>1215915</wp:posOffset>
                </wp:positionV>
                <wp:extent cx="5422789" cy="397566"/>
                <wp:effectExtent l="0" t="0" r="26035" b="21590"/>
                <wp:wrapNone/>
                <wp:docPr id="37" name="Text Box 37"/>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462C1634" w14:textId="77777777" w:rsidR="006F4399" w:rsidRPr="00EB41EA" w:rsidRDefault="006F4399" w:rsidP="003166C0">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7B6C4B" id="Text Box 37" o:spid="_x0000_s1038" type="#_x0000_t202" style="position:absolute;margin-left:375.8pt;margin-top:95.75pt;width:427pt;height:31.3pt;z-index:2516828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" fillcolor="white [3201]" strokeweight=".5pt">
                <v:textbox>
                  <w:txbxContent>
                    <w:p w14:paraId="462C1634" w14:textId="77777777" w:rsidR="006F4399" w:rsidRPr="00EB41EA" w:rsidRDefault="006F4399" w:rsidP="003166C0">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3F6E336F" w14:textId="30D67CE1" w:rsidR="00697C02" w:rsidRDefault="00697C02" w:rsidP="00697C02">
      <w:pPr>
        <w:pStyle w:val="TableCaption"/>
      </w:pPr>
      <w:bookmarkStart w:id="284" w:name="_Ref506991186"/>
      <w:bookmarkStart w:id="285" w:name="_Toc509837386"/>
      <w:r>
        <w:lastRenderedPageBreak/>
        <w:t xml:space="preserve">Table </w:t>
      </w:r>
      <w:fldSimple w:instr=" STYLEREF 1 \s ">
        <w:r w:rsidR="005D5C7C">
          <w:rPr>
            <w:noProof/>
          </w:rPr>
          <w:t>4</w:t>
        </w:r>
      </w:fldSimple>
      <w:r w:rsidR="0069714C">
        <w:t>.</w:t>
      </w:r>
      <w:fldSimple w:instr=" SEQ Table \* ARABIC \s 1 ">
        <w:r w:rsidR="005D5C7C">
          <w:rPr>
            <w:noProof/>
          </w:rPr>
          <w:t>3</w:t>
        </w:r>
      </w:fldSimple>
      <w:bookmarkEnd w:id="284"/>
      <w:r>
        <w:t>: Typical Event Day Load Impacts b</w:t>
      </w:r>
      <w:r w:rsidRPr="006C0719">
        <w:t xml:space="preserve">y Industry Group, </w:t>
      </w:r>
      <w:r w:rsidRPr="000617A8">
        <w:rPr>
          <w:i/>
        </w:rPr>
        <w:t>SCE</w:t>
      </w:r>
      <w:r>
        <w:rPr>
          <w:i/>
        </w:rPr>
        <w:t xml:space="preserve"> Large</w:t>
      </w:r>
      <w:bookmarkEnd w:id="2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8"/>
        <w:gridCol w:w="1260"/>
        <w:gridCol w:w="1352"/>
        <w:gridCol w:w="1348"/>
        <w:gridCol w:w="1350"/>
        <w:gridCol w:w="789"/>
      </w:tblGrid>
      <w:tr w:rsidR="00C03B0F" w14:paraId="3CAC4043" w14:textId="77777777" w:rsidTr="00F42180">
        <w:trPr>
          <w:jc w:val="center"/>
        </w:trPr>
        <w:tc>
          <w:tcPr>
            <w:tcW w:w="2158" w:type="dxa"/>
            <w:tcBorders>
              <w:top w:val="single" w:sz="4" w:space="0" w:color="000000" w:themeColor="text1"/>
              <w:right w:val="single" w:sz="4" w:space="0" w:color="FFFFFF" w:themeColor="background1"/>
            </w:tcBorders>
            <w:shd w:val="clear" w:color="auto" w:fill="0C2577"/>
            <w:vAlign w:val="center"/>
          </w:tcPr>
          <w:p w14:paraId="14DF57E7" w14:textId="47E20E65"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Industry Group</w:t>
            </w:r>
          </w:p>
        </w:tc>
        <w:tc>
          <w:tcPr>
            <w:tcW w:w="1260" w:type="dxa"/>
            <w:tcBorders>
              <w:top w:val="single" w:sz="4" w:space="0" w:color="000000" w:themeColor="text1"/>
              <w:left w:val="single" w:sz="4" w:space="0" w:color="FFFFFF" w:themeColor="background1"/>
              <w:right w:val="single" w:sz="4" w:space="0" w:color="FFFFFF" w:themeColor="background1"/>
            </w:tcBorders>
            <w:shd w:val="clear" w:color="auto" w:fill="0C2577"/>
            <w:vAlign w:val="center"/>
          </w:tcPr>
          <w:p w14:paraId="573BEE31" w14:textId="5FFFFA2D" w:rsidR="00C03B0F" w:rsidRPr="007E0A27" w:rsidRDefault="00C03B0F" w:rsidP="00C03B0F">
            <w:pPr>
              <w:keepNext/>
              <w:keepLines/>
              <w:jc w:val="center"/>
              <w:rPr>
                <w:rFonts w:ascii="Arial" w:hAnsi="Arial" w:cs="Arial"/>
                <w:b/>
                <w:sz w:val="20"/>
                <w:szCs w:val="20"/>
              </w:rPr>
            </w:pPr>
            <w:r>
              <w:rPr>
                <w:rFonts w:ascii="Arial" w:hAnsi="Arial" w:cs="Arial"/>
                <w:b/>
                <w:sz w:val="20"/>
                <w:szCs w:val="20"/>
              </w:rPr>
              <w:t># of Service Accounts</w:t>
            </w:r>
          </w:p>
        </w:tc>
        <w:tc>
          <w:tcPr>
            <w:tcW w:w="1352" w:type="dxa"/>
            <w:tcBorders>
              <w:top w:val="single" w:sz="4" w:space="0" w:color="000000" w:themeColor="text1"/>
              <w:left w:val="single" w:sz="4" w:space="0" w:color="FFFFFF" w:themeColor="background1"/>
              <w:right w:val="single" w:sz="4" w:space="0" w:color="FFFFFF" w:themeColor="background1"/>
            </w:tcBorders>
            <w:shd w:val="clear" w:color="auto" w:fill="0C2577"/>
            <w:vAlign w:val="center"/>
          </w:tcPr>
          <w:p w14:paraId="312DAD43" w14:textId="0922906F"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Estimated Reference Load (MW</w:t>
            </w:r>
            <w:r w:rsidR="000050F0">
              <w:rPr>
                <w:rFonts w:ascii="Arial" w:hAnsi="Arial" w:cs="Arial"/>
                <w:b/>
                <w:sz w:val="20"/>
                <w:szCs w:val="20"/>
              </w:rPr>
              <w:t>h/hour</w:t>
            </w:r>
            <w:r w:rsidRPr="007E0A27">
              <w:rPr>
                <w:rFonts w:ascii="Arial" w:hAnsi="Arial" w:cs="Arial"/>
                <w:b/>
                <w:sz w:val="20"/>
                <w:szCs w:val="20"/>
              </w:rPr>
              <w:t>)</w:t>
            </w:r>
          </w:p>
        </w:tc>
        <w:tc>
          <w:tcPr>
            <w:tcW w:w="1348" w:type="dxa"/>
            <w:tcBorders>
              <w:top w:val="single" w:sz="4" w:space="0" w:color="000000" w:themeColor="text1"/>
              <w:left w:val="single" w:sz="4" w:space="0" w:color="FFFFFF" w:themeColor="background1"/>
              <w:right w:val="single" w:sz="4" w:space="0" w:color="FFFFFF" w:themeColor="background1"/>
            </w:tcBorders>
            <w:shd w:val="clear" w:color="auto" w:fill="0C2577"/>
            <w:vAlign w:val="center"/>
          </w:tcPr>
          <w:p w14:paraId="405CA68D" w14:textId="12F204C2"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Observed Load (MW</w:t>
            </w:r>
            <w:r w:rsidR="000050F0">
              <w:rPr>
                <w:rFonts w:ascii="Arial" w:hAnsi="Arial" w:cs="Arial"/>
                <w:b/>
                <w:sz w:val="20"/>
                <w:szCs w:val="20"/>
              </w:rPr>
              <w:t>h/hour</w:t>
            </w:r>
            <w:r w:rsidRPr="007E0A27">
              <w:rPr>
                <w:rFonts w:ascii="Arial" w:hAnsi="Arial" w:cs="Arial"/>
                <w:b/>
                <w:sz w:val="20"/>
                <w:szCs w:val="20"/>
              </w:rPr>
              <w:t>)</w:t>
            </w:r>
          </w:p>
        </w:tc>
        <w:tc>
          <w:tcPr>
            <w:tcW w:w="1350" w:type="dxa"/>
            <w:tcBorders>
              <w:top w:val="single" w:sz="4" w:space="0" w:color="000000" w:themeColor="text1"/>
              <w:left w:val="single" w:sz="4" w:space="0" w:color="FFFFFF" w:themeColor="background1"/>
              <w:right w:val="single" w:sz="4" w:space="0" w:color="FFFFFF" w:themeColor="background1"/>
            </w:tcBorders>
            <w:shd w:val="clear" w:color="auto" w:fill="0C2577"/>
            <w:vAlign w:val="center"/>
          </w:tcPr>
          <w:p w14:paraId="3D6E4671" w14:textId="353617BA"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Estimated Load Impact (MW</w:t>
            </w:r>
            <w:r w:rsidR="000050F0">
              <w:rPr>
                <w:rFonts w:ascii="Arial" w:hAnsi="Arial" w:cs="Arial"/>
                <w:b/>
                <w:sz w:val="20"/>
                <w:szCs w:val="20"/>
              </w:rPr>
              <w:t>h/hour</w:t>
            </w:r>
            <w:r w:rsidRPr="007E0A27">
              <w:rPr>
                <w:rFonts w:ascii="Arial" w:hAnsi="Arial" w:cs="Arial"/>
                <w:b/>
                <w:sz w:val="20"/>
                <w:szCs w:val="20"/>
              </w:rPr>
              <w:t>)</w:t>
            </w:r>
          </w:p>
        </w:tc>
        <w:tc>
          <w:tcPr>
            <w:tcW w:w="789" w:type="dxa"/>
            <w:tcBorders>
              <w:top w:val="single" w:sz="4" w:space="0" w:color="000000" w:themeColor="text1"/>
              <w:left w:val="single" w:sz="4" w:space="0" w:color="FFFFFF" w:themeColor="background1"/>
            </w:tcBorders>
            <w:shd w:val="clear" w:color="auto" w:fill="0C2577"/>
            <w:vAlign w:val="center"/>
          </w:tcPr>
          <w:p w14:paraId="4A912103" w14:textId="33CAAD06" w:rsidR="00C03B0F" w:rsidRPr="007E0A27" w:rsidRDefault="00C03B0F" w:rsidP="00C03B0F">
            <w:pPr>
              <w:keepNext/>
              <w:keepLines/>
              <w:jc w:val="center"/>
              <w:rPr>
                <w:rFonts w:ascii="Arial" w:hAnsi="Arial" w:cs="Arial"/>
                <w:b/>
                <w:sz w:val="20"/>
                <w:szCs w:val="20"/>
              </w:rPr>
            </w:pPr>
            <w:r w:rsidRPr="007E0A27">
              <w:rPr>
                <w:rFonts w:ascii="Arial" w:hAnsi="Arial" w:cs="Arial"/>
                <w:b/>
                <w:sz w:val="20"/>
                <w:szCs w:val="20"/>
              </w:rPr>
              <w:t>% LI</w:t>
            </w:r>
          </w:p>
        </w:tc>
      </w:tr>
      <w:tr w:rsidR="00487430" w14:paraId="40FC8CD9" w14:textId="77777777" w:rsidTr="000D4B4C">
        <w:trPr>
          <w:jc w:val="center"/>
        </w:trPr>
        <w:tc>
          <w:tcPr>
            <w:tcW w:w="2158" w:type="dxa"/>
            <w:vAlign w:val="center"/>
          </w:tcPr>
          <w:p w14:paraId="372A31D1"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Agriculture, Mining, &amp; Construction</w:t>
            </w:r>
          </w:p>
        </w:tc>
        <w:tc>
          <w:tcPr>
            <w:tcW w:w="1260" w:type="dxa"/>
            <w:shd w:val="clear" w:color="auto" w:fill="auto"/>
            <w:vAlign w:val="center"/>
          </w:tcPr>
          <w:p w14:paraId="68C5F2D8" w14:textId="3E4F6D18" w:rsidR="00487430" w:rsidRPr="000547DF" w:rsidRDefault="00487430" w:rsidP="00487430">
            <w:pPr>
              <w:jc w:val="right"/>
              <w:rPr>
                <w:rFonts w:ascii="Arial" w:hAnsi="Arial" w:cs="Arial"/>
                <w:sz w:val="20"/>
                <w:szCs w:val="20"/>
              </w:rPr>
            </w:pPr>
            <w:r w:rsidRPr="0047584F">
              <w:rPr>
                <w:rFonts w:ascii="Arial" w:hAnsi="Arial" w:cs="Arial"/>
                <w:sz w:val="20"/>
                <w:szCs w:val="20"/>
              </w:rPr>
              <w:t>63</w:t>
            </w:r>
          </w:p>
        </w:tc>
        <w:tc>
          <w:tcPr>
            <w:tcW w:w="1352" w:type="dxa"/>
            <w:shd w:val="clear" w:color="auto" w:fill="auto"/>
            <w:vAlign w:val="center"/>
          </w:tcPr>
          <w:p w14:paraId="0D023318" w14:textId="40F4C01E" w:rsidR="00487430" w:rsidRPr="000547DF" w:rsidRDefault="00487430" w:rsidP="00487430">
            <w:pPr>
              <w:jc w:val="right"/>
              <w:rPr>
                <w:rFonts w:ascii="Arial" w:hAnsi="Arial" w:cs="Arial"/>
                <w:sz w:val="20"/>
                <w:szCs w:val="20"/>
              </w:rPr>
            </w:pPr>
            <w:r w:rsidRPr="0047584F">
              <w:rPr>
                <w:rFonts w:ascii="Arial" w:hAnsi="Arial" w:cs="Arial"/>
                <w:sz w:val="20"/>
                <w:szCs w:val="20"/>
              </w:rPr>
              <w:t>9.1</w:t>
            </w:r>
          </w:p>
        </w:tc>
        <w:tc>
          <w:tcPr>
            <w:tcW w:w="1348" w:type="dxa"/>
            <w:shd w:val="clear" w:color="auto" w:fill="auto"/>
            <w:vAlign w:val="center"/>
          </w:tcPr>
          <w:p w14:paraId="286EE567" w14:textId="745A08E0" w:rsidR="00487430" w:rsidRPr="000547DF" w:rsidRDefault="00487430" w:rsidP="00487430">
            <w:pPr>
              <w:jc w:val="right"/>
              <w:rPr>
                <w:rFonts w:ascii="Arial" w:hAnsi="Arial" w:cs="Arial"/>
                <w:sz w:val="20"/>
                <w:szCs w:val="20"/>
              </w:rPr>
            </w:pPr>
            <w:r w:rsidRPr="0047584F">
              <w:rPr>
                <w:rFonts w:ascii="Arial" w:hAnsi="Arial" w:cs="Arial"/>
                <w:sz w:val="20"/>
                <w:szCs w:val="20"/>
              </w:rPr>
              <w:t>8.1</w:t>
            </w:r>
          </w:p>
        </w:tc>
        <w:tc>
          <w:tcPr>
            <w:tcW w:w="1350" w:type="dxa"/>
            <w:shd w:val="clear" w:color="auto" w:fill="auto"/>
            <w:vAlign w:val="center"/>
          </w:tcPr>
          <w:p w14:paraId="41637769" w14:textId="2BC4FBA0" w:rsidR="00487430" w:rsidRPr="000547DF" w:rsidRDefault="00487430" w:rsidP="00487430">
            <w:pPr>
              <w:jc w:val="right"/>
              <w:rPr>
                <w:rFonts w:ascii="Arial" w:hAnsi="Arial" w:cs="Arial"/>
                <w:sz w:val="20"/>
                <w:szCs w:val="20"/>
              </w:rPr>
            </w:pPr>
            <w:r w:rsidRPr="0047584F">
              <w:rPr>
                <w:rFonts w:ascii="Arial" w:hAnsi="Arial" w:cs="Arial"/>
                <w:sz w:val="20"/>
                <w:szCs w:val="20"/>
              </w:rPr>
              <w:t>1.0</w:t>
            </w:r>
          </w:p>
        </w:tc>
        <w:tc>
          <w:tcPr>
            <w:tcW w:w="789" w:type="dxa"/>
            <w:shd w:val="clear" w:color="auto" w:fill="auto"/>
            <w:vAlign w:val="center"/>
          </w:tcPr>
          <w:p w14:paraId="1FE8CC91" w14:textId="7C334E0D" w:rsidR="00487430" w:rsidRPr="000547DF" w:rsidRDefault="00487430" w:rsidP="00487430">
            <w:pPr>
              <w:jc w:val="right"/>
              <w:rPr>
                <w:rFonts w:ascii="Arial" w:hAnsi="Arial" w:cs="Arial"/>
                <w:sz w:val="20"/>
                <w:szCs w:val="20"/>
              </w:rPr>
            </w:pPr>
            <w:r w:rsidRPr="0047584F">
              <w:rPr>
                <w:rFonts w:ascii="Arial" w:hAnsi="Arial" w:cs="Arial"/>
                <w:sz w:val="20"/>
                <w:szCs w:val="20"/>
              </w:rPr>
              <w:t>11.3%</w:t>
            </w:r>
          </w:p>
        </w:tc>
      </w:tr>
      <w:tr w:rsidR="00487430" w14:paraId="7DFDDCE9" w14:textId="77777777" w:rsidTr="000D4B4C">
        <w:trPr>
          <w:jc w:val="center"/>
        </w:trPr>
        <w:tc>
          <w:tcPr>
            <w:tcW w:w="2158" w:type="dxa"/>
            <w:vAlign w:val="center"/>
          </w:tcPr>
          <w:p w14:paraId="33B4472F"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Manufacturing</w:t>
            </w:r>
          </w:p>
        </w:tc>
        <w:tc>
          <w:tcPr>
            <w:tcW w:w="1260" w:type="dxa"/>
            <w:shd w:val="clear" w:color="auto" w:fill="auto"/>
            <w:vAlign w:val="center"/>
          </w:tcPr>
          <w:p w14:paraId="261BB490" w14:textId="3B3B025F" w:rsidR="00487430" w:rsidRPr="000547DF" w:rsidRDefault="00487430" w:rsidP="00487430">
            <w:pPr>
              <w:jc w:val="right"/>
              <w:rPr>
                <w:rFonts w:ascii="Arial" w:hAnsi="Arial" w:cs="Arial"/>
                <w:sz w:val="20"/>
                <w:szCs w:val="20"/>
              </w:rPr>
            </w:pPr>
            <w:r w:rsidRPr="0047584F">
              <w:rPr>
                <w:rFonts w:ascii="Arial" w:hAnsi="Arial" w:cs="Arial"/>
                <w:sz w:val="20"/>
                <w:szCs w:val="20"/>
              </w:rPr>
              <w:t>644</w:t>
            </w:r>
          </w:p>
        </w:tc>
        <w:tc>
          <w:tcPr>
            <w:tcW w:w="1352" w:type="dxa"/>
            <w:shd w:val="clear" w:color="auto" w:fill="auto"/>
            <w:vAlign w:val="center"/>
          </w:tcPr>
          <w:p w14:paraId="0FEAADAA" w14:textId="058026DA" w:rsidR="00487430" w:rsidRPr="000547DF" w:rsidRDefault="00487430" w:rsidP="00487430">
            <w:pPr>
              <w:jc w:val="right"/>
              <w:rPr>
                <w:rFonts w:ascii="Arial" w:hAnsi="Arial" w:cs="Arial"/>
                <w:sz w:val="20"/>
                <w:szCs w:val="20"/>
              </w:rPr>
            </w:pPr>
            <w:r w:rsidRPr="0047584F">
              <w:rPr>
                <w:rFonts w:ascii="Arial" w:hAnsi="Arial" w:cs="Arial"/>
                <w:sz w:val="20"/>
                <w:szCs w:val="20"/>
              </w:rPr>
              <w:t>155.7</w:t>
            </w:r>
          </w:p>
        </w:tc>
        <w:tc>
          <w:tcPr>
            <w:tcW w:w="1348" w:type="dxa"/>
            <w:shd w:val="clear" w:color="auto" w:fill="auto"/>
            <w:vAlign w:val="center"/>
          </w:tcPr>
          <w:p w14:paraId="391512D2" w14:textId="7C058DE4" w:rsidR="00487430" w:rsidRPr="000547DF" w:rsidRDefault="00487430" w:rsidP="00487430">
            <w:pPr>
              <w:jc w:val="right"/>
              <w:rPr>
                <w:rFonts w:ascii="Arial" w:hAnsi="Arial" w:cs="Arial"/>
                <w:sz w:val="20"/>
                <w:szCs w:val="20"/>
              </w:rPr>
            </w:pPr>
            <w:r w:rsidRPr="0047584F">
              <w:rPr>
                <w:rFonts w:ascii="Arial" w:hAnsi="Arial" w:cs="Arial"/>
                <w:sz w:val="20"/>
                <w:szCs w:val="20"/>
              </w:rPr>
              <w:t>141.2</w:t>
            </w:r>
          </w:p>
        </w:tc>
        <w:tc>
          <w:tcPr>
            <w:tcW w:w="1350" w:type="dxa"/>
            <w:shd w:val="clear" w:color="auto" w:fill="auto"/>
            <w:vAlign w:val="center"/>
          </w:tcPr>
          <w:p w14:paraId="787FE7BD" w14:textId="246122C3" w:rsidR="00487430" w:rsidRPr="000547DF" w:rsidRDefault="00487430" w:rsidP="00487430">
            <w:pPr>
              <w:jc w:val="right"/>
              <w:rPr>
                <w:rFonts w:ascii="Arial" w:hAnsi="Arial" w:cs="Arial"/>
                <w:sz w:val="20"/>
                <w:szCs w:val="20"/>
              </w:rPr>
            </w:pPr>
            <w:r w:rsidRPr="0047584F">
              <w:rPr>
                <w:rFonts w:ascii="Arial" w:hAnsi="Arial" w:cs="Arial"/>
                <w:sz w:val="20"/>
                <w:szCs w:val="20"/>
              </w:rPr>
              <w:t>14.5</w:t>
            </w:r>
          </w:p>
        </w:tc>
        <w:tc>
          <w:tcPr>
            <w:tcW w:w="789" w:type="dxa"/>
            <w:shd w:val="clear" w:color="auto" w:fill="auto"/>
            <w:vAlign w:val="center"/>
          </w:tcPr>
          <w:p w14:paraId="5DEA3B9D" w14:textId="58405182" w:rsidR="00487430" w:rsidRPr="000547DF" w:rsidRDefault="00487430" w:rsidP="00487430">
            <w:pPr>
              <w:jc w:val="right"/>
              <w:rPr>
                <w:rFonts w:ascii="Arial" w:hAnsi="Arial" w:cs="Arial"/>
                <w:sz w:val="20"/>
                <w:szCs w:val="20"/>
              </w:rPr>
            </w:pPr>
            <w:r w:rsidRPr="0047584F">
              <w:rPr>
                <w:rFonts w:ascii="Arial" w:hAnsi="Arial" w:cs="Arial"/>
                <w:sz w:val="20"/>
                <w:szCs w:val="20"/>
              </w:rPr>
              <w:t>9.3%</w:t>
            </w:r>
          </w:p>
        </w:tc>
      </w:tr>
      <w:tr w:rsidR="00487430" w14:paraId="578FE366" w14:textId="77777777" w:rsidTr="000D4B4C">
        <w:trPr>
          <w:jc w:val="center"/>
        </w:trPr>
        <w:tc>
          <w:tcPr>
            <w:tcW w:w="2158" w:type="dxa"/>
            <w:vAlign w:val="center"/>
          </w:tcPr>
          <w:p w14:paraId="0F10BF8C"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Wholesale, Transportation, &amp; Other Utilities</w:t>
            </w:r>
          </w:p>
        </w:tc>
        <w:tc>
          <w:tcPr>
            <w:tcW w:w="1260" w:type="dxa"/>
            <w:shd w:val="clear" w:color="auto" w:fill="auto"/>
            <w:vAlign w:val="center"/>
          </w:tcPr>
          <w:p w14:paraId="10911CBA" w14:textId="79E67EC1" w:rsidR="00487430" w:rsidRPr="000547DF" w:rsidRDefault="00487430" w:rsidP="00487430">
            <w:pPr>
              <w:jc w:val="right"/>
              <w:rPr>
                <w:rFonts w:ascii="Arial" w:hAnsi="Arial" w:cs="Arial"/>
                <w:sz w:val="20"/>
                <w:szCs w:val="20"/>
              </w:rPr>
            </w:pPr>
            <w:r w:rsidRPr="0047584F">
              <w:rPr>
                <w:rFonts w:ascii="Arial" w:hAnsi="Arial" w:cs="Arial"/>
                <w:sz w:val="20"/>
                <w:szCs w:val="20"/>
              </w:rPr>
              <w:t>380</w:t>
            </w:r>
          </w:p>
        </w:tc>
        <w:tc>
          <w:tcPr>
            <w:tcW w:w="1352" w:type="dxa"/>
            <w:shd w:val="clear" w:color="auto" w:fill="auto"/>
            <w:vAlign w:val="center"/>
          </w:tcPr>
          <w:p w14:paraId="2A07CE42" w14:textId="16351559" w:rsidR="00487430" w:rsidRPr="000547DF" w:rsidRDefault="00487430" w:rsidP="00487430">
            <w:pPr>
              <w:jc w:val="right"/>
              <w:rPr>
                <w:rFonts w:ascii="Arial" w:hAnsi="Arial" w:cs="Arial"/>
                <w:sz w:val="20"/>
                <w:szCs w:val="20"/>
              </w:rPr>
            </w:pPr>
            <w:r w:rsidRPr="0047584F">
              <w:rPr>
                <w:rFonts w:ascii="Arial" w:hAnsi="Arial" w:cs="Arial"/>
                <w:sz w:val="20"/>
                <w:szCs w:val="20"/>
              </w:rPr>
              <w:t>94.1</w:t>
            </w:r>
          </w:p>
        </w:tc>
        <w:tc>
          <w:tcPr>
            <w:tcW w:w="1348" w:type="dxa"/>
            <w:shd w:val="clear" w:color="auto" w:fill="auto"/>
            <w:vAlign w:val="center"/>
          </w:tcPr>
          <w:p w14:paraId="088086C8" w14:textId="1C2E387C" w:rsidR="00487430" w:rsidRPr="000547DF" w:rsidRDefault="00487430" w:rsidP="00487430">
            <w:pPr>
              <w:jc w:val="right"/>
              <w:rPr>
                <w:rFonts w:ascii="Arial" w:hAnsi="Arial" w:cs="Arial"/>
                <w:sz w:val="20"/>
                <w:szCs w:val="20"/>
              </w:rPr>
            </w:pPr>
            <w:r w:rsidRPr="0047584F">
              <w:rPr>
                <w:rFonts w:ascii="Arial" w:hAnsi="Arial" w:cs="Arial"/>
                <w:sz w:val="20"/>
                <w:szCs w:val="20"/>
              </w:rPr>
              <w:t>92.0</w:t>
            </w:r>
          </w:p>
        </w:tc>
        <w:tc>
          <w:tcPr>
            <w:tcW w:w="1350" w:type="dxa"/>
            <w:shd w:val="clear" w:color="auto" w:fill="auto"/>
            <w:vAlign w:val="center"/>
          </w:tcPr>
          <w:p w14:paraId="45BF611A" w14:textId="25A43A41" w:rsidR="00487430" w:rsidRPr="000547DF" w:rsidRDefault="00487430" w:rsidP="00487430">
            <w:pPr>
              <w:jc w:val="right"/>
              <w:rPr>
                <w:rFonts w:ascii="Arial" w:hAnsi="Arial" w:cs="Arial"/>
                <w:sz w:val="20"/>
                <w:szCs w:val="20"/>
              </w:rPr>
            </w:pPr>
            <w:r w:rsidRPr="0047584F">
              <w:rPr>
                <w:rFonts w:ascii="Arial" w:hAnsi="Arial" w:cs="Arial"/>
                <w:sz w:val="20"/>
                <w:szCs w:val="20"/>
              </w:rPr>
              <w:t>2.1</w:t>
            </w:r>
          </w:p>
        </w:tc>
        <w:tc>
          <w:tcPr>
            <w:tcW w:w="789" w:type="dxa"/>
            <w:shd w:val="clear" w:color="auto" w:fill="auto"/>
            <w:vAlign w:val="center"/>
          </w:tcPr>
          <w:p w14:paraId="59FCEFFF" w14:textId="5BCEE35C" w:rsidR="00487430" w:rsidRPr="000547DF" w:rsidRDefault="00487430" w:rsidP="00487430">
            <w:pPr>
              <w:jc w:val="right"/>
              <w:rPr>
                <w:rFonts w:ascii="Arial" w:hAnsi="Arial" w:cs="Arial"/>
                <w:sz w:val="20"/>
                <w:szCs w:val="20"/>
              </w:rPr>
            </w:pPr>
            <w:r w:rsidRPr="0047584F">
              <w:rPr>
                <w:rFonts w:ascii="Arial" w:hAnsi="Arial" w:cs="Arial"/>
                <w:sz w:val="20"/>
                <w:szCs w:val="20"/>
              </w:rPr>
              <w:t>2.2%</w:t>
            </w:r>
          </w:p>
        </w:tc>
      </w:tr>
      <w:tr w:rsidR="00487430" w14:paraId="6F2D1FB1" w14:textId="77777777" w:rsidTr="000D4B4C">
        <w:trPr>
          <w:jc w:val="center"/>
        </w:trPr>
        <w:tc>
          <w:tcPr>
            <w:tcW w:w="2158" w:type="dxa"/>
            <w:vAlign w:val="center"/>
          </w:tcPr>
          <w:p w14:paraId="4613B11F"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Retail Stores</w:t>
            </w:r>
          </w:p>
        </w:tc>
        <w:tc>
          <w:tcPr>
            <w:tcW w:w="1260" w:type="dxa"/>
            <w:shd w:val="clear" w:color="auto" w:fill="auto"/>
            <w:vAlign w:val="center"/>
          </w:tcPr>
          <w:p w14:paraId="7C7ECFC5" w14:textId="19E31829" w:rsidR="00487430" w:rsidRPr="000547DF" w:rsidRDefault="00487430" w:rsidP="00487430">
            <w:pPr>
              <w:jc w:val="right"/>
              <w:rPr>
                <w:rFonts w:ascii="Arial" w:hAnsi="Arial" w:cs="Arial"/>
                <w:sz w:val="20"/>
                <w:szCs w:val="20"/>
              </w:rPr>
            </w:pPr>
            <w:r w:rsidRPr="0047584F">
              <w:rPr>
                <w:rFonts w:ascii="Arial" w:hAnsi="Arial" w:cs="Arial"/>
                <w:sz w:val="20"/>
                <w:szCs w:val="20"/>
              </w:rPr>
              <w:t>185</w:t>
            </w:r>
          </w:p>
        </w:tc>
        <w:tc>
          <w:tcPr>
            <w:tcW w:w="1352" w:type="dxa"/>
            <w:shd w:val="clear" w:color="auto" w:fill="auto"/>
            <w:vAlign w:val="center"/>
          </w:tcPr>
          <w:p w14:paraId="27F5ACC8" w14:textId="2015092E" w:rsidR="00487430" w:rsidRPr="000547DF" w:rsidRDefault="00487430" w:rsidP="00487430">
            <w:pPr>
              <w:jc w:val="right"/>
              <w:rPr>
                <w:rFonts w:ascii="Arial" w:hAnsi="Arial" w:cs="Arial"/>
                <w:sz w:val="20"/>
                <w:szCs w:val="20"/>
              </w:rPr>
            </w:pPr>
            <w:r w:rsidRPr="0047584F">
              <w:rPr>
                <w:rFonts w:ascii="Arial" w:hAnsi="Arial" w:cs="Arial"/>
                <w:sz w:val="20"/>
                <w:szCs w:val="20"/>
              </w:rPr>
              <w:t>49.2</w:t>
            </w:r>
          </w:p>
        </w:tc>
        <w:tc>
          <w:tcPr>
            <w:tcW w:w="1348" w:type="dxa"/>
            <w:shd w:val="clear" w:color="auto" w:fill="auto"/>
            <w:vAlign w:val="center"/>
          </w:tcPr>
          <w:p w14:paraId="16F24402" w14:textId="499AA438" w:rsidR="00487430" w:rsidRPr="000547DF" w:rsidRDefault="00487430" w:rsidP="00487430">
            <w:pPr>
              <w:jc w:val="right"/>
              <w:rPr>
                <w:rFonts w:ascii="Arial" w:hAnsi="Arial" w:cs="Arial"/>
                <w:sz w:val="20"/>
                <w:szCs w:val="20"/>
              </w:rPr>
            </w:pPr>
            <w:r w:rsidRPr="0047584F">
              <w:rPr>
                <w:rFonts w:ascii="Arial" w:hAnsi="Arial" w:cs="Arial"/>
                <w:sz w:val="20"/>
                <w:szCs w:val="20"/>
              </w:rPr>
              <w:t>48.8</w:t>
            </w:r>
          </w:p>
        </w:tc>
        <w:tc>
          <w:tcPr>
            <w:tcW w:w="1350" w:type="dxa"/>
            <w:shd w:val="clear" w:color="auto" w:fill="auto"/>
            <w:vAlign w:val="center"/>
          </w:tcPr>
          <w:p w14:paraId="6727C1EA" w14:textId="6CFF29E7" w:rsidR="00487430" w:rsidRPr="000547DF" w:rsidRDefault="00487430" w:rsidP="00487430">
            <w:pPr>
              <w:jc w:val="right"/>
              <w:rPr>
                <w:rFonts w:ascii="Arial" w:hAnsi="Arial" w:cs="Arial"/>
                <w:sz w:val="20"/>
                <w:szCs w:val="20"/>
              </w:rPr>
            </w:pPr>
            <w:r w:rsidRPr="0047584F">
              <w:rPr>
                <w:rFonts w:ascii="Arial" w:hAnsi="Arial" w:cs="Arial"/>
                <w:sz w:val="20"/>
                <w:szCs w:val="20"/>
              </w:rPr>
              <w:t>0.5</w:t>
            </w:r>
          </w:p>
        </w:tc>
        <w:tc>
          <w:tcPr>
            <w:tcW w:w="789" w:type="dxa"/>
            <w:shd w:val="clear" w:color="auto" w:fill="auto"/>
            <w:vAlign w:val="center"/>
          </w:tcPr>
          <w:p w14:paraId="7B4708E4" w14:textId="199EEBBD" w:rsidR="00487430" w:rsidRPr="000547DF" w:rsidRDefault="00487430" w:rsidP="00487430">
            <w:pPr>
              <w:jc w:val="right"/>
              <w:rPr>
                <w:rFonts w:ascii="Arial" w:hAnsi="Arial" w:cs="Arial"/>
                <w:sz w:val="20"/>
                <w:szCs w:val="20"/>
              </w:rPr>
            </w:pPr>
            <w:r w:rsidRPr="0047584F">
              <w:rPr>
                <w:rFonts w:ascii="Arial" w:hAnsi="Arial" w:cs="Arial"/>
                <w:sz w:val="20"/>
                <w:szCs w:val="20"/>
              </w:rPr>
              <w:t>1.0%</w:t>
            </w:r>
          </w:p>
        </w:tc>
      </w:tr>
      <w:tr w:rsidR="00487430" w14:paraId="718AE9BB" w14:textId="77777777" w:rsidTr="000D4B4C">
        <w:trPr>
          <w:jc w:val="center"/>
        </w:trPr>
        <w:tc>
          <w:tcPr>
            <w:tcW w:w="2158" w:type="dxa"/>
            <w:vAlign w:val="center"/>
          </w:tcPr>
          <w:p w14:paraId="3125B5B9"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Offices, Hotels, Health, Services</w:t>
            </w:r>
          </w:p>
        </w:tc>
        <w:tc>
          <w:tcPr>
            <w:tcW w:w="1260" w:type="dxa"/>
            <w:shd w:val="clear" w:color="auto" w:fill="auto"/>
            <w:vAlign w:val="center"/>
          </w:tcPr>
          <w:p w14:paraId="0EB94DC1" w14:textId="571156A7" w:rsidR="00487430" w:rsidRPr="000547DF" w:rsidRDefault="00487430" w:rsidP="00487430">
            <w:pPr>
              <w:jc w:val="right"/>
              <w:rPr>
                <w:rFonts w:ascii="Arial" w:hAnsi="Arial" w:cs="Arial"/>
                <w:sz w:val="20"/>
                <w:szCs w:val="20"/>
              </w:rPr>
            </w:pPr>
            <w:r w:rsidRPr="0047584F">
              <w:rPr>
                <w:rFonts w:ascii="Arial" w:hAnsi="Arial" w:cs="Arial"/>
                <w:sz w:val="20"/>
                <w:szCs w:val="20"/>
              </w:rPr>
              <w:t>573</w:t>
            </w:r>
          </w:p>
        </w:tc>
        <w:tc>
          <w:tcPr>
            <w:tcW w:w="1352" w:type="dxa"/>
            <w:shd w:val="clear" w:color="auto" w:fill="auto"/>
            <w:vAlign w:val="center"/>
          </w:tcPr>
          <w:p w14:paraId="75E8ACE4" w14:textId="6AA79993" w:rsidR="00487430" w:rsidRPr="000547DF" w:rsidRDefault="00487430" w:rsidP="00487430">
            <w:pPr>
              <w:jc w:val="right"/>
              <w:rPr>
                <w:rFonts w:ascii="Arial" w:hAnsi="Arial" w:cs="Arial"/>
                <w:sz w:val="20"/>
                <w:szCs w:val="20"/>
              </w:rPr>
            </w:pPr>
            <w:r w:rsidRPr="0047584F">
              <w:rPr>
                <w:rFonts w:ascii="Arial" w:hAnsi="Arial" w:cs="Arial"/>
                <w:sz w:val="20"/>
                <w:szCs w:val="20"/>
              </w:rPr>
              <w:t>156.8</w:t>
            </w:r>
          </w:p>
        </w:tc>
        <w:tc>
          <w:tcPr>
            <w:tcW w:w="1348" w:type="dxa"/>
            <w:shd w:val="clear" w:color="auto" w:fill="auto"/>
            <w:vAlign w:val="center"/>
          </w:tcPr>
          <w:p w14:paraId="7A3DA77A" w14:textId="495444EA" w:rsidR="00487430" w:rsidRPr="000547DF" w:rsidRDefault="00487430" w:rsidP="00487430">
            <w:pPr>
              <w:jc w:val="right"/>
              <w:rPr>
                <w:rFonts w:ascii="Arial" w:hAnsi="Arial" w:cs="Arial"/>
                <w:sz w:val="20"/>
                <w:szCs w:val="20"/>
              </w:rPr>
            </w:pPr>
            <w:r w:rsidRPr="0047584F">
              <w:rPr>
                <w:rFonts w:ascii="Arial" w:hAnsi="Arial" w:cs="Arial"/>
                <w:sz w:val="20"/>
                <w:szCs w:val="20"/>
              </w:rPr>
              <w:t>155.1</w:t>
            </w:r>
          </w:p>
        </w:tc>
        <w:tc>
          <w:tcPr>
            <w:tcW w:w="1350" w:type="dxa"/>
            <w:shd w:val="clear" w:color="auto" w:fill="auto"/>
            <w:vAlign w:val="center"/>
          </w:tcPr>
          <w:p w14:paraId="2A4EEEE1" w14:textId="1C220E5A" w:rsidR="00487430" w:rsidRPr="000547DF" w:rsidRDefault="00487430" w:rsidP="00487430">
            <w:pPr>
              <w:jc w:val="right"/>
              <w:rPr>
                <w:rFonts w:ascii="Arial" w:hAnsi="Arial" w:cs="Arial"/>
                <w:sz w:val="20"/>
                <w:szCs w:val="20"/>
              </w:rPr>
            </w:pPr>
            <w:r w:rsidRPr="0047584F">
              <w:rPr>
                <w:rFonts w:ascii="Arial" w:hAnsi="Arial" w:cs="Arial"/>
                <w:sz w:val="20"/>
                <w:szCs w:val="20"/>
              </w:rPr>
              <w:t>1.7</w:t>
            </w:r>
          </w:p>
        </w:tc>
        <w:tc>
          <w:tcPr>
            <w:tcW w:w="789" w:type="dxa"/>
            <w:shd w:val="clear" w:color="auto" w:fill="auto"/>
            <w:vAlign w:val="center"/>
          </w:tcPr>
          <w:p w14:paraId="312EF572" w14:textId="0875A1DC" w:rsidR="00487430" w:rsidRPr="000547DF" w:rsidRDefault="00487430" w:rsidP="00487430">
            <w:pPr>
              <w:jc w:val="right"/>
              <w:rPr>
                <w:rFonts w:ascii="Arial" w:hAnsi="Arial" w:cs="Arial"/>
                <w:sz w:val="20"/>
                <w:szCs w:val="20"/>
              </w:rPr>
            </w:pPr>
            <w:r w:rsidRPr="0047584F">
              <w:rPr>
                <w:rFonts w:ascii="Arial" w:hAnsi="Arial" w:cs="Arial"/>
                <w:sz w:val="20"/>
                <w:szCs w:val="20"/>
              </w:rPr>
              <w:t>1.1%</w:t>
            </w:r>
          </w:p>
        </w:tc>
      </w:tr>
      <w:tr w:rsidR="00487430" w14:paraId="60AD47B4" w14:textId="77777777" w:rsidTr="002F0A89">
        <w:trPr>
          <w:jc w:val="center"/>
        </w:trPr>
        <w:tc>
          <w:tcPr>
            <w:tcW w:w="2158" w:type="dxa"/>
            <w:vAlign w:val="center"/>
          </w:tcPr>
          <w:p w14:paraId="7935AA89"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Schools</w:t>
            </w:r>
          </w:p>
        </w:tc>
        <w:tc>
          <w:tcPr>
            <w:tcW w:w="1260" w:type="dxa"/>
            <w:shd w:val="clear" w:color="auto" w:fill="000000" w:themeFill="text1"/>
            <w:vAlign w:val="center"/>
          </w:tcPr>
          <w:p w14:paraId="1ADC3080" w14:textId="2AE30CD4" w:rsidR="00487430" w:rsidRPr="000547DF" w:rsidRDefault="00487430" w:rsidP="00487430">
            <w:pPr>
              <w:jc w:val="right"/>
              <w:rPr>
                <w:rFonts w:ascii="Arial" w:hAnsi="Arial" w:cs="Arial"/>
                <w:sz w:val="20"/>
                <w:szCs w:val="20"/>
              </w:rPr>
            </w:pPr>
          </w:p>
        </w:tc>
        <w:tc>
          <w:tcPr>
            <w:tcW w:w="1352" w:type="dxa"/>
            <w:shd w:val="clear" w:color="auto" w:fill="000000" w:themeFill="text1"/>
            <w:vAlign w:val="center"/>
          </w:tcPr>
          <w:p w14:paraId="0C3D532E" w14:textId="5B8C27E3" w:rsidR="00487430" w:rsidRPr="000547DF" w:rsidRDefault="00487430" w:rsidP="00487430">
            <w:pPr>
              <w:jc w:val="right"/>
              <w:rPr>
                <w:rFonts w:ascii="Arial" w:hAnsi="Arial" w:cs="Arial"/>
                <w:sz w:val="20"/>
                <w:szCs w:val="20"/>
              </w:rPr>
            </w:pPr>
          </w:p>
        </w:tc>
        <w:tc>
          <w:tcPr>
            <w:tcW w:w="1348" w:type="dxa"/>
            <w:shd w:val="clear" w:color="auto" w:fill="000000" w:themeFill="text1"/>
            <w:vAlign w:val="center"/>
          </w:tcPr>
          <w:p w14:paraId="27ACB36D" w14:textId="0A50DF1E" w:rsidR="00487430" w:rsidRPr="000547DF" w:rsidRDefault="00487430" w:rsidP="00487430">
            <w:pPr>
              <w:jc w:val="right"/>
              <w:rPr>
                <w:rFonts w:ascii="Arial" w:hAnsi="Arial" w:cs="Arial"/>
                <w:sz w:val="20"/>
                <w:szCs w:val="20"/>
              </w:rPr>
            </w:pPr>
          </w:p>
        </w:tc>
        <w:tc>
          <w:tcPr>
            <w:tcW w:w="1350" w:type="dxa"/>
            <w:shd w:val="clear" w:color="auto" w:fill="000000" w:themeFill="text1"/>
            <w:vAlign w:val="center"/>
          </w:tcPr>
          <w:p w14:paraId="276C1A6A" w14:textId="488AA7B6" w:rsidR="00487430" w:rsidRPr="000547DF" w:rsidRDefault="00487430" w:rsidP="00487430">
            <w:pPr>
              <w:jc w:val="right"/>
              <w:rPr>
                <w:rFonts w:ascii="Arial" w:hAnsi="Arial" w:cs="Arial"/>
                <w:sz w:val="20"/>
                <w:szCs w:val="20"/>
              </w:rPr>
            </w:pPr>
          </w:p>
        </w:tc>
        <w:tc>
          <w:tcPr>
            <w:tcW w:w="789" w:type="dxa"/>
            <w:shd w:val="clear" w:color="auto" w:fill="000000" w:themeFill="text1"/>
            <w:vAlign w:val="center"/>
          </w:tcPr>
          <w:p w14:paraId="793E28B9" w14:textId="4E0C4A49" w:rsidR="00487430" w:rsidRPr="000547DF" w:rsidRDefault="00487430" w:rsidP="00487430">
            <w:pPr>
              <w:jc w:val="right"/>
              <w:rPr>
                <w:rFonts w:ascii="Arial" w:hAnsi="Arial" w:cs="Arial"/>
                <w:sz w:val="20"/>
                <w:szCs w:val="20"/>
              </w:rPr>
            </w:pPr>
          </w:p>
        </w:tc>
      </w:tr>
      <w:tr w:rsidR="00487430" w14:paraId="4ADDF23C" w14:textId="77777777" w:rsidTr="000D4B4C">
        <w:trPr>
          <w:jc w:val="center"/>
        </w:trPr>
        <w:tc>
          <w:tcPr>
            <w:tcW w:w="2158" w:type="dxa"/>
            <w:vAlign w:val="center"/>
          </w:tcPr>
          <w:p w14:paraId="72A4A006" w14:textId="77777777" w:rsidR="00487430" w:rsidRPr="007E0A27" w:rsidRDefault="00487430" w:rsidP="00487430">
            <w:pPr>
              <w:keepNext/>
              <w:keepLines/>
              <w:rPr>
                <w:rFonts w:ascii="Arial" w:hAnsi="Arial" w:cs="Arial"/>
                <w:sz w:val="20"/>
                <w:szCs w:val="20"/>
              </w:rPr>
            </w:pPr>
            <w:r w:rsidRPr="007E0A27">
              <w:rPr>
                <w:rFonts w:ascii="Arial" w:hAnsi="Arial" w:cs="Arial"/>
                <w:sz w:val="20"/>
                <w:szCs w:val="20"/>
              </w:rPr>
              <w:t>Entertainment, Other Services, Government</w:t>
            </w:r>
          </w:p>
        </w:tc>
        <w:tc>
          <w:tcPr>
            <w:tcW w:w="1260" w:type="dxa"/>
            <w:shd w:val="clear" w:color="auto" w:fill="auto"/>
            <w:vAlign w:val="center"/>
          </w:tcPr>
          <w:p w14:paraId="309C0C01" w14:textId="20114D64" w:rsidR="00487430" w:rsidRPr="000547DF" w:rsidRDefault="00487430" w:rsidP="00487430">
            <w:pPr>
              <w:jc w:val="right"/>
              <w:rPr>
                <w:rFonts w:ascii="Arial" w:hAnsi="Arial" w:cs="Arial"/>
                <w:sz w:val="20"/>
                <w:szCs w:val="20"/>
              </w:rPr>
            </w:pPr>
            <w:r w:rsidRPr="0047584F">
              <w:rPr>
                <w:rFonts w:ascii="Arial" w:hAnsi="Arial" w:cs="Arial"/>
                <w:sz w:val="20"/>
                <w:szCs w:val="20"/>
              </w:rPr>
              <w:t>189</w:t>
            </w:r>
          </w:p>
        </w:tc>
        <w:tc>
          <w:tcPr>
            <w:tcW w:w="1352" w:type="dxa"/>
            <w:shd w:val="clear" w:color="auto" w:fill="auto"/>
            <w:vAlign w:val="center"/>
          </w:tcPr>
          <w:p w14:paraId="6D8545B9" w14:textId="78FE5D59" w:rsidR="00487430" w:rsidRPr="000547DF" w:rsidRDefault="00487430" w:rsidP="00487430">
            <w:pPr>
              <w:jc w:val="right"/>
              <w:rPr>
                <w:rFonts w:ascii="Arial" w:hAnsi="Arial" w:cs="Arial"/>
                <w:sz w:val="20"/>
                <w:szCs w:val="20"/>
              </w:rPr>
            </w:pPr>
            <w:r w:rsidRPr="0047584F">
              <w:rPr>
                <w:rFonts w:ascii="Arial" w:hAnsi="Arial" w:cs="Arial"/>
                <w:sz w:val="20"/>
                <w:szCs w:val="20"/>
              </w:rPr>
              <w:t>48.8</w:t>
            </w:r>
          </w:p>
        </w:tc>
        <w:tc>
          <w:tcPr>
            <w:tcW w:w="1348" w:type="dxa"/>
            <w:shd w:val="clear" w:color="auto" w:fill="auto"/>
            <w:vAlign w:val="center"/>
          </w:tcPr>
          <w:p w14:paraId="2CD0AF5D" w14:textId="068F4249" w:rsidR="00487430" w:rsidRPr="000547DF" w:rsidRDefault="00487430" w:rsidP="00487430">
            <w:pPr>
              <w:jc w:val="right"/>
              <w:rPr>
                <w:rFonts w:ascii="Arial" w:hAnsi="Arial" w:cs="Arial"/>
                <w:sz w:val="20"/>
                <w:szCs w:val="20"/>
              </w:rPr>
            </w:pPr>
            <w:r w:rsidRPr="0047584F">
              <w:rPr>
                <w:rFonts w:ascii="Arial" w:hAnsi="Arial" w:cs="Arial"/>
                <w:sz w:val="20"/>
                <w:szCs w:val="20"/>
              </w:rPr>
              <w:t>47.1</w:t>
            </w:r>
          </w:p>
        </w:tc>
        <w:tc>
          <w:tcPr>
            <w:tcW w:w="1350" w:type="dxa"/>
            <w:shd w:val="clear" w:color="auto" w:fill="auto"/>
            <w:vAlign w:val="center"/>
          </w:tcPr>
          <w:p w14:paraId="5CE43EA7" w14:textId="1A86CFF6" w:rsidR="00487430" w:rsidRPr="000547DF" w:rsidRDefault="00487430" w:rsidP="00487430">
            <w:pPr>
              <w:jc w:val="right"/>
              <w:rPr>
                <w:rFonts w:ascii="Arial" w:hAnsi="Arial" w:cs="Arial"/>
                <w:sz w:val="20"/>
                <w:szCs w:val="20"/>
              </w:rPr>
            </w:pPr>
            <w:r w:rsidRPr="0047584F">
              <w:rPr>
                <w:rFonts w:ascii="Arial" w:hAnsi="Arial" w:cs="Arial"/>
                <w:sz w:val="20"/>
                <w:szCs w:val="20"/>
              </w:rPr>
              <w:t>1.7</w:t>
            </w:r>
          </w:p>
        </w:tc>
        <w:tc>
          <w:tcPr>
            <w:tcW w:w="789" w:type="dxa"/>
            <w:shd w:val="clear" w:color="auto" w:fill="auto"/>
            <w:vAlign w:val="center"/>
          </w:tcPr>
          <w:p w14:paraId="3B446B87" w14:textId="25CC4987" w:rsidR="00487430" w:rsidRPr="000547DF" w:rsidRDefault="00487430" w:rsidP="00487430">
            <w:pPr>
              <w:jc w:val="right"/>
              <w:rPr>
                <w:rFonts w:ascii="Arial" w:hAnsi="Arial" w:cs="Arial"/>
                <w:sz w:val="20"/>
                <w:szCs w:val="20"/>
              </w:rPr>
            </w:pPr>
            <w:r w:rsidRPr="0047584F">
              <w:rPr>
                <w:rFonts w:ascii="Arial" w:hAnsi="Arial" w:cs="Arial"/>
                <w:sz w:val="20"/>
                <w:szCs w:val="20"/>
              </w:rPr>
              <w:t>3.5%</w:t>
            </w:r>
          </w:p>
        </w:tc>
      </w:tr>
      <w:tr w:rsidR="00487430" w14:paraId="2C0F10A3" w14:textId="77777777" w:rsidTr="002F0A89">
        <w:trPr>
          <w:jc w:val="center"/>
        </w:trPr>
        <w:tc>
          <w:tcPr>
            <w:tcW w:w="2158" w:type="dxa"/>
            <w:vAlign w:val="center"/>
          </w:tcPr>
          <w:p w14:paraId="3FA2B99E" w14:textId="77777777" w:rsidR="00487430" w:rsidRPr="007E0A27" w:rsidRDefault="00487430" w:rsidP="00487430">
            <w:pPr>
              <w:keepNext/>
              <w:keepLines/>
              <w:rPr>
                <w:rFonts w:ascii="Arial" w:hAnsi="Arial" w:cs="Arial"/>
                <w:sz w:val="20"/>
                <w:szCs w:val="20"/>
              </w:rPr>
            </w:pPr>
            <w:r>
              <w:rPr>
                <w:rFonts w:ascii="Arial" w:hAnsi="Arial" w:cs="Arial"/>
                <w:sz w:val="20"/>
                <w:szCs w:val="20"/>
              </w:rPr>
              <w:t>Other or unknown</w:t>
            </w:r>
          </w:p>
        </w:tc>
        <w:tc>
          <w:tcPr>
            <w:tcW w:w="1260" w:type="dxa"/>
            <w:shd w:val="clear" w:color="auto" w:fill="000000" w:themeFill="text1"/>
            <w:vAlign w:val="center"/>
          </w:tcPr>
          <w:p w14:paraId="60B7C9B9" w14:textId="3B54D173" w:rsidR="00487430" w:rsidRPr="000547DF" w:rsidRDefault="00487430" w:rsidP="00487430">
            <w:pPr>
              <w:jc w:val="right"/>
              <w:rPr>
                <w:rFonts w:ascii="Arial" w:hAnsi="Arial" w:cs="Arial"/>
                <w:sz w:val="20"/>
                <w:szCs w:val="20"/>
              </w:rPr>
            </w:pPr>
          </w:p>
        </w:tc>
        <w:tc>
          <w:tcPr>
            <w:tcW w:w="1352" w:type="dxa"/>
            <w:shd w:val="clear" w:color="auto" w:fill="000000" w:themeFill="text1"/>
            <w:vAlign w:val="center"/>
          </w:tcPr>
          <w:p w14:paraId="05C2AA8F" w14:textId="733B0C53" w:rsidR="00487430" w:rsidRPr="000547DF" w:rsidRDefault="00487430" w:rsidP="00487430">
            <w:pPr>
              <w:jc w:val="right"/>
              <w:rPr>
                <w:rFonts w:ascii="Arial" w:hAnsi="Arial" w:cs="Arial"/>
                <w:sz w:val="20"/>
                <w:szCs w:val="20"/>
              </w:rPr>
            </w:pPr>
          </w:p>
        </w:tc>
        <w:tc>
          <w:tcPr>
            <w:tcW w:w="1348" w:type="dxa"/>
            <w:shd w:val="clear" w:color="auto" w:fill="000000" w:themeFill="text1"/>
            <w:vAlign w:val="center"/>
          </w:tcPr>
          <w:p w14:paraId="1815D617" w14:textId="7CA8CFDB" w:rsidR="00487430" w:rsidRPr="000547DF" w:rsidRDefault="00487430" w:rsidP="00487430">
            <w:pPr>
              <w:jc w:val="right"/>
              <w:rPr>
                <w:rFonts w:ascii="Arial" w:hAnsi="Arial" w:cs="Arial"/>
                <w:sz w:val="20"/>
                <w:szCs w:val="20"/>
              </w:rPr>
            </w:pPr>
          </w:p>
        </w:tc>
        <w:tc>
          <w:tcPr>
            <w:tcW w:w="1350" w:type="dxa"/>
            <w:shd w:val="clear" w:color="auto" w:fill="000000" w:themeFill="text1"/>
            <w:vAlign w:val="center"/>
          </w:tcPr>
          <w:p w14:paraId="18C2F54B" w14:textId="3F7167D3" w:rsidR="00487430" w:rsidRPr="000547DF" w:rsidRDefault="00487430" w:rsidP="00487430">
            <w:pPr>
              <w:jc w:val="right"/>
              <w:rPr>
                <w:rFonts w:ascii="Arial" w:hAnsi="Arial" w:cs="Arial"/>
                <w:sz w:val="20"/>
                <w:szCs w:val="20"/>
              </w:rPr>
            </w:pPr>
          </w:p>
        </w:tc>
        <w:tc>
          <w:tcPr>
            <w:tcW w:w="789" w:type="dxa"/>
            <w:shd w:val="clear" w:color="auto" w:fill="000000" w:themeFill="text1"/>
            <w:vAlign w:val="center"/>
          </w:tcPr>
          <w:p w14:paraId="0A48F5EC" w14:textId="7A0F7E68" w:rsidR="00487430" w:rsidRPr="000547DF" w:rsidRDefault="00487430" w:rsidP="00487430">
            <w:pPr>
              <w:jc w:val="right"/>
              <w:rPr>
                <w:rFonts w:ascii="Arial" w:hAnsi="Arial" w:cs="Arial"/>
                <w:sz w:val="20"/>
                <w:szCs w:val="20"/>
              </w:rPr>
            </w:pPr>
          </w:p>
        </w:tc>
      </w:tr>
    </w:tbl>
    <w:p w14:paraId="58FE1601" w14:textId="77777777" w:rsidR="000617A8" w:rsidRDefault="000617A8" w:rsidP="000617A8">
      <w:pPr>
        <w:spacing w:after="120"/>
        <w:rPr>
          <w:szCs w:val="32"/>
        </w:rPr>
      </w:pPr>
    </w:p>
    <w:p w14:paraId="324E39CD" w14:textId="6F006905" w:rsidR="000617A8" w:rsidRDefault="00A75354" w:rsidP="00CB13E9">
      <w:pPr>
        <w:spacing w:after="120"/>
        <w:rPr>
          <w:szCs w:val="32"/>
        </w:rPr>
      </w:pPr>
      <w:r>
        <w:rPr>
          <w:szCs w:val="32"/>
        </w:rPr>
        <w:t xml:space="preserve">To better understand the distribution of results across industries, we look at the shares of estimated load impacts, reference loads, and enrollments by industry group in </w:t>
      </w:r>
      <w:r>
        <w:rPr>
          <w:szCs w:val="32"/>
        </w:rPr>
        <w:fldChar w:fldCharType="begin"/>
      </w:r>
      <w:r>
        <w:rPr>
          <w:szCs w:val="32"/>
        </w:rPr>
        <w:instrText xml:space="preserve"> REF _Ref506992118 \h </w:instrText>
      </w:r>
      <w:r>
        <w:rPr>
          <w:szCs w:val="32"/>
        </w:rPr>
      </w:r>
      <w:r>
        <w:rPr>
          <w:szCs w:val="32"/>
        </w:rPr>
        <w:fldChar w:fldCharType="separate"/>
      </w:r>
      <w:r w:rsidR="005D5C7C" w:rsidRPr="00D502FB">
        <w:rPr>
          <w:highlight w:val="lightGray"/>
        </w:rPr>
        <w:t xml:space="preserve">Figure </w:t>
      </w:r>
      <w:r w:rsidR="005D5C7C">
        <w:rPr>
          <w:noProof/>
          <w:highlight w:val="lightGray"/>
        </w:rPr>
        <w:t>4</w:t>
      </w:r>
      <w:r w:rsidR="005D5C7C" w:rsidRPr="00D502FB">
        <w:rPr>
          <w:highlight w:val="lightGray"/>
        </w:rPr>
        <w:t>.</w:t>
      </w:r>
      <w:r w:rsidR="005D5C7C">
        <w:rPr>
          <w:noProof/>
          <w:highlight w:val="lightGray"/>
        </w:rPr>
        <w:t>3</w:t>
      </w:r>
      <w:r>
        <w:rPr>
          <w:szCs w:val="32"/>
        </w:rPr>
        <w:fldChar w:fldCharType="end"/>
      </w:r>
      <w:r>
        <w:rPr>
          <w:szCs w:val="32"/>
        </w:rPr>
        <w:t xml:space="preserve">. Since Manufacturing represents such a large share of the load impact, </w:t>
      </w:r>
      <w:proofErr w:type="gramStart"/>
      <w:r>
        <w:rPr>
          <w:szCs w:val="32"/>
        </w:rPr>
        <w:t>all of</w:t>
      </w:r>
      <w:proofErr w:type="gramEnd"/>
      <w:r>
        <w:rPr>
          <w:szCs w:val="32"/>
        </w:rPr>
        <w:t xml:space="preserve"> the other industry groups (with the exception of Agriculture, Mining, &amp; Construction) have lower shares of the load impact than the shares of enrolled customers or reference loads. Offices, Hotels, Health &amp; Services has a</w:t>
      </w:r>
      <w:r w:rsidR="00487430">
        <w:rPr>
          <w:szCs w:val="32"/>
        </w:rPr>
        <w:t xml:space="preserve"> particularly</w:t>
      </w:r>
      <w:r>
        <w:rPr>
          <w:szCs w:val="32"/>
        </w:rPr>
        <w:t xml:space="preserve"> low share of load impact </w:t>
      </w:r>
      <w:r w:rsidR="00B76516">
        <w:rPr>
          <w:szCs w:val="32"/>
        </w:rPr>
        <w:t>(</w:t>
      </w:r>
      <w:r>
        <w:rPr>
          <w:szCs w:val="32"/>
        </w:rPr>
        <w:t>8 percent</w:t>
      </w:r>
      <w:r w:rsidR="00B76516">
        <w:rPr>
          <w:szCs w:val="32"/>
        </w:rPr>
        <w:t>)</w:t>
      </w:r>
      <w:r>
        <w:rPr>
          <w:szCs w:val="32"/>
        </w:rPr>
        <w:t xml:space="preserve"> relative to </w:t>
      </w:r>
      <w:r w:rsidR="00B76516">
        <w:rPr>
          <w:szCs w:val="32"/>
        </w:rPr>
        <w:t xml:space="preserve">its </w:t>
      </w:r>
      <w:r>
        <w:rPr>
          <w:szCs w:val="32"/>
        </w:rPr>
        <w:t>share of enrollments and reference loads.</w:t>
      </w:r>
    </w:p>
    <w:p w14:paraId="323F4C98" w14:textId="4E98816E" w:rsidR="00A75354" w:rsidRDefault="003166C0" w:rsidP="00CB13E9">
      <w:pPr>
        <w:spacing w:after="120"/>
        <w:rPr>
          <w:szCs w:val="32"/>
        </w:rPr>
      </w:pPr>
      <w:r>
        <w:rPr>
          <w:noProof/>
          <w:szCs w:val="32"/>
        </w:rPr>
        <mc:AlternateContent>
          <mc:Choice Requires="wps">
            <w:drawing>
              <wp:anchor distT="0" distB="0" distL="114300" distR="114300" simplePos="0" relativeHeight="251684864" behindDoc="0" locked="0" layoutInCell="1" allowOverlap="1" wp14:anchorId="4BAA3B0B" wp14:editId="0E00FF4D">
                <wp:simplePos x="0" y="0"/>
                <wp:positionH relativeFrom="margin">
                  <wp:align>right</wp:align>
                </wp:positionH>
                <wp:positionV relativeFrom="paragraph">
                  <wp:posOffset>3919993</wp:posOffset>
                </wp:positionV>
                <wp:extent cx="5422789" cy="397566"/>
                <wp:effectExtent l="0" t="0" r="26035" b="21590"/>
                <wp:wrapNone/>
                <wp:docPr id="38" name="Text Box 38"/>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318AEE83" w14:textId="77777777" w:rsidR="006F4399" w:rsidRPr="00EB41EA" w:rsidRDefault="006F4399" w:rsidP="003166C0">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AA3B0B" id="Text Box 38" o:spid="_x0000_s1039" type="#_x0000_t202" style="position:absolute;margin-left:375.8pt;margin-top:308.65pt;width:427pt;height:31.3pt;z-index:25168486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" fillcolor="white [3201]" strokeweight=".5pt">
                <v:textbox>
                  <w:txbxContent>
                    <w:p w14:paraId="318AEE83" w14:textId="77777777" w:rsidR="006F4399" w:rsidRPr="00EB41EA" w:rsidRDefault="006F4399" w:rsidP="003166C0">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418A5988" w14:textId="7ADC3867" w:rsidR="00104977" w:rsidRDefault="002F5C6C" w:rsidP="002F5C6C">
      <w:pPr>
        <w:pStyle w:val="FigureCaption"/>
        <w:spacing w:after="0"/>
        <w:rPr>
          <w:i/>
        </w:rPr>
      </w:pPr>
      <w:bookmarkStart w:id="286" w:name="_Ref506992118"/>
      <w:bookmarkStart w:id="287" w:name="_Toc509837481"/>
      <w:r w:rsidRPr="00D502FB">
        <w:rPr>
          <w:highlight w:val="lightGray"/>
        </w:rPr>
        <w:lastRenderedPageBreak/>
        <w:t xml:space="preserve">Figure </w:t>
      </w:r>
      <w:r w:rsidR="00D90CBD" w:rsidRPr="00D502FB">
        <w:rPr>
          <w:highlight w:val="lightGray"/>
        </w:rPr>
        <w:fldChar w:fldCharType="begin"/>
      </w:r>
      <w:r w:rsidR="00D90CBD" w:rsidRPr="00D502FB">
        <w:rPr>
          <w:highlight w:val="lightGray"/>
        </w:rPr>
        <w:instrText xml:space="preserve"> STYLEREF 1 \s </w:instrText>
      </w:r>
      <w:r w:rsidR="00D90CBD" w:rsidRPr="00D502FB">
        <w:rPr>
          <w:highlight w:val="lightGray"/>
        </w:rPr>
        <w:fldChar w:fldCharType="separate"/>
      </w:r>
      <w:r w:rsidR="005D5C7C">
        <w:rPr>
          <w:noProof/>
          <w:highlight w:val="lightGray"/>
        </w:rPr>
        <w:t>4</w:t>
      </w:r>
      <w:r w:rsidR="00D90CBD" w:rsidRPr="00D502FB">
        <w:rPr>
          <w:noProof/>
          <w:highlight w:val="lightGray"/>
        </w:rPr>
        <w:fldChar w:fldCharType="end"/>
      </w:r>
      <w:r w:rsidR="00A11E78" w:rsidRPr="00D502FB">
        <w:rPr>
          <w:highlight w:val="lightGray"/>
        </w:rPr>
        <w:t>.</w:t>
      </w:r>
      <w:r w:rsidR="00D90CBD" w:rsidRPr="00D502FB">
        <w:rPr>
          <w:highlight w:val="lightGray"/>
        </w:rPr>
        <w:fldChar w:fldCharType="begin"/>
      </w:r>
      <w:r w:rsidR="00D90CBD" w:rsidRPr="00D502FB">
        <w:rPr>
          <w:highlight w:val="lightGray"/>
        </w:rPr>
        <w:instrText xml:space="preserve"> SEQ Figure \* ARABIC \s 1 </w:instrText>
      </w:r>
      <w:r w:rsidR="00D90CBD" w:rsidRPr="00D502FB">
        <w:rPr>
          <w:highlight w:val="lightGray"/>
        </w:rPr>
        <w:fldChar w:fldCharType="separate"/>
      </w:r>
      <w:r w:rsidR="005D5C7C">
        <w:rPr>
          <w:noProof/>
          <w:highlight w:val="lightGray"/>
        </w:rPr>
        <w:t>3</w:t>
      </w:r>
      <w:r w:rsidR="00D90CBD" w:rsidRPr="00D502FB">
        <w:rPr>
          <w:noProof/>
          <w:highlight w:val="lightGray"/>
        </w:rPr>
        <w:fldChar w:fldCharType="end"/>
      </w:r>
      <w:bookmarkEnd w:id="286"/>
      <w:r w:rsidRPr="00D502FB">
        <w:rPr>
          <w:highlight w:val="lightGray"/>
        </w:rPr>
        <w:t xml:space="preserve">: Typical Event Day Event-Hour Load Impacts by Industry Group, </w:t>
      </w:r>
      <w:r w:rsidRPr="00D502FB">
        <w:rPr>
          <w:i/>
          <w:highlight w:val="lightGray"/>
        </w:rPr>
        <w:t>SCE Large</w:t>
      </w:r>
      <w:bookmarkEnd w:id="287"/>
    </w:p>
    <w:p w14:paraId="717061F5" w14:textId="6B18D9B8" w:rsidR="000617A8" w:rsidRDefault="002F0A89" w:rsidP="002F0A89">
      <w:pPr>
        <w:jc w:val="center"/>
      </w:pPr>
      <w:r>
        <w:rPr>
          <w:noProof/>
        </w:rPr>
        <w:drawing>
          <wp:inline distT="0" distB="0" distL="0" distR="0" wp14:anchorId="33656174" wp14:editId="35CC86D3">
            <wp:extent cx="5048885" cy="3975652"/>
            <wp:effectExtent l="0" t="0" r="18415" b="6350"/>
            <wp:docPr id="3" name="Chart 3">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67E9BC82" w14:textId="7C6348B0" w:rsidR="00CB13E9" w:rsidRDefault="00CB13E9" w:rsidP="00CB13E9">
      <w:pPr>
        <w:spacing w:after="120"/>
        <w:rPr>
          <w:szCs w:val="32"/>
        </w:rPr>
      </w:pPr>
    </w:p>
    <w:p w14:paraId="160BACAE" w14:textId="1E9693B8" w:rsidR="007C0F0B" w:rsidRDefault="007C0F0B" w:rsidP="00CB13E9">
      <w:pPr>
        <w:spacing w:after="120"/>
        <w:rPr>
          <w:szCs w:val="32"/>
        </w:rPr>
      </w:pPr>
      <w:r>
        <w:rPr>
          <w:szCs w:val="32"/>
        </w:rPr>
        <w:fldChar w:fldCharType="begin"/>
      </w:r>
      <w:r>
        <w:rPr>
          <w:szCs w:val="32"/>
        </w:rPr>
        <w:instrText xml:space="preserve"> REF _Ref506993473 \h </w:instrText>
      </w:r>
      <w:r>
        <w:rPr>
          <w:szCs w:val="32"/>
        </w:rPr>
      </w:r>
      <w:r>
        <w:rPr>
          <w:szCs w:val="32"/>
        </w:rPr>
        <w:fldChar w:fldCharType="separate"/>
      </w:r>
      <w:r w:rsidR="005D5C7C">
        <w:t xml:space="preserve">Table </w:t>
      </w:r>
      <w:r w:rsidR="005D5C7C">
        <w:rPr>
          <w:noProof/>
        </w:rPr>
        <w:t>4</w:t>
      </w:r>
      <w:r w:rsidR="005D5C7C">
        <w:t>.</w:t>
      </w:r>
      <w:r w:rsidR="005D5C7C">
        <w:rPr>
          <w:noProof/>
        </w:rPr>
        <w:t>4</w:t>
      </w:r>
      <w:r>
        <w:rPr>
          <w:szCs w:val="32"/>
        </w:rPr>
        <w:fldChar w:fldCharType="end"/>
      </w:r>
      <w:r>
        <w:rPr>
          <w:szCs w:val="32"/>
        </w:rPr>
        <w:t xml:space="preserve"> and </w:t>
      </w:r>
      <w:r>
        <w:rPr>
          <w:szCs w:val="32"/>
        </w:rPr>
        <w:fldChar w:fldCharType="begin"/>
      </w:r>
      <w:r>
        <w:rPr>
          <w:szCs w:val="32"/>
        </w:rPr>
        <w:instrText xml:space="preserve"> REF _Ref506993454 \h </w:instrText>
      </w:r>
      <w:r>
        <w:rPr>
          <w:szCs w:val="32"/>
        </w:rPr>
      </w:r>
      <w:r>
        <w:rPr>
          <w:szCs w:val="32"/>
        </w:rPr>
        <w:fldChar w:fldCharType="separate"/>
      </w:r>
      <w:r w:rsidR="005D5C7C">
        <w:t xml:space="preserve">Figure </w:t>
      </w:r>
      <w:r w:rsidR="005D5C7C">
        <w:rPr>
          <w:noProof/>
        </w:rPr>
        <w:t>4</w:t>
      </w:r>
      <w:r w:rsidR="005D5C7C">
        <w:t>.</w:t>
      </w:r>
      <w:r w:rsidR="005D5C7C">
        <w:rPr>
          <w:noProof/>
        </w:rPr>
        <w:t>4</w:t>
      </w:r>
      <w:r>
        <w:rPr>
          <w:szCs w:val="32"/>
        </w:rPr>
        <w:fldChar w:fldCharType="end"/>
      </w:r>
      <w:r>
        <w:rPr>
          <w:szCs w:val="32"/>
        </w:rPr>
        <w:t xml:space="preserve"> provide the same summaries as above by LCA. </w:t>
      </w:r>
      <w:r w:rsidR="00995EE9">
        <w:rPr>
          <w:szCs w:val="32"/>
        </w:rPr>
        <w:t>SCE’s l</w:t>
      </w:r>
      <w:r>
        <w:rPr>
          <w:szCs w:val="32"/>
        </w:rPr>
        <w:t>arge</w:t>
      </w:r>
      <w:r w:rsidR="00995EE9">
        <w:rPr>
          <w:szCs w:val="32"/>
        </w:rPr>
        <w:t xml:space="preserve"> CPP</w:t>
      </w:r>
      <w:r>
        <w:rPr>
          <w:szCs w:val="32"/>
        </w:rPr>
        <w:t xml:space="preserve"> customers are concentrated in the LA Basin, which has a</w:t>
      </w:r>
      <w:r w:rsidR="00995EE9">
        <w:rPr>
          <w:szCs w:val="32"/>
        </w:rPr>
        <w:t xml:space="preserve"> combined </w:t>
      </w:r>
      <w:r>
        <w:rPr>
          <w:szCs w:val="32"/>
        </w:rPr>
        <w:t xml:space="preserve">reference load of 483 MWh/hour. This LCA also accounts for the largest load impact of 18 MWh/hour.  We can see in </w:t>
      </w:r>
      <w:r>
        <w:rPr>
          <w:szCs w:val="32"/>
        </w:rPr>
        <w:fldChar w:fldCharType="begin"/>
      </w:r>
      <w:r>
        <w:rPr>
          <w:szCs w:val="32"/>
        </w:rPr>
        <w:instrText xml:space="preserve"> REF _Ref506993454 \h </w:instrText>
      </w:r>
      <w:r>
        <w:rPr>
          <w:szCs w:val="32"/>
        </w:rPr>
      </w:r>
      <w:r>
        <w:rPr>
          <w:szCs w:val="32"/>
        </w:rPr>
        <w:fldChar w:fldCharType="separate"/>
      </w:r>
      <w:r w:rsidR="005D5C7C">
        <w:t xml:space="preserve">Figure </w:t>
      </w:r>
      <w:r w:rsidR="005D5C7C">
        <w:rPr>
          <w:noProof/>
        </w:rPr>
        <w:t>4</w:t>
      </w:r>
      <w:r w:rsidR="005D5C7C">
        <w:t>.</w:t>
      </w:r>
      <w:r w:rsidR="005D5C7C">
        <w:rPr>
          <w:noProof/>
        </w:rPr>
        <w:t>4</w:t>
      </w:r>
      <w:r>
        <w:rPr>
          <w:szCs w:val="32"/>
        </w:rPr>
        <w:fldChar w:fldCharType="end"/>
      </w:r>
      <w:r>
        <w:rPr>
          <w:szCs w:val="32"/>
        </w:rPr>
        <w:t xml:space="preserve"> that </w:t>
      </w:r>
      <w:r w:rsidR="00995EE9">
        <w:rPr>
          <w:szCs w:val="32"/>
        </w:rPr>
        <w:t xml:space="preserve">the </w:t>
      </w:r>
      <w:r>
        <w:rPr>
          <w:szCs w:val="32"/>
        </w:rPr>
        <w:t xml:space="preserve">LA Basin’s share of customers, reference loads, and load impacts all exceed 80 percent. </w:t>
      </w:r>
    </w:p>
    <w:p w14:paraId="7D62F107" w14:textId="77777777" w:rsidR="00AA72C9" w:rsidRDefault="00AA72C9" w:rsidP="00CB13E9">
      <w:pPr>
        <w:spacing w:after="120"/>
        <w:rPr>
          <w:szCs w:val="32"/>
        </w:rPr>
      </w:pPr>
    </w:p>
    <w:p w14:paraId="55042AA2" w14:textId="09E5E890" w:rsidR="00A66A92" w:rsidRDefault="00A66A92" w:rsidP="00A66A92">
      <w:pPr>
        <w:pStyle w:val="TableCaption"/>
      </w:pPr>
      <w:bookmarkStart w:id="288" w:name="_Ref506993473"/>
      <w:bookmarkStart w:id="289" w:name="_Toc509837387"/>
      <w:r>
        <w:t xml:space="preserve">Table </w:t>
      </w:r>
      <w:fldSimple w:instr=" STYLEREF 1 \s ">
        <w:r w:rsidR="005D5C7C">
          <w:rPr>
            <w:noProof/>
          </w:rPr>
          <w:t>4</w:t>
        </w:r>
      </w:fldSimple>
      <w:r w:rsidR="0069714C">
        <w:t>.</w:t>
      </w:r>
      <w:fldSimple w:instr=" SEQ Table \* ARABIC \s 1 ">
        <w:r w:rsidR="005D5C7C">
          <w:rPr>
            <w:noProof/>
          </w:rPr>
          <w:t>4</w:t>
        </w:r>
      </w:fldSimple>
      <w:bookmarkEnd w:id="288"/>
      <w:r>
        <w:t>: Typical Event Day Load Impacts b</w:t>
      </w:r>
      <w:r w:rsidRPr="006C0719">
        <w:t xml:space="preserve">y </w:t>
      </w:r>
      <w:r>
        <w:t>LCA</w:t>
      </w:r>
      <w:r w:rsidRPr="006C0719">
        <w:t xml:space="preserve">, </w:t>
      </w:r>
      <w:r w:rsidRPr="000617A8">
        <w:rPr>
          <w:i/>
        </w:rPr>
        <w:t>SCE</w:t>
      </w:r>
      <w:r>
        <w:rPr>
          <w:i/>
        </w:rPr>
        <w:t xml:space="preserve"> Large</w:t>
      </w:r>
      <w:bookmarkEnd w:id="2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0"/>
        <w:gridCol w:w="1170"/>
        <w:gridCol w:w="1350"/>
        <w:gridCol w:w="1260"/>
        <w:gridCol w:w="1440"/>
        <w:gridCol w:w="1345"/>
      </w:tblGrid>
      <w:tr w:rsidR="00697C02" w14:paraId="09BE70FC" w14:textId="77777777" w:rsidTr="00AE478F">
        <w:trPr>
          <w:jc w:val="center"/>
        </w:trPr>
        <w:tc>
          <w:tcPr>
            <w:tcW w:w="1530" w:type="dxa"/>
            <w:tcBorders>
              <w:right w:val="single" w:sz="4" w:space="0" w:color="FFFFFF" w:themeColor="background1"/>
            </w:tcBorders>
            <w:shd w:val="clear" w:color="auto" w:fill="0C2577"/>
            <w:vAlign w:val="center"/>
          </w:tcPr>
          <w:p w14:paraId="5DC67BF0" w14:textId="2024FDFE" w:rsidR="00697C02" w:rsidRPr="007E0A27" w:rsidRDefault="00697C02" w:rsidP="00A66A92">
            <w:pPr>
              <w:keepNext/>
              <w:keepLines/>
              <w:jc w:val="center"/>
              <w:rPr>
                <w:rFonts w:ascii="Arial" w:hAnsi="Arial" w:cs="Arial"/>
                <w:b/>
                <w:sz w:val="20"/>
                <w:szCs w:val="20"/>
              </w:rPr>
            </w:pPr>
            <w:r>
              <w:rPr>
                <w:rFonts w:ascii="Arial" w:hAnsi="Arial" w:cs="Arial"/>
                <w:b/>
                <w:sz w:val="20"/>
                <w:szCs w:val="20"/>
              </w:rPr>
              <w:t>LCA</w:t>
            </w:r>
          </w:p>
        </w:tc>
        <w:tc>
          <w:tcPr>
            <w:tcW w:w="1170" w:type="dxa"/>
            <w:tcBorders>
              <w:left w:val="single" w:sz="4" w:space="0" w:color="FFFFFF" w:themeColor="background1"/>
              <w:right w:val="single" w:sz="4" w:space="0" w:color="FFFFFF" w:themeColor="background1"/>
            </w:tcBorders>
            <w:shd w:val="clear" w:color="auto" w:fill="0C2577"/>
            <w:vAlign w:val="center"/>
          </w:tcPr>
          <w:p w14:paraId="228D7ED4" w14:textId="77777777" w:rsidR="00697C02" w:rsidRPr="007E0A27" w:rsidRDefault="00697C02" w:rsidP="00A66A92">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29476049" w14:textId="77777777" w:rsidR="00697C02" w:rsidRPr="007E0A27" w:rsidRDefault="00697C02" w:rsidP="00A66A92">
            <w:pPr>
              <w:keepNext/>
              <w:keepLines/>
              <w:jc w:val="center"/>
              <w:rPr>
                <w:rFonts w:ascii="Arial" w:hAnsi="Arial" w:cs="Arial"/>
                <w:b/>
                <w:sz w:val="20"/>
                <w:szCs w:val="20"/>
              </w:rPr>
            </w:pPr>
            <w:r w:rsidRPr="007E0A27">
              <w:rPr>
                <w:rFonts w:ascii="Arial" w:hAnsi="Arial" w:cs="Arial"/>
                <w:b/>
                <w:sz w:val="20"/>
                <w:szCs w:val="20"/>
              </w:rPr>
              <w:t>Estimated Reference Load (MW)</w:t>
            </w:r>
          </w:p>
        </w:tc>
        <w:tc>
          <w:tcPr>
            <w:tcW w:w="1260" w:type="dxa"/>
            <w:tcBorders>
              <w:left w:val="single" w:sz="4" w:space="0" w:color="FFFFFF" w:themeColor="background1"/>
              <w:right w:val="single" w:sz="4" w:space="0" w:color="FFFFFF" w:themeColor="background1"/>
            </w:tcBorders>
            <w:shd w:val="clear" w:color="auto" w:fill="0C2577"/>
            <w:vAlign w:val="center"/>
          </w:tcPr>
          <w:p w14:paraId="32459F1F" w14:textId="77777777" w:rsidR="00697C02" w:rsidRPr="007E0A27" w:rsidRDefault="00697C02" w:rsidP="00A66A92">
            <w:pPr>
              <w:keepNext/>
              <w:keepLines/>
              <w:jc w:val="center"/>
              <w:rPr>
                <w:rFonts w:ascii="Arial" w:hAnsi="Arial" w:cs="Arial"/>
                <w:b/>
                <w:sz w:val="20"/>
                <w:szCs w:val="20"/>
              </w:rPr>
            </w:pPr>
            <w:r w:rsidRPr="007E0A27">
              <w:rPr>
                <w:rFonts w:ascii="Arial" w:hAnsi="Arial" w:cs="Arial"/>
                <w:b/>
                <w:sz w:val="20"/>
                <w:szCs w:val="20"/>
              </w:rPr>
              <w:t>Observed Load (MW)</w:t>
            </w:r>
          </w:p>
        </w:tc>
        <w:tc>
          <w:tcPr>
            <w:tcW w:w="1440" w:type="dxa"/>
            <w:tcBorders>
              <w:left w:val="single" w:sz="4" w:space="0" w:color="FFFFFF" w:themeColor="background1"/>
              <w:right w:val="single" w:sz="4" w:space="0" w:color="FFFFFF" w:themeColor="background1"/>
            </w:tcBorders>
            <w:shd w:val="clear" w:color="auto" w:fill="0C2577"/>
            <w:vAlign w:val="center"/>
          </w:tcPr>
          <w:p w14:paraId="33F6307E" w14:textId="77777777" w:rsidR="00697C02" w:rsidRPr="007E0A27" w:rsidRDefault="00697C02" w:rsidP="00A66A92">
            <w:pPr>
              <w:keepNext/>
              <w:keepLines/>
              <w:jc w:val="center"/>
              <w:rPr>
                <w:rFonts w:ascii="Arial" w:hAnsi="Arial" w:cs="Arial"/>
                <w:b/>
                <w:sz w:val="20"/>
                <w:szCs w:val="20"/>
              </w:rPr>
            </w:pPr>
            <w:r w:rsidRPr="007E0A27">
              <w:rPr>
                <w:rFonts w:ascii="Arial" w:hAnsi="Arial" w:cs="Arial"/>
                <w:b/>
                <w:sz w:val="20"/>
                <w:szCs w:val="20"/>
              </w:rPr>
              <w:t>Estimated Load Impact (MW)</w:t>
            </w:r>
          </w:p>
        </w:tc>
        <w:tc>
          <w:tcPr>
            <w:tcW w:w="1345" w:type="dxa"/>
            <w:tcBorders>
              <w:left w:val="single" w:sz="4" w:space="0" w:color="FFFFFF" w:themeColor="background1"/>
            </w:tcBorders>
            <w:shd w:val="clear" w:color="auto" w:fill="0C2577"/>
            <w:vAlign w:val="center"/>
          </w:tcPr>
          <w:p w14:paraId="06AF2F83" w14:textId="77777777" w:rsidR="00697C02" w:rsidRPr="007E0A27" w:rsidRDefault="00697C02" w:rsidP="00A66A92">
            <w:pPr>
              <w:keepNext/>
              <w:keepLines/>
              <w:jc w:val="center"/>
              <w:rPr>
                <w:rFonts w:ascii="Arial" w:hAnsi="Arial" w:cs="Arial"/>
                <w:b/>
                <w:sz w:val="20"/>
                <w:szCs w:val="20"/>
              </w:rPr>
            </w:pPr>
            <w:r w:rsidRPr="007E0A27">
              <w:rPr>
                <w:rFonts w:ascii="Arial" w:hAnsi="Arial" w:cs="Arial"/>
                <w:b/>
                <w:sz w:val="20"/>
                <w:szCs w:val="20"/>
              </w:rPr>
              <w:t>% LI</w:t>
            </w:r>
          </w:p>
        </w:tc>
      </w:tr>
      <w:tr w:rsidR="00487430" w14:paraId="0E7557A7" w14:textId="77777777" w:rsidTr="00F13EDC">
        <w:trPr>
          <w:jc w:val="center"/>
        </w:trPr>
        <w:tc>
          <w:tcPr>
            <w:tcW w:w="1530" w:type="dxa"/>
            <w:vAlign w:val="bottom"/>
          </w:tcPr>
          <w:p w14:paraId="6A013675" w14:textId="398B73AE" w:rsidR="00487430" w:rsidRPr="007E0A27" w:rsidRDefault="00487430" w:rsidP="00487430">
            <w:pPr>
              <w:keepNext/>
              <w:keepLines/>
              <w:rPr>
                <w:rFonts w:ascii="Arial" w:hAnsi="Arial" w:cs="Arial"/>
                <w:sz w:val="20"/>
                <w:szCs w:val="20"/>
              </w:rPr>
            </w:pPr>
            <w:r>
              <w:rPr>
                <w:rFonts w:ascii="Arial" w:hAnsi="Arial" w:cs="Arial"/>
                <w:color w:val="000000"/>
                <w:sz w:val="20"/>
                <w:szCs w:val="20"/>
              </w:rPr>
              <w:t>LA Basin</w:t>
            </w:r>
          </w:p>
        </w:tc>
        <w:tc>
          <w:tcPr>
            <w:tcW w:w="1170" w:type="dxa"/>
            <w:shd w:val="clear" w:color="auto" w:fill="auto"/>
          </w:tcPr>
          <w:p w14:paraId="4B930836" w14:textId="2E6F7E47" w:rsidR="00487430" w:rsidRPr="00024FF4" w:rsidRDefault="00487430" w:rsidP="00487430">
            <w:pPr>
              <w:jc w:val="right"/>
              <w:rPr>
                <w:rFonts w:ascii="Arial" w:hAnsi="Arial" w:cs="Arial"/>
                <w:sz w:val="20"/>
                <w:szCs w:val="20"/>
              </w:rPr>
            </w:pPr>
            <w:r w:rsidRPr="0047584F">
              <w:rPr>
                <w:rFonts w:ascii="Arial" w:hAnsi="Arial" w:cs="Arial"/>
                <w:sz w:val="20"/>
                <w:szCs w:val="20"/>
              </w:rPr>
              <w:t>1,944</w:t>
            </w:r>
          </w:p>
        </w:tc>
        <w:tc>
          <w:tcPr>
            <w:tcW w:w="1350" w:type="dxa"/>
            <w:shd w:val="clear" w:color="auto" w:fill="auto"/>
          </w:tcPr>
          <w:p w14:paraId="62AED40F" w14:textId="34924922" w:rsidR="00487430" w:rsidRPr="00024FF4" w:rsidRDefault="00487430" w:rsidP="00487430">
            <w:pPr>
              <w:jc w:val="right"/>
              <w:rPr>
                <w:rFonts w:ascii="Arial" w:hAnsi="Arial" w:cs="Arial"/>
                <w:sz w:val="20"/>
                <w:szCs w:val="20"/>
              </w:rPr>
            </w:pPr>
            <w:r w:rsidRPr="0047584F">
              <w:rPr>
                <w:rFonts w:ascii="Arial" w:hAnsi="Arial" w:cs="Arial"/>
                <w:sz w:val="20"/>
                <w:szCs w:val="20"/>
              </w:rPr>
              <w:t>483.3</w:t>
            </w:r>
          </w:p>
        </w:tc>
        <w:tc>
          <w:tcPr>
            <w:tcW w:w="1260" w:type="dxa"/>
            <w:shd w:val="clear" w:color="auto" w:fill="auto"/>
          </w:tcPr>
          <w:p w14:paraId="680A387C" w14:textId="5401159E" w:rsidR="00487430" w:rsidRPr="00024FF4" w:rsidRDefault="00487430" w:rsidP="00487430">
            <w:pPr>
              <w:jc w:val="right"/>
              <w:rPr>
                <w:rFonts w:ascii="Arial" w:hAnsi="Arial" w:cs="Arial"/>
                <w:sz w:val="20"/>
                <w:szCs w:val="20"/>
              </w:rPr>
            </w:pPr>
            <w:r w:rsidRPr="0047584F">
              <w:rPr>
                <w:rFonts w:ascii="Arial" w:hAnsi="Arial" w:cs="Arial"/>
                <w:sz w:val="20"/>
                <w:szCs w:val="20"/>
              </w:rPr>
              <w:t>465.3</w:t>
            </w:r>
          </w:p>
        </w:tc>
        <w:tc>
          <w:tcPr>
            <w:tcW w:w="1440" w:type="dxa"/>
            <w:shd w:val="clear" w:color="auto" w:fill="auto"/>
          </w:tcPr>
          <w:p w14:paraId="6B25E29B" w14:textId="4EAB8A3F" w:rsidR="00487430" w:rsidRPr="00024FF4" w:rsidRDefault="00487430" w:rsidP="00487430">
            <w:pPr>
              <w:jc w:val="right"/>
              <w:rPr>
                <w:rFonts w:ascii="Arial" w:hAnsi="Arial" w:cs="Arial"/>
                <w:sz w:val="20"/>
                <w:szCs w:val="20"/>
              </w:rPr>
            </w:pPr>
            <w:r w:rsidRPr="0047584F">
              <w:rPr>
                <w:rFonts w:ascii="Arial" w:hAnsi="Arial" w:cs="Arial"/>
                <w:sz w:val="20"/>
                <w:szCs w:val="20"/>
              </w:rPr>
              <w:t>18.0</w:t>
            </w:r>
          </w:p>
        </w:tc>
        <w:tc>
          <w:tcPr>
            <w:tcW w:w="1345" w:type="dxa"/>
            <w:shd w:val="clear" w:color="auto" w:fill="auto"/>
          </w:tcPr>
          <w:p w14:paraId="2773544A" w14:textId="22899954" w:rsidR="00487430" w:rsidRPr="00024FF4" w:rsidRDefault="00487430" w:rsidP="00487430">
            <w:pPr>
              <w:jc w:val="right"/>
              <w:rPr>
                <w:rFonts w:ascii="Arial" w:hAnsi="Arial" w:cs="Arial"/>
                <w:sz w:val="20"/>
                <w:szCs w:val="20"/>
              </w:rPr>
            </w:pPr>
            <w:r w:rsidRPr="0047584F">
              <w:rPr>
                <w:rFonts w:ascii="Arial" w:hAnsi="Arial" w:cs="Arial"/>
                <w:sz w:val="20"/>
                <w:szCs w:val="20"/>
              </w:rPr>
              <w:t>3.7%</w:t>
            </w:r>
          </w:p>
        </w:tc>
      </w:tr>
      <w:tr w:rsidR="00487430" w14:paraId="025B812A" w14:textId="77777777" w:rsidTr="00F13EDC">
        <w:trPr>
          <w:jc w:val="center"/>
        </w:trPr>
        <w:tc>
          <w:tcPr>
            <w:tcW w:w="1530" w:type="dxa"/>
            <w:vAlign w:val="bottom"/>
          </w:tcPr>
          <w:p w14:paraId="46B0610F" w14:textId="28B620B4" w:rsidR="00487430" w:rsidRPr="007E0A27" w:rsidRDefault="00487430" w:rsidP="00487430">
            <w:pPr>
              <w:keepNext/>
              <w:keepLines/>
              <w:rPr>
                <w:rFonts w:ascii="Arial" w:hAnsi="Arial" w:cs="Arial"/>
                <w:sz w:val="20"/>
                <w:szCs w:val="20"/>
              </w:rPr>
            </w:pPr>
            <w:r>
              <w:rPr>
                <w:rFonts w:ascii="Arial" w:hAnsi="Arial" w:cs="Arial"/>
                <w:color w:val="000000"/>
                <w:sz w:val="20"/>
                <w:szCs w:val="20"/>
              </w:rPr>
              <w:t>Outside Basin</w:t>
            </w:r>
          </w:p>
        </w:tc>
        <w:tc>
          <w:tcPr>
            <w:tcW w:w="1170" w:type="dxa"/>
            <w:shd w:val="clear" w:color="auto" w:fill="auto"/>
          </w:tcPr>
          <w:p w14:paraId="7788498C" w14:textId="11C5EA76" w:rsidR="00487430" w:rsidRPr="00024FF4" w:rsidRDefault="00487430" w:rsidP="00487430">
            <w:pPr>
              <w:jc w:val="right"/>
              <w:rPr>
                <w:rFonts w:ascii="Arial" w:hAnsi="Arial" w:cs="Arial"/>
                <w:sz w:val="20"/>
                <w:szCs w:val="20"/>
              </w:rPr>
            </w:pPr>
            <w:r w:rsidRPr="0047584F">
              <w:rPr>
                <w:rFonts w:ascii="Arial" w:hAnsi="Arial" w:cs="Arial"/>
                <w:sz w:val="20"/>
                <w:szCs w:val="20"/>
              </w:rPr>
              <w:t>117</w:t>
            </w:r>
          </w:p>
        </w:tc>
        <w:tc>
          <w:tcPr>
            <w:tcW w:w="1350" w:type="dxa"/>
            <w:shd w:val="clear" w:color="auto" w:fill="auto"/>
          </w:tcPr>
          <w:p w14:paraId="427A7C8A" w14:textId="22B074CB" w:rsidR="00487430" w:rsidRPr="00024FF4" w:rsidRDefault="00487430" w:rsidP="00487430">
            <w:pPr>
              <w:jc w:val="right"/>
              <w:rPr>
                <w:rFonts w:ascii="Arial" w:hAnsi="Arial" w:cs="Arial"/>
                <w:sz w:val="20"/>
                <w:szCs w:val="20"/>
              </w:rPr>
            </w:pPr>
            <w:r w:rsidRPr="0047584F">
              <w:rPr>
                <w:rFonts w:ascii="Arial" w:hAnsi="Arial" w:cs="Arial"/>
                <w:sz w:val="20"/>
                <w:szCs w:val="20"/>
              </w:rPr>
              <w:t>29.2</w:t>
            </w:r>
          </w:p>
        </w:tc>
        <w:tc>
          <w:tcPr>
            <w:tcW w:w="1260" w:type="dxa"/>
            <w:shd w:val="clear" w:color="auto" w:fill="auto"/>
          </w:tcPr>
          <w:p w14:paraId="70089D8F" w14:textId="729384D2" w:rsidR="00487430" w:rsidRPr="00024FF4" w:rsidRDefault="00487430" w:rsidP="00487430">
            <w:pPr>
              <w:jc w:val="right"/>
              <w:rPr>
                <w:rFonts w:ascii="Arial" w:hAnsi="Arial" w:cs="Arial"/>
                <w:sz w:val="20"/>
                <w:szCs w:val="20"/>
              </w:rPr>
            </w:pPr>
            <w:r w:rsidRPr="0047584F">
              <w:rPr>
                <w:rFonts w:ascii="Arial" w:hAnsi="Arial" w:cs="Arial"/>
                <w:sz w:val="20"/>
                <w:szCs w:val="20"/>
              </w:rPr>
              <w:t>27.2</w:t>
            </w:r>
          </w:p>
        </w:tc>
        <w:tc>
          <w:tcPr>
            <w:tcW w:w="1440" w:type="dxa"/>
            <w:shd w:val="clear" w:color="auto" w:fill="auto"/>
          </w:tcPr>
          <w:p w14:paraId="15917894" w14:textId="6A6FDCC8" w:rsidR="00487430" w:rsidRPr="00024FF4" w:rsidRDefault="00487430" w:rsidP="00487430">
            <w:pPr>
              <w:jc w:val="right"/>
              <w:rPr>
                <w:rFonts w:ascii="Arial" w:hAnsi="Arial" w:cs="Arial"/>
                <w:sz w:val="20"/>
                <w:szCs w:val="20"/>
              </w:rPr>
            </w:pPr>
            <w:r w:rsidRPr="0047584F">
              <w:rPr>
                <w:rFonts w:ascii="Arial" w:hAnsi="Arial" w:cs="Arial"/>
                <w:sz w:val="20"/>
                <w:szCs w:val="20"/>
              </w:rPr>
              <w:t>2.1</w:t>
            </w:r>
          </w:p>
        </w:tc>
        <w:tc>
          <w:tcPr>
            <w:tcW w:w="1345" w:type="dxa"/>
            <w:shd w:val="clear" w:color="auto" w:fill="auto"/>
          </w:tcPr>
          <w:p w14:paraId="08CB8289" w14:textId="24838CFC" w:rsidR="00487430" w:rsidRPr="00024FF4" w:rsidRDefault="00487430" w:rsidP="00487430">
            <w:pPr>
              <w:jc w:val="right"/>
              <w:rPr>
                <w:rFonts w:ascii="Arial" w:hAnsi="Arial" w:cs="Arial"/>
                <w:sz w:val="20"/>
                <w:szCs w:val="20"/>
              </w:rPr>
            </w:pPr>
            <w:r w:rsidRPr="0047584F">
              <w:rPr>
                <w:rFonts w:ascii="Arial" w:hAnsi="Arial" w:cs="Arial"/>
                <w:sz w:val="20"/>
                <w:szCs w:val="20"/>
              </w:rPr>
              <w:t>7.0%</w:t>
            </w:r>
          </w:p>
        </w:tc>
      </w:tr>
      <w:tr w:rsidR="00487430" w14:paraId="28F39A86" w14:textId="77777777" w:rsidTr="00F13EDC">
        <w:trPr>
          <w:jc w:val="center"/>
        </w:trPr>
        <w:tc>
          <w:tcPr>
            <w:tcW w:w="1530" w:type="dxa"/>
            <w:vAlign w:val="bottom"/>
          </w:tcPr>
          <w:p w14:paraId="0B76CF00" w14:textId="591D91CF" w:rsidR="00487430" w:rsidRPr="007E0A27" w:rsidRDefault="00487430" w:rsidP="00487430">
            <w:pPr>
              <w:keepNext/>
              <w:keepLines/>
              <w:rPr>
                <w:rFonts w:ascii="Arial" w:hAnsi="Arial" w:cs="Arial"/>
                <w:sz w:val="20"/>
                <w:szCs w:val="20"/>
              </w:rPr>
            </w:pPr>
            <w:r>
              <w:rPr>
                <w:rFonts w:ascii="Arial" w:hAnsi="Arial" w:cs="Arial"/>
                <w:color w:val="000000"/>
                <w:sz w:val="20"/>
                <w:szCs w:val="20"/>
              </w:rPr>
              <w:t>Ventura</w:t>
            </w:r>
          </w:p>
        </w:tc>
        <w:tc>
          <w:tcPr>
            <w:tcW w:w="1170" w:type="dxa"/>
            <w:shd w:val="clear" w:color="auto" w:fill="auto"/>
          </w:tcPr>
          <w:p w14:paraId="67EFE2F4" w14:textId="3C214BC5" w:rsidR="00487430" w:rsidRPr="00024FF4" w:rsidRDefault="00487430" w:rsidP="00487430">
            <w:pPr>
              <w:jc w:val="right"/>
              <w:rPr>
                <w:rFonts w:ascii="Arial" w:hAnsi="Arial" w:cs="Arial"/>
                <w:sz w:val="20"/>
                <w:szCs w:val="20"/>
              </w:rPr>
            </w:pPr>
            <w:r w:rsidRPr="0047584F">
              <w:rPr>
                <w:rFonts w:ascii="Arial" w:hAnsi="Arial" w:cs="Arial"/>
                <w:sz w:val="20"/>
                <w:szCs w:val="20"/>
              </w:rPr>
              <w:t>230</w:t>
            </w:r>
          </w:p>
        </w:tc>
        <w:tc>
          <w:tcPr>
            <w:tcW w:w="1350" w:type="dxa"/>
            <w:shd w:val="clear" w:color="auto" w:fill="auto"/>
          </w:tcPr>
          <w:p w14:paraId="78E2A510" w14:textId="00914AD0" w:rsidR="00487430" w:rsidRPr="00024FF4" w:rsidRDefault="00487430" w:rsidP="00487430">
            <w:pPr>
              <w:jc w:val="right"/>
              <w:rPr>
                <w:rFonts w:ascii="Arial" w:hAnsi="Arial" w:cs="Arial"/>
                <w:sz w:val="20"/>
                <w:szCs w:val="20"/>
              </w:rPr>
            </w:pPr>
            <w:r w:rsidRPr="0047584F">
              <w:rPr>
                <w:rFonts w:ascii="Arial" w:hAnsi="Arial" w:cs="Arial"/>
                <w:sz w:val="20"/>
                <w:szCs w:val="20"/>
              </w:rPr>
              <w:t>49.1</w:t>
            </w:r>
          </w:p>
        </w:tc>
        <w:tc>
          <w:tcPr>
            <w:tcW w:w="1260" w:type="dxa"/>
            <w:shd w:val="clear" w:color="auto" w:fill="auto"/>
          </w:tcPr>
          <w:p w14:paraId="29E34017" w14:textId="6AF2759A" w:rsidR="00487430" w:rsidRPr="00024FF4" w:rsidRDefault="00487430" w:rsidP="00487430">
            <w:pPr>
              <w:jc w:val="right"/>
              <w:rPr>
                <w:rFonts w:ascii="Arial" w:hAnsi="Arial" w:cs="Arial"/>
                <w:sz w:val="20"/>
                <w:szCs w:val="20"/>
              </w:rPr>
            </w:pPr>
            <w:r w:rsidRPr="0047584F">
              <w:rPr>
                <w:rFonts w:ascii="Arial" w:hAnsi="Arial" w:cs="Arial"/>
                <w:sz w:val="20"/>
                <w:szCs w:val="20"/>
              </w:rPr>
              <w:t>46.9</w:t>
            </w:r>
          </w:p>
        </w:tc>
        <w:tc>
          <w:tcPr>
            <w:tcW w:w="1440" w:type="dxa"/>
            <w:shd w:val="clear" w:color="auto" w:fill="auto"/>
          </w:tcPr>
          <w:p w14:paraId="0E1E6DC7" w14:textId="149173D1" w:rsidR="00487430" w:rsidRPr="00024FF4" w:rsidRDefault="00487430" w:rsidP="00487430">
            <w:pPr>
              <w:jc w:val="right"/>
              <w:rPr>
                <w:rFonts w:ascii="Arial" w:hAnsi="Arial" w:cs="Arial"/>
                <w:sz w:val="20"/>
                <w:szCs w:val="20"/>
              </w:rPr>
            </w:pPr>
            <w:r w:rsidRPr="0047584F">
              <w:rPr>
                <w:rFonts w:ascii="Arial" w:hAnsi="Arial" w:cs="Arial"/>
                <w:sz w:val="20"/>
                <w:szCs w:val="20"/>
              </w:rPr>
              <w:t>2.1</w:t>
            </w:r>
          </w:p>
        </w:tc>
        <w:tc>
          <w:tcPr>
            <w:tcW w:w="1345" w:type="dxa"/>
            <w:shd w:val="clear" w:color="auto" w:fill="auto"/>
          </w:tcPr>
          <w:p w14:paraId="40662058" w14:textId="5712272D" w:rsidR="00487430" w:rsidRPr="00024FF4" w:rsidRDefault="00487430" w:rsidP="00487430">
            <w:pPr>
              <w:jc w:val="right"/>
              <w:rPr>
                <w:rFonts w:ascii="Arial" w:hAnsi="Arial" w:cs="Arial"/>
                <w:sz w:val="20"/>
                <w:szCs w:val="20"/>
              </w:rPr>
            </w:pPr>
            <w:r w:rsidRPr="0047584F">
              <w:rPr>
                <w:rFonts w:ascii="Arial" w:hAnsi="Arial" w:cs="Arial"/>
                <w:sz w:val="20"/>
                <w:szCs w:val="20"/>
              </w:rPr>
              <w:t>4.4%</w:t>
            </w:r>
          </w:p>
        </w:tc>
      </w:tr>
    </w:tbl>
    <w:p w14:paraId="09C221BB" w14:textId="4497EBB6" w:rsidR="00CB13E9" w:rsidRDefault="004529EC" w:rsidP="00CB13E9">
      <w:pPr>
        <w:spacing w:after="120"/>
        <w:rPr>
          <w:szCs w:val="32"/>
        </w:rPr>
      </w:pPr>
      <w:r>
        <w:rPr>
          <w:noProof/>
          <w:szCs w:val="32"/>
        </w:rPr>
        <mc:AlternateContent>
          <mc:Choice Requires="wps">
            <w:drawing>
              <wp:anchor distT="0" distB="0" distL="114300" distR="114300" simplePos="0" relativeHeight="251686912" behindDoc="0" locked="0" layoutInCell="1" allowOverlap="1" wp14:anchorId="133A84CE" wp14:editId="64B9B909">
                <wp:simplePos x="0" y="0"/>
                <wp:positionH relativeFrom="margin">
                  <wp:align>right</wp:align>
                </wp:positionH>
                <wp:positionV relativeFrom="paragraph">
                  <wp:posOffset>1621431</wp:posOffset>
                </wp:positionV>
                <wp:extent cx="5422789" cy="397566"/>
                <wp:effectExtent l="0" t="0" r="26035" b="21590"/>
                <wp:wrapNone/>
                <wp:docPr id="39" name="Text Box 39"/>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241CDBC3" w14:textId="77777777" w:rsidR="006F4399" w:rsidRPr="00EB41EA" w:rsidRDefault="006F4399" w:rsidP="004529EC">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3A84CE" id="Text Box 39" o:spid="_x0000_s1040" type="#_x0000_t202" style="position:absolute;margin-left:375.8pt;margin-top:127.65pt;width:427pt;height:31.3pt;z-index:25168691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" fillcolor="white [3201]" strokeweight=".5pt">
                <v:textbox>
                  <w:txbxContent>
                    <w:p w14:paraId="241CDBC3" w14:textId="77777777" w:rsidR="006F4399" w:rsidRPr="00EB41EA" w:rsidRDefault="006F4399" w:rsidP="004529EC">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252CB78F" w14:textId="4DE21B1D" w:rsidR="00104977" w:rsidRDefault="002F5C6C" w:rsidP="00A66A92">
      <w:pPr>
        <w:pStyle w:val="FigureCaption"/>
        <w:rPr>
          <w:i/>
        </w:rPr>
      </w:pPr>
      <w:bookmarkStart w:id="290" w:name="_Ref506993454"/>
      <w:bookmarkStart w:id="291" w:name="_Toc509837482"/>
      <w:r>
        <w:lastRenderedPageBreak/>
        <w:t xml:space="preserve">Figure </w:t>
      </w:r>
      <w:fldSimple w:instr=" STYLEREF 1 \s ">
        <w:r w:rsidR="005D5C7C">
          <w:rPr>
            <w:noProof/>
          </w:rPr>
          <w:t>4</w:t>
        </w:r>
      </w:fldSimple>
      <w:r w:rsidR="00A11E78">
        <w:t>.</w:t>
      </w:r>
      <w:fldSimple w:instr=" SEQ Figure \* ARABIC \s 1 ">
        <w:r w:rsidR="005D5C7C">
          <w:rPr>
            <w:noProof/>
          </w:rPr>
          <w:t>4</w:t>
        </w:r>
      </w:fldSimple>
      <w:bookmarkEnd w:id="290"/>
      <w:r>
        <w:t xml:space="preserve">: Typical Event Day Event-Hour Load Impacts by LCA, </w:t>
      </w:r>
      <w:r>
        <w:rPr>
          <w:i/>
        </w:rPr>
        <w:t>SCE Large</w:t>
      </w:r>
      <w:bookmarkEnd w:id="291"/>
    </w:p>
    <w:p w14:paraId="0505A121" w14:textId="426AEB8E" w:rsidR="001C7388" w:rsidRDefault="00487430" w:rsidP="00104977">
      <w:r>
        <w:rPr>
          <w:noProof/>
        </w:rPr>
        <w:drawing>
          <wp:inline distT="0" distB="0" distL="0" distR="0" wp14:anchorId="1ADB81DA" wp14:editId="5843FEB2">
            <wp:extent cx="5486400" cy="3980815"/>
            <wp:effectExtent l="0" t="0" r="0" b="635"/>
            <wp:docPr id="46" name="Chart 46">
              <a:extLst xmlns:a="http://schemas.openxmlformats.org/drawingml/2006/main">
                <a:ext uri="{FF2B5EF4-FFF2-40B4-BE49-F238E27FC236}">
                  <a16:creationId xmlns:a16="http://schemas.microsoft.com/office/drawing/2014/main" id="{188E7A58-8111-453D-A9DB-6FE82E08DB6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15149C77" w14:textId="77777777" w:rsidR="000617A8" w:rsidRDefault="000617A8" w:rsidP="00CB13E9">
      <w:pPr>
        <w:spacing w:after="120"/>
        <w:rPr>
          <w:szCs w:val="32"/>
        </w:rPr>
      </w:pPr>
    </w:p>
    <w:p w14:paraId="7794AA0B" w14:textId="556B2FD4" w:rsidR="00CB13E9" w:rsidRDefault="00CB13E9" w:rsidP="00CB13E9">
      <w:pPr>
        <w:pStyle w:val="Heading3"/>
      </w:pPr>
      <w:bookmarkStart w:id="292" w:name="_Toc509837327"/>
      <w:r>
        <w:t>SMB Customers</w:t>
      </w:r>
      <w:bookmarkEnd w:id="292"/>
    </w:p>
    <w:p w14:paraId="65C3D6A8" w14:textId="2C688C7B" w:rsidR="008A6F7C" w:rsidRDefault="008A6F7C" w:rsidP="008A6F7C">
      <w:pPr>
        <w:spacing w:after="120"/>
        <w:rPr>
          <w:szCs w:val="32"/>
        </w:rPr>
      </w:pPr>
      <w:r>
        <w:rPr>
          <w:szCs w:val="32"/>
        </w:rPr>
        <w:t>This section summarizes results for all small and medium (SMB) SCE customers</w:t>
      </w:r>
      <w:r w:rsidR="00E105E9">
        <w:rPr>
          <w:szCs w:val="32"/>
        </w:rPr>
        <w:t>, defined as customers with maximum demand less than 20 kW and between 20 and 199.99 kW, respectively. The presented results include: t</w:t>
      </w:r>
      <w:r>
        <w:rPr>
          <w:szCs w:val="32"/>
        </w:rPr>
        <w:t>he average event</w:t>
      </w:r>
      <w:r w:rsidR="00E105E9">
        <w:rPr>
          <w:szCs w:val="32"/>
        </w:rPr>
        <w:t>-</w:t>
      </w:r>
      <w:r>
        <w:rPr>
          <w:szCs w:val="32"/>
        </w:rPr>
        <w:t>hour</w:t>
      </w:r>
      <w:r w:rsidR="00E105E9">
        <w:rPr>
          <w:szCs w:val="32"/>
        </w:rPr>
        <w:t xml:space="preserve"> load impact by </w:t>
      </w:r>
      <w:r>
        <w:rPr>
          <w:szCs w:val="32"/>
        </w:rPr>
        <w:t>event day</w:t>
      </w:r>
      <w:r w:rsidR="00E105E9">
        <w:rPr>
          <w:szCs w:val="32"/>
        </w:rPr>
        <w:t xml:space="preserve">; the hourly load impact </w:t>
      </w:r>
      <w:r>
        <w:rPr>
          <w:szCs w:val="32"/>
        </w:rPr>
        <w:t>for the average event day</w:t>
      </w:r>
      <w:r w:rsidR="00E105E9">
        <w:rPr>
          <w:szCs w:val="32"/>
        </w:rPr>
        <w:t>; and load impacts by industry group and LCA for the average event hour</w:t>
      </w:r>
      <w:r>
        <w:rPr>
          <w:szCs w:val="32"/>
        </w:rPr>
        <w:t xml:space="preserve">. </w:t>
      </w:r>
      <w:r w:rsidR="00E105E9">
        <w:rPr>
          <w:szCs w:val="32"/>
        </w:rPr>
        <w:t xml:space="preserve">Summaries of load impacts for dually enrolled customers, </w:t>
      </w:r>
      <w:proofErr w:type="spellStart"/>
      <w:r w:rsidR="00E105E9">
        <w:rPr>
          <w:szCs w:val="32"/>
        </w:rPr>
        <w:t>AutoDR</w:t>
      </w:r>
      <w:proofErr w:type="spellEnd"/>
      <w:r w:rsidR="00E105E9">
        <w:rPr>
          <w:szCs w:val="32"/>
        </w:rPr>
        <w:t xml:space="preserve"> customers, and TA/TI customers are presented in subsequent sub-sections.</w:t>
      </w:r>
      <w:r>
        <w:rPr>
          <w:szCs w:val="32"/>
        </w:rPr>
        <w:t xml:space="preserve">  </w:t>
      </w:r>
    </w:p>
    <w:p w14:paraId="1E58865D" w14:textId="1426B090" w:rsidR="009A085E" w:rsidRDefault="008A6F7C" w:rsidP="008A6F7C">
      <w:pPr>
        <w:spacing w:after="120"/>
        <w:rPr>
          <w:szCs w:val="32"/>
        </w:rPr>
      </w:pPr>
      <w:r>
        <w:rPr>
          <w:szCs w:val="32"/>
        </w:rPr>
        <w:t xml:space="preserve">The </w:t>
      </w:r>
      <w:r w:rsidRPr="00C90BDE">
        <w:rPr>
          <w:i/>
          <w:szCs w:val="32"/>
        </w:rPr>
        <w:t>ex-post</w:t>
      </w:r>
      <w:r>
        <w:rPr>
          <w:szCs w:val="32"/>
        </w:rPr>
        <w:t xml:space="preserve"> load impacts for SCE’s SMB CPP customers are summarized for all 12 events in </w:t>
      </w:r>
      <w:r>
        <w:rPr>
          <w:szCs w:val="32"/>
        </w:rPr>
        <w:fldChar w:fldCharType="begin"/>
      </w:r>
      <w:r>
        <w:rPr>
          <w:szCs w:val="32"/>
        </w:rPr>
        <w:instrText xml:space="preserve"> REF _Ref507065565 \h </w:instrText>
      </w:r>
      <w:r>
        <w:rPr>
          <w:szCs w:val="32"/>
        </w:rPr>
      </w:r>
      <w:r>
        <w:rPr>
          <w:szCs w:val="32"/>
        </w:rPr>
        <w:fldChar w:fldCharType="separate"/>
      </w:r>
      <w:r w:rsidR="005D5C7C">
        <w:t xml:space="preserve">Figure </w:t>
      </w:r>
      <w:r w:rsidR="005D5C7C">
        <w:rPr>
          <w:noProof/>
        </w:rPr>
        <w:t>4</w:t>
      </w:r>
      <w:r w:rsidR="005D5C7C">
        <w:t>.</w:t>
      </w:r>
      <w:r w:rsidR="005D5C7C">
        <w:rPr>
          <w:noProof/>
        </w:rPr>
        <w:t>5</w:t>
      </w:r>
      <w:r>
        <w:rPr>
          <w:szCs w:val="32"/>
        </w:rPr>
        <w:fldChar w:fldCharType="end"/>
      </w:r>
      <w:r>
        <w:rPr>
          <w:szCs w:val="32"/>
        </w:rPr>
        <w:t xml:space="preserve">. </w:t>
      </w:r>
      <w:r w:rsidR="009A085E">
        <w:rPr>
          <w:szCs w:val="32"/>
        </w:rPr>
        <w:t xml:space="preserve">In contrast to large customers, </w:t>
      </w:r>
      <w:r>
        <w:rPr>
          <w:szCs w:val="32"/>
        </w:rPr>
        <w:t>the</w:t>
      </w:r>
      <w:r w:rsidR="009A085E">
        <w:rPr>
          <w:szCs w:val="32"/>
        </w:rPr>
        <w:t xml:space="preserve"> load impacts are not </w:t>
      </w:r>
      <w:r>
        <w:rPr>
          <w:szCs w:val="32"/>
        </w:rPr>
        <w:t>statistically significant on each event day</w:t>
      </w:r>
      <w:r w:rsidR="009A085E">
        <w:rPr>
          <w:szCs w:val="32"/>
        </w:rPr>
        <w:t xml:space="preserve">. </w:t>
      </w:r>
      <w:r w:rsidR="00C90BDE">
        <w:rPr>
          <w:szCs w:val="32"/>
        </w:rPr>
        <w:t>F</w:t>
      </w:r>
      <w:r w:rsidR="009A085E">
        <w:rPr>
          <w:szCs w:val="32"/>
        </w:rPr>
        <w:t>ive events days (July 27</w:t>
      </w:r>
      <w:r w:rsidR="009A085E" w:rsidRPr="009A085E">
        <w:rPr>
          <w:szCs w:val="32"/>
          <w:vertAlign w:val="superscript"/>
        </w:rPr>
        <w:t>th</w:t>
      </w:r>
      <w:r w:rsidR="009A085E">
        <w:rPr>
          <w:szCs w:val="32"/>
        </w:rPr>
        <w:t>, August 1</w:t>
      </w:r>
      <w:r w:rsidR="009A085E" w:rsidRPr="009A085E">
        <w:rPr>
          <w:szCs w:val="32"/>
          <w:vertAlign w:val="superscript"/>
        </w:rPr>
        <w:t>st</w:t>
      </w:r>
      <w:r w:rsidR="009A085E">
        <w:rPr>
          <w:szCs w:val="32"/>
        </w:rPr>
        <w:t>, August 28</w:t>
      </w:r>
      <w:r w:rsidR="009A085E" w:rsidRPr="009A085E">
        <w:rPr>
          <w:szCs w:val="32"/>
          <w:vertAlign w:val="superscript"/>
        </w:rPr>
        <w:t>th</w:t>
      </w:r>
      <w:r w:rsidR="009A085E">
        <w:rPr>
          <w:szCs w:val="32"/>
        </w:rPr>
        <w:t>, August 31</w:t>
      </w:r>
      <w:r w:rsidR="009A085E" w:rsidRPr="009A085E">
        <w:rPr>
          <w:szCs w:val="32"/>
          <w:vertAlign w:val="superscript"/>
        </w:rPr>
        <w:t>st</w:t>
      </w:r>
      <w:r w:rsidR="009A085E">
        <w:rPr>
          <w:szCs w:val="32"/>
        </w:rPr>
        <w:t>, and September 5</w:t>
      </w:r>
      <w:r w:rsidR="009A085E" w:rsidRPr="009A085E">
        <w:rPr>
          <w:szCs w:val="32"/>
          <w:vertAlign w:val="superscript"/>
        </w:rPr>
        <w:t>th</w:t>
      </w:r>
      <w:r w:rsidR="009A085E">
        <w:rPr>
          <w:szCs w:val="32"/>
        </w:rPr>
        <w:t xml:space="preserve">) </w:t>
      </w:r>
      <w:r w:rsidR="00C90BDE">
        <w:rPr>
          <w:szCs w:val="32"/>
        </w:rPr>
        <w:t xml:space="preserve">have </w:t>
      </w:r>
      <w:r w:rsidR="009A085E">
        <w:rPr>
          <w:szCs w:val="32"/>
        </w:rPr>
        <w:t>small estimated load reductions or increases in load.</w:t>
      </w:r>
      <w:r w:rsidR="00C90BDE">
        <w:rPr>
          <w:szCs w:val="32"/>
        </w:rPr>
        <w:t xml:space="preserve"> </w:t>
      </w:r>
      <w:r w:rsidR="009A085E">
        <w:rPr>
          <w:szCs w:val="32"/>
        </w:rPr>
        <w:t xml:space="preserve">However, on the remaining </w:t>
      </w:r>
      <w:r w:rsidR="00C90BDE">
        <w:rPr>
          <w:szCs w:val="32"/>
        </w:rPr>
        <w:t>seven</w:t>
      </w:r>
      <w:r w:rsidR="009A085E">
        <w:rPr>
          <w:szCs w:val="32"/>
        </w:rPr>
        <w:t xml:space="preserve"> event days, there are significant load impacts that range between </w:t>
      </w:r>
      <w:r w:rsidR="00C241A5">
        <w:rPr>
          <w:szCs w:val="32"/>
        </w:rPr>
        <w:t xml:space="preserve">0.7 and 1.4 MWh/hour with an </w:t>
      </w:r>
      <w:r w:rsidR="009A085E">
        <w:rPr>
          <w:szCs w:val="32"/>
        </w:rPr>
        <w:t>average</w:t>
      </w:r>
      <w:r w:rsidR="00C241A5">
        <w:rPr>
          <w:szCs w:val="32"/>
        </w:rPr>
        <w:t xml:space="preserve"> of</w:t>
      </w:r>
      <w:r w:rsidR="009A085E">
        <w:rPr>
          <w:szCs w:val="32"/>
        </w:rPr>
        <w:t xml:space="preserve"> </w:t>
      </w:r>
      <w:r w:rsidR="00F427C5">
        <w:rPr>
          <w:szCs w:val="32"/>
        </w:rPr>
        <w:t>0.9</w:t>
      </w:r>
      <w:r w:rsidR="009A085E">
        <w:rPr>
          <w:szCs w:val="32"/>
        </w:rPr>
        <w:t xml:space="preserve"> MWh/hour</w:t>
      </w:r>
      <w:r w:rsidR="00C241A5">
        <w:rPr>
          <w:szCs w:val="32"/>
        </w:rPr>
        <w:t xml:space="preserve"> </w:t>
      </w:r>
      <w:r w:rsidR="00C90BDE">
        <w:rPr>
          <w:szCs w:val="32"/>
        </w:rPr>
        <w:t>(</w:t>
      </w:r>
      <w:r w:rsidR="00F427C5">
        <w:rPr>
          <w:szCs w:val="32"/>
        </w:rPr>
        <w:t>1.5</w:t>
      </w:r>
      <w:r w:rsidR="00C241A5">
        <w:rPr>
          <w:szCs w:val="32"/>
        </w:rPr>
        <w:t xml:space="preserve"> percent</w:t>
      </w:r>
      <w:r w:rsidR="00C90BDE">
        <w:rPr>
          <w:szCs w:val="32"/>
        </w:rPr>
        <w:t>)</w:t>
      </w:r>
      <w:r w:rsidR="00414206">
        <w:rPr>
          <w:szCs w:val="32"/>
        </w:rPr>
        <w:t xml:space="preserve">. </w:t>
      </w:r>
      <w:r w:rsidR="00C90BDE">
        <w:rPr>
          <w:szCs w:val="32"/>
        </w:rPr>
        <w:t xml:space="preserve">The SMB customers do not show a relationship </w:t>
      </w:r>
      <w:r w:rsidR="00414206">
        <w:rPr>
          <w:szCs w:val="32"/>
        </w:rPr>
        <w:t>between load impacts and temperature.</w:t>
      </w:r>
    </w:p>
    <w:p w14:paraId="438427B8" w14:textId="77777777" w:rsidR="00414206" w:rsidRDefault="00414206" w:rsidP="008A6F7C">
      <w:pPr>
        <w:spacing w:after="120"/>
        <w:rPr>
          <w:szCs w:val="32"/>
        </w:rPr>
      </w:pPr>
    </w:p>
    <w:p w14:paraId="58D8B815" w14:textId="0E7DC672" w:rsidR="00104977" w:rsidRDefault="00992C93" w:rsidP="002E5631">
      <w:pPr>
        <w:pStyle w:val="FigureCaption"/>
        <w:rPr>
          <w:i/>
        </w:rPr>
      </w:pPr>
      <w:bookmarkStart w:id="293" w:name="_Ref507065565"/>
      <w:bookmarkStart w:id="294" w:name="_Toc509837483"/>
      <w:r>
        <w:lastRenderedPageBreak/>
        <w:t xml:space="preserve">Figure </w:t>
      </w:r>
      <w:fldSimple w:instr=" STYLEREF 1 \s ">
        <w:r w:rsidR="005D5C7C">
          <w:rPr>
            <w:noProof/>
          </w:rPr>
          <w:t>4</w:t>
        </w:r>
      </w:fldSimple>
      <w:r w:rsidR="00A11E78">
        <w:t>.</w:t>
      </w:r>
      <w:fldSimple w:instr=" SEQ Figure \* ARABIC \s 1 ">
        <w:r w:rsidR="005D5C7C">
          <w:rPr>
            <w:noProof/>
          </w:rPr>
          <w:t>5</w:t>
        </w:r>
      </w:fldSimple>
      <w:bookmarkEnd w:id="293"/>
      <w:r w:rsidR="002E5631">
        <w:t>: Average Event-Hour Load Impacts by Event, SC</w:t>
      </w:r>
      <w:r w:rsidR="002E5631">
        <w:rPr>
          <w:i/>
        </w:rPr>
        <w:t>E SMB</w:t>
      </w:r>
      <w:bookmarkEnd w:id="294"/>
    </w:p>
    <w:p w14:paraId="7FEB39EF" w14:textId="3C181F24" w:rsidR="00BE50D6" w:rsidRDefault="00BE50D6" w:rsidP="00104977">
      <w:r>
        <w:rPr>
          <w:noProof/>
        </w:rPr>
        <w:drawing>
          <wp:inline distT="0" distB="0" distL="0" distR="0" wp14:anchorId="046F75EF" wp14:editId="32FC5184">
            <wp:extent cx="5486400" cy="3983990"/>
            <wp:effectExtent l="0" t="0" r="0" b="0"/>
            <wp:docPr id="122" name="Chart 122">
              <a:extLst xmlns:a="http://schemas.openxmlformats.org/drawingml/2006/main">
                <a:ext uri="{FF2B5EF4-FFF2-40B4-BE49-F238E27FC236}">
                  <a16:creationId xmlns:a16="http://schemas.microsoft.com/office/drawing/2014/main" id="{2E90AA90-3B66-46AD-ACC7-70628F1F92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4DEAD27F" w14:textId="659E2B8C" w:rsidR="00414206" w:rsidRDefault="00414206" w:rsidP="00104977"/>
    <w:p w14:paraId="7FF987DA" w14:textId="77777777" w:rsidR="00BE50D6" w:rsidRDefault="00BE50D6" w:rsidP="00104977"/>
    <w:p w14:paraId="10E60448" w14:textId="25BCDEE3" w:rsidR="00414206" w:rsidRDefault="008A6F7C" w:rsidP="00104977">
      <w:pPr>
        <w:rPr>
          <w:szCs w:val="32"/>
        </w:rPr>
      </w:pPr>
      <w:r>
        <w:rPr>
          <w:szCs w:val="32"/>
        </w:rPr>
        <w:fldChar w:fldCharType="begin"/>
      </w:r>
      <w:r>
        <w:rPr>
          <w:szCs w:val="32"/>
        </w:rPr>
        <w:instrText xml:space="preserve"> REF _Ref507065645 \h </w:instrText>
      </w:r>
      <w:r>
        <w:rPr>
          <w:szCs w:val="32"/>
        </w:rPr>
      </w:r>
      <w:r>
        <w:rPr>
          <w:szCs w:val="32"/>
        </w:rPr>
        <w:fldChar w:fldCharType="separate"/>
      </w:r>
      <w:r w:rsidR="005D5C7C">
        <w:t xml:space="preserve">Table </w:t>
      </w:r>
      <w:r w:rsidR="005D5C7C">
        <w:rPr>
          <w:noProof/>
        </w:rPr>
        <w:t>4</w:t>
      </w:r>
      <w:r w:rsidR="005D5C7C">
        <w:t>.</w:t>
      </w:r>
      <w:r w:rsidR="005D5C7C">
        <w:rPr>
          <w:noProof/>
        </w:rPr>
        <w:t>5</w:t>
      </w:r>
      <w:r>
        <w:rPr>
          <w:szCs w:val="32"/>
        </w:rPr>
        <w:fldChar w:fldCharType="end"/>
      </w:r>
      <w:r>
        <w:rPr>
          <w:szCs w:val="32"/>
        </w:rPr>
        <w:t xml:space="preserve"> summarizes enrollments, </w:t>
      </w:r>
      <w:r w:rsidR="00414206">
        <w:rPr>
          <w:szCs w:val="32"/>
        </w:rPr>
        <w:t>average event-hour l</w:t>
      </w:r>
      <w:r>
        <w:rPr>
          <w:szCs w:val="32"/>
        </w:rPr>
        <w:t xml:space="preserve">oad impacts, and reference loads for </w:t>
      </w:r>
      <w:r w:rsidR="00414206">
        <w:rPr>
          <w:szCs w:val="32"/>
        </w:rPr>
        <w:t>each event day and</w:t>
      </w:r>
      <w:r>
        <w:rPr>
          <w:szCs w:val="32"/>
        </w:rPr>
        <w:t xml:space="preserve"> the average event. </w:t>
      </w:r>
      <w:r w:rsidR="00414206">
        <w:rPr>
          <w:szCs w:val="32"/>
        </w:rPr>
        <w:t>Although e</w:t>
      </w:r>
      <w:r>
        <w:rPr>
          <w:szCs w:val="32"/>
        </w:rPr>
        <w:t>nrollment</w:t>
      </w:r>
      <w:r w:rsidR="00414206">
        <w:rPr>
          <w:szCs w:val="32"/>
        </w:rPr>
        <w:t>s fluctuated, the season ended with nearly the same number of SMB customers as there were at the beginning. Overall, SMB customers had an aggregate load impact of 0.6 MWh/hour, which is 0.8 kWh/hour/customer on average, or about a 1 percent load reduction.</w:t>
      </w:r>
    </w:p>
    <w:p w14:paraId="5506D484" w14:textId="77777777" w:rsidR="00414206" w:rsidRDefault="00414206" w:rsidP="00104977">
      <w:pPr>
        <w:rPr>
          <w:szCs w:val="32"/>
        </w:rPr>
      </w:pPr>
    </w:p>
    <w:p w14:paraId="74D04930" w14:textId="1434A25F" w:rsidR="002E5631" w:rsidRDefault="002E5631" w:rsidP="002E5631">
      <w:pPr>
        <w:pStyle w:val="TableCaption"/>
      </w:pPr>
      <w:bookmarkStart w:id="295" w:name="_Ref507065645"/>
      <w:bookmarkStart w:id="296" w:name="_Toc509837388"/>
      <w:r>
        <w:lastRenderedPageBreak/>
        <w:t xml:space="preserve">Table </w:t>
      </w:r>
      <w:fldSimple w:instr=" STYLEREF 1 \s ">
        <w:r w:rsidR="005D5C7C">
          <w:rPr>
            <w:noProof/>
          </w:rPr>
          <w:t>4</w:t>
        </w:r>
      </w:fldSimple>
      <w:r w:rsidR="0069714C">
        <w:t>.</w:t>
      </w:r>
      <w:fldSimple w:instr=" SEQ Table \* ARABIC \s 1 ">
        <w:r w:rsidR="005D5C7C">
          <w:rPr>
            <w:noProof/>
          </w:rPr>
          <w:t>5</w:t>
        </w:r>
      </w:fldSimple>
      <w:bookmarkEnd w:id="295"/>
      <w:r>
        <w:t>:</w:t>
      </w:r>
      <w:r w:rsidRPr="002E5631">
        <w:t xml:space="preserve"> </w:t>
      </w:r>
      <w:r>
        <w:t xml:space="preserve">Average Event-Hour Load Impacts by Event, </w:t>
      </w:r>
      <w:r>
        <w:rPr>
          <w:i/>
        </w:rPr>
        <w:t>SC</w:t>
      </w:r>
      <w:r w:rsidRPr="00283F52">
        <w:rPr>
          <w:i/>
        </w:rPr>
        <w:t xml:space="preserve">E </w:t>
      </w:r>
      <w:r>
        <w:rPr>
          <w:i/>
        </w:rPr>
        <w:t>SMB</w:t>
      </w:r>
      <w:bookmarkEnd w:id="296"/>
    </w:p>
    <w:tbl>
      <w:tblPr>
        <w:tblW w:w="8345" w:type="dxa"/>
        <w:jc w:val="center"/>
        <w:tblLook w:val="04A0" w:firstRow="1" w:lastRow="0" w:firstColumn="1" w:lastColumn="0" w:noHBand="0" w:noVBand="1"/>
      </w:tblPr>
      <w:tblGrid>
        <w:gridCol w:w="1960"/>
        <w:gridCol w:w="1017"/>
        <w:gridCol w:w="923"/>
        <w:gridCol w:w="876"/>
        <w:gridCol w:w="828"/>
        <w:gridCol w:w="926"/>
        <w:gridCol w:w="967"/>
        <w:gridCol w:w="848"/>
      </w:tblGrid>
      <w:tr w:rsidR="00B836B3" w:rsidRPr="003B78F6" w14:paraId="36F834F0" w14:textId="77777777" w:rsidTr="00F42180">
        <w:trPr>
          <w:trHeight w:val="300"/>
          <w:jc w:val="center"/>
        </w:trPr>
        <w:tc>
          <w:tcPr>
            <w:tcW w:w="1960" w:type="dxa"/>
            <w:vMerge w:val="restart"/>
            <w:tcBorders>
              <w:top w:val="single" w:sz="4" w:space="0" w:color="000000" w:themeColor="text1"/>
              <w:left w:val="single" w:sz="4" w:space="0" w:color="000000" w:themeColor="text1"/>
              <w:right w:val="single" w:sz="4" w:space="0" w:color="FFFFFF"/>
            </w:tcBorders>
            <w:shd w:val="clear" w:color="auto" w:fill="0C2577"/>
            <w:noWrap/>
            <w:vAlign w:val="center"/>
            <w:hideMark/>
          </w:tcPr>
          <w:p w14:paraId="3090259A"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Event Date</w:t>
            </w:r>
          </w:p>
        </w:tc>
        <w:tc>
          <w:tcPr>
            <w:tcW w:w="1017" w:type="dxa"/>
            <w:vMerge w:val="restart"/>
            <w:tcBorders>
              <w:top w:val="single" w:sz="4" w:space="0" w:color="000000" w:themeColor="text1"/>
              <w:left w:val="single" w:sz="4" w:space="0" w:color="FFFFFF"/>
              <w:right w:val="single" w:sz="4" w:space="0" w:color="FFFFFF"/>
            </w:tcBorders>
            <w:shd w:val="clear" w:color="auto" w:fill="0C2577"/>
            <w:noWrap/>
            <w:vAlign w:val="center"/>
            <w:hideMark/>
          </w:tcPr>
          <w:p w14:paraId="24FF4BE8" w14:textId="77777777" w:rsidR="00697C02" w:rsidRPr="003B78F6" w:rsidRDefault="00697C02" w:rsidP="00A66A92">
            <w:pPr>
              <w:keepNext/>
              <w:keepLines/>
              <w:jc w:val="center"/>
              <w:rPr>
                <w:rFonts w:ascii="Arial" w:hAnsi="Arial" w:cs="Arial"/>
                <w:sz w:val="20"/>
                <w:szCs w:val="20"/>
              </w:rPr>
            </w:pPr>
          </w:p>
          <w:p w14:paraId="710FB747"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 Enrolled</w:t>
            </w:r>
          </w:p>
        </w:tc>
        <w:tc>
          <w:tcPr>
            <w:tcW w:w="1799" w:type="dxa"/>
            <w:gridSpan w:val="2"/>
            <w:tcBorders>
              <w:top w:val="single" w:sz="4" w:space="0" w:color="000000" w:themeColor="text1"/>
              <w:left w:val="single" w:sz="4" w:space="0" w:color="FFFFFF"/>
              <w:bottom w:val="single" w:sz="4" w:space="0" w:color="FFFFFF"/>
              <w:right w:val="single" w:sz="4" w:space="0" w:color="FFFFFF"/>
            </w:tcBorders>
            <w:shd w:val="clear" w:color="auto" w:fill="0C2577"/>
            <w:noWrap/>
            <w:vAlign w:val="center"/>
            <w:hideMark/>
          </w:tcPr>
          <w:p w14:paraId="02F7213F" w14:textId="3D9B6410"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Aggregate</w:t>
            </w:r>
            <w:r w:rsidR="00B836B3">
              <w:rPr>
                <w:rFonts w:ascii="Arial" w:hAnsi="Arial" w:cs="Arial"/>
                <w:b/>
                <w:bCs/>
                <w:sz w:val="20"/>
                <w:szCs w:val="20"/>
              </w:rPr>
              <w:t xml:space="preserve"> (MWh/hour)</w:t>
            </w:r>
          </w:p>
        </w:tc>
        <w:tc>
          <w:tcPr>
            <w:tcW w:w="1754" w:type="dxa"/>
            <w:gridSpan w:val="2"/>
            <w:tcBorders>
              <w:top w:val="single" w:sz="4" w:space="0" w:color="000000" w:themeColor="text1"/>
              <w:left w:val="single" w:sz="4" w:space="0" w:color="FFFFFF"/>
              <w:bottom w:val="single" w:sz="4" w:space="0" w:color="FFFFFF"/>
              <w:right w:val="single" w:sz="4" w:space="0" w:color="FFFFFF"/>
            </w:tcBorders>
            <w:shd w:val="clear" w:color="auto" w:fill="0C2577"/>
            <w:noWrap/>
            <w:vAlign w:val="center"/>
            <w:hideMark/>
          </w:tcPr>
          <w:p w14:paraId="5DC32A81" w14:textId="2035ACD0"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Per-Customer</w:t>
            </w:r>
            <w:r w:rsidR="00B836B3">
              <w:rPr>
                <w:rFonts w:ascii="Arial" w:hAnsi="Arial" w:cs="Arial"/>
                <w:b/>
                <w:bCs/>
                <w:sz w:val="20"/>
                <w:szCs w:val="20"/>
              </w:rPr>
              <w:t xml:space="preserve"> (kWh/hour)</w:t>
            </w:r>
          </w:p>
        </w:tc>
        <w:tc>
          <w:tcPr>
            <w:tcW w:w="967" w:type="dxa"/>
            <w:vMerge w:val="restart"/>
            <w:tcBorders>
              <w:top w:val="single" w:sz="4" w:space="0" w:color="000000" w:themeColor="text1"/>
              <w:left w:val="single" w:sz="4" w:space="0" w:color="FFFFFF"/>
              <w:right w:val="single" w:sz="4" w:space="0" w:color="FFFFFF"/>
            </w:tcBorders>
            <w:shd w:val="clear" w:color="auto" w:fill="0C2577"/>
            <w:noWrap/>
            <w:vAlign w:val="center"/>
            <w:hideMark/>
          </w:tcPr>
          <w:p w14:paraId="23426EAF" w14:textId="77777777" w:rsidR="00697C02" w:rsidRPr="003B78F6" w:rsidRDefault="00697C02" w:rsidP="00A66A92">
            <w:pPr>
              <w:keepNext/>
              <w:keepLines/>
              <w:jc w:val="center"/>
              <w:rPr>
                <w:rFonts w:ascii="Arial" w:hAnsi="Arial" w:cs="Arial"/>
                <w:sz w:val="20"/>
                <w:szCs w:val="20"/>
              </w:rPr>
            </w:pPr>
          </w:p>
          <w:p w14:paraId="469CF58F"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 Load Impact</w:t>
            </w:r>
          </w:p>
        </w:tc>
        <w:tc>
          <w:tcPr>
            <w:tcW w:w="848" w:type="dxa"/>
            <w:vMerge w:val="restart"/>
            <w:tcBorders>
              <w:top w:val="single" w:sz="4" w:space="0" w:color="000000" w:themeColor="text1"/>
              <w:left w:val="single" w:sz="4" w:space="0" w:color="FFFFFF"/>
              <w:right w:val="single" w:sz="4" w:space="0" w:color="000000" w:themeColor="text1"/>
            </w:tcBorders>
            <w:shd w:val="clear" w:color="auto" w:fill="0C2577"/>
            <w:noWrap/>
            <w:vAlign w:val="center"/>
            <w:hideMark/>
          </w:tcPr>
          <w:p w14:paraId="0E853B74" w14:textId="77777777" w:rsidR="00697C02" w:rsidRPr="003B78F6" w:rsidRDefault="00697C02" w:rsidP="00A66A92">
            <w:pPr>
              <w:keepNext/>
              <w:keepLines/>
              <w:jc w:val="center"/>
              <w:rPr>
                <w:rFonts w:ascii="Arial" w:hAnsi="Arial" w:cs="Arial"/>
                <w:sz w:val="20"/>
                <w:szCs w:val="20"/>
              </w:rPr>
            </w:pPr>
          </w:p>
          <w:p w14:paraId="28469614"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Ave. Event Temp.</w:t>
            </w:r>
          </w:p>
        </w:tc>
      </w:tr>
      <w:tr w:rsidR="00B836B3" w:rsidRPr="003B78F6" w14:paraId="7278AF21" w14:textId="77777777" w:rsidTr="00F42180">
        <w:trPr>
          <w:trHeight w:val="900"/>
          <w:jc w:val="center"/>
        </w:trPr>
        <w:tc>
          <w:tcPr>
            <w:tcW w:w="1960" w:type="dxa"/>
            <w:vMerge/>
            <w:tcBorders>
              <w:left w:val="single" w:sz="4" w:space="0" w:color="000000" w:themeColor="text1"/>
              <w:bottom w:val="single" w:sz="4" w:space="0" w:color="auto"/>
              <w:right w:val="single" w:sz="4" w:space="0" w:color="FFFFFF"/>
            </w:tcBorders>
            <w:shd w:val="clear" w:color="auto" w:fill="B4C6E7" w:themeFill="accent5" w:themeFillTint="66"/>
            <w:vAlign w:val="center"/>
            <w:hideMark/>
          </w:tcPr>
          <w:p w14:paraId="6B13B373" w14:textId="77777777" w:rsidR="00697C02" w:rsidRPr="003B78F6" w:rsidRDefault="00697C02" w:rsidP="00A66A92">
            <w:pPr>
              <w:keepNext/>
              <w:keepLines/>
              <w:jc w:val="center"/>
              <w:rPr>
                <w:rFonts w:ascii="Arial" w:hAnsi="Arial" w:cs="Arial"/>
                <w:b/>
                <w:bCs/>
                <w:sz w:val="20"/>
                <w:szCs w:val="20"/>
              </w:rPr>
            </w:pPr>
          </w:p>
        </w:tc>
        <w:tc>
          <w:tcPr>
            <w:tcW w:w="1017"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6DD841EE" w14:textId="77777777" w:rsidR="00697C02" w:rsidRPr="003B78F6" w:rsidRDefault="00697C02" w:rsidP="00A66A92">
            <w:pPr>
              <w:keepNext/>
              <w:keepLines/>
              <w:jc w:val="center"/>
              <w:rPr>
                <w:rFonts w:ascii="Arial" w:hAnsi="Arial" w:cs="Arial"/>
                <w:b/>
                <w:bCs/>
                <w:sz w:val="20"/>
                <w:szCs w:val="20"/>
              </w:rPr>
            </w:pPr>
          </w:p>
        </w:tc>
        <w:tc>
          <w:tcPr>
            <w:tcW w:w="923"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1C662ABE" w14:textId="46DCC25F"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Ref. Load </w:t>
            </w:r>
          </w:p>
        </w:tc>
        <w:tc>
          <w:tcPr>
            <w:tcW w:w="876"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1682886D" w14:textId="7DC9BB25"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Load Impact </w:t>
            </w:r>
          </w:p>
        </w:tc>
        <w:tc>
          <w:tcPr>
            <w:tcW w:w="828"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28B8896D" w14:textId="20D3A0B6"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Ref. Load </w:t>
            </w:r>
          </w:p>
        </w:tc>
        <w:tc>
          <w:tcPr>
            <w:tcW w:w="926"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4A7CED8B" w14:textId="639D8214"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Load Impact </w:t>
            </w:r>
          </w:p>
        </w:tc>
        <w:tc>
          <w:tcPr>
            <w:tcW w:w="967"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35B1CA42" w14:textId="77777777" w:rsidR="00697C02" w:rsidRPr="003B78F6" w:rsidRDefault="00697C02" w:rsidP="00A66A92">
            <w:pPr>
              <w:keepNext/>
              <w:keepLines/>
              <w:jc w:val="center"/>
              <w:rPr>
                <w:rFonts w:ascii="Arial" w:hAnsi="Arial" w:cs="Arial"/>
                <w:b/>
                <w:bCs/>
                <w:sz w:val="20"/>
                <w:szCs w:val="20"/>
              </w:rPr>
            </w:pPr>
          </w:p>
        </w:tc>
        <w:tc>
          <w:tcPr>
            <w:tcW w:w="848" w:type="dxa"/>
            <w:vMerge/>
            <w:tcBorders>
              <w:left w:val="single" w:sz="4" w:space="0" w:color="FFFFFF"/>
              <w:bottom w:val="single" w:sz="4" w:space="0" w:color="auto"/>
              <w:right w:val="single" w:sz="4" w:space="0" w:color="000000" w:themeColor="text1"/>
            </w:tcBorders>
            <w:shd w:val="clear" w:color="auto" w:fill="B4C6E7" w:themeFill="accent5" w:themeFillTint="66"/>
            <w:vAlign w:val="center"/>
            <w:hideMark/>
          </w:tcPr>
          <w:p w14:paraId="00A91AE0" w14:textId="77777777" w:rsidR="00697C02" w:rsidRPr="003B78F6" w:rsidRDefault="00697C02" w:rsidP="00A66A92">
            <w:pPr>
              <w:keepNext/>
              <w:keepLines/>
              <w:jc w:val="center"/>
              <w:rPr>
                <w:rFonts w:ascii="Arial" w:hAnsi="Arial" w:cs="Arial"/>
                <w:b/>
                <w:bCs/>
                <w:sz w:val="20"/>
                <w:szCs w:val="20"/>
              </w:rPr>
            </w:pPr>
          </w:p>
        </w:tc>
      </w:tr>
      <w:tr w:rsidR="00BE50D6" w:rsidRPr="003B78F6" w14:paraId="45C10CB2"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1AE38831"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6/19/2017</w:t>
            </w:r>
          </w:p>
        </w:tc>
        <w:tc>
          <w:tcPr>
            <w:tcW w:w="10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EC80EA" w14:textId="01F00C9C"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824</w:t>
            </w:r>
          </w:p>
        </w:tc>
        <w:tc>
          <w:tcPr>
            <w:tcW w:w="923" w:type="dxa"/>
            <w:tcBorders>
              <w:top w:val="single" w:sz="4" w:space="0" w:color="auto"/>
              <w:left w:val="nil"/>
              <w:bottom w:val="single" w:sz="4" w:space="0" w:color="auto"/>
              <w:right w:val="single" w:sz="4" w:space="0" w:color="auto"/>
            </w:tcBorders>
            <w:shd w:val="clear" w:color="auto" w:fill="auto"/>
            <w:noWrap/>
            <w:vAlign w:val="bottom"/>
          </w:tcPr>
          <w:p w14:paraId="7D1A64ED" w14:textId="6ADFCC24"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61.1</w:t>
            </w:r>
          </w:p>
        </w:tc>
        <w:tc>
          <w:tcPr>
            <w:tcW w:w="876" w:type="dxa"/>
            <w:tcBorders>
              <w:top w:val="single" w:sz="4" w:space="0" w:color="auto"/>
              <w:left w:val="nil"/>
              <w:bottom w:val="single" w:sz="4" w:space="0" w:color="auto"/>
              <w:right w:val="single" w:sz="4" w:space="0" w:color="auto"/>
            </w:tcBorders>
            <w:shd w:val="clear" w:color="auto" w:fill="auto"/>
            <w:noWrap/>
            <w:vAlign w:val="bottom"/>
          </w:tcPr>
          <w:p w14:paraId="789EC2B8" w14:textId="7F62E394"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1.2</w:t>
            </w:r>
          </w:p>
        </w:tc>
        <w:tc>
          <w:tcPr>
            <w:tcW w:w="828" w:type="dxa"/>
            <w:tcBorders>
              <w:top w:val="single" w:sz="4" w:space="0" w:color="auto"/>
              <w:left w:val="nil"/>
              <w:bottom w:val="single" w:sz="4" w:space="0" w:color="auto"/>
              <w:right w:val="single" w:sz="4" w:space="0" w:color="auto"/>
            </w:tcBorders>
            <w:shd w:val="clear" w:color="auto" w:fill="auto"/>
            <w:noWrap/>
            <w:vAlign w:val="bottom"/>
          </w:tcPr>
          <w:p w14:paraId="7DA0F8F6" w14:textId="10B208FD"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74.1</w:t>
            </w:r>
          </w:p>
        </w:tc>
        <w:tc>
          <w:tcPr>
            <w:tcW w:w="926" w:type="dxa"/>
            <w:tcBorders>
              <w:top w:val="single" w:sz="4" w:space="0" w:color="auto"/>
              <w:left w:val="nil"/>
              <w:bottom w:val="single" w:sz="4" w:space="0" w:color="auto"/>
              <w:right w:val="single" w:sz="4" w:space="0" w:color="auto"/>
            </w:tcBorders>
            <w:shd w:val="clear" w:color="auto" w:fill="auto"/>
            <w:noWrap/>
            <w:vAlign w:val="bottom"/>
          </w:tcPr>
          <w:p w14:paraId="237BF9C4" w14:textId="031E1CE9"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1.4</w:t>
            </w:r>
          </w:p>
        </w:tc>
        <w:tc>
          <w:tcPr>
            <w:tcW w:w="967" w:type="dxa"/>
            <w:tcBorders>
              <w:top w:val="single" w:sz="4" w:space="0" w:color="auto"/>
              <w:left w:val="nil"/>
              <w:bottom w:val="single" w:sz="4" w:space="0" w:color="auto"/>
              <w:right w:val="single" w:sz="4" w:space="0" w:color="auto"/>
            </w:tcBorders>
            <w:shd w:val="clear" w:color="auto" w:fill="auto"/>
            <w:noWrap/>
            <w:vAlign w:val="bottom"/>
          </w:tcPr>
          <w:p w14:paraId="6629AC8B" w14:textId="1B72D7D9"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1.9%</w:t>
            </w:r>
          </w:p>
        </w:tc>
        <w:tc>
          <w:tcPr>
            <w:tcW w:w="848" w:type="dxa"/>
            <w:tcBorders>
              <w:top w:val="single" w:sz="4" w:space="0" w:color="auto"/>
              <w:left w:val="nil"/>
              <w:bottom w:val="single" w:sz="4" w:space="0" w:color="auto"/>
              <w:right w:val="single" w:sz="4" w:space="0" w:color="auto"/>
            </w:tcBorders>
            <w:shd w:val="clear" w:color="auto" w:fill="auto"/>
            <w:noWrap/>
            <w:vAlign w:val="bottom"/>
          </w:tcPr>
          <w:p w14:paraId="67CD3041" w14:textId="713CFE0A"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87.3</w:t>
            </w:r>
          </w:p>
        </w:tc>
      </w:tr>
      <w:tr w:rsidR="00BE50D6" w:rsidRPr="003B78F6" w14:paraId="6B8298F6"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1A10F5C3"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6/20/2017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17B0FF4D" w14:textId="039AFD92"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807</w:t>
            </w:r>
          </w:p>
        </w:tc>
        <w:tc>
          <w:tcPr>
            <w:tcW w:w="923" w:type="dxa"/>
            <w:tcBorders>
              <w:top w:val="nil"/>
              <w:left w:val="nil"/>
              <w:bottom w:val="single" w:sz="4" w:space="0" w:color="auto"/>
              <w:right w:val="single" w:sz="4" w:space="0" w:color="auto"/>
            </w:tcBorders>
            <w:shd w:val="clear" w:color="auto" w:fill="auto"/>
            <w:noWrap/>
            <w:vAlign w:val="bottom"/>
          </w:tcPr>
          <w:p w14:paraId="7C3EEF0E" w14:textId="13F98880"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62.6</w:t>
            </w:r>
          </w:p>
        </w:tc>
        <w:tc>
          <w:tcPr>
            <w:tcW w:w="876" w:type="dxa"/>
            <w:tcBorders>
              <w:top w:val="nil"/>
              <w:left w:val="nil"/>
              <w:bottom w:val="single" w:sz="4" w:space="0" w:color="auto"/>
              <w:right w:val="single" w:sz="4" w:space="0" w:color="auto"/>
            </w:tcBorders>
            <w:shd w:val="clear" w:color="auto" w:fill="auto"/>
            <w:noWrap/>
            <w:vAlign w:val="bottom"/>
          </w:tcPr>
          <w:p w14:paraId="1565F43C" w14:textId="0FFF9ED3"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1.4</w:t>
            </w:r>
          </w:p>
        </w:tc>
        <w:tc>
          <w:tcPr>
            <w:tcW w:w="828" w:type="dxa"/>
            <w:tcBorders>
              <w:top w:val="nil"/>
              <w:left w:val="nil"/>
              <w:bottom w:val="single" w:sz="4" w:space="0" w:color="auto"/>
              <w:right w:val="single" w:sz="4" w:space="0" w:color="auto"/>
            </w:tcBorders>
            <w:shd w:val="clear" w:color="auto" w:fill="auto"/>
            <w:noWrap/>
            <w:vAlign w:val="bottom"/>
          </w:tcPr>
          <w:p w14:paraId="035756ED" w14:textId="39E40250"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77.6</w:t>
            </w:r>
          </w:p>
        </w:tc>
        <w:tc>
          <w:tcPr>
            <w:tcW w:w="926" w:type="dxa"/>
            <w:tcBorders>
              <w:top w:val="nil"/>
              <w:left w:val="nil"/>
              <w:bottom w:val="single" w:sz="4" w:space="0" w:color="auto"/>
              <w:right w:val="single" w:sz="4" w:space="0" w:color="auto"/>
            </w:tcBorders>
            <w:shd w:val="clear" w:color="auto" w:fill="auto"/>
            <w:noWrap/>
            <w:vAlign w:val="bottom"/>
          </w:tcPr>
          <w:p w14:paraId="48AE6D42" w14:textId="6A1703FC"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1.7</w:t>
            </w:r>
          </w:p>
        </w:tc>
        <w:tc>
          <w:tcPr>
            <w:tcW w:w="967" w:type="dxa"/>
            <w:tcBorders>
              <w:top w:val="nil"/>
              <w:left w:val="nil"/>
              <w:bottom w:val="single" w:sz="4" w:space="0" w:color="auto"/>
              <w:right w:val="single" w:sz="4" w:space="0" w:color="auto"/>
            </w:tcBorders>
            <w:shd w:val="clear" w:color="auto" w:fill="auto"/>
            <w:noWrap/>
            <w:vAlign w:val="bottom"/>
          </w:tcPr>
          <w:p w14:paraId="66A2486D" w14:textId="09C3E139"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2.2%</w:t>
            </w:r>
          </w:p>
        </w:tc>
        <w:tc>
          <w:tcPr>
            <w:tcW w:w="848" w:type="dxa"/>
            <w:tcBorders>
              <w:top w:val="nil"/>
              <w:left w:val="nil"/>
              <w:bottom w:val="single" w:sz="4" w:space="0" w:color="auto"/>
              <w:right w:val="single" w:sz="4" w:space="0" w:color="auto"/>
            </w:tcBorders>
            <w:shd w:val="clear" w:color="auto" w:fill="auto"/>
            <w:noWrap/>
            <w:vAlign w:val="bottom"/>
          </w:tcPr>
          <w:p w14:paraId="7AC17A6D" w14:textId="3E7DDC0B"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89.4</w:t>
            </w:r>
          </w:p>
        </w:tc>
      </w:tr>
      <w:tr w:rsidR="00BE50D6" w:rsidRPr="003B78F6" w14:paraId="0AD0B234"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0C330ED4"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7/6/2017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1DCC9F6D" w14:textId="1CF404B2"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812</w:t>
            </w:r>
          </w:p>
        </w:tc>
        <w:tc>
          <w:tcPr>
            <w:tcW w:w="923" w:type="dxa"/>
            <w:tcBorders>
              <w:top w:val="nil"/>
              <w:left w:val="nil"/>
              <w:bottom w:val="single" w:sz="4" w:space="0" w:color="auto"/>
              <w:right w:val="single" w:sz="4" w:space="0" w:color="auto"/>
            </w:tcBorders>
            <w:shd w:val="clear" w:color="auto" w:fill="auto"/>
            <w:noWrap/>
            <w:vAlign w:val="bottom"/>
          </w:tcPr>
          <w:p w14:paraId="4E0CEC38" w14:textId="1A44D50C"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62.4</w:t>
            </w:r>
          </w:p>
        </w:tc>
        <w:tc>
          <w:tcPr>
            <w:tcW w:w="876" w:type="dxa"/>
            <w:tcBorders>
              <w:top w:val="nil"/>
              <w:left w:val="nil"/>
              <w:bottom w:val="single" w:sz="4" w:space="0" w:color="auto"/>
              <w:right w:val="single" w:sz="4" w:space="0" w:color="auto"/>
            </w:tcBorders>
            <w:shd w:val="clear" w:color="auto" w:fill="auto"/>
            <w:noWrap/>
            <w:vAlign w:val="bottom"/>
          </w:tcPr>
          <w:p w14:paraId="60CEEF17" w14:textId="7748CD5A"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0.9</w:t>
            </w:r>
          </w:p>
        </w:tc>
        <w:tc>
          <w:tcPr>
            <w:tcW w:w="828" w:type="dxa"/>
            <w:tcBorders>
              <w:top w:val="nil"/>
              <w:left w:val="nil"/>
              <w:bottom w:val="single" w:sz="4" w:space="0" w:color="auto"/>
              <w:right w:val="single" w:sz="4" w:space="0" w:color="auto"/>
            </w:tcBorders>
            <w:shd w:val="clear" w:color="auto" w:fill="auto"/>
            <w:noWrap/>
            <w:vAlign w:val="bottom"/>
          </w:tcPr>
          <w:p w14:paraId="7DB741E2" w14:textId="3D36C49D"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76.8</w:t>
            </w:r>
          </w:p>
        </w:tc>
        <w:tc>
          <w:tcPr>
            <w:tcW w:w="926" w:type="dxa"/>
            <w:tcBorders>
              <w:top w:val="nil"/>
              <w:left w:val="nil"/>
              <w:bottom w:val="single" w:sz="4" w:space="0" w:color="auto"/>
              <w:right w:val="single" w:sz="4" w:space="0" w:color="auto"/>
            </w:tcBorders>
            <w:shd w:val="clear" w:color="auto" w:fill="auto"/>
            <w:noWrap/>
            <w:vAlign w:val="bottom"/>
          </w:tcPr>
          <w:p w14:paraId="7A6776F4" w14:textId="1525EBE8"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1.2</w:t>
            </w:r>
          </w:p>
        </w:tc>
        <w:tc>
          <w:tcPr>
            <w:tcW w:w="967" w:type="dxa"/>
            <w:tcBorders>
              <w:top w:val="nil"/>
              <w:left w:val="nil"/>
              <w:bottom w:val="single" w:sz="4" w:space="0" w:color="auto"/>
              <w:right w:val="single" w:sz="4" w:space="0" w:color="auto"/>
            </w:tcBorders>
            <w:shd w:val="clear" w:color="auto" w:fill="auto"/>
            <w:noWrap/>
            <w:vAlign w:val="bottom"/>
          </w:tcPr>
          <w:p w14:paraId="6E4B7895" w14:textId="78D1BA0E"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1.5%</w:t>
            </w:r>
          </w:p>
        </w:tc>
        <w:tc>
          <w:tcPr>
            <w:tcW w:w="848" w:type="dxa"/>
            <w:tcBorders>
              <w:top w:val="nil"/>
              <w:left w:val="nil"/>
              <w:bottom w:val="single" w:sz="4" w:space="0" w:color="auto"/>
              <w:right w:val="single" w:sz="4" w:space="0" w:color="auto"/>
            </w:tcBorders>
            <w:shd w:val="clear" w:color="auto" w:fill="auto"/>
            <w:noWrap/>
            <w:vAlign w:val="bottom"/>
          </w:tcPr>
          <w:p w14:paraId="605DD567" w14:textId="247B1C53"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89.3</w:t>
            </w:r>
          </w:p>
        </w:tc>
      </w:tr>
      <w:tr w:rsidR="00BE50D6" w:rsidRPr="003B78F6" w14:paraId="3B138D93"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035129F2"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7/7/2017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5BC2CD1A" w14:textId="33418BAD"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812</w:t>
            </w:r>
          </w:p>
        </w:tc>
        <w:tc>
          <w:tcPr>
            <w:tcW w:w="923" w:type="dxa"/>
            <w:tcBorders>
              <w:top w:val="nil"/>
              <w:left w:val="nil"/>
              <w:bottom w:val="single" w:sz="4" w:space="0" w:color="auto"/>
              <w:right w:val="single" w:sz="4" w:space="0" w:color="auto"/>
            </w:tcBorders>
            <w:shd w:val="clear" w:color="auto" w:fill="auto"/>
            <w:noWrap/>
            <w:vAlign w:val="bottom"/>
          </w:tcPr>
          <w:p w14:paraId="5B435462" w14:textId="1786E6DB"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63.8</w:t>
            </w:r>
          </w:p>
        </w:tc>
        <w:tc>
          <w:tcPr>
            <w:tcW w:w="876" w:type="dxa"/>
            <w:tcBorders>
              <w:top w:val="nil"/>
              <w:left w:val="nil"/>
              <w:bottom w:val="single" w:sz="4" w:space="0" w:color="auto"/>
              <w:right w:val="single" w:sz="4" w:space="0" w:color="auto"/>
            </w:tcBorders>
            <w:shd w:val="clear" w:color="auto" w:fill="auto"/>
            <w:noWrap/>
            <w:vAlign w:val="bottom"/>
          </w:tcPr>
          <w:p w14:paraId="410920B3" w14:textId="6619BCEF"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0.9</w:t>
            </w:r>
          </w:p>
        </w:tc>
        <w:tc>
          <w:tcPr>
            <w:tcW w:w="828" w:type="dxa"/>
            <w:tcBorders>
              <w:top w:val="nil"/>
              <w:left w:val="nil"/>
              <w:bottom w:val="single" w:sz="4" w:space="0" w:color="auto"/>
              <w:right w:val="single" w:sz="4" w:space="0" w:color="auto"/>
            </w:tcBorders>
            <w:shd w:val="clear" w:color="auto" w:fill="auto"/>
            <w:noWrap/>
            <w:vAlign w:val="bottom"/>
          </w:tcPr>
          <w:p w14:paraId="1638387D" w14:textId="23C0018B"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78.6</w:t>
            </w:r>
          </w:p>
        </w:tc>
        <w:tc>
          <w:tcPr>
            <w:tcW w:w="926" w:type="dxa"/>
            <w:tcBorders>
              <w:top w:val="nil"/>
              <w:left w:val="nil"/>
              <w:bottom w:val="single" w:sz="4" w:space="0" w:color="auto"/>
              <w:right w:val="single" w:sz="4" w:space="0" w:color="auto"/>
            </w:tcBorders>
            <w:shd w:val="clear" w:color="auto" w:fill="auto"/>
            <w:noWrap/>
            <w:vAlign w:val="bottom"/>
          </w:tcPr>
          <w:p w14:paraId="05DBD580" w14:textId="0468F94B"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1.1</w:t>
            </w:r>
          </w:p>
        </w:tc>
        <w:tc>
          <w:tcPr>
            <w:tcW w:w="967" w:type="dxa"/>
            <w:tcBorders>
              <w:top w:val="nil"/>
              <w:left w:val="nil"/>
              <w:bottom w:val="single" w:sz="4" w:space="0" w:color="auto"/>
              <w:right w:val="single" w:sz="4" w:space="0" w:color="auto"/>
            </w:tcBorders>
            <w:shd w:val="clear" w:color="auto" w:fill="auto"/>
            <w:noWrap/>
            <w:vAlign w:val="bottom"/>
          </w:tcPr>
          <w:p w14:paraId="5D9A4AEB" w14:textId="3DEC19AE"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1.4%</w:t>
            </w:r>
          </w:p>
        </w:tc>
        <w:tc>
          <w:tcPr>
            <w:tcW w:w="848" w:type="dxa"/>
            <w:tcBorders>
              <w:top w:val="nil"/>
              <w:left w:val="nil"/>
              <w:bottom w:val="single" w:sz="4" w:space="0" w:color="auto"/>
              <w:right w:val="single" w:sz="4" w:space="0" w:color="auto"/>
            </w:tcBorders>
            <w:shd w:val="clear" w:color="auto" w:fill="auto"/>
            <w:noWrap/>
            <w:vAlign w:val="bottom"/>
          </w:tcPr>
          <w:p w14:paraId="0338F4CA" w14:textId="542413A9"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93.9</w:t>
            </w:r>
          </w:p>
        </w:tc>
      </w:tr>
      <w:tr w:rsidR="00BE50D6" w:rsidRPr="003B78F6" w14:paraId="7AEDFAA7"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782B0FFA"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7/27/2017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2710D6EB" w14:textId="100F8A1D"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816</w:t>
            </w:r>
          </w:p>
        </w:tc>
        <w:tc>
          <w:tcPr>
            <w:tcW w:w="923" w:type="dxa"/>
            <w:tcBorders>
              <w:top w:val="nil"/>
              <w:left w:val="nil"/>
              <w:bottom w:val="single" w:sz="4" w:space="0" w:color="auto"/>
              <w:right w:val="single" w:sz="4" w:space="0" w:color="auto"/>
            </w:tcBorders>
            <w:shd w:val="clear" w:color="auto" w:fill="auto"/>
            <w:noWrap/>
            <w:vAlign w:val="bottom"/>
          </w:tcPr>
          <w:p w14:paraId="4C11BAD4" w14:textId="58D7184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62.8</w:t>
            </w:r>
          </w:p>
        </w:tc>
        <w:tc>
          <w:tcPr>
            <w:tcW w:w="876" w:type="dxa"/>
            <w:tcBorders>
              <w:top w:val="nil"/>
              <w:left w:val="nil"/>
              <w:bottom w:val="single" w:sz="4" w:space="0" w:color="auto"/>
              <w:right w:val="single" w:sz="4" w:space="0" w:color="auto"/>
            </w:tcBorders>
            <w:shd w:val="clear" w:color="auto" w:fill="auto"/>
            <w:noWrap/>
            <w:vAlign w:val="bottom"/>
          </w:tcPr>
          <w:p w14:paraId="5F393F77" w14:textId="63E3E463"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0.3</w:t>
            </w:r>
          </w:p>
        </w:tc>
        <w:tc>
          <w:tcPr>
            <w:tcW w:w="828" w:type="dxa"/>
            <w:tcBorders>
              <w:top w:val="nil"/>
              <w:left w:val="nil"/>
              <w:bottom w:val="single" w:sz="4" w:space="0" w:color="auto"/>
              <w:right w:val="single" w:sz="4" w:space="0" w:color="auto"/>
            </w:tcBorders>
            <w:shd w:val="clear" w:color="auto" w:fill="auto"/>
            <w:noWrap/>
            <w:vAlign w:val="bottom"/>
          </w:tcPr>
          <w:p w14:paraId="32449A03" w14:textId="598786BB"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76.9</w:t>
            </w:r>
          </w:p>
        </w:tc>
        <w:tc>
          <w:tcPr>
            <w:tcW w:w="926" w:type="dxa"/>
            <w:tcBorders>
              <w:top w:val="nil"/>
              <w:left w:val="nil"/>
              <w:bottom w:val="single" w:sz="4" w:space="0" w:color="auto"/>
              <w:right w:val="single" w:sz="4" w:space="0" w:color="auto"/>
            </w:tcBorders>
            <w:shd w:val="clear" w:color="auto" w:fill="auto"/>
            <w:noWrap/>
            <w:vAlign w:val="bottom"/>
          </w:tcPr>
          <w:p w14:paraId="0CD54081" w14:textId="5F6D9FD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0.3</w:t>
            </w:r>
          </w:p>
        </w:tc>
        <w:tc>
          <w:tcPr>
            <w:tcW w:w="967" w:type="dxa"/>
            <w:tcBorders>
              <w:top w:val="nil"/>
              <w:left w:val="nil"/>
              <w:bottom w:val="single" w:sz="4" w:space="0" w:color="auto"/>
              <w:right w:val="single" w:sz="4" w:space="0" w:color="auto"/>
            </w:tcBorders>
            <w:shd w:val="clear" w:color="auto" w:fill="auto"/>
            <w:noWrap/>
            <w:vAlign w:val="bottom"/>
          </w:tcPr>
          <w:p w14:paraId="6C185F6A" w14:textId="2803D428"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0.5%</w:t>
            </w:r>
          </w:p>
        </w:tc>
        <w:tc>
          <w:tcPr>
            <w:tcW w:w="848" w:type="dxa"/>
            <w:tcBorders>
              <w:top w:val="nil"/>
              <w:left w:val="nil"/>
              <w:bottom w:val="single" w:sz="4" w:space="0" w:color="auto"/>
              <w:right w:val="single" w:sz="4" w:space="0" w:color="auto"/>
            </w:tcBorders>
            <w:shd w:val="clear" w:color="auto" w:fill="auto"/>
            <w:noWrap/>
            <w:vAlign w:val="bottom"/>
          </w:tcPr>
          <w:p w14:paraId="7E115B71" w14:textId="24869CD8"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86.4</w:t>
            </w:r>
          </w:p>
        </w:tc>
      </w:tr>
      <w:tr w:rsidR="00BE50D6" w:rsidRPr="003B78F6" w14:paraId="440B4E51"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16B5DB92"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7/31/2017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59B5301A" w14:textId="045DEC48"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814</w:t>
            </w:r>
          </w:p>
        </w:tc>
        <w:tc>
          <w:tcPr>
            <w:tcW w:w="923" w:type="dxa"/>
            <w:tcBorders>
              <w:top w:val="nil"/>
              <w:left w:val="nil"/>
              <w:bottom w:val="single" w:sz="4" w:space="0" w:color="auto"/>
              <w:right w:val="single" w:sz="4" w:space="0" w:color="auto"/>
            </w:tcBorders>
            <w:shd w:val="clear" w:color="auto" w:fill="auto"/>
            <w:noWrap/>
            <w:vAlign w:val="bottom"/>
          </w:tcPr>
          <w:p w14:paraId="17033AE7" w14:textId="51D7B20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61.7</w:t>
            </w:r>
          </w:p>
        </w:tc>
        <w:tc>
          <w:tcPr>
            <w:tcW w:w="876" w:type="dxa"/>
            <w:tcBorders>
              <w:top w:val="nil"/>
              <w:left w:val="nil"/>
              <w:bottom w:val="single" w:sz="4" w:space="0" w:color="auto"/>
              <w:right w:val="single" w:sz="4" w:space="0" w:color="auto"/>
            </w:tcBorders>
            <w:shd w:val="clear" w:color="auto" w:fill="auto"/>
            <w:noWrap/>
            <w:vAlign w:val="bottom"/>
          </w:tcPr>
          <w:p w14:paraId="71F76125" w14:textId="4EA64A8C"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0.7</w:t>
            </w:r>
          </w:p>
        </w:tc>
        <w:tc>
          <w:tcPr>
            <w:tcW w:w="828" w:type="dxa"/>
            <w:tcBorders>
              <w:top w:val="nil"/>
              <w:left w:val="nil"/>
              <w:bottom w:val="single" w:sz="4" w:space="0" w:color="auto"/>
              <w:right w:val="single" w:sz="4" w:space="0" w:color="auto"/>
            </w:tcBorders>
            <w:shd w:val="clear" w:color="auto" w:fill="auto"/>
            <w:noWrap/>
            <w:vAlign w:val="bottom"/>
          </w:tcPr>
          <w:p w14:paraId="3A56AF3E" w14:textId="396BE80F"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75.8</w:t>
            </w:r>
          </w:p>
        </w:tc>
        <w:tc>
          <w:tcPr>
            <w:tcW w:w="926" w:type="dxa"/>
            <w:tcBorders>
              <w:top w:val="nil"/>
              <w:left w:val="nil"/>
              <w:bottom w:val="single" w:sz="4" w:space="0" w:color="auto"/>
              <w:right w:val="single" w:sz="4" w:space="0" w:color="auto"/>
            </w:tcBorders>
            <w:shd w:val="clear" w:color="auto" w:fill="auto"/>
            <w:noWrap/>
            <w:vAlign w:val="bottom"/>
          </w:tcPr>
          <w:p w14:paraId="2A8DBF75" w14:textId="047C2EDF"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0.9</w:t>
            </w:r>
          </w:p>
        </w:tc>
        <w:tc>
          <w:tcPr>
            <w:tcW w:w="967" w:type="dxa"/>
            <w:tcBorders>
              <w:top w:val="nil"/>
              <w:left w:val="nil"/>
              <w:bottom w:val="single" w:sz="4" w:space="0" w:color="auto"/>
              <w:right w:val="single" w:sz="4" w:space="0" w:color="auto"/>
            </w:tcBorders>
            <w:shd w:val="clear" w:color="auto" w:fill="auto"/>
            <w:noWrap/>
            <w:vAlign w:val="bottom"/>
          </w:tcPr>
          <w:p w14:paraId="1AF6AE7E" w14:textId="57382330"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1.2%</w:t>
            </w:r>
          </w:p>
        </w:tc>
        <w:tc>
          <w:tcPr>
            <w:tcW w:w="848" w:type="dxa"/>
            <w:tcBorders>
              <w:top w:val="nil"/>
              <w:left w:val="nil"/>
              <w:bottom w:val="single" w:sz="4" w:space="0" w:color="auto"/>
              <w:right w:val="single" w:sz="4" w:space="0" w:color="auto"/>
            </w:tcBorders>
            <w:shd w:val="clear" w:color="auto" w:fill="auto"/>
            <w:noWrap/>
            <w:vAlign w:val="bottom"/>
          </w:tcPr>
          <w:p w14:paraId="0490DA17" w14:textId="75142DA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85.1</w:t>
            </w:r>
          </w:p>
        </w:tc>
      </w:tr>
      <w:tr w:rsidR="00BE50D6" w:rsidRPr="003B78F6" w14:paraId="52ABF1C2"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00C8487B"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1E913C00" w14:textId="47F6905E"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813</w:t>
            </w:r>
          </w:p>
        </w:tc>
        <w:tc>
          <w:tcPr>
            <w:tcW w:w="923" w:type="dxa"/>
            <w:tcBorders>
              <w:top w:val="nil"/>
              <w:left w:val="nil"/>
              <w:bottom w:val="single" w:sz="4" w:space="0" w:color="auto"/>
              <w:right w:val="single" w:sz="4" w:space="0" w:color="auto"/>
            </w:tcBorders>
            <w:shd w:val="clear" w:color="auto" w:fill="auto"/>
            <w:noWrap/>
            <w:vAlign w:val="bottom"/>
          </w:tcPr>
          <w:p w14:paraId="44B79103" w14:textId="0C3E0778"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64.1</w:t>
            </w:r>
          </w:p>
        </w:tc>
        <w:tc>
          <w:tcPr>
            <w:tcW w:w="876" w:type="dxa"/>
            <w:tcBorders>
              <w:top w:val="nil"/>
              <w:left w:val="nil"/>
              <w:bottom w:val="single" w:sz="4" w:space="0" w:color="auto"/>
              <w:right w:val="single" w:sz="4" w:space="0" w:color="auto"/>
            </w:tcBorders>
            <w:shd w:val="clear" w:color="auto" w:fill="auto"/>
            <w:noWrap/>
            <w:vAlign w:val="bottom"/>
          </w:tcPr>
          <w:p w14:paraId="5142EA3B" w14:textId="256F264E"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-0.3</w:t>
            </w:r>
          </w:p>
        </w:tc>
        <w:tc>
          <w:tcPr>
            <w:tcW w:w="828" w:type="dxa"/>
            <w:tcBorders>
              <w:top w:val="nil"/>
              <w:left w:val="nil"/>
              <w:bottom w:val="single" w:sz="4" w:space="0" w:color="auto"/>
              <w:right w:val="single" w:sz="4" w:space="0" w:color="auto"/>
            </w:tcBorders>
            <w:shd w:val="clear" w:color="auto" w:fill="auto"/>
            <w:noWrap/>
            <w:vAlign w:val="bottom"/>
          </w:tcPr>
          <w:p w14:paraId="0F20BC31" w14:textId="6381F6E4"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78.9</w:t>
            </w:r>
          </w:p>
        </w:tc>
        <w:tc>
          <w:tcPr>
            <w:tcW w:w="926" w:type="dxa"/>
            <w:tcBorders>
              <w:top w:val="nil"/>
              <w:left w:val="nil"/>
              <w:bottom w:val="single" w:sz="4" w:space="0" w:color="auto"/>
              <w:right w:val="single" w:sz="4" w:space="0" w:color="auto"/>
            </w:tcBorders>
            <w:shd w:val="clear" w:color="auto" w:fill="auto"/>
            <w:noWrap/>
            <w:vAlign w:val="bottom"/>
          </w:tcPr>
          <w:p w14:paraId="75E066B5" w14:textId="1572152A"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-0.3</w:t>
            </w:r>
          </w:p>
        </w:tc>
        <w:tc>
          <w:tcPr>
            <w:tcW w:w="967" w:type="dxa"/>
            <w:tcBorders>
              <w:top w:val="nil"/>
              <w:left w:val="nil"/>
              <w:bottom w:val="single" w:sz="4" w:space="0" w:color="auto"/>
              <w:right w:val="single" w:sz="4" w:space="0" w:color="auto"/>
            </w:tcBorders>
            <w:shd w:val="clear" w:color="auto" w:fill="auto"/>
            <w:noWrap/>
            <w:vAlign w:val="bottom"/>
          </w:tcPr>
          <w:p w14:paraId="3CD135D3" w14:textId="7EED946C"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-0.4%</w:t>
            </w:r>
          </w:p>
        </w:tc>
        <w:tc>
          <w:tcPr>
            <w:tcW w:w="848" w:type="dxa"/>
            <w:tcBorders>
              <w:top w:val="nil"/>
              <w:left w:val="nil"/>
              <w:bottom w:val="single" w:sz="4" w:space="0" w:color="auto"/>
              <w:right w:val="single" w:sz="4" w:space="0" w:color="auto"/>
            </w:tcBorders>
            <w:shd w:val="clear" w:color="auto" w:fill="auto"/>
            <w:noWrap/>
            <w:vAlign w:val="bottom"/>
          </w:tcPr>
          <w:p w14:paraId="410AB419" w14:textId="42039E1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89.1</w:t>
            </w:r>
          </w:p>
        </w:tc>
      </w:tr>
      <w:tr w:rsidR="00BE50D6" w:rsidRPr="003B78F6" w14:paraId="73BC9FCF"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29666EAD"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8/28/2017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59B0BC76" w14:textId="6E62074D"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817</w:t>
            </w:r>
          </w:p>
        </w:tc>
        <w:tc>
          <w:tcPr>
            <w:tcW w:w="923" w:type="dxa"/>
            <w:tcBorders>
              <w:top w:val="nil"/>
              <w:left w:val="nil"/>
              <w:bottom w:val="single" w:sz="4" w:space="0" w:color="auto"/>
              <w:right w:val="single" w:sz="4" w:space="0" w:color="auto"/>
            </w:tcBorders>
            <w:shd w:val="clear" w:color="auto" w:fill="auto"/>
            <w:noWrap/>
            <w:vAlign w:val="bottom"/>
          </w:tcPr>
          <w:p w14:paraId="6C3ADDFF" w14:textId="7610D04E"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66.9</w:t>
            </w:r>
          </w:p>
        </w:tc>
        <w:tc>
          <w:tcPr>
            <w:tcW w:w="876" w:type="dxa"/>
            <w:tcBorders>
              <w:top w:val="nil"/>
              <w:left w:val="nil"/>
              <w:bottom w:val="single" w:sz="4" w:space="0" w:color="auto"/>
              <w:right w:val="single" w:sz="4" w:space="0" w:color="auto"/>
            </w:tcBorders>
            <w:shd w:val="clear" w:color="auto" w:fill="auto"/>
            <w:noWrap/>
            <w:vAlign w:val="bottom"/>
          </w:tcPr>
          <w:p w14:paraId="29636564" w14:textId="6B4A30E0"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0.4</w:t>
            </w:r>
          </w:p>
        </w:tc>
        <w:tc>
          <w:tcPr>
            <w:tcW w:w="828" w:type="dxa"/>
            <w:tcBorders>
              <w:top w:val="nil"/>
              <w:left w:val="nil"/>
              <w:bottom w:val="single" w:sz="4" w:space="0" w:color="auto"/>
              <w:right w:val="single" w:sz="4" w:space="0" w:color="auto"/>
            </w:tcBorders>
            <w:shd w:val="clear" w:color="auto" w:fill="auto"/>
            <w:noWrap/>
            <w:vAlign w:val="bottom"/>
          </w:tcPr>
          <w:p w14:paraId="65357A94" w14:textId="3599EFA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81.9</w:t>
            </w:r>
          </w:p>
        </w:tc>
        <w:tc>
          <w:tcPr>
            <w:tcW w:w="926" w:type="dxa"/>
            <w:tcBorders>
              <w:top w:val="nil"/>
              <w:left w:val="nil"/>
              <w:bottom w:val="single" w:sz="4" w:space="0" w:color="auto"/>
              <w:right w:val="single" w:sz="4" w:space="0" w:color="auto"/>
            </w:tcBorders>
            <w:shd w:val="clear" w:color="auto" w:fill="auto"/>
            <w:noWrap/>
            <w:vAlign w:val="bottom"/>
          </w:tcPr>
          <w:p w14:paraId="4FAC6405" w14:textId="23D6EF60"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0.5</w:t>
            </w:r>
          </w:p>
        </w:tc>
        <w:tc>
          <w:tcPr>
            <w:tcW w:w="967" w:type="dxa"/>
            <w:tcBorders>
              <w:top w:val="nil"/>
              <w:left w:val="nil"/>
              <w:bottom w:val="single" w:sz="4" w:space="0" w:color="auto"/>
              <w:right w:val="single" w:sz="4" w:space="0" w:color="auto"/>
            </w:tcBorders>
            <w:shd w:val="clear" w:color="auto" w:fill="auto"/>
            <w:noWrap/>
            <w:vAlign w:val="bottom"/>
          </w:tcPr>
          <w:p w14:paraId="2385EF02" w14:textId="1DBD241C"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0.6%</w:t>
            </w:r>
          </w:p>
        </w:tc>
        <w:tc>
          <w:tcPr>
            <w:tcW w:w="848" w:type="dxa"/>
            <w:tcBorders>
              <w:top w:val="nil"/>
              <w:left w:val="nil"/>
              <w:bottom w:val="single" w:sz="4" w:space="0" w:color="auto"/>
              <w:right w:val="single" w:sz="4" w:space="0" w:color="auto"/>
            </w:tcBorders>
            <w:shd w:val="clear" w:color="auto" w:fill="auto"/>
            <w:noWrap/>
            <w:vAlign w:val="bottom"/>
          </w:tcPr>
          <w:p w14:paraId="642ED560" w14:textId="4D281249"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93.0</w:t>
            </w:r>
          </w:p>
        </w:tc>
      </w:tr>
      <w:tr w:rsidR="00BE50D6" w:rsidRPr="003B78F6" w14:paraId="0022C1CF"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264BC388"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8/29/2017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439911A5" w14:textId="589C881D"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819</w:t>
            </w:r>
          </w:p>
        </w:tc>
        <w:tc>
          <w:tcPr>
            <w:tcW w:w="923" w:type="dxa"/>
            <w:tcBorders>
              <w:top w:val="nil"/>
              <w:left w:val="nil"/>
              <w:bottom w:val="single" w:sz="4" w:space="0" w:color="auto"/>
              <w:right w:val="single" w:sz="4" w:space="0" w:color="auto"/>
            </w:tcBorders>
            <w:shd w:val="clear" w:color="auto" w:fill="auto"/>
            <w:noWrap/>
            <w:vAlign w:val="bottom"/>
          </w:tcPr>
          <w:p w14:paraId="6246CD97" w14:textId="20B56D1F"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69.2</w:t>
            </w:r>
          </w:p>
        </w:tc>
        <w:tc>
          <w:tcPr>
            <w:tcW w:w="876" w:type="dxa"/>
            <w:tcBorders>
              <w:top w:val="nil"/>
              <w:left w:val="nil"/>
              <w:bottom w:val="single" w:sz="4" w:space="0" w:color="auto"/>
              <w:right w:val="single" w:sz="4" w:space="0" w:color="auto"/>
            </w:tcBorders>
            <w:shd w:val="clear" w:color="auto" w:fill="auto"/>
            <w:noWrap/>
            <w:vAlign w:val="bottom"/>
          </w:tcPr>
          <w:p w14:paraId="514A1436" w14:textId="7B1D7B8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0.7</w:t>
            </w:r>
          </w:p>
        </w:tc>
        <w:tc>
          <w:tcPr>
            <w:tcW w:w="828" w:type="dxa"/>
            <w:tcBorders>
              <w:top w:val="nil"/>
              <w:left w:val="nil"/>
              <w:bottom w:val="single" w:sz="4" w:space="0" w:color="auto"/>
              <w:right w:val="single" w:sz="4" w:space="0" w:color="auto"/>
            </w:tcBorders>
            <w:shd w:val="clear" w:color="auto" w:fill="auto"/>
            <w:noWrap/>
            <w:vAlign w:val="bottom"/>
          </w:tcPr>
          <w:p w14:paraId="21F64D36" w14:textId="199FB076"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84.5</w:t>
            </w:r>
          </w:p>
        </w:tc>
        <w:tc>
          <w:tcPr>
            <w:tcW w:w="926" w:type="dxa"/>
            <w:tcBorders>
              <w:top w:val="nil"/>
              <w:left w:val="nil"/>
              <w:bottom w:val="single" w:sz="4" w:space="0" w:color="auto"/>
              <w:right w:val="single" w:sz="4" w:space="0" w:color="auto"/>
            </w:tcBorders>
            <w:shd w:val="clear" w:color="auto" w:fill="auto"/>
            <w:noWrap/>
            <w:vAlign w:val="bottom"/>
          </w:tcPr>
          <w:p w14:paraId="00FCD22F" w14:textId="4D5F505A"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0.9</w:t>
            </w:r>
          </w:p>
        </w:tc>
        <w:tc>
          <w:tcPr>
            <w:tcW w:w="967" w:type="dxa"/>
            <w:tcBorders>
              <w:top w:val="nil"/>
              <w:left w:val="nil"/>
              <w:bottom w:val="single" w:sz="4" w:space="0" w:color="auto"/>
              <w:right w:val="single" w:sz="4" w:space="0" w:color="auto"/>
            </w:tcBorders>
            <w:shd w:val="clear" w:color="auto" w:fill="auto"/>
            <w:noWrap/>
            <w:vAlign w:val="bottom"/>
          </w:tcPr>
          <w:p w14:paraId="7E180613" w14:textId="2C36B21B"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1.0%</w:t>
            </w:r>
          </w:p>
        </w:tc>
        <w:tc>
          <w:tcPr>
            <w:tcW w:w="848" w:type="dxa"/>
            <w:tcBorders>
              <w:top w:val="nil"/>
              <w:left w:val="nil"/>
              <w:bottom w:val="single" w:sz="4" w:space="0" w:color="auto"/>
              <w:right w:val="single" w:sz="4" w:space="0" w:color="auto"/>
            </w:tcBorders>
            <w:shd w:val="clear" w:color="auto" w:fill="auto"/>
            <w:noWrap/>
            <w:vAlign w:val="bottom"/>
          </w:tcPr>
          <w:p w14:paraId="7AADFF29" w14:textId="5466F5BB"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94.7</w:t>
            </w:r>
          </w:p>
        </w:tc>
      </w:tr>
      <w:tr w:rsidR="00BE50D6" w:rsidRPr="003B78F6" w14:paraId="49D61CAE"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5071C3B1"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8/31/2017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376D3E8F" w14:textId="1AC17348"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820</w:t>
            </w:r>
          </w:p>
        </w:tc>
        <w:tc>
          <w:tcPr>
            <w:tcW w:w="923" w:type="dxa"/>
            <w:tcBorders>
              <w:top w:val="nil"/>
              <w:left w:val="nil"/>
              <w:bottom w:val="single" w:sz="4" w:space="0" w:color="auto"/>
              <w:right w:val="single" w:sz="4" w:space="0" w:color="auto"/>
            </w:tcBorders>
            <w:shd w:val="clear" w:color="auto" w:fill="auto"/>
            <w:noWrap/>
            <w:vAlign w:val="bottom"/>
          </w:tcPr>
          <w:p w14:paraId="7505D354" w14:textId="2ED951F5"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69.6</w:t>
            </w:r>
          </w:p>
        </w:tc>
        <w:tc>
          <w:tcPr>
            <w:tcW w:w="876" w:type="dxa"/>
            <w:tcBorders>
              <w:top w:val="nil"/>
              <w:left w:val="nil"/>
              <w:bottom w:val="single" w:sz="4" w:space="0" w:color="auto"/>
              <w:right w:val="single" w:sz="4" w:space="0" w:color="auto"/>
            </w:tcBorders>
            <w:shd w:val="clear" w:color="auto" w:fill="auto"/>
            <w:noWrap/>
            <w:vAlign w:val="bottom"/>
          </w:tcPr>
          <w:p w14:paraId="7B89467B" w14:textId="7EB467E1"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0.0</w:t>
            </w:r>
          </w:p>
        </w:tc>
        <w:tc>
          <w:tcPr>
            <w:tcW w:w="828" w:type="dxa"/>
            <w:tcBorders>
              <w:top w:val="nil"/>
              <w:left w:val="nil"/>
              <w:bottom w:val="single" w:sz="4" w:space="0" w:color="auto"/>
              <w:right w:val="single" w:sz="4" w:space="0" w:color="auto"/>
            </w:tcBorders>
            <w:shd w:val="clear" w:color="auto" w:fill="auto"/>
            <w:noWrap/>
            <w:vAlign w:val="bottom"/>
          </w:tcPr>
          <w:p w14:paraId="5C61DE62" w14:textId="705C39C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84.9</w:t>
            </w:r>
          </w:p>
        </w:tc>
        <w:tc>
          <w:tcPr>
            <w:tcW w:w="926" w:type="dxa"/>
            <w:tcBorders>
              <w:top w:val="nil"/>
              <w:left w:val="nil"/>
              <w:bottom w:val="single" w:sz="4" w:space="0" w:color="auto"/>
              <w:right w:val="single" w:sz="4" w:space="0" w:color="auto"/>
            </w:tcBorders>
            <w:shd w:val="clear" w:color="auto" w:fill="auto"/>
            <w:noWrap/>
            <w:vAlign w:val="bottom"/>
          </w:tcPr>
          <w:p w14:paraId="319D3FA0" w14:textId="263334AE"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0.0</w:t>
            </w:r>
          </w:p>
        </w:tc>
        <w:tc>
          <w:tcPr>
            <w:tcW w:w="967" w:type="dxa"/>
            <w:tcBorders>
              <w:top w:val="nil"/>
              <w:left w:val="nil"/>
              <w:bottom w:val="single" w:sz="4" w:space="0" w:color="auto"/>
              <w:right w:val="single" w:sz="4" w:space="0" w:color="auto"/>
            </w:tcBorders>
            <w:shd w:val="clear" w:color="auto" w:fill="auto"/>
            <w:noWrap/>
            <w:vAlign w:val="bottom"/>
          </w:tcPr>
          <w:p w14:paraId="789EB7C9" w14:textId="56EA520A"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0.0%</w:t>
            </w:r>
          </w:p>
        </w:tc>
        <w:tc>
          <w:tcPr>
            <w:tcW w:w="848" w:type="dxa"/>
            <w:tcBorders>
              <w:top w:val="nil"/>
              <w:left w:val="nil"/>
              <w:bottom w:val="single" w:sz="4" w:space="0" w:color="auto"/>
              <w:right w:val="single" w:sz="4" w:space="0" w:color="auto"/>
            </w:tcBorders>
            <w:shd w:val="clear" w:color="auto" w:fill="auto"/>
            <w:noWrap/>
            <w:vAlign w:val="bottom"/>
          </w:tcPr>
          <w:p w14:paraId="7BFD91FA" w14:textId="7E14E7D6"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94.0</w:t>
            </w:r>
          </w:p>
        </w:tc>
      </w:tr>
      <w:tr w:rsidR="00BE50D6" w:rsidRPr="003B78F6" w14:paraId="260C1AD1"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3617189A"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9/5/2017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2F179A2C" w14:textId="0FEBEDB1"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820</w:t>
            </w:r>
          </w:p>
        </w:tc>
        <w:tc>
          <w:tcPr>
            <w:tcW w:w="923" w:type="dxa"/>
            <w:tcBorders>
              <w:top w:val="nil"/>
              <w:left w:val="nil"/>
              <w:bottom w:val="single" w:sz="4" w:space="0" w:color="auto"/>
              <w:right w:val="single" w:sz="4" w:space="0" w:color="auto"/>
            </w:tcBorders>
            <w:shd w:val="clear" w:color="auto" w:fill="auto"/>
            <w:noWrap/>
            <w:vAlign w:val="bottom"/>
          </w:tcPr>
          <w:p w14:paraId="378255BD" w14:textId="7B20C706"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65.4</w:t>
            </w:r>
          </w:p>
        </w:tc>
        <w:tc>
          <w:tcPr>
            <w:tcW w:w="876" w:type="dxa"/>
            <w:tcBorders>
              <w:top w:val="nil"/>
              <w:left w:val="nil"/>
              <w:bottom w:val="single" w:sz="4" w:space="0" w:color="auto"/>
              <w:right w:val="single" w:sz="4" w:space="0" w:color="auto"/>
            </w:tcBorders>
            <w:shd w:val="clear" w:color="auto" w:fill="auto"/>
            <w:noWrap/>
            <w:vAlign w:val="bottom"/>
          </w:tcPr>
          <w:p w14:paraId="1E1FFFA4" w14:textId="59018231"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0.4</w:t>
            </w:r>
          </w:p>
        </w:tc>
        <w:tc>
          <w:tcPr>
            <w:tcW w:w="828" w:type="dxa"/>
            <w:tcBorders>
              <w:top w:val="nil"/>
              <w:left w:val="nil"/>
              <w:bottom w:val="single" w:sz="4" w:space="0" w:color="auto"/>
              <w:right w:val="single" w:sz="4" w:space="0" w:color="auto"/>
            </w:tcBorders>
            <w:shd w:val="clear" w:color="auto" w:fill="auto"/>
            <w:noWrap/>
            <w:vAlign w:val="bottom"/>
          </w:tcPr>
          <w:p w14:paraId="4C9EF119" w14:textId="6E549F76"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79.7</w:t>
            </w:r>
          </w:p>
        </w:tc>
        <w:tc>
          <w:tcPr>
            <w:tcW w:w="926" w:type="dxa"/>
            <w:tcBorders>
              <w:top w:val="nil"/>
              <w:left w:val="nil"/>
              <w:bottom w:val="single" w:sz="4" w:space="0" w:color="auto"/>
              <w:right w:val="single" w:sz="4" w:space="0" w:color="auto"/>
            </w:tcBorders>
            <w:shd w:val="clear" w:color="auto" w:fill="auto"/>
            <w:noWrap/>
            <w:vAlign w:val="bottom"/>
          </w:tcPr>
          <w:p w14:paraId="0894209B" w14:textId="3E170D75"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0.4</w:t>
            </w:r>
          </w:p>
        </w:tc>
        <w:tc>
          <w:tcPr>
            <w:tcW w:w="967" w:type="dxa"/>
            <w:tcBorders>
              <w:top w:val="nil"/>
              <w:left w:val="nil"/>
              <w:bottom w:val="single" w:sz="4" w:space="0" w:color="auto"/>
              <w:right w:val="single" w:sz="4" w:space="0" w:color="auto"/>
            </w:tcBorders>
            <w:shd w:val="clear" w:color="auto" w:fill="auto"/>
            <w:noWrap/>
            <w:vAlign w:val="bottom"/>
          </w:tcPr>
          <w:p w14:paraId="35B38997" w14:textId="6D148B26"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0.6%</w:t>
            </w:r>
          </w:p>
        </w:tc>
        <w:tc>
          <w:tcPr>
            <w:tcW w:w="848" w:type="dxa"/>
            <w:tcBorders>
              <w:top w:val="nil"/>
              <w:left w:val="nil"/>
              <w:bottom w:val="single" w:sz="4" w:space="0" w:color="auto"/>
              <w:right w:val="single" w:sz="4" w:space="0" w:color="auto"/>
            </w:tcBorders>
            <w:shd w:val="clear" w:color="auto" w:fill="auto"/>
            <w:noWrap/>
            <w:vAlign w:val="bottom"/>
          </w:tcPr>
          <w:p w14:paraId="43B230EF" w14:textId="3C124AC1"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85.6</w:t>
            </w:r>
          </w:p>
        </w:tc>
      </w:tr>
      <w:tr w:rsidR="00BE50D6" w:rsidRPr="003B78F6" w14:paraId="2CE61C59" w14:textId="77777777" w:rsidTr="00D00404">
        <w:trPr>
          <w:trHeight w:val="300"/>
          <w:jc w:val="center"/>
        </w:trPr>
        <w:tc>
          <w:tcPr>
            <w:tcW w:w="1960" w:type="dxa"/>
            <w:tcBorders>
              <w:top w:val="single" w:sz="4" w:space="0" w:color="auto"/>
              <w:left w:val="single" w:sz="4" w:space="0" w:color="auto"/>
              <w:bottom w:val="single" w:sz="4" w:space="0" w:color="auto"/>
              <w:right w:val="single" w:sz="4" w:space="0" w:color="auto"/>
            </w:tcBorders>
            <w:noWrap/>
            <w:vAlign w:val="bottom"/>
          </w:tcPr>
          <w:p w14:paraId="396D7D2C" w14:textId="77777777"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9/12/2017</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3867D222" w14:textId="4BD450F0"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822</w:t>
            </w:r>
          </w:p>
        </w:tc>
        <w:tc>
          <w:tcPr>
            <w:tcW w:w="923" w:type="dxa"/>
            <w:tcBorders>
              <w:top w:val="nil"/>
              <w:left w:val="nil"/>
              <w:bottom w:val="single" w:sz="4" w:space="0" w:color="auto"/>
              <w:right w:val="single" w:sz="4" w:space="0" w:color="auto"/>
            </w:tcBorders>
            <w:shd w:val="clear" w:color="auto" w:fill="auto"/>
            <w:noWrap/>
            <w:vAlign w:val="bottom"/>
          </w:tcPr>
          <w:p w14:paraId="01F53155" w14:textId="20B11A64"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63.7</w:t>
            </w:r>
          </w:p>
        </w:tc>
        <w:tc>
          <w:tcPr>
            <w:tcW w:w="876" w:type="dxa"/>
            <w:tcBorders>
              <w:top w:val="nil"/>
              <w:left w:val="nil"/>
              <w:bottom w:val="single" w:sz="4" w:space="0" w:color="auto"/>
              <w:right w:val="single" w:sz="4" w:space="0" w:color="auto"/>
            </w:tcBorders>
            <w:shd w:val="clear" w:color="auto" w:fill="auto"/>
            <w:noWrap/>
            <w:vAlign w:val="bottom"/>
          </w:tcPr>
          <w:p w14:paraId="3672283A" w14:textId="63E9312F"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0.8</w:t>
            </w:r>
          </w:p>
        </w:tc>
        <w:tc>
          <w:tcPr>
            <w:tcW w:w="828" w:type="dxa"/>
            <w:tcBorders>
              <w:top w:val="nil"/>
              <w:left w:val="nil"/>
              <w:bottom w:val="single" w:sz="4" w:space="0" w:color="auto"/>
              <w:right w:val="single" w:sz="4" w:space="0" w:color="auto"/>
            </w:tcBorders>
            <w:shd w:val="clear" w:color="auto" w:fill="auto"/>
            <w:noWrap/>
            <w:vAlign w:val="bottom"/>
          </w:tcPr>
          <w:p w14:paraId="547E0234" w14:textId="122F7108"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77.4</w:t>
            </w:r>
          </w:p>
        </w:tc>
        <w:tc>
          <w:tcPr>
            <w:tcW w:w="926" w:type="dxa"/>
            <w:tcBorders>
              <w:top w:val="nil"/>
              <w:left w:val="nil"/>
              <w:bottom w:val="single" w:sz="4" w:space="0" w:color="auto"/>
              <w:right w:val="single" w:sz="4" w:space="0" w:color="auto"/>
            </w:tcBorders>
            <w:shd w:val="clear" w:color="auto" w:fill="auto"/>
            <w:noWrap/>
            <w:vAlign w:val="bottom"/>
          </w:tcPr>
          <w:p w14:paraId="01275A2A" w14:textId="1F03C53A"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1.0</w:t>
            </w:r>
          </w:p>
        </w:tc>
        <w:tc>
          <w:tcPr>
            <w:tcW w:w="967" w:type="dxa"/>
            <w:tcBorders>
              <w:top w:val="nil"/>
              <w:left w:val="nil"/>
              <w:bottom w:val="single" w:sz="4" w:space="0" w:color="auto"/>
              <w:right w:val="single" w:sz="4" w:space="0" w:color="auto"/>
            </w:tcBorders>
            <w:shd w:val="clear" w:color="auto" w:fill="auto"/>
            <w:noWrap/>
            <w:vAlign w:val="bottom"/>
          </w:tcPr>
          <w:p w14:paraId="5DBAA57E" w14:textId="41307377" w:rsidR="00BE50D6" w:rsidRPr="003B78F6" w:rsidRDefault="00BE50D6" w:rsidP="00BE50D6">
            <w:pPr>
              <w:keepNext/>
              <w:keepLines/>
              <w:ind w:firstLineChars="100" w:firstLine="200"/>
              <w:jc w:val="center"/>
              <w:rPr>
                <w:rFonts w:ascii="Arial" w:hAnsi="Arial" w:cs="Arial"/>
                <w:sz w:val="20"/>
                <w:szCs w:val="20"/>
              </w:rPr>
            </w:pPr>
            <w:r>
              <w:rPr>
                <w:rFonts w:ascii="Arial" w:hAnsi="Arial" w:cs="Arial"/>
                <w:color w:val="000000"/>
                <w:sz w:val="20"/>
                <w:szCs w:val="20"/>
              </w:rPr>
              <w:t>1.3%</w:t>
            </w:r>
          </w:p>
        </w:tc>
        <w:tc>
          <w:tcPr>
            <w:tcW w:w="848" w:type="dxa"/>
            <w:tcBorders>
              <w:top w:val="nil"/>
              <w:left w:val="nil"/>
              <w:bottom w:val="single" w:sz="4" w:space="0" w:color="auto"/>
              <w:right w:val="single" w:sz="4" w:space="0" w:color="auto"/>
            </w:tcBorders>
            <w:shd w:val="clear" w:color="auto" w:fill="auto"/>
            <w:noWrap/>
            <w:vAlign w:val="bottom"/>
          </w:tcPr>
          <w:p w14:paraId="5C6BC15E" w14:textId="42BBF23F" w:rsidR="00BE50D6" w:rsidRPr="003B78F6" w:rsidRDefault="00BE50D6" w:rsidP="00BE50D6">
            <w:pPr>
              <w:keepNext/>
              <w:keepLines/>
              <w:jc w:val="center"/>
              <w:rPr>
                <w:rFonts w:ascii="Arial" w:hAnsi="Arial" w:cs="Arial"/>
                <w:sz w:val="20"/>
                <w:szCs w:val="20"/>
              </w:rPr>
            </w:pPr>
            <w:r>
              <w:rPr>
                <w:rFonts w:ascii="Arial" w:hAnsi="Arial" w:cs="Arial"/>
                <w:color w:val="000000"/>
                <w:sz w:val="20"/>
                <w:szCs w:val="20"/>
              </w:rPr>
              <w:t>81.8</w:t>
            </w:r>
          </w:p>
        </w:tc>
      </w:tr>
      <w:tr w:rsidR="00BE50D6" w:rsidRPr="003B78F6" w14:paraId="0E16F1E0" w14:textId="77777777" w:rsidTr="00D00404">
        <w:trPr>
          <w:trHeight w:val="302"/>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12DA5D13" w14:textId="77777777" w:rsidR="00BE50D6" w:rsidRPr="003B78F6" w:rsidRDefault="00BE50D6" w:rsidP="00BE50D6">
            <w:pPr>
              <w:keepNext/>
              <w:keepLines/>
              <w:jc w:val="center"/>
              <w:rPr>
                <w:rFonts w:ascii="Arial" w:hAnsi="Arial" w:cs="Arial"/>
                <w:b/>
                <w:bCs/>
                <w:sz w:val="20"/>
                <w:szCs w:val="20"/>
              </w:rPr>
            </w:pPr>
            <w:r w:rsidRPr="003B78F6">
              <w:rPr>
                <w:rFonts w:ascii="Arial" w:hAnsi="Arial" w:cs="Arial"/>
                <w:b/>
                <w:bCs/>
                <w:sz w:val="20"/>
                <w:szCs w:val="20"/>
              </w:rPr>
              <w:t>Typical Event Day</w:t>
            </w:r>
          </w:p>
        </w:tc>
        <w:tc>
          <w:tcPr>
            <w:tcW w:w="1017" w:type="dxa"/>
            <w:tcBorders>
              <w:top w:val="nil"/>
              <w:left w:val="single" w:sz="4" w:space="0" w:color="auto"/>
              <w:bottom w:val="single" w:sz="4" w:space="0" w:color="auto"/>
              <w:right w:val="single" w:sz="4" w:space="0" w:color="auto"/>
            </w:tcBorders>
            <w:shd w:val="clear" w:color="auto" w:fill="auto"/>
            <w:noWrap/>
            <w:vAlign w:val="bottom"/>
          </w:tcPr>
          <w:p w14:paraId="5E31541A" w14:textId="36361CD3" w:rsidR="00BE50D6" w:rsidRPr="001D6C47" w:rsidRDefault="00BE50D6" w:rsidP="00BE50D6">
            <w:pPr>
              <w:keepNext/>
              <w:keepLines/>
              <w:jc w:val="center"/>
              <w:rPr>
                <w:rFonts w:ascii="Arial" w:hAnsi="Arial" w:cs="Arial"/>
                <w:b/>
                <w:bCs/>
                <w:sz w:val="20"/>
                <w:szCs w:val="20"/>
              </w:rPr>
            </w:pPr>
            <w:r>
              <w:rPr>
                <w:rFonts w:ascii="Arial" w:hAnsi="Arial" w:cs="Arial"/>
                <w:b/>
                <w:bCs/>
                <w:color w:val="000000"/>
                <w:sz w:val="20"/>
                <w:szCs w:val="20"/>
              </w:rPr>
              <w:t>816</w:t>
            </w:r>
          </w:p>
        </w:tc>
        <w:tc>
          <w:tcPr>
            <w:tcW w:w="923" w:type="dxa"/>
            <w:tcBorders>
              <w:top w:val="nil"/>
              <w:left w:val="nil"/>
              <w:bottom w:val="single" w:sz="4" w:space="0" w:color="auto"/>
              <w:right w:val="single" w:sz="4" w:space="0" w:color="auto"/>
            </w:tcBorders>
            <w:shd w:val="clear" w:color="auto" w:fill="auto"/>
            <w:noWrap/>
            <w:vAlign w:val="bottom"/>
          </w:tcPr>
          <w:p w14:paraId="25745E1C" w14:textId="00CCB3C1" w:rsidR="00BE50D6" w:rsidRPr="001D6C47" w:rsidRDefault="00BE50D6" w:rsidP="00BE50D6">
            <w:pPr>
              <w:keepNext/>
              <w:keepLines/>
              <w:ind w:firstLineChars="100" w:firstLine="201"/>
              <w:jc w:val="center"/>
              <w:rPr>
                <w:rFonts w:ascii="Arial" w:hAnsi="Arial" w:cs="Arial"/>
                <w:b/>
                <w:bCs/>
                <w:sz w:val="20"/>
                <w:szCs w:val="20"/>
              </w:rPr>
            </w:pPr>
            <w:r>
              <w:rPr>
                <w:rFonts w:ascii="Arial" w:hAnsi="Arial" w:cs="Arial"/>
                <w:b/>
                <w:bCs/>
                <w:color w:val="000000"/>
                <w:sz w:val="20"/>
                <w:szCs w:val="20"/>
              </w:rPr>
              <w:t>64.4</w:t>
            </w:r>
          </w:p>
        </w:tc>
        <w:tc>
          <w:tcPr>
            <w:tcW w:w="876" w:type="dxa"/>
            <w:tcBorders>
              <w:top w:val="nil"/>
              <w:left w:val="nil"/>
              <w:bottom w:val="single" w:sz="4" w:space="0" w:color="auto"/>
              <w:right w:val="single" w:sz="4" w:space="0" w:color="auto"/>
            </w:tcBorders>
            <w:shd w:val="clear" w:color="auto" w:fill="auto"/>
            <w:noWrap/>
            <w:vAlign w:val="bottom"/>
          </w:tcPr>
          <w:p w14:paraId="7C4B2AE4" w14:textId="757977FD" w:rsidR="00BE50D6" w:rsidRPr="001D6C47" w:rsidRDefault="00BE50D6" w:rsidP="00BE50D6">
            <w:pPr>
              <w:keepNext/>
              <w:keepLines/>
              <w:ind w:firstLineChars="100" w:firstLine="201"/>
              <w:jc w:val="center"/>
              <w:rPr>
                <w:rFonts w:ascii="Arial" w:hAnsi="Arial" w:cs="Arial"/>
                <w:b/>
                <w:bCs/>
                <w:sz w:val="20"/>
                <w:szCs w:val="20"/>
              </w:rPr>
            </w:pPr>
            <w:r>
              <w:rPr>
                <w:rFonts w:ascii="Arial" w:hAnsi="Arial" w:cs="Arial"/>
                <w:b/>
                <w:bCs/>
                <w:color w:val="000000"/>
                <w:sz w:val="20"/>
                <w:szCs w:val="20"/>
              </w:rPr>
              <w:t>0.6</w:t>
            </w:r>
          </w:p>
        </w:tc>
        <w:tc>
          <w:tcPr>
            <w:tcW w:w="828" w:type="dxa"/>
            <w:tcBorders>
              <w:top w:val="nil"/>
              <w:left w:val="nil"/>
              <w:bottom w:val="single" w:sz="4" w:space="0" w:color="auto"/>
              <w:right w:val="single" w:sz="4" w:space="0" w:color="auto"/>
            </w:tcBorders>
            <w:shd w:val="clear" w:color="auto" w:fill="auto"/>
            <w:noWrap/>
            <w:vAlign w:val="bottom"/>
          </w:tcPr>
          <w:p w14:paraId="6AB95B0C" w14:textId="3EA7EE25" w:rsidR="00BE50D6" w:rsidRPr="001D6C47" w:rsidRDefault="00BE50D6" w:rsidP="00BE50D6">
            <w:pPr>
              <w:keepNext/>
              <w:keepLines/>
              <w:ind w:firstLineChars="100" w:firstLine="201"/>
              <w:jc w:val="center"/>
              <w:rPr>
                <w:rFonts w:ascii="Arial" w:hAnsi="Arial" w:cs="Arial"/>
                <w:b/>
                <w:bCs/>
                <w:sz w:val="20"/>
                <w:szCs w:val="20"/>
              </w:rPr>
            </w:pPr>
            <w:r>
              <w:rPr>
                <w:rFonts w:ascii="Arial" w:hAnsi="Arial" w:cs="Arial"/>
                <w:b/>
                <w:bCs/>
                <w:color w:val="000000"/>
                <w:sz w:val="20"/>
                <w:szCs w:val="20"/>
              </w:rPr>
              <w:t>78.9</w:t>
            </w:r>
          </w:p>
        </w:tc>
        <w:tc>
          <w:tcPr>
            <w:tcW w:w="926" w:type="dxa"/>
            <w:tcBorders>
              <w:top w:val="nil"/>
              <w:left w:val="nil"/>
              <w:bottom w:val="single" w:sz="4" w:space="0" w:color="auto"/>
              <w:right w:val="single" w:sz="4" w:space="0" w:color="auto"/>
            </w:tcBorders>
            <w:shd w:val="clear" w:color="auto" w:fill="auto"/>
            <w:noWrap/>
            <w:vAlign w:val="bottom"/>
          </w:tcPr>
          <w:p w14:paraId="63E6BCB0" w14:textId="6B2041A5" w:rsidR="00BE50D6" w:rsidRPr="001D6C47" w:rsidRDefault="00BE50D6" w:rsidP="00BE50D6">
            <w:pPr>
              <w:keepNext/>
              <w:keepLines/>
              <w:ind w:firstLineChars="100" w:firstLine="201"/>
              <w:jc w:val="center"/>
              <w:rPr>
                <w:rFonts w:ascii="Arial" w:hAnsi="Arial" w:cs="Arial"/>
                <w:b/>
                <w:bCs/>
                <w:sz w:val="20"/>
                <w:szCs w:val="20"/>
              </w:rPr>
            </w:pPr>
            <w:r>
              <w:rPr>
                <w:rFonts w:ascii="Arial" w:hAnsi="Arial" w:cs="Arial"/>
                <w:b/>
                <w:bCs/>
                <w:color w:val="000000"/>
                <w:sz w:val="20"/>
                <w:szCs w:val="20"/>
              </w:rPr>
              <w:t>0.8</w:t>
            </w:r>
          </w:p>
        </w:tc>
        <w:tc>
          <w:tcPr>
            <w:tcW w:w="967" w:type="dxa"/>
            <w:tcBorders>
              <w:top w:val="nil"/>
              <w:left w:val="nil"/>
              <w:bottom w:val="single" w:sz="4" w:space="0" w:color="auto"/>
              <w:right w:val="single" w:sz="4" w:space="0" w:color="auto"/>
            </w:tcBorders>
            <w:shd w:val="clear" w:color="auto" w:fill="auto"/>
            <w:noWrap/>
            <w:vAlign w:val="bottom"/>
          </w:tcPr>
          <w:p w14:paraId="25E1AA45" w14:textId="79070266" w:rsidR="00BE50D6" w:rsidRPr="001D6C47" w:rsidRDefault="00BE50D6" w:rsidP="00BE50D6">
            <w:pPr>
              <w:keepNext/>
              <w:keepLines/>
              <w:ind w:firstLineChars="100" w:firstLine="201"/>
              <w:jc w:val="center"/>
              <w:rPr>
                <w:rFonts w:ascii="Arial" w:hAnsi="Arial" w:cs="Arial"/>
                <w:b/>
                <w:bCs/>
                <w:sz w:val="20"/>
                <w:szCs w:val="20"/>
              </w:rPr>
            </w:pPr>
            <w:r>
              <w:rPr>
                <w:rFonts w:ascii="Arial" w:hAnsi="Arial" w:cs="Arial"/>
                <w:b/>
                <w:bCs/>
                <w:color w:val="000000"/>
                <w:sz w:val="20"/>
                <w:szCs w:val="20"/>
              </w:rPr>
              <w:t>1.0%</w:t>
            </w:r>
          </w:p>
        </w:tc>
        <w:tc>
          <w:tcPr>
            <w:tcW w:w="848" w:type="dxa"/>
            <w:tcBorders>
              <w:top w:val="nil"/>
              <w:left w:val="nil"/>
              <w:bottom w:val="single" w:sz="4" w:space="0" w:color="auto"/>
              <w:right w:val="single" w:sz="4" w:space="0" w:color="auto"/>
            </w:tcBorders>
            <w:shd w:val="clear" w:color="auto" w:fill="auto"/>
            <w:noWrap/>
            <w:vAlign w:val="bottom"/>
          </w:tcPr>
          <w:p w14:paraId="5D4DD5FB" w14:textId="58D7652B" w:rsidR="00BE50D6" w:rsidRPr="001D6C47" w:rsidRDefault="00BE50D6" w:rsidP="00BE50D6">
            <w:pPr>
              <w:keepNext/>
              <w:keepLines/>
              <w:jc w:val="center"/>
              <w:rPr>
                <w:rFonts w:ascii="Arial" w:hAnsi="Arial" w:cs="Arial"/>
                <w:b/>
                <w:bCs/>
                <w:sz w:val="20"/>
                <w:szCs w:val="20"/>
              </w:rPr>
            </w:pPr>
            <w:r>
              <w:rPr>
                <w:rFonts w:ascii="Arial" w:hAnsi="Arial" w:cs="Arial"/>
                <w:b/>
                <w:bCs/>
                <w:color w:val="000000"/>
                <w:sz w:val="20"/>
                <w:szCs w:val="20"/>
              </w:rPr>
              <w:t>89.1</w:t>
            </w:r>
          </w:p>
        </w:tc>
      </w:tr>
    </w:tbl>
    <w:p w14:paraId="5F77BD54" w14:textId="07B58766" w:rsidR="00697C02" w:rsidRDefault="00697C02" w:rsidP="00CB13E9">
      <w:pPr>
        <w:spacing w:after="120"/>
        <w:rPr>
          <w:szCs w:val="32"/>
        </w:rPr>
      </w:pPr>
    </w:p>
    <w:p w14:paraId="01669281" w14:textId="3890EB74" w:rsidR="009309E1" w:rsidRDefault="006F09E4" w:rsidP="006F09E4">
      <w:pPr>
        <w:keepNext/>
      </w:pPr>
      <w:r>
        <w:fldChar w:fldCharType="begin"/>
      </w:r>
      <w:r>
        <w:instrText xml:space="preserve"> REF _Ref507068959 \h </w:instrText>
      </w:r>
      <w:r>
        <w:fldChar w:fldCharType="separate"/>
      </w:r>
      <w:r w:rsidR="005D5C7C">
        <w:t xml:space="preserve">Figure </w:t>
      </w:r>
      <w:r w:rsidR="005D5C7C">
        <w:rPr>
          <w:noProof/>
        </w:rPr>
        <w:t>4</w:t>
      </w:r>
      <w:r w:rsidR="005D5C7C">
        <w:t>.</w:t>
      </w:r>
      <w:r w:rsidR="005D5C7C">
        <w:rPr>
          <w:noProof/>
        </w:rPr>
        <w:t>6</w:t>
      </w:r>
      <w:r>
        <w:fldChar w:fldCharType="end"/>
      </w:r>
      <w:r>
        <w:t xml:space="preserve"> </w:t>
      </w:r>
      <w:r w:rsidR="005C3A27">
        <w:t>s</w:t>
      </w:r>
      <w:r>
        <w:t>how</w:t>
      </w:r>
      <w:r w:rsidR="005C3A27">
        <w:t>s</w:t>
      </w:r>
      <w:r>
        <w:t xml:space="preserve"> the aggregate hourly reference loads, observed loads, and estimated load impacts on the typical event day for medium customers. </w:t>
      </w:r>
      <w:r w:rsidR="009309E1">
        <w:fldChar w:fldCharType="begin"/>
      </w:r>
      <w:r w:rsidR="009309E1">
        <w:instrText xml:space="preserve"> REF _Ref507068981 \h </w:instrText>
      </w:r>
      <w:r w:rsidR="009309E1">
        <w:fldChar w:fldCharType="separate"/>
      </w:r>
      <w:r w:rsidR="005D5C7C">
        <w:t xml:space="preserve">Table </w:t>
      </w:r>
      <w:r w:rsidR="005D5C7C">
        <w:rPr>
          <w:noProof/>
        </w:rPr>
        <w:t>4</w:t>
      </w:r>
      <w:r w:rsidR="005D5C7C">
        <w:t>.</w:t>
      </w:r>
      <w:r w:rsidR="005D5C7C">
        <w:rPr>
          <w:noProof/>
        </w:rPr>
        <w:t>6</w:t>
      </w:r>
      <w:r w:rsidR="009309E1">
        <w:fldChar w:fldCharType="end"/>
      </w:r>
      <w:r w:rsidR="009309E1">
        <w:t xml:space="preserve"> contains the hourly typical event day results in the manner required by the Protocols, including hourly temperatures and uncert</w:t>
      </w:r>
      <w:r w:rsidR="005C3A27">
        <w:t xml:space="preserve">ainty adjusted load impacts. </w:t>
      </w:r>
      <w:proofErr w:type="gramStart"/>
      <w:r w:rsidR="009309E1">
        <w:t>Similar to</w:t>
      </w:r>
      <w:proofErr w:type="gramEnd"/>
      <w:r w:rsidR="009309E1">
        <w:t xml:space="preserve"> large customers, the highest load impacts </w:t>
      </w:r>
      <w:r w:rsidR="005C3A27">
        <w:t xml:space="preserve">of 0.8 MWh/hour </w:t>
      </w:r>
      <w:r w:rsidR="009309E1">
        <w:t>occur at the beginning of the event (2:00 to 4:00 p.m.).</w:t>
      </w:r>
      <w:r w:rsidR="005C3A27">
        <w:t xml:space="preserve"> </w:t>
      </w:r>
      <w:r w:rsidR="009309E1">
        <w:t>There is no evidence of pre-cooling or post-event snapback</w:t>
      </w:r>
      <w:r w:rsidR="005C3A27">
        <w:t xml:space="preserve">, and in fact, there are small significant load impacts of 0.3 MWh/hour in the hours directly preceding the event and several hours after the event concludes. Overall, these results do not </w:t>
      </w:r>
      <w:r w:rsidR="005C3A27">
        <w:lastRenderedPageBreak/>
        <w:t>suggest that medium customers respond to events by shifting event-hour loads to hours outside the event window.</w:t>
      </w:r>
    </w:p>
    <w:p w14:paraId="33A333C0" w14:textId="77777777" w:rsidR="009309E1" w:rsidRDefault="009309E1" w:rsidP="006F09E4">
      <w:pPr>
        <w:keepNext/>
      </w:pPr>
    </w:p>
    <w:p w14:paraId="0F5E2285" w14:textId="6EAAB30E" w:rsidR="00E03C8D" w:rsidRDefault="00E03C8D" w:rsidP="00E03C8D">
      <w:pPr>
        <w:pStyle w:val="FigureCaption"/>
        <w:rPr>
          <w:i/>
        </w:rPr>
      </w:pPr>
      <w:bookmarkStart w:id="297" w:name="_Ref507068959"/>
      <w:bookmarkStart w:id="298" w:name="_Toc509837484"/>
      <w:r>
        <w:t xml:space="preserve">Figure </w:t>
      </w:r>
      <w:fldSimple w:instr=" STYLEREF 1 \s ">
        <w:r w:rsidR="005D5C7C">
          <w:rPr>
            <w:noProof/>
          </w:rPr>
          <w:t>4</w:t>
        </w:r>
      </w:fldSimple>
      <w:r w:rsidR="00A11E78">
        <w:t>.</w:t>
      </w:r>
      <w:fldSimple w:instr=" SEQ Figure \* ARABIC \s 1 ">
        <w:r w:rsidR="005D5C7C">
          <w:rPr>
            <w:noProof/>
          </w:rPr>
          <w:t>6</w:t>
        </w:r>
      </w:fldSimple>
      <w:bookmarkEnd w:id="297"/>
      <w:r>
        <w:t>:</w:t>
      </w:r>
      <w:r w:rsidRPr="002E5631">
        <w:t xml:space="preserve"> </w:t>
      </w:r>
      <w:r>
        <w:t>Typical Event Day Reference Loads and Load Profile, SCE</w:t>
      </w:r>
      <w:r>
        <w:rPr>
          <w:i/>
        </w:rPr>
        <w:t xml:space="preserve"> Medium</w:t>
      </w:r>
      <w:bookmarkEnd w:id="298"/>
    </w:p>
    <w:p w14:paraId="63AAB39F" w14:textId="3B2EF7BB" w:rsidR="001845CE" w:rsidRDefault="001D6C47" w:rsidP="001845CE">
      <w:r>
        <w:rPr>
          <w:noProof/>
        </w:rPr>
        <w:drawing>
          <wp:inline distT="0" distB="0" distL="0" distR="0" wp14:anchorId="13E29275" wp14:editId="74A2B220">
            <wp:extent cx="5486400" cy="3980815"/>
            <wp:effectExtent l="0" t="0" r="0" b="635"/>
            <wp:docPr id="87" name="Chart 87">
              <a:extLst xmlns:a="http://schemas.openxmlformats.org/drawingml/2006/main">
                <a:ext uri="{FF2B5EF4-FFF2-40B4-BE49-F238E27FC236}">
                  <a16:creationId xmlns:a16="http://schemas.microsoft.com/office/drawing/2014/main" id="{82557235-C96F-4AE9-B446-89FF9C5008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3C2FC11B" w14:textId="26C66C15" w:rsidR="001845CE" w:rsidRDefault="001845CE" w:rsidP="001845CE"/>
    <w:p w14:paraId="3592CBDE" w14:textId="32801D09" w:rsidR="00E03C8D" w:rsidRDefault="00E03C8D" w:rsidP="00CB13E9">
      <w:pPr>
        <w:spacing w:after="120"/>
        <w:rPr>
          <w:szCs w:val="32"/>
        </w:rPr>
      </w:pPr>
    </w:p>
    <w:p w14:paraId="2717A143" w14:textId="0C87CD02" w:rsidR="00B81339" w:rsidRDefault="00B81339" w:rsidP="00B81339">
      <w:pPr>
        <w:pStyle w:val="TableCaption"/>
      </w:pPr>
      <w:bookmarkStart w:id="299" w:name="_Ref507068981"/>
      <w:bookmarkStart w:id="300" w:name="_Toc509837389"/>
      <w:r>
        <w:lastRenderedPageBreak/>
        <w:t xml:space="preserve">Table </w:t>
      </w:r>
      <w:fldSimple w:instr=" STYLEREF 1 \s ">
        <w:r w:rsidR="005D5C7C">
          <w:rPr>
            <w:noProof/>
          </w:rPr>
          <w:t>4</w:t>
        </w:r>
      </w:fldSimple>
      <w:r w:rsidR="0069714C">
        <w:t>.</w:t>
      </w:r>
      <w:fldSimple w:instr=" SEQ Table \* ARABIC \s 1 ">
        <w:r w:rsidR="005D5C7C">
          <w:rPr>
            <w:noProof/>
          </w:rPr>
          <w:t>6</w:t>
        </w:r>
      </w:fldSimple>
      <w:bookmarkEnd w:id="299"/>
      <w:r>
        <w:t xml:space="preserve">: </w:t>
      </w:r>
      <w:r w:rsidR="00515724">
        <w:t>Typical Event Day</w:t>
      </w:r>
      <w:r>
        <w:t xml:space="preserve"> Load Impacts and Uncertainty Adjusted Estimates by hour</w:t>
      </w:r>
      <w:r w:rsidRPr="009300C9">
        <w:rPr>
          <w:i/>
        </w:rPr>
        <w:t xml:space="preserve">, </w:t>
      </w:r>
      <w:r>
        <w:rPr>
          <w:i/>
        </w:rPr>
        <w:t>SC</w:t>
      </w:r>
      <w:r w:rsidRPr="009300C9">
        <w:rPr>
          <w:i/>
        </w:rPr>
        <w:t>E</w:t>
      </w:r>
      <w:r>
        <w:rPr>
          <w:i/>
        </w:rPr>
        <w:t xml:space="preserve"> Medium</w:t>
      </w:r>
      <w:bookmarkEnd w:id="300"/>
    </w:p>
    <w:p w14:paraId="26A6993D" w14:textId="2F74A947" w:rsidR="00E03C8D" w:rsidRDefault="00D00404" w:rsidP="002F5C6C">
      <w:pPr>
        <w:spacing w:after="120"/>
        <w:rPr>
          <w:szCs w:val="32"/>
        </w:rPr>
      </w:pPr>
      <w:r w:rsidRPr="00D00404">
        <w:rPr>
          <w:noProof/>
        </w:rPr>
        <w:drawing>
          <wp:inline distT="0" distB="0" distL="0" distR="0" wp14:anchorId="3E2001CC" wp14:editId="1581E7BC">
            <wp:extent cx="5486400" cy="4396230"/>
            <wp:effectExtent l="0" t="0" r="0" b="444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86400" cy="4396230"/>
                    </a:xfrm>
                    <a:prstGeom prst="rect">
                      <a:avLst/>
                    </a:prstGeom>
                    <a:noFill/>
                    <a:ln>
                      <a:noFill/>
                    </a:ln>
                  </pic:spPr>
                </pic:pic>
              </a:graphicData>
            </a:graphic>
          </wp:inline>
        </w:drawing>
      </w:r>
    </w:p>
    <w:p w14:paraId="0B66C8ED" w14:textId="0F7B6F20" w:rsidR="00E03C8D" w:rsidRDefault="00E03C8D" w:rsidP="002F5C6C">
      <w:pPr>
        <w:spacing w:after="120"/>
        <w:rPr>
          <w:szCs w:val="32"/>
        </w:rPr>
      </w:pPr>
    </w:p>
    <w:p w14:paraId="4752DFFC" w14:textId="6E456F13" w:rsidR="00E03C8D" w:rsidRDefault="00E03C8D" w:rsidP="002F5C6C">
      <w:pPr>
        <w:spacing w:after="120"/>
        <w:rPr>
          <w:szCs w:val="32"/>
        </w:rPr>
      </w:pPr>
    </w:p>
    <w:p w14:paraId="78C33146" w14:textId="6DEE415C" w:rsidR="005C3A27" w:rsidRDefault="005C3A27" w:rsidP="002F5C6C">
      <w:pPr>
        <w:spacing w:after="120"/>
        <w:rPr>
          <w:szCs w:val="32"/>
        </w:rPr>
      </w:pPr>
    </w:p>
    <w:p w14:paraId="684E6799" w14:textId="7C5ED2FA" w:rsidR="005C3A27" w:rsidRDefault="005C3A27" w:rsidP="002F5C6C">
      <w:pPr>
        <w:spacing w:after="120"/>
        <w:rPr>
          <w:szCs w:val="32"/>
        </w:rPr>
      </w:pPr>
    </w:p>
    <w:p w14:paraId="5CD0C79D" w14:textId="44555FBE" w:rsidR="005C3A27" w:rsidRDefault="005C3A27" w:rsidP="002F5C6C">
      <w:pPr>
        <w:spacing w:after="120"/>
        <w:rPr>
          <w:szCs w:val="32"/>
        </w:rPr>
      </w:pPr>
    </w:p>
    <w:p w14:paraId="1A46C994" w14:textId="641FFB9E" w:rsidR="005C3A27" w:rsidRDefault="005C3A27" w:rsidP="002F5C6C">
      <w:pPr>
        <w:spacing w:after="120"/>
        <w:rPr>
          <w:szCs w:val="32"/>
        </w:rPr>
      </w:pPr>
    </w:p>
    <w:p w14:paraId="3A04C479" w14:textId="03204ACB" w:rsidR="005C3A27" w:rsidRDefault="005C3A27" w:rsidP="002F5C6C">
      <w:pPr>
        <w:spacing w:after="120"/>
        <w:rPr>
          <w:szCs w:val="32"/>
        </w:rPr>
      </w:pPr>
    </w:p>
    <w:p w14:paraId="08E20007" w14:textId="3CEB9F9F" w:rsidR="005C3A27" w:rsidRDefault="005C3A27" w:rsidP="002F5C6C">
      <w:pPr>
        <w:spacing w:after="120"/>
        <w:rPr>
          <w:szCs w:val="32"/>
        </w:rPr>
      </w:pPr>
    </w:p>
    <w:p w14:paraId="36576C7B" w14:textId="5E1DA581" w:rsidR="005C3A27" w:rsidRDefault="005C3A27" w:rsidP="002F5C6C">
      <w:pPr>
        <w:spacing w:after="120"/>
        <w:rPr>
          <w:szCs w:val="32"/>
        </w:rPr>
      </w:pPr>
    </w:p>
    <w:p w14:paraId="32632925" w14:textId="07E32AD7" w:rsidR="005C3A27" w:rsidRDefault="005C3A27" w:rsidP="002F5C6C">
      <w:pPr>
        <w:spacing w:after="120"/>
        <w:rPr>
          <w:szCs w:val="32"/>
        </w:rPr>
      </w:pPr>
    </w:p>
    <w:p w14:paraId="30EF3959" w14:textId="65EB7511" w:rsidR="005C3A27" w:rsidRDefault="005C3A27" w:rsidP="002F5C6C">
      <w:pPr>
        <w:spacing w:after="120"/>
        <w:rPr>
          <w:szCs w:val="32"/>
        </w:rPr>
      </w:pPr>
    </w:p>
    <w:p w14:paraId="14F701EB" w14:textId="613F404D" w:rsidR="005C3A27" w:rsidRDefault="005C3A27" w:rsidP="002F5C6C">
      <w:pPr>
        <w:spacing w:after="120"/>
        <w:rPr>
          <w:szCs w:val="32"/>
        </w:rPr>
      </w:pPr>
    </w:p>
    <w:p w14:paraId="2572AEF5" w14:textId="14AD9E73" w:rsidR="00B71008" w:rsidRDefault="005C3A27" w:rsidP="00CB3B06">
      <w:pPr>
        <w:spacing w:after="120"/>
      </w:pPr>
      <w:r>
        <w:lastRenderedPageBreak/>
        <w:fldChar w:fldCharType="begin"/>
      </w:r>
      <w:r>
        <w:instrText xml:space="preserve"> REF _Ref507068965 \h </w:instrText>
      </w:r>
      <w:r>
        <w:fldChar w:fldCharType="separate"/>
      </w:r>
      <w:r w:rsidR="005D5C7C">
        <w:t xml:space="preserve">Figure </w:t>
      </w:r>
      <w:r w:rsidR="005D5C7C">
        <w:rPr>
          <w:noProof/>
        </w:rPr>
        <w:t>4</w:t>
      </w:r>
      <w:r w:rsidR="005D5C7C">
        <w:t>.</w:t>
      </w:r>
      <w:r w:rsidR="005D5C7C">
        <w:rPr>
          <w:noProof/>
        </w:rPr>
        <w:t>7</w:t>
      </w:r>
      <w:r>
        <w:fldChar w:fldCharType="end"/>
      </w:r>
      <w:r>
        <w:t xml:space="preserve"> shows the aggregate hourly reference loads, observed loads, and estimated load impacts on the typical event day for small customers. </w:t>
      </w:r>
      <w:r>
        <w:fldChar w:fldCharType="begin"/>
      </w:r>
      <w:r>
        <w:instrText xml:space="preserve"> REF _Ref507068988 \h </w:instrText>
      </w:r>
      <w:r>
        <w:fldChar w:fldCharType="separate"/>
      </w:r>
      <w:r w:rsidR="005D5C7C">
        <w:t xml:space="preserve">Table </w:t>
      </w:r>
      <w:r w:rsidR="005D5C7C">
        <w:rPr>
          <w:noProof/>
        </w:rPr>
        <w:t>4</w:t>
      </w:r>
      <w:r w:rsidR="005D5C7C">
        <w:t>.</w:t>
      </w:r>
      <w:r w:rsidR="005D5C7C">
        <w:rPr>
          <w:noProof/>
        </w:rPr>
        <w:t>7</w:t>
      </w:r>
      <w:r>
        <w:fldChar w:fldCharType="end"/>
      </w:r>
      <w:r>
        <w:t xml:space="preserve"> contains the hourly typical event day results, hourly temperatures, and uncertainty adjusted load impacts.</w:t>
      </w:r>
      <w:r w:rsidR="00CB3B06">
        <w:t xml:space="preserve"> </w:t>
      </w:r>
      <w:r w:rsidR="00FC3643">
        <w:t>SC</w:t>
      </w:r>
      <w:r w:rsidR="00E52BDB">
        <w:t xml:space="preserve">E’s small customers have a somewhat odd reference load profile and do not display the load impact profile one would expect (in which load impacts are uniformly highest during the event hours. </w:t>
      </w:r>
      <w:proofErr w:type="gramStart"/>
      <w:r w:rsidR="00476DF1">
        <w:t>The majority of</w:t>
      </w:r>
      <w:proofErr w:type="gramEnd"/>
      <w:r w:rsidR="00476DF1">
        <w:t xml:space="preserve"> small customers correspond to the Wholesale, Transport, and Other Utilities industry, which </w:t>
      </w:r>
      <w:r w:rsidR="00E52BDB">
        <w:t xml:space="preserve">may explain the somewhat </w:t>
      </w:r>
      <w:r w:rsidR="00476DF1">
        <w:t xml:space="preserve">atypical load profile. </w:t>
      </w:r>
      <w:r w:rsidR="00CB3B06">
        <w:t>Overall, the results do not point to significant load impacts during the event</w:t>
      </w:r>
      <w:r w:rsidR="00E52BDB">
        <w:t xml:space="preserve"> hours</w:t>
      </w:r>
      <w:r w:rsidR="00CB3B06">
        <w:t xml:space="preserve">.  </w:t>
      </w:r>
    </w:p>
    <w:p w14:paraId="5292A8AE" w14:textId="77777777" w:rsidR="005C3A27" w:rsidRDefault="005C3A27" w:rsidP="002F5C6C">
      <w:pPr>
        <w:spacing w:after="120"/>
        <w:rPr>
          <w:szCs w:val="32"/>
        </w:rPr>
      </w:pPr>
    </w:p>
    <w:p w14:paraId="713229C2" w14:textId="24E82118" w:rsidR="00E03C8D" w:rsidRDefault="00E03C8D" w:rsidP="00E03C8D">
      <w:pPr>
        <w:pStyle w:val="FigureCaption"/>
        <w:rPr>
          <w:i/>
        </w:rPr>
      </w:pPr>
      <w:bookmarkStart w:id="301" w:name="_Ref507068965"/>
      <w:bookmarkStart w:id="302" w:name="_Toc509837485"/>
      <w:r>
        <w:t xml:space="preserve">Figure </w:t>
      </w:r>
      <w:fldSimple w:instr=" STYLEREF 1 \s ">
        <w:r w:rsidR="005D5C7C">
          <w:rPr>
            <w:noProof/>
          </w:rPr>
          <w:t>4</w:t>
        </w:r>
      </w:fldSimple>
      <w:r w:rsidR="00A11E78">
        <w:t>.</w:t>
      </w:r>
      <w:fldSimple w:instr=" SEQ Figure \* ARABIC \s 1 ">
        <w:r w:rsidR="005D5C7C">
          <w:rPr>
            <w:noProof/>
          </w:rPr>
          <w:t>7</w:t>
        </w:r>
      </w:fldSimple>
      <w:bookmarkEnd w:id="301"/>
      <w:r>
        <w:t>: Typical Event Day Reference Loads and Load Profile, SCE</w:t>
      </w:r>
      <w:r>
        <w:rPr>
          <w:i/>
        </w:rPr>
        <w:t xml:space="preserve"> Small</w:t>
      </w:r>
      <w:bookmarkEnd w:id="302"/>
    </w:p>
    <w:p w14:paraId="241DE77C" w14:textId="51A15A70" w:rsidR="001845CE" w:rsidRDefault="001D6C47" w:rsidP="001845CE">
      <w:r>
        <w:rPr>
          <w:noProof/>
        </w:rPr>
        <w:drawing>
          <wp:inline distT="0" distB="0" distL="0" distR="0" wp14:anchorId="36174E9C" wp14:editId="1D202BC4">
            <wp:extent cx="5486400" cy="3980815"/>
            <wp:effectExtent l="0" t="0" r="0" b="635"/>
            <wp:docPr id="89" name="Chart 89">
              <a:extLst xmlns:a="http://schemas.openxmlformats.org/drawingml/2006/main">
                <a:ext uri="{FF2B5EF4-FFF2-40B4-BE49-F238E27FC236}">
                  <a16:creationId xmlns:a16="http://schemas.microsoft.com/office/drawing/2014/main" id="{05009BA9-9A8C-4CF8-93D5-A378D78362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6D6041FD" w14:textId="12B6F34E" w:rsidR="001845CE" w:rsidRDefault="001845CE" w:rsidP="001845CE"/>
    <w:p w14:paraId="0CA57ED6" w14:textId="774CB03A" w:rsidR="00E03C8D" w:rsidRDefault="00E03C8D" w:rsidP="002F5C6C">
      <w:pPr>
        <w:spacing w:after="120"/>
        <w:rPr>
          <w:szCs w:val="32"/>
        </w:rPr>
      </w:pPr>
    </w:p>
    <w:p w14:paraId="5D48DBC8" w14:textId="508C36BE" w:rsidR="00C53814" w:rsidRDefault="00C53814" w:rsidP="002F5C6C">
      <w:pPr>
        <w:spacing w:after="120"/>
        <w:rPr>
          <w:szCs w:val="32"/>
        </w:rPr>
      </w:pPr>
    </w:p>
    <w:p w14:paraId="38B22BF7" w14:textId="01FE3FA2" w:rsidR="00884B12" w:rsidRDefault="00884B12" w:rsidP="00884B12">
      <w:pPr>
        <w:pStyle w:val="TableCaption"/>
        <w:rPr>
          <w:i/>
        </w:rPr>
      </w:pPr>
      <w:bookmarkStart w:id="303" w:name="_Ref507068988"/>
      <w:bookmarkStart w:id="304" w:name="_Toc509837390"/>
      <w:r>
        <w:lastRenderedPageBreak/>
        <w:t xml:space="preserve">Table </w:t>
      </w:r>
      <w:fldSimple w:instr=" STYLEREF 1 \s ">
        <w:r w:rsidR="005D5C7C">
          <w:rPr>
            <w:noProof/>
          </w:rPr>
          <w:t>4</w:t>
        </w:r>
      </w:fldSimple>
      <w:r w:rsidR="0069714C">
        <w:t>.</w:t>
      </w:r>
      <w:fldSimple w:instr=" SEQ Table \* ARABIC \s 1 ">
        <w:r w:rsidR="005D5C7C">
          <w:rPr>
            <w:noProof/>
          </w:rPr>
          <w:t>7</w:t>
        </w:r>
      </w:fldSimple>
      <w:bookmarkEnd w:id="303"/>
      <w:r>
        <w:t xml:space="preserve">: </w:t>
      </w:r>
      <w:r w:rsidR="00515724">
        <w:t>Typical Event Day</w:t>
      </w:r>
      <w:r>
        <w:t xml:space="preserve"> Load Impacts and Uncertainty Adjusted Estimates by hour</w:t>
      </w:r>
      <w:r w:rsidRPr="009300C9">
        <w:rPr>
          <w:i/>
        </w:rPr>
        <w:t xml:space="preserve">, </w:t>
      </w:r>
      <w:r>
        <w:rPr>
          <w:i/>
        </w:rPr>
        <w:t>SC</w:t>
      </w:r>
      <w:r w:rsidRPr="009300C9">
        <w:rPr>
          <w:i/>
        </w:rPr>
        <w:t xml:space="preserve">E </w:t>
      </w:r>
      <w:r>
        <w:rPr>
          <w:i/>
        </w:rPr>
        <w:t>Small</w:t>
      </w:r>
      <w:bookmarkEnd w:id="304"/>
    </w:p>
    <w:p w14:paraId="62B291F9" w14:textId="6DD59A65" w:rsidR="00D00404" w:rsidRDefault="00D00404" w:rsidP="00B836B3">
      <w:pPr>
        <w:jc w:val="center"/>
      </w:pPr>
      <w:r w:rsidRPr="00D00404">
        <w:rPr>
          <w:noProof/>
        </w:rPr>
        <w:drawing>
          <wp:inline distT="0" distB="0" distL="0" distR="0" wp14:anchorId="0598E876" wp14:editId="622B3695">
            <wp:extent cx="5486400" cy="4396230"/>
            <wp:effectExtent l="0" t="0" r="0" b="444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86400" cy="4396230"/>
                    </a:xfrm>
                    <a:prstGeom prst="rect">
                      <a:avLst/>
                    </a:prstGeom>
                    <a:noFill/>
                    <a:ln>
                      <a:noFill/>
                    </a:ln>
                  </pic:spPr>
                </pic:pic>
              </a:graphicData>
            </a:graphic>
          </wp:inline>
        </w:drawing>
      </w:r>
    </w:p>
    <w:p w14:paraId="48157C38" w14:textId="143A424C" w:rsidR="001C7388" w:rsidRDefault="001C7388" w:rsidP="00CB13E9">
      <w:pPr>
        <w:spacing w:after="120"/>
        <w:rPr>
          <w:szCs w:val="32"/>
        </w:rPr>
      </w:pPr>
    </w:p>
    <w:p w14:paraId="779277BD" w14:textId="47C0B0BE" w:rsidR="00F61B2F" w:rsidRDefault="00F61B2F" w:rsidP="00F61B2F">
      <w:pPr>
        <w:spacing w:after="120"/>
        <w:rPr>
          <w:szCs w:val="32"/>
        </w:rPr>
      </w:pPr>
      <w:r>
        <w:rPr>
          <w:szCs w:val="32"/>
        </w:rPr>
        <w:t>Next</w:t>
      </w:r>
      <w:r w:rsidR="001973DB">
        <w:rPr>
          <w:szCs w:val="32"/>
        </w:rPr>
        <w:t>,</w:t>
      </w:r>
      <w:r>
        <w:rPr>
          <w:szCs w:val="32"/>
        </w:rPr>
        <w:t xml:space="preserve"> we look at SCE SMB customer estimate</w:t>
      </w:r>
      <w:r w:rsidR="001973DB">
        <w:rPr>
          <w:szCs w:val="32"/>
        </w:rPr>
        <w:t>s</w:t>
      </w:r>
      <w:r>
        <w:rPr>
          <w:szCs w:val="32"/>
        </w:rPr>
        <w:t xml:space="preserve"> by industry group. </w:t>
      </w:r>
      <w:r>
        <w:rPr>
          <w:szCs w:val="32"/>
        </w:rPr>
        <w:fldChar w:fldCharType="begin"/>
      </w:r>
      <w:r>
        <w:rPr>
          <w:szCs w:val="32"/>
        </w:rPr>
        <w:instrText xml:space="preserve"> REF _Ref507075271 \h </w:instrText>
      </w:r>
      <w:r>
        <w:rPr>
          <w:szCs w:val="32"/>
        </w:rPr>
      </w:r>
      <w:r>
        <w:rPr>
          <w:szCs w:val="32"/>
        </w:rPr>
        <w:fldChar w:fldCharType="separate"/>
      </w:r>
      <w:r w:rsidR="005D5C7C">
        <w:t xml:space="preserve">Table </w:t>
      </w:r>
      <w:r w:rsidR="005D5C7C">
        <w:rPr>
          <w:noProof/>
        </w:rPr>
        <w:t>4</w:t>
      </w:r>
      <w:r w:rsidR="005D5C7C">
        <w:t>.</w:t>
      </w:r>
      <w:r w:rsidR="005D5C7C">
        <w:rPr>
          <w:noProof/>
        </w:rPr>
        <w:t>8</w:t>
      </w:r>
      <w:r>
        <w:rPr>
          <w:szCs w:val="32"/>
        </w:rPr>
        <w:fldChar w:fldCharType="end"/>
      </w:r>
      <w:r>
        <w:rPr>
          <w:szCs w:val="32"/>
        </w:rPr>
        <w:t xml:space="preserve"> summarizes the aggregate event-hour results for the typical event day for eight industry groups, including the number of enrolled customers, the reference and observed loads, and the estimated load impacts (in MWh/hour and as a percentage of the reference load).</w:t>
      </w:r>
      <w:r w:rsidR="00F92220">
        <w:rPr>
          <w:szCs w:val="32"/>
        </w:rPr>
        <w:t xml:space="preserve"> Although none of the industry groups has a load impact that reaches 1 MWh/hour, </w:t>
      </w:r>
      <w:r w:rsidR="008874EF">
        <w:rPr>
          <w:szCs w:val="32"/>
        </w:rPr>
        <w:t>the M</w:t>
      </w:r>
      <w:r w:rsidR="00F92220">
        <w:rPr>
          <w:szCs w:val="32"/>
        </w:rPr>
        <w:t xml:space="preserve">anufacturing </w:t>
      </w:r>
      <w:r w:rsidR="008874EF">
        <w:rPr>
          <w:szCs w:val="32"/>
        </w:rPr>
        <w:t xml:space="preserve">group </w:t>
      </w:r>
      <w:r w:rsidR="00F92220">
        <w:rPr>
          <w:szCs w:val="32"/>
        </w:rPr>
        <w:t>has the highest magnitude load impact</w:t>
      </w:r>
      <w:r>
        <w:rPr>
          <w:szCs w:val="32"/>
        </w:rPr>
        <w:t xml:space="preserve"> </w:t>
      </w:r>
      <w:r w:rsidR="008874EF">
        <w:rPr>
          <w:szCs w:val="32"/>
        </w:rPr>
        <w:t>in level and percentage terms (</w:t>
      </w:r>
      <w:r w:rsidR="00F92220">
        <w:rPr>
          <w:szCs w:val="32"/>
        </w:rPr>
        <w:t>0.3 MWh/hour and 2.3 percent</w:t>
      </w:r>
      <w:r w:rsidR="008874EF">
        <w:rPr>
          <w:szCs w:val="32"/>
        </w:rPr>
        <w:t>)</w:t>
      </w:r>
      <w:r w:rsidR="00F92220">
        <w:rPr>
          <w:szCs w:val="32"/>
        </w:rPr>
        <w:t xml:space="preserve">. </w:t>
      </w:r>
      <w:r w:rsidR="00F92220">
        <w:rPr>
          <w:szCs w:val="32"/>
        </w:rPr>
        <w:fldChar w:fldCharType="begin"/>
      </w:r>
      <w:r w:rsidR="00F92220">
        <w:rPr>
          <w:szCs w:val="32"/>
        </w:rPr>
        <w:instrText xml:space="preserve"> REF _Ref507075288 \h </w:instrText>
      </w:r>
      <w:r w:rsidR="00F92220">
        <w:rPr>
          <w:szCs w:val="32"/>
        </w:rPr>
      </w:r>
      <w:r w:rsidR="00F92220">
        <w:rPr>
          <w:szCs w:val="32"/>
        </w:rPr>
        <w:fldChar w:fldCharType="separate"/>
      </w:r>
      <w:r w:rsidR="005D5C7C">
        <w:t xml:space="preserve">Figure </w:t>
      </w:r>
      <w:r w:rsidR="005D5C7C">
        <w:rPr>
          <w:noProof/>
        </w:rPr>
        <w:t>4</w:t>
      </w:r>
      <w:r w:rsidR="005D5C7C">
        <w:t>.</w:t>
      </w:r>
      <w:r w:rsidR="005D5C7C">
        <w:rPr>
          <w:noProof/>
        </w:rPr>
        <w:t>8</w:t>
      </w:r>
      <w:r w:rsidR="00F92220">
        <w:rPr>
          <w:szCs w:val="32"/>
        </w:rPr>
        <w:fldChar w:fldCharType="end"/>
      </w:r>
      <w:r w:rsidR="00F92220">
        <w:rPr>
          <w:szCs w:val="32"/>
        </w:rPr>
        <w:t xml:space="preserve"> shows the shares of enrollments, reference loads, and load impacts by industry group. </w:t>
      </w:r>
      <w:r w:rsidR="008874EF">
        <w:rPr>
          <w:szCs w:val="32"/>
        </w:rPr>
        <w:t>The</w:t>
      </w:r>
      <w:r w:rsidR="00EC6012">
        <w:rPr>
          <w:szCs w:val="32"/>
        </w:rPr>
        <w:t xml:space="preserve"> load impacts</w:t>
      </w:r>
      <w:r w:rsidR="001973DB">
        <w:rPr>
          <w:szCs w:val="32"/>
        </w:rPr>
        <w:t xml:space="preserve"> are concentrated in Manufacturing, which realizes almost 40 percent of the total load impact representing only 18 percent of enrolled customers and reference loads</w:t>
      </w:r>
      <w:r>
        <w:rPr>
          <w:szCs w:val="32"/>
        </w:rPr>
        <w:t xml:space="preserve">. </w:t>
      </w:r>
      <w:r w:rsidR="001973DB">
        <w:rPr>
          <w:szCs w:val="32"/>
        </w:rPr>
        <w:t>Wholesale, Transportation &amp; Other Utilities</w:t>
      </w:r>
      <w:r w:rsidR="00F92220">
        <w:rPr>
          <w:szCs w:val="32"/>
        </w:rPr>
        <w:t>, with a</w:t>
      </w:r>
      <w:r w:rsidR="001973DB">
        <w:rPr>
          <w:szCs w:val="32"/>
        </w:rPr>
        <w:t xml:space="preserve"> load impact of 0.</w:t>
      </w:r>
      <w:r w:rsidR="00F92220">
        <w:rPr>
          <w:szCs w:val="32"/>
        </w:rPr>
        <w:t>2</w:t>
      </w:r>
      <w:r w:rsidR="001973DB">
        <w:rPr>
          <w:szCs w:val="32"/>
        </w:rPr>
        <w:t xml:space="preserve"> </w:t>
      </w:r>
      <w:r w:rsidR="006A34B7">
        <w:rPr>
          <w:szCs w:val="32"/>
        </w:rPr>
        <w:t>MWh/hour (1.7 percent of reference load)</w:t>
      </w:r>
      <w:r w:rsidR="001973DB">
        <w:rPr>
          <w:szCs w:val="32"/>
        </w:rPr>
        <w:t xml:space="preserve">, </w:t>
      </w:r>
      <w:r w:rsidR="00F92220">
        <w:rPr>
          <w:szCs w:val="32"/>
        </w:rPr>
        <w:t>is</w:t>
      </w:r>
      <w:r w:rsidR="001973DB">
        <w:rPr>
          <w:szCs w:val="32"/>
        </w:rPr>
        <w:t xml:space="preserve"> the only </w:t>
      </w:r>
      <w:r w:rsidR="00F92220">
        <w:rPr>
          <w:szCs w:val="32"/>
        </w:rPr>
        <w:t>i</w:t>
      </w:r>
      <w:r w:rsidR="001973DB">
        <w:rPr>
          <w:szCs w:val="32"/>
        </w:rPr>
        <w:t>ndustr</w:t>
      </w:r>
      <w:r w:rsidR="00F92220">
        <w:rPr>
          <w:szCs w:val="32"/>
        </w:rPr>
        <w:t>y group next to Manufacturing</w:t>
      </w:r>
      <w:r w:rsidR="001973DB">
        <w:rPr>
          <w:szCs w:val="32"/>
        </w:rPr>
        <w:t xml:space="preserve"> that ha</w:t>
      </w:r>
      <w:r w:rsidR="00F92220">
        <w:rPr>
          <w:szCs w:val="32"/>
        </w:rPr>
        <w:t>s</w:t>
      </w:r>
      <w:r w:rsidR="001973DB">
        <w:rPr>
          <w:szCs w:val="32"/>
        </w:rPr>
        <w:t xml:space="preserve"> a higher share of load impact</w:t>
      </w:r>
      <w:r w:rsidR="00602AB9">
        <w:rPr>
          <w:szCs w:val="32"/>
        </w:rPr>
        <w:t xml:space="preserve">s than of </w:t>
      </w:r>
      <w:r w:rsidR="001973DB">
        <w:rPr>
          <w:szCs w:val="32"/>
        </w:rPr>
        <w:t xml:space="preserve">enrollments and reference loads. </w:t>
      </w:r>
    </w:p>
    <w:p w14:paraId="4A26D791" w14:textId="07DEBBFC" w:rsidR="00884B12" w:rsidRDefault="00884B12" w:rsidP="00CB13E9">
      <w:pPr>
        <w:spacing w:after="120"/>
        <w:rPr>
          <w:szCs w:val="32"/>
        </w:rPr>
      </w:pPr>
    </w:p>
    <w:p w14:paraId="06DE72C4" w14:textId="1EC0FB86" w:rsidR="00CB3B06" w:rsidRDefault="00CB3B06" w:rsidP="00CB13E9">
      <w:pPr>
        <w:spacing w:after="120"/>
        <w:rPr>
          <w:szCs w:val="32"/>
        </w:rPr>
      </w:pPr>
    </w:p>
    <w:p w14:paraId="76CD3B8B" w14:textId="5869BF10" w:rsidR="00A66A92" w:rsidRDefault="00A66A92" w:rsidP="00A66A92">
      <w:pPr>
        <w:pStyle w:val="TableCaption"/>
      </w:pPr>
      <w:bookmarkStart w:id="305" w:name="_Ref507075271"/>
      <w:bookmarkStart w:id="306" w:name="_Toc509837391"/>
      <w:r>
        <w:lastRenderedPageBreak/>
        <w:t xml:space="preserve">Table </w:t>
      </w:r>
      <w:fldSimple w:instr=" STYLEREF 1 \s ">
        <w:r w:rsidR="005D5C7C">
          <w:rPr>
            <w:noProof/>
          </w:rPr>
          <w:t>4</w:t>
        </w:r>
      </w:fldSimple>
      <w:r w:rsidR="0069714C">
        <w:t>.</w:t>
      </w:r>
      <w:fldSimple w:instr=" SEQ Table \* ARABIC \s 1 ">
        <w:r w:rsidR="005D5C7C">
          <w:rPr>
            <w:noProof/>
          </w:rPr>
          <w:t>8</w:t>
        </w:r>
      </w:fldSimple>
      <w:bookmarkEnd w:id="305"/>
      <w:r>
        <w:t>:</w:t>
      </w:r>
      <w:r w:rsidRPr="00A66A92">
        <w:t xml:space="preserve"> </w:t>
      </w:r>
      <w:r>
        <w:t>Typical Event Day Load Impacts b</w:t>
      </w:r>
      <w:r w:rsidRPr="006C0719">
        <w:t xml:space="preserve">y Industry Group, </w:t>
      </w:r>
      <w:r w:rsidRPr="000617A8">
        <w:rPr>
          <w:i/>
        </w:rPr>
        <w:t>SCE</w:t>
      </w:r>
      <w:r>
        <w:rPr>
          <w:i/>
        </w:rPr>
        <w:t xml:space="preserve"> SMB</w:t>
      </w:r>
      <w:bookmarkEnd w:id="30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0"/>
        <w:gridCol w:w="1170"/>
        <w:gridCol w:w="1371"/>
        <w:gridCol w:w="1350"/>
        <w:gridCol w:w="1350"/>
        <w:gridCol w:w="921"/>
      </w:tblGrid>
      <w:tr w:rsidR="00A66A92" w14:paraId="3F19C22B" w14:textId="77777777" w:rsidTr="001845CE">
        <w:trPr>
          <w:jc w:val="center"/>
        </w:trPr>
        <w:tc>
          <w:tcPr>
            <w:tcW w:w="2160" w:type="dxa"/>
            <w:tcBorders>
              <w:right w:val="single" w:sz="4" w:space="0" w:color="FFFFFF" w:themeColor="background1"/>
            </w:tcBorders>
            <w:shd w:val="clear" w:color="auto" w:fill="0C2577"/>
            <w:vAlign w:val="center"/>
          </w:tcPr>
          <w:p w14:paraId="01CEB27D" w14:textId="77777777" w:rsidR="00A66A92" w:rsidRPr="007E0A27" w:rsidRDefault="00A66A92" w:rsidP="00A66A92">
            <w:pPr>
              <w:keepNext/>
              <w:keepLines/>
              <w:jc w:val="center"/>
              <w:rPr>
                <w:rFonts w:ascii="Arial" w:hAnsi="Arial" w:cs="Arial"/>
                <w:b/>
                <w:sz w:val="20"/>
                <w:szCs w:val="20"/>
              </w:rPr>
            </w:pPr>
            <w:r w:rsidRPr="007E0A27">
              <w:rPr>
                <w:rFonts w:ascii="Arial" w:hAnsi="Arial" w:cs="Arial"/>
                <w:b/>
                <w:sz w:val="20"/>
                <w:szCs w:val="20"/>
              </w:rPr>
              <w:t>Industry Group</w:t>
            </w:r>
          </w:p>
        </w:tc>
        <w:tc>
          <w:tcPr>
            <w:tcW w:w="1170" w:type="dxa"/>
            <w:tcBorders>
              <w:left w:val="single" w:sz="4" w:space="0" w:color="FFFFFF" w:themeColor="background1"/>
              <w:right w:val="single" w:sz="4" w:space="0" w:color="FFFFFF" w:themeColor="background1"/>
            </w:tcBorders>
            <w:shd w:val="clear" w:color="auto" w:fill="0C2577"/>
            <w:vAlign w:val="center"/>
          </w:tcPr>
          <w:p w14:paraId="71A22433" w14:textId="77777777" w:rsidR="00A66A92" w:rsidRPr="007E0A27" w:rsidRDefault="00A66A92" w:rsidP="00A66A92">
            <w:pPr>
              <w:keepNext/>
              <w:keepLines/>
              <w:jc w:val="center"/>
              <w:rPr>
                <w:rFonts w:ascii="Arial" w:hAnsi="Arial" w:cs="Arial"/>
                <w:b/>
                <w:sz w:val="20"/>
                <w:szCs w:val="20"/>
              </w:rPr>
            </w:pPr>
            <w:r>
              <w:rPr>
                <w:rFonts w:ascii="Arial" w:hAnsi="Arial" w:cs="Arial"/>
                <w:b/>
                <w:sz w:val="20"/>
                <w:szCs w:val="20"/>
              </w:rPr>
              <w:t># of Service Accounts</w:t>
            </w:r>
          </w:p>
        </w:tc>
        <w:tc>
          <w:tcPr>
            <w:tcW w:w="1371" w:type="dxa"/>
            <w:tcBorders>
              <w:left w:val="single" w:sz="4" w:space="0" w:color="FFFFFF" w:themeColor="background1"/>
              <w:right w:val="single" w:sz="4" w:space="0" w:color="FFFFFF" w:themeColor="background1"/>
            </w:tcBorders>
            <w:shd w:val="clear" w:color="auto" w:fill="0C2577"/>
            <w:vAlign w:val="center"/>
          </w:tcPr>
          <w:p w14:paraId="74539A9C" w14:textId="2CB09FD8" w:rsidR="00A66A92" w:rsidRPr="007E0A27" w:rsidRDefault="00A66A92" w:rsidP="00A66A92">
            <w:pPr>
              <w:keepNext/>
              <w:keepLines/>
              <w:jc w:val="center"/>
              <w:rPr>
                <w:rFonts w:ascii="Arial" w:hAnsi="Arial" w:cs="Arial"/>
                <w:b/>
                <w:sz w:val="20"/>
                <w:szCs w:val="20"/>
              </w:rPr>
            </w:pPr>
            <w:r w:rsidRPr="007E0A27">
              <w:rPr>
                <w:rFonts w:ascii="Arial" w:hAnsi="Arial" w:cs="Arial"/>
                <w:b/>
                <w:sz w:val="20"/>
                <w:szCs w:val="20"/>
              </w:rPr>
              <w:t>Estimated Reference Load (MW</w:t>
            </w:r>
            <w:r w:rsidR="001845CE">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465F3A99" w14:textId="5F30D5EF" w:rsidR="00A66A92" w:rsidRPr="007E0A27" w:rsidRDefault="00A66A92" w:rsidP="00A66A92">
            <w:pPr>
              <w:keepNext/>
              <w:keepLines/>
              <w:jc w:val="center"/>
              <w:rPr>
                <w:rFonts w:ascii="Arial" w:hAnsi="Arial" w:cs="Arial"/>
                <w:b/>
                <w:sz w:val="20"/>
                <w:szCs w:val="20"/>
              </w:rPr>
            </w:pPr>
            <w:r w:rsidRPr="007E0A27">
              <w:rPr>
                <w:rFonts w:ascii="Arial" w:hAnsi="Arial" w:cs="Arial"/>
                <w:b/>
                <w:sz w:val="20"/>
                <w:szCs w:val="20"/>
              </w:rPr>
              <w:t>Observed Load (MW</w:t>
            </w:r>
            <w:r w:rsidR="001845CE">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4E57D706" w14:textId="237E677F" w:rsidR="00A66A92" w:rsidRPr="007E0A27" w:rsidRDefault="00A66A92" w:rsidP="00A66A92">
            <w:pPr>
              <w:keepNext/>
              <w:keepLines/>
              <w:jc w:val="center"/>
              <w:rPr>
                <w:rFonts w:ascii="Arial" w:hAnsi="Arial" w:cs="Arial"/>
                <w:b/>
                <w:sz w:val="20"/>
                <w:szCs w:val="20"/>
              </w:rPr>
            </w:pPr>
            <w:r w:rsidRPr="007E0A27">
              <w:rPr>
                <w:rFonts w:ascii="Arial" w:hAnsi="Arial" w:cs="Arial"/>
                <w:b/>
                <w:sz w:val="20"/>
                <w:szCs w:val="20"/>
              </w:rPr>
              <w:t>Estimated Load Impact (MW</w:t>
            </w:r>
            <w:r w:rsidR="001845CE">
              <w:rPr>
                <w:rFonts w:ascii="Arial" w:hAnsi="Arial" w:cs="Arial"/>
                <w:b/>
                <w:sz w:val="20"/>
                <w:szCs w:val="20"/>
              </w:rPr>
              <w:t>h/hour</w:t>
            </w:r>
            <w:r w:rsidRPr="007E0A27">
              <w:rPr>
                <w:rFonts w:ascii="Arial" w:hAnsi="Arial" w:cs="Arial"/>
                <w:b/>
                <w:sz w:val="20"/>
                <w:szCs w:val="20"/>
              </w:rPr>
              <w:t>)</w:t>
            </w:r>
          </w:p>
        </w:tc>
        <w:tc>
          <w:tcPr>
            <w:tcW w:w="921" w:type="dxa"/>
            <w:tcBorders>
              <w:left w:val="single" w:sz="4" w:space="0" w:color="FFFFFF" w:themeColor="background1"/>
            </w:tcBorders>
            <w:shd w:val="clear" w:color="auto" w:fill="0C2577"/>
            <w:vAlign w:val="center"/>
          </w:tcPr>
          <w:p w14:paraId="1AE0DA0C" w14:textId="77777777" w:rsidR="00A66A92" w:rsidRPr="007E0A27" w:rsidRDefault="00A66A92" w:rsidP="00A66A92">
            <w:pPr>
              <w:keepNext/>
              <w:keepLines/>
              <w:jc w:val="center"/>
              <w:rPr>
                <w:rFonts w:ascii="Arial" w:hAnsi="Arial" w:cs="Arial"/>
                <w:b/>
                <w:sz w:val="20"/>
                <w:szCs w:val="20"/>
              </w:rPr>
            </w:pPr>
            <w:r w:rsidRPr="007E0A27">
              <w:rPr>
                <w:rFonts w:ascii="Arial" w:hAnsi="Arial" w:cs="Arial"/>
                <w:b/>
                <w:sz w:val="20"/>
                <w:szCs w:val="20"/>
              </w:rPr>
              <w:t>% LI</w:t>
            </w:r>
          </w:p>
        </w:tc>
      </w:tr>
      <w:tr w:rsidR="001D6C47" w14:paraId="11460F34" w14:textId="77777777" w:rsidTr="002F0A89">
        <w:trPr>
          <w:jc w:val="center"/>
        </w:trPr>
        <w:tc>
          <w:tcPr>
            <w:tcW w:w="2160" w:type="dxa"/>
            <w:vAlign w:val="center"/>
          </w:tcPr>
          <w:p w14:paraId="5A3AD438"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Agriculture, Mining, &amp; Construction</w:t>
            </w:r>
          </w:p>
        </w:tc>
        <w:tc>
          <w:tcPr>
            <w:tcW w:w="1170" w:type="dxa"/>
            <w:shd w:val="clear" w:color="auto" w:fill="000000" w:themeFill="text1"/>
            <w:vAlign w:val="center"/>
          </w:tcPr>
          <w:p w14:paraId="1DEC5810" w14:textId="78321D0C" w:rsidR="001D6C47" w:rsidRPr="000547DF" w:rsidRDefault="001D6C47" w:rsidP="001D6C47">
            <w:pPr>
              <w:jc w:val="right"/>
              <w:rPr>
                <w:rFonts w:ascii="Arial" w:hAnsi="Arial" w:cs="Arial"/>
                <w:sz w:val="20"/>
                <w:szCs w:val="20"/>
              </w:rPr>
            </w:pPr>
          </w:p>
        </w:tc>
        <w:tc>
          <w:tcPr>
            <w:tcW w:w="1371" w:type="dxa"/>
            <w:shd w:val="clear" w:color="auto" w:fill="000000" w:themeFill="text1"/>
            <w:vAlign w:val="center"/>
          </w:tcPr>
          <w:p w14:paraId="0EFB30FC" w14:textId="1C2FFE0E" w:rsidR="001D6C47" w:rsidRPr="000547DF" w:rsidRDefault="001D6C47" w:rsidP="001D6C47">
            <w:pPr>
              <w:jc w:val="right"/>
              <w:rPr>
                <w:rFonts w:ascii="Arial" w:hAnsi="Arial" w:cs="Arial"/>
                <w:sz w:val="20"/>
                <w:szCs w:val="20"/>
              </w:rPr>
            </w:pPr>
          </w:p>
        </w:tc>
        <w:tc>
          <w:tcPr>
            <w:tcW w:w="1350" w:type="dxa"/>
            <w:shd w:val="clear" w:color="auto" w:fill="000000" w:themeFill="text1"/>
            <w:vAlign w:val="center"/>
          </w:tcPr>
          <w:p w14:paraId="5592FED9" w14:textId="76259E1F" w:rsidR="001D6C47" w:rsidRPr="000547DF" w:rsidRDefault="001D6C47" w:rsidP="001D6C47">
            <w:pPr>
              <w:jc w:val="right"/>
              <w:rPr>
                <w:rFonts w:ascii="Arial" w:hAnsi="Arial" w:cs="Arial"/>
                <w:sz w:val="20"/>
                <w:szCs w:val="20"/>
              </w:rPr>
            </w:pPr>
          </w:p>
        </w:tc>
        <w:tc>
          <w:tcPr>
            <w:tcW w:w="1350" w:type="dxa"/>
            <w:shd w:val="clear" w:color="auto" w:fill="000000" w:themeFill="text1"/>
            <w:vAlign w:val="center"/>
          </w:tcPr>
          <w:p w14:paraId="0347B9BB" w14:textId="21D7FD85" w:rsidR="001D6C47" w:rsidRPr="000547DF" w:rsidRDefault="001D6C47" w:rsidP="001D6C47">
            <w:pPr>
              <w:jc w:val="right"/>
              <w:rPr>
                <w:rFonts w:ascii="Arial" w:hAnsi="Arial" w:cs="Arial"/>
                <w:sz w:val="20"/>
                <w:szCs w:val="20"/>
              </w:rPr>
            </w:pPr>
          </w:p>
        </w:tc>
        <w:tc>
          <w:tcPr>
            <w:tcW w:w="921" w:type="dxa"/>
            <w:shd w:val="clear" w:color="auto" w:fill="000000" w:themeFill="text1"/>
            <w:vAlign w:val="center"/>
          </w:tcPr>
          <w:p w14:paraId="71ACE7D0" w14:textId="3962E42A" w:rsidR="001D6C47" w:rsidRPr="000547DF" w:rsidRDefault="001D6C47" w:rsidP="001D6C47">
            <w:pPr>
              <w:jc w:val="right"/>
              <w:rPr>
                <w:rFonts w:ascii="Arial" w:hAnsi="Arial" w:cs="Arial"/>
                <w:sz w:val="20"/>
                <w:szCs w:val="20"/>
              </w:rPr>
            </w:pPr>
          </w:p>
        </w:tc>
      </w:tr>
      <w:tr w:rsidR="001D6C47" w14:paraId="26CACE1A" w14:textId="77777777" w:rsidTr="000D4B4C">
        <w:trPr>
          <w:jc w:val="center"/>
        </w:trPr>
        <w:tc>
          <w:tcPr>
            <w:tcW w:w="2160" w:type="dxa"/>
            <w:vAlign w:val="center"/>
          </w:tcPr>
          <w:p w14:paraId="47C1F304"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Manufacturing</w:t>
            </w:r>
          </w:p>
        </w:tc>
        <w:tc>
          <w:tcPr>
            <w:tcW w:w="1170" w:type="dxa"/>
            <w:shd w:val="clear" w:color="auto" w:fill="auto"/>
            <w:vAlign w:val="center"/>
          </w:tcPr>
          <w:p w14:paraId="7694B1F9" w14:textId="6E006763" w:rsidR="001D6C47" w:rsidRPr="000547DF" w:rsidRDefault="001D6C47" w:rsidP="001D6C47">
            <w:pPr>
              <w:jc w:val="right"/>
              <w:rPr>
                <w:rFonts w:ascii="Arial" w:hAnsi="Arial" w:cs="Arial"/>
                <w:sz w:val="20"/>
                <w:szCs w:val="20"/>
              </w:rPr>
            </w:pPr>
            <w:r w:rsidRPr="0047584F">
              <w:rPr>
                <w:rFonts w:ascii="Arial" w:hAnsi="Arial" w:cs="Arial"/>
                <w:sz w:val="20"/>
                <w:szCs w:val="20"/>
              </w:rPr>
              <w:t xml:space="preserve">144 </w:t>
            </w:r>
          </w:p>
        </w:tc>
        <w:tc>
          <w:tcPr>
            <w:tcW w:w="1371" w:type="dxa"/>
            <w:shd w:val="clear" w:color="auto" w:fill="auto"/>
            <w:vAlign w:val="center"/>
          </w:tcPr>
          <w:p w14:paraId="417C8F46" w14:textId="14A4162C" w:rsidR="001D6C47" w:rsidRPr="000547DF" w:rsidRDefault="001D6C47" w:rsidP="001D6C47">
            <w:pPr>
              <w:jc w:val="right"/>
              <w:rPr>
                <w:rFonts w:ascii="Arial" w:hAnsi="Arial" w:cs="Arial"/>
                <w:sz w:val="20"/>
                <w:szCs w:val="20"/>
              </w:rPr>
            </w:pPr>
            <w:r w:rsidRPr="0047584F">
              <w:rPr>
                <w:rFonts w:ascii="Arial" w:hAnsi="Arial" w:cs="Arial"/>
                <w:sz w:val="20"/>
                <w:szCs w:val="20"/>
              </w:rPr>
              <w:t>11.6</w:t>
            </w:r>
          </w:p>
        </w:tc>
        <w:tc>
          <w:tcPr>
            <w:tcW w:w="1350" w:type="dxa"/>
            <w:shd w:val="clear" w:color="auto" w:fill="auto"/>
            <w:vAlign w:val="center"/>
          </w:tcPr>
          <w:p w14:paraId="629146F8" w14:textId="10842EFC" w:rsidR="001D6C47" w:rsidRPr="000547DF" w:rsidRDefault="001D6C47" w:rsidP="001D6C47">
            <w:pPr>
              <w:jc w:val="right"/>
              <w:rPr>
                <w:rFonts w:ascii="Arial" w:hAnsi="Arial" w:cs="Arial"/>
                <w:sz w:val="20"/>
                <w:szCs w:val="20"/>
              </w:rPr>
            </w:pPr>
            <w:r w:rsidRPr="0047584F">
              <w:rPr>
                <w:rFonts w:ascii="Arial" w:hAnsi="Arial" w:cs="Arial"/>
                <w:sz w:val="20"/>
                <w:szCs w:val="20"/>
              </w:rPr>
              <w:t>11.4</w:t>
            </w:r>
          </w:p>
        </w:tc>
        <w:tc>
          <w:tcPr>
            <w:tcW w:w="1350" w:type="dxa"/>
            <w:shd w:val="clear" w:color="auto" w:fill="auto"/>
            <w:vAlign w:val="center"/>
          </w:tcPr>
          <w:p w14:paraId="7A5C906D" w14:textId="58D3DBF9" w:rsidR="001D6C47" w:rsidRPr="000547DF" w:rsidRDefault="001D6C47" w:rsidP="001D6C47">
            <w:pPr>
              <w:jc w:val="right"/>
              <w:rPr>
                <w:rFonts w:ascii="Arial" w:hAnsi="Arial" w:cs="Arial"/>
                <w:sz w:val="20"/>
                <w:szCs w:val="20"/>
              </w:rPr>
            </w:pPr>
            <w:r w:rsidRPr="0047584F">
              <w:rPr>
                <w:rFonts w:ascii="Arial" w:hAnsi="Arial" w:cs="Arial"/>
                <w:sz w:val="20"/>
                <w:szCs w:val="20"/>
              </w:rPr>
              <w:t>0.3</w:t>
            </w:r>
          </w:p>
        </w:tc>
        <w:tc>
          <w:tcPr>
            <w:tcW w:w="921" w:type="dxa"/>
            <w:shd w:val="clear" w:color="auto" w:fill="auto"/>
            <w:vAlign w:val="center"/>
          </w:tcPr>
          <w:p w14:paraId="4C1D9ADC" w14:textId="7BE0DB47" w:rsidR="001D6C47" w:rsidRPr="000547DF" w:rsidRDefault="001D6C47" w:rsidP="001D6C47">
            <w:pPr>
              <w:jc w:val="right"/>
              <w:rPr>
                <w:rFonts w:ascii="Arial" w:hAnsi="Arial" w:cs="Arial"/>
                <w:sz w:val="20"/>
                <w:szCs w:val="20"/>
              </w:rPr>
            </w:pPr>
            <w:r w:rsidRPr="0047584F">
              <w:rPr>
                <w:rFonts w:ascii="Arial" w:hAnsi="Arial" w:cs="Arial"/>
                <w:sz w:val="20"/>
                <w:szCs w:val="20"/>
              </w:rPr>
              <w:t>2.3%</w:t>
            </w:r>
          </w:p>
        </w:tc>
      </w:tr>
      <w:tr w:rsidR="001D6C47" w14:paraId="2DEEA0CB" w14:textId="77777777" w:rsidTr="000D4B4C">
        <w:trPr>
          <w:jc w:val="center"/>
        </w:trPr>
        <w:tc>
          <w:tcPr>
            <w:tcW w:w="2160" w:type="dxa"/>
            <w:vAlign w:val="center"/>
          </w:tcPr>
          <w:p w14:paraId="4D518FAA"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Wholesale, Transportation, &amp; Other Utilities</w:t>
            </w:r>
          </w:p>
        </w:tc>
        <w:tc>
          <w:tcPr>
            <w:tcW w:w="1170" w:type="dxa"/>
            <w:shd w:val="clear" w:color="auto" w:fill="auto"/>
            <w:vAlign w:val="center"/>
          </w:tcPr>
          <w:p w14:paraId="4D014CE4" w14:textId="1C7E91AF" w:rsidR="001D6C47" w:rsidRPr="000547DF" w:rsidRDefault="001D6C47" w:rsidP="001D6C47">
            <w:pPr>
              <w:jc w:val="right"/>
              <w:rPr>
                <w:rFonts w:ascii="Arial" w:hAnsi="Arial" w:cs="Arial"/>
                <w:sz w:val="20"/>
                <w:szCs w:val="20"/>
              </w:rPr>
            </w:pPr>
            <w:r w:rsidRPr="0047584F">
              <w:rPr>
                <w:rFonts w:ascii="Arial" w:hAnsi="Arial" w:cs="Arial"/>
                <w:sz w:val="20"/>
                <w:szCs w:val="20"/>
              </w:rPr>
              <w:t xml:space="preserve">176 </w:t>
            </w:r>
          </w:p>
        </w:tc>
        <w:tc>
          <w:tcPr>
            <w:tcW w:w="1371" w:type="dxa"/>
            <w:shd w:val="clear" w:color="auto" w:fill="auto"/>
            <w:vAlign w:val="center"/>
          </w:tcPr>
          <w:p w14:paraId="45EFA264" w14:textId="3FC4EB46" w:rsidR="001D6C47" w:rsidRPr="000547DF" w:rsidRDefault="001D6C47" w:rsidP="001D6C47">
            <w:pPr>
              <w:jc w:val="right"/>
              <w:rPr>
                <w:rFonts w:ascii="Arial" w:hAnsi="Arial" w:cs="Arial"/>
                <w:sz w:val="20"/>
                <w:szCs w:val="20"/>
              </w:rPr>
            </w:pPr>
            <w:r w:rsidRPr="0047584F">
              <w:rPr>
                <w:rFonts w:ascii="Arial" w:hAnsi="Arial" w:cs="Arial"/>
                <w:sz w:val="20"/>
                <w:szCs w:val="20"/>
              </w:rPr>
              <w:t>9.7</w:t>
            </w:r>
          </w:p>
        </w:tc>
        <w:tc>
          <w:tcPr>
            <w:tcW w:w="1350" w:type="dxa"/>
            <w:shd w:val="clear" w:color="auto" w:fill="auto"/>
            <w:vAlign w:val="center"/>
          </w:tcPr>
          <w:p w14:paraId="1535AED2" w14:textId="3027574B" w:rsidR="001D6C47" w:rsidRPr="000547DF" w:rsidRDefault="001D6C47" w:rsidP="001D6C47">
            <w:pPr>
              <w:jc w:val="right"/>
              <w:rPr>
                <w:rFonts w:ascii="Arial" w:hAnsi="Arial" w:cs="Arial"/>
                <w:sz w:val="20"/>
                <w:szCs w:val="20"/>
              </w:rPr>
            </w:pPr>
            <w:r w:rsidRPr="0047584F">
              <w:rPr>
                <w:rFonts w:ascii="Arial" w:hAnsi="Arial" w:cs="Arial"/>
                <w:sz w:val="20"/>
                <w:szCs w:val="20"/>
              </w:rPr>
              <w:t>9.5</w:t>
            </w:r>
          </w:p>
        </w:tc>
        <w:tc>
          <w:tcPr>
            <w:tcW w:w="1350" w:type="dxa"/>
            <w:shd w:val="clear" w:color="auto" w:fill="auto"/>
            <w:vAlign w:val="center"/>
          </w:tcPr>
          <w:p w14:paraId="4780759F" w14:textId="47D7A47F" w:rsidR="001D6C47" w:rsidRPr="000547DF" w:rsidRDefault="001D6C47" w:rsidP="001D6C47">
            <w:pPr>
              <w:jc w:val="right"/>
              <w:rPr>
                <w:rFonts w:ascii="Arial" w:hAnsi="Arial" w:cs="Arial"/>
                <w:sz w:val="20"/>
                <w:szCs w:val="20"/>
              </w:rPr>
            </w:pPr>
            <w:r w:rsidRPr="0047584F">
              <w:rPr>
                <w:rFonts w:ascii="Arial" w:hAnsi="Arial" w:cs="Arial"/>
                <w:sz w:val="20"/>
                <w:szCs w:val="20"/>
              </w:rPr>
              <w:t>0.2</w:t>
            </w:r>
          </w:p>
        </w:tc>
        <w:tc>
          <w:tcPr>
            <w:tcW w:w="921" w:type="dxa"/>
            <w:shd w:val="clear" w:color="auto" w:fill="auto"/>
            <w:vAlign w:val="center"/>
          </w:tcPr>
          <w:p w14:paraId="262D2B9B" w14:textId="2837D903" w:rsidR="001D6C47" w:rsidRPr="000547DF" w:rsidRDefault="001D6C47" w:rsidP="001D6C47">
            <w:pPr>
              <w:jc w:val="right"/>
              <w:rPr>
                <w:rFonts w:ascii="Arial" w:hAnsi="Arial" w:cs="Arial"/>
                <w:sz w:val="20"/>
                <w:szCs w:val="20"/>
              </w:rPr>
            </w:pPr>
            <w:r w:rsidRPr="0047584F">
              <w:rPr>
                <w:rFonts w:ascii="Arial" w:hAnsi="Arial" w:cs="Arial"/>
                <w:sz w:val="20"/>
                <w:szCs w:val="20"/>
              </w:rPr>
              <w:t>1.7%</w:t>
            </w:r>
          </w:p>
        </w:tc>
      </w:tr>
      <w:tr w:rsidR="001D6C47" w14:paraId="20249408" w14:textId="77777777" w:rsidTr="000D4B4C">
        <w:trPr>
          <w:jc w:val="center"/>
        </w:trPr>
        <w:tc>
          <w:tcPr>
            <w:tcW w:w="2160" w:type="dxa"/>
            <w:vAlign w:val="center"/>
          </w:tcPr>
          <w:p w14:paraId="369B4A2A"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Retail Stores</w:t>
            </w:r>
          </w:p>
        </w:tc>
        <w:tc>
          <w:tcPr>
            <w:tcW w:w="1170" w:type="dxa"/>
            <w:shd w:val="clear" w:color="auto" w:fill="auto"/>
            <w:vAlign w:val="center"/>
          </w:tcPr>
          <w:p w14:paraId="7E78EC7E" w14:textId="1DA94127" w:rsidR="001D6C47" w:rsidRPr="000547DF" w:rsidRDefault="001D6C47" w:rsidP="001D6C47">
            <w:pPr>
              <w:jc w:val="right"/>
              <w:rPr>
                <w:rFonts w:ascii="Arial" w:hAnsi="Arial" w:cs="Arial"/>
                <w:sz w:val="20"/>
                <w:szCs w:val="20"/>
              </w:rPr>
            </w:pPr>
            <w:r w:rsidRPr="0047584F">
              <w:rPr>
                <w:rFonts w:ascii="Arial" w:hAnsi="Arial" w:cs="Arial"/>
                <w:sz w:val="20"/>
                <w:szCs w:val="20"/>
              </w:rPr>
              <w:t xml:space="preserve">91 </w:t>
            </w:r>
          </w:p>
        </w:tc>
        <w:tc>
          <w:tcPr>
            <w:tcW w:w="1371" w:type="dxa"/>
            <w:shd w:val="clear" w:color="auto" w:fill="auto"/>
            <w:vAlign w:val="center"/>
          </w:tcPr>
          <w:p w14:paraId="0015A9AB" w14:textId="731F742D" w:rsidR="001D6C47" w:rsidRPr="000547DF" w:rsidRDefault="001D6C47" w:rsidP="001D6C47">
            <w:pPr>
              <w:jc w:val="right"/>
              <w:rPr>
                <w:rFonts w:ascii="Arial" w:hAnsi="Arial" w:cs="Arial"/>
                <w:sz w:val="20"/>
                <w:szCs w:val="20"/>
              </w:rPr>
            </w:pPr>
            <w:r w:rsidRPr="0047584F">
              <w:rPr>
                <w:rFonts w:ascii="Arial" w:hAnsi="Arial" w:cs="Arial"/>
                <w:sz w:val="20"/>
                <w:szCs w:val="20"/>
              </w:rPr>
              <w:t>10.2</w:t>
            </w:r>
          </w:p>
        </w:tc>
        <w:tc>
          <w:tcPr>
            <w:tcW w:w="1350" w:type="dxa"/>
            <w:shd w:val="clear" w:color="auto" w:fill="auto"/>
            <w:vAlign w:val="center"/>
          </w:tcPr>
          <w:p w14:paraId="5A1ABD64" w14:textId="06277BDD" w:rsidR="001D6C47" w:rsidRPr="000547DF" w:rsidRDefault="001D6C47" w:rsidP="001D6C47">
            <w:pPr>
              <w:jc w:val="right"/>
              <w:rPr>
                <w:rFonts w:ascii="Arial" w:hAnsi="Arial" w:cs="Arial"/>
                <w:sz w:val="20"/>
                <w:szCs w:val="20"/>
              </w:rPr>
            </w:pPr>
            <w:r w:rsidRPr="0047584F">
              <w:rPr>
                <w:rFonts w:ascii="Arial" w:hAnsi="Arial" w:cs="Arial"/>
                <w:sz w:val="20"/>
                <w:szCs w:val="20"/>
              </w:rPr>
              <w:t>10.1</w:t>
            </w:r>
          </w:p>
        </w:tc>
        <w:tc>
          <w:tcPr>
            <w:tcW w:w="1350" w:type="dxa"/>
            <w:shd w:val="clear" w:color="auto" w:fill="auto"/>
            <w:vAlign w:val="center"/>
          </w:tcPr>
          <w:p w14:paraId="4EE08EFA" w14:textId="07DA280F" w:rsidR="001D6C47" w:rsidRPr="000547DF" w:rsidRDefault="001D6C47" w:rsidP="001D6C47">
            <w:pPr>
              <w:jc w:val="right"/>
              <w:rPr>
                <w:rFonts w:ascii="Arial" w:hAnsi="Arial" w:cs="Arial"/>
                <w:sz w:val="20"/>
                <w:szCs w:val="20"/>
              </w:rPr>
            </w:pPr>
            <w:r w:rsidRPr="0047584F">
              <w:rPr>
                <w:rFonts w:ascii="Arial" w:hAnsi="Arial" w:cs="Arial"/>
                <w:sz w:val="20"/>
                <w:szCs w:val="20"/>
              </w:rPr>
              <w:t>0.1</w:t>
            </w:r>
          </w:p>
        </w:tc>
        <w:tc>
          <w:tcPr>
            <w:tcW w:w="921" w:type="dxa"/>
            <w:shd w:val="clear" w:color="auto" w:fill="auto"/>
            <w:vAlign w:val="center"/>
          </w:tcPr>
          <w:p w14:paraId="17D9F8A5" w14:textId="390E0B43" w:rsidR="001D6C47" w:rsidRPr="000547DF" w:rsidRDefault="001D6C47" w:rsidP="001D6C47">
            <w:pPr>
              <w:jc w:val="right"/>
              <w:rPr>
                <w:rFonts w:ascii="Arial" w:hAnsi="Arial" w:cs="Arial"/>
                <w:sz w:val="20"/>
                <w:szCs w:val="20"/>
              </w:rPr>
            </w:pPr>
            <w:r w:rsidRPr="0047584F">
              <w:rPr>
                <w:rFonts w:ascii="Arial" w:hAnsi="Arial" w:cs="Arial"/>
                <w:sz w:val="20"/>
                <w:szCs w:val="20"/>
              </w:rPr>
              <w:t>0.8%</w:t>
            </w:r>
          </w:p>
        </w:tc>
      </w:tr>
      <w:tr w:rsidR="001D6C47" w14:paraId="2418B01F" w14:textId="77777777" w:rsidTr="000D4B4C">
        <w:trPr>
          <w:jc w:val="center"/>
        </w:trPr>
        <w:tc>
          <w:tcPr>
            <w:tcW w:w="2160" w:type="dxa"/>
            <w:vAlign w:val="center"/>
          </w:tcPr>
          <w:p w14:paraId="364FB253"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Offices, Hotels, Health, Services</w:t>
            </w:r>
          </w:p>
        </w:tc>
        <w:tc>
          <w:tcPr>
            <w:tcW w:w="1170" w:type="dxa"/>
            <w:shd w:val="clear" w:color="auto" w:fill="auto"/>
            <w:vAlign w:val="center"/>
          </w:tcPr>
          <w:p w14:paraId="2A78F591" w14:textId="36BE54C1" w:rsidR="001D6C47" w:rsidRPr="000547DF" w:rsidRDefault="001D6C47" w:rsidP="001D6C47">
            <w:pPr>
              <w:jc w:val="right"/>
              <w:rPr>
                <w:rFonts w:ascii="Arial" w:hAnsi="Arial" w:cs="Arial"/>
                <w:sz w:val="20"/>
                <w:szCs w:val="20"/>
              </w:rPr>
            </w:pPr>
            <w:r w:rsidRPr="0047584F">
              <w:rPr>
                <w:rFonts w:ascii="Arial" w:hAnsi="Arial" w:cs="Arial"/>
                <w:sz w:val="20"/>
                <w:szCs w:val="20"/>
              </w:rPr>
              <w:t xml:space="preserve">225 </w:t>
            </w:r>
          </w:p>
        </w:tc>
        <w:tc>
          <w:tcPr>
            <w:tcW w:w="1371" w:type="dxa"/>
            <w:shd w:val="clear" w:color="auto" w:fill="auto"/>
            <w:vAlign w:val="center"/>
          </w:tcPr>
          <w:p w14:paraId="7D71863A" w14:textId="58B69FCF" w:rsidR="001D6C47" w:rsidRPr="000547DF" w:rsidRDefault="001D6C47" w:rsidP="001D6C47">
            <w:pPr>
              <w:jc w:val="right"/>
              <w:rPr>
                <w:rFonts w:ascii="Arial" w:hAnsi="Arial" w:cs="Arial"/>
                <w:sz w:val="20"/>
                <w:szCs w:val="20"/>
              </w:rPr>
            </w:pPr>
            <w:r w:rsidRPr="0047584F">
              <w:rPr>
                <w:rFonts w:ascii="Arial" w:hAnsi="Arial" w:cs="Arial"/>
                <w:sz w:val="20"/>
                <w:szCs w:val="20"/>
              </w:rPr>
              <w:t>20.3</w:t>
            </w:r>
          </w:p>
        </w:tc>
        <w:tc>
          <w:tcPr>
            <w:tcW w:w="1350" w:type="dxa"/>
            <w:shd w:val="clear" w:color="auto" w:fill="auto"/>
            <w:vAlign w:val="center"/>
          </w:tcPr>
          <w:p w14:paraId="07375503" w14:textId="1D397921" w:rsidR="001D6C47" w:rsidRPr="000547DF" w:rsidRDefault="001D6C47" w:rsidP="001D6C47">
            <w:pPr>
              <w:jc w:val="right"/>
              <w:rPr>
                <w:rFonts w:ascii="Arial" w:hAnsi="Arial" w:cs="Arial"/>
                <w:sz w:val="20"/>
                <w:szCs w:val="20"/>
              </w:rPr>
            </w:pPr>
            <w:r w:rsidRPr="0047584F">
              <w:rPr>
                <w:rFonts w:ascii="Arial" w:hAnsi="Arial" w:cs="Arial"/>
                <w:sz w:val="20"/>
                <w:szCs w:val="20"/>
              </w:rPr>
              <w:t>20.1</w:t>
            </w:r>
          </w:p>
        </w:tc>
        <w:tc>
          <w:tcPr>
            <w:tcW w:w="1350" w:type="dxa"/>
            <w:shd w:val="clear" w:color="auto" w:fill="auto"/>
            <w:vAlign w:val="center"/>
          </w:tcPr>
          <w:p w14:paraId="70C503F7" w14:textId="38468436" w:rsidR="001D6C47" w:rsidRPr="000547DF" w:rsidRDefault="001D6C47" w:rsidP="001D6C47">
            <w:pPr>
              <w:jc w:val="right"/>
              <w:rPr>
                <w:rFonts w:ascii="Arial" w:hAnsi="Arial" w:cs="Arial"/>
                <w:sz w:val="20"/>
                <w:szCs w:val="20"/>
              </w:rPr>
            </w:pPr>
            <w:r w:rsidRPr="0047584F">
              <w:rPr>
                <w:rFonts w:ascii="Arial" w:hAnsi="Arial" w:cs="Arial"/>
                <w:sz w:val="20"/>
                <w:szCs w:val="20"/>
              </w:rPr>
              <w:t>0.2</w:t>
            </w:r>
          </w:p>
        </w:tc>
        <w:tc>
          <w:tcPr>
            <w:tcW w:w="921" w:type="dxa"/>
            <w:shd w:val="clear" w:color="auto" w:fill="auto"/>
            <w:vAlign w:val="center"/>
          </w:tcPr>
          <w:p w14:paraId="51361D8E" w14:textId="472C585E" w:rsidR="001D6C47" w:rsidRPr="000547DF" w:rsidRDefault="001D6C47" w:rsidP="001D6C47">
            <w:pPr>
              <w:jc w:val="right"/>
              <w:rPr>
                <w:rFonts w:ascii="Arial" w:hAnsi="Arial" w:cs="Arial"/>
                <w:sz w:val="20"/>
                <w:szCs w:val="20"/>
              </w:rPr>
            </w:pPr>
            <w:r w:rsidRPr="0047584F">
              <w:rPr>
                <w:rFonts w:ascii="Arial" w:hAnsi="Arial" w:cs="Arial"/>
                <w:sz w:val="20"/>
                <w:szCs w:val="20"/>
              </w:rPr>
              <w:t>0.8%</w:t>
            </w:r>
          </w:p>
        </w:tc>
      </w:tr>
      <w:tr w:rsidR="001D6C47" w14:paraId="60B52180" w14:textId="77777777" w:rsidTr="000D4B4C">
        <w:trPr>
          <w:jc w:val="center"/>
        </w:trPr>
        <w:tc>
          <w:tcPr>
            <w:tcW w:w="2160" w:type="dxa"/>
            <w:vAlign w:val="center"/>
          </w:tcPr>
          <w:p w14:paraId="62295F70"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Schools</w:t>
            </w:r>
          </w:p>
        </w:tc>
        <w:tc>
          <w:tcPr>
            <w:tcW w:w="1170" w:type="dxa"/>
            <w:shd w:val="clear" w:color="auto" w:fill="auto"/>
            <w:vAlign w:val="center"/>
          </w:tcPr>
          <w:p w14:paraId="683F4525" w14:textId="39EE2A34" w:rsidR="001D6C47" w:rsidRPr="000547DF" w:rsidRDefault="001D6C47" w:rsidP="001D6C47">
            <w:pPr>
              <w:jc w:val="right"/>
              <w:rPr>
                <w:rFonts w:ascii="Arial" w:hAnsi="Arial" w:cs="Arial"/>
                <w:sz w:val="20"/>
                <w:szCs w:val="20"/>
              </w:rPr>
            </w:pPr>
            <w:r w:rsidRPr="0047584F">
              <w:rPr>
                <w:rFonts w:ascii="Arial" w:hAnsi="Arial" w:cs="Arial"/>
                <w:sz w:val="20"/>
                <w:szCs w:val="20"/>
              </w:rPr>
              <w:t xml:space="preserve">51 </w:t>
            </w:r>
          </w:p>
        </w:tc>
        <w:tc>
          <w:tcPr>
            <w:tcW w:w="1371" w:type="dxa"/>
            <w:shd w:val="clear" w:color="auto" w:fill="auto"/>
            <w:vAlign w:val="center"/>
          </w:tcPr>
          <w:p w14:paraId="5E4C8723" w14:textId="28FBA5DE" w:rsidR="001D6C47" w:rsidRPr="000547DF" w:rsidRDefault="001D6C47" w:rsidP="001D6C47">
            <w:pPr>
              <w:jc w:val="right"/>
              <w:rPr>
                <w:rFonts w:ascii="Arial" w:hAnsi="Arial" w:cs="Arial"/>
                <w:sz w:val="20"/>
                <w:szCs w:val="20"/>
              </w:rPr>
            </w:pPr>
            <w:r w:rsidRPr="0047584F">
              <w:rPr>
                <w:rFonts w:ascii="Arial" w:hAnsi="Arial" w:cs="Arial"/>
                <w:sz w:val="20"/>
                <w:szCs w:val="20"/>
              </w:rPr>
              <w:t>3.2</w:t>
            </w:r>
          </w:p>
        </w:tc>
        <w:tc>
          <w:tcPr>
            <w:tcW w:w="1350" w:type="dxa"/>
            <w:shd w:val="clear" w:color="auto" w:fill="auto"/>
            <w:vAlign w:val="center"/>
          </w:tcPr>
          <w:p w14:paraId="38E93CBB" w14:textId="60254059" w:rsidR="001D6C47" w:rsidRPr="000547DF" w:rsidRDefault="001D6C47" w:rsidP="001D6C47">
            <w:pPr>
              <w:jc w:val="right"/>
              <w:rPr>
                <w:rFonts w:ascii="Arial" w:hAnsi="Arial" w:cs="Arial"/>
                <w:sz w:val="20"/>
                <w:szCs w:val="20"/>
              </w:rPr>
            </w:pPr>
            <w:r w:rsidRPr="0047584F">
              <w:rPr>
                <w:rFonts w:ascii="Arial" w:hAnsi="Arial" w:cs="Arial"/>
                <w:sz w:val="20"/>
                <w:szCs w:val="20"/>
              </w:rPr>
              <w:t>3.3</w:t>
            </w:r>
          </w:p>
        </w:tc>
        <w:tc>
          <w:tcPr>
            <w:tcW w:w="1350" w:type="dxa"/>
            <w:shd w:val="clear" w:color="auto" w:fill="auto"/>
            <w:vAlign w:val="center"/>
          </w:tcPr>
          <w:p w14:paraId="66CBA4CD" w14:textId="15586C99" w:rsidR="001D6C47" w:rsidRPr="000547DF" w:rsidRDefault="001D6C47" w:rsidP="001D6C47">
            <w:pPr>
              <w:jc w:val="right"/>
              <w:rPr>
                <w:rFonts w:ascii="Arial" w:hAnsi="Arial" w:cs="Arial"/>
                <w:sz w:val="20"/>
                <w:szCs w:val="20"/>
              </w:rPr>
            </w:pPr>
            <w:r w:rsidRPr="0047584F">
              <w:rPr>
                <w:rFonts w:ascii="Arial" w:hAnsi="Arial" w:cs="Arial"/>
                <w:sz w:val="20"/>
                <w:szCs w:val="20"/>
              </w:rPr>
              <w:t>-0.1</w:t>
            </w:r>
          </w:p>
        </w:tc>
        <w:tc>
          <w:tcPr>
            <w:tcW w:w="921" w:type="dxa"/>
            <w:shd w:val="clear" w:color="auto" w:fill="auto"/>
            <w:vAlign w:val="center"/>
          </w:tcPr>
          <w:p w14:paraId="2D7E48A1" w14:textId="5FDB70F0" w:rsidR="001D6C47" w:rsidRPr="000547DF" w:rsidRDefault="001D6C47" w:rsidP="001D6C47">
            <w:pPr>
              <w:jc w:val="right"/>
              <w:rPr>
                <w:rFonts w:ascii="Arial" w:hAnsi="Arial" w:cs="Arial"/>
                <w:sz w:val="20"/>
                <w:szCs w:val="20"/>
              </w:rPr>
            </w:pPr>
            <w:r w:rsidRPr="0047584F">
              <w:rPr>
                <w:rFonts w:ascii="Arial" w:hAnsi="Arial" w:cs="Arial"/>
                <w:sz w:val="20"/>
                <w:szCs w:val="20"/>
              </w:rPr>
              <w:t>-1.6%</w:t>
            </w:r>
          </w:p>
        </w:tc>
      </w:tr>
      <w:tr w:rsidR="001D6C47" w14:paraId="51288430" w14:textId="77777777" w:rsidTr="000D4B4C">
        <w:trPr>
          <w:jc w:val="center"/>
        </w:trPr>
        <w:tc>
          <w:tcPr>
            <w:tcW w:w="2160" w:type="dxa"/>
            <w:vAlign w:val="center"/>
          </w:tcPr>
          <w:p w14:paraId="1FD3239D" w14:textId="77777777" w:rsidR="001D6C47" w:rsidRPr="007E0A27" w:rsidRDefault="001D6C47" w:rsidP="001D6C47">
            <w:pPr>
              <w:keepNext/>
              <w:keepLines/>
              <w:rPr>
                <w:rFonts w:ascii="Arial" w:hAnsi="Arial" w:cs="Arial"/>
                <w:sz w:val="20"/>
                <w:szCs w:val="20"/>
              </w:rPr>
            </w:pPr>
            <w:r w:rsidRPr="007E0A27">
              <w:rPr>
                <w:rFonts w:ascii="Arial" w:hAnsi="Arial" w:cs="Arial"/>
                <w:sz w:val="20"/>
                <w:szCs w:val="20"/>
              </w:rPr>
              <w:t>Entertainment, Other Services, Government</w:t>
            </w:r>
          </w:p>
        </w:tc>
        <w:tc>
          <w:tcPr>
            <w:tcW w:w="1170" w:type="dxa"/>
            <w:shd w:val="clear" w:color="auto" w:fill="auto"/>
            <w:vAlign w:val="center"/>
          </w:tcPr>
          <w:p w14:paraId="0209F809" w14:textId="11E1632A" w:rsidR="001D6C47" w:rsidRPr="000547DF" w:rsidRDefault="001D6C47" w:rsidP="001D6C47">
            <w:pPr>
              <w:jc w:val="right"/>
              <w:rPr>
                <w:rFonts w:ascii="Arial" w:hAnsi="Arial" w:cs="Arial"/>
                <w:sz w:val="20"/>
                <w:szCs w:val="20"/>
              </w:rPr>
            </w:pPr>
            <w:r w:rsidRPr="0047584F">
              <w:rPr>
                <w:rFonts w:ascii="Arial" w:hAnsi="Arial" w:cs="Arial"/>
                <w:sz w:val="20"/>
                <w:szCs w:val="20"/>
              </w:rPr>
              <w:t xml:space="preserve">102 </w:t>
            </w:r>
          </w:p>
        </w:tc>
        <w:tc>
          <w:tcPr>
            <w:tcW w:w="1371" w:type="dxa"/>
            <w:shd w:val="clear" w:color="auto" w:fill="auto"/>
            <w:vAlign w:val="center"/>
          </w:tcPr>
          <w:p w14:paraId="537D1502" w14:textId="0FDC89F5" w:rsidR="001D6C47" w:rsidRPr="000547DF" w:rsidRDefault="001D6C47" w:rsidP="001D6C47">
            <w:pPr>
              <w:jc w:val="right"/>
              <w:rPr>
                <w:rFonts w:ascii="Arial" w:hAnsi="Arial" w:cs="Arial"/>
                <w:sz w:val="20"/>
                <w:szCs w:val="20"/>
              </w:rPr>
            </w:pPr>
            <w:r w:rsidRPr="0047584F">
              <w:rPr>
                <w:rFonts w:ascii="Arial" w:hAnsi="Arial" w:cs="Arial"/>
                <w:sz w:val="20"/>
                <w:szCs w:val="20"/>
              </w:rPr>
              <w:t>8.0</w:t>
            </w:r>
          </w:p>
        </w:tc>
        <w:tc>
          <w:tcPr>
            <w:tcW w:w="1350" w:type="dxa"/>
            <w:shd w:val="clear" w:color="auto" w:fill="auto"/>
            <w:vAlign w:val="center"/>
          </w:tcPr>
          <w:p w14:paraId="009BE039" w14:textId="4DC3A74D" w:rsidR="001D6C47" w:rsidRPr="000547DF" w:rsidRDefault="001D6C47" w:rsidP="001D6C47">
            <w:pPr>
              <w:jc w:val="right"/>
              <w:rPr>
                <w:rFonts w:ascii="Arial" w:hAnsi="Arial" w:cs="Arial"/>
                <w:sz w:val="20"/>
                <w:szCs w:val="20"/>
              </w:rPr>
            </w:pPr>
            <w:r w:rsidRPr="0047584F">
              <w:rPr>
                <w:rFonts w:ascii="Arial" w:hAnsi="Arial" w:cs="Arial"/>
                <w:sz w:val="20"/>
                <w:szCs w:val="20"/>
              </w:rPr>
              <w:t>8.0</w:t>
            </w:r>
          </w:p>
        </w:tc>
        <w:tc>
          <w:tcPr>
            <w:tcW w:w="1350" w:type="dxa"/>
            <w:shd w:val="clear" w:color="auto" w:fill="auto"/>
            <w:vAlign w:val="center"/>
          </w:tcPr>
          <w:p w14:paraId="76F5A3CD" w14:textId="2A48B2DB" w:rsidR="001D6C47" w:rsidRPr="000547DF" w:rsidRDefault="001D6C47" w:rsidP="001D6C47">
            <w:pPr>
              <w:jc w:val="right"/>
              <w:rPr>
                <w:rFonts w:ascii="Arial" w:hAnsi="Arial" w:cs="Arial"/>
                <w:sz w:val="20"/>
                <w:szCs w:val="20"/>
              </w:rPr>
            </w:pPr>
            <w:r w:rsidRPr="0047584F">
              <w:rPr>
                <w:rFonts w:ascii="Arial" w:hAnsi="Arial" w:cs="Arial"/>
                <w:sz w:val="20"/>
                <w:szCs w:val="20"/>
              </w:rPr>
              <w:t>0.0</w:t>
            </w:r>
          </w:p>
        </w:tc>
        <w:tc>
          <w:tcPr>
            <w:tcW w:w="921" w:type="dxa"/>
            <w:shd w:val="clear" w:color="auto" w:fill="auto"/>
            <w:vAlign w:val="center"/>
          </w:tcPr>
          <w:p w14:paraId="4899D90C" w14:textId="6EB57A2C" w:rsidR="001D6C47" w:rsidRPr="000547DF" w:rsidRDefault="001D6C47" w:rsidP="001D6C47">
            <w:pPr>
              <w:jc w:val="right"/>
              <w:rPr>
                <w:rFonts w:ascii="Arial" w:hAnsi="Arial" w:cs="Arial"/>
                <w:sz w:val="20"/>
                <w:szCs w:val="20"/>
              </w:rPr>
            </w:pPr>
            <w:r w:rsidRPr="0047584F">
              <w:rPr>
                <w:rFonts w:ascii="Arial" w:hAnsi="Arial" w:cs="Arial"/>
                <w:sz w:val="20"/>
                <w:szCs w:val="20"/>
              </w:rPr>
              <w:t>0.1%</w:t>
            </w:r>
          </w:p>
        </w:tc>
      </w:tr>
      <w:tr w:rsidR="001D6C47" w14:paraId="7420145C" w14:textId="77777777" w:rsidTr="002F0A89">
        <w:trPr>
          <w:jc w:val="center"/>
        </w:trPr>
        <w:tc>
          <w:tcPr>
            <w:tcW w:w="2160" w:type="dxa"/>
            <w:vAlign w:val="center"/>
          </w:tcPr>
          <w:p w14:paraId="1A6415AF" w14:textId="77777777" w:rsidR="001D6C47" w:rsidRPr="007E0A27" w:rsidRDefault="001D6C47" w:rsidP="001D6C47">
            <w:pPr>
              <w:keepNext/>
              <w:keepLines/>
              <w:rPr>
                <w:rFonts w:ascii="Arial" w:hAnsi="Arial" w:cs="Arial"/>
                <w:sz w:val="20"/>
                <w:szCs w:val="20"/>
              </w:rPr>
            </w:pPr>
            <w:r>
              <w:rPr>
                <w:rFonts w:ascii="Arial" w:hAnsi="Arial" w:cs="Arial"/>
                <w:sz w:val="20"/>
                <w:szCs w:val="20"/>
              </w:rPr>
              <w:t>Other or unknown</w:t>
            </w:r>
          </w:p>
        </w:tc>
        <w:tc>
          <w:tcPr>
            <w:tcW w:w="1170" w:type="dxa"/>
            <w:shd w:val="clear" w:color="auto" w:fill="000000" w:themeFill="text1"/>
            <w:vAlign w:val="center"/>
          </w:tcPr>
          <w:p w14:paraId="0CA091CD" w14:textId="77178B7C" w:rsidR="001D6C47" w:rsidRPr="000547DF" w:rsidRDefault="001D6C47" w:rsidP="001D6C47">
            <w:pPr>
              <w:jc w:val="right"/>
              <w:rPr>
                <w:rFonts w:ascii="Arial" w:hAnsi="Arial" w:cs="Arial"/>
                <w:sz w:val="20"/>
                <w:szCs w:val="20"/>
              </w:rPr>
            </w:pPr>
          </w:p>
        </w:tc>
        <w:tc>
          <w:tcPr>
            <w:tcW w:w="1371" w:type="dxa"/>
            <w:shd w:val="clear" w:color="auto" w:fill="000000" w:themeFill="text1"/>
            <w:vAlign w:val="center"/>
          </w:tcPr>
          <w:p w14:paraId="070613EF" w14:textId="0DFE7D3F" w:rsidR="001D6C47" w:rsidRPr="000547DF" w:rsidRDefault="001D6C47" w:rsidP="001D6C47">
            <w:pPr>
              <w:jc w:val="right"/>
              <w:rPr>
                <w:rFonts w:ascii="Arial" w:hAnsi="Arial" w:cs="Arial"/>
                <w:sz w:val="20"/>
                <w:szCs w:val="20"/>
              </w:rPr>
            </w:pPr>
          </w:p>
        </w:tc>
        <w:tc>
          <w:tcPr>
            <w:tcW w:w="1350" w:type="dxa"/>
            <w:shd w:val="clear" w:color="auto" w:fill="000000" w:themeFill="text1"/>
            <w:vAlign w:val="center"/>
          </w:tcPr>
          <w:p w14:paraId="0F375C9E" w14:textId="279B5AFE" w:rsidR="001D6C47" w:rsidRPr="000547DF" w:rsidRDefault="001D6C47" w:rsidP="001D6C47">
            <w:pPr>
              <w:jc w:val="right"/>
              <w:rPr>
                <w:rFonts w:ascii="Arial" w:hAnsi="Arial" w:cs="Arial"/>
                <w:sz w:val="20"/>
                <w:szCs w:val="20"/>
              </w:rPr>
            </w:pPr>
          </w:p>
        </w:tc>
        <w:tc>
          <w:tcPr>
            <w:tcW w:w="1350" w:type="dxa"/>
            <w:shd w:val="clear" w:color="auto" w:fill="000000" w:themeFill="text1"/>
            <w:vAlign w:val="center"/>
          </w:tcPr>
          <w:p w14:paraId="59E8D3FE" w14:textId="70592989" w:rsidR="001D6C47" w:rsidRPr="000547DF" w:rsidRDefault="001D6C47" w:rsidP="001D6C47">
            <w:pPr>
              <w:jc w:val="right"/>
              <w:rPr>
                <w:rFonts w:ascii="Arial" w:hAnsi="Arial" w:cs="Arial"/>
                <w:sz w:val="20"/>
                <w:szCs w:val="20"/>
              </w:rPr>
            </w:pPr>
          </w:p>
        </w:tc>
        <w:tc>
          <w:tcPr>
            <w:tcW w:w="921" w:type="dxa"/>
            <w:shd w:val="clear" w:color="auto" w:fill="000000" w:themeFill="text1"/>
            <w:vAlign w:val="center"/>
          </w:tcPr>
          <w:p w14:paraId="541992C3" w14:textId="76889215" w:rsidR="001D6C47" w:rsidRPr="000547DF" w:rsidRDefault="001D6C47" w:rsidP="001D6C47">
            <w:pPr>
              <w:jc w:val="right"/>
              <w:rPr>
                <w:rFonts w:ascii="Arial" w:hAnsi="Arial" w:cs="Arial"/>
                <w:sz w:val="20"/>
                <w:szCs w:val="20"/>
              </w:rPr>
            </w:pPr>
          </w:p>
        </w:tc>
      </w:tr>
    </w:tbl>
    <w:p w14:paraId="16380A6F" w14:textId="597D9804" w:rsidR="00CB13E9" w:rsidRDefault="00CB13E9" w:rsidP="00CB13E9">
      <w:pPr>
        <w:spacing w:after="120"/>
        <w:rPr>
          <w:szCs w:val="32"/>
        </w:rPr>
      </w:pPr>
    </w:p>
    <w:p w14:paraId="423DA8BF" w14:textId="77777777" w:rsidR="00EC6012" w:rsidRDefault="00EC6012" w:rsidP="00CB13E9">
      <w:pPr>
        <w:spacing w:after="120"/>
        <w:rPr>
          <w:szCs w:val="32"/>
        </w:rPr>
      </w:pPr>
    </w:p>
    <w:p w14:paraId="021339DE" w14:textId="65203319" w:rsidR="001C7388" w:rsidRDefault="001C7388" w:rsidP="0075594D">
      <w:pPr>
        <w:pStyle w:val="FigureCaption"/>
        <w:shd w:val="clear" w:color="auto" w:fill="D0CECE" w:themeFill="background2" w:themeFillShade="E6"/>
      </w:pPr>
      <w:bookmarkStart w:id="307" w:name="_Ref507075288"/>
      <w:bookmarkStart w:id="308" w:name="_Toc509837486"/>
      <w:r>
        <w:t xml:space="preserve">Figure </w:t>
      </w:r>
      <w:fldSimple w:instr=" STYLEREF 1 \s ">
        <w:r w:rsidR="005D5C7C">
          <w:rPr>
            <w:noProof/>
          </w:rPr>
          <w:t>4</w:t>
        </w:r>
      </w:fldSimple>
      <w:r w:rsidR="00A11E78">
        <w:t>.</w:t>
      </w:r>
      <w:fldSimple w:instr=" SEQ Figure \* ARABIC \s 1 ">
        <w:r w:rsidR="005D5C7C">
          <w:rPr>
            <w:noProof/>
          </w:rPr>
          <w:t>8</w:t>
        </w:r>
      </w:fldSimple>
      <w:bookmarkEnd w:id="307"/>
      <w:r w:rsidR="002F5C6C">
        <w:t xml:space="preserve">: Typical Event Day Event-Hour Load Impacts by Industry Group, </w:t>
      </w:r>
      <w:r w:rsidR="002F5C6C">
        <w:rPr>
          <w:i/>
        </w:rPr>
        <w:t>SCE SMB</w:t>
      </w:r>
      <w:bookmarkEnd w:id="308"/>
    </w:p>
    <w:p w14:paraId="7EF50210" w14:textId="54B87E53" w:rsidR="00CB13E9" w:rsidRDefault="002F0A89" w:rsidP="002F0A89">
      <w:pPr>
        <w:spacing w:after="120"/>
        <w:jc w:val="center"/>
        <w:rPr>
          <w:szCs w:val="32"/>
        </w:rPr>
      </w:pPr>
      <w:r>
        <w:rPr>
          <w:noProof/>
        </w:rPr>
        <w:drawing>
          <wp:inline distT="0" distB="0" distL="0" distR="0" wp14:anchorId="44D31F47" wp14:editId="0F6ED040">
            <wp:extent cx="5351228" cy="3975653"/>
            <wp:effectExtent l="0" t="0" r="1905" b="6350"/>
            <wp:docPr id="92" name="Chart 92">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185D136E" w14:textId="5245AD37" w:rsidR="00CB13E9" w:rsidRDefault="00B61877" w:rsidP="00CB13E9">
      <w:pPr>
        <w:spacing w:after="120"/>
        <w:rPr>
          <w:szCs w:val="32"/>
        </w:rPr>
      </w:pPr>
      <w:r>
        <w:rPr>
          <w:noProof/>
          <w:szCs w:val="32"/>
        </w:rPr>
        <mc:AlternateContent>
          <mc:Choice Requires="wps">
            <w:drawing>
              <wp:anchor distT="0" distB="0" distL="114300" distR="114300" simplePos="0" relativeHeight="251688960" behindDoc="0" locked="0" layoutInCell="1" allowOverlap="1" wp14:anchorId="56130340" wp14:editId="0C713822">
                <wp:simplePos x="0" y="0"/>
                <wp:positionH relativeFrom="margin">
                  <wp:align>right</wp:align>
                </wp:positionH>
                <wp:positionV relativeFrom="paragraph">
                  <wp:posOffset>714982</wp:posOffset>
                </wp:positionV>
                <wp:extent cx="5422789" cy="397566"/>
                <wp:effectExtent l="0" t="0" r="26035" b="21590"/>
                <wp:wrapNone/>
                <wp:docPr id="40" name="Text Box 40"/>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7D8194ED"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130340" id="Text Box 40" o:spid="_x0000_s1041" type="#_x0000_t202" style="position:absolute;margin-left:375.8pt;margin-top:56.3pt;width:427pt;height:31.3pt;z-index:25168896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" fillcolor="white [3201]" strokeweight=".5pt">
                <v:textbox>
                  <w:txbxContent>
                    <w:p w14:paraId="7D8194ED"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6A035DF1" w14:textId="05E68918" w:rsidR="006A34B7" w:rsidRDefault="006A34B7" w:rsidP="006A34B7">
      <w:pPr>
        <w:spacing w:after="120"/>
        <w:rPr>
          <w:szCs w:val="32"/>
        </w:rPr>
      </w:pPr>
      <w:r>
        <w:rPr>
          <w:szCs w:val="32"/>
        </w:rPr>
        <w:lastRenderedPageBreak/>
        <w:fldChar w:fldCharType="begin"/>
      </w:r>
      <w:r>
        <w:rPr>
          <w:szCs w:val="32"/>
        </w:rPr>
        <w:instrText xml:space="preserve"> REF _Ref507080191 \h </w:instrText>
      </w:r>
      <w:r>
        <w:rPr>
          <w:szCs w:val="32"/>
        </w:rPr>
      </w:r>
      <w:r>
        <w:rPr>
          <w:szCs w:val="32"/>
        </w:rPr>
        <w:fldChar w:fldCharType="separate"/>
      </w:r>
      <w:r w:rsidR="005D5C7C">
        <w:t xml:space="preserve">Table </w:t>
      </w:r>
      <w:r w:rsidR="005D5C7C">
        <w:rPr>
          <w:noProof/>
        </w:rPr>
        <w:t>4</w:t>
      </w:r>
      <w:r w:rsidR="005D5C7C">
        <w:t>.</w:t>
      </w:r>
      <w:r w:rsidR="005D5C7C">
        <w:rPr>
          <w:noProof/>
        </w:rPr>
        <w:t>9</w:t>
      </w:r>
      <w:r>
        <w:rPr>
          <w:szCs w:val="32"/>
        </w:rPr>
        <w:fldChar w:fldCharType="end"/>
      </w:r>
      <w:r>
        <w:rPr>
          <w:szCs w:val="32"/>
        </w:rPr>
        <w:t xml:space="preserve"> and </w:t>
      </w:r>
      <w:r>
        <w:rPr>
          <w:szCs w:val="32"/>
        </w:rPr>
        <w:fldChar w:fldCharType="begin"/>
      </w:r>
      <w:r>
        <w:rPr>
          <w:szCs w:val="32"/>
        </w:rPr>
        <w:instrText xml:space="preserve"> REF _Ref507080241 \h </w:instrText>
      </w:r>
      <w:r>
        <w:rPr>
          <w:szCs w:val="32"/>
        </w:rPr>
      </w:r>
      <w:r>
        <w:rPr>
          <w:szCs w:val="32"/>
        </w:rPr>
        <w:fldChar w:fldCharType="separate"/>
      </w:r>
      <w:r w:rsidR="005D5C7C">
        <w:t xml:space="preserve">Figure </w:t>
      </w:r>
      <w:r w:rsidR="005D5C7C">
        <w:rPr>
          <w:noProof/>
        </w:rPr>
        <w:t>4</w:t>
      </w:r>
      <w:r w:rsidR="005D5C7C">
        <w:t>.</w:t>
      </w:r>
      <w:r w:rsidR="005D5C7C">
        <w:rPr>
          <w:noProof/>
        </w:rPr>
        <w:t>9</w:t>
      </w:r>
      <w:r>
        <w:rPr>
          <w:szCs w:val="32"/>
        </w:rPr>
        <w:fldChar w:fldCharType="end"/>
      </w:r>
      <w:r>
        <w:rPr>
          <w:szCs w:val="32"/>
        </w:rPr>
        <w:t xml:space="preserve"> provide the same summaries as above by LCA. Enrollments</w:t>
      </w:r>
      <w:r w:rsidR="00DC2672">
        <w:rPr>
          <w:szCs w:val="32"/>
        </w:rPr>
        <w:t xml:space="preserve"> and reference loads</w:t>
      </w:r>
      <w:r>
        <w:rPr>
          <w:szCs w:val="32"/>
        </w:rPr>
        <w:t xml:space="preserve"> are highly concentrated in LA Basin, with over 80 </w:t>
      </w:r>
      <w:r w:rsidR="00755667">
        <w:rPr>
          <w:szCs w:val="32"/>
        </w:rPr>
        <w:t xml:space="preserve">percent </w:t>
      </w:r>
      <w:r>
        <w:rPr>
          <w:szCs w:val="32"/>
        </w:rPr>
        <w:t xml:space="preserve">of </w:t>
      </w:r>
      <w:r w:rsidR="00AB43B8">
        <w:rPr>
          <w:szCs w:val="32"/>
        </w:rPr>
        <w:t>SMB enrollment and over 90 percent of SMB load impacts</w:t>
      </w:r>
      <w:r>
        <w:rPr>
          <w:szCs w:val="32"/>
        </w:rPr>
        <w:t>.</w:t>
      </w:r>
    </w:p>
    <w:p w14:paraId="049E1B89" w14:textId="77777777" w:rsidR="006A34B7" w:rsidRDefault="006A34B7" w:rsidP="00CB13E9">
      <w:pPr>
        <w:spacing w:after="120"/>
        <w:rPr>
          <w:szCs w:val="32"/>
        </w:rPr>
      </w:pPr>
    </w:p>
    <w:p w14:paraId="400C9B0A" w14:textId="3B144AE2" w:rsidR="002F5C6C" w:rsidRDefault="002F5C6C" w:rsidP="002F5C6C">
      <w:pPr>
        <w:pStyle w:val="TableCaption"/>
      </w:pPr>
      <w:bookmarkStart w:id="309" w:name="_Ref507080191"/>
      <w:bookmarkStart w:id="310" w:name="_Toc509837392"/>
      <w:r>
        <w:t xml:space="preserve">Table </w:t>
      </w:r>
      <w:fldSimple w:instr=" STYLEREF 1 \s ">
        <w:r w:rsidR="005D5C7C">
          <w:rPr>
            <w:noProof/>
          </w:rPr>
          <w:t>4</w:t>
        </w:r>
      </w:fldSimple>
      <w:r w:rsidR="0069714C">
        <w:t>.</w:t>
      </w:r>
      <w:fldSimple w:instr=" SEQ Table \* ARABIC \s 1 ">
        <w:r w:rsidR="005D5C7C">
          <w:rPr>
            <w:noProof/>
          </w:rPr>
          <w:t>9</w:t>
        </w:r>
      </w:fldSimple>
      <w:bookmarkEnd w:id="309"/>
      <w:r w:rsidRPr="002F5C6C">
        <w:t xml:space="preserve"> </w:t>
      </w:r>
      <w:r>
        <w:t>Typical Event Day Load Impacts b</w:t>
      </w:r>
      <w:r w:rsidRPr="006C0719">
        <w:t xml:space="preserve">y </w:t>
      </w:r>
      <w:r>
        <w:t>LCA</w:t>
      </w:r>
      <w:r w:rsidRPr="006C0719">
        <w:t xml:space="preserve">, </w:t>
      </w:r>
      <w:r w:rsidRPr="000617A8">
        <w:rPr>
          <w:i/>
        </w:rPr>
        <w:t>SCE</w:t>
      </w:r>
      <w:r>
        <w:rPr>
          <w:i/>
        </w:rPr>
        <w:t xml:space="preserve"> SMB</w:t>
      </w:r>
      <w:bookmarkEnd w:id="3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0"/>
        <w:gridCol w:w="1170"/>
        <w:gridCol w:w="1440"/>
        <w:gridCol w:w="1350"/>
        <w:gridCol w:w="1530"/>
        <w:gridCol w:w="807"/>
      </w:tblGrid>
      <w:tr w:rsidR="002F5C6C" w14:paraId="38C36E0C" w14:textId="77777777" w:rsidTr="001845CE">
        <w:trPr>
          <w:jc w:val="center"/>
        </w:trPr>
        <w:tc>
          <w:tcPr>
            <w:tcW w:w="1530" w:type="dxa"/>
            <w:tcBorders>
              <w:right w:val="single" w:sz="4" w:space="0" w:color="FFFFFF" w:themeColor="background1"/>
            </w:tcBorders>
            <w:shd w:val="clear" w:color="auto" w:fill="0C2577"/>
            <w:vAlign w:val="center"/>
          </w:tcPr>
          <w:p w14:paraId="42AFBE92" w14:textId="77777777" w:rsidR="002F5C6C" w:rsidRPr="007E0A27" w:rsidRDefault="002F5C6C" w:rsidP="002F5C6C">
            <w:pPr>
              <w:keepNext/>
              <w:keepLines/>
              <w:jc w:val="center"/>
              <w:rPr>
                <w:rFonts w:ascii="Arial" w:hAnsi="Arial" w:cs="Arial"/>
                <w:b/>
                <w:sz w:val="20"/>
                <w:szCs w:val="20"/>
              </w:rPr>
            </w:pPr>
            <w:r>
              <w:rPr>
                <w:rFonts w:ascii="Arial" w:hAnsi="Arial" w:cs="Arial"/>
                <w:b/>
                <w:sz w:val="20"/>
                <w:szCs w:val="20"/>
              </w:rPr>
              <w:t>LCA</w:t>
            </w:r>
          </w:p>
        </w:tc>
        <w:tc>
          <w:tcPr>
            <w:tcW w:w="1170" w:type="dxa"/>
            <w:tcBorders>
              <w:left w:val="single" w:sz="4" w:space="0" w:color="FFFFFF" w:themeColor="background1"/>
              <w:right w:val="single" w:sz="4" w:space="0" w:color="FFFFFF" w:themeColor="background1"/>
            </w:tcBorders>
            <w:shd w:val="clear" w:color="auto" w:fill="0C2577"/>
            <w:vAlign w:val="center"/>
          </w:tcPr>
          <w:p w14:paraId="6B2ED242" w14:textId="77777777" w:rsidR="002F5C6C" w:rsidRPr="007E0A27" w:rsidRDefault="002F5C6C" w:rsidP="002F5C6C">
            <w:pPr>
              <w:keepNext/>
              <w:keepLines/>
              <w:jc w:val="center"/>
              <w:rPr>
                <w:rFonts w:ascii="Arial" w:hAnsi="Arial" w:cs="Arial"/>
                <w:b/>
                <w:sz w:val="20"/>
                <w:szCs w:val="20"/>
              </w:rPr>
            </w:pPr>
            <w:r>
              <w:rPr>
                <w:rFonts w:ascii="Arial" w:hAnsi="Arial" w:cs="Arial"/>
                <w:b/>
                <w:sz w:val="20"/>
                <w:szCs w:val="20"/>
              </w:rPr>
              <w:t># of Service Accounts</w:t>
            </w:r>
          </w:p>
        </w:tc>
        <w:tc>
          <w:tcPr>
            <w:tcW w:w="1440" w:type="dxa"/>
            <w:tcBorders>
              <w:left w:val="single" w:sz="4" w:space="0" w:color="FFFFFF" w:themeColor="background1"/>
              <w:right w:val="single" w:sz="4" w:space="0" w:color="FFFFFF" w:themeColor="background1"/>
            </w:tcBorders>
            <w:shd w:val="clear" w:color="auto" w:fill="0C2577"/>
            <w:vAlign w:val="center"/>
          </w:tcPr>
          <w:p w14:paraId="7E452B67" w14:textId="27B43CFE"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Estimated Reference Load (MW</w:t>
            </w:r>
            <w:r w:rsidR="001845CE">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3E9F1151" w14:textId="29EF2268"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Observed Load (MW</w:t>
            </w:r>
            <w:r w:rsidR="001845CE">
              <w:rPr>
                <w:rFonts w:ascii="Arial" w:hAnsi="Arial" w:cs="Arial"/>
                <w:b/>
                <w:sz w:val="20"/>
                <w:szCs w:val="20"/>
              </w:rPr>
              <w:t>h/hour</w:t>
            </w:r>
            <w:r w:rsidRPr="007E0A27">
              <w:rPr>
                <w:rFonts w:ascii="Arial" w:hAnsi="Arial" w:cs="Arial"/>
                <w:b/>
                <w:sz w:val="20"/>
                <w:szCs w:val="20"/>
              </w:rPr>
              <w:t>)</w:t>
            </w:r>
          </w:p>
        </w:tc>
        <w:tc>
          <w:tcPr>
            <w:tcW w:w="1530" w:type="dxa"/>
            <w:tcBorders>
              <w:left w:val="single" w:sz="4" w:space="0" w:color="FFFFFF" w:themeColor="background1"/>
              <w:right w:val="single" w:sz="4" w:space="0" w:color="FFFFFF" w:themeColor="background1"/>
            </w:tcBorders>
            <w:shd w:val="clear" w:color="auto" w:fill="0C2577"/>
            <w:vAlign w:val="center"/>
          </w:tcPr>
          <w:p w14:paraId="776836DA" w14:textId="1468B6D6"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Estimated Load Impact (MW</w:t>
            </w:r>
            <w:r w:rsidR="001845CE">
              <w:rPr>
                <w:rFonts w:ascii="Arial" w:hAnsi="Arial" w:cs="Arial"/>
                <w:b/>
                <w:sz w:val="20"/>
                <w:szCs w:val="20"/>
              </w:rPr>
              <w:t>h/hour</w:t>
            </w:r>
            <w:r w:rsidRPr="007E0A27">
              <w:rPr>
                <w:rFonts w:ascii="Arial" w:hAnsi="Arial" w:cs="Arial"/>
                <w:b/>
                <w:sz w:val="20"/>
                <w:szCs w:val="20"/>
              </w:rPr>
              <w:t>)</w:t>
            </w:r>
          </w:p>
        </w:tc>
        <w:tc>
          <w:tcPr>
            <w:tcW w:w="807" w:type="dxa"/>
            <w:tcBorders>
              <w:left w:val="single" w:sz="4" w:space="0" w:color="FFFFFF" w:themeColor="background1"/>
            </w:tcBorders>
            <w:shd w:val="clear" w:color="auto" w:fill="0C2577"/>
            <w:vAlign w:val="center"/>
          </w:tcPr>
          <w:p w14:paraId="740D2EA5" w14:textId="77777777"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 LI</w:t>
            </w:r>
          </w:p>
        </w:tc>
      </w:tr>
      <w:tr w:rsidR="001D6C47" w14:paraId="1674819F" w14:textId="77777777" w:rsidTr="00F13EDC">
        <w:trPr>
          <w:jc w:val="center"/>
        </w:trPr>
        <w:tc>
          <w:tcPr>
            <w:tcW w:w="1530" w:type="dxa"/>
            <w:vAlign w:val="bottom"/>
          </w:tcPr>
          <w:p w14:paraId="3C6190CF" w14:textId="77777777" w:rsidR="001D6C47" w:rsidRPr="007E0A27" w:rsidRDefault="001D6C47" w:rsidP="001D6C47">
            <w:pPr>
              <w:keepNext/>
              <w:keepLines/>
              <w:rPr>
                <w:rFonts w:ascii="Arial" w:hAnsi="Arial" w:cs="Arial"/>
                <w:sz w:val="20"/>
                <w:szCs w:val="20"/>
              </w:rPr>
            </w:pPr>
            <w:r>
              <w:rPr>
                <w:rFonts w:ascii="Arial" w:hAnsi="Arial" w:cs="Arial"/>
                <w:color w:val="000000"/>
                <w:sz w:val="20"/>
                <w:szCs w:val="20"/>
              </w:rPr>
              <w:t>LA Basin</w:t>
            </w:r>
          </w:p>
        </w:tc>
        <w:tc>
          <w:tcPr>
            <w:tcW w:w="1170" w:type="dxa"/>
            <w:shd w:val="clear" w:color="auto" w:fill="auto"/>
          </w:tcPr>
          <w:p w14:paraId="05FD35DC" w14:textId="17C7D50D" w:rsidR="001D6C47" w:rsidRPr="00024FF4" w:rsidRDefault="001D6C47" w:rsidP="001D6C47">
            <w:pPr>
              <w:jc w:val="right"/>
              <w:rPr>
                <w:rFonts w:ascii="Arial" w:hAnsi="Arial" w:cs="Arial"/>
                <w:sz w:val="20"/>
                <w:szCs w:val="20"/>
              </w:rPr>
            </w:pPr>
            <w:r w:rsidRPr="0047584F">
              <w:rPr>
                <w:rFonts w:ascii="Arial" w:hAnsi="Arial" w:cs="Arial"/>
                <w:sz w:val="20"/>
                <w:szCs w:val="20"/>
              </w:rPr>
              <w:t xml:space="preserve"> 671 </w:t>
            </w:r>
          </w:p>
        </w:tc>
        <w:tc>
          <w:tcPr>
            <w:tcW w:w="1440" w:type="dxa"/>
            <w:shd w:val="clear" w:color="auto" w:fill="auto"/>
          </w:tcPr>
          <w:p w14:paraId="5E07F889" w14:textId="3F3FB283" w:rsidR="001D6C47" w:rsidRPr="00024FF4" w:rsidRDefault="001D6C47" w:rsidP="001D6C47">
            <w:pPr>
              <w:jc w:val="right"/>
              <w:rPr>
                <w:rFonts w:ascii="Arial" w:hAnsi="Arial" w:cs="Arial"/>
                <w:sz w:val="20"/>
                <w:szCs w:val="20"/>
              </w:rPr>
            </w:pPr>
            <w:r w:rsidRPr="0047584F">
              <w:rPr>
                <w:rFonts w:ascii="Arial" w:hAnsi="Arial" w:cs="Arial"/>
                <w:sz w:val="20"/>
                <w:szCs w:val="20"/>
              </w:rPr>
              <w:t>56.9</w:t>
            </w:r>
          </w:p>
        </w:tc>
        <w:tc>
          <w:tcPr>
            <w:tcW w:w="1350" w:type="dxa"/>
            <w:shd w:val="clear" w:color="auto" w:fill="auto"/>
          </w:tcPr>
          <w:p w14:paraId="72D681C6" w14:textId="46CC50CB" w:rsidR="001D6C47" w:rsidRPr="00024FF4" w:rsidRDefault="001D6C47" w:rsidP="001D6C47">
            <w:pPr>
              <w:jc w:val="right"/>
              <w:rPr>
                <w:rFonts w:ascii="Arial" w:hAnsi="Arial" w:cs="Arial"/>
                <w:sz w:val="20"/>
                <w:szCs w:val="20"/>
              </w:rPr>
            </w:pPr>
            <w:r w:rsidRPr="0047584F">
              <w:rPr>
                <w:rFonts w:ascii="Arial" w:hAnsi="Arial" w:cs="Arial"/>
                <w:sz w:val="20"/>
                <w:szCs w:val="20"/>
              </w:rPr>
              <w:t>56.3</w:t>
            </w:r>
          </w:p>
        </w:tc>
        <w:tc>
          <w:tcPr>
            <w:tcW w:w="1530" w:type="dxa"/>
            <w:shd w:val="clear" w:color="auto" w:fill="auto"/>
          </w:tcPr>
          <w:p w14:paraId="2A3D7940" w14:textId="066B6C73" w:rsidR="001D6C47" w:rsidRPr="00024FF4" w:rsidRDefault="001D6C47" w:rsidP="001D6C47">
            <w:pPr>
              <w:jc w:val="right"/>
              <w:rPr>
                <w:rFonts w:ascii="Arial" w:hAnsi="Arial" w:cs="Arial"/>
                <w:sz w:val="20"/>
                <w:szCs w:val="20"/>
              </w:rPr>
            </w:pPr>
            <w:r w:rsidRPr="0047584F">
              <w:rPr>
                <w:rFonts w:ascii="Arial" w:hAnsi="Arial" w:cs="Arial"/>
                <w:sz w:val="20"/>
                <w:szCs w:val="20"/>
              </w:rPr>
              <w:t>0.6</w:t>
            </w:r>
          </w:p>
        </w:tc>
        <w:tc>
          <w:tcPr>
            <w:tcW w:w="807" w:type="dxa"/>
            <w:shd w:val="clear" w:color="auto" w:fill="auto"/>
          </w:tcPr>
          <w:p w14:paraId="13614A85" w14:textId="526D5AD4" w:rsidR="001D6C47" w:rsidRPr="00024FF4" w:rsidRDefault="001D6C47" w:rsidP="001D6C47">
            <w:pPr>
              <w:jc w:val="right"/>
              <w:rPr>
                <w:rFonts w:ascii="Arial" w:hAnsi="Arial" w:cs="Arial"/>
                <w:sz w:val="20"/>
                <w:szCs w:val="20"/>
              </w:rPr>
            </w:pPr>
            <w:r w:rsidRPr="0047584F">
              <w:rPr>
                <w:rFonts w:ascii="Arial" w:hAnsi="Arial" w:cs="Arial"/>
                <w:sz w:val="20"/>
                <w:szCs w:val="20"/>
              </w:rPr>
              <w:t>1.0%</w:t>
            </w:r>
          </w:p>
        </w:tc>
      </w:tr>
      <w:tr w:rsidR="001D6C47" w14:paraId="0DE6EB2A" w14:textId="77777777" w:rsidTr="00F13EDC">
        <w:trPr>
          <w:jc w:val="center"/>
        </w:trPr>
        <w:tc>
          <w:tcPr>
            <w:tcW w:w="1530" w:type="dxa"/>
            <w:vAlign w:val="bottom"/>
          </w:tcPr>
          <w:p w14:paraId="0E9D782C" w14:textId="77777777" w:rsidR="001D6C47" w:rsidRPr="007E0A27" w:rsidRDefault="001D6C47" w:rsidP="001D6C47">
            <w:pPr>
              <w:keepNext/>
              <w:keepLines/>
              <w:rPr>
                <w:rFonts w:ascii="Arial" w:hAnsi="Arial" w:cs="Arial"/>
                <w:sz w:val="20"/>
                <w:szCs w:val="20"/>
              </w:rPr>
            </w:pPr>
            <w:r>
              <w:rPr>
                <w:rFonts w:ascii="Arial" w:hAnsi="Arial" w:cs="Arial"/>
                <w:color w:val="000000"/>
                <w:sz w:val="20"/>
                <w:szCs w:val="20"/>
              </w:rPr>
              <w:t>Outside Basin</w:t>
            </w:r>
          </w:p>
        </w:tc>
        <w:tc>
          <w:tcPr>
            <w:tcW w:w="1170" w:type="dxa"/>
            <w:shd w:val="clear" w:color="auto" w:fill="auto"/>
          </w:tcPr>
          <w:p w14:paraId="4A17E76E" w14:textId="357D7834" w:rsidR="001D6C47" w:rsidRPr="00024FF4" w:rsidRDefault="001D6C47" w:rsidP="001D6C47">
            <w:pPr>
              <w:jc w:val="right"/>
              <w:rPr>
                <w:rFonts w:ascii="Arial" w:hAnsi="Arial" w:cs="Arial"/>
                <w:sz w:val="20"/>
                <w:szCs w:val="20"/>
              </w:rPr>
            </w:pPr>
            <w:r w:rsidRPr="0047584F">
              <w:rPr>
                <w:rFonts w:ascii="Arial" w:hAnsi="Arial" w:cs="Arial"/>
                <w:sz w:val="20"/>
                <w:szCs w:val="20"/>
              </w:rPr>
              <w:t xml:space="preserve"> 52 </w:t>
            </w:r>
          </w:p>
        </w:tc>
        <w:tc>
          <w:tcPr>
            <w:tcW w:w="1440" w:type="dxa"/>
            <w:shd w:val="clear" w:color="auto" w:fill="auto"/>
          </w:tcPr>
          <w:p w14:paraId="121650B0" w14:textId="28726242" w:rsidR="001D6C47" w:rsidRPr="00024FF4" w:rsidRDefault="001D6C47" w:rsidP="001D6C47">
            <w:pPr>
              <w:jc w:val="right"/>
              <w:rPr>
                <w:rFonts w:ascii="Arial" w:hAnsi="Arial" w:cs="Arial"/>
                <w:sz w:val="20"/>
                <w:szCs w:val="20"/>
              </w:rPr>
            </w:pPr>
            <w:r w:rsidRPr="0047584F">
              <w:rPr>
                <w:rFonts w:ascii="Arial" w:hAnsi="Arial" w:cs="Arial"/>
                <w:sz w:val="20"/>
                <w:szCs w:val="20"/>
              </w:rPr>
              <w:t>1.9</w:t>
            </w:r>
          </w:p>
        </w:tc>
        <w:tc>
          <w:tcPr>
            <w:tcW w:w="1350" w:type="dxa"/>
            <w:shd w:val="clear" w:color="auto" w:fill="auto"/>
          </w:tcPr>
          <w:p w14:paraId="7D222EB9" w14:textId="21784333" w:rsidR="001D6C47" w:rsidRPr="00024FF4" w:rsidRDefault="001D6C47" w:rsidP="001D6C47">
            <w:pPr>
              <w:jc w:val="right"/>
              <w:rPr>
                <w:rFonts w:ascii="Arial" w:hAnsi="Arial" w:cs="Arial"/>
                <w:sz w:val="20"/>
                <w:szCs w:val="20"/>
              </w:rPr>
            </w:pPr>
            <w:r w:rsidRPr="0047584F">
              <w:rPr>
                <w:rFonts w:ascii="Arial" w:hAnsi="Arial" w:cs="Arial"/>
                <w:sz w:val="20"/>
                <w:szCs w:val="20"/>
              </w:rPr>
              <w:t>1.9</w:t>
            </w:r>
          </w:p>
        </w:tc>
        <w:tc>
          <w:tcPr>
            <w:tcW w:w="1530" w:type="dxa"/>
            <w:shd w:val="clear" w:color="auto" w:fill="auto"/>
          </w:tcPr>
          <w:p w14:paraId="236777A7" w14:textId="06A0914E" w:rsidR="001D6C47" w:rsidRPr="00024FF4" w:rsidRDefault="001D6C47" w:rsidP="001D6C47">
            <w:pPr>
              <w:jc w:val="right"/>
              <w:rPr>
                <w:rFonts w:ascii="Arial" w:hAnsi="Arial" w:cs="Arial"/>
                <w:sz w:val="20"/>
                <w:szCs w:val="20"/>
              </w:rPr>
            </w:pPr>
            <w:r w:rsidRPr="0047584F">
              <w:rPr>
                <w:rFonts w:ascii="Arial" w:hAnsi="Arial" w:cs="Arial"/>
                <w:sz w:val="20"/>
                <w:szCs w:val="20"/>
              </w:rPr>
              <w:t>0.0</w:t>
            </w:r>
          </w:p>
        </w:tc>
        <w:tc>
          <w:tcPr>
            <w:tcW w:w="807" w:type="dxa"/>
            <w:shd w:val="clear" w:color="auto" w:fill="auto"/>
          </w:tcPr>
          <w:p w14:paraId="536612AA" w14:textId="7D9CC6F7" w:rsidR="001D6C47" w:rsidRPr="00024FF4" w:rsidRDefault="001D6C47" w:rsidP="001D6C47">
            <w:pPr>
              <w:jc w:val="right"/>
              <w:rPr>
                <w:rFonts w:ascii="Arial" w:hAnsi="Arial" w:cs="Arial"/>
                <w:sz w:val="20"/>
                <w:szCs w:val="20"/>
              </w:rPr>
            </w:pPr>
            <w:r w:rsidRPr="0047584F">
              <w:rPr>
                <w:rFonts w:ascii="Arial" w:hAnsi="Arial" w:cs="Arial"/>
                <w:sz w:val="20"/>
                <w:szCs w:val="20"/>
              </w:rPr>
              <w:t>2.4%</w:t>
            </w:r>
          </w:p>
        </w:tc>
      </w:tr>
      <w:tr w:rsidR="001D6C47" w14:paraId="2C65D3FB" w14:textId="77777777" w:rsidTr="00F13EDC">
        <w:trPr>
          <w:jc w:val="center"/>
        </w:trPr>
        <w:tc>
          <w:tcPr>
            <w:tcW w:w="1530" w:type="dxa"/>
            <w:vAlign w:val="bottom"/>
          </w:tcPr>
          <w:p w14:paraId="6ED850D8" w14:textId="77777777" w:rsidR="001D6C47" w:rsidRPr="007E0A27" w:rsidRDefault="001D6C47" w:rsidP="001D6C47">
            <w:pPr>
              <w:keepNext/>
              <w:keepLines/>
              <w:rPr>
                <w:rFonts w:ascii="Arial" w:hAnsi="Arial" w:cs="Arial"/>
                <w:sz w:val="20"/>
                <w:szCs w:val="20"/>
              </w:rPr>
            </w:pPr>
            <w:r>
              <w:rPr>
                <w:rFonts w:ascii="Arial" w:hAnsi="Arial" w:cs="Arial"/>
                <w:color w:val="000000"/>
                <w:sz w:val="20"/>
                <w:szCs w:val="20"/>
              </w:rPr>
              <w:t>Ventura</w:t>
            </w:r>
          </w:p>
        </w:tc>
        <w:tc>
          <w:tcPr>
            <w:tcW w:w="1170" w:type="dxa"/>
            <w:shd w:val="clear" w:color="auto" w:fill="auto"/>
          </w:tcPr>
          <w:p w14:paraId="7BA25D36" w14:textId="032CB777" w:rsidR="001D6C47" w:rsidRPr="00024FF4" w:rsidRDefault="001D6C47" w:rsidP="001D6C47">
            <w:pPr>
              <w:jc w:val="right"/>
              <w:rPr>
                <w:rFonts w:ascii="Arial" w:hAnsi="Arial" w:cs="Arial"/>
                <w:sz w:val="20"/>
                <w:szCs w:val="20"/>
              </w:rPr>
            </w:pPr>
            <w:r w:rsidRPr="0047584F">
              <w:rPr>
                <w:rFonts w:ascii="Arial" w:hAnsi="Arial" w:cs="Arial"/>
                <w:sz w:val="20"/>
                <w:szCs w:val="20"/>
              </w:rPr>
              <w:t xml:space="preserve"> 94 </w:t>
            </w:r>
          </w:p>
        </w:tc>
        <w:tc>
          <w:tcPr>
            <w:tcW w:w="1440" w:type="dxa"/>
            <w:shd w:val="clear" w:color="auto" w:fill="auto"/>
          </w:tcPr>
          <w:p w14:paraId="1EDECC71" w14:textId="092A2DF8" w:rsidR="001D6C47" w:rsidRPr="00024FF4" w:rsidRDefault="001D6C47" w:rsidP="001D6C47">
            <w:pPr>
              <w:jc w:val="right"/>
              <w:rPr>
                <w:rFonts w:ascii="Arial" w:hAnsi="Arial" w:cs="Arial"/>
                <w:sz w:val="20"/>
                <w:szCs w:val="20"/>
              </w:rPr>
            </w:pPr>
            <w:r w:rsidRPr="0047584F">
              <w:rPr>
                <w:rFonts w:ascii="Arial" w:hAnsi="Arial" w:cs="Arial"/>
                <w:sz w:val="20"/>
                <w:szCs w:val="20"/>
              </w:rPr>
              <w:t>5.6</w:t>
            </w:r>
          </w:p>
        </w:tc>
        <w:tc>
          <w:tcPr>
            <w:tcW w:w="1350" w:type="dxa"/>
            <w:shd w:val="clear" w:color="auto" w:fill="auto"/>
          </w:tcPr>
          <w:p w14:paraId="6455CD36" w14:textId="4BAF0D59" w:rsidR="001D6C47" w:rsidRPr="00024FF4" w:rsidRDefault="001D6C47" w:rsidP="001D6C47">
            <w:pPr>
              <w:jc w:val="right"/>
              <w:rPr>
                <w:rFonts w:ascii="Arial" w:hAnsi="Arial" w:cs="Arial"/>
                <w:sz w:val="20"/>
                <w:szCs w:val="20"/>
              </w:rPr>
            </w:pPr>
            <w:r w:rsidRPr="0047584F">
              <w:rPr>
                <w:rFonts w:ascii="Arial" w:hAnsi="Arial" w:cs="Arial"/>
                <w:sz w:val="20"/>
                <w:szCs w:val="20"/>
              </w:rPr>
              <w:t>5.6</w:t>
            </w:r>
          </w:p>
        </w:tc>
        <w:tc>
          <w:tcPr>
            <w:tcW w:w="1530" w:type="dxa"/>
            <w:shd w:val="clear" w:color="auto" w:fill="auto"/>
          </w:tcPr>
          <w:p w14:paraId="4AAE795E" w14:textId="33E081BA" w:rsidR="001D6C47" w:rsidRPr="00024FF4" w:rsidRDefault="001D6C47" w:rsidP="001D6C47">
            <w:pPr>
              <w:jc w:val="right"/>
              <w:rPr>
                <w:rFonts w:ascii="Arial" w:hAnsi="Arial" w:cs="Arial"/>
                <w:sz w:val="20"/>
                <w:szCs w:val="20"/>
              </w:rPr>
            </w:pPr>
            <w:r w:rsidRPr="0047584F">
              <w:rPr>
                <w:rFonts w:ascii="Arial" w:hAnsi="Arial" w:cs="Arial"/>
                <w:sz w:val="20"/>
                <w:szCs w:val="20"/>
              </w:rPr>
              <w:t>0.0</w:t>
            </w:r>
          </w:p>
        </w:tc>
        <w:tc>
          <w:tcPr>
            <w:tcW w:w="807" w:type="dxa"/>
            <w:shd w:val="clear" w:color="auto" w:fill="auto"/>
          </w:tcPr>
          <w:p w14:paraId="2272E271" w14:textId="398A7DBD" w:rsidR="001D6C47" w:rsidRPr="00024FF4" w:rsidRDefault="001D6C47" w:rsidP="001D6C47">
            <w:pPr>
              <w:jc w:val="right"/>
              <w:rPr>
                <w:rFonts w:ascii="Arial" w:hAnsi="Arial" w:cs="Arial"/>
                <w:sz w:val="20"/>
                <w:szCs w:val="20"/>
              </w:rPr>
            </w:pPr>
            <w:r w:rsidRPr="0047584F">
              <w:rPr>
                <w:rFonts w:ascii="Arial" w:hAnsi="Arial" w:cs="Arial"/>
                <w:sz w:val="20"/>
                <w:szCs w:val="20"/>
              </w:rPr>
              <w:t>-0.8%</w:t>
            </w:r>
          </w:p>
        </w:tc>
      </w:tr>
    </w:tbl>
    <w:p w14:paraId="1F8046BA" w14:textId="77777777" w:rsidR="002F5C6C" w:rsidRDefault="002F5C6C" w:rsidP="00CB13E9">
      <w:pPr>
        <w:spacing w:after="120"/>
        <w:rPr>
          <w:szCs w:val="32"/>
        </w:rPr>
      </w:pPr>
    </w:p>
    <w:p w14:paraId="49946186" w14:textId="3E7A4CC5" w:rsidR="002F5C6C" w:rsidRDefault="002F5C6C" w:rsidP="002F5C6C">
      <w:pPr>
        <w:pStyle w:val="FigureCaption"/>
      </w:pPr>
      <w:bookmarkStart w:id="311" w:name="_Ref507080241"/>
      <w:bookmarkStart w:id="312" w:name="_Toc509837487"/>
      <w:r>
        <w:t xml:space="preserve">Figure </w:t>
      </w:r>
      <w:fldSimple w:instr=" STYLEREF 1 \s ">
        <w:r w:rsidR="005D5C7C">
          <w:rPr>
            <w:noProof/>
          </w:rPr>
          <w:t>4</w:t>
        </w:r>
      </w:fldSimple>
      <w:r w:rsidR="00A11E78">
        <w:t>.</w:t>
      </w:r>
      <w:fldSimple w:instr=" SEQ Figure \* ARABIC \s 1 ">
        <w:r w:rsidR="005D5C7C">
          <w:rPr>
            <w:noProof/>
          </w:rPr>
          <w:t>9</w:t>
        </w:r>
      </w:fldSimple>
      <w:bookmarkEnd w:id="311"/>
      <w:r>
        <w:t xml:space="preserve">: Typical Event Day Event-Hour Load Impacts by LCA, </w:t>
      </w:r>
      <w:r>
        <w:rPr>
          <w:i/>
        </w:rPr>
        <w:t>SCE SMB</w:t>
      </w:r>
      <w:bookmarkEnd w:id="312"/>
    </w:p>
    <w:p w14:paraId="087C082E" w14:textId="27FC5BE0" w:rsidR="00CB13E9" w:rsidRDefault="001D6C47" w:rsidP="00CB13E9">
      <w:pPr>
        <w:spacing w:after="120"/>
        <w:rPr>
          <w:szCs w:val="32"/>
        </w:rPr>
      </w:pPr>
      <w:r>
        <w:rPr>
          <w:noProof/>
        </w:rPr>
        <w:drawing>
          <wp:inline distT="0" distB="0" distL="0" distR="0" wp14:anchorId="175D60F7" wp14:editId="2075B340">
            <wp:extent cx="5486400" cy="3980815"/>
            <wp:effectExtent l="0" t="0" r="0" b="635"/>
            <wp:docPr id="95" name="Chart 95">
              <a:extLst xmlns:a="http://schemas.openxmlformats.org/drawingml/2006/main">
                <a:ext uri="{FF2B5EF4-FFF2-40B4-BE49-F238E27FC236}">
                  <a16:creationId xmlns:a16="http://schemas.microsoft.com/office/drawing/2014/main" id="{68B50CDE-226C-4799-B872-04F496BC39A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64E41640" w14:textId="0A6F7070" w:rsidR="000617A8" w:rsidRDefault="000617A8" w:rsidP="000617A8">
      <w:pPr>
        <w:spacing w:after="120"/>
        <w:rPr>
          <w:szCs w:val="32"/>
        </w:rPr>
      </w:pPr>
    </w:p>
    <w:p w14:paraId="70392378" w14:textId="77777777" w:rsidR="00FC6B03" w:rsidRDefault="00FC6B03" w:rsidP="000617A8">
      <w:pPr>
        <w:spacing w:after="120"/>
        <w:rPr>
          <w:szCs w:val="32"/>
        </w:rPr>
      </w:pPr>
    </w:p>
    <w:p w14:paraId="5467D9F4" w14:textId="6A7985E4" w:rsidR="00CB13E9" w:rsidRDefault="00CB13E9" w:rsidP="00CB13E9">
      <w:pPr>
        <w:pStyle w:val="Heading3"/>
      </w:pPr>
      <w:bookmarkStart w:id="313" w:name="_Toc509837328"/>
      <w:r>
        <w:t>NEM Customers</w:t>
      </w:r>
      <w:bookmarkEnd w:id="313"/>
    </w:p>
    <w:p w14:paraId="12AD13A7" w14:textId="44588BF1" w:rsidR="00294490" w:rsidRDefault="00294490" w:rsidP="00294490">
      <w:pPr>
        <w:spacing w:after="120"/>
        <w:rPr>
          <w:szCs w:val="32"/>
        </w:rPr>
      </w:pPr>
      <w:r>
        <w:rPr>
          <w:szCs w:val="32"/>
        </w:rPr>
        <w:t xml:space="preserve">This section summarizes results for all SCE </w:t>
      </w:r>
      <w:r w:rsidR="00E53988">
        <w:rPr>
          <w:szCs w:val="32"/>
        </w:rPr>
        <w:t>net-</w:t>
      </w:r>
      <w:r>
        <w:rPr>
          <w:szCs w:val="32"/>
        </w:rPr>
        <w:t xml:space="preserve">metering (NEM) customers, defined as customers </w:t>
      </w:r>
      <w:r w:rsidR="00E53988">
        <w:rPr>
          <w:szCs w:val="32"/>
        </w:rPr>
        <w:t xml:space="preserve">that are flagged as net-metering customers by SCE or customers with </w:t>
      </w:r>
      <w:r w:rsidR="00E53988">
        <w:rPr>
          <w:szCs w:val="32"/>
        </w:rPr>
        <w:lastRenderedPageBreak/>
        <w:t>negative usage</w:t>
      </w:r>
      <w:r w:rsidR="00AB43B8">
        <w:rPr>
          <w:szCs w:val="32"/>
        </w:rPr>
        <w:t xml:space="preserve"> in any hour</w:t>
      </w:r>
      <w:r>
        <w:rPr>
          <w:szCs w:val="32"/>
        </w:rPr>
        <w:t>.</w:t>
      </w:r>
      <w:r w:rsidR="00E53988">
        <w:rPr>
          <w:rStyle w:val="FootnoteReference"/>
          <w:szCs w:val="32"/>
        </w:rPr>
        <w:footnoteReference w:id="15"/>
      </w:r>
      <w:r>
        <w:rPr>
          <w:szCs w:val="32"/>
        </w:rPr>
        <w:t xml:space="preserve"> The presented results include: the average event-hour load impact by event day; the hourly load impact for the average event day; and load impacts by industry group and LCA for the average event hour. Summaries of load impacts for dually enrolled customers, </w:t>
      </w:r>
      <w:proofErr w:type="spellStart"/>
      <w:r>
        <w:rPr>
          <w:szCs w:val="32"/>
        </w:rPr>
        <w:t>AutoDR</w:t>
      </w:r>
      <w:proofErr w:type="spellEnd"/>
      <w:r>
        <w:rPr>
          <w:szCs w:val="32"/>
        </w:rPr>
        <w:t xml:space="preserve"> customers, and TA/TI customers are presented in subsequent sub-sections.  </w:t>
      </w:r>
    </w:p>
    <w:p w14:paraId="14D79A67" w14:textId="5449B95B" w:rsidR="00294490" w:rsidRDefault="00294490" w:rsidP="00294490">
      <w:pPr>
        <w:spacing w:after="120"/>
        <w:rPr>
          <w:szCs w:val="32"/>
        </w:rPr>
      </w:pPr>
      <w:r>
        <w:rPr>
          <w:szCs w:val="32"/>
        </w:rPr>
        <w:t xml:space="preserve">The </w:t>
      </w:r>
      <w:r w:rsidRPr="00264DF1">
        <w:rPr>
          <w:i/>
          <w:szCs w:val="32"/>
        </w:rPr>
        <w:t>ex-post</w:t>
      </w:r>
      <w:r>
        <w:rPr>
          <w:szCs w:val="32"/>
        </w:rPr>
        <w:t xml:space="preserve"> load impacts for SCE’s </w:t>
      </w:r>
      <w:r w:rsidR="007E6F0C">
        <w:rPr>
          <w:szCs w:val="32"/>
        </w:rPr>
        <w:t>NEM</w:t>
      </w:r>
      <w:r>
        <w:rPr>
          <w:szCs w:val="32"/>
        </w:rPr>
        <w:t xml:space="preserve"> CPP customers are summarized for all 12 events in </w:t>
      </w:r>
      <w:r w:rsidR="007E6F0C">
        <w:rPr>
          <w:szCs w:val="32"/>
        </w:rPr>
        <w:fldChar w:fldCharType="begin"/>
      </w:r>
      <w:r w:rsidR="007E6F0C">
        <w:rPr>
          <w:szCs w:val="32"/>
        </w:rPr>
        <w:instrText xml:space="preserve"> REF _Ref507073223 \h </w:instrText>
      </w:r>
      <w:r w:rsidR="007E6F0C">
        <w:rPr>
          <w:szCs w:val="32"/>
        </w:rPr>
      </w:r>
      <w:r w:rsidR="007E6F0C">
        <w:rPr>
          <w:szCs w:val="32"/>
        </w:rPr>
        <w:fldChar w:fldCharType="separate"/>
      </w:r>
      <w:r w:rsidR="005D5C7C" w:rsidRPr="0075594D">
        <w:rPr>
          <w:highlight w:val="lightGray"/>
        </w:rPr>
        <w:t xml:space="preserve">Figure </w:t>
      </w:r>
      <w:r w:rsidR="005D5C7C">
        <w:rPr>
          <w:noProof/>
          <w:highlight w:val="lightGray"/>
        </w:rPr>
        <w:t>4</w:t>
      </w:r>
      <w:r w:rsidR="005D5C7C" w:rsidRPr="0075594D">
        <w:rPr>
          <w:highlight w:val="lightGray"/>
        </w:rPr>
        <w:t>.</w:t>
      </w:r>
      <w:r w:rsidR="005D5C7C">
        <w:rPr>
          <w:noProof/>
          <w:highlight w:val="lightGray"/>
        </w:rPr>
        <w:t>10</w:t>
      </w:r>
      <w:r w:rsidR="007E6F0C">
        <w:rPr>
          <w:szCs w:val="32"/>
        </w:rPr>
        <w:fldChar w:fldCharType="end"/>
      </w:r>
      <w:r>
        <w:rPr>
          <w:szCs w:val="32"/>
        </w:rPr>
        <w:t xml:space="preserve">. </w:t>
      </w:r>
      <w:r w:rsidR="002F0A89" w:rsidRPr="002F0A89">
        <w:rPr>
          <w:szCs w:val="32"/>
          <w:highlight w:val="black"/>
        </w:rPr>
        <w:t>------------------------------------------------------------------------------------------------------------------------------------------------------------------------------------------------------------------------------------------------------------------------------------------------------------------------------------------------------------------------------------------------</w:t>
      </w:r>
    </w:p>
    <w:p w14:paraId="74123A7A" w14:textId="77777777" w:rsidR="00264DAB" w:rsidRDefault="00264DAB" w:rsidP="00294490">
      <w:pPr>
        <w:spacing w:after="120"/>
        <w:rPr>
          <w:szCs w:val="32"/>
        </w:rPr>
      </w:pPr>
    </w:p>
    <w:p w14:paraId="31B40E14" w14:textId="241A6A8C" w:rsidR="00992C93" w:rsidRDefault="00992C93" w:rsidP="002E5631">
      <w:pPr>
        <w:pStyle w:val="FigureCaption"/>
        <w:rPr>
          <w:i/>
        </w:rPr>
      </w:pPr>
      <w:bookmarkStart w:id="314" w:name="_Ref507073223"/>
      <w:bookmarkStart w:id="315" w:name="_Toc509837488"/>
      <w:r w:rsidRPr="0075594D">
        <w:rPr>
          <w:highlight w:val="lightGray"/>
        </w:rPr>
        <w:t xml:space="preserve">Figure </w:t>
      </w:r>
      <w:r w:rsidR="00D90CBD" w:rsidRPr="0075594D">
        <w:rPr>
          <w:highlight w:val="lightGray"/>
        </w:rPr>
        <w:fldChar w:fldCharType="begin"/>
      </w:r>
      <w:r w:rsidR="00D90CBD" w:rsidRPr="0075594D">
        <w:rPr>
          <w:highlight w:val="lightGray"/>
        </w:rPr>
        <w:instrText xml:space="preserve"> STYLEREF 1 \s </w:instrText>
      </w:r>
      <w:r w:rsidR="00D90CBD" w:rsidRPr="0075594D">
        <w:rPr>
          <w:highlight w:val="lightGray"/>
        </w:rPr>
        <w:fldChar w:fldCharType="separate"/>
      </w:r>
      <w:r w:rsidR="005D5C7C">
        <w:rPr>
          <w:noProof/>
          <w:highlight w:val="lightGray"/>
        </w:rPr>
        <w:t>4</w:t>
      </w:r>
      <w:r w:rsidR="00D90CBD" w:rsidRPr="0075594D">
        <w:rPr>
          <w:noProof/>
          <w:highlight w:val="lightGray"/>
        </w:rPr>
        <w:fldChar w:fldCharType="end"/>
      </w:r>
      <w:r w:rsidR="00A11E78" w:rsidRPr="0075594D">
        <w:rPr>
          <w:highlight w:val="lightGray"/>
        </w:rPr>
        <w:t>.</w:t>
      </w:r>
      <w:r w:rsidR="00D90CBD" w:rsidRPr="0075594D">
        <w:rPr>
          <w:highlight w:val="lightGray"/>
        </w:rPr>
        <w:fldChar w:fldCharType="begin"/>
      </w:r>
      <w:r w:rsidR="00D90CBD" w:rsidRPr="0075594D">
        <w:rPr>
          <w:highlight w:val="lightGray"/>
        </w:rPr>
        <w:instrText xml:space="preserve"> SEQ Figure \* ARABIC \s 1 </w:instrText>
      </w:r>
      <w:r w:rsidR="00D90CBD" w:rsidRPr="0075594D">
        <w:rPr>
          <w:highlight w:val="lightGray"/>
        </w:rPr>
        <w:fldChar w:fldCharType="separate"/>
      </w:r>
      <w:r w:rsidR="005D5C7C">
        <w:rPr>
          <w:noProof/>
          <w:highlight w:val="lightGray"/>
        </w:rPr>
        <w:t>10</w:t>
      </w:r>
      <w:r w:rsidR="00D90CBD" w:rsidRPr="0075594D">
        <w:rPr>
          <w:noProof/>
          <w:highlight w:val="lightGray"/>
        </w:rPr>
        <w:fldChar w:fldCharType="end"/>
      </w:r>
      <w:bookmarkEnd w:id="314"/>
      <w:r w:rsidR="002E5631" w:rsidRPr="0075594D">
        <w:rPr>
          <w:highlight w:val="lightGray"/>
        </w:rPr>
        <w:t xml:space="preserve">: Average Event-Hour Load Impacts by Event, </w:t>
      </w:r>
      <w:r w:rsidR="002E5631" w:rsidRPr="0075594D">
        <w:rPr>
          <w:i/>
          <w:highlight w:val="lightGray"/>
        </w:rPr>
        <w:t>SCE NEM</w:t>
      </w:r>
      <w:bookmarkEnd w:id="315"/>
    </w:p>
    <w:p w14:paraId="2FED5800" w14:textId="36D3F857" w:rsidR="00FC6B03" w:rsidRDefault="002F0A89" w:rsidP="002F0A89">
      <w:pPr>
        <w:jc w:val="center"/>
      </w:pPr>
      <w:r>
        <w:rPr>
          <w:noProof/>
        </w:rPr>
        <w:drawing>
          <wp:inline distT="0" distB="0" distL="0" distR="0" wp14:anchorId="7CEB05C8" wp14:editId="1C99BCE0">
            <wp:extent cx="5048747" cy="3975100"/>
            <wp:effectExtent l="0" t="0" r="0" b="6350"/>
            <wp:docPr id="107" name="Chart 107">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7CD0EF90" w14:textId="6F8AFF6D" w:rsidR="007A68CF" w:rsidRPr="002E5631" w:rsidRDefault="007A68CF" w:rsidP="007A68CF"/>
    <w:p w14:paraId="3AD3E3C8" w14:textId="2A4B3286" w:rsidR="00264DAB" w:rsidRDefault="00B61877" w:rsidP="00264DAB">
      <w:pPr>
        <w:rPr>
          <w:szCs w:val="32"/>
        </w:rPr>
      </w:pPr>
      <w:r>
        <w:rPr>
          <w:noProof/>
          <w:szCs w:val="32"/>
        </w:rPr>
        <mc:AlternateContent>
          <mc:Choice Requires="wps">
            <w:drawing>
              <wp:anchor distT="0" distB="0" distL="114300" distR="114300" simplePos="0" relativeHeight="251691008" behindDoc="0" locked="0" layoutInCell="1" allowOverlap="1" wp14:anchorId="3BFB6BE2" wp14:editId="1D905CDD">
                <wp:simplePos x="0" y="0"/>
                <wp:positionH relativeFrom="margin">
                  <wp:align>right</wp:align>
                </wp:positionH>
                <wp:positionV relativeFrom="paragraph">
                  <wp:posOffset>1801108</wp:posOffset>
                </wp:positionV>
                <wp:extent cx="5422789" cy="397566"/>
                <wp:effectExtent l="0" t="0" r="26035" b="21590"/>
                <wp:wrapNone/>
                <wp:docPr id="42" name="Text Box 42"/>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F4525C0"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FB6BE2" id="Text Box 42" o:spid="_x0000_s1042" type="#_x0000_t202" style="position:absolute;margin-left:375.8pt;margin-top:141.8pt;width:427pt;height:31.3pt;z-index:25169100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" fillcolor="white [3201]" strokeweight=".5pt">
                <v:textbox>
                  <w:txbxContent>
                    <w:p w14:paraId="6F4525C0"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264DAB">
        <w:rPr>
          <w:szCs w:val="32"/>
        </w:rPr>
        <w:fldChar w:fldCharType="begin"/>
      </w:r>
      <w:r w:rsidR="00264DAB">
        <w:rPr>
          <w:szCs w:val="32"/>
        </w:rPr>
        <w:instrText xml:space="preserve"> REF _Ref507073695 \h </w:instrText>
      </w:r>
      <w:r w:rsidR="00264DAB">
        <w:rPr>
          <w:szCs w:val="32"/>
        </w:rPr>
      </w:r>
      <w:r w:rsidR="00264DAB">
        <w:rPr>
          <w:szCs w:val="32"/>
        </w:rPr>
        <w:fldChar w:fldCharType="separate"/>
      </w:r>
      <w:r w:rsidR="005D5C7C">
        <w:t xml:space="preserve">Table </w:t>
      </w:r>
      <w:r w:rsidR="005D5C7C">
        <w:rPr>
          <w:noProof/>
        </w:rPr>
        <w:t>4</w:t>
      </w:r>
      <w:r w:rsidR="005D5C7C">
        <w:t>.</w:t>
      </w:r>
      <w:r w:rsidR="005D5C7C">
        <w:rPr>
          <w:noProof/>
        </w:rPr>
        <w:t>10</w:t>
      </w:r>
      <w:r w:rsidR="00264DAB">
        <w:rPr>
          <w:szCs w:val="32"/>
        </w:rPr>
        <w:fldChar w:fldCharType="end"/>
      </w:r>
      <w:r w:rsidR="00264DAB">
        <w:rPr>
          <w:szCs w:val="32"/>
        </w:rPr>
        <w:t xml:space="preserve"> summarizes enrollments, average event-hour load impacts, and reference loads for each event day and the average event. Enrollment of NEM customers in CPP decreased slightly over the course of the season. Overall, NEM customers had an aggregate load impact of </w:t>
      </w:r>
      <w:r w:rsidR="002F0A89" w:rsidRPr="002F0A89">
        <w:rPr>
          <w:szCs w:val="32"/>
          <w:highlight w:val="black"/>
        </w:rPr>
        <w:t>---</w:t>
      </w:r>
      <w:r w:rsidR="00264DAB">
        <w:rPr>
          <w:szCs w:val="32"/>
        </w:rPr>
        <w:t xml:space="preserve"> MWh/hour, which is </w:t>
      </w:r>
      <w:r w:rsidR="002F0A89" w:rsidRPr="002F0A89">
        <w:rPr>
          <w:szCs w:val="32"/>
          <w:highlight w:val="black"/>
        </w:rPr>
        <w:t>---</w:t>
      </w:r>
      <w:r w:rsidR="00264DAB">
        <w:rPr>
          <w:szCs w:val="32"/>
        </w:rPr>
        <w:t xml:space="preserve"> kWh/hour/customer on average, or about a </w:t>
      </w:r>
      <w:r w:rsidR="002F0A89" w:rsidRPr="002F0A89">
        <w:rPr>
          <w:szCs w:val="32"/>
          <w:highlight w:val="black"/>
        </w:rPr>
        <w:t>---</w:t>
      </w:r>
      <w:r w:rsidR="00264DAB">
        <w:rPr>
          <w:szCs w:val="32"/>
        </w:rPr>
        <w:t xml:space="preserve"> percent load reduction.</w:t>
      </w:r>
      <w:r w:rsidRPr="00B61877">
        <w:rPr>
          <w:noProof/>
          <w:szCs w:val="32"/>
        </w:rPr>
        <w:t xml:space="preserve"> </w:t>
      </w:r>
    </w:p>
    <w:p w14:paraId="3CD821D0" w14:textId="77777777" w:rsidR="00264DAB" w:rsidRDefault="00264DAB" w:rsidP="00CB13E9">
      <w:pPr>
        <w:spacing w:after="120"/>
        <w:rPr>
          <w:szCs w:val="32"/>
        </w:rPr>
      </w:pPr>
    </w:p>
    <w:p w14:paraId="7E9BBA3E" w14:textId="147BFF2F" w:rsidR="002E5631" w:rsidRDefault="002E5631" w:rsidP="002E5631">
      <w:pPr>
        <w:pStyle w:val="TableCaption"/>
      </w:pPr>
      <w:bookmarkStart w:id="316" w:name="_Ref507073695"/>
      <w:bookmarkStart w:id="317" w:name="_Toc509837393"/>
      <w:r>
        <w:t xml:space="preserve">Table </w:t>
      </w:r>
      <w:fldSimple w:instr=" STYLEREF 1 \s ">
        <w:r w:rsidR="005D5C7C">
          <w:rPr>
            <w:noProof/>
          </w:rPr>
          <w:t>4</w:t>
        </w:r>
      </w:fldSimple>
      <w:r w:rsidR="0069714C">
        <w:t>.</w:t>
      </w:r>
      <w:fldSimple w:instr=" SEQ Table \* ARABIC \s 1 ">
        <w:r w:rsidR="005D5C7C">
          <w:rPr>
            <w:noProof/>
          </w:rPr>
          <w:t>10</w:t>
        </w:r>
      </w:fldSimple>
      <w:bookmarkEnd w:id="316"/>
      <w:r>
        <w:t>:</w:t>
      </w:r>
      <w:r w:rsidRPr="002E5631">
        <w:t xml:space="preserve"> </w:t>
      </w:r>
      <w:r>
        <w:t xml:space="preserve">Average Event-Hour Load Impacts by Event, </w:t>
      </w:r>
      <w:r>
        <w:rPr>
          <w:i/>
        </w:rPr>
        <w:t>SC</w:t>
      </w:r>
      <w:r w:rsidRPr="00283F52">
        <w:rPr>
          <w:i/>
        </w:rPr>
        <w:t xml:space="preserve">E </w:t>
      </w:r>
      <w:r>
        <w:rPr>
          <w:i/>
        </w:rPr>
        <w:t>NEM</w:t>
      </w:r>
      <w:bookmarkEnd w:id="317"/>
    </w:p>
    <w:tbl>
      <w:tblPr>
        <w:tblW w:w="8460" w:type="dxa"/>
        <w:jc w:val="center"/>
        <w:tblLook w:val="04A0" w:firstRow="1" w:lastRow="0" w:firstColumn="1" w:lastColumn="0" w:noHBand="0" w:noVBand="1"/>
      </w:tblPr>
      <w:tblGrid>
        <w:gridCol w:w="1980"/>
        <w:gridCol w:w="1017"/>
        <w:gridCol w:w="873"/>
        <w:gridCol w:w="900"/>
        <w:gridCol w:w="990"/>
        <w:gridCol w:w="861"/>
        <w:gridCol w:w="1029"/>
        <w:gridCol w:w="810"/>
      </w:tblGrid>
      <w:tr w:rsidR="00697C02" w:rsidRPr="003B78F6" w14:paraId="54D4C02A" w14:textId="77777777" w:rsidTr="00F42180">
        <w:trPr>
          <w:trHeight w:val="300"/>
          <w:jc w:val="center"/>
        </w:trPr>
        <w:tc>
          <w:tcPr>
            <w:tcW w:w="1980" w:type="dxa"/>
            <w:vMerge w:val="restart"/>
            <w:tcBorders>
              <w:top w:val="single" w:sz="4" w:space="0" w:color="000000" w:themeColor="text1"/>
              <w:left w:val="single" w:sz="4" w:space="0" w:color="000000" w:themeColor="text1"/>
              <w:right w:val="single" w:sz="4" w:space="0" w:color="FFFFFF"/>
            </w:tcBorders>
            <w:shd w:val="clear" w:color="auto" w:fill="0C2577"/>
            <w:noWrap/>
            <w:vAlign w:val="center"/>
            <w:hideMark/>
          </w:tcPr>
          <w:p w14:paraId="19830F47"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Event Date</w:t>
            </w:r>
          </w:p>
        </w:tc>
        <w:tc>
          <w:tcPr>
            <w:tcW w:w="1017" w:type="dxa"/>
            <w:vMerge w:val="restart"/>
            <w:tcBorders>
              <w:top w:val="single" w:sz="4" w:space="0" w:color="000000" w:themeColor="text1"/>
              <w:left w:val="single" w:sz="4" w:space="0" w:color="FFFFFF"/>
              <w:right w:val="single" w:sz="4" w:space="0" w:color="FFFFFF"/>
            </w:tcBorders>
            <w:shd w:val="clear" w:color="auto" w:fill="0C2577"/>
            <w:noWrap/>
            <w:vAlign w:val="center"/>
            <w:hideMark/>
          </w:tcPr>
          <w:p w14:paraId="53EDCF4A" w14:textId="77777777" w:rsidR="00697C02" w:rsidRPr="003B78F6" w:rsidRDefault="00697C02" w:rsidP="00A66A92">
            <w:pPr>
              <w:keepNext/>
              <w:keepLines/>
              <w:jc w:val="center"/>
              <w:rPr>
                <w:rFonts w:ascii="Arial" w:hAnsi="Arial" w:cs="Arial"/>
                <w:sz w:val="20"/>
                <w:szCs w:val="20"/>
              </w:rPr>
            </w:pPr>
          </w:p>
          <w:p w14:paraId="65362212"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 Enrolled</w:t>
            </w:r>
          </w:p>
        </w:tc>
        <w:tc>
          <w:tcPr>
            <w:tcW w:w="1773" w:type="dxa"/>
            <w:gridSpan w:val="2"/>
            <w:tcBorders>
              <w:top w:val="single" w:sz="4" w:space="0" w:color="000000" w:themeColor="text1"/>
              <w:left w:val="single" w:sz="4" w:space="0" w:color="FFFFFF"/>
              <w:bottom w:val="single" w:sz="4" w:space="0" w:color="FFFFFF"/>
              <w:right w:val="single" w:sz="4" w:space="0" w:color="FFFFFF"/>
            </w:tcBorders>
            <w:shd w:val="clear" w:color="auto" w:fill="0C2577"/>
            <w:noWrap/>
            <w:vAlign w:val="center"/>
            <w:hideMark/>
          </w:tcPr>
          <w:p w14:paraId="68C604B9" w14:textId="42AF9FEF"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Aggregate</w:t>
            </w:r>
            <w:r w:rsidR="007E6F0C">
              <w:rPr>
                <w:rFonts w:ascii="Arial" w:hAnsi="Arial" w:cs="Arial"/>
                <w:b/>
                <w:bCs/>
                <w:sz w:val="20"/>
                <w:szCs w:val="20"/>
              </w:rPr>
              <w:t xml:space="preserve"> (MWh/hour)</w:t>
            </w:r>
          </w:p>
        </w:tc>
        <w:tc>
          <w:tcPr>
            <w:tcW w:w="1851" w:type="dxa"/>
            <w:gridSpan w:val="2"/>
            <w:tcBorders>
              <w:top w:val="single" w:sz="4" w:space="0" w:color="000000" w:themeColor="text1"/>
              <w:left w:val="single" w:sz="4" w:space="0" w:color="FFFFFF"/>
              <w:bottom w:val="single" w:sz="4" w:space="0" w:color="FFFFFF"/>
              <w:right w:val="single" w:sz="4" w:space="0" w:color="FFFFFF"/>
            </w:tcBorders>
            <w:shd w:val="clear" w:color="auto" w:fill="0C2577"/>
            <w:noWrap/>
            <w:vAlign w:val="center"/>
            <w:hideMark/>
          </w:tcPr>
          <w:p w14:paraId="0FB01489" w14:textId="51BB59A7"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Per-Customer</w:t>
            </w:r>
            <w:r w:rsidR="007E6F0C">
              <w:rPr>
                <w:rFonts w:ascii="Arial" w:hAnsi="Arial" w:cs="Arial"/>
                <w:b/>
                <w:bCs/>
                <w:sz w:val="20"/>
                <w:szCs w:val="20"/>
              </w:rPr>
              <w:t xml:space="preserve"> (kWh/hour)</w:t>
            </w:r>
          </w:p>
        </w:tc>
        <w:tc>
          <w:tcPr>
            <w:tcW w:w="1029" w:type="dxa"/>
            <w:vMerge w:val="restart"/>
            <w:tcBorders>
              <w:top w:val="single" w:sz="4" w:space="0" w:color="000000" w:themeColor="text1"/>
              <w:left w:val="single" w:sz="4" w:space="0" w:color="FFFFFF"/>
              <w:right w:val="single" w:sz="4" w:space="0" w:color="FFFFFF"/>
            </w:tcBorders>
            <w:shd w:val="clear" w:color="auto" w:fill="0C2577"/>
            <w:noWrap/>
            <w:vAlign w:val="center"/>
            <w:hideMark/>
          </w:tcPr>
          <w:p w14:paraId="711091C0" w14:textId="77777777" w:rsidR="00697C02" w:rsidRPr="003B78F6" w:rsidRDefault="00697C02" w:rsidP="00A66A92">
            <w:pPr>
              <w:keepNext/>
              <w:keepLines/>
              <w:jc w:val="center"/>
              <w:rPr>
                <w:rFonts w:ascii="Arial" w:hAnsi="Arial" w:cs="Arial"/>
                <w:sz w:val="20"/>
                <w:szCs w:val="20"/>
              </w:rPr>
            </w:pPr>
          </w:p>
          <w:p w14:paraId="23B4659E"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 Load Impact</w:t>
            </w:r>
          </w:p>
        </w:tc>
        <w:tc>
          <w:tcPr>
            <w:tcW w:w="810" w:type="dxa"/>
            <w:vMerge w:val="restart"/>
            <w:tcBorders>
              <w:top w:val="single" w:sz="4" w:space="0" w:color="000000" w:themeColor="text1"/>
              <w:left w:val="single" w:sz="4" w:space="0" w:color="FFFFFF"/>
              <w:right w:val="single" w:sz="4" w:space="0" w:color="000000" w:themeColor="text1"/>
            </w:tcBorders>
            <w:shd w:val="clear" w:color="auto" w:fill="0C2577"/>
            <w:noWrap/>
            <w:vAlign w:val="center"/>
            <w:hideMark/>
          </w:tcPr>
          <w:p w14:paraId="5AAB2368" w14:textId="77777777" w:rsidR="00697C02" w:rsidRPr="003B78F6" w:rsidRDefault="00697C02" w:rsidP="00A66A92">
            <w:pPr>
              <w:keepNext/>
              <w:keepLines/>
              <w:jc w:val="center"/>
              <w:rPr>
                <w:rFonts w:ascii="Arial" w:hAnsi="Arial" w:cs="Arial"/>
                <w:sz w:val="20"/>
                <w:szCs w:val="20"/>
              </w:rPr>
            </w:pPr>
          </w:p>
          <w:p w14:paraId="727A31C8" w14:textId="77777777" w:rsidR="00697C02" w:rsidRPr="003B78F6" w:rsidRDefault="00697C02" w:rsidP="00A66A92">
            <w:pPr>
              <w:keepNext/>
              <w:keepLines/>
              <w:jc w:val="center"/>
              <w:rPr>
                <w:rFonts w:ascii="Arial" w:hAnsi="Arial" w:cs="Arial"/>
                <w:sz w:val="20"/>
                <w:szCs w:val="20"/>
              </w:rPr>
            </w:pPr>
            <w:r w:rsidRPr="003B78F6">
              <w:rPr>
                <w:rFonts w:ascii="Arial" w:hAnsi="Arial" w:cs="Arial"/>
                <w:b/>
                <w:bCs/>
                <w:sz w:val="20"/>
                <w:szCs w:val="20"/>
              </w:rPr>
              <w:t>Ave. Event Temp.</w:t>
            </w:r>
          </w:p>
        </w:tc>
      </w:tr>
      <w:tr w:rsidR="00AE478F" w:rsidRPr="003B78F6" w14:paraId="6F050900" w14:textId="77777777" w:rsidTr="00F42180">
        <w:trPr>
          <w:trHeight w:val="900"/>
          <w:jc w:val="center"/>
        </w:trPr>
        <w:tc>
          <w:tcPr>
            <w:tcW w:w="1980" w:type="dxa"/>
            <w:vMerge/>
            <w:tcBorders>
              <w:left w:val="single" w:sz="4" w:space="0" w:color="000000" w:themeColor="text1"/>
              <w:bottom w:val="single" w:sz="4" w:space="0" w:color="auto"/>
              <w:right w:val="single" w:sz="4" w:space="0" w:color="FFFFFF"/>
            </w:tcBorders>
            <w:shd w:val="clear" w:color="auto" w:fill="B4C6E7" w:themeFill="accent5" w:themeFillTint="66"/>
            <w:vAlign w:val="center"/>
            <w:hideMark/>
          </w:tcPr>
          <w:p w14:paraId="00DCE480" w14:textId="77777777" w:rsidR="00697C02" w:rsidRPr="003B78F6" w:rsidRDefault="00697C02" w:rsidP="00A66A92">
            <w:pPr>
              <w:keepNext/>
              <w:keepLines/>
              <w:jc w:val="center"/>
              <w:rPr>
                <w:rFonts w:ascii="Arial" w:hAnsi="Arial" w:cs="Arial"/>
                <w:b/>
                <w:bCs/>
                <w:sz w:val="20"/>
                <w:szCs w:val="20"/>
              </w:rPr>
            </w:pPr>
          </w:p>
        </w:tc>
        <w:tc>
          <w:tcPr>
            <w:tcW w:w="1017"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3536C2CA" w14:textId="77777777" w:rsidR="00697C02" w:rsidRPr="003B78F6" w:rsidRDefault="00697C02" w:rsidP="00A66A92">
            <w:pPr>
              <w:keepNext/>
              <w:keepLines/>
              <w:jc w:val="center"/>
              <w:rPr>
                <w:rFonts w:ascii="Arial" w:hAnsi="Arial" w:cs="Arial"/>
                <w:b/>
                <w:bCs/>
                <w:sz w:val="20"/>
                <w:szCs w:val="20"/>
              </w:rPr>
            </w:pPr>
          </w:p>
        </w:tc>
        <w:tc>
          <w:tcPr>
            <w:tcW w:w="873"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10DB9362" w14:textId="2E3F5AD2"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Ref. Load </w:t>
            </w:r>
          </w:p>
        </w:tc>
        <w:tc>
          <w:tcPr>
            <w:tcW w:w="900"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52B1C6F8" w14:textId="6AE7FB8D"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Load Impact </w:t>
            </w:r>
          </w:p>
        </w:tc>
        <w:tc>
          <w:tcPr>
            <w:tcW w:w="990"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092AE84F" w14:textId="357CC8DB"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Ref. Load </w:t>
            </w:r>
          </w:p>
        </w:tc>
        <w:tc>
          <w:tcPr>
            <w:tcW w:w="861" w:type="dxa"/>
            <w:tcBorders>
              <w:top w:val="single" w:sz="4" w:space="0" w:color="FFFFFF"/>
              <w:left w:val="single" w:sz="4" w:space="0" w:color="FFFFFF"/>
              <w:bottom w:val="single" w:sz="4" w:space="0" w:color="auto"/>
              <w:right w:val="single" w:sz="4" w:space="0" w:color="FFFFFF"/>
            </w:tcBorders>
            <w:shd w:val="clear" w:color="auto" w:fill="0C2577"/>
            <w:vAlign w:val="center"/>
            <w:hideMark/>
          </w:tcPr>
          <w:p w14:paraId="4E1ED027" w14:textId="7D29CDDE" w:rsidR="00697C02" w:rsidRPr="003B78F6" w:rsidRDefault="00697C02" w:rsidP="00A66A92">
            <w:pPr>
              <w:keepNext/>
              <w:keepLines/>
              <w:jc w:val="center"/>
              <w:rPr>
                <w:rFonts w:ascii="Arial" w:hAnsi="Arial" w:cs="Arial"/>
                <w:b/>
                <w:bCs/>
                <w:sz w:val="20"/>
                <w:szCs w:val="20"/>
              </w:rPr>
            </w:pPr>
            <w:r w:rsidRPr="003B78F6">
              <w:rPr>
                <w:rFonts w:ascii="Arial" w:hAnsi="Arial" w:cs="Arial"/>
                <w:b/>
                <w:bCs/>
                <w:sz w:val="20"/>
                <w:szCs w:val="20"/>
              </w:rPr>
              <w:t xml:space="preserve">Load Impact </w:t>
            </w:r>
          </w:p>
        </w:tc>
        <w:tc>
          <w:tcPr>
            <w:tcW w:w="1029" w:type="dxa"/>
            <w:vMerge/>
            <w:tcBorders>
              <w:left w:val="single" w:sz="4" w:space="0" w:color="FFFFFF"/>
              <w:bottom w:val="single" w:sz="4" w:space="0" w:color="auto"/>
              <w:right w:val="single" w:sz="4" w:space="0" w:color="FFFFFF"/>
            </w:tcBorders>
            <w:shd w:val="clear" w:color="auto" w:fill="B4C6E7" w:themeFill="accent5" w:themeFillTint="66"/>
            <w:vAlign w:val="center"/>
            <w:hideMark/>
          </w:tcPr>
          <w:p w14:paraId="0F243D84" w14:textId="77777777" w:rsidR="00697C02" w:rsidRPr="003B78F6" w:rsidRDefault="00697C02" w:rsidP="00A66A92">
            <w:pPr>
              <w:keepNext/>
              <w:keepLines/>
              <w:jc w:val="center"/>
              <w:rPr>
                <w:rFonts w:ascii="Arial" w:hAnsi="Arial" w:cs="Arial"/>
                <w:b/>
                <w:bCs/>
                <w:sz w:val="20"/>
                <w:szCs w:val="20"/>
              </w:rPr>
            </w:pPr>
          </w:p>
        </w:tc>
        <w:tc>
          <w:tcPr>
            <w:tcW w:w="810" w:type="dxa"/>
            <w:vMerge/>
            <w:tcBorders>
              <w:left w:val="single" w:sz="4" w:space="0" w:color="FFFFFF"/>
              <w:bottom w:val="single" w:sz="4" w:space="0" w:color="auto"/>
              <w:right w:val="single" w:sz="4" w:space="0" w:color="000000" w:themeColor="text1"/>
            </w:tcBorders>
            <w:shd w:val="clear" w:color="auto" w:fill="B4C6E7" w:themeFill="accent5" w:themeFillTint="66"/>
            <w:vAlign w:val="center"/>
            <w:hideMark/>
          </w:tcPr>
          <w:p w14:paraId="7C58A028" w14:textId="77777777" w:rsidR="00697C02" w:rsidRPr="003B78F6" w:rsidRDefault="00697C02" w:rsidP="00A66A92">
            <w:pPr>
              <w:keepNext/>
              <w:keepLines/>
              <w:jc w:val="center"/>
              <w:rPr>
                <w:rFonts w:ascii="Arial" w:hAnsi="Arial" w:cs="Arial"/>
                <w:b/>
                <w:bCs/>
                <w:sz w:val="20"/>
                <w:szCs w:val="20"/>
              </w:rPr>
            </w:pPr>
          </w:p>
        </w:tc>
      </w:tr>
      <w:tr w:rsidR="00FC6B03" w:rsidRPr="003B78F6" w14:paraId="6D60E752"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2F37498D"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6/19/2017</w:t>
            </w:r>
          </w:p>
        </w:tc>
        <w:tc>
          <w:tcPr>
            <w:tcW w:w="1017" w:type="dxa"/>
            <w:tcBorders>
              <w:top w:val="single" w:sz="4" w:space="0" w:color="auto"/>
              <w:left w:val="single" w:sz="4" w:space="0" w:color="auto"/>
              <w:bottom w:val="single" w:sz="4" w:space="0" w:color="auto"/>
              <w:right w:val="single" w:sz="4" w:space="0" w:color="auto"/>
            </w:tcBorders>
            <w:shd w:val="clear" w:color="auto" w:fill="000000" w:themeFill="text1"/>
            <w:noWrap/>
            <w:vAlign w:val="bottom"/>
          </w:tcPr>
          <w:p w14:paraId="770D6622" w14:textId="47EA62F9" w:rsidR="00FC6B03" w:rsidRPr="003B78F6" w:rsidRDefault="00FC6B03" w:rsidP="00FC6B03">
            <w:pPr>
              <w:keepNext/>
              <w:keepLines/>
              <w:jc w:val="center"/>
              <w:rPr>
                <w:rFonts w:ascii="Arial" w:hAnsi="Arial" w:cs="Arial"/>
                <w:sz w:val="20"/>
                <w:szCs w:val="20"/>
              </w:rPr>
            </w:pPr>
          </w:p>
        </w:tc>
        <w:tc>
          <w:tcPr>
            <w:tcW w:w="873" w:type="dxa"/>
            <w:tcBorders>
              <w:top w:val="single" w:sz="4" w:space="0" w:color="auto"/>
              <w:left w:val="nil"/>
              <w:bottom w:val="single" w:sz="4" w:space="0" w:color="auto"/>
              <w:right w:val="single" w:sz="4" w:space="0" w:color="auto"/>
            </w:tcBorders>
            <w:shd w:val="clear" w:color="auto" w:fill="000000" w:themeFill="text1"/>
            <w:noWrap/>
            <w:vAlign w:val="bottom"/>
          </w:tcPr>
          <w:p w14:paraId="5814243B" w14:textId="53F70E3F"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single" w:sz="4" w:space="0" w:color="auto"/>
              <w:left w:val="nil"/>
              <w:bottom w:val="single" w:sz="4" w:space="0" w:color="auto"/>
              <w:right w:val="single" w:sz="4" w:space="0" w:color="auto"/>
            </w:tcBorders>
            <w:shd w:val="clear" w:color="auto" w:fill="000000" w:themeFill="text1"/>
            <w:noWrap/>
            <w:vAlign w:val="bottom"/>
          </w:tcPr>
          <w:p w14:paraId="17BECB45" w14:textId="068FC14B"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single" w:sz="4" w:space="0" w:color="auto"/>
              <w:left w:val="nil"/>
              <w:bottom w:val="single" w:sz="4" w:space="0" w:color="auto"/>
              <w:right w:val="single" w:sz="4" w:space="0" w:color="auto"/>
            </w:tcBorders>
            <w:shd w:val="clear" w:color="auto" w:fill="000000" w:themeFill="text1"/>
            <w:noWrap/>
            <w:vAlign w:val="bottom"/>
          </w:tcPr>
          <w:p w14:paraId="0D88D5C2" w14:textId="0A29F459"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single" w:sz="4" w:space="0" w:color="auto"/>
              <w:left w:val="nil"/>
              <w:bottom w:val="single" w:sz="4" w:space="0" w:color="auto"/>
              <w:right w:val="single" w:sz="4" w:space="0" w:color="auto"/>
            </w:tcBorders>
            <w:shd w:val="clear" w:color="auto" w:fill="000000" w:themeFill="text1"/>
            <w:noWrap/>
            <w:vAlign w:val="bottom"/>
          </w:tcPr>
          <w:p w14:paraId="557D3616" w14:textId="449102EC"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single" w:sz="4" w:space="0" w:color="auto"/>
              <w:left w:val="nil"/>
              <w:bottom w:val="single" w:sz="4" w:space="0" w:color="auto"/>
              <w:right w:val="single" w:sz="4" w:space="0" w:color="auto"/>
            </w:tcBorders>
            <w:shd w:val="clear" w:color="auto" w:fill="000000" w:themeFill="text1"/>
            <w:noWrap/>
            <w:vAlign w:val="bottom"/>
          </w:tcPr>
          <w:p w14:paraId="3F90D630" w14:textId="4B52DA64"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single" w:sz="4" w:space="0" w:color="auto"/>
              <w:left w:val="nil"/>
              <w:bottom w:val="single" w:sz="4" w:space="0" w:color="auto"/>
              <w:right w:val="single" w:sz="4" w:space="0" w:color="auto"/>
            </w:tcBorders>
            <w:shd w:val="clear" w:color="auto" w:fill="000000" w:themeFill="text1"/>
            <w:noWrap/>
            <w:vAlign w:val="bottom"/>
          </w:tcPr>
          <w:p w14:paraId="3275D45E" w14:textId="2FC8F45A" w:rsidR="00FC6B03" w:rsidRPr="003B78F6" w:rsidRDefault="00FC6B03" w:rsidP="00FC6B03">
            <w:pPr>
              <w:keepNext/>
              <w:keepLines/>
              <w:jc w:val="center"/>
              <w:rPr>
                <w:rFonts w:ascii="Arial" w:hAnsi="Arial" w:cs="Arial"/>
                <w:sz w:val="20"/>
                <w:szCs w:val="20"/>
              </w:rPr>
            </w:pPr>
          </w:p>
        </w:tc>
      </w:tr>
      <w:tr w:rsidR="00FC6B03" w:rsidRPr="003B78F6" w14:paraId="1B893729"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39973870"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6/20/2017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795D0011" w14:textId="06D9C65C"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7FD89524" w14:textId="055E1F0C"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32DE87C8" w14:textId="04C7F066"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1E0BC752" w14:textId="4EB1599E"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44EA4917" w14:textId="2D91D551"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6B02C8F3" w14:textId="0F4A39A3"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64E40B0F" w14:textId="05E3CD5E" w:rsidR="00FC6B03" w:rsidRPr="003B78F6" w:rsidRDefault="00FC6B03" w:rsidP="00FC6B03">
            <w:pPr>
              <w:keepNext/>
              <w:keepLines/>
              <w:jc w:val="center"/>
              <w:rPr>
                <w:rFonts w:ascii="Arial" w:hAnsi="Arial" w:cs="Arial"/>
                <w:sz w:val="20"/>
                <w:szCs w:val="20"/>
              </w:rPr>
            </w:pPr>
          </w:p>
        </w:tc>
      </w:tr>
      <w:tr w:rsidR="00FC6B03" w:rsidRPr="003B78F6" w14:paraId="73FDD4B3"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7A15EB45"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7/6/2017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35EFABEE" w14:textId="15CDF259"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46A398A9" w14:textId="1F623668"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0D246503" w14:textId="2E44C5BA"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4843E0DB" w14:textId="62C803C0"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6F16174F" w14:textId="5209F34F"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3D89252A" w14:textId="463DF5C2"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516392A6" w14:textId="6B9B7755" w:rsidR="00FC6B03" w:rsidRPr="003B78F6" w:rsidRDefault="00FC6B03" w:rsidP="00FC6B03">
            <w:pPr>
              <w:keepNext/>
              <w:keepLines/>
              <w:jc w:val="center"/>
              <w:rPr>
                <w:rFonts w:ascii="Arial" w:hAnsi="Arial" w:cs="Arial"/>
                <w:sz w:val="20"/>
                <w:szCs w:val="20"/>
              </w:rPr>
            </w:pPr>
          </w:p>
        </w:tc>
      </w:tr>
      <w:tr w:rsidR="00FC6B03" w:rsidRPr="003B78F6" w14:paraId="7EB804E2"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6BD5D488"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7/7/2017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054748D7" w14:textId="46417C70"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1AC21515" w14:textId="7E1D548C"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22AF8A37" w14:textId="0ECA3343"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435633AD" w14:textId="53B62C31"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5D094990" w14:textId="3B62ADE6"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485811B9" w14:textId="0D2E1184"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75ACBC12" w14:textId="18D70D83" w:rsidR="00FC6B03" w:rsidRPr="003B78F6" w:rsidRDefault="00FC6B03" w:rsidP="00FC6B03">
            <w:pPr>
              <w:keepNext/>
              <w:keepLines/>
              <w:jc w:val="center"/>
              <w:rPr>
                <w:rFonts w:ascii="Arial" w:hAnsi="Arial" w:cs="Arial"/>
                <w:sz w:val="20"/>
                <w:szCs w:val="20"/>
              </w:rPr>
            </w:pPr>
          </w:p>
        </w:tc>
      </w:tr>
      <w:tr w:rsidR="00FC6B03" w:rsidRPr="003B78F6" w14:paraId="76C9594E"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74A0462A"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7/27/2017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43B0A109" w14:textId="2860E569"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6A1E9FC6" w14:textId="2EEF2B67"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33E4500A" w14:textId="08333118"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58DF52B1" w14:textId="57EF08D8"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0A743FF3" w14:textId="677A3FD0"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28C5F31E" w14:textId="635FA643"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4D0C9552" w14:textId="594FBF02" w:rsidR="00FC6B03" w:rsidRPr="003B78F6" w:rsidRDefault="00FC6B03" w:rsidP="00FC6B03">
            <w:pPr>
              <w:keepNext/>
              <w:keepLines/>
              <w:jc w:val="center"/>
              <w:rPr>
                <w:rFonts w:ascii="Arial" w:hAnsi="Arial" w:cs="Arial"/>
                <w:sz w:val="20"/>
                <w:szCs w:val="20"/>
              </w:rPr>
            </w:pPr>
          </w:p>
        </w:tc>
      </w:tr>
      <w:tr w:rsidR="00FC6B03" w:rsidRPr="003B78F6" w14:paraId="43B3C229"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25740278"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7/31/2017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6E8F7641" w14:textId="203BEDBF"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10B89274" w14:textId="5734D0D2"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13D722EB" w14:textId="495183A9"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3F633C61" w14:textId="7244828E"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5D10391E" w14:textId="5E976D2F"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526C129B" w14:textId="4A2DEAD9"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1712B4EE" w14:textId="284DC291" w:rsidR="00FC6B03" w:rsidRPr="003B78F6" w:rsidRDefault="00FC6B03" w:rsidP="00FC6B03">
            <w:pPr>
              <w:keepNext/>
              <w:keepLines/>
              <w:jc w:val="center"/>
              <w:rPr>
                <w:rFonts w:ascii="Arial" w:hAnsi="Arial" w:cs="Arial"/>
                <w:sz w:val="20"/>
                <w:szCs w:val="20"/>
              </w:rPr>
            </w:pPr>
          </w:p>
        </w:tc>
      </w:tr>
      <w:tr w:rsidR="00FC6B03" w:rsidRPr="003B78F6" w14:paraId="5B5EE8B9"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622C8578"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8/1/2017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61093FFB" w14:textId="48F1AC23"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3AE875E6" w14:textId="3462AF73"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02FFB9BF" w14:textId="1837EBED"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278588EA" w14:textId="793598E8"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48E23926" w14:textId="2C69FDAD"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29B743DE" w14:textId="7B0C92D5"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76B3660D" w14:textId="361C699E" w:rsidR="00FC6B03" w:rsidRPr="003B78F6" w:rsidRDefault="00FC6B03" w:rsidP="00FC6B03">
            <w:pPr>
              <w:keepNext/>
              <w:keepLines/>
              <w:jc w:val="center"/>
              <w:rPr>
                <w:rFonts w:ascii="Arial" w:hAnsi="Arial" w:cs="Arial"/>
                <w:sz w:val="20"/>
                <w:szCs w:val="20"/>
              </w:rPr>
            </w:pPr>
          </w:p>
        </w:tc>
      </w:tr>
      <w:tr w:rsidR="00FC6B03" w:rsidRPr="003B78F6" w14:paraId="76AA82D6"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6312DF8A"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8/28/2017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6616A545" w14:textId="4DAC83C1"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0DCF36BD" w14:textId="3F5226EF"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6173AF00" w14:textId="61135FE1"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2E0D71A3" w14:textId="52BE1408"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54CD3D80" w14:textId="0BDDB038"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60BD35AF" w14:textId="27DE07CB"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55C160C7" w14:textId="7A65A0FD" w:rsidR="00FC6B03" w:rsidRPr="003B78F6" w:rsidRDefault="00FC6B03" w:rsidP="00FC6B03">
            <w:pPr>
              <w:keepNext/>
              <w:keepLines/>
              <w:jc w:val="center"/>
              <w:rPr>
                <w:rFonts w:ascii="Arial" w:hAnsi="Arial" w:cs="Arial"/>
                <w:sz w:val="20"/>
                <w:szCs w:val="20"/>
              </w:rPr>
            </w:pPr>
          </w:p>
        </w:tc>
      </w:tr>
      <w:tr w:rsidR="00FC6B03" w:rsidRPr="003B78F6" w14:paraId="4B37403F"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066A5610"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8/29/2017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38746347" w14:textId="6D035956"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64116EDC" w14:textId="375257E9"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0BD6E67C" w14:textId="65959A6E"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4E54E07D" w14:textId="1DEE99F9"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2934F327" w14:textId="6D0CC501"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6F60ED8A" w14:textId="40E0042B"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7485C72F" w14:textId="6E475049" w:rsidR="00FC6B03" w:rsidRPr="003B78F6" w:rsidRDefault="00FC6B03" w:rsidP="00FC6B03">
            <w:pPr>
              <w:keepNext/>
              <w:keepLines/>
              <w:jc w:val="center"/>
              <w:rPr>
                <w:rFonts w:ascii="Arial" w:hAnsi="Arial" w:cs="Arial"/>
                <w:sz w:val="20"/>
                <w:szCs w:val="20"/>
              </w:rPr>
            </w:pPr>
          </w:p>
        </w:tc>
      </w:tr>
      <w:tr w:rsidR="00FC6B03" w:rsidRPr="003B78F6" w14:paraId="669AAF5E"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21A89990"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8/31/2017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5C17F9A2" w14:textId="64A8E2F5"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1ED0B144" w14:textId="0D828EB1"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472D4961" w14:textId="7520FC78"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2F64F99D" w14:textId="297B2AAD"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4FC8BAAD" w14:textId="0E994866"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62AE52FE" w14:textId="41EF2633"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54B2B370" w14:textId="34873453" w:rsidR="00FC6B03" w:rsidRPr="003B78F6" w:rsidRDefault="00FC6B03" w:rsidP="00FC6B03">
            <w:pPr>
              <w:keepNext/>
              <w:keepLines/>
              <w:jc w:val="center"/>
              <w:rPr>
                <w:rFonts w:ascii="Arial" w:hAnsi="Arial" w:cs="Arial"/>
                <w:sz w:val="20"/>
                <w:szCs w:val="20"/>
              </w:rPr>
            </w:pPr>
          </w:p>
        </w:tc>
      </w:tr>
      <w:tr w:rsidR="00FC6B03" w:rsidRPr="003B78F6" w14:paraId="74971191"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5746A7A0"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9/5/2017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4C999657" w14:textId="06148E0C"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3B29730E" w14:textId="44442A38"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402FA5B2" w14:textId="2CBF5C49"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7EF46DAF" w14:textId="5EF65FA0"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0220D27B" w14:textId="1121F666"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40376E8F" w14:textId="2EA87F22"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29992E6F" w14:textId="3E17B5DC" w:rsidR="00FC6B03" w:rsidRPr="003B78F6" w:rsidRDefault="00FC6B03" w:rsidP="00FC6B03">
            <w:pPr>
              <w:keepNext/>
              <w:keepLines/>
              <w:jc w:val="center"/>
              <w:rPr>
                <w:rFonts w:ascii="Arial" w:hAnsi="Arial" w:cs="Arial"/>
                <w:sz w:val="20"/>
                <w:szCs w:val="20"/>
              </w:rPr>
            </w:pPr>
          </w:p>
        </w:tc>
      </w:tr>
      <w:tr w:rsidR="00FC6B03" w:rsidRPr="003B78F6" w14:paraId="663CD4AC" w14:textId="77777777" w:rsidTr="00F30325">
        <w:trPr>
          <w:trHeight w:val="300"/>
          <w:jc w:val="center"/>
        </w:trPr>
        <w:tc>
          <w:tcPr>
            <w:tcW w:w="1980" w:type="dxa"/>
            <w:tcBorders>
              <w:top w:val="single" w:sz="4" w:space="0" w:color="auto"/>
              <w:left w:val="single" w:sz="4" w:space="0" w:color="auto"/>
              <w:bottom w:val="single" w:sz="4" w:space="0" w:color="auto"/>
              <w:right w:val="single" w:sz="4" w:space="0" w:color="auto"/>
            </w:tcBorders>
            <w:noWrap/>
            <w:vAlign w:val="bottom"/>
          </w:tcPr>
          <w:p w14:paraId="6289DF2F" w14:textId="77777777" w:rsidR="00FC6B03" w:rsidRPr="003B78F6" w:rsidRDefault="00FC6B03" w:rsidP="00FC6B03">
            <w:pPr>
              <w:keepNext/>
              <w:keepLines/>
              <w:jc w:val="center"/>
              <w:rPr>
                <w:rFonts w:ascii="Arial" w:hAnsi="Arial" w:cs="Arial"/>
                <w:sz w:val="20"/>
                <w:szCs w:val="20"/>
              </w:rPr>
            </w:pPr>
            <w:r>
              <w:rPr>
                <w:rFonts w:ascii="Arial" w:hAnsi="Arial" w:cs="Arial"/>
                <w:color w:val="000000"/>
                <w:sz w:val="20"/>
                <w:szCs w:val="20"/>
              </w:rPr>
              <w:t>9/12/2017</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5E44037C" w14:textId="0D4D7951" w:rsidR="00FC6B03" w:rsidRPr="003B78F6" w:rsidRDefault="00FC6B03" w:rsidP="00FC6B03">
            <w:pPr>
              <w:keepNext/>
              <w:keepLines/>
              <w:jc w:val="center"/>
              <w:rPr>
                <w:rFonts w:ascii="Arial" w:hAnsi="Arial" w:cs="Arial"/>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72469E16" w14:textId="58AA034D" w:rsidR="00FC6B03" w:rsidRPr="003B78F6" w:rsidRDefault="00FC6B03" w:rsidP="00FC6B03">
            <w:pPr>
              <w:keepNext/>
              <w:keepLines/>
              <w:ind w:firstLineChars="100" w:firstLine="200"/>
              <w:jc w:val="center"/>
              <w:rPr>
                <w:rFonts w:ascii="Arial" w:hAnsi="Arial" w:cs="Arial"/>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1A2B9D5E" w14:textId="6D545E13" w:rsidR="00FC6B03" w:rsidRPr="003B78F6" w:rsidRDefault="00FC6B03" w:rsidP="00FC6B03">
            <w:pPr>
              <w:keepNext/>
              <w:keepLines/>
              <w:ind w:firstLineChars="100" w:firstLine="200"/>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1640DDDE" w14:textId="263F8169" w:rsidR="00FC6B03" w:rsidRPr="003B78F6" w:rsidRDefault="00FC6B03" w:rsidP="00FC6B03">
            <w:pPr>
              <w:keepNext/>
              <w:keepLines/>
              <w:ind w:firstLineChars="100" w:firstLine="200"/>
              <w:jc w:val="center"/>
              <w:rPr>
                <w:rFonts w:ascii="Arial" w:hAnsi="Arial" w:cs="Arial"/>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518C4266" w14:textId="359B6A08" w:rsidR="00FC6B03" w:rsidRPr="003B78F6" w:rsidRDefault="00FC6B03" w:rsidP="00FC6B03">
            <w:pPr>
              <w:keepNext/>
              <w:keepLines/>
              <w:ind w:firstLineChars="100" w:firstLine="200"/>
              <w:jc w:val="center"/>
              <w:rPr>
                <w:rFonts w:ascii="Arial" w:hAnsi="Arial" w:cs="Arial"/>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0CDC181A" w14:textId="7D836A8C" w:rsidR="00FC6B03" w:rsidRPr="003B78F6" w:rsidRDefault="00FC6B03" w:rsidP="00FC6B03">
            <w:pPr>
              <w:keepNext/>
              <w:keepLines/>
              <w:ind w:firstLineChars="100" w:firstLine="200"/>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72955723" w14:textId="5D9A24D2" w:rsidR="00FC6B03" w:rsidRPr="003B78F6" w:rsidRDefault="00FC6B03" w:rsidP="00FC6B03">
            <w:pPr>
              <w:keepNext/>
              <w:keepLines/>
              <w:jc w:val="center"/>
              <w:rPr>
                <w:rFonts w:ascii="Arial" w:hAnsi="Arial" w:cs="Arial"/>
                <w:sz w:val="20"/>
                <w:szCs w:val="20"/>
              </w:rPr>
            </w:pPr>
          </w:p>
        </w:tc>
      </w:tr>
      <w:tr w:rsidR="00FC6B03" w:rsidRPr="003B78F6" w14:paraId="64453D5F" w14:textId="77777777" w:rsidTr="00F30325">
        <w:trPr>
          <w:trHeight w:val="302"/>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46B7A72C" w14:textId="77777777" w:rsidR="00FC6B03" w:rsidRPr="003B78F6" w:rsidRDefault="00FC6B03" w:rsidP="00FC6B03">
            <w:pPr>
              <w:keepNext/>
              <w:keepLines/>
              <w:jc w:val="center"/>
              <w:rPr>
                <w:rFonts w:ascii="Arial" w:hAnsi="Arial" w:cs="Arial"/>
                <w:b/>
                <w:bCs/>
                <w:sz w:val="20"/>
                <w:szCs w:val="20"/>
              </w:rPr>
            </w:pPr>
            <w:r w:rsidRPr="003B78F6">
              <w:rPr>
                <w:rFonts w:ascii="Arial" w:hAnsi="Arial" w:cs="Arial"/>
                <w:b/>
                <w:bCs/>
                <w:sz w:val="20"/>
                <w:szCs w:val="20"/>
              </w:rPr>
              <w:t>Typical Event Day</w:t>
            </w:r>
          </w:p>
        </w:tc>
        <w:tc>
          <w:tcPr>
            <w:tcW w:w="1017" w:type="dxa"/>
            <w:tcBorders>
              <w:top w:val="nil"/>
              <w:left w:val="single" w:sz="4" w:space="0" w:color="auto"/>
              <w:bottom w:val="single" w:sz="4" w:space="0" w:color="auto"/>
              <w:right w:val="single" w:sz="4" w:space="0" w:color="auto"/>
            </w:tcBorders>
            <w:shd w:val="clear" w:color="auto" w:fill="000000" w:themeFill="text1"/>
            <w:noWrap/>
            <w:vAlign w:val="bottom"/>
          </w:tcPr>
          <w:p w14:paraId="0E9510EA" w14:textId="3B98C560" w:rsidR="00FC6B03" w:rsidRPr="00697C02" w:rsidRDefault="00FC6B03" w:rsidP="00FC6B03">
            <w:pPr>
              <w:keepNext/>
              <w:keepLines/>
              <w:jc w:val="center"/>
              <w:rPr>
                <w:rFonts w:ascii="Arial" w:hAnsi="Arial" w:cs="Arial"/>
                <w:b/>
                <w:bCs/>
                <w:sz w:val="20"/>
                <w:szCs w:val="20"/>
              </w:rPr>
            </w:pPr>
          </w:p>
        </w:tc>
        <w:tc>
          <w:tcPr>
            <w:tcW w:w="873" w:type="dxa"/>
            <w:tcBorders>
              <w:top w:val="nil"/>
              <w:left w:val="nil"/>
              <w:bottom w:val="single" w:sz="4" w:space="0" w:color="auto"/>
              <w:right w:val="single" w:sz="4" w:space="0" w:color="auto"/>
            </w:tcBorders>
            <w:shd w:val="clear" w:color="auto" w:fill="000000" w:themeFill="text1"/>
            <w:noWrap/>
            <w:vAlign w:val="bottom"/>
          </w:tcPr>
          <w:p w14:paraId="07B690E4" w14:textId="5FEA53AC" w:rsidR="00FC6B03" w:rsidRPr="00697C02" w:rsidRDefault="00FC6B03" w:rsidP="00FC6B03">
            <w:pPr>
              <w:keepNext/>
              <w:keepLines/>
              <w:ind w:firstLineChars="100" w:firstLine="201"/>
              <w:jc w:val="center"/>
              <w:rPr>
                <w:rFonts w:ascii="Arial" w:hAnsi="Arial" w:cs="Arial"/>
                <w:b/>
                <w:bCs/>
                <w:sz w:val="20"/>
                <w:szCs w:val="20"/>
              </w:rPr>
            </w:pPr>
          </w:p>
        </w:tc>
        <w:tc>
          <w:tcPr>
            <w:tcW w:w="900" w:type="dxa"/>
            <w:tcBorders>
              <w:top w:val="nil"/>
              <w:left w:val="nil"/>
              <w:bottom w:val="single" w:sz="4" w:space="0" w:color="auto"/>
              <w:right w:val="single" w:sz="4" w:space="0" w:color="auto"/>
            </w:tcBorders>
            <w:shd w:val="clear" w:color="auto" w:fill="000000" w:themeFill="text1"/>
            <w:noWrap/>
            <w:vAlign w:val="bottom"/>
          </w:tcPr>
          <w:p w14:paraId="01E130EE" w14:textId="23F09755" w:rsidR="00FC6B03" w:rsidRPr="00697C02" w:rsidRDefault="00FC6B03" w:rsidP="00FC6B03">
            <w:pPr>
              <w:keepNext/>
              <w:keepLines/>
              <w:ind w:firstLineChars="100" w:firstLine="201"/>
              <w:jc w:val="center"/>
              <w:rPr>
                <w:rFonts w:ascii="Arial" w:hAnsi="Arial" w:cs="Arial"/>
                <w:b/>
                <w:bCs/>
                <w:sz w:val="20"/>
                <w:szCs w:val="20"/>
              </w:rPr>
            </w:pPr>
          </w:p>
        </w:tc>
        <w:tc>
          <w:tcPr>
            <w:tcW w:w="990" w:type="dxa"/>
            <w:tcBorders>
              <w:top w:val="nil"/>
              <w:left w:val="nil"/>
              <w:bottom w:val="single" w:sz="4" w:space="0" w:color="auto"/>
              <w:right w:val="single" w:sz="4" w:space="0" w:color="auto"/>
            </w:tcBorders>
            <w:shd w:val="clear" w:color="auto" w:fill="000000" w:themeFill="text1"/>
            <w:noWrap/>
            <w:vAlign w:val="bottom"/>
          </w:tcPr>
          <w:p w14:paraId="371ED37B" w14:textId="66714F00" w:rsidR="00FC6B03" w:rsidRPr="00697C02" w:rsidRDefault="00FC6B03" w:rsidP="00FC6B03">
            <w:pPr>
              <w:keepNext/>
              <w:keepLines/>
              <w:ind w:firstLineChars="100" w:firstLine="201"/>
              <w:jc w:val="center"/>
              <w:rPr>
                <w:rFonts w:ascii="Arial" w:hAnsi="Arial" w:cs="Arial"/>
                <w:b/>
                <w:bCs/>
                <w:sz w:val="20"/>
                <w:szCs w:val="20"/>
              </w:rPr>
            </w:pPr>
          </w:p>
        </w:tc>
        <w:tc>
          <w:tcPr>
            <w:tcW w:w="861" w:type="dxa"/>
            <w:tcBorders>
              <w:top w:val="nil"/>
              <w:left w:val="nil"/>
              <w:bottom w:val="single" w:sz="4" w:space="0" w:color="auto"/>
              <w:right w:val="single" w:sz="4" w:space="0" w:color="auto"/>
            </w:tcBorders>
            <w:shd w:val="clear" w:color="auto" w:fill="000000" w:themeFill="text1"/>
            <w:noWrap/>
            <w:vAlign w:val="bottom"/>
          </w:tcPr>
          <w:p w14:paraId="34A3F84B" w14:textId="581CDDAE" w:rsidR="00FC6B03" w:rsidRPr="00697C02" w:rsidRDefault="00FC6B03" w:rsidP="00FC6B03">
            <w:pPr>
              <w:keepNext/>
              <w:keepLines/>
              <w:ind w:firstLineChars="100" w:firstLine="201"/>
              <w:jc w:val="center"/>
              <w:rPr>
                <w:rFonts w:ascii="Arial" w:hAnsi="Arial" w:cs="Arial"/>
                <w:b/>
                <w:bCs/>
                <w:sz w:val="20"/>
                <w:szCs w:val="20"/>
              </w:rPr>
            </w:pPr>
          </w:p>
        </w:tc>
        <w:tc>
          <w:tcPr>
            <w:tcW w:w="1029" w:type="dxa"/>
            <w:tcBorders>
              <w:top w:val="nil"/>
              <w:left w:val="nil"/>
              <w:bottom w:val="single" w:sz="4" w:space="0" w:color="auto"/>
              <w:right w:val="single" w:sz="4" w:space="0" w:color="auto"/>
            </w:tcBorders>
            <w:shd w:val="clear" w:color="auto" w:fill="000000" w:themeFill="text1"/>
            <w:noWrap/>
            <w:vAlign w:val="bottom"/>
          </w:tcPr>
          <w:p w14:paraId="1179213A" w14:textId="0F054460" w:rsidR="00FC6B03" w:rsidRPr="00697C02" w:rsidRDefault="00FC6B03" w:rsidP="00FC6B03">
            <w:pPr>
              <w:keepNext/>
              <w:keepLines/>
              <w:ind w:firstLineChars="100" w:firstLine="201"/>
              <w:jc w:val="center"/>
              <w:rPr>
                <w:rFonts w:ascii="Arial" w:hAnsi="Arial" w:cs="Arial"/>
                <w:b/>
                <w:bCs/>
                <w:sz w:val="20"/>
                <w:szCs w:val="20"/>
              </w:rPr>
            </w:pPr>
          </w:p>
        </w:tc>
        <w:tc>
          <w:tcPr>
            <w:tcW w:w="810" w:type="dxa"/>
            <w:tcBorders>
              <w:top w:val="nil"/>
              <w:left w:val="nil"/>
              <w:bottom w:val="single" w:sz="4" w:space="0" w:color="auto"/>
              <w:right w:val="single" w:sz="4" w:space="0" w:color="auto"/>
            </w:tcBorders>
            <w:shd w:val="clear" w:color="auto" w:fill="000000" w:themeFill="text1"/>
            <w:noWrap/>
            <w:vAlign w:val="bottom"/>
          </w:tcPr>
          <w:p w14:paraId="6EFC6896" w14:textId="7033D1D1" w:rsidR="00FC6B03" w:rsidRPr="00697C02" w:rsidRDefault="00FC6B03" w:rsidP="00FC6B03">
            <w:pPr>
              <w:keepNext/>
              <w:keepLines/>
              <w:jc w:val="center"/>
              <w:rPr>
                <w:rFonts w:ascii="Arial" w:hAnsi="Arial" w:cs="Arial"/>
                <w:b/>
                <w:bCs/>
                <w:sz w:val="20"/>
                <w:szCs w:val="20"/>
              </w:rPr>
            </w:pPr>
          </w:p>
        </w:tc>
      </w:tr>
    </w:tbl>
    <w:p w14:paraId="14B35AB1" w14:textId="61ED1DA7" w:rsidR="001C7388" w:rsidRDefault="001C7388" w:rsidP="00CB13E9">
      <w:pPr>
        <w:spacing w:after="120"/>
        <w:rPr>
          <w:szCs w:val="32"/>
        </w:rPr>
      </w:pPr>
    </w:p>
    <w:p w14:paraId="024B51CC" w14:textId="7C857735" w:rsidR="00961DCE" w:rsidRDefault="00BE7C9B" w:rsidP="00CB13E9">
      <w:pPr>
        <w:spacing w:after="120"/>
        <w:rPr>
          <w:szCs w:val="32"/>
        </w:rPr>
      </w:pPr>
      <w:r>
        <w:fldChar w:fldCharType="begin"/>
      </w:r>
      <w:r>
        <w:instrText xml:space="preserve"> REF _Ref507073982 \h </w:instrText>
      </w:r>
      <w:r>
        <w:fldChar w:fldCharType="separate"/>
      </w:r>
      <w:r w:rsidR="005D5C7C" w:rsidRPr="0075594D">
        <w:rPr>
          <w:highlight w:val="lightGray"/>
        </w:rPr>
        <w:t xml:space="preserve">Figure </w:t>
      </w:r>
      <w:r w:rsidR="005D5C7C">
        <w:rPr>
          <w:noProof/>
          <w:highlight w:val="lightGray"/>
        </w:rPr>
        <w:t>4</w:t>
      </w:r>
      <w:r w:rsidR="005D5C7C" w:rsidRPr="0075594D">
        <w:rPr>
          <w:highlight w:val="lightGray"/>
        </w:rPr>
        <w:t>.</w:t>
      </w:r>
      <w:r w:rsidR="005D5C7C">
        <w:rPr>
          <w:noProof/>
          <w:highlight w:val="lightGray"/>
        </w:rPr>
        <w:t>11</w:t>
      </w:r>
      <w:r>
        <w:fldChar w:fldCharType="end"/>
      </w:r>
      <w:r>
        <w:t xml:space="preserve"> shows the aggregate hourly reference loads, observed loads, and estimated load impacts on the typical event day for NEM customers. </w:t>
      </w:r>
      <w:r w:rsidR="00476DF1">
        <w:fldChar w:fldCharType="begin"/>
      </w:r>
      <w:r w:rsidR="00476DF1">
        <w:instrText xml:space="preserve"> REF _Ref507074317 \h </w:instrText>
      </w:r>
      <w:r w:rsidR="00476DF1">
        <w:fldChar w:fldCharType="separate"/>
      </w:r>
      <w:r w:rsidR="005D5C7C">
        <w:t xml:space="preserve">Table </w:t>
      </w:r>
      <w:r w:rsidR="005D5C7C">
        <w:rPr>
          <w:noProof/>
        </w:rPr>
        <w:t>4</w:t>
      </w:r>
      <w:r w:rsidR="005D5C7C">
        <w:t>.</w:t>
      </w:r>
      <w:r w:rsidR="005D5C7C">
        <w:rPr>
          <w:noProof/>
        </w:rPr>
        <w:t>11</w:t>
      </w:r>
      <w:r w:rsidR="00476DF1">
        <w:fldChar w:fldCharType="end"/>
      </w:r>
      <w:r>
        <w:t xml:space="preserve"> contains the hourly typical event day results, </w:t>
      </w:r>
      <w:r w:rsidR="006060A1">
        <w:t xml:space="preserve">including </w:t>
      </w:r>
      <w:r>
        <w:t xml:space="preserve">hourly temperatures, and uncertainty adjusted load impacts. </w:t>
      </w:r>
      <w:r w:rsidR="00F30325" w:rsidRPr="00F30325">
        <w:rPr>
          <w:highlight w:val="black"/>
        </w:rPr>
        <w:t>----------------------------------------------------------------------------------------------------------------------------------------------------------------------------------------------------------------------------------------------------------------------------------------------------------------------------------------------------------------------------------------------------------------------------------------------------</w:t>
      </w:r>
    </w:p>
    <w:p w14:paraId="28EA8D4D" w14:textId="3861E0B8" w:rsidR="00E03C8D" w:rsidRDefault="00B61877" w:rsidP="00CB13E9">
      <w:pPr>
        <w:spacing w:after="120"/>
        <w:rPr>
          <w:szCs w:val="32"/>
        </w:rPr>
      </w:pPr>
      <w:r>
        <w:rPr>
          <w:noProof/>
          <w:szCs w:val="32"/>
        </w:rPr>
        <mc:AlternateContent>
          <mc:Choice Requires="wps">
            <w:drawing>
              <wp:anchor distT="0" distB="0" distL="114300" distR="114300" simplePos="0" relativeHeight="251693056" behindDoc="0" locked="0" layoutInCell="1" allowOverlap="1" wp14:anchorId="1DF6BF33" wp14:editId="238102CE">
                <wp:simplePos x="0" y="0"/>
                <wp:positionH relativeFrom="margin">
                  <wp:align>right</wp:align>
                </wp:positionH>
                <wp:positionV relativeFrom="paragraph">
                  <wp:posOffset>2893391</wp:posOffset>
                </wp:positionV>
                <wp:extent cx="5422789" cy="397566"/>
                <wp:effectExtent l="0" t="0" r="26035" b="21590"/>
                <wp:wrapNone/>
                <wp:docPr id="44" name="Text Box 44"/>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3787D5A0"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F6BF33" id="Text Box 44" o:spid="_x0000_s1043" type="#_x0000_t202" style="position:absolute;margin-left:375.8pt;margin-top:227.85pt;width:427pt;height:31.3pt;z-index:25169305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" fillcolor="white [3201]" strokeweight=".5pt">
                <v:textbox>
                  <w:txbxContent>
                    <w:p w14:paraId="3787D5A0"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5D0AF836" w14:textId="0DF52F6A" w:rsidR="00E03C8D" w:rsidRDefault="00E03C8D" w:rsidP="00E03C8D">
      <w:pPr>
        <w:pStyle w:val="FigureCaption"/>
        <w:rPr>
          <w:i/>
        </w:rPr>
      </w:pPr>
      <w:bookmarkStart w:id="318" w:name="_Ref507073982"/>
      <w:bookmarkStart w:id="319" w:name="_Toc509837489"/>
      <w:r w:rsidRPr="0075594D">
        <w:rPr>
          <w:highlight w:val="lightGray"/>
        </w:rPr>
        <w:lastRenderedPageBreak/>
        <w:t xml:space="preserve">Figure </w:t>
      </w:r>
      <w:r w:rsidR="00D90CBD" w:rsidRPr="0075594D">
        <w:rPr>
          <w:highlight w:val="lightGray"/>
        </w:rPr>
        <w:fldChar w:fldCharType="begin"/>
      </w:r>
      <w:r w:rsidR="00D90CBD" w:rsidRPr="0075594D">
        <w:rPr>
          <w:highlight w:val="lightGray"/>
        </w:rPr>
        <w:instrText xml:space="preserve"> STYLEREF 1 \s </w:instrText>
      </w:r>
      <w:r w:rsidR="00D90CBD" w:rsidRPr="0075594D">
        <w:rPr>
          <w:highlight w:val="lightGray"/>
        </w:rPr>
        <w:fldChar w:fldCharType="separate"/>
      </w:r>
      <w:r w:rsidR="005D5C7C">
        <w:rPr>
          <w:noProof/>
          <w:highlight w:val="lightGray"/>
        </w:rPr>
        <w:t>4</w:t>
      </w:r>
      <w:r w:rsidR="00D90CBD" w:rsidRPr="0075594D">
        <w:rPr>
          <w:noProof/>
          <w:highlight w:val="lightGray"/>
        </w:rPr>
        <w:fldChar w:fldCharType="end"/>
      </w:r>
      <w:r w:rsidR="00A11E78" w:rsidRPr="0075594D">
        <w:rPr>
          <w:highlight w:val="lightGray"/>
        </w:rPr>
        <w:t>.</w:t>
      </w:r>
      <w:r w:rsidR="00D90CBD" w:rsidRPr="0075594D">
        <w:rPr>
          <w:highlight w:val="lightGray"/>
        </w:rPr>
        <w:fldChar w:fldCharType="begin"/>
      </w:r>
      <w:r w:rsidR="00D90CBD" w:rsidRPr="0075594D">
        <w:rPr>
          <w:highlight w:val="lightGray"/>
        </w:rPr>
        <w:instrText xml:space="preserve"> SEQ Figure \* ARABIC \s 1 </w:instrText>
      </w:r>
      <w:r w:rsidR="00D90CBD" w:rsidRPr="0075594D">
        <w:rPr>
          <w:highlight w:val="lightGray"/>
        </w:rPr>
        <w:fldChar w:fldCharType="separate"/>
      </w:r>
      <w:r w:rsidR="005D5C7C">
        <w:rPr>
          <w:noProof/>
          <w:highlight w:val="lightGray"/>
        </w:rPr>
        <w:t>11</w:t>
      </w:r>
      <w:r w:rsidR="00D90CBD" w:rsidRPr="0075594D">
        <w:rPr>
          <w:noProof/>
          <w:highlight w:val="lightGray"/>
        </w:rPr>
        <w:fldChar w:fldCharType="end"/>
      </w:r>
      <w:bookmarkEnd w:id="318"/>
      <w:r w:rsidRPr="0075594D">
        <w:rPr>
          <w:highlight w:val="lightGray"/>
        </w:rPr>
        <w:t>: Typical Event Day Reference Loads and Load Profile, SCE</w:t>
      </w:r>
      <w:r w:rsidRPr="0075594D">
        <w:rPr>
          <w:i/>
          <w:highlight w:val="lightGray"/>
        </w:rPr>
        <w:t xml:space="preserve"> NEM</w:t>
      </w:r>
      <w:bookmarkEnd w:id="319"/>
    </w:p>
    <w:p w14:paraId="2F6A7886" w14:textId="5D6CFDE2" w:rsidR="007A68CF" w:rsidRDefault="00F30325" w:rsidP="00F30325">
      <w:pPr>
        <w:jc w:val="center"/>
      </w:pPr>
      <w:r>
        <w:rPr>
          <w:noProof/>
        </w:rPr>
        <w:drawing>
          <wp:inline distT="0" distB="0" distL="0" distR="0" wp14:anchorId="3954B7A5" wp14:editId="3F88A53A">
            <wp:extent cx="5184140" cy="3975652"/>
            <wp:effectExtent l="0" t="0" r="16510" b="6350"/>
            <wp:docPr id="111" name="Chart 111">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55FB2AC7" w14:textId="54BBA981" w:rsidR="007A68CF" w:rsidRDefault="007A68CF" w:rsidP="007A68CF"/>
    <w:p w14:paraId="366E8F39" w14:textId="417A9F99" w:rsidR="00E03C8D" w:rsidRDefault="00E03C8D" w:rsidP="00CB13E9">
      <w:pPr>
        <w:spacing w:after="120"/>
        <w:rPr>
          <w:szCs w:val="32"/>
        </w:rPr>
      </w:pPr>
    </w:p>
    <w:p w14:paraId="2449DD6E" w14:textId="43814683" w:rsidR="00476DF1" w:rsidRDefault="00B61877" w:rsidP="00CB13E9">
      <w:pPr>
        <w:spacing w:after="120"/>
        <w:rPr>
          <w:szCs w:val="32"/>
        </w:rPr>
      </w:pPr>
      <w:r>
        <w:rPr>
          <w:noProof/>
          <w:szCs w:val="32"/>
        </w:rPr>
        <mc:AlternateContent>
          <mc:Choice Requires="wps">
            <w:drawing>
              <wp:anchor distT="0" distB="0" distL="114300" distR="114300" simplePos="0" relativeHeight="251695104" behindDoc="0" locked="0" layoutInCell="1" allowOverlap="1" wp14:anchorId="517AEC93" wp14:editId="69236633">
                <wp:simplePos x="0" y="0"/>
                <wp:positionH relativeFrom="margin">
                  <wp:align>right</wp:align>
                </wp:positionH>
                <wp:positionV relativeFrom="paragraph">
                  <wp:posOffset>3807764</wp:posOffset>
                </wp:positionV>
                <wp:extent cx="5422789" cy="397566"/>
                <wp:effectExtent l="0" t="0" r="26035" b="21590"/>
                <wp:wrapNone/>
                <wp:docPr id="48" name="Text Box 48"/>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5EFDE07"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7AEC93" id="Text Box 48" o:spid="_x0000_s1044" type="#_x0000_t202" style="position:absolute;margin-left:375.8pt;margin-top:299.8pt;width:427pt;height:31.3pt;z-index:25169510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" fillcolor="white [3201]" strokeweight=".5pt">
                <v:textbox>
                  <w:txbxContent>
                    <w:p w14:paraId="65EFDE07"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242AAFFF" w14:textId="6581BE63" w:rsidR="00476DF1" w:rsidRDefault="00476DF1" w:rsidP="00476DF1">
      <w:pPr>
        <w:pStyle w:val="TableCaption"/>
      </w:pPr>
      <w:bookmarkStart w:id="320" w:name="_Ref507074317"/>
      <w:bookmarkStart w:id="321" w:name="_Toc509837394"/>
      <w:r>
        <w:lastRenderedPageBreak/>
        <w:t xml:space="preserve">Table </w:t>
      </w:r>
      <w:fldSimple w:instr=" STYLEREF 1 \s ">
        <w:r w:rsidR="005D5C7C">
          <w:rPr>
            <w:noProof/>
          </w:rPr>
          <w:t>4</w:t>
        </w:r>
      </w:fldSimple>
      <w:r w:rsidR="0069714C">
        <w:t>.</w:t>
      </w:r>
      <w:fldSimple w:instr=" SEQ Table \* ARABIC \s 1 ">
        <w:r w:rsidR="005D5C7C">
          <w:rPr>
            <w:noProof/>
          </w:rPr>
          <w:t>11</w:t>
        </w:r>
      </w:fldSimple>
      <w:bookmarkEnd w:id="320"/>
      <w:r>
        <w:t xml:space="preserve">: </w:t>
      </w:r>
      <w:r w:rsidR="00515724">
        <w:t>Typical Event Day</w:t>
      </w:r>
      <w:r>
        <w:t xml:space="preserve"> Load Impacts and Uncertainty Adjusted Estimates by hour</w:t>
      </w:r>
      <w:r w:rsidRPr="009300C9">
        <w:rPr>
          <w:i/>
        </w:rPr>
        <w:t xml:space="preserve">, </w:t>
      </w:r>
      <w:r>
        <w:rPr>
          <w:i/>
        </w:rPr>
        <w:t>SCE NEM</w:t>
      </w:r>
      <w:bookmarkEnd w:id="321"/>
    </w:p>
    <w:p w14:paraId="08AB79DA" w14:textId="6AE70C44" w:rsidR="00961DCE" w:rsidRDefault="008A16C9" w:rsidP="008A16C9">
      <w:pPr>
        <w:spacing w:after="120"/>
        <w:jc w:val="center"/>
        <w:rPr>
          <w:szCs w:val="32"/>
        </w:rPr>
      </w:pPr>
      <w:r>
        <w:rPr>
          <w:noProof/>
        </w:rPr>
        <w:drawing>
          <wp:inline distT="0" distB="0" distL="0" distR="0" wp14:anchorId="3CCE8E8E" wp14:editId="0C31A448">
            <wp:extent cx="5080635" cy="4373217"/>
            <wp:effectExtent l="0" t="0" r="5715" b="8890"/>
            <wp:docPr id="115" name="Chart 115">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1089E4F8" w14:textId="77777777" w:rsidR="00FC6B03" w:rsidRDefault="00FC6B03" w:rsidP="00CB13E9">
      <w:pPr>
        <w:spacing w:after="120"/>
        <w:rPr>
          <w:szCs w:val="32"/>
        </w:rPr>
      </w:pPr>
    </w:p>
    <w:p w14:paraId="108EC030" w14:textId="5C59653C" w:rsidR="00F92220" w:rsidRDefault="00B61877" w:rsidP="00F92220">
      <w:pPr>
        <w:spacing w:after="120"/>
        <w:rPr>
          <w:szCs w:val="32"/>
        </w:rPr>
      </w:pPr>
      <w:r>
        <w:rPr>
          <w:noProof/>
          <w:szCs w:val="32"/>
        </w:rPr>
        <mc:AlternateContent>
          <mc:Choice Requires="wps">
            <w:drawing>
              <wp:anchor distT="0" distB="0" distL="114300" distR="114300" simplePos="0" relativeHeight="251697152" behindDoc="0" locked="0" layoutInCell="1" allowOverlap="1" wp14:anchorId="5A299873" wp14:editId="1E86B116">
                <wp:simplePos x="0" y="0"/>
                <wp:positionH relativeFrom="margin">
                  <wp:align>right</wp:align>
                </wp:positionH>
                <wp:positionV relativeFrom="paragraph">
                  <wp:posOffset>3326130</wp:posOffset>
                </wp:positionV>
                <wp:extent cx="5422789" cy="397566"/>
                <wp:effectExtent l="0" t="0" r="26035" b="21590"/>
                <wp:wrapNone/>
                <wp:docPr id="49" name="Text Box 49"/>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30FF83F1"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299873" id="Text Box 49" o:spid="_x0000_s1045" type="#_x0000_t202" style="position:absolute;margin-left:375.8pt;margin-top:261.9pt;width:427pt;height:31.3pt;z-index:2516971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" fillcolor="white [3201]" strokeweight=".5pt">
                <v:textbox>
                  <w:txbxContent>
                    <w:p w14:paraId="30FF83F1"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F92220">
        <w:rPr>
          <w:szCs w:val="32"/>
        </w:rPr>
        <w:t xml:space="preserve">Next, we look at SCE NEM customer estimates by industry group. </w:t>
      </w:r>
      <w:r w:rsidR="00F92220">
        <w:rPr>
          <w:szCs w:val="32"/>
        </w:rPr>
        <w:fldChar w:fldCharType="begin"/>
      </w:r>
      <w:r w:rsidR="00F92220">
        <w:rPr>
          <w:szCs w:val="32"/>
        </w:rPr>
        <w:instrText xml:space="preserve"> REF _Ref507073943 \h </w:instrText>
      </w:r>
      <w:r w:rsidR="00F92220">
        <w:rPr>
          <w:szCs w:val="32"/>
        </w:rPr>
      </w:r>
      <w:r w:rsidR="00F92220">
        <w:rPr>
          <w:szCs w:val="32"/>
        </w:rPr>
        <w:fldChar w:fldCharType="separate"/>
      </w:r>
      <w:r w:rsidR="005D5C7C">
        <w:t xml:space="preserve">Table </w:t>
      </w:r>
      <w:r w:rsidR="005D5C7C">
        <w:rPr>
          <w:noProof/>
        </w:rPr>
        <w:t>4</w:t>
      </w:r>
      <w:r w:rsidR="005D5C7C">
        <w:t>.</w:t>
      </w:r>
      <w:r w:rsidR="005D5C7C">
        <w:rPr>
          <w:noProof/>
        </w:rPr>
        <w:t>12</w:t>
      </w:r>
      <w:r w:rsidR="00F92220">
        <w:rPr>
          <w:szCs w:val="32"/>
        </w:rPr>
        <w:fldChar w:fldCharType="end"/>
      </w:r>
      <w:r w:rsidR="00F92220">
        <w:rPr>
          <w:szCs w:val="32"/>
        </w:rPr>
        <w:t xml:space="preserve"> summarizes the aggregate event-hour results for the typical event day for six industry groups, including the number of enrolled customers, the reference and observed loads, and the estimated load impacts (in MWh/hour and as a percentage of the reference load).</w:t>
      </w:r>
      <w:r w:rsidR="00F92220">
        <w:rPr>
          <w:rStyle w:val="FootnoteReference"/>
          <w:szCs w:val="32"/>
        </w:rPr>
        <w:footnoteReference w:id="16"/>
      </w:r>
      <w:r w:rsidR="00F92220">
        <w:rPr>
          <w:szCs w:val="32"/>
        </w:rPr>
        <w:t xml:space="preserve"> </w:t>
      </w:r>
      <w:r w:rsidR="008A16C9" w:rsidRPr="008A16C9">
        <w:rPr>
          <w:szCs w:val="32"/>
          <w:highlight w:val="black"/>
        </w:rPr>
        <w:t>-------------------------------------------------------------------------------------------------------------------------------------------------------------------------------------------------------------------------------------------------------------------------------------------------------------------------------------------------------------------------------------------------------------------------------------------------------------------------------------------------------------------------------------------------------------------------------------------------------------------------------------------------------------------------------------------------------------------------------------------------------------------------------------------------------------------------------------------------------------------------</w:t>
      </w:r>
      <w:r w:rsidR="00701781">
        <w:rPr>
          <w:szCs w:val="32"/>
        </w:rPr>
        <w:t xml:space="preserve">  </w:t>
      </w:r>
    </w:p>
    <w:p w14:paraId="18C04C86" w14:textId="66E37903" w:rsidR="002F5C6C" w:rsidRPr="002F5C6C" w:rsidRDefault="002F5C6C" w:rsidP="002F5C6C">
      <w:pPr>
        <w:pStyle w:val="TableCaption"/>
        <w:rPr>
          <w:i/>
        </w:rPr>
      </w:pPr>
      <w:bookmarkStart w:id="322" w:name="_Ref507073943"/>
      <w:bookmarkStart w:id="323" w:name="_Toc509837395"/>
      <w:r>
        <w:lastRenderedPageBreak/>
        <w:t xml:space="preserve">Table </w:t>
      </w:r>
      <w:fldSimple w:instr=" STYLEREF 1 \s ">
        <w:r w:rsidR="005D5C7C">
          <w:rPr>
            <w:noProof/>
          </w:rPr>
          <w:t>4</w:t>
        </w:r>
      </w:fldSimple>
      <w:r w:rsidR="0069714C">
        <w:t>.</w:t>
      </w:r>
      <w:fldSimple w:instr=" SEQ Table \* ARABIC \s 1 ">
        <w:r w:rsidR="005D5C7C">
          <w:rPr>
            <w:noProof/>
          </w:rPr>
          <w:t>12</w:t>
        </w:r>
      </w:fldSimple>
      <w:bookmarkEnd w:id="322"/>
      <w:r>
        <w:t>:</w:t>
      </w:r>
      <w:r w:rsidRPr="002F5C6C">
        <w:t xml:space="preserve"> </w:t>
      </w:r>
      <w:r>
        <w:t>Typical Event Day Load Impacts b</w:t>
      </w:r>
      <w:r w:rsidRPr="006C0719">
        <w:t xml:space="preserve">y Industry Group, </w:t>
      </w:r>
      <w:r w:rsidRPr="000617A8">
        <w:rPr>
          <w:i/>
        </w:rPr>
        <w:t>SCE</w:t>
      </w:r>
      <w:r>
        <w:rPr>
          <w:i/>
        </w:rPr>
        <w:t xml:space="preserve"> NEM</w:t>
      </w:r>
      <w:bookmarkEnd w:id="32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170"/>
        <w:gridCol w:w="1440"/>
        <w:gridCol w:w="1350"/>
        <w:gridCol w:w="1350"/>
        <w:gridCol w:w="807"/>
      </w:tblGrid>
      <w:tr w:rsidR="002F5C6C" w14:paraId="1F02312F" w14:textId="77777777" w:rsidTr="006060A1">
        <w:trPr>
          <w:jc w:val="center"/>
        </w:trPr>
        <w:tc>
          <w:tcPr>
            <w:tcW w:w="1980" w:type="dxa"/>
            <w:tcBorders>
              <w:right w:val="single" w:sz="4" w:space="0" w:color="FFFFFF" w:themeColor="background1"/>
            </w:tcBorders>
            <w:shd w:val="clear" w:color="auto" w:fill="0C2577"/>
            <w:vAlign w:val="center"/>
          </w:tcPr>
          <w:p w14:paraId="3C0363FA" w14:textId="77777777"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Industry Group</w:t>
            </w:r>
          </w:p>
        </w:tc>
        <w:tc>
          <w:tcPr>
            <w:tcW w:w="1170" w:type="dxa"/>
            <w:tcBorders>
              <w:left w:val="single" w:sz="4" w:space="0" w:color="FFFFFF" w:themeColor="background1"/>
              <w:right w:val="single" w:sz="4" w:space="0" w:color="FFFFFF" w:themeColor="background1"/>
            </w:tcBorders>
            <w:shd w:val="clear" w:color="auto" w:fill="0C2577"/>
            <w:vAlign w:val="center"/>
          </w:tcPr>
          <w:p w14:paraId="691F47E2" w14:textId="77777777" w:rsidR="002F5C6C" w:rsidRPr="007E0A27" w:rsidRDefault="002F5C6C" w:rsidP="006060A1">
            <w:pPr>
              <w:keepNext/>
              <w:keepLines/>
              <w:jc w:val="right"/>
              <w:rPr>
                <w:rFonts w:ascii="Arial" w:hAnsi="Arial" w:cs="Arial"/>
                <w:b/>
                <w:sz w:val="20"/>
                <w:szCs w:val="20"/>
              </w:rPr>
            </w:pPr>
            <w:r>
              <w:rPr>
                <w:rFonts w:ascii="Arial" w:hAnsi="Arial" w:cs="Arial"/>
                <w:b/>
                <w:sz w:val="20"/>
                <w:szCs w:val="20"/>
              </w:rPr>
              <w:t># of Service Accounts</w:t>
            </w:r>
          </w:p>
        </w:tc>
        <w:tc>
          <w:tcPr>
            <w:tcW w:w="1440" w:type="dxa"/>
            <w:tcBorders>
              <w:left w:val="single" w:sz="4" w:space="0" w:color="FFFFFF" w:themeColor="background1"/>
              <w:right w:val="single" w:sz="4" w:space="0" w:color="FFFFFF" w:themeColor="background1"/>
            </w:tcBorders>
            <w:shd w:val="clear" w:color="auto" w:fill="0C2577"/>
            <w:vAlign w:val="center"/>
          </w:tcPr>
          <w:p w14:paraId="70158FAD" w14:textId="3D6D579A" w:rsidR="002F5C6C" w:rsidRPr="007E0A27" w:rsidRDefault="002F5C6C" w:rsidP="006060A1">
            <w:pPr>
              <w:keepNext/>
              <w:keepLines/>
              <w:jc w:val="right"/>
              <w:rPr>
                <w:rFonts w:ascii="Arial" w:hAnsi="Arial" w:cs="Arial"/>
                <w:b/>
                <w:sz w:val="20"/>
                <w:szCs w:val="20"/>
              </w:rPr>
            </w:pPr>
            <w:r w:rsidRPr="007E0A27">
              <w:rPr>
                <w:rFonts w:ascii="Arial" w:hAnsi="Arial" w:cs="Arial"/>
                <w:b/>
                <w:sz w:val="20"/>
                <w:szCs w:val="20"/>
              </w:rPr>
              <w:t>Estimated Reference Load (MW</w:t>
            </w:r>
            <w:r w:rsidR="007A68CF">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0635D33E" w14:textId="01953D55" w:rsidR="002F5C6C" w:rsidRPr="007E0A27" w:rsidRDefault="002F5C6C" w:rsidP="006060A1">
            <w:pPr>
              <w:keepNext/>
              <w:keepLines/>
              <w:jc w:val="right"/>
              <w:rPr>
                <w:rFonts w:ascii="Arial" w:hAnsi="Arial" w:cs="Arial"/>
                <w:b/>
                <w:sz w:val="20"/>
                <w:szCs w:val="20"/>
              </w:rPr>
            </w:pPr>
            <w:r w:rsidRPr="007E0A27">
              <w:rPr>
                <w:rFonts w:ascii="Arial" w:hAnsi="Arial" w:cs="Arial"/>
                <w:b/>
                <w:sz w:val="20"/>
                <w:szCs w:val="20"/>
              </w:rPr>
              <w:t>Observed Load (MW</w:t>
            </w:r>
            <w:r w:rsidR="007A68CF">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59F59A82" w14:textId="2C07D4B5" w:rsidR="002F5C6C" w:rsidRPr="007E0A27" w:rsidRDefault="002F5C6C" w:rsidP="006060A1">
            <w:pPr>
              <w:keepNext/>
              <w:keepLines/>
              <w:jc w:val="right"/>
              <w:rPr>
                <w:rFonts w:ascii="Arial" w:hAnsi="Arial" w:cs="Arial"/>
                <w:b/>
                <w:sz w:val="20"/>
                <w:szCs w:val="20"/>
              </w:rPr>
            </w:pPr>
            <w:r w:rsidRPr="007E0A27">
              <w:rPr>
                <w:rFonts w:ascii="Arial" w:hAnsi="Arial" w:cs="Arial"/>
                <w:b/>
                <w:sz w:val="20"/>
                <w:szCs w:val="20"/>
              </w:rPr>
              <w:t>Estimated Load Impact (MW</w:t>
            </w:r>
            <w:r w:rsidR="007A68CF">
              <w:rPr>
                <w:rFonts w:ascii="Arial" w:hAnsi="Arial" w:cs="Arial"/>
                <w:b/>
                <w:sz w:val="20"/>
                <w:szCs w:val="20"/>
              </w:rPr>
              <w:t>h/hour</w:t>
            </w:r>
            <w:r w:rsidRPr="007E0A27">
              <w:rPr>
                <w:rFonts w:ascii="Arial" w:hAnsi="Arial" w:cs="Arial"/>
                <w:b/>
                <w:sz w:val="20"/>
                <w:szCs w:val="20"/>
              </w:rPr>
              <w:t>)</w:t>
            </w:r>
          </w:p>
        </w:tc>
        <w:tc>
          <w:tcPr>
            <w:tcW w:w="807" w:type="dxa"/>
            <w:tcBorders>
              <w:left w:val="single" w:sz="4" w:space="0" w:color="FFFFFF" w:themeColor="background1"/>
            </w:tcBorders>
            <w:shd w:val="clear" w:color="auto" w:fill="0C2577"/>
            <w:vAlign w:val="center"/>
          </w:tcPr>
          <w:p w14:paraId="3E3554C7" w14:textId="77777777" w:rsidR="002F5C6C" w:rsidRPr="007E0A27" w:rsidRDefault="002F5C6C" w:rsidP="006060A1">
            <w:pPr>
              <w:keepNext/>
              <w:keepLines/>
              <w:jc w:val="right"/>
              <w:rPr>
                <w:rFonts w:ascii="Arial" w:hAnsi="Arial" w:cs="Arial"/>
                <w:b/>
                <w:sz w:val="20"/>
                <w:szCs w:val="20"/>
              </w:rPr>
            </w:pPr>
            <w:r w:rsidRPr="007E0A27">
              <w:rPr>
                <w:rFonts w:ascii="Arial" w:hAnsi="Arial" w:cs="Arial"/>
                <w:b/>
                <w:sz w:val="20"/>
                <w:szCs w:val="20"/>
              </w:rPr>
              <w:t>% LI</w:t>
            </w:r>
          </w:p>
        </w:tc>
      </w:tr>
      <w:tr w:rsidR="00133730" w14:paraId="6CEAED29" w14:textId="77777777" w:rsidTr="008A16C9">
        <w:trPr>
          <w:jc w:val="center"/>
        </w:trPr>
        <w:tc>
          <w:tcPr>
            <w:tcW w:w="1980" w:type="dxa"/>
            <w:vAlign w:val="center"/>
          </w:tcPr>
          <w:p w14:paraId="75F12AD8" w14:textId="77777777" w:rsidR="00133730" w:rsidRPr="007E0A27" w:rsidRDefault="00133730" w:rsidP="00133730">
            <w:pPr>
              <w:keepNext/>
              <w:keepLines/>
              <w:rPr>
                <w:rFonts w:ascii="Arial" w:hAnsi="Arial" w:cs="Arial"/>
                <w:sz w:val="20"/>
                <w:szCs w:val="20"/>
              </w:rPr>
            </w:pPr>
            <w:r w:rsidRPr="007E0A27">
              <w:rPr>
                <w:rFonts w:ascii="Arial" w:hAnsi="Arial" w:cs="Arial"/>
                <w:sz w:val="20"/>
                <w:szCs w:val="20"/>
              </w:rPr>
              <w:t>Manufacturing</w:t>
            </w:r>
          </w:p>
        </w:tc>
        <w:tc>
          <w:tcPr>
            <w:tcW w:w="1170" w:type="dxa"/>
            <w:shd w:val="clear" w:color="auto" w:fill="000000" w:themeFill="text1"/>
            <w:vAlign w:val="center"/>
          </w:tcPr>
          <w:p w14:paraId="40059DD3" w14:textId="2B605CDE" w:rsidR="00133730" w:rsidRPr="00B61877" w:rsidRDefault="00133730" w:rsidP="00133730">
            <w:pPr>
              <w:jc w:val="right"/>
              <w:rPr>
                <w:rFonts w:ascii="Arial" w:hAnsi="Arial" w:cs="Arial"/>
                <w:sz w:val="20"/>
                <w:szCs w:val="20"/>
              </w:rPr>
            </w:pPr>
          </w:p>
        </w:tc>
        <w:tc>
          <w:tcPr>
            <w:tcW w:w="1440" w:type="dxa"/>
            <w:shd w:val="clear" w:color="auto" w:fill="000000" w:themeFill="text1"/>
            <w:vAlign w:val="center"/>
          </w:tcPr>
          <w:p w14:paraId="32847D26" w14:textId="2C289171"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1FC1D7F3" w14:textId="3183E658"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6A864125" w14:textId="6209EADC" w:rsidR="00133730" w:rsidRPr="00B61877" w:rsidRDefault="00133730" w:rsidP="00133730">
            <w:pPr>
              <w:jc w:val="right"/>
              <w:rPr>
                <w:rFonts w:ascii="Arial" w:hAnsi="Arial" w:cs="Arial"/>
                <w:sz w:val="20"/>
                <w:szCs w:val="20"/>
              </w:rPr>
            </w:pPr>
          </w:p>
        </w:tc>
        <w:tc>
          <w:tcPr>
            <w:tcW w:w="807" w:type="dxa"/>
            <w:shd w:val="clear" w:color="auto" w:fill="000000" w:themeFill="text1"/>
            <w:vAlign w:val="center"/>
          </w:tcPr>
          <w:p w14:paraId="3B7E074D" w14:textId="05C4980D" w:rsidR="00133730" w:rsidRPr="00B61877" w:rsidRDefault="00133730" w:rsidP="00133730">
            <w:pPr>
              <w:jc w:val="right"/>
              <w:rPr>
                <w:rFonts w:ascii="Arial" w:hAnsi="Arial" w:cs="Arial"/>
                <w:sz w:val="20"/>
                <w:szCs w:val="20"/>
              </w:rPr>
            </w:pPr>
          </w:p>
        </w:tc>
      </w:tr>
      <w:tr w:rsidR="00133730" w14:paraId="0D8F182A" w14:textId="77777777" w:rsidTr="008A16C9">
        <w:trPr>
          <w:jc w:val="center"/>
        </w:trPr>
        <w:tc>
          <w:tcPr>
            <w:tcW w:w="1980" w:type="dxa"/>
            <w:vAlign w:val="center"/>
          </w:tcPr>
          <w:p w14:paraId="0B993615" w14:textId="77777777" w:rsidR="00133730" w:rsidRPr="007E0A27" w:rsidRDefault="00133730" w:rsidP="00133730">
            <w:pPr>
              <w:keepNext/>
              <w:keepLines/>
              <w:rPr>
                <w:rFonts w:ascii="Arial" w:hAnsi="Arial" w:cs="Arial"/>
                <w:sz w:val="20"/>
                <w:szCs w:val="20"/>
              </w:rPr>
            </w:pPr>
            <w:r w:rsidRPr="007E0A27">
              <w:rPr>
                <w:rFonts w:ascii="Arial" w:hAnsi="Arial" w:cs="Arial"/>
                <w:sz w:val="20"/>
                <w:szCs w:val="20"/>
              </w:rPr>
              <w:t>Wholesale, Transportation, &amp; Other Utilities</w:t>
            </w:r>
          </w:p>
        </w:tc>
        <w:tc>
          <w:tcPr>
            <w:tcW w:w="1170" w:type="dxa"/>
            <w:shd w:val="clear" w:color="auto" w:fill="000000" w:themeFill="text1"/>
            <w:vAlign w:val="center"/>
          </w:tcPr>
          <w:p w14:paraId="0FBC8498" w14:textId="6BC93E54" w:rsidR="00133730" w:rsidRPr="00B61877" w:rsidRDefault="00133730" w:rsidP="00133730">
            <w:pPr>
              <w:jc w:val="right"/>
              <w:rPr>
                <w:rFonts w:ascii="Arial" w:hAnsi="Arial" w:cs="Arial"/>
                <w:sz w:val="20"/>
                <w:szCs w:val="20"/>
              </w:rPr>
            </w:pPr>
          </w:p>
        </w:tc>
        <w:tc>
          <w:tcPr>
            <w:tcW w:w="1440" w:type="dxa"/>
            <w:shd w:val="clear" w:color="auto" w:fill="000000" w:themeFill="text1"/>
            <w:vAlign w:val="center"/>
          </w:tcPr>
          <w:p w14:paraId="4E378134" w14:textId="422A4C98"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42647465" w14:textId="18850555"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22D20BA1" w14:textId="24D84969" w:rsidR="00133730" w:rsidRPr="00B61877" w:rsidRDefault="00133730" w:rsidP="00133730">
            <w:pPr>
              <w:jc w:val="right"/>
              <w:rPr>
                <w:rFonts w:ascii="Arial" w:hAnsi="Arial" w:cs="Arial"/>
                <w:sz w:val="20"/>
                <w:szCs w:val="20"/>
              </w:rPr>
            </w:pPr>
          </w:p>
        </w:tc>
        <w:tc>
          <w:tcPr>
            <w:tcW w:w="807" w:type="dxa"/>
            <w:shd w:val="clear" w:color="auto" w:fill="000000" w:themeFill="text1"/>
            <w:vAlign w:val="center"/>
          </w:tcPr>
          <w:p w14:paraId="6F14D728" w14:textId="2AD768B2" w:rsidR="00133730" w:rsidRPr="00B61877" w:rsidRDefault="00133730" w:rsidP="00133730">
            <w:pPr>
              <w:jc w:val="right"/>
              <w:rPr>
                <w:rFonts w:ascii="Arial" w:hAnsi="Arial" w:cs="Arial"/>
                <w:sz w:val="20"/>
                <w:szCs w:val="20"/>
              </w:rPr>
            </w:pPr>
          </w:p>
        </w:tc>
      </w:tr>
      <w:tr w:rsidR="00133730" w14:paraId="6E40471F" w14:textId="77777777" w:rsidTr="008A16C9">
        <w:trPr>
          <w:jc w:val="center"/>
        </w:trPr>
        <w:tc>
          <w:tcPr>
            <w:tcW w:w="1980" w:type="dxa"/>
            <w:vAlign w:val="center"/>
          </w:tcPr>
          <w:p w14:paraId="459EB5D6" w14:textId="77777777" w:rsidR="00133730" w:rsidRPr="007E0A27" w:rsidRDefault="00133730" w:rsidP="00133730">
            <w:pPr>
              <w:keepNext/>
              <w:keepLines/>
              <w:rPr>
                <w:rFonts w:ascii="Arial" w:hAnsi="Arial" w:cs="Arial"/>
                <w:sz w:val="20"/>
                <w:szCs w:val="20"/>
              </w:rPr>
            </w:pPr>
            <w:r w:rsidRPr="007E0A27">
              <w:rPr>
                <w:rFonts w:ascii="Arial" w:hAnsi="Arial" w:cs="Arial"/>
                <w:sz w:val="20"/>
                <w:szCs w:val="20"/>
              </w:rPr>
              <w:t>Retail Stores</w:t>
            </w:r>
          </w:p>
        </w:tc>
        <w:tc>
          <w:tcPr>
            <w:tcW w:w="1170" w:type="dxa"/>
            <w:shd w:val="clear" w:color="auto" w:fill="000000" w:themeFill="text1"/>
            <w:vAlign w:val="center"/>
          </w:tcPr>
          <w:p w14:paraId="74B29D85" w14:textId="10C94182" w:rsidR="00133730" w:rsidRPr="00B61877" w:rsidRDefault="00133730" w:rsidP="00133730">
            <w:pPr>
              <w:jc w:val="right"/>
              <w:rPr>
                <w:rFonts w:ascii="Arial" w:hAnsi="Arial" w:cs="Arial"/>
                <w:sz w:val="20"/>
                <w:szCs w:val="20"/>
              </w:rPr>
            </w:pPr>
          </w:p>
        </w:tc>
        <w:tc>
          <w:tcPr>
            <w:tcW w:w="1440" w:type="dxa"/>
            <w:shd w:val="clear" w:color="auto" w:fill="000000" w:themeFill="text1"/>
            <w:vAlign w:val="center"/>
          </w:tcPr>
          <w:p w14:paraId="0351DBCD" w14:textId="0784E81C"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7669EAE9" w14:textId="68405835"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5865E9A0" w14:textId="34C798DE" w:rsidR="00133730" w:rsidRPr="00B61877" w:rsidRDefault="00133730" w:rsidP="00133730">
            <w:pPr>
              <w:jc w:val="right"/>
              <w:rPr>
                <w:rFonts w:ascii="Arial" w:hAnsi="Arial" w:cs="Arial"/>
                <w:sz w:val="20"/>
                <w:szCs w:val="20"/>
              </w:rPr>
            </w:pPr>
          </w:p>
        </w:tc>
        <w:tc>
          <w:tcPr>
            <w:tcW w:w="807" w:type="dxa"/>
            <w:shd w:val="clear" w:color="auto" w:fill="000000" w:themeFill="text1"/>
            <w:vAlign w:val="center"/>
          </w:tcPr>
          <w:p w14:paraId="58C08F24" w14:textId="226917ED" w:rsidR="00133730" w:rsidRPr="00B61877" w:rsidRDefault="00133730" w:rsidP="00133730">
            <w:pPr>
              <w:jc w:val="right"/>
              <w:rPr>
                <w:rFonts w:ascii="Arial" w:hAnsi="Arial" w:cs="Arial"/>
                <w:sz w:val="20"/>
                <w:szCs w:val="20"/>
              </w:rPr>
            </w:pPr>
          </w:p>
        </w:tc>
      </w:tr>
      <w:tr w:rsidR="00133730" w14:paraId="7E1F8096" w14:textId="77777777" w:rsidTr="008A16C9">
        <w:trPr>
          <w:jc w:val="center"/>
        </w:trPr>
        <w:tc>
          <w:tcPr>
            <w:tcW w:w="1980" w:type="dxa"/>
            <w:vAlign w:val="center"/>
          </w:tcPr>
          <w:p w14:paraId="32F55172" w14:textId="77777777" w:rsidR="00133730" w:rsidRPr="007E0A27" w:rsidRDefault="00133730" w:rsidP="00133730">
            <w:pPr>
              <w:keepNext/>
              <w:keepLines/>
              <w:rPr>
                <w:rFonts w:ascii="Arial" w:hAnsi="Arial" w:cs="Arial"/>
                <w:sz w:val="20"/>
                <w:szCs w:val="20"/>
              </w:rPr>
            </w:pPr>
            <w:r w:rsidRPr="007E0A27">
              <w:rPr>
                <w:rFonts w:ascii="Arial" w:hAnsi="Arial" w:cs="Arial"/>
                <w:sz w:val="20"/>
                <w:szCs w:val="20"/>
              </w:rPr>
              <w:t>Offices, Hotels, Health, Services</w:t>
            </w:r>
          </w:p>
        </w:tc>
        <w:tc>
          <w:tcPr>
            <w:tcW w:w="1170" w:type="dxa"/>
            <w:shd w:val="clear" w:color="auto" w:fill="000000" w:themeFill="text1"/>
            <w:vAlign w:val="center"/>
          </w:tcPr>
          <w:p w14:paraId="08424C86" w14:textId="43D341C3" w:rsidR="00133730" w:rsidRPr="00B61877" w:rsidRDefault="00133730" w:rsidP="00133730">
            <w:pPr>
              <w:jc w:val="right"/>
              <w:rPr>
                <w:rFonts w:ascii="Arial" w:hAnsi="Arial" w:cs="Arial"/>
                <w:sz w:val="20"/>
                <w:szCs w:val="20"/>
              </w:rPr>
            </w:pPr>
          </w:p>
        </w:tc>
        <w:tc>
          <w:tcPr>
            <w:tcW w:w="1440" w:type="dxa"/>
            <w:shd w:val="clear" w:color="auto" w:fill="000000" w:themeFill="text1"/>
            <w:vAlign w:val="center"/>
          </w:tcPr>
          <w:p w14:paraId="727E5671" w14:textId="3A2F4E15"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73C71BDE" w14:textId="2795D594"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3885065D" w14:textId="7E3A8F3B" w:rsidR="00133730" w:rsidRPr="00B61877" w:rsidRDefault="00133730" w:rsidP="00133730">
            <w:pPr>
              <w:jc w:val="right"/>
              <w:rPr>
                <w:rFonts w:ascii="Arial" w:hAnsi="Arial" w:cs="Arial"/>
                <w:sz w:val="20"/>
                <w:szCs w:val="20"/>
              </w:rPr>
            </w:pPr>
          </w:p>
        </w:tc>
        <w:tc>
          <w:tcPr>
            <w:tcW w:w="807" w:type="dxa"/>
            <w:shd w:val="clear" w:color="auto" w:fill="000000" w:themeFill="text1"/>
            <w:vAlign w:val="center"/>
          </w:tcPr>
          <w:p w14:paraId="6251FB38" w14:textId="13E2C8B5" w:rsidR="00133730" w:rsidRPr="00B61877" w:rsidRDefault="00133730" w:rsidP="00133730">
            <w:pPr>
              <w:jc w:val="right"/>
              <w:rPr>
                <w:rFonts w:ascii="Arial" w:hAnsi="Arial" w:cs="Arial"/>
                <w:sz w:val="20"/>
                <w:szCs w:val="20"/>
              </w:rPr>
            </w:pPr>
          </w:p>
        </w:tc>
      </w:tr>
      <w:tr w:rsidR="00133730" w14:paraId="7B68D5AF" w14:textId="77777777" w:rsidTr="008A16C9">
        <w:trPr>
          <w:jc w:val="center"/>
        </w:trPr>
        <w:tc>
          <w:tcPr>
            <w:tcW w:w="1980" w:type="dxa"/>
            <w:vAlign w:val="center"/>
          </w:tcPr>
          <w:p w14:paraId="1994F441" w14:textId="77777777" w:rsidR="00133730" w:rsidRPr="007E0A27" w:rsidRDefault="00133730" w:rsidP="00133730">
            <w:pPr>
              <w:keepNext/>
              <w:keepLines/>
              <w:rPr>
                <w:rFonts w:ascii="Arial" w:hAnsi="Arial" w:cs="Arial"/>
                <w:sz w:val="20"/>
                <w:szCs w:val="20"/>
              </w:rPr>
            </w:pPr>
            <w:r w:rsidRPr="007E0A27">
              <w:rPr>
                <w:rFonts w:ascii="Arial" w:hAnsi="Arial" w:cs="Arial"/>
                <w:sz w:val="20"/>
                <w:szCs w:val="20"/>
              </w:rPr>
              <w:t>Schools</w:t>
            </w:r>
          </w:p>
        </w:tc>
        <w:tc>
          <w:tcPr>
            <w:tcW w:w="1170" w:type="dxa"/>
            <w:shd w:val="clear" w:color="auto" w:fill="000000" w:themeFill="text1"/>
            <w:vAlign w:val="center"/>
          </w:tcPr>
          <w:p w14:paraId="026B1B89" w14:textId="094A58A7" w:rsidR="00133730" w:rsidRPr="00B61877" w:rsidRDefault="00133730" w:rsidP="00133730">
            <w:pPr>
              <w:jc w:val="right"/>
              <w:rPr>
                <w:rFonts w:ascii="Arial" w:hAnsi="Arial" w:cs="Arial"/>
                <w:sz w:val="20"/>
                <w:szCs w:val="20"/>
              </w:rPr>
            </w:pPr>
          </w:p>
        </w:tc>
        <w:tc>
          <w:tcPr>
            <w:tcW w:w="1440" w:type="dxa"/>
            <w:shd w:val="clear" w:color="auto" w:fill="000000" w:themeFill="text1"/>
            <w:vAlign w:val="center"/>
          </w:tcPr>
          <w:p w14:paraId="620C19E7" w14:textId="63031BB2"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054AA989" w14:textId="7295419D"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1C56A57E" w14:textId="6F0D76D8" w:rsidR="00133730" w:rsidRPr="00B61877" w:rsidRDefault="00133730" w:rsidP="00133730">
            <w:pPr>
              <w:jc w:val="right"/>
              <w:rPr>
                <w:rFonts w:ascii="Arial" w:hAnsi="Arial" w:cs="Arial"/>
                <w:sz w:val="20"/>
                <w:szCs w:val="20"/>
              </w:rPr>
            </w:pPr>
          </w:p>
        </w:tc>
        <w:tc>
          <w:tcPr>
            <w:tcW w:w="807" w:type="dxa"/>
            <w:shd w:val="clear" w:color="auto" w:fill="000000" w:themeFill="text1"/>
            <w:vAlign w:val="center"/>
          </w:tcPr>
          <w:p w14:paraId="43179982" w14:textId="1A8EB048" w:rsidR="00133730" w:rsidRPr="00B61877" w:rsidRDefault="00133730" w:rsidP="00133730">
            <w:pPr>
              <w:jc w:val="right"/>
              <w:rPr>
                <w:rFonts w:ascii="Arial" w:hAnsi="Arial" w:cs="Arial"/>
                <w:sz w:val="20"/>
                <w:szCs w:val="20"/>
              </w:rPr>
            </w:pPr>
          </w:p>
        </w:tc>
      </w:tr>
      <w:tr w:rsidR="00133730" w14:paraId="639EFBFD" w14:textId="77777777" w:rsidTr="008A16C9">
        <w:trPr>
          <w:jc w:val="center"/>
        </w:trPr>
        <w:tc>
          <w:tcPr>
            <w:tcW w:w="1980" w:type="dxa"/>
            <w:vAlign w:val="center"/>
          </w:tcPr>
          <w:p w14:paraId="7FDA8305" w14:textId="77777777" w:rsidR="00133730" w:rsidRPr="007E0A27" w:rsidRDefault="00133730" w:rsidP="00133730">
            <w:pPr>
              <w:keepNext/>
              <w:keepLines/>
              <w:rPr>
                <w:rFonts w:ascii="Arial" w:hAnsi="Arial" w:cs="Arial"/>
                <w:sz w:val="20"/>
                <w:szCs w:val="20"/>
              </w:rPr>
            </w:pPr>
            <w:r w:rsidRPr="007E0A27">
              <w:rPr>
                <w:rFonts w:ascii="Arial" w:hAnsi="Arial" w:cs="Arial"/>
                <w:sz w:val="20"/>
                <w:szCs w:val="20"/>
              </w:rPr>
              <w:t>Entertainment, Other Services, Government</w:t>
            </w:r>
          </w:p>
        </w:tc>
        <w:tc>
          <w:tcPr>
            <w:tcW w:w="1170" w:type="dxa"/>
            <w:shd w:val="clear" w:color="auto" w:fill="000000" w:themeFill="text1"/>
            <w:vAlign w:val="center"/>
          </w:tcPr>
          <w:p w14:paraId="7CE15F1C" w14:textId="4D6CD380" w:rsidR="00133730" w:rsidRPr="00B61877" w:rsidRDefault="00133730" w:rsidP="00133730">
            <w:pPr>
              <w:jc w:val="right"/>
              <w:rPr>
                <w:rFonts w:ascii="Arial" w:hAnsi="Arial" w:cs="Arial"/>
                <w:sz w:val="20"/>
                <w:szCs w:val="20"/>
              </w:rPr>
            </w:pPr>
          </w:p>
        </w:tc>
        <w:tc>
          <w:tcPr>
            <w:tcW w:w="1440" w:type="dxa"/>
            <w:shd w:val="clear" w:color="auto" w:fill="000000" w:themeFill="text1"/>
            <w:vAlign w:val="center"/>
          </w:tcPr>
          <w:p w14:paraId="6D0A9E98" w14:textId="3D6E5983"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4B731CF0" w14:textId="2745D7A3" w:rsidR="00133730" w:rsidRPr="00B61877" w:rsidRDefault="00133730" w:rsidP="00133730">
            <w:pPr>
              <w:jc w:val="right"/>
              <w:rPr>
                <w:rFonts w:ascii="Arial" w:hAnsi="Arial" w:cs="Arial"/>
                <w:sz w:val="20"/>
                <w:szCs w:val="20"/>
              </w:rPr>
            </w:pPr>
          </w:p>
        </w:tc>
        <w:tc>
          <w:tcPr>
            <w:tcW w:w="1350" w:type="dxa"/>
            <w:shd w:val="clear" w:color="auto" w:fill="000000" w:themeFill="text1"/>
            <w:vAlign w:val="center"/>
          </w:tcPr>
          <w:p w14:paraId="1A29F66F" w14:textId="6A1E4B91" w:rsidR="00133730" w:rsidRPr="00B61877" w:rsidRDefault="00133730" w:rsidP="00133730">
            <w:pPr>
              <w:jc w:val="right"/>
              <w:rPr>
                <w:rFonts w:ascii="Arial" w:hAnsi="Arial" w:cs="Arial"/>
                <w:sz w:val="20"/>
                <w:szCs w:val="20"/>
              </w:rPr>
            </w:pPr>
          </w:p>
        </w:tc>
        <w:tc>
          <w:tcPr>
            <w:tcW w:w="807" w:type="dxa"/>
            <w:shd w:val="clear" w:color="auto" w:fill="000000" w:themeFill="text1"/>
            <w:vAlign w:val="center"/>
          </w:tcPr>
          <w:p w14:paraId="56DFD298" w14:textId="0437C21B" w:rsidR="00133730" w:rsidRPr="00B61877" w:rsidRDefault="00133730" w:rsidP="00133730">
            <w:pPr>
              <w:jc w:val="right"/>
              <w:rPr>
                <w:rFonts w:ascii="Arial" w:hAnsi="Arial" w:cs="Arial"/>
                <w:sz w:val="20"/>
                <w:szCs w:val="20"/>
              </w:rPr>
            </w:pPr>
          </w:p>
        </w:tc>
      </w:tr>
    </w:tbl>
    <w:p w14:paraId="3449AA86" w14:textId="330458EF" w:rsidR="003E1512" w:rsidRDefault="003E1512" w:rsidP="00CB13E9">
      <w:pPr>
        <w:spacing w:after="120"/>
        <w:rPr>
          <w:szCs w:val="32"/>
        </w:rPr>
      </w:pPr>
    </w:p>
    <w:p w14:paraId="3F35F4B3" w14:textId="269738D5" w:rsidR="001C7388" w:rsidRDefault="001C7388" w:rsidP="001C7388">
      <w:pPr>
        <w:pStyle w:val="FigureCaption"/>
      </w:pPr>
      <w:bookmarkStart w:id="324" w:name="_Ref507081949"/>
      <w:bookmarkStart w:id="325" w:name="_Toc509837490"/>
      <w:r w:rsidRPr="0075594D">
        <w:rPr>
          <w:highlight w:val="lightGray"/>
        </w:rPr>
        <w:t xml:space="preserve">Figure </w:t>
      </w:r>
      <w:r w:rsidR="00D90CBD" w:rsidRPr="0075594D">
        <w:rPr>
          <w:highlight w:val="lightGray"/>
        </w:rPr>
        <w:fldChar w:fldCharType="begin"/>
      </w:r>
      <w:r w:rsidR="00D90CBD" w:rsidRPr="0075594D">
        <w:rPr>
          <w:highlight w:val="lightGray"/>
        </w:rPr>
        <w:instrText xml:space="preserve"> STYLEREF 1 \s </w:instrText>
      </w:r>
      <w:r w:rsidR="00D90CBD" w:rsidRPr="0075594D">
        <w:rPr>
          <w:highlight w:val="lightGray"/>
        </w:rPr>
        <w:fldChar w:fldCharType="separate"/>
      </w:r>
      <w:r w:rsidR="005D5C7C">
        <w:rPr>
          <w:noProof/>
          <w:highlight w:val="lightGray"/>
        </w:rPr>
        <w:t>4</w:t>
      </w:r>
      <w:r w:rsidR="00D90CBD" w:rsidRPr="0075594D">
        <w:rPr>
          <w:noProof/>
          <w:highlight w:val="lightGray"/>
        </w:rPr>
        <w:fldChar w:fldCharType="end"/>
      </w:r>
      <w:r w:rsidR="00A11E78" w:rsidRPr="0075594D">
        <w:rPr>
          <w:highlight w:val="lightGray"/>
        </w:rPr>
        <w:t>.</w:t>
      </w:r>
      <w:r w:rsidR="00D90CBD" w:rsidRPr="0075594D">
        <w:rPr>
          <w:highlight w:val="lightGray"/>
        </w:rPr>
        <w:fldChar w:fldCharType="begin"/>
      </w:r>
      <w:r w:rsidR="00D90CBD" w:rsidRPr="0075594D">
        <w:rPr>
          <w:highlight w:val="lightGray"/>
        </w:rPr>
        <w:instrText xml:space="preserve"> SEQ Figure \* ARABIC \s 1 </w:instrText>
      </w:r>
      <w:r w:rsidR="00D90CBD" w:rsidRPr="0075594D">
        <w:rPr>
          <w:highlight w:val="lightGray"/>
        </w:rPr>
        <w:fldChar w:fldCharType="separate"/>
      </w:r>
      <w:r w:rsidR="005D5C7C">
        <w:rPr>
          <w:noProof/>
          <w:highlight w:val="lightGray"/>
        </w:rPr>
        <w:t>12</w:t>
      </w:r>
      <w:r w:rsidR="00D90CBD" w:rsidRPr="0075594D">
        <w:rPr>
          <w:noProof/>
          <w:highlight w:val="lightGray"/>
        </w:rPr>
        <w:fldChar w:fldCharType="end"/>
      </w:r>
      <w:bookmarkEnd w:id="324"/>
      <w:r w:rsidR="002E5631" w:rsidRPr="0075594D">
        <w:rPr>
          <w:highlight w:val="lightGray"/>
        </w:rPr>
        <w:t xml:space="preserve"> Typical Event Day Event-Hour Load Impacts by Industry Group, </w:t>
      </w:r>
      <w:r w:rsidR="002E5631" w:rsidRPr="0075594D">
        <w:rPr>
          <w:i/>
          <w:highlight w:val="lightGray"/>
        </w:rPr>
        <w:t>SCE NEM</w:t>
      </w:r>
      <w:bookmarkEnd w:id="325"/>
    </w:p>
    <w:p w14:paraId="6B1D2709" w14:textId="1E2357A4" w:rsidR="00992C93" w:rsidRDefault="008A16C9" w:rsidP="008A16C9">
      <w:pPr>
        <w:spacing w:after="120"/>
        <w:jc w:val="center"/>
        <w:rPr>
          <w:szCs w:val="32"/>
        </w:rPr>
      </w:pPr>
      <w:r>
        <w:rPr>
          <w:noProof/>
        </w:rPr>
        <w:drawing>
          <wp:inline distT="0" distB="0" distL="0" distR="0" wp14:anchorId="4CE5F23D" wp14:editId="79EB72D3">
            <wp:extent cx="5088255" cy="3975652"/>
            <wp:effectExtent l="0" t="0" r="17145" b="6350"/>
            <wp:docPr id="121" name="Chart 121">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452B0BF5" w14:textId="77777777" w:rsidR="003E1512" w:rsidRDefault="003E1512" w:rsidP="00CB13E9">
      <w:pPr>
        <w:spacing w:after="120"/>
        <w:rPr>
          <w:szCs w:val="32"/>
        </w:rPr>
      </w:pPr>
    </w:p>
    <w:p w14:paraId="14431753" w14:textId="4A1D7594" w:rsidR="00755667" w:rsidRDefault="00B61877" w:rsidP="00CB13E9">
      <w:pPr>
        <w:spacing w:after="120"/>
        <w:rPr>
          <w:szCs w:val="32"/>
        </w:rPr>
      </w:pPr>
      <w:r>
        <w:rPr>
          <w:noProof/>
          <w:szCs w:val="32"/>
        </w:rPr>
        <mc:AlternateContent>
          <mc:Choice Requires="wps">
            <w:drawing>
              <wp:anchor distT="0" distB="0" distL="114300" distR="114300" simplePos="0" relativeHeight="251699200" behindDoc="0" locked="0" layoutInCell="1" allowOverlap="1" wp14:anchorId="2C2E2CDD" wp14:editId="55DD6A27">
                <wp:simplePos x="0" y="0"/>
                <wp:positionH relativeFrom="margin">
                  <wp:align>right</wp:align>
                </wp:positionH>
                <wp:positionV relativeFrom="paragraph">
                  <wp:posOffset>1160255</wp:posOffset>
                </wp:positionV>
                <wp:extent cx="5422789" cy="397566"/>
                <wp:effectExtent l="0" t="0" r="26035" b="21590"/>
                <wp:wrapNone/>
                <wp:docPr id="64" name="Text Box 64"/>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5BD6C21E"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2E2CDD" id="Text Box 64" o:spid="_x0000_s1046" type="#_x0000_t202" style="position:absolute;margin-left:375.8pt;margin-top:91.35pt;width:427pt;height:31.3pt;z-index:25169920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" fillcolor="white [3201]" strokeweight=".5pt">
                <v:textbox>
                  <w:txbxContent>
                    <w:p w14:paraId="5BD6C21E"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755667">
        <w:rPr>
          <w:szCs w:val="32"/>
        </w:rPr>
        <w:fldChar w:fldCharType="begin"/>
      </w:r>
      <w:r w:rsidR="00755667">
        <w:rPr>
          <w:szCs w:val="32"/>
        </w:rPr>
        <w:instrText xml:space="preserve"> REF _Ref507082368 \h </w:instrText>
      </w:r>
      <w:r w:rsidR="00755667">
        <w:rPr>
          <w:szCs w:val="32"/>
        </w:rPr>
      </w:r>
      <w:r w:rsidR="00755667">
        <w:rPr>
          <w:szCs w:val="32"/>
        </w:rPr>
        <w:fldChar w:fldCharType="separate"/>
      </w:r>
      <w:r w:rsidR="005D5C7C">
        <w:t xml:space="preserve">Table </w:t>
      </w:r>
      <w:r w:rsidR="005D5C7C">
        <w:rPr>
          <w:noProof/>
        </w:rPr>
        <w:t>4</w:t>
      </w:r>
      <w:r w:rsidR="005D5C7C">
        <w:t>.</w:t>
      </w:r>
      <w:r w:rsidR="005D5C7C">
        <w:rPr>
          <w:noProof/>
        </w:rPr>
        <w:t>13</w:t>
      </w:r>
      <w:r w:rsidR="00755667">
        <w:rPr>
          <w:szCs w:val="32"/>
        </w:rPr>
        <w:fldChar w:fldCharType="end"/>
      </w:r>
      <w:r w:rsidR="00755667">
        <w:rPr>
          <w:szCs w:val="32"/>
        </w:rPr>
        <w:t xml:space="preserve"> and </w:t>
      </w:r>
      <w:r w:rsidR="00755667">
        <w:rPr>
          <w:szCs w:val="32"/>
        </w:rPr>
        <w:fldChar w:fldCharType="begin"/>
      </w:r>
      <w:r w:rsidR="00755667">
        <w:rPr>
          <w:szCs w:val="32"/>
        </w:rPr>
        <w:instrText xml:space="preserve"> REF _Ref507082353 \h </w:instrText>
      </w:r>
      <w:r w:rsidR="00755667">
        <w:rPr>
          <w:szCs w:val="32"/>
        </w:rPr>
      </w:r>
      <w:r w:rsidR="00755667">
        <w:rPr>
          <w:szCs w:val="32"/>
        </w:rPr>
        <w:fldChar w:fldCharType="separate"/>
      </w:r>
      <w:r w:rsidR="005D5C7C" w:rsidRPr="0075594D">
        <w:rPr>
          <w:highlight w:val="lightGray"/>
        </w:rPr>
        <w:t xml:space="preserve">Figure </w:t>
      </w:r>
      <w:r w:rsidR="005D5C7C">
        <w:rPr>
          <w:noProof/>
          <w:highlight w:val="lightGray"/>
        </w:rPr>
        <w:t>4</w:t>
      </w:r>
      <w:r w:rsidR="005D5C7C" w:rsidRPr="0075594D">
        <w:rPr>
          <w:highlight w:val="lightGray"/>
        </w:rPr>
        <w:t>.</w:t>
      </w:r>
      <w:r w:rsidR="005D5C7C">
        <w:rPr>
          <w:noProof/>
          <w:highlight w:val="lightGray"/>
        </w:rPr>
        <w:t>13</w:t>
      </w:r>
      <w:r w:rsidR="00755667">
        <w:rPr>
          <w:szCs w:val="32"/>
        </w:rPr>
        <w:fldChar w:fldCharType="end"/>
      </w:r>
      <w:r w:rsidR="00755667">
        <w:rPr>
          <w:szCs w:val="32"/>
        </w:rPr>
        <w:t xml:space="preserve"> provide the same summaries as above by LCA. </w:t>
      </w:r>
      <w:r w:rsidR="008A16C9" w:rsidRPr="008A16C9">
        <w:rPr>
          <w:szCs w:val="32"/>
          <w:highlight w:val="black"/>
        </w:rPr>
        <w:t>----------------------------------------------------------------------------------------------------------------------------------------------------------------------------------------------------------------------------------------------------------------------------------------------------------------------------------------------------------------------------------</w:t>
      </w:r>
      <w:r w:rsidR="008A16C9" w:rsidRPr="008A16C9">
        <w:rPr>
          <w:szCs w:val="32"/>
          <w:highlight w:val="black"/>
        </w:rPr>
        <w:lastRenderedPageBreak/>
        <w:t>-------------------------------------------------------------------------------------------------------------------------------------------------------------------------------------------------------------------------------------------------------------------------------------------</w:t>
      </w:r>
    </w:p>
    <w:p w14:paraId="059C3E16" w14:textId="77777777" w:rsidR="00755667" w:rsidRDefault="00755667" w:rsidP="00CB13E9">
      <w:pPr>
        <w:spacing w:after="120"/>
        <w:rPr>
          <w:szCs w:val="32"/>
        </w:rPr>
      </w:pPr>
    </w:p>
    <w:p w14:paraId="135B677D" w14:textId="7AA935A4" w:rsidR="002F5C6C" w:rsidRDefault="002F5C6C" w:rsidP="002F5C6C">
      <w:pPr>
        <w:pStyle w:val="TableCaption"/>
      </w:pPr>
      <w:bookmarkStart w:id="326" w:name="_Ref507082368"/>
      <w:bookmarkStart w:id="327" w:name="_Toc509837396"/>
      <w:r>
        <w:t xml:space="preserve">Table </w:t>
      </w:r>
      <w:fldSimple w:instr=" STYLEREF 1 \s ">
        <w:r w:rsidR="005D5C7C">
          <w:rPr>
            <w:noProof/>
          </w:rPr>
          <w:t>4</w:t>
        </w:r>
      </w:fldSimple>
      <w:r w:rsidR="0069714C">
        <w:t>.</w:t>
      </w:r>
      <w:fldSimple w:instr=" SEQ Table \* ARABIC \s 1 ">
        <w:r w:rsidR="005D5C7C">
          <w:rPr>
            <w:noProof/>
          </w:rPr>
          <w:t>13</w:t>
        </w:r>
      </w:fldSimple>
      <w:bookmarkEnd w:id="326"/>
      <w:r>
        <w:t>:</w:t>
      </w:r>
      <w:r w:rsidRPr="002F5C6C">
        <w:t xml:space="preserve"> </w:t>
      </w:r>
      <w:r>
        <w:t>Typical Event Day Load Impacts b</w:t>
      </w:r>
      <w:r w:rsidRPr="006C0719">
        <w:t>y</w:t>
      </w:r>
      <w:r>
        <w:t xml:space="preserve"> LCA</w:t>
      </w:r>
      <w:r w:rsidRPr="006C0719">
        <w:t xml:space="preserve">, </w:t>
      </w:r>
      <w:r w:rsidRPr="000617A8">
        <w:rPr>
          <w:i/>
        </w:rPr>
        <w:t>SCE</w:t>
      </w:r>
      <w:r>
        <w:rPr>
          <w:i/>
        </w:rPr>
        <w:t xml:space="preserve"> NEM</w:t>
      </w:r>
      <w:bookmarkEnd w:id="3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0"/>
        <w:gridCol w:w="1170"/>
        <w:gridCol w:w="1350"/>
        <w:gridCol w:w="1350"/>
        <w:gridCol w:w="1350"/>
        <w:gridCol w:w="762"/>
      </w:tblGrid>
      <w:tr w:rsidR="002F5C6C" w14:paraId="21D69E5E" w14:textId="77777777" w:rsidTr="007A68CF">
        <w:trPr>
          <w:jc w:val="center"/>
        </w:trPr>
        <w:tc>
          <w:tcPr>
            <w:tcW w:w="1530" w:type="dxa"/>
            <w:tcBorders>
              <w:right w:val="single" w:sz="4" w:space="0" w:color="FFFFFF" w:themeColor="background1"/>
            </w:tcBorders>
            <w:shd w:val="clear" w:color="auto" w:fill="0C2577"/>
            <w:vAlign w:val="center"/>
          </w:tcPr>
          <w:p w14:paraId="16FA4E08" w14:textId="77777777" w:rsidR="002F5C6C" w:rsidRPr="007E0A27" w:rsidRDefault="002F5C6C" w:rsidP="002F5C6C">
            <w:pPr>
              <w:keepNext/>
              <w:keepLines/>
              <w:jc w:val="center"/>
              <w:rPr>
                <w:rFonts w:ascii="Arial" w:hAnsi="Arial" w:cs="Arial"/>
                <w:b/>
                <w:sz w:val="20"/>
                <w:szCs w:val="20"/>
              </w:rPr>
            </w:pPr>
            <w:r>
              <w:rPr>
                <w:rFonts w:ascii="Arial" w:hAnsi="Arial" w:cs="Arial"/>
                <w:b/>
                <w:sz w:val="20"/>
                <w:szCs w:val="20"/>
              </w:rPr>
              <w:t>LCA</w:t>
            </w:r>
          </w:p>
        </w:tc>
        <w:tc>
          <w:tcPr>
            <w:tcW w:w="1170" w:type="dxa"/>
            <w:tcBorders>
              <w:left w:val="single" w:sz="4" w:space="0" w:color="FFFFFF" w:themeColor="background1"/>
              <w:right w:val="single" w:sz="4" w:space="0" w:color="FFFFFF" w:themeColor="background1"/>
            </w:tcBorders>
            <w:shd w:val="clear" w:color="auto" w:fill="0C2577"/>
            <w:vAlign w:val="center"/>
          </w:tcPr>
          <w:p w14:paraId="1B9058B5" w14:textId="77777777" w:rsidR="002F5C6C" w:rsidRPr="007E0A27" w:rsidRDefault="002F5C6C" w:rsidP="002F5C6C">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0BA7DC64" w14:textId="11DA0BE8"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Estimated Reference Load (MW</w:t>
            </w:r>
            <w:r w:rsidR="007A68CF">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41BEAA7D" w14:textId="2A0FCC4D"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Observed Load (MW</w:t>
            </w:r>
            <w:r w:rsidR="007A68CF">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4A9F6629" w14:textId="30B16675"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Estimated Load Impact (MW</w:t>
            </w:r>
            <w:r w:rsidR="007A68CF">
              <w:rPr>
                <w:rFonts w:ascii="Arial" w:hAnsi="Arial" w:cs="Arial"/>
                <w:b/>
                <w:sz w:val="20"/>
                <w:szCs w:val="20"/>
              </w:rPr>
              <w:t>h/hour</w:t>
            </w:r>
            <w:r w:rsidRPr="007E0A27">
              <w:rPr>
                <w:rFonts w:ascii="Arial" w:hAnsi="Arial" w:cs="Arial"/>
                <w:b/>
                <w:sz w:val="20"/>
                <w:szCs w:val="20"/>
              </w:rPr>
              <w:t>)</w:t>
            </w:r>
          </w:p>
        </w:tc>
        <w:tc>
          <w:tcPr>
            <w:tcW w:w="762" w:type="dxa"/>
            <w:tcBorders>
              <w:left w:val="single" w:sz="4" w:space="0" w:color="FFFFFF" w:themeColor="background1"/>
            </w:tcBorders>
            <w:shd w:val="clear" w:color="auto" w:fill="0C2577"/>
            <w:vAlign w:val="center"/>
          </w:tcPr>
          <w:p w14:paraId="601F0A2F" w14:textId="77777777" w:rsidR="002F5C6C" w:rsidRPr="007E0A27" w:rsidRDefault="002F5C6C" w:rsidP="002F5C6C">
            <w:pPr>
              <w:keepNext/>
              <w:keepLines/>
              <w:jc w:val="center"/>
              <w:rPr>
                <w:rFonts w:ascii="Arial" w:hAnsi="Arial" w:cs="Arial"/>
                <w:b/>
                <w:sz w:val="20"/>
                <w:szCs w:val="20"/>
              </w:rPr>
            </w:pPr>
            <w:r w:rsidRPr="007E0A27">
              <w:rPr>
                <w:rFonts w:ascii="Arial" w:hAnsi="Arial" w:cs="Arial"/>
                <w:b/>
                <w:sz w:val="20"/>
                <w:szCs w:val="20"/>
              </w:rPr>
              <w:t>% LI</w:t>
            </w:r>
          </w:p>
        </w:tc>
      </w:tr>
      <w:tr w:rsidR="00133730" w14:paraId="0958C168" w14:textId="77777777" w:rsidTr="008A16C9">
        <w:trPr>
          <w:jc w:val="center"/>
        </w:trPr>
        <w:tc>
          <w:tcPr>
            <w:tcW w:w="1530" w:type="dxa"/>
            <w:vAlign w:val="bottom"/>
          </w:tcPr>
          <w:p w14:paraId="41864833" w14:textId="77777777" w:rsidR="00133730" w:rsidRPr="007E0A27" w:rsidRDefault="00133730" w:rsidP="00133730">
            <w:pPr>
              <w:keepNext/>
              <w:keepLines/>
              <w:rPr>
                <w:rFonts w:ascii="Arial" w:hAnsi="Arial" w:cs="Arial"/>
                <w:sz w:val="20"/>
                <w:szCs w:val="20"/>
              </w:rPr>
            </w:pPr>
            <w:r>
              <w:rPr>
                <w:rFonts w:ascii="Arial" w:hAnsi="Arial" w:cs="Arial"/>
                <w:color w:val="000000"/>
                <w:sz w:val="20"/>
                <w:szCs w:val="20"/>
              </w:rPr>
              <w:t>LA Basin</w:t>
            </w:r>
          </w:p>
        </w:tc>
        <w:tc>
          <w:tcPr>
            <w:tcW w:w="1170" w:type="dxa"/>
            <w:shd w:val="clear" w:color="auto" w:fill="000000" w:themeFill="text1"/>
          </w:tcPr>
          <w:p w14:paraId="578CB460" w14:textId="2EFCDED7" w:rsidR="00133730" w:rsidRPr="00024FF4" w:rsidRDefault="00133730" w:rsidP="00133730">
            <w:pPr>
              <w:jc w:val="right"/>
              <w:rPr>
                <w:rFonts w:ascii="Arial" w:hAnsi="Arial" w:cs="Arial"/>
                <w:sz w:val="20"/>
                <w:szCs w:val="20"/>
              </w:rPr>
            </w:pPr>
          </w:p>
        </w:tc>
        <w:tc>
          <w:tcPr>
            <w:tcW w:w="1350" w:type="dxa"/>
            <w:shd w:val="clear" w:color="auto" w:fill="000000" w:themeFill="text1"/>
          </w:tcPr>
          <w:p w14:paraId="4BF0BDA3" w14:textId="3ADC42D6" w:rsidR="00133730" w:rsidRPr="00024FF4" w:rsidRDefault="00133730" w:rsidP="00133730">
            <w:pPr>
              <w:jc w:val="right"/>
              <w:rPr>
                <w:rFonts w:ascii="Arial" w:hAnsi="Arial" w:cs="Arial"/>
                <w:sz w:val="20"/>
                <w:szCs w:val="20"/>
              </w:rPr>
            </w:pPr>
          </w:p>
        </w:tc>
        <w:tc>
          <w:tcPr>
            <w:tcW w:w="1350" w:type="dxa"/>
            <w:shd w:val="clear" w:color="auto" w:fill="000000" w:themeFill="text1"/>
          </w:tcPr>
          <w:p w14:paraId="6DA7EC3B" w14:textId="65139231" w:rsidR="00133730" w:rsidRPr="00024FF4" w:rsidRDefault="00133730" w:rsidP="00133730">
            <w:pPr>
              <w:jc w:val="right"/>
              <w:rPr>
                <w:rFonts w:ascii="Arial" w:hAnsi="Arial" w:cs="Arial"/>
                <w:sz w:val="20"/>
                <w:szCs w:val="20"/>
              </w:rPr>
            </w:pPr>
          </w:p>
        </w:tc>
        <w:tc>
          <w:tcPr>
            <w:tcW w:w="1350" w:type="dxa"/>
            <w:shd w:val="clear" w:color="auto" w:fill="000000" w:themeFill="text1"/>
          </w:tcPr>
          <w:p w14:paraId="5E1E815A" w14:textId="03440F82" w:rsidR="00133730" w:rsidRPr="00024FF4" w:rsidRDefault="00133730" w:rsidP="00133730">
            <w:pPr>
              <w:jc w:val="right"/>
              <w:rPr>
                <w:rFonts w:ascii="Arial" w:hAnsi="Arial" w:cs="Arial"/>
                <w:sz w:val="20"/>
                <w:szCs w:val="20"/>
              </w:rPr>
            </w:pPr>
          </w:p>
        </w:tc>
        <w:tc>
          <w:tcPr>
            <w:tcW w:w="762" w:type="dxa"/>
            <w:shd w:val="clear" w:color="auto" w:fill="000000" w:themeFill="text1"/>
          </w:tcPr>
          <w:p w14:paraId="53554584" w14:textId="3885E236" w:rsidR="00133730" w:rsidRPr="00024FF4" w:rsidRDefault="00133730" w:rsidP="00133730">
            <w:pPr>
              <w:jc w:val="right"/>
              <w:rPr>
                <w:rFonts w:ascii="Arial" w:hAnsi="Arial" w:cs="Arial"/>
                <w:sz w:val="20"/>
                <w:szCs w:val="20"/>
              </w:rPr>
            </w:pPr>
          </w:p>
        </w:tc>
      </w:tr>
      <w:tr w:rsidR="00133730" w14:paraId="12D43511" w14:textId="77777777" w:rsidTr="008A16C9">
        <w:trPr>
          <w:jc w:val="center"/>
        </w:trPr>
        <w:tc>
          <w:tcPr>
            <w:tcW w:w="1530" w:type="dxa"/>
            <w:vAlign w:val="bottom"/>
          </w:tcPr>
          <w:p w14:paraId="2D006E33" w14:textId="77777777" w:rsidR="00133730" w:rsidRPr="007E0A27" w:rsidRDefault="00133730" w:rsidP="00133730">
            <w:pPr>
              <w:keepNext/>
              <w:keepLines/>
              <w:rPr>
                <w:rFonts w:ascii="Arial" w:hAnsi="Arial" w:cs="Arial"/>
                <w:sz w:val="20"/>
                <w:szCs w:val="20"/>
              </w:rPr>
            </w:pPr>
            <w:r>
              <w:rPr>
                <w:rFonts w:ascii="Arial" w:hAnsi="Arial" w:cs="Arial"/>
                <w:color w:val="000000"/>
                <w:sz w:val="20"/>
                <w:szCs w:val="20"/>
              </w:rPr>
              <w:t>Outside Basin</w:t>
            </w:r>
          </w:p>
        </w:tc>
        <w:tc>
          <w:tcPr>
            <w:tcW w:w="1170" w:type="dxa"/>
            <w:shd w:val="clear" w:color="auto" w:fill="000000" w:themeFill="text1"/>
          </w:tcPr>
          <w:p w14:paraId="049075F2" w14:textId="0268665F" w:rsidR="00133730" w:rsidRPr="00024FF4" w:rsidRDefault="00133730" w:rsidP="00133730">
            <w:pPr>
              <w:jc w:val="right"/>
              <w:rPr>
                <w:rFonts w:ascii="Arial" w:hAnsi="Arial" w:cs="Arial"/>
                <w:sz w:val="20"/>
                <w:szCs w:val="20"/>
              </w:rPr>
            </w:pPr>
          </w:p>
        </w:tc>
        <w:tc>
          <w:tcPr>
            <w:tcW w:w="1350" w:type="dxa"/>
            <w:shd w:val="clear" w:color="auto" w:fill="000000" w:themeFill="text1"/>
          </w:tcPr>
          <w:p w14:paraId="3509691B" w14:textId="5DBEF922" w:rsidR="00133730" w:rsidRPr="00024FF4" w:rsidRDefault="00133730" w:rsidP="00133730">
            <w:pPr>
              <w:jc w:val="right"/>
              <w:rPr>
                <w:rFonts w:ascii="Arial" w:hAnsi="Arial" w:cs="Arial"/>
                <w:sz w:val="20"/>
                <w:szCs w:val="20"/>
              </w:rPr>
            </w:pPr>
          </w:p>
        </w:tc>
        <w:tc>
          <w:tcPr>
            <w:tcW w:w="1350" w:type="dxa"/>
            <w:shd w:val="clear" w:color="auto" w:fill="000000" w:themeFill="text1"/>
          </w:tcPr>
          <w:p w14:paraId="45120062" w14:textId="6174ED42" w:rsidR="00133730" w:rsidRPr="00024FF4" w:rsidRDefault="00133730" w:rsidP="00133730">
            <w:pPr>
              <w:jc w:val="right"/>
              <w:rPr>
                <w:rFonts w:ascii="Arial" w:hAnsi="Arial" w:cs="Arial"/>
                <w:sz w:val="20"/>
                <w:szCs w:val="20"/>
              </w:rPr>
            </w:pPr>
          </w:p>
        </w:tc>
        <w:tc>
          <w:tcPr>
            <w:tcW w:w="1350" w:type="dxa"/>
            <w:shd w:val="clear" w:color="auto" w:fill="000000" w:themeFill="text1"/>
          </w:tcPr>
          <w:p w14:paraId="5EA585B1" w14:textId="5E4D95B3" w:rsidR="00133730" w:rsidRPr="00024FF4" w:rsidRDefault="00133730" w:rsidP="00133730">
            <w:pPr>
              <w:jc w:val="right"/>
              <w:rPr>
                <w:rFonts w:ascii="Arial" w:hAnsi="Arial" w:cs="Arial"/>
                <w:sz w:val="20"/>
                <w:szCs w:val="20"/>
              </w:rPr>
            </w:pPr>
          </w:p>
        </w:tc>
        <w:tc>
          <w:tcPr>
            <w:tcW w:w="762" w:type="dxa"/>
            <w:shd w:val="clear" w:color="auto" w:fill="000000" w:themeFill="text1"/>
          </w:tcPr>
          <w:p w14:paraId="0F06CC31" w14:textId="35FDA271" w:rsidR="00133730" w:rsidRPr="00024FF4" w:rsidRDefault="00133730" w:rsidP="00133730">
            <w:pPr>
              <w:jc w:val="right"/>
              <w:rPr>
                <w:rFonts w:ascii="Arial" w:hAnsi="Arial" w:cs="Arial"/>
                <w:sz w:val="20"/>
                <w:szCs w:val="20"/>
              </w:rPr>
            </w:pPr>
          </w:p>
        </w:tc>
      </w:tr>
      <w:tr w:rsidR="00133730" w14:paraId="59DB7073" w14:textId="77777777" w:rsidTr="008A16C9">
        <w:trPr>
          <w:jc w:val="center"/>
        </w:trPr>
        <w:tc>
          <w:tcPr>
            <w:tcW w:w="1530" w:type="dxa"/>
            <w:vAlign w:val="bottom"/>
          </w:tcPr>
          <w:p w14:paraId="720488AB" w14:textId="77777777" w:rsidR="00133730" w:rsidRPr="007E0A27" w:rsidRDefault="00133730" w:rsidP="00133730">
            <w:pPr>
              <w:keepNext/>
              <w:keepLines/>
              <w:rPr>
                <w:rFonts w:ascii="Arial" w:hAnsi="Arial" w:cs="Arial"/>
                <w:sz w:val="20"/>
                <w:szCs w:val="20"/>
              </w:rPr>
            </w:pPr>
            <w:r>
              <w:rPr>
                <w:rFonts w:ascii="Arial" w:hAnsi="Arial" w:cs="Arial"/>
                <w:color w:val="000000"/>
                <w:sz w:val="20"/>
                <w:szCs w:val="20"/>
              </w:rPr>
              <w:t>Ventura</w:t>
            </w:r>
          </w:p>
        </w:tc>
        <w:tc>
          <w:tcPr>
            <w:tcW w:w="1170" w:type="dxa"/>
            <w:shd w:val="clear" w:color="auto" w:fill="000000" w:themeFill="text1"/>
          </w:tcPr>
          <w:p w14:paraId="32FBEA81" w14:textId="686BFFB8" w:rsidR="00133730" w:rsidRPr="00024FF4" w:rsidRDefault="00133730" w:rsidP="00133730">
            <w:pPr>
              <w:jc w:val="right"/>
              <w:rPr>
                <w:rFonts w:ascii="Arial" w:hAnsi="Arial" w:cs="Arial"/>
                <w:sz w:val="20"/>
                <w:szCs w:val="20"/>
              </w:rPr>
            </w:pPr>
          </w:p>
        </w:tc>
        <w:tc>
          <w:tcPr>
            <w:tcW w:w="1350" w:type="dxa"/>
            <w:shd w:val="clear" w:color="auto" w:fill="000000" w:themeFill="text1"/>
          </w:tcPr>
          <w:p w14:paraId="05601D60" w14:textId="6A415BCF" w:rsidR="00133730" w:rsidRPr="00024FF4" w:rsidRDefault="00133730" w:rsidP="00133730">
            <w:pPr>
              <w:jc w:val="right"/>
              <w:rPr>
                <w:rFonts w:ascii="Arial" w:hAnsi="Arial" w:cs="Arial"/>
                <w:sz w:val="20"/>
                <w:szCs w:val="20"/>
              </w:rPr>
            </w:pPr>
          </w:p>
        </w:tc>
        <w:tc>
          <w:tcPr>
            <w:tcW w:w="1350" w:type="dxa"/>
            <w:shd w:val="clear" w:color="auto" w:fill="000000" w:themeFill="text1"/>
          </w:tcPr>
          <w:p w14:paraId="53539C6D" w14:textId="27F12C68" w:rsidR="00133730" w:rsidRPr="00024FF4" w:rsidRDefault="00133730" w:rsidP="00133730">
            <w:pPr>
              <w:jc w:val="right"/>
              <w:rPr>
                <w:rFonts w:ascii="Arial" w:hAnsi="Arial" w:cs="Arial"/>
                <w:sz w:val="20"/>
                <w:szCs w:val="20"/>
              </w:rPr>
            </w:pPr>
          </w:p>
        </w:tc>
        <w:tc>
          <w:tcPr>
            <w:tcW w:w="1350" w:type="dxa"/>
            <w:shd w:val="clear" w:color="auto" w:fill="000000" w:themeFill="text1"/>
          </w:tcPr>
          <w:p w14:paraId="49A4F669" w14:textId="0385328E" w:rsidR="00133730" w:rsidRPr="00024FF4" w:rsidRDefault="00133730" w:rsidP="00133730">
            <w:pPr>
              <w:jc w:val="right"/>
              <w:rPr>
                <w:rFonts w:ascii="Arial" w:hAnsi="Arial" w:cs="Arial"/>
                <w:sz w:val="20"/>
                <w:szCs w:val="20"/>
              </w:rPr>
            </w:pPr>
          </w:p>
        </w:tc>
        <w:tc>
          <w:tcPr>
            <w:tcW w:w="762" w:type="dxa"/>
            <w:shd w:val="clear" w:color="auto" w:fill="000000" w:themeFill="text1"/>
          </w:tcPr>
          <w:p w14:paraId="588DFACD" w14:textId="7A2BF5E4" w:rsidR="00133730" w:rsidRPr="00024FF4" w:rsidRDefault="00133730" w:rsidP="00133730">
            <w:pPr>
              <w:jc w:val="right"/>
              <w:rPr>
                <w:rFonts w:ascii="Arial" w:hAnsi="Arial" w:cs="Arial"/>
                <w:sz w:val="20"/>
                <w:szCs w:val="20"/>
              </w:rPr>
            </w:pPr>
          </w:p>
        </w:tc>
      </w:tr>
    </w:tbl>
    <w:p w14:paraId="06C0DBDB" w14:textId="42340278" w:rsidR="002F5C6C" w:rsidRDefault="002F5C6C" w:rsidP="00CB13E9">
      <w:pPr>
        <w:spacing w:after="120"/>
        <w:rPr>
          <w:szCs w:val="32"/>
        </w:rPr>
      </w:pPr>
    </w:p>
    <w:p w14:paraId="604F83D1" w14:textId="77777777" w:rsidR="00755667" w:rsidRDefault="00755667" w:rsidP="00CB13E9">
      <w:pPr>
        <w:spacing w:after="120"/>
        <w:rPr>
          <w:szCs w:val="32"/>
        </w:rPr>
      </w:pPr>
    </w:p>
    <w:p w14:paraId="690C15D9" w14:textId="6EF57E2B" w:rsidR="001C7388" w:rsidRDefault="001C7388" w:rsidP="001C7388">
      <w:pPr>
        <w:pStyle w:val="FigureCaption"/>
      </w:pPr>
      <w:bookmarkStart w:id="328" w:name="_Ref507082353"/>
      <w:bookmarkStart w:id="329" w:name="_Toc509837491"/>
      <w:r w:rsidRPr="0075594D">
        <w:rPr>
          <w:highlight w:val="lightGray"/>
        </w:rPr>
        <w:t xml:space="preserve">Figure </w:t>
      </w:r>
      <w:r w:rsidR="00D90CBD" w:rsidRPr="0075594D">
        <w:rPr>
          <w:highlight w:val="lightGray"/>
        </w:rPr>
        <w:fldChar w:fldCharType="begin"/>
      </w:r>
      <w:r w:rsidR="00D90CBD" w:rsidRPr="0075594D">
        <w:rPr>
          <w:highlight w:val="lightGray"/>
        </w:rPr>
        <w:instrText xml:space="preserve"> STYLEREF 1 \s </w:instrText>
      </w:r>
      <w:r w:rsidR="00D90CBD" w:rsidRPr="0075594D">
        <w:rPr>
          <w:highlight w:val="lightGray"/>
        </w:rPr>
        <w:fldChar w:fldCharType="separate"/>
      </w:r>
      <w:r w:rsidR="005D5C7C">
        <w:rPr>
          <w:noProof/>
          <w:highlight w:val="lightGray"/>
        </w:rPr>
        <w:t>4</w:t>
      </w:r>
      <w:r w:rsidR="00D90CBD" w:rsidRPr="0075594D">
        <w:rPr>
          <w:noProof/>
          <w:highlight w:val="lightGray"/>
        </w:rPr>
        <w:fldChar w:fldCharType="end"/>
      </w:r>
      <w:r w:rsidR="00A11E78" w:rsidRPr="0075594D">
        <w:rPr>
          <w:highlight w:val="lightGray"/>
        </w:rPr>
        <w:t>.</w:t>
      </w:r>
      <w:r w:rsidR="00D90CBD" w:rsidRPr="0075594D">
        <w:rPr>
          <w:highlight w:val="lightGray"/>
        </w:rPr>
        <w:fldChar w:fldCharType="begin"/>
      </w:r>
      <w:r w:rsidR="00D90CBD" w:rsidRPr="0075594D">
        <w:rPr>
          <w:highlight w:val="lightGray"/>
        </w:rPr>
        <w:instrText xml:space="preserve"> SEQ Figure \* ARABIC \s 1 </w:instrText>
      </w:r>
      <w:r w:rsidR="00D90CBD" w:rsidRPr="0075594D">
        <w:rPr>
          <w:highlight w:val="lightGray"/>
        </w:rPr>
        <w:fldChar w:fldCharType="separate"/>
      </w:r>
      <w:r w:rsidR="005D5C7C">
        <w:rPr>
          <w:noProof/>
          <w:highlight w:val="lightGray"/>
        </w:rPr>
        <w:t>13</w:t>
      </w:r>
      <w:r w:rsidR="00D90CBD" w:rsidRPr="0075594D">
        <w:rPr>
          <w:noProof/>
          <w:highlight w:val="lightGray"/>
        </w:rPr>
        <w:fldChar w:fldCharType="end"/>
      </w:r>
      <w:bookmarkEnd w:id="328"/>
      <w:r w:rsidR="002E5631" w:rsidRPr="0075594D">
        <w:rPr>
          <w:highlight w:val="lightGray"/>
        </w:rPr>
        <w:t xml:space="preserve"> Typical Event Day Event-Hour Load Impacts by LCA, </w:t>
      </w:r>
      <w:r w:rsidR="002E5631" w:rsidRPr="0075594D">
        <w:rPr>
          <w:i/>
          <w:highlight w:val="lightGray"/>
        </w:rPr>
        <w:t>SCE NEM</w:t>
      </w:r>
      <w:bookmarkEnd w:id="329"/>
    </w:p>
    <w:p w14:paraId="0BB249EF" w14:textId="7253D1FF" w:rsidR="001C7388" w:rsidRDefault="004B0941" w:rsidP="004B0941">
      <w:pPr>
        <w:spacing w:after="120"/>
        <w:jc w:val="center"/>
        <w:rPr>
          <w:szCs w:val="32"/>
        </w:rPr>
      </w:pPr>
      <w:r>
        <w:rPr>
          <w:noProof/>
        </w:rPr>
        <w:drawing>
          <wp:inline distT="0" distB="0" distL="0" distR="0" wp14:anchorId="14AC2005" wp14:editId="0A552434">
            <wp:extent cx="4857750" cy="3967701"/>
            <wp:effectExtent l="0" t="0" r="0" b="13970"/>
            <wp:docPr id="123" name="Chart 123">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4C3EDB50" w14:textId="2C2F20B2" w:rsidR="005E7AA0" w:rsidRDefault="005E7AA0" w:rsidP="00CB13E9">
      <w:pPr>
        <w:spacing w:after="120"/>
        <w:rPr>
          <w:szCs w:val="32"/>
        </w:rPr>
      </w:pPr>
    </w:p>
    <w:p w14:paraId="7542EC8E" w14:textId="4A576738" w:rsidR="00884FC9" w:rsidRDefault="00884FC9" w:rsidP="00884FC9">
      <w:pPr>
        <w:pStyle w:val="Heading3"/>
      </w:pPr>
      <w:bookmarkStart w:id="330" w:name="_Toc509837329"/>
      <w:r>
        <w:t>Dually Enrolled Customers</w:t>
      </w:r>
      <w:bookmarkEnd w:id="330"/>
    </w:p>
    <w:p w14:paraId="3E3C8372" w14:textId="231C6978" w:rsidR="00CF052E" w:rsidRDefault="00B61877" w:rsidP="00CF052E">
      <w:pPr>
        <w:spacing w:after="120"/>
        <w:rPr>
          <w:szCs w:val="32"/>
        </w:rPr>
      </w:pPr>
      <w:r>
        <w:rPr>
          <w:noProof/>
          <w:szCs w:val="32"/>
        </w:rPr>
        <mc:AlternateContent>
          <mc:Choice Requires="wps">
            <w:drawing>
              <wp:anchor distT="0" distB="0" distL="114300" distR="114300" simplePos="0" relativeHeight="251701248" behindDoc="0" locked="0" layoutInCell="1" allowOverlap="1" wp14:anchorId="1905DAB1" wp14:editId="4B112947">
                <wp:simplePos x="0" y="0"/>
                <wp:positionH relativeFrom="margin">
                  <wp:align>right</wp:align>
                </wp:positionH>
                <wp:positionV relativeFrom="paragraph">
                  <wp:posOffset>888309</wp:posOffset>
                </wp:positionV>
                <wp:extent cx="5422789" cy="397566"/>
                <wp:effectExtent l="0" t="0" r="26035" b="21590"/>
                <wp:wrapNone/>
                <wp:docPr id="83" name="Text Box 83"/>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1AAAFA58"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05DAB1" id="Text Box 83" o:spid="_x0000_s1047" type="#_x0000_t202" style="position:absolute;margin-left:375.8pt;margin-top:69.95pt;width:427pt;height:31.3pt;z-index:25170124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" fillcolor="white [3201]" strokeweight=".5pt">
                <v:textbox>
                  <w:txbxContent>
                    <w:p w14:paraId="1AAAFA58"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CF052E">
        <w:rPr>
          <w:szCs w:val="32"/>
        </w:rPr>
        <w:t xml:space="preserve">This section summarizes results for customers who are enrolled in </w:t>
      </w:r>
      <w:r w:rsidR="005E7AA0">
        <w:rPr>
          <w:szCs w:val="32"/>
        </w:rPr>
        <w:t>C</w:t>
      </w:r>
      <w:r w:rsidR="00CF052E">
        <w:rPr>
          <w:szCs w:val="32"/>
        </w:rPr>
        <w:t xml:space="preserve">PP as well as another </w:t>
      </w:r>
      <w:r w:rsidR="005E7AA0">
        <w:rPr>
          <w:szCs w:val="32"/>
        </w:rPr>
        <w:t>SC</w:t>
      </w:r>
      <w:r w:rsidR="00CF052E">
        <w:rPr>
          <w:szCs w:val="32"/>
        </w:rPr>
        <w:t xml:space="preserve">E </w:t>
      </w:r>
      <w:r w:rsidR="003F55A7">
        <w:rPr>
          <w:szCs w:val="32"/>
        </w:rPr>
        <w:t>demand response</w:t>
      </w:r>
      <w:r w:rsidR="00CF052E">
        <w:rPr>
          <w:szCs w:val="32"/>
        </w:rPr>
        <w:t xml:space="preserve"> program. The </w:t>
      </w:r>
      <w:r w:rsidR="005E7AA0">
        <w:rPr>
          <w:szCs w:val="32"/>
        </w:rPr>
        <w:t>three</w:t>
      </w:r>
      <w:r w:rsidR="00CF052E">
        <w:rPr>
          <w:szCs w:val="32"/>
        </w:rPr>
        <w:t xml:space="preserve"> programs </w:t>
      </w:r>
      <w:r w:rsidR="00F3603C">
        <w:rPr>
          <w:szCs w:val="32"/>
        </w:rPr>
        <w:t>in which</w:t>
      </w:r>
      <w:r w:rsidR="00CF052E">
        <w:rPr>
          <w:szCs w:val="32"/>
        </w:rPr>
        <w:t xml:space="preserve"> </w:t>
      </w:r>
      <w:r w:rsidR="005E7AA0">
        <w:rPr>
          <w:szCs w:val="32"/>
        </w:rPr>
        <w:t>SC</w:t>
      </w:r>
      <w:r w:rsidR="00CF052E">
        <w:rPr>
          <w:szCs w:val="32"/>
        </w:rPr>
        <w:t xml:space="preserve">E customers </w:t>
      </w:r>
      <w:r w:rsidR="00F3603C">
        <w:rPr>
          <w:szCs w:val="32"/>
        </w:rPr>
        <w:t>can</w:t>
      </w:r>
      <w:r w:rsidR="00CF052E">
        <w:rPr>
          <w:szCs w:val="32"/>
        </w:rPr>
        <w:t xml:space="preserve"> enroll along with </w:t>
      </w:r>
      <w:r w:rsidR="005E7AA0">
        <w:rPr>
          <w:szCs w:val="32"/>
        </w:rPr>
        <w:t>CP</w:t>
      </w:r>
      <w:r w:rsidR="00CF052E">
        <w:rPr>
          <w:szCs w:val="32"/>
        </w:rPr>
        <w:t>P include B</w:t>
      </w:r>
      <w:r w:rsidR="00A7180C">
        <w:rPr>
          <w:szCs w:val="32"/>
        </w:rPr>
        <w:t>ase Interruptible Program (B</w:t>
      </w:r>
      <w:r w:rsidR="00CF052E">
        <w:rPr>
          <w:szCs w:val="32"/>
        </w:rPr>
        <w:t>IP</w:t>
      </w:r>
      <w:r w:rsidR="00A7180C">
        <w:rPr>
          <w:szCs w:val="32"/>
        </w:rPr>
        <w:t>)</w:t>
      </w:r>
      <w:r w:rsidR="005E7AA0">
        <w:rPr>
          <w:szCs w:val="32"/>
        </w:rPr>
        <w:t>,</w:t>
      </w:r>
      <w:r w:rsidR="00CF052E">
        <w:rPr>
          <w:szCs w:val="32"/>
        </w:rPr>
        <w:t xml:space="preserve"> C</w:t>
      </w:r>
      <w:r w:rsidR="00A7180C">
        <w:rPr>
          <w:szCs w:val="32"/>
        </w:rPr>
        <w:t xml:space="preserve">apacity Bidding </w:t>
      </w:r>
      <w:r w:rsidR="00A7180C">
        <w:rPr>
          <w:szCs w:val="32"/>
        </w:rPr>
        <w:lastRenderedPageBreak/>
        <w:t>Program (C</w:t>
      </w:r>
      <w:r w:rsidR="00CF052E">
        <w:rPr>
          <w:szCs w:val="32"/>
        </w:rPr>
        <w:t>BP</w:t>
      </w:r>
      <w:r w:rsidR="00A7180C">
        <w:rPr>
          <w:szCs w:val="32"/>
        </w:rPr>
        <w:t>)</w:t>
      </w:r>
      <w:r w:rsidR="005E7AA0">
        <w:rPr>
          <w:szCs w:val="32"/>
        </w:rPr>
        <w:t xml:space="preserve">, and </w:t>
      </w:r>
      <w:r w:rsidR="00A7180C">
        <w:rPr>
          <w:szCs w:val="32"/>
        </w:rPr>
        <w:t xml:space="preserve">Aggregator Managed Program (AMP, also known as Demand Response Contracts, or </w:t>
      </w:r>
      <w:r w:rsidR="005E7AA0">
        <w:rPr>
          <w:szCs w:val="32"/>
        </w:rPr>
        <w:t>DRC</w:t>
      </w:r>
      <w:r w:rsidR="00A7180C">
        <w:rPr>
          <w:szCs w:val="32"/>
        </w:rPr>
        <w:t>)</w:t>
      </w:r>
      <w:r w:rsidR="005E7AA0">
        <w:rPr>
          <w:szCs w:val="32"/>
        </w:rPr>
        <w:t>.</w:t>
      </w:r>
      <w:r w:rsidR="005E7AA0">
        <w:rPr>
          <w:rStyle w:val="FootnoteReference"/>
          <w:szCs w:val="32"/>
        </w:rPr>
        <w:footnoteReference w:id="17"/>
      </w:r>
      <w:r w:rsidR="00CF052E">
        <w:rPr>
          <w:szCs w:val="32"/>
        </w:rPr>
        <w:t xml:space="preserve"> We present results for the average event</w:t>
      </w:r>
      <w:r w:rsidR="005E7AA0">
        <w:rPr>
          <w:szCs w:val="32"/>
        </w:rPr>
        <w:t>-</w:t>
      </w:r>
      <w:r w:rsidR="00CF052E">
        <w:rPr>
          <w:szCs w:val="32"/>
        </w:rPr>
        <w:t>hour for each event day</w:t>
      </w:r>
      <w:r w:rsidR="005E7AA0">
        <w:rPr>
          <w:szCs w:val="32"/>
        </w:rPr>
        <w:t xml:space="preserve"> and the average event</w:t>
      </w:r>
      <w:r w:rsidR="00CF052E">
        <w:rPr>
          <w:szCs w:val="32"/>
        </w:rPr>
        <w:t xml:space="preserve">. Additional results for these customers can be found in </w:t>
      </w:r>
      <w:r w:rsidR="00CF052E" w:rsidRPr="00822514">
        <w:t>electronic form in Protocol table generators provided along with this report</w:t>
      </w:r>
      <w:r w:rsidR="00CF052E">
        <w:rPr>
          <w:szCs w:val="32"/>
        </w:rPr>
        <w:t>.</w:t>
      </w:r>
    </w:p>
    <w:p w14:paraId="6737CE0A" w14:textId="053066B2" w:rsidR="00CF052E" w:rsidRDefault="005E7AA0" w:rsidP="00CF052E">
      <w:pPr>
        <w:spacing w:after="120"/>
        <w:rPr>
          <w:szCs w:val="32"/>
        </w:rPr>
      </w:pPr>
      <w:r>
        <w:rPr>
          <w:szCs w:val="32"/>
        </w:rPr>
        <w:fldChar w:fldCharType="begin"/>
      </w:r>
      <w:r>
        <w:rPr>
          <w:szCs w:val="32"/>
        </w:rPr>
        <w:instrText xml:space="preserve"> REF _Ref507059413 \h </w:instrText>
      </w:r>
      <w:r>
        <w:rPr>
          <w:szCs w:val="32"/>
        </w:rPr>
      </w:r>
      <w:r>
        <w:rPr>
          <w:szCs w:val="32"/>
        </w:rPr>
        <w:fldChar w:fldCharType="separate"/>
      </w:r>
      <w:r w:rsidR="005D5C7C">
        <w:t xml:space="preserve">Table </w:t>
      </w:r>
      <w:r w:rsidR="005D5C7C">
        <w:rPr>
          <w:noProof/>
        </w:rPr>
        <w:t>4</w:t>
      </w:r>
      <w:r w:rsidR="005D5C7C">
        <w:t>.</w:t>
      </w:r>
      <w:r w:rsidR="005D5C7C">
        <w:rPr>
          <w:noProof/>
        </w:rPr>
        <w:t>14</w:t>
      </w:r>
      <w:r>
        <w:rPr>
          <w:szCs w:val="32"/>
        </w:rPr>
        <w:fldChar w:fldCharType="end"/>
      </w:r>
      <w:r>
        <w:rPr>
          <w:szCs w:val="32"/>
        </w:rPr>
        <w:t xml:space="preserve"> summarizes aggregate event-hour results for each event-day as well as the </w:t>
      </w:r>
      <w:r w:rsidR="00F13EDC">
        <w:rPr>
          <w:szCs w:val="32"/>
        </w:rPr>
        <w:t>average</w:t>
      </w:r>
      <w:r>
        <w:rPr>
          <w:szCs w:val="32"/>
        </w:rPr>
        <w:t xml:space="preserve"> event day for customers who are dually enrolled in BIP and CPP, including the number of enrolled customers, the reference and observed loads, and the estimated load impacts (in MWh/hour and as a percentage of the reference load). </w:t>
      </w:r>
      <w:r w:rsidR="004B0941" w:rsidRPr="004B0941">
        <w:rPr>
          <w:szCs w:val="32"/>
          <w:highlight w:val="black"/>
        </w:rPr>
        <w:t>-------------------------------------------------------------------------------------------------------------------------------------------------------------------------------------------------------------------------------------------------------------------------------------------------------------------------------------------------------------------------------------------------------------------------------------------------------------------------------------------------------------------------------------------------------------------------------------------------------------------------------------------------------------------</w:t>
      </w:r>
    </w:p>
    <w:p w14:paraId="1F867847" w14:textId="77777777" w:rsidR="00CF052E" w:rsidRDefault="00CF052E" w:rsidP="00CF052E">
      <w:pPr>
        <w:spacing w:after="120"/>
        <w:rPr>
          <w:szCs w:val="32"/>
        </w:rPr>
      </w:pPr>
    </w:p>
    <w:p w14:paraId="659A63BD" w14:textId="615F1074" w:rsidR="00884FC9" w:rsidRDefault="00884FC9" w:rsidP="00884FC9">
      <w:pPr>
        <w:pStyle w:val="TableCaption"/>
      </w:pPr>
      <w:bookmarkStart w:id="331" w:name="_Ref507059413"/>
      <w:bookmarkStart w:id="332" w:name="_Toc509837397"/>
      <w:r>
        <w:t xml:space="preserve">Table </w:t>
      </w:r>
      <w:fldSimple w:instr=" STYLEREF 1 \s ">
        <w:r w:rsidR="005D5C7C">
          <w:rPr>
            <w:noProof/>
          </w:rPr>
          <w:t>4</w:t>
        </w:r>
      </w:fldSimple>
      <w:r w:rsidR="0069714C">
        <w:t>.</w:t>
      </w:r>
      <w:fldSimple w:instr=" SEQ Table \* ARABIC \s 1 ">
        <w:r w:rsidR="005D5C7C">
          <w:rPr>
            <w:noProof/>
          </w:rPr>
          <w:t>14</w:t>
        </w:r>
      </w:fldSimple>
      <w:bookmarkEnd w:id="331"/>
      <w:r>
        <w:t xml:space="preserve">: Average Event-Hour Load Impacts for </w:t>
      </w:r>
      <w:r w:rsidR="005769CB">
        <w:t>C</w:t>
      </w:r>
      <w:r>
        <w:t>PP</w:t>
      </w:r>
      <w:r w:rsidR="003F55A7">
        <w:t>+</w:t>
      </w:r>
      <w:r>
        <w:t xml:space="preserve">BIP customers by Event, </w:t>
      </w:r>
      <w:r w:rsidR="005769CB">
        <w:t>SC</w:t>
      </w:r>
      <w:r w:rsidRPr="00283F52">
        <w:rPr>
          <w:i/>
        </w:rPr>
        <w:t>E</w:t>
      </w:r>
      <w:bookmarkEnd w:id="332"/>
    </w:p>
    <w:tbl>
      <w:tblPr>
        <w:tblW w:w="8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170"/>
        <w:gridCol w:w="1350"/>
        <w:gridCol w:w="1350"/>
        <w:gridCol w:w="1350"/>
        <w:gridCol w:w="895"/>
      </w:tblGrid>
      <w:tr w:rsidR="00884FC9" w14:paraId="180D778B" w14:textId="77777777" w:rsidTr="00926089">
        <w:trPr>
          <w:jc w:val="center"/>
        </w:trPr>
        <w:tc>
          <w:tcPr>
            <w:tcW w:w="1980" w:type="dxa"/>
            <w:tcBorders>
              <w:right w:val="single" w:sz="4" w:space="0" w:color="FFFFFF" w:themeColor="background1"/>
            </w:tcBorders>
            <w:shd w:val="clear" w:color="auto" w:fill="0C2577"/>
            <w:vAlign w:val="center"/>
          </w:tcPr>
          <w:p w14:paraId="25C43D85" w14:textId="77777777" w:rsidR="00884FC9" w:rsidRPr="007E0A27" w:rsidRDefault="00884FC9" w:rsidP="00884FC9">
            <w:pPr>
              <w:keepNext/>
              <w:keepLines/>
              <w:jc w:val="center"/>
              <w:rPr>
                <w:rFonts w:ascii="Arial" w:hAnsi="Arial" w:cs="Arial"/>
                <w:b/>
                <w:sz w:val="20"/>
                <w:szCs w:val="20"/>
              </w:rPr>
            </w:pPr>
            <w:r>
              <w:rPr>
                <w:rFonts w:ascii="Arial" w:hAnsi="Arial" w:cs="Arial"/>
                <w:b/>
                <w:sz w:val="20"/>
                <w:szCs w:val="20"/>
              </w:rPr>
              <w:t>Event Date</w:t>
            </w:r>
          </w:p>
        </w:tc>
        <w:tc>
          <w:tcPr>
            <w:tcW w:w="1170" w:type="dxa"/>
            <w:tcBorders>
              <w:left w:val="single" w:sz="4" w:space="0" w:color="FFFFFF" w:themeColor="background1"/>
              <w:right w:val="single" w:sz="4" w:space="0" w:color="FFFFFF" w:themeColor="background1"/>
            </w:tcBorders>
            <w:shd w:val="clear" w:color="auto" w:fill="0C2577"/>
            <w:vAlign w:val="center"/>
          </w:tcPr>
          <w:p w14:paraId="7478E70A" w14:textId="77777777" w:rsidR="00884FC9" w:rsidRPr="007E0A27" w:rsidRDefault="00884FC9" w:rsidP="00884FC9">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5D444EA9" w14:textId="5D27F0AC"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Estimated Reference Load (MW</w:t>
            </w:r>
            <w:r w:rsidR="007A68CF">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208A961E" w14:textId="733CA769"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Observed Load (MW</w:t>
            </w:r>
            <w:r w:rsidR="007A68CF">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7FADC5E0" w14:textId="5285DC1E"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Estimated Load Impact (MW</w:t>
            </w:r>
            <w:r w:rsidR="007A68CF">
              <w:rPr>
                <w:rFonts w:ascii="Arial" w:hAnsi="Arial" w:cs="Arial"/>
                <w:b/>
                <w:sz w:val="20"/>
                <w:szCs w:val="20"/>
              </w:rPr>
              <w:t>h/hour</w:t>
            </w:r>
            <w:r w:rsidRPr="007E0A27">
              <w:rPr>
                <w:rFonts w:ascii="Arial" w:hAnsi="Arial" w:cs="Arial"/>
                <w:b/>
                <w:sz w:val="20"/>
                <w:szCs w:val="20"/>
              </w:rPr>
              <w:t>)</w:t>
            </w:r>
          </w:p>
        </w:tc>
        <w:tc>
          <w:tcPr>
            <w:tcW w:w="895" w:type="dxa"/>
            <w:tcBorders>
              <w:left w:val="single" w:sz="4" w:space="0" w:color="FFFFFF" w:themeColor="background1"/>
            </w:tcBorders>
            <w:shd w:val="clear" w:color="auto" w:fill="0C2577"/>
            <w:vAlign w:val="center"/>
          </w:tcPr>
          <w:p w14:paraId="488D1F6E" w14:textId="77777777"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 LI</w:t>
            </w:r>
          </w:p>
        </w:tc>
      </w:tr>
      <w:tr w:rsidR="00A02B78" w14:paraId="0DEE91A7" w14:textId="77777777" w:rsidTr="004B0941">
        <w:trPr>
          <w:jc w:val="center"/>
        </w:trPr>
        <w:tc>
          <w:tcPr>
            <w:tcW w:w="1980" w:type="dxa"/>
            <w:vAlign w:val="bottom"/>
          </w:tcPr>
          <w:p w14:paraId="57AFC9DD" w14:textId="77777777"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6/19/2017</w:t>
            </w:r>
          </w:p>
        </w:tc>
        <w:tc>
          <w:tcPr>
            <w:tcW w:w="1170"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0DE0103C" w14:textId="1E0B07A5"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67DB8551" w14:textId="2A33BDF4"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6B96651E" w14:textId="3C9B3B03"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03B210EF" w14:textId="6119FA11" w:rsidR="00A02B78" w:rsidRPr="000547DF" w:rsidRDefault="00A02B78" w:rsidP="00A02B78">
            <w:pPr>
              <w:jc w:val="center"/>
              <w:rPr>
                <w:rFonts w:ascii="Arial" w:hAnsi="Arial" w:cs="Arial"/>
                <w:sz w:val="20"/>
                <w:szCs w:val="20"/>
              </w:rPr>
            </w:pPr>
          </w:p>
        </w:tc>
        <w:tc>
          <w:tcPr>
            <w:tcW w:w="895" w:type="dxa"/>
            <w:tcBorders>
              <w:top w:val="single" w:sz="4" w:space="0" w:color="auto"/>
              <w:left w:val="nil"/>
              <w:bottom w:val="single" w:sz="4" w:space="0" w:color="auto"/>
              <w:right w:val="single" w:sz="4" w:space="0" w:color="auto"/>
            </w:tcBorders>
            <w:shd w:val="clear" w:color="auto" w:fill="000000" w:themeFill="text1"/>
            <w:vAlign w:val="bottom"/>
          </w:tcPr>
          <w:p w14:paraId="61405CFD" w14:textId="77C52499" w:rsidR="00A02B78" w:rsidRPr="000547DF" w:rsidRDefault="00A02B78" w:rsidP="00A02B78">
            <w:pPr>
              <w:jc w:val="center"/>
              <w:rPr>
                <w:rFonts w:ascii="Arial" w:hAnsi="Arial" w:cs="Arial"/>
                <w:sz w:val="20"/>
                <w:szCs w:val="20"/>
              </w:rPr>
            </w:pPr>
          </w:p>
        </w:tc>
      </w:tr>
      <w:tr w:rsidR="00A02B78" w14:paraId="7716F70D" w14:textId="77777777" w:rsidTr="004B0941">
        <w:trPr>
          <w:jc w:val="center"/>
        </w:trPr>
        <w:tc>
          <w:tcPr>
            <w:tcW w:w="1980" w:type="dxa"/>
            <w:vAlign w:val="bottom"/>
          </w:tcPr>
          <w:p w14:paraId="145660B4" w14:textId="77777777"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6/20/2017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50C8933C" w14:textId="196DC66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9C54754" w14:textId="39D0C6F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04E35E2" w14:textId="5CE434F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3760D2C" w14:textId="7A384CB8"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52E4244E" w14:textId="2830FBCA" w:rsidR="00A02B78" w:rsidRPr="000547DF" w:rsidRDefault="00A02B78" w:rsidP="00A02B78">
            <w:pPr>
              <w:jc w:val="center"/>
              <w:rPr>
                <w:rFonts w:ascii="Arial" w:hAnsi="Arial" w:cs="Arial"/>
                <w:sz w:val="20"/>
                <w:szCs w:val="20"/>
              </w:rPr>
            </w:pPr>
          </w:p>
        </w:tc>
      </w:tr>
      <w:tr w:rsidR="00A02B78" w14:paraId="5BC8A500" w14:textId="77777777" w:rsidTr="004B0941">
        <w:trPr>
          <w:jc w:val="center"/>
        </w:trPr>
        <w:tc>
          <w:tcPr>
            <w:tcW w:w="1980" w:type="dxa"/>
            <w:vAlign w:val="bottom"/>
          </w:tcPr>
          <w:p w14:paraId="4710A815"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7/6/2017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650CF8EE" w14:textId="752C9A9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DB6B15B" w14:textId="31C5326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4BEC34E" w14:textId="5A20A77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557599B" w14:textId="5F47A20D"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43157A15" w14:textId="23611AA3" w:rsidR="00A02B78" w:rsidRPr="000547DF" w:rsidRDefault="00A02B78" w:rsidP="00A02B78">
            <w:pPr>
              <w:jc w:val="center"/>
              <w:rPr>
                <w:rFonts w:ascii="Arial" w:hAnsi="Arial" w:cs="Arial"/>
                <w:sz w:val="20"/>
                <w:szCs w:val="20"/>
              </w:rPr>
            </w:pPr>
          </w:p>
        </w:tc>
      </w:tr>
      <w:tr w:rsidR="00A02B78" w14:paraId="671F10CF" w14:textId="77777777" w:rsidTr="004B0941">
        <w:trPr>
          <w:jc w:val="center"/>
        </w:trPr>
        <w:tc>
          <w:tcPr>
            <w:tcW w:w="1980" w:type="dxa"/>
            <w:vAlign w:val="bottom"/>
          </w:tcPr>
          <w:p w14:paraId="3B6EC72B"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3DB921E" w14:textId="2EC0625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981460A" w14:textId="0E214E2A"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F68CFDD" w14:textId="72930B31"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2FB3024" w14:textId="418A52B0"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5972D3A1" w14:textId="4B34BED8" w:rsidR="00A02B78" w:rsidRPr="000547DF" w:rsidRDefault="00A02B78" w:rsidP="00A02B78">
            <w:pPr>
              <w:jc w:val="center"/>
              <w:rPr>
                <w:rFonts w:ascii="Arial" w:hAnsi="Arial" w:cs="Arial"/>
                <w:sz w:val="20"/>
                <w:szCs w:val="20"/>
              </w:rPr>
            </w:pPr>
          </w:p>
        </w:tc>
      </w:tr>
      <w:tr w:rsidR="00A02B78" w14:paraId="4986773B" w14:textId="77777777" w:rsidTr="004B0941">
        <w:trPr>
          <w:jc w:val="center"/>
        </w:trPr>
        <w:tc>
          <w:tcPr>
            <w:tcW w:w="1980" w:type="dxa"/>
            <w:vAlign w:val="bottom"/>
          </w:tcPr>
          <w:p w14:paraId="2DD4C18C"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7/27/2017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5611E45C" w14:textId="3020080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77288B9" w14:textId="794A3D5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FF3D8E1" w14:textId="0156C82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8D40801" w14:textId="53B92895"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5943E727" w14:textId="258AAA6F" w:rsidR="00A02B78" w:rsidRPr="000547DF" w:rsidRDefault="00A02B78" w:rsidP="00A02B78">
            <w:pPr>
              <w:jc w:val="center"/>
              <w:rPr>
                <w:rFonts w:ascii="Arial" w:hAnsi="Arial" w:cs="Arial"/>
                <w:sz w:val="20"/>
                <w:szCs w:val="20"/>
              </w:rPr>
            </w:pPr>
          </w:p>
        </w:tc>
      </w:tr>
      <w:tr w:rsidR="00A02B78" w14:paraId="584A1606" w14:textId="77777777" w:rsidTr="004B0941">
        <w:trPr>
          <w:jc w:val="center"/>
        </w:trPr>
        <w:tc>
          <w:tcPr>
            <w:tcW w:w="1980" w:type="dxa"/>
            <w:vAlign w:val="bottom"/>
          </w:tcPr>
          <w:p w14:paraId="469901C7"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6E605FB" w14:textId="28D7560A"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1807474" w14:textId="3B96F239"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8007329" w14:textId="7E41C10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44ED0D2" w14:textId="62BCC0EA"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0EADFBD5" w14:textId="57E0B641" w:rsidR="00A02B78" w:rsidRPr="000547DF" w:rsidRDefault="00A02B78" w:rsidP="00A02B78">
            <w:pPr>
              <w:jc w:val="center"/>
              <w:rPr>
                <w:rFonts w:ascii="Arial" w:hAnsi="Arial" w:cs="Arial"/>
                <w:sz w:val="20"/>
                <w:szCs w:val="20"/>
              </w:rPr>
            </w:pPr>
          </w:p>
        </w:tc>
      </w:tr>
      <w:tr w:rsidR="00A02B78" w14:paraId="17B6376F" w14:textId="77777777" w:rsidTr="004B0941">
        <w:trPr>
          <w:jc w:val="center"/>
        </w:trPr>
        <w:tc>
          <w:tcPr>
            <w:tcW w:w="1980" w:type="dxa"/>
            <w:vAlign w:val="bottom"/>
          </w:tcPr>
          <w:p w14:paraId="2D3BB794"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66FE629C" w14:textId="01789F5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819DD34" w14:textId="6709E3E4"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347E843" w14:textId="6EF2789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8A61A0D" w14:textId="45D3F1DD"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374211AE" w14:textId="680C9599" w:rsidR="00A02B78" w:rsidRPr="000547DF" w:rsidRDefault="00A02B78" w:rsidP="00A02B78">
            <w:pPr>
              <w:jc w:val="center"/>
              <w:rPr>
                <w:rFonts w:ascii="Arial" w:hAnsi="Arial" w:cs="Arial"/>
                <w:sz w:val="20"/>
                <w:szCs w:val="20"/>
              </w:rPr>
            </w:pPr>
          </w:p>
        </w:tc>
      </w:tr>
      <w:tr w:rsidR="00A02B78" w14:paraId="614C926F" w14:textId="77777777" w:rsidTr="004B0941">
        <w:trPr>
          <w:jc w:val="center"/>
        </w:trPr>
        <w:tc>
          <w:tcPr>
            <w:tcW w:w="1980" w:type="dxa"/>
            <w:vAlign w:val="bottom"/>
          </w:tcPr>
          <w:p w14:paraId="44794B1B"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8/28/2017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C4323F8" w14:textId="6B4EEBF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6C7E724" w14:textId="751CC21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DFB2845" w14:textId="11FB69F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744B0E4" w14:textId="173CC918"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4142DBCB" w14:textId="0B85633D" w:rsidR="00A02B78" w:rsidRPr="000547DF" w:rsidRDefault="00A02B78" w:rsidP="00A02B78">
            <w:pPr>
              <w:jc w:val="center"/>
              <w:rPr>
                <w:rFonts w:ascii="Arial" w:hAnsi="Arial" w:cs="Arial"/>
                <w:sz w:val="20"/>
                <w:szCs w:val="20"/>
              </w:rPr>
            </w:pPr>
          </w:p>
        </w:tc>
      </w:tr>
      <w:tr w:rsidR="00A02B78" w14:paraId="5B4887EF" w14:textId="77777777" w:rsidTr="004B0941">
        <w:trPr>
          <w:jc w:val="center"/>
        </w:trPr>
        <w:tc>
          <w:tcPr>
            <w:tcW w:w="1980" w:type="dxa"/>
            <w:vAlign w:val="bottom"/>
          </w:tcPr>
          <w:p w14:paraId="519A979F"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8/29/2017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32B78CCC" w14:textId="2AF5BF7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6A14660" w14:textId="3C873B2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415A9AB" w14:textId="23CE4DB1"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E1AC1F7" w14:textId="6A1431FB"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238FE717" w14:textId="4DC06CA1" w:rsidR="00A02B78" w:rsidRPr="000547DF" w:rsidRDefault="00A02B78" w:rsidP="00A02B78">
            <w:pPr>
              <w:jc w:val="center"/>
              <w:rPr>
                <w:rFonts w:ascii="Arial" w:hAnsi="Arial" w:cs="Arial"/>
                <w:sz w:val="20"/>
                <w:szCs w:val="20"/>
              </w:rPr>
            </w:pPr>
          </w:p>
        </w:tc>
      </w:tr>
      <w:tr w:rsidR="00A02B78" w14:paraId="7213411F" w14:textId="77777777" w:rsidTr="004B0941">
        <w:trPr>
          <w:jc w:val="center"/>
        </w:trPr>
        <w:tc>
          <w:tcPr>
            <w:tcW w:w="1980" w:type="dxa"/>
            <w:vAlign w:val="bottom"/>
          </w:tcPr>
          <w:p w14:paraId="0893BBBC"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695E1F5" w14:textId="3CBFBEF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F0A327E" w14:textId="66CF60C1"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53FF859" w14:textId="3AE10D7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2272961" w14:textId="43E4C832"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536B26CF" w14:textId="30BFA9E0" w:rsidR="00A02B78" w:rsidRPr="000547DF" w:rsidRDefault="00A02B78" w:rsidP="00A02B78">
            <w:pPr>
              <w:jc w:val="center"/>
              <w:rPr>
                <w:rFonts w:ascii="Arial" w:hAnsi="Arial" w:cs="Arial"/>
                <w:sz w:val="20"/>
                <w:szCs w:val="20"/>
              </w:rPr>
            </w:pPr>
          </w:p>
        </w:tc>
      </w:tr>
      <w:tr w:rsidR="00A02B78" w14:paraId="03E07851" w14:textId="77777777" w:rsidTr="004B0941">
        <w:trPr>
          <w:jc w:val="center"/>
        </w:trPr>
        <w:tc>
          <w:tcPr>
            <w:tcW w:w="1980" w:type="dxa"/>
            <w:vAlign w:val="bottom"/>
          </w:tcPr>
          <w:p w14:paraId="67B629F6"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9/5/2017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5274AB31" w14:textId="0DF0D264"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0D8550F" w14:textId="12E8F44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6440D9E" w14:textId="453EBD1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BCB5930" w14:textId="7ABD24EE"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23296AC5" w14:textId="230E681F" w:rsidR="00A02B78" w:rsidRPr="000547DF" w:rsidRDefault="00A02B78" w:rsidP="00A02B78">
            <w:pPr>
              <w:jc w:val="center"/>
              <w:rPr>
                <w:rFonts w:ascii="Arial" w:hAnsi="Arial" w:cs="Arial"/>
                <w:sz w:val="20"/>
                <w:szCs w:val="20"/>
              </w:rPr>
            </w:pPr>
          </w:p>
        </w:tc>
      </w:tr>
      <w:tr w:rsidR="00A02B78" w14:paraId="777D888D" w14:textId="77777777" w:rsidTr="004B0941">
        <w:trPr>
          <w:jc w:val="center"/>
        </w:trPr>
        <w:tc>
          <w:tcPr>
            <w:tcW w:w="1980" w:type="dxa"/>
            <w:vAlign w:val="bottom"/>
          </w:tcPr>
          <w:p w14:paraId="55747160"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9/12/2017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6F2E4152" w14:textId="41CF7839"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C8CD1A3" w14:textId="6848897D"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15334F5" w14:textId="6AE1821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0234D36" w14:textId="7CEB5324" w:rsidR="00A02B78" w:rsidRPr="000547DF" w:rsidRDefault="00A02B78" w:rsidP="00A02B78">
            <w:pPr>
              <w:jc w:val="center"/>
              <w:rPr>
                <w:rFonts w:ascii="Arial" w:hAnsi="Arial" w:cs="Arial"/>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3555B88E" w14:textId="6AC40471" w:rsidR="00A02B78" w:rsidRPr="000547DF" w:rsidRDefault="00A02B78" w:rsidP="00A02B78">
            <w:pPr>
              <w:jc w:val="center"/>
              <w:rPr>
                <w:rFonts w:ascii="Arial" w:hAnsi="Arial" w:cs="Arial"/>
                <w:sz w:val="20"/>
                <w:szCs w:val="20"/>
              </w:rPr>
            </w:pPr>
          </w:p>
        </w:tc>
      </w:tr>
      <w:tr w:rsidR="00A02B78" w14:paraId="2ABE04A7" w14:textId="77777777" w:rsidTr="004B0941">
        <w:trPr>
          <w:jc w:val="center"/>
        </w:trPr>
        <w:tc>
          <w:tcPr>
            <w:tcW w:w="1980" w:type="dxa"/>
            <w:vAlign w:val="center"/>
          </w:tcPr>
          <w:p w14:paraId="25EC90D8" w14:textId="77777777" w:rsidR="00A02B78" w:rsidRDefault="00A02B78" w:rsidP="00A02B78">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F7D7F9D" w14:textId="47E20CD5" w:rsidR="00A02B78" w:rsidRPr="00123E7E"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C959F60" w14:textId="0B3D408D" w:rsidR="00A02B78" w:rsidRPr="00123E7E"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30FEABB" w14:textId="27B94FF5" w:rsidR="00A02B78" w:rsidRPr="00123E7E"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4AD055C" w14:textId="7B091D63" w:rsidR="00A02B78" w:rsidRPr="00123E7E" w:rsidRDefault="00A02B78" w:rsidP="00A02B78">
            <w:pPr>
              <w:jc w:val="center"/>
              <w:rPr>
                <w:rFonts w:ascii="Arial" w:hAnsi="Arial" w:cs="Arial"/>
                <w:b/>
                <w:sz w:val="20"/>
                <w:szCs w:val="20"/>
              </w:rPr>
            </w:pPr>
          </w:p>
        </w:tc>
        <w:tc>
          <w:tcPr>
            <w:tcW w:w="895" w:type="dxa"/>
            <w:tcBorders>
              <w:top w:val="nil"/>
              <w:left w:val="nil"/>
              <w:bottom w:val="single" w:sz="4" w:space="0" w:color="auto"/>
              <w:right w:val="single" w:sz="4" w:space="0" w:color="auto"/>
            </w:tcBorders>
            <w:shd w:val="clear" w:color="auto" w:fill="000000" w:themeFill="text1"/>
            <w:vAlign w:val="bottom"/>
          </w:tcPr>
          <w:p w14:paraId="2CB39D2C" w14:textId="4F43E731" w:rsidR="00A02B78" w:rsidRPr="00123E7E" w:rsidRDefault="00A02B78" w:rsidP="00A02B78">
            <w:pPr>
              <w:jc w:val="center"/>
              <w:rPr>
                <w:rFonts w:ascii="Arial" w:hAnsi="Arial" w:cs="Arial"/>
                <w:b/>
                <w:sz w:val="20"/>
                <w:szCs w:val="20"/>
              </w:rPr>
            </w:pPr>
          </w:p>
        </w:tc>
      </w:tr>
    </w:tbl>
    <w:p w14:paraId="77BD8E95" w14:textId="0001F791" w:rsidR="001C7388" w:rsidRDefault="001C7388" w:rsidP="00CB13E9">
      <w:pPr>
        <w:spacing w:after="120"/>
        <w:rPr>
          <w:szCs w:val="32"/>
        </w:rPr>
      </w:pPr>
    </w:p>
    <w:p w14:paraId="2FA6E24E" w14:textId="27F83BC3" w:rsidR="00F3603C" w:rsidRDefault="00B61877" w:rsidP="00CB13E9">
      <w:pPr>
        <w:spacing w:after="120"/>
        <w:rPr>
          <w:szCs w:val="32"/>
        </w:rPr>
      </w:pPr>
      <w:r>
        <w:rPr>
          <w:noProof/>
          <w:szCs w:val="32"/>
        </w:rPr>
        <mc:AlternateContent>
          <mc:Choice Requires="wps">
            <w:drawing>
              <wp:anchor distT="0" distB="0" distL="114300" distR="114300" simplePos="0" relativeHeight="251703296" behindDoc="0" locked="0" layoutInCell="1" allowOverlap="1" wp14:anchorId="612CE3D1" wp14:editId="055AC4AC">
                <wp:simplePos x="0" y="0"/>
                <wp:positionH relativeFrom="margin">
                  <wp:align>right</wp:align>
                </wp:positionH>
                <wp:positionV relativeFrom="paragraph">
                  <wp:posOffset>2383127</wp:posOffset>
                </wp:positionV>
                <wp:extent cx="5422789" cy="397566"/>
                <wp:effectExtent l="0" t="0" r="26035" b="21590"/>
                <wp:wrapNone/>
                <wp:docPr id="88" name="Text Box 88"/>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74A1FDA"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2CE3D1" id="Text Box 88" o:spid="_x0000_s1048" type="#_x0000_t202" style="position:absolute;margin-left:375.8pt;margin-top:187.65pt;width:427pt;height:31.3pt;z-index:25170329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" fillcolor="white [3201]" strokeweight=".5pt">
                <v:textbox>
                  <w:txbxContent>
                    <w:p w14:paraId="674A1FDA"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F15808">
        <w:rPr>
          <w:szCs w:val="32"/>
        </w:rPr>
        <w:fldChar w:fldCharType="begin"/>
      </w:r>
      <w:r w:rsidR="00F15808">
        <w:rPr>
          <w:szCs w:val="32"/>
        </w:rPr>
        <w:instrText xml:space="preserve"> REF _Ref507060330 \h </w:instrText>
      </w:r>
      <w:r w:rsidR="00F15808">
        <w:rPr>
          <w:szCs w:val="32"/>
        </w:rPr>
      </w:r>
      <w:r w:rsidR="00F15808">
        <w:rPr>
          <w:szCs w:val="32"/>
        </w:rPr>
        <w:fldChar w:fldCharType="separate"/>
      </w:r>
      <w:r w:rsidR="005D5C7C">
        <w:t xml:space="preserve">Table </w:t>
      </w:r>
      <w:r w:rsidR="005D5C7C">
        <w:rPr>
          <w:noProof/>
        </w:rPr>
        <w:t>4</w:t>
      </w:r>
      <w:r w:rsidR="005D5C7C">
        <w:t>.</w:t>
      </w:r>
      <w:r w:rsidR="005D5C7C">
        <w:rPr>
          <w:noProof/>
        </w:rPr>
        <w:t>15</w:t>
      </w:r>
      <w:r w:rsidR="00F15808">
        <w:rPr>
          <w:szCs w:val="32"/>
        </w:rPr>
        <w:fldChar w:fldCharType="end"/>
      </w:r>
      <w:r w:rsidR="00F3603C">
        <w:rPr>
          <w:szCs w:val="32"/>
        </w:rPr>
        <w:t xml:space="preserve"> </w:t>
      </w:r>
      <w:r w:rsidR="00F15808">
        <w:rPr>
          <w:szCs w:val="32"/>
        </w:rPr>
        <w:t xml:space="preserve">summarizes aggregate event-hour results for each event-day as well as the typical event day for customers who are dually enrolled in CBP and CPP, including the number of enrolled customers, the reference and observed loads, and the estimated load impacts (in MWh/hour and as a percentage of the reference load). </w:t>
      </w:r>
      <w:r w:rsidR="004B0941" w:rsidRPr="004B0941">
        <w:rPr>
          <w:szCs w:val="32"/>
          <w:highlight w:val="black"/>
        </w:rPr>
        <w:t>----------------------------------------------------------------------------------------------------------------------------------------------------------------------------------------------------------------------------------------------------------------------------------------------------------------------------------------------------------------------------------------------------------------------------------------------------------------------------------------------------------</w:t>
      </w:r>
      <w:r w:rsidR="004B0941" w:rsidRPr="004B0941">
        <w:rPr>
          <w:szCs w:val="32"/>
          <w:highlight w:val="black"/>
        </w:rPr>
        <w:lastRenderedPageBreak/>
        <w:t>-----------------------------------------------------------------------------------------------------------------------------------------------------------------------------------------------------------------------------------</w:t>
      </w:r>
    </w:p>
    <w:p w14:paraId="467A8AE5" w14:textId="1DD18435" w:rsidR="00884FC9" w:rsidRDefault="00884FC9" w:rsidP="00884FC9">
      <w:pPr>
        <w:pStyle w:val="TableCaption"/>
      </w:pPr>
      <w:bookmarkStart w:id="333" w:name="_Ref507060330"/>
      <w:bookmarkStart w:id="334" w:name="_Toc509837398"/>
      <w:r>
        <w:t xml:space="preserve">Table </w:t>
      </w:r>
      <w:fldSimple w:instr=" STYLEREF 1 \s ">
        <w:r w:rsidR="005D5C7C">
          <w:rPr>
            <w:noProof/>
          </w:rPr>
          <w:t>4</w:t>
        </w:r>
      </w:fldSimple>
      <w:r w:rsidR="0069714C">
        <w:t>.</w:t>
      </w:r>
      <w:fldSimple w:instr=" SEQ Table \* ARABIC \s 1 ">
        <w:r w:rsidR="005D5C7C">
          <w:rPr>
            <w:noProof/>
          </w:rPr>
          <w:t>15</w:t>
        </w:r>
      </w:fldSimple>
      <w:bookmarkEnd w:id="333"/>
      <w:r w:rsidR="005769CB">
        <w:t>: Average Event-Hour Load Impacts for CPP</w:t>
      </w:r>
      <w:r w:rsidR="00627412">
        <w:t>+</w:t>
      </w:r>
      <w:r w:rsidR="005769CB">
        <w:t>CBP customers by Event, SC</w:t>
      </w:r>
      <w:r w:rsidR="005769CB" w:rsidRPr="00283F52">
        <w:rPr>
          <w:i/>
        </w:rPr>
        <w:t>E</w:t>
      </w:r>
      <w:bookmarkEnd w:id="334"/>
    </w:p>
    <w:tbl>
      <w:tblPr>
        <w:tblW w:w="8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170"/>
        <w:gridCol w:w="1350"/>
        <w:gridCol w:w="1260"/>
        <w:gridCol w:w="1440"/>
        <w:gridCol w:w="1345"/>
      </w:tblGrid>
      <w:tr w:rsidR="00884FC9" w14:paraId="20988BD3" w14:textId="77777777" w:rsidTr="00884FC9">
        <w:trPr>
          <w:jc w:val="center"/>
        </w:trPr>
        <w:tc>
          <w:tcPr>
            <w:tcW w:w="2065" w:type="dxa"/>
            <w:tcBorders>
              <w:right w:val="single" w:sz="4" w:space="0" w:color="FFFFFF" w:themeColor="background1"/>
            </w:tcBorders>
            <w:shd w:val="clear" w:color="auto" w:fill="0C2577"/>
            <w:vAlign w:val="center"/>
          </w:tcPr>
          <w:p w14:paraId="699B19BF" w14:textId="77777777" w:rsidR="00884FC9" w:rsidRPr="007E0A27" w:rsidRDefault="00884FC9" w:rsidP="00884FC9">
            <w:pPr>
              <w:keepNext/>
              <w:keepLines/>
              <w:jc w:val="center"/>
              <w:rPr>
                <w:rFonts w:ascii="Arial" w:hAnsi="Arial" w:cs="Arial"/>
                <w:b/>
                <w:sz w:val="20"/>
                <w:szCs w:val="20"/>
              </w:rPr>
            </w:pPr>
            <w:r>
              <w:rPr>
                <w:rFonts w:ascii="Arial" w:hAnsi="Arial" w:cs="Arial"/>
                <w:b/>
                <w:sz w:val="20"/>
                <w:szCs w:val="20"/>
              </w:rPr>
              <w:t>Event Date</w:t>
            </w:r>
          </w:p>
        </w:tc>
        <w:tc>
          <w:tcPr>
            <w:tcW w:w="1170" w:type="dxa"/>
            <w:tcBorders>
              <w:left w:val="single" w:sz="4" w:space="0" w:color="FFFFFF" w:themeColor="background1"/>
              <w:right w:val="single" w:sz="4" w:space="0" w:color="FFFFFF" w:themeColor="background1"/>
            </w:tcBorders>
            <w:shd w:val="clear" w:color="auto" w:fill="0C2577"/>
            <w:vAlign w:val="center"/>
          </w:tcPr>
          <w:p w14:paraId="7E37B57C" w14:textId="77777777" w:rsidR="00884FC9" w:rsidRPr="007E0A27" w:rsidRDefault="00884FC9" w:rsidP="00884FC9">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3A3A54FA" w14:textId="36489F8D"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Estimated Reference Load (MW</w:t>
            </w:r>
            <w:r w:rsidR="00926089">
              <w:rPr>
                <w:rFonts w:ascii="Arial" w:hAnsi="Arial" w:cs="Arial"/>
                <w:b/>
                <w:sz w:val="20"/>
                <w:szCs w:val="20"/>
              </w:rPr>
              <w:t>h/hour</w:t>
            </w:r>
            <w:r w:rsidRPr="007E0A27">
              <w:rPr>
                <w:rFonts w:ascii="Arial" w:hAnsi="Arial" w:cs="Arial"/>
                <w:b/>
                <w:sz w:val="20"/>
                <w:szCs w:val="20"/>
              </w:rPr>
              <w:t>)</w:t>
            </w:r>
          </w:p>
        </w:tc>
        <w:tc>
          <w:tcPr>
            <w:tcW w:w="1260" w:type="dxa"/>
            <w:tcBorders>
              <w:left w:val="single" w:sz="4" w:space="0" w:color="FFFFFF" w:themeColor="background1"/>
              <w:right w:val="single" w:sz="4" w:space="0" w:color="FFFFFF" w:themeColor="background1"/>
            </w:tcBorders>
            <w:shd w:val="clear" w:color="auto" w:fill="0C2577"/>
            <w:vAlign w:val="center"/>
          </w:tcPr>
          <w:p w14:paraId="6ADAC945" w14:textId="79A4B37A"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Observed Load (MW</w:t>
            </w:r>
            <w:r w:rsidR="00926089">
              <w:rPr>
                <w:rFonts w:ascii="Arial" w:hAnsi="Arial" w:cs="Arial"/>
                <w:b/>
                <w:sz w:val="20"/>
                <w:szCs w:val="20"/>
              </w:rPr>
              <w:t>h/hour</w:t>
            </w:r>
            <w:r w:rsidRPr="007E0A27">
              <w:rPr>
                <w:rFonts w:ascii="Arial" w:hAnsi="Arial" w:cs="Arial"/>
                <w:b/>
                <w:sz w:val="20"/>
                <w:szCs w:val="20"/>
              </w:rPr>
              <w:t>)</w:t>
            </w:r>
          </w:p>
        </w:tc>
        <w:tc>
          <w:tcPr>
            <w:tcW w:w="1440" w:type="dxa"/>
            <w:tcBorders>
              <w:left w:val="single" w:sz="4" w:space="0" w:color="FFFFFF" w:themeColor="background1"/>
              <w:right w:val="single" w:sz="4" w:space="0" w:color="FFFFFF" w:themeColor="background1"/>
            </w:tcBorders>
            <w:shd w:val="clear" w:color="auto" w:fill="0C2577"/>
            <w:vAlign w:val="center"/>
          </w:tcPr>
          <w:p w14:paraId="66683CB9" w14:textId="79CAA89A"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Estimated Load Impact (MW</w:t>
            </w:r>
            <w:r w:rsidR="00926089">
              <w:rPr>
                <w:rFonts w:ascii="Arial" w:hAnsi="Arial" w:cs="Arial"/>
                <w:b/>
                <w:sz w:val="20"/>
                <w:szCs w:val="20"/>
              </w:rPr>
              <w:t>h/hour</w:t>
            </w:r>
            <w:r w:rsidRPr="007E0A27">
              <w:rPr>
                <w:rFonts w:ascii="Arial" w:hAnsi="Arial" w:cs="Arial"/>
                <w:b/>
                <w:sz w:val="20"/>
                <w:szCs w:val="20"/>
              </w:rPr>
              <w:t>)</w:t>
            </w:r>
          </w:p>
        </w:tc>
        <w:tc>
          <w:tcPr>
            <w:tcW w:w="1345" w:type="dxa"/>
            <w:tcBorders>
              <w:left w:val="single" w:sz="4" w:space="0" w:color="FFFFFF" w:themeColor="background1"/>
            </w:tcBorders>
            <w:shd w:val="clear" w:color="auto" w:fill="0C2577"/>
            <w:vAlign w:val="center"/>
          </w:tcPr>
          <w:p w14:paraId="47EE6B56" w14:textId="77777777"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 LI</w:t>
            </w:r>
          </w:p>
        </w:tc>
      </w:tr>
      <w:tr w:rsidR="00A02B78" w14:paraId="69223204" w14:textId="77777777" w:rsidTr="004B0941">
        <w:trPr>
          <w:jc w:val="center"/>
        </w:trPr>
        <w:tc>
          <w:tcPr>
            <w:tcW w:w="2065" w:type="dxa"/>
            <w:vAlign w:val="bottom"/>
          </w:tcPr>
          <w:p w14:paraId="1738DF5E" w14:textId="77777777"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6/19/2017</w:t>
            </w:r>
          </w:p>
        </w:tc>
        <w:tc>
          <w:tcPr>
            <w:tcW w:w="1170"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7BDDD816" w14:textId="5169031F"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08B7B404" w14:textId="291979F9" w:rsidR="00A02B78" w:rsidRPr="000547DF" w:rsidRDefault="00A02B78" w:rsidP="00A02B78">
            <w:pPr>
              <w:jc w:val="center"/>
              <w:rPr>
                <w:rFonts w:ascii="Arial" w:hAnsi="Arial" w:cs="Arial"/>
                <w:sz w:val="20"/>
                <w:szCs w:val="20"/>
              </w:rPr>
            </w:pPr>
          </w:p>
        </w:tc>
        <w:tc>
          <w:tcPr>
            <w:tcW w:w="1260" w:type="dxa"/>
            <w:tcBorders>
              <w:top w:val="single" w:sz="4" w:space="0" w:color="auto"/>
              <w:left w:val="nil"/>
              <w:bottom w:val="single" w:sz="4" w:space="0" w:color="auto"/>
              <w:right w:val="single" w:sz="4" w:space="0" w:color="auto"/>
            </w:tcBorders>
            <w:shd w:val="clear" w:color="auto" w:fill="000000" w:themeFill="text1"/>
            <w:vAlign w:val="bottom"/>
          </w:tcPr>
          <w:p w14:paraId="0A819FD9" w14:textId="6F76514A" w:rsidR="00A02B78" w:rsidRPr="000547DF" w:rsidRDefault="00A02B78" w:rsidP="00A02B78">
            <w:pPr>
              <w:jc w:val="center"/>
              <w:rPr>
                <w:rFonts w:ascii="Arial" w:hAnsi="Arial" w:cs="Arial"/>
                <w:sz w:val="20"/>
                <w:szCs w:val="20"/>
              </w:rPr>
            </w:pPr>
          </w:p>
        </w:tc>
        <w:tc>
          <w:tcPr>
            <w:tcW w:w="1440" w:type="dxa"/>
            <w:tcBorders>
              <w:top w:val="single" w:sz="4" w:space="0" w:color="auto"/>
              <w:left w:val="nil"/>
              <w:bottom w:val="single" w:sz="4" w:space="0" w:color="auto"/>
              <w:right w:val="single" w:sz="4" w:space="0" w:color="auto"/>
            </w:tcBorders>
            <w:shd w:val="clear" w:color="auto" w:fill="000000" w:themeFill="text1"/>
            <w:vAlign w:val="bottom"/>
          </w:tcPr>
          <w:p w14:paraId="29DE099F" w14:textId="5BBFFDBE" w:rsidR="00A02B78" w:rsidRPr="000547DF" w:rsidRDefault="00A02B78" w:rsidP="00A02B78">
            <w:pPr>
              <w:jc w:val="center"/>
              <w:rPr>
                <w:rFonts w:ascii="Arial" w:hAnsi="Arial" w:cs="Arial"/>
                <w:sz w:val="20"/>
                <w:szCs w:val="20"/>
              </w:rPr>
            </w:pPr>
          </w:p>
        </w:tc>
        <w:tc>
          <w:tcPr>
            <w:tcW w:w="1345" w:type="dxa"/>
            <w:tcBorders>
              <w:top w:val="single" w:sz="4" w:space="0" w:color="auto"/>
              <w:left w:val="nil"/>
              <w:bottom w:val="single" w:sz="4" w:space="0" w:color="auto"/>
              <w:right w:val="single" w:sz="4" w:space="0" w:color="auto"/>
            </w:tcBorders>
            <w:shd w:val="clear" w:color="auto" w:fill="000000" w:themeFill="text1"/>
            <w:vAlign w:val="bottom"/>
          </w:tcPr>
          <w:p w14:paraId="4623DEAB" w14:textId="462D87D0" w:rsidR="00A02B78" w:rsidRPr="000547DF" w:rsidRDefault="00A02B78" w:rsidP="00A02B78">
            <w:pPr>
              <w:jc w:val="center"/>
              <w:rPr>
                <w:rFonts w:ascii="Arial" w:hAnsi="Arial" w:cs="Arial"/>
                <w:sz w:val="20"/>
                <w:szCs w:val="20"/>
              </w:rPr>
            </w:pPr>
          </w:p>
        </w:tc>
      </w:tr>
      <w:tr w:rsidR="00A02B78" w14:paraId="0C5E60ED" w14:textId="77777777" w:rsidTr="004B0941">
        <w:trPr>
          <w:jc w:val="center"/>
        </w:trPr>
        <w:tc>
          <w:tcPr>
            <w:tcW w:w="2065" w:type="dxa"/>
            <w:vAlign w:val="bottom"/>
          </w:tcPr>
          <w:p w14:paraId="5FE5B2DF" w14:textId="77777777"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6/20/2017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0A0BF2AD" w14:textId="2A1F798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7698C46" w14:textId="56021D00"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77372075" w14:textId="113C6BD9"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18E53034" w14:textId="3BC1B4A8"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2B76EC92" w14:textId="44A9A8E8" w:rsidR="00A02B78" w:rsidRPr="000547DF" w:rsidRDefault="00A02B78" w:rsidP="00A02B78">
            <w:pPr>
              <w:jc w:val="center"/>
              <w:rPr>
                <w:rFonts w:ascii="Arial" w:hAnsi="Arial" w:cs="Arial"/>
                <w:sz w:val="20"/>
                <w:szCs w:val="20"/>
              </w:rPr>
            </w:pPr>
          </w:p>
        </w:tc>
      </w:tr>
      <w:tr w:rsidR="00A02B78" w14:paraId="14EE7266" w14:textId="77777777" w:rsidTr="004B0941">
        <w:trPr>
          <w:jc w:val="center"/>
        </w:trPr>
        <w:tc>
          <w:tcPr>
            <w:tcW w:w="2065" w:type="dxa"/>
            <w:vAlign w:val="bottom"/>
          </w:tcPr>
          <w:p w14:paraId="1BB92D4E"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7/6/2017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A0BCE92" w14:textId="5F2B8AB3"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2008A96" w14:textId="6B776A07"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09D16447" w14:textId="208A0F3D"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4100ABB8" w14:textId="0B32378F"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51C886F6" w14:textId="14869C98" w:rsidR="00A02B78" w:rsidRPr="000547DF" w:rsidRDefault="00A02B78" w:rsidP="00A02B78">
            <w:pPr>
              <w:jc w:val="center"/>
              <w:rPr>
                <w:rFonts w:ascii="Arial" w:hAnsi="Arial" w:cs="Arial"/>
                <w:sz w:val="20"/>
                <w:szCs w:val="20"/>
              </w:rPr>
            </w:pPr>
          </w:p>
        </w:tc>
      </w:tr>
      <w:tr w:rsidR="00A02B78" w14:paraId="5500B838" w14:textId="77777777" w:rsidTr="004B0941">
        <w:trPr>
          <w:jc w:val="center"/>
        </w:trPr>
        <w:tc>
          <w:tcPr>
            <w:tcW w:w="2065" w:type="dxa"/>
            <w:vAlign w:val="bottom"/>
          </w:tcPr>
          <w:p w14:paraId="1AA75D2B"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1ADF13F" w14:textId="3B641A40"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90CC153" w14:textId="161193E9"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696152E9" w14:textId="1126BC46"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55B6929B" w14:textId="30142D9D"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5823159B" w14:textId="2474CE1E" w:rsidR="00A02B78" w:rsidRPr="000547DF" w:rsidRDefault="00A02B78" w:rsidP="00A02B78">
            <w:pPr>
              <w:jc w:val="center"/>
              <w:rPr>
                <w:rFonts w:ascii="Arial" w:hAnsi="Arial" w:cs="Arial"/>
                <w:sz w:val="20"/>
                <w:szCs w:val="20"/>
              </w:rPr>
            </w:pPr>
          </w:p>
        </w:tc>
      </w:tr>
      <w:tr w:rsidR="00A02B78" w14:paraId="39687585" w14:textId="77777777" w:rsidTr="004B0941">
        <w:trPr>
          <w:jc w:val="center"/>
        </w:trPr>
        <w:tc>
          <w:tcPr>
            <w:tcW w:w="2065" w:type="dxa"/>
            <w:vAlign w:val="bottom"/>
          </w:tcPr>
          <w:p w14:paraId="17A81F2D"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7/27/2017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7C0CB3B" w14:textId="676F2A65"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A414DA8" w14:textId="43993410"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264CFADA" w14:textId="71BEE662"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72404858" w14:textId="35D61A62"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27245F4B" w14:textId="0A4FE378" w:rsidR="00A02B78" w:rsidRPr="000547DF" w:rsidRDefault="00A02B78" w:rsidP="00A02B78">
            <w:pPr>
              <w:jc w:val="center"/>
              <w:rPr>
                <w:rFonts w:ascii="Arial" w:hAnsi="Arial" w:cs="Arial"/>
                <w:sz w:val="20"/>
                <w:szCs w:val="20"/>
              </w:rPr>
            </w:pPr>
          </w:p>
        </w:tc>
      </w:tr>
      <w:tr w:rsidR="00A02B78" w14:paraId="58D0D01B" w14:textId="77777777" w:rsidTr="004B0941">
        <w:trPr>
          <w:jc w:val="center"/>
        </w:trPr>
        <w:tc>
          <w:tcPr>
            <w:tcW w:w="2065" w:type="dxa"/>
            <w:vAlign w:val="bottom"/>
          </w:tcPr>
          <w:p w14:paraId="77714EC6"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50E7EB81" w14:textId="53E42030"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C428B27" w14:textId="0E545240"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4FE14875" w14:textId="0EAC981D"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10A5A2EC" w14:textId="3AC41028"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3D67F939" w14:textId="2EBA43B4" w:rsidR="00A02B78" w:rsidRPr="000547DF" w:rsidRDefault="00A02B78" w:rsidP="00A02B78">
            <w:pPr>
              <w:jc w:val="center"/>
              <w:rPr>
                <w:rFonts w:ascii="Arial" w:hAnsi="Arial" w:cs="Arial"/>
                <w:sz w:val="20"/>
                <w:szCs w:val="20"/>
              </w:rPr>
            </w:pPr>
          </w:p>
        </w:tc>
      </w:tr>
      <w:tr w:rsidR="00A02B78" w14:paraId="44C66757" w14:textId="77777777" w:rsidTr="004B0941">
        <w:trPr>
          <w:jc w:val="center"/>
        </w:trPr>
        <w:tc>
          <w:tcPr>
            <w:tcW w:w="2065" w:type="dxa"/>
            <w:vAlign w:val="bottom"/>
          </w:tcPr>
          <w:p w14:paraId="5DCC71D3"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07379993" w14:textId="78D28DD0"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B0B61C8" w14:textId="3C4687BF"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7EB33D7F" w14:textId="6FBCE267"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3D4B3D7A" w14:textId="18116E30"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0A825368" w14:textId="71B3C174" w:rsidR="00A02B78" w:rsidRPr="000547DF" w:rsidRDefault="00A02B78" w:rsidP="00A02B78">
            <w:pPr>
              <w:jc w:val="center"/>
              <w:rPr>
                <w:rFonts w:ascii="Arial" w:hAnsi="Arial" w:cs="Arial"/>
                <w:sz w:val="20"/>
                <w:szCs w:val="20"/>
              </w:rPr>
            </w:pPr>
          </w:p>
        </w:tc>
      </w:tr>
      <w:tr w:rsidR="00A02B78" w14:paraId="09925EF9" w14:textId="77777777" w:rsidTr="004B0941">
        <w:trPr>
          <w:jc w:val="center"/>
        </w:trPr>
        <w:tc>
          <w:tcPr>
            <w:tcW w:w="2065" w:type="dxa"/>
            <w:vAlign w:val="bottom"/>
          </w:tcPr>
          <w:p w14:paraId="0A77550B"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8/28/2017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F0631B5" w14:textId="24810B22"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BADB4C2" w14:textId="389E1B10"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61FC65AB" w14:textId="0392FA6F"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2AD5403E" w14:textId="0B382292"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520E4C4F" w14:textId="40976630" w:rsidR="00A02B78" w:rsidRPr="000547DF" w:rsidRDefault="00A02B78" w:rsidP="00A02B78">
            <w:pPr>
              <w:jc w:val="center"/>
              <w:rPr>
                <w:rFonts w:ascii="Arial" w:hAnsi="Arial" w:cs="Arial"/>
                <w:sz w:val="20"/>
                <w:szCs w:val="20"/>
              </w:rPr>
            </w:pPr>
          </w:p>
        </w:tc>
      </w:tr>
      <w:tr w:rsidR="00A02B78" w14:paraId="489F35CF" w14:textId="77777777" w:rsidTr="004B0941">
        <w:trPr>
          <w:jc w:val="center"/>
        </w:trPr>
        <w:tc>
          <w:tcPr>
            <w:tcW w:w="2065" w:type="dxa"/>
            <w:vAlign w:val="bottom"/>
          </w:tcPr>
          <w:p w14:paraId="4F523BFD"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8/29/2017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0D44855" w14:textId="0154E103"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AE79C2E" w14:textId="736EEBB1"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725F4622" w14:textId="2CC74355"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4C1273BF" w14:textId="39A5E822"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7AEF47B7" w14:textId="0594D46C" w:rsidR="00A02B78" w:rsidRPr="000547DF" w:rsidRDefault="00A02B78" w:rsidP="00A02B78">
            <w:pPr>
              <w:jc w:val="center"/>
              <w:rPr>
                <w:rFonts w:ascii="Arial" w:hAnsi="Arial" w:cs="Arial"/>
                <w:sz w:val="20"/>
                <w:szCs w:val="20"/>
              </w:rPr>
            </w:pPr>
          </w:p>
        </w:tc>
      </w:tr>
      <w:tr w:rsidR="00A02B78" w14:paraId="71505CFD" w14:textId="77777777" w:rsidTr="004B0941">
        <w:trPr>
          <w:jc w:val="center"/>
        </w:trPr>
        <w:tc>
          <w:tcPr>
            <w:tcW w:w="2065" w:type="dxa"/>
            <w:vAlign w:val="bottom"/>
          </w:tcPr>
          <w:p w14:paraId="1EE029A2"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8A9E0C1" w14:textId="5E13206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82008BB" w14:textId="5EEDA656"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0FFBC5C1" w14:textId="0DD92859"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48DE2C18" w14:textId="76AE0A97"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0E4E6A4A" w14:textId="3048DF5F" w:rsidR="00A02B78" w:rsidRPr="000547DF" w:rsidRDefault="00A02B78" w:rsidP="00A02B78">
            <w:pPr>
              <w:jc w:val="center"/>
              <w:rPr>
                <w:rFonts w:ascii="Arial" w:hAnsi="Arial" w:cs="Arial"/>
                <w:sz w:val="20"/>
                <w:szCs w:val="20"/>
              </w:rPr>
            </w:pPr>
          </w:p>
        </w:tc>
      </w:tr>
      <w:tr w:rsidR="00A02B78" w14:paraId="75476A49" w14:textId="77777777" w:rsidTr="004B0941">
        <w:trPr>
          <w:jc w:val="center"/>
        </w:trPr>
        <w:tc>
          <w:tcPr>
            <w:tcW w:w="2065" w:type="dxa"/>
            <w:vAlign w:val="bottom"/>
          </w:tcPr>
          <w:p w14:paraId="330C5A62"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9/5/2017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BF440D5" w14:textId="683F1FC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4682669" w14:textId="5D859201"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0A966DE1" w14:textId="577924CC"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4801FB26" w14:textId="3405A434"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0F0CB34E" w14:textId="1ED03172" w:rsidR="00A02B78" w:rsidRPr="000547DF" w:rsidRDefault="00A02B78" w:rsidP="00A02B78">
            <w:pPr>
              <w:jc w:val="center"/>
              <w:rPr>
                <w:rFonts w:ascii="Arial" w:hAnsi="Arial" w:cs="Arial"/>
                <w:sz w:val="20"/>
                <w:szCs w:val="20"/>
              </w:rPr>
            </w:pPr>
          </w:p>
        </w:tc>
      </w:tr>
      <w:tr w:rsidR="00A02B78" w14:paraId="75BAA8E9" w14:textId="77777777" w:rsidTr="004B0941">
        <w:trPr>
          <w:jc w:val="center"/>
        </w:trPr>
        <w:tc>
          <w:tcPr>
            <w:tcW w:w="2065" w:type="dxa"/>
            <w:vAlign w:val="bottom"/>
          </w:tcPr>
          <w:p w14:paraId="4FC56024"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9/12/2017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62061506" w14:textId="4199DC33"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E61801E" w14:textId="4E58D96C" w:rsidR="00A02B78" w:rsidRPr="000547DF" w:rsidRDefault="00A02B78" w:rsidP="00A02B78">
            <w:pPr>
              <w:jc w:val="center"/>
              <w:rPr>
                <w:rFonts w:ascii="Arial" w:hAnsi="Arial" w:cs="Arial"/>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1D7CB8D2" w14:textId="2E174904" w:rsidR="00A02B78" w:rsidRPr="000547DF" w:rsidRDefault="00A02B78" w:rsidP="00A02B78">
            <w:pPr>
              <w:jc w:val="center"/>
              <w:rPr>
                <w:rFonts w:ascii="Arial" w:hAnsi="Arial" w:cs="Arial"/>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54CB136D" w14:textId="69DF1436" w:rsidR="00A02B78" w:rsidRPr="000547DF" w:rsidRDefault="00A02B78" w:rsidP="00A02B78">
            <w:pPr>
              <w:jc w:val="center"/>
              <w:rPr>
                <w:rFonts w:ascii="Arial" w:hAnsi="Arial" w:cs="Arial"/>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0DB50CD9" w14:textId="58B31951" w:rsidR="00A02B78" w:rsidRPr="000547DF" w:rsidRDefault="00A02B78" w:rsidP="00A02B78">
            <w:pPr>
              <w:jc w:val="center"/>
              <w:rPr>
                <w:rFonts w:ascii="Arial" w:hAnsi="Arial" w:cs="Arial"/>
                <w:sz w:val="20"/>
                <w:szCs w:val="20"/>
              </w:rPr>
            </w:pPr>
          </w:p>
        </w:tc>
      </w:tr>
      <w:tr w:rsidR="00A02B78" w14:paraId="4EC57D63" w14:textId="77777777" w:rsidTr="004B0941">
        <w:trPr>
          <w:jc w:val="center"/>
        </w:trPr>
        <w:tc>
          <w:tcPr>
            <w:tcW w:w="2065" w:type="dxa"/>
            <w:vAlign w:val="center"/>
          </w:tcPr>
          <w:p w14:paraId="14EEE8CF" w14:textId="77777777" w:rsidR="00A02B78" w:rsidRDefault="00A02B78" w:rsidP="00A02B78">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C6611E9" w14:textId="49D1F815" w:rsidR="00A02B78" w:rsidRPr="00CF2B9D"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2C9E0C6" w14:textId="057738FD" w:rsidR="00A02B78" w:rsidRPr="00CF2B9D" w:rsidRDefault="00A02B78" w:rsidP="00A02B78">
            <w:pPr>
              <w:jc w:val="center"/>
              <w:rPr>
                <w:rFonts w:ascii="Arial" w:hAnsi="Arial" w:cs="Arial"/>
                <w:b/>
                <w:sz w:val="20"/>
                <w:szCs w:val="20"/>
              </w:rPr>
            </w:pPr>
          </w:p>
        </w:tc>
        <w:tc>
          <w:tcPr>
            <w:tcW w:w="1260" w:type="dxa"/>
            <w:tcBorders>
              <w:top w:val="nil"/>
              <w:left w:val="nil"/>
              <w:bottom w:val="single" w:sz="4" w:space="0" w:color="auto"/>
              <w:right w:val="single" w:sz="4" w:space="0" w:color="auto"/>
            </w:tcBorders>
            <w:shd w:val="clear" w:color="auto" w:fill="000000" w:themeFill="text1"/>
            <w:vAlign w:val="bottom"/>
          </w:tcPr>
          <w:p w14:paraId="75C0F08E" w14:textId="6EE294E6" w:rsidR="00A02B78" w:rsidRPr="00CF2B9D" w:rsidRDefault="00A02B78" w:rsidP="00A02B78">
            <w:pPr>
              <w:jc w:val="center"/>
              <w:rPr>
                <w:rFonts w:ascii="Arial" w:hAnsi="Arial" w:cs="Arial"/>
                <w:b/>
                <w:sz w:val="20"/>
                <w:szCs w:val="20"/>
              </w:rPr>
            </w:pPr>
          </w:p>
        </w:tc>
        <w:tc>
          <w:tcPr>
            <w:tcW w:w="1440" w:type="dxa"/>
            <w:tcBorders>
              <w:top w:val="nil"/>
              <w:left w:val="nil"/>
              <w:bottom w:val="single" w:sz="4" w:space="0" w:color="auto"/>
              <w:right w:val="single" w:sz="4" w:space="0" w:color="auto"/>
            </w:tcBorders>
            <w:shd w:val="clear" w:color="auto" w:fill="000000" w:themeFill="text1"/>
            <w:vAlign w:val="bottom"/>
          </w:tcPr>
          <w:p w14:paraId="05D9759F" w14:textId="3AE49987" w:rsidR="00A02B78" w:rsidRPr="00CF2B9D" w:rsidRDefault="00A02B78" w:rsidP="00A02B78">
            <w:pPr>
              <w:jc w:val="center"/>
              <w:rPr>
                <w:rFonts w:ascii="Arial" w:hAnsi="Arial" w:cs="Arial"/>
                <w:b/>
                <w:sz w:val="20"/>
                <w:szCs w:val="20"/>
              </w:rPr>
            </w:pPr>
          </w:p>
        </w:tc>
        <w:tc>
          <w:tcPr>
            <w:tcW w:w="1345" w:type="dxa"/>
            <w:tcBorders>
              <w:top w:val="nil"/>
              <w:left w:val="nil"/>
              <w:bottom w:val="single" w:sz="4" w:space="0" w:color="auto"/>
              <w:right w:val="single" w:sz="4" w:space="0" w:color="auto"/>
            </w:tcBorders>
            <w:shd w:val="clear" w:color="auto" w:fill="000000" w:themeFill="text1"/>
            <w:vAlign w:val="bottom"/>
          </w:tcPr>
          <w:p w14:paraId="0281F5F6" w14:textId="46A173CF" w:rsidR="00A02B78" w:rsidRPr="00CF2B9D" w:rsidRDefault="00A02B78" w:rsidP="00A02B78">
            <w:pPr>
              <w:jc w:val="center"/>
              <w:rPr>
                <w:rFonts w:ascii="Arial" w:hAnsi="Arial" w:cs="Arial"/>
                <w:b/>
                <w:sz w:val="20"/>
                <w:szCs w:val="20"/>
              </w:rPr>
            </w:pPr>
          </w:p>
        </w:tc>
      </w:tr>
    </w:tbl>
    <w:p w14:paraId="498BB524" w14:textId="0D376186" w:rsidR="00884FC9" w:rsidRDefault="00884FC9" w:rsidP="00CB13E9">
      <w:pPr>
        <w:spacing w:after="120"/>
        <w:rPr>
          <w:szCs w:val="32"/>
        </w:rPr>
      </w:pPr>
    </w:p>
    <w:p w14:paraId="20A50562" w14:textId="34EC4305" w:rsidR="00F15808" w:rsidRDefault="00B61877" w:rsidP="00CB13E9">
      <w:pPr>
        <w:spacing w:after="120"/>
        <w:rPr>
          <w:szCs w:val="32"/>
        </w:rPr>
      </w:pPr>
      <w:r>
        <w:rPr>
          <w:noProof/>
          <w:szCs w:val="32"/>
        </w:rPr>
        <mc:AlternateContent>
          <mc:Choice Requires="wps">
            <w:drawing>
              <wp:anchor distT="0" distB="0" distL="114300" distR="114300" simplePos="0" relativeHeight="251705344" behindDoc="0" locked="0" layoutInCell="1" allowOverlap="1" wp14:anchorId="1FC629DD" wp14:editId="2D30CD17">
                <wp:simplePos x="0" y="0"/>
                <wp:positionH relativeFrom="margin">
                  <wp:align>right</wp:align>
                </wp:positionH>
                <wp:positionV relativeFrom="paragraph">
                  <wp:posOffset>4946622</wp:posOffset>
                </wp:positionV>
                <wp:extent cx="5422789" cy="397566"/>
                <wp:effectExtent l="0" t="0" r="26035" b="21590"/>
                <wp:wrapNone/>
                <wp:docPr id="90" name="Text Box 90"/>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5CE6019"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C629DD" id="Text Box 90" o:spid="_x0000_s1049" type="#_x0000_t202" style="position:absolute;margin-left:375.8pt;margin-top:389.5pt;width:427pt;height:31.3pt;z-index:25170534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" fillcolor="white [3201]" strokeweight=".5pt">
                <v:textbox>
                  <w:txbxContent>
                    <w:p w14:paraId="65CE6019" w14:textId="77777777" w:rsidR="006F4399" w:rsidRPr="00EB41EA" w:rsidRDefault="006F4399" w:rsidP="00B61877">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F15808">
        <w:rPr>
          <w:szCs w:val="32"/>
        </w:rPr>
        <w:fldChar w:fldCharType="begin"/>
      </w:r>
      <w:r w:rsidR="00F15808">
        <w:rPr>
          <w:szCs w:val="32"/>
        </w:rPr>
        <w:instrText xml:space="preserve"> REF _Ref507061541 \h </w:instrText>
      </w:r>
      <w:r w:rsidR="00F15808">
        <w:rPr>
          <w:szCs w:val="32"/>
        </w:rPr>
      </w:r>
      <w:r w:rsidR="00F15808">
        <w:rPr>
          <w:szCs w:val="32"/>
        </w:rPr>
        <w:fldChar w:fldCharType="separate"/>
      </w:r>
      <w:r w:rsidR="005D5C7C">
        <w:t xml:space="preserve">Table </w:t>
      </w:r>
      <w:r w:rsidR="005D5C7C">
        <w:rPr>
          <w:noProof/>
        </w:rPr>
        <w:t>4</w:t>
      </w:r>
      <w:r w:rsidR="005D5C7C">
        <w:t>.</w:t>
      </w:r>
      <w:r w:rsidR="005D5C7C">
        <w:rPr>
          <w:noProof/>
        </w:rPr>
        <w:t>16</w:t>
      </w:r>
      <w:r w:rsidR="00F15808">
        <w:rPr>
          <w:szCs w:val="32"/>
        </w:rPr>
        <w:fldChar w:fldCharType="end"/>
      </w:r>
      <w:r w:rsidR="00F15808">
        <w:rPr>
          <w:szCs w:val="32"/>
        </w:rPr>
        <w:t xml:space="preserve"> summarizes aggregate event-hour results for each event-day as well as the typical event day for customers who are dually enrolled in </w:t>
      </w:r>
      <w:r w:rsidR="00A7180C">
        <w:rPr>
          <w:szCs w:val="32"/>
        </w:rPr>
        <w:t>AMP</w:t>
      </w:r>
      <w:r w:rsidR="00F15808">
        <w:rPr>
          <w:szCs w:val="32"/>
        </w:rPr>
        <w:t xml:space="preserve"> and CPP, including the number of enrolled customers, the reference and observed loads, and the estimated load impacts (in MWh/hour and as a percentage of the reference load). </w:t>
      </w:r>
      <w:r w:rsidR="004B0941" w:rsidRPr="004B0941">
        <w:rPr>
          <w:szCs w:val="32"/>
          <w:highlight w:val="black"/>
        </w:rPr>
        <w:t>----------------------------------------------------------------------------------------------------------------------------------------------------------------------------------------------------------------------------------------------------------------------------------------------------------------------------------------------------------------------------------------------------------------------------------------------------------------------------------------------------------------------------------------------------------------------</w:t>
      </w:r>
      <w:r w:rsidR="00F15808">
        <w:rPr>
          <w:szCs w:val="32"/>
        </w:rPr>
        <w:t xml:space="preserve">  </w:t>
      </w:r>
    </w:p>
    <w:p w14:paraId="09A78487" w14:textId="470801E9" w:rsidR="00884FC9" w:rsidRDefault="00884FC9" w:rsidP="00884FC9">
      <w:pPr>
        <w:pStyle w:val="TableCaption"/>
      </w:pPr>
      <w:bookmarkStart w:id="335" w:name="_Ref507061541"/>
      <w:bookmarkStart w:id="336" w:name="_Toc509837399"/>
      <w:r>
        <w:lastRenderedPageBreak/>
        <w:t xml:space="preserve">Table </w:t>
      </w:r>
      <w:fldSimple w:instr=" STYLEREF 1 \s ">
        <w:r w:rsidR="005D5C7C">
          <w:rPr>
            <w:noProof/>
          </w:rPr>
          <w:t>4</w:t>
        </w:r>
      </w:fldSimple>
      <w:r w:rsidR="0069714C">
        <w:t>.</w:t>
      </w:r>
      <w:fldSimple w:instr=" SEQ Table \* ARABIC \s 1 ">
        <w:r w:rsidR="005D5C7C">
          <w:rPr>
            <w:noProof/>
          </w:rPr>
          <w:t>16</w:t>
        </w:r>
      </w:fldSimple>
      <w:bookmarkEnd w:id="335"/>
      <w:r w:rsidR="005769CB">
        <w:t>: Average Event-Hour Load Impacts for CPP</w:t>
      </w:r>
      <w:r w:rsidR="00A7180C">
        <w:t>+AMP</w:t>
      </w:r>
      <w:r w:rsidR="005769CB">
        <w:t xml:space="preserve"> customers by Event, SC</w:t>
      </w:r>
      <w:r w:rsidR="005769CB" w:rsidRPr="00283F52">
        <w:rPr>
          <w:i/>
        </w:rPr>
        <w:t>E</w:t>
      </w:r>
      <w:bookmarkEnd w:id="336"/>
    </w:p>
    <w:tbl>
      <w:tblPr>
        <w:tblW w:w="8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3"/>
        <w:gridCol w:w="1170"/>
        <w:gridCol w:w="1350"/>
        <w:gridCol w:w="1350"/>
        <w:gridCol w:w="1350"/>
        <w:gridCol w:w="1032"/>
      </w:tblGrid>
      <w:tr w:rsidR="00884FC9" w14:paraId="08757635" w14:textId="77777777" w:rsidTr="00926089">
        <w:trPr>
          <w:jc w:val="center"/>
        </w:trPr>
        <w:tc>
          <w:tcPr>
            <w:tcW w:w="1933" w:type="dxa"/>
            <w:tcBorders>
              <w:right w:val="single" w:sz="4" w:space="0" w:color="FFFFFF" w:themeColor="background1"/>
            </w:tcBorders>
            <w:shd w:val="clear" w:color="auto" w:fill="0C2577"/>
            <w:vAlign w:val="center"/>
          </w:tcPr>
          <w:p w14:paraId="1856D574" w14:textId="77777777" w:rsidR="00884FC9" w:rsidRPr="007E0A27" w:rsidRDefault="00884FC9" w:rsidP="00884FC9">
            <w:pPr>
              <w:keepNext/>
              <w:keepLines/>
              <w:jc w:val="center"/>
              <w:rPr>
                <w:rFonts w:ascii="Arial" w:hAnsi="Arial" w:cs="Arial"/>
                <w:b/>
                <w:sz w:val="20"/>
                <w:szCs w:val="20"/>
              </w:rPr>
            </w:pPr>
            <w:r>
              <w:rPr>
                <w:rFonts w:ascii="Arial" w:hAnsi="Arial" w:cs="Arial"/>
                <w:b/>
                <w:sz w:val="20"/>
                <w:szCs w:val="20"/>
              </w:rPr>
              <w:t>Event Date</w:t>
            </w:r>
          </w:p>
        </w:tc>
        <w:tc>
          <w:tcPr>
            <w:tcW w:w="1170" w:type="dxa"/>
            <w:tcBorders>
              <w:left w:val="single" w:sz="4" w:space="0" w:color="FFFFFF" w:themeColor="background1"/>
              <w:right w:val="single" w:sz="4" w:space="0" w:color="FFFFFF" w:themeColor="background1"/>
            </w:tcBorders>
            <w:shd w:val="clear" w:color="auto" w:fill="0C2577"/>
            <w:vAlign w:val="center"/>
          </w:tcPr>
          <w:p w14:paraId="56477112" w14:textId="77777777" w:rsidR="00884FC9" w:rsidRPr="007E0A27" w:rsidRDefault="00884FC9" w:rsidP="00884FC9">
            <w:pPr>
              <w:keepNext/>
              <w:keepLines/>
              <w:jc w:val="center"/>
              <w:rPr>
                <w:rFonts w:ascii="Arial" w:hAnsi="Arial" w:cs="Arial"/>
                <w:b/>
                <w:sz w:val="20"/>
                <w:szCs w:val="20"/>
              </w:rPr>
            </w:pPr>
            <w:r>
              <w:rPr>
                <w:rFonts w:ascii="Arial" w:hAnsi="Arial" w:cs="Arial"/>
                <w:b/>
                <w:sz w:val="20"/>
                <w:szCs w:val="20"/>
              </w:rPr>
              <w:t># of Service Accounts</w:t>
            </w:r>
          </w:p>
        </w:tc>
        <w:tc>
          <w:tcPr>
            <w:tcW w:w="1350" w:type="dxa"/>
            <w:tcBorders>
              <w:left w:val="single" w:sz="4" w:space="0" w:color="FFFFFF" w:themeColor="background1"/>
              <w:right w:val="single" w:sz="4" w:space="0" w:color="FFFFFF" w:themeColor="background1"/>
            </w:tcBorders>
            <w:shd w:val="clear" w:color="auto" w:fill="0C2577"/>
            <w:vAlign w:val="center"/>
          </w:tcPr>
          <w:p w14:paraId="0DC9A6A5" w14:textId="27484AE1"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Estimated Reference Load (MW</w:t>
            </w:r>
            <w:r w:rsidR="00926089">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0C0AB906" w14:textId="188BDD54"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Observed Load (MW</w:t>
            </w:r>
            <w:r w:rsidR="00926089">
              <w:rPr>
                <w:rFonts w:ascii="Arial" w:hAnsi="Arial" w:cs="Arial"/>
                <w:b/>
                <w:sz w:val="20"/>
                <w:szCs w:val="20"/>
              </w:rPr>
              <w:t>h/hour</w:t>
            </w:r>
            <w:r w:rsidRPr="007E0A27">
              <w:rPr>
                <w:rFonts w:ascii="Arial" w:hAnsi="Arial" w:cs="Arial"/>
                <w:b/>
                <w:sz w:val="20"/>
                <w:szCs w:val="20"/>
              </w:rPr>
              <w:t>)</w:t>
            </w:r>
          </w:p>
        </w:tc>
        <w:tc>
          <w:tcPr>
            <w:tcW w:w="1350" w:type="dxa"/>
            <w:tcBorders>
              <w:left w:val="single" w:sz="4" w:space="0" w:color="FFFFFF" w:themeColor="background1"/>
              <w:right w:val="single" w:sz="4" w:space="0" w:color="FFFFFF" w:themeColor="background1"/>
            </w:tcBorders>
            <w:shd w:val="clear" w:color="auto" w:fill="0C2577"/>
            <w:vAlign w:val="center"/>
          </w:tcPr>
          <w:p w14:paraId="1268CDAF" w14:textId="0F8C20CF"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Estimated Load Impact (MW</w:t>
            </w:r>
            <w:r w:rsidR="00926089">
              <w:rPr>
                <w:rFonts w:ascii="Arial" w:hAnsi="Arial" w:cs="Arial"/>
                <w:b/>
                <w:sz w:val="20"/>
                <w:szCs w:val="20"/>
              </w:rPr>
              <w:t>h/hour</w:t>
            </w:r>
            <w:r w:rsidRPr="007E0A27">
              <w:rPr>
                <w:rFonts w:ascii="Arial" w:hAnsi="Arial" w:cs="Arial"/>
                <w:b/>
                <w:sz w:val="20"/>
                <w:szCs w:val="20"/>
              </w:rPr>
              <w:t>)</w:t>
            </w:r>
          </w:p>
        </w:tc>
        <w:tc>
          <w:tcPr>
            <w:tcW w:w="1032" w:type="dxa"/>
            <w:tcBorders>
              <w:left w:val="single" w:sz="4" w:space="0" w:color="FFFFFF" w:themeColor="background1"/>
            </w:tcBorders>
            <w:shd w:val="clear" w:color="auto" w:fill="0C2577"/>
            <w:vAlign w:val="center"/>
          </w:tcPr>
          <w:p w14:paraId="59A77662" w14:textId="77777777" w:rsidR="00884FC9" w:rsidRPr="007E0A27" w:rsidRDefault="00884FC9" w:rsidP="00884FC9">
            <w:pPr>
              <w:keepNext/>
              <w:keepLines/>
              <w:jc w:val="center"/>
              <w:rPr>
                <w:rFonts w:ascii="Arial" w:hAnsi="Arial" w:cs="Arial"/>
                <w:b/>
                <w:sz w:val="20"/>
                <w:szCs w:val="20"/>
              </w:rPr>
            </w:pPr>
            <w:r w:rsidRPr="007E0A27">
              <w:rPr>
                <w:rFonts w:ascii="Arial" w:hAnsi="Arial" w:cs="Arial"/>
                <w:b/>
                <w:sz w:val="20"/>
                <w:szCs w:val="20"/>
              </w:rPr>
              <w:t>% LI</w:t>
            </w:r>
          </w:p>
        </w:tc>
      </w:tr>
      <w:tr w:rsidR="00A02B78" w14:paraId="5B0D9A87" w14:textId="77777777" w:rsidTr="004B0941">
        <w:trPr>
          <w:jc w:val="center"/>
        </w:trPr>
        <w:tc>
          <w:tcPr>
            <w:tcW w:w="1933" w:type="dxa"/>
            <w:vAlign w:val="bottom"/>
          </w:tcPr>
          <w:p w14:paraId="1D44723F" w14:textId="77777777"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6/19/2017</w:t>
            </w:r>
          </w:p>
        </w:tc>
        <w:tc>
          <w:tcPr>
            <w:tcW w:w="1170"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65DFAE0E" w14:textId="12A13793"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512540C0" w14:textId="11EED655"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1D31F4A5" w14:textId="2C1DE534"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20833130" w14:textId="4207463A" w:rsidR="00A02B78" w:rsidRPr="000547DF" w:rsidRDefault="00A02B78" w:rsidP="00A02B78">
            <w:pPr>
              <w:jc w:val="center"/>
              <w:rPr>
                <w:rFonts w:ascii="Arial" w:hAnsi="Arial" w:cs="Arial"/>
                <w:sz w:val="20"/>
                <w:szCs w:val="20"/>
              </w:rPr>
            </w:pPr>
          </w:p>
        </w:tc>
        <w:tc>
          <w:tcPr>
            <w:tcW w:w="1032" w:type="dxa"/>
            <w:tcBorders>
              <w:top w:val="single" w:sz="4" w:space="0" w:color="auto"/>
              <w:left w:val="nil"/>
              <w:bottom w:val="single" w:sz="4" w:space="0" w:color="auto"/>
              <w:right w:val="single" w:sz="4" w:space="0" w:color="auto"/>
            </w:tcBorders>
            <w:shd w:val="clear" w:color="auto" w:fill="000000" w:themeFill="text1"/>
            <w:vAlign w:val="bottom"/>
          </w:tcPr>
          <w:p w14:paraId="6402D0B5" w14:textId="320341FD" w:rsidR="00A02B78" w:rsidRPr="000547DF" w:rsidRDefault="00A02B78" w:rsidP="00A02B78">
            <w:pPr>
              <w:jc w:val="center"/>
              <w:rPr>
                <w:rFonts w:ascii="Arial" w:hAnsi="Arial" w:cs="Arial"/>
                <w:sz w:val="20"/>
                <w:szCs w:val="20"/>
              </w:rPr>
            </w:pPr>
          </w:p>
        </w:tc>
      </w:tr>
      <w:tr w:rsidR="00A02B78" w14:paraId="67591E7F" w14:textId="77777777" w:rsidTr="004B0941">
        <w:trPr>
          <w:jc w:val="center"/>
        </w:trPr>
        <w:tc>
          <w:tcPr>
            <w:tcW w:w="1933" w:type="dxa"/>
            <w:vAlign w:val="bottom"/>
          </w:tcPr>
          <w:p w14:paraId="33EE00AA" w14:textId="77777777"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6/20/2017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4C9C4882" w14:textId="609AD8B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2967965" w14:textId="5FB93E60"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1BBED30" w14:textId="2E35C452"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1870795" w14:textId="4E5501E0"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543A9B00" w14:textId="4DDDBAD3" w:rsidR="00A02B78" w:rsidRPr="000547DF" w:rsidRDefault="00A02B78" w:rsidP="00A02B78">
            <w:pPr>
              <w:jc w:val="center"/>
              <w:rPr>
                <w:rFonts w:ascii="Arial" w:hAnsi="Arial" w:cs="Arial"/>
                <w:sz w:val="20"/>
                <w:szCs w:val="20"/>
              </w:rPr>
            </w:pPr>
          </w:p>
        </w:tc>
      </w:tr>
      <w:tr w:rsidR="00A02B78" w14:paraId="2A30F26B" w14:textId="77777777" w:rsidTr="004B0941">
        <w:trPr>
          <w:jc w:val="center"/>
        </w:trPr>
        <w:tc>
          <w:tcPr>
            <w:tcW w:w="1933" w:type="dxa"/>
            <w:vAlign w:val="bottom"/>
          </w:tcPr>
          <w:p w14:paraId="60F3E39F"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7/6/2017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077043C6" w14:textId="687932B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8E4C3D0" w14:textId="3A1C3DB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B390E4D" w14:textId="7BCB1CC9"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6E69708" w14:textId="6F7F2569"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673CFFDF" w14:textId="2F79D222" w:rsidR="00A02B78" w:rsidRPr="000547DF" w:rsidRDefault="00A02B78" w:rsidP="00A02B78">
            <w:pPr>
              <w:jc w:val="center"/>
              <w:rPr>
                <w:rFonts w:ascii="Arial" w:hAnsi="Arial" w:cs="Arial"/>
                <w:sz w:val="20"/>
                <w:szCs w:val="20"/>
              </w:rPr>
            </w:pPr>
          </w:p>
        </w:tc>
      </w:tr>
      <w:tr w:rsidR="00A02B78" w14:paraId="1621B673" w14:textId="77777777" w:rsidTr="004B0941">
        <w:trPr>
          <w:jc w:val="center"/>
        </w:trPr>
        <w:tc>
          <w:tcPr>
            <w:tcW w:w="1933" w:type="dxa"/>
            <w:vAlign w:val="bottom"/>
          </w:tcPr>
          <w:p w14:paraId="32D0B5A2"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0BD4DBA0" w14:textId="1420D7E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FFA3F72" w14:textId="294340F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E60ECB4" w14:textId="29868905"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7658BA3" w14:textId="5C18411B"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7DAAA24F" w14:textId="0C9C1D2F" w:rsidR="00A02B78" w:rsidRPr="000547DF" w:rsidRDefault="00A02B78" w:rsidP="00A02B78">
            <w:pPr>
              <w:jc w:val="center"/>
              <w:rPr>
                <w:rFonts w:ascii="Arial" w:hAnsi="Arial" w:cs="Arial"/>
                <w:sz w:val="20"/>
                <w:szCs w:val="20"/>
              </w:rPr>
            </w:pPr>
          </w:p>
        </w:tc>
      </w:tr>
      <w:tr w:rsidR="00A02B78" w14:paraId="33B40619" w14:textId="77777777" w:rsidTr="004B0941">
        <w:trPr>
          <w:jc w:val="center"/>
        </w:trPr>
        <w:tc>
          <w:tcPr>
            <w:tcW w:w="1933" w:type="dxa"/>
            <w:vAlign w:val="bottom"/>
          </w:tcPr>
          <w:p w14:paraId="26611619"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7/27/2017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5997906" w14:textId="197E897D"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BC4C103" w14:textId="0A3E779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62D3DDE" w14:textId="139D07B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0AB6D2C" w14:textId="10DD4497"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7B883707" w14:textId="4B081A14" w:rsidR="00A02B78" w:rsidRPr="000547DF" w:rsidRDefault="00A02B78" w:rsidP="00A02B78">
            <w:pPr>
              <w:jc w:val="center"/>
              <w:rPr>
                <w:rFonts w:ascii="Arial" w:hAnsi="Arial" w:cs="Arial"/>
                <w:sz w:val="20"/>
                <w:szCs w:val="20"/>
              </w:rPr>
            </w:pPr>
          </w:p>
        </w:tc>
      </w:tr>
      <w:tr w:rsidR="00A02B78" w14:paraId="00E45894" w14:textId="77777777" w:rsidTr="004B0941">
        <w:trPr>
          <w:jc w:val="center"/>
        </w:trPr>
        <w:tc>
          <w:tcPr>
            <w:tcW w:w="1933" w:type="dxa"/>
            <w:vAlign w:val="bottom"/>
          </w:tcPr>
          <w:p w14:paraId="1C5ABEFB"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7/31/2017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605D6B1D" w14:textId="5A66AFF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AE31FC2" w14:textId="6470E74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64648B7" w14:textId="536F0072"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1607C69" w14:textId="49FB9424"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6D917938" w14:textId="266D4BA4" w:rsidR="00A02B78" w:rsidRPr="000547DF" w:rsidRDefault="00A02B78" w:rsidP="00A02B78">
            <w:pPr>
              <w:jc w:val="center"/>
              <w:rPr>
                <w:rFonts w:ascii="Arial" w:hAnsi="Arial" w:cs="Arial"/>
                <w:sz w:val="20"/>
                <w:szCs w:val="20"/>
              </w:rPr>
            </w:pPr>
          </w:p>
        </w:tc>
      </w:tr>
      <w:tr w:rsidR="00A02B78" w14:paraId="471E4123" w14:textId="77777777" w:rsidTr="004B0941">
        <w:trPr>
          <w:jc w:val="center"/>
        </w:trPr>
        <w:tc>
          <w:tcPr>
            <w:tcW w:w="1933" w:type="dxa"/>
            <w:vAlign w:val="bottom"/>
          </w:tcPr>
          <w:p w14:paraId="5326CEC0"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2D6834E" w14:textId="5F6CA53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A780753" w14:textId="6E737C1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9BDD9A2" w14:textId="72D19CA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3531DEE" w14:textId="68467A60"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26AFF387" w14:textId="307A8B80" w:rsidR="00A02B78" w:rsidRPr="000547DF" w:rsidRDefault="00A02B78" w:rsidP="00A02B78">
            <w:pPr>
              <w:jc w:val="center"/>
              <w:rPr>
                <w:rFonts w:ascii="Arial" w:hAnsi="Arial" w:cs="Arial"/>
                <w:sz w:val="20"/>
                <w:szCs w:val="20"/>
              </w:rPr>
            </w:pPr>
          </w:p>
        </w:tc>
      </w:tr>
      <w:tr w:rsidR="00A02B78" w14:paraId="246F9630" w14:textId="77777777" w:rsidTr="004B0941">
        <w:trPr>
          <w:jc w:val="center"/>
        </w:trPr>
        <w:tc>
          <w:tcPr>
            <w:tcW w:w="1933" w:type="dxa"/>
            <w:vAlign w:val="bottom"/>
          </w:tcPr>
          <w:p w14:paraId="6EB5A3F1"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8/28/2017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495F58A6" w14:textId="2AAFD67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9D8BB22" w14:textId="0FB1950D"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A8FF798" w14:textId="0E207EEA"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01A5FCE" w14:textId="5914CD9A"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4EDA36A7" w14:textId="660B42F6" w:rsidR="00A02B78" w:rsidRPr="000547DF" w:rsidRDefault="00A02B78" w:rsidP="00A02B78">
            <w:pPr>
              <w:jc w:val="center"/>
              <w:rPr>
                <w:rFonts w:ascii="Arial" w:hAnsi="Arial" w:cs="Arial"/>
                <w:sz w:val="20"/>
                <w:szCs w:val="20"/>
              </w:rPr>
            </w:pPr>
          </w:p>
        </w:tc>
      </w:tr>
      <w:tr w:rsidR="00A02B78" w14:paraId="79791FC4" w14:textId="77777777" w:rsidTr="004B0941">
        <w:trPr>
          <w:jc w:val="center"/>
        </w:trPr>
        <w:tc>
          <w:tcPr>
            <w:tcW w:w="1933" w:type="dxa"/>
            <w:vAlign w:val="bottom"/>
          </w:tcPr>
          <w:p w14:paraId="67E16A08"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8/29/2017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4DAD9065" w14:textId="01882423"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6894437" w14:textId="4307139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B0ABD6F" w14:textId="3314E0F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61221CA" w14:textId="1E11FC9D"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10A733C1" w14:textId="36C426D1" w:rsidR="00A02B78" w:rsidRPr="000547DF" w:rsidRDefault="00A02B78" w:rsidP="00A02B78">
            <w:pPr>
              <w:jc w:val="center"/>
              <w:rPr>
                <w:rFonts w:ascii="Arial" w:hAnsi="Arial" w:cs="Arial"/>
                <w:sz w:val="20"/>
                <w:szCs w:val="20"/>
              </w:rPr>
            </w:pPr>
          </w:p>
        </w:tc>
      </w:tr>
      <w:tr w:rsidR="00A02B78" w14:paraId="481CBBB2" w14:textId="77777777" w:rsidTr="004B0941">
        <w:trPr>
          <w:jc w:val="center"/>
        </w:trPr>
        <w:tc>
          <w:tcPr>
            <w:tcW w:w="1933" w:type="dxa"/>
            <w:vAlign w:val="bottom"/>
          </w:tcPr>
          <w:p w14:paraId="36C4AC4C"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8/31/2017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3212B075" w14:textId="19199E5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20851F9" w14:textId="49889DC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43D6C49" w14:textId="6E6C3DB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3701A84" w14:textId="2DD20DE8"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1EB6064F" w14:textId="5EDF0BBC" w:rsidR="00A02B78" w:rsidRPr="000547DF" w:rsidRDefault="00A02B78" w:rsidP="00A02B78">
            <w:pPr>
              <w:jc w:val="center"/>
              <w:rPr>
                <w:rFonts w:ascii="Arial" w:hAnsi="Arial" w:cs="Arial"/>
                <w:sz w:val="20"/>
                <w:szCs w:val="20"/>
              </w:rPr>
            </w:pPr>
          </w:p>
        </w:tc>
      </w:tr>
      <w:tr w:rsidR="00A02B78" w14:paraId="3481EB7C" w14:textId="77777777" w:rsidTr="004B0941">
        <w:trPr>
          <w:jc w:val="center"/>
        </w:trPr>
        <w:tc>
          <w:tcPr>
            <w:tcW w:w="1933" w:type="dxa"/>
            <w:vAlign w:val="bottom"/>
          </w:tcPr>
          <w:p w14:paraId="115981F2"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9/5/2017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31DAD211" w14:textId="40DA29E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2B9B603" w14:textId="7C721D4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98850C8" w14:textId="6197179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D8FCB45" w14:textId="607E1FCE"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3075DBE7" w14:textId="06DCD258" w:rsidR="00A02B78" w:rsidRPr="000547DF" w:rsidRDefault="00A02B78" w:rsidP="00A02B78">
            <w:pPr>
              <w:jc w:val="center"/>
              <w:rPr>
                <w:rFonts w:ascii="Arial" w:hAnsi="Arial" w:cs="Arial"/>
                <w:sz w:val="20"/>
                <w:szCs w:val="20"/>
              </w:rPr>
            </w:pPr>
          </w:p>
        </w:tc>
      </w:tr>
      <w:tr w:rsidR="00A02B78" w14:paraId="080790AF" w14:textId="77777777" w:rsidTr="004B0941">
        <w:trPr>
          <w:jc w:val="center"/>
        </w:trPr>
        <w:tc>
          <w:tcPr>
            <w:tcW w:w="1933" w:type="dxa"/>
            <w:vAlign w:val="bottom"/>
          </w:tcPr>
          <w:p w14:paraId="7733C138" w14:textId="77777777" w:rsidR="00A02B78" w:rsidRDefault="00A02B78" w:rsidP="00A02B78">
            <w:pPr>
              <w:keepNext/>
              <w:keepLines/>
              <w:jc w:val="center"/>
              <w:rPr>
                <w:rFonts w:ascii="Arial" w:hAnsi="Arial" w:cs="Arial"/>
                <w:sz w:val="20"/>
                <w:szCs w:val="20"/>
              </w:rPr>
            </w:pPr>
            <w:r>
              <w:rPr>
                <w:rFonts w:ascii="Arial" w:hAnsi="Arial" w:cs="Arial"/>
                <w:color w:val="000000"/>
                <w:sz w:val="20"/>
                <w:szCs w:val="20"/>
              </w:rPr>
              <w:t>9/12/2017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78884FF" w14:textId="6995D8A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B62E3A8" w14:textId="58C3C62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BC486A3" w14:textId="6D18500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D6DF68D" w14:textId="3859EE50" w:rsidR="00A02B78" w:rsidRPr="000547DF" w:rsidRDefault="00A02B78" w:rsidP="00A02B78">
            <w:pPr>
              <w:jc w:val="center"/>
              <w:rPr>
                <w:rFonts w:ascii="Arial" w:hAnsi="Arial" w:cs="Arial"/>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0E98692D" w14:textId="0C8729C4" w:rsidR="00A02B78" w:rsidRPr="000547DF" w:rsidRDefault="00A02B78" w:rsidP="00A02B78">
            <w:pPr>
              <w:jc w:val="center"/>
              <w:rPr>
                <w:rFonts w:ascii="Arial" w:hAnsi="Arial" w:cs="Arial"/>
                <w:sz w:val="20"/>
                <w:szCs w:val="20"/>
              </w:rPr>
            </w:pPr>
          </w:p>
        </w:tc>
      </w:tr>
      <w:tr w:rsidR="00A02B78" w14:paraId="03954606" w14:textId="77777777" w:rsidTr="004B0941">
        <w:trPr>
          <w:jc w:val="center"/>
        </w:trPr>
        <w:tc>
          <w:tcPr>
            <w:tcW w:w="1933" w:type="dxa"/>
            <w:vAlign w:val="center"/>
          </w:tcPr>
          <w:p w14:paraId="254638EE" w14:textId="77777777" w:rsidR="00A02B78" w:rsidRDefault="00A02B78" w:rsidP="00A02B78">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202D483" w14:textId="0FBC2422" w:rsidR="00A02B78" w:rsidRPr="00CF2B9D"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19F5519" w14:textId="4B18C14A" w:rsidR="00A02B78" w:rsidRPr="00CF2B9D"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89059B4" w14:textId="021DC4EF" w:rsidR="00A02B78" w:rsidRPr="00CF2B9D"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4CE1C04" w14:textId="46DF5DC9" w:rsidR="00A02B78" w:rsidRPr="00CF2B9D" w:rsidRDefault="00A02B78" w:rsidP="00A02B78">
            <w:pPr>
              <w:jc w:val="center"/>
              <w:rPr>
                <w:rFonts w:ascii="Arial" w:hAnsi="Arial" w:cs="Arial"/>
                <w:b/>
                <w:sz w:val="20"/>
                <w:szCs w:val="20"/>
              </w:rPr>
            </w:pPr>
          </w:p>
        </w:tc>
        <w:tc>
          <w:tcPr>
            <w:tcW w:w="1032" w:type="dxa"/>
            <w:tcBorders>
              <w:top w:val="nil"/>
              <w:left w:val="nil"/>
              <w:bottom w:val="single" w:sz="4" w:space="0" w:color="auto"/>
              <w:right w:val="single" w:sz="4" w:space="0" w:color="auto"/>
            </w:tcBorders>
            <w:shd w:val="clear" w:color="auto" w:fill="000000" w:themeFill="text1"/>
            <w:vAlign w:val="bottom"/>
          </w:tcPr>
          <w:p w14:paraId="3215A630" w14:textId="34A55CA1" w:rsidR="00A02B78" w:rsidRPr="00CF2B9D" w:rsidRDefault="00A02B78" w:rsidP="00A02B78">
            <w:pPr>
              <w:jc w:val="center"/>
              <w:rPr>
                <w:rFonts w:ascii="Arial" w:hAnsi="Arial" w:cs="Arial"/>
                <w:b/>
                <w:sz w:val="20"/>
                <w:szCs w:val="20"/>
              </w:rPr>
            </w:pPr>
          </w:p>
        </w:tc>
      </w:tr>
    </w:tbl>
    <w:p w14:paraId="0E96D65A" w14:textId="77777777" w:rsidR="00884FC9" w:rsidRDefault="00884FC9" w:rsidP="00CB13E9">
      <w:pPr>
        <w:spacing w:after="120"/>
        <w:rPr>
          <w:szCs w:val="32"/>
        </w:rPr>
      </w:pPr>
    </w:p>
    <w:p w14:paraId="405856C1" w14:textId="3D18A63A" w:rsidR="00CB13E9" w:rsidRDefault="00CB13E9" w:rsidP="00CB13E9">
      <w:pPr>
        <w:pStyle w:val="Heading3"/>
      </w:pPr>
      <w:bookmarkStart w:id="337" w:name="_Toc509837330"/>
      <w:proofErr w:type="spellStart"/>
      <w:r>
        <w:t>AutoDR</w:t>
      </w:r>
      <w:proofErr w:type="spellEnd"/>
      <w:r>
        <w:t xml:space="preserve"> and TA</w:t>
      </w:r>
      <w:r w:rsidR="00A23FEA">
        <w:t>/</w:t>
      </w:r>
      <w:r>
        <w:t>TI Customers</w:t>
      </w:r>
      <w:bookmarkEnd w:id="337"/>
    </w:p>
    <w:p w14:paraId="34F6E712" w14:textId="4C0A5510" w:rsidR="00B3763C" w:rsidRDefault="00F3603C" w:rsidP="00B3763C">
      <w:r>
        <w:rPr>
          <w:szCs w:val="32"/>
        </w:rPr>
        <w:t xml:space="preserve">This section summarizes results for </w:t>
      </w:r>
      <w:r w:rsidR="008127FE">
        <w:rPr>
          <w:szCs w:val="32"/>
        </w:rPr>
        <w:t>CPP</w:t>
      </w:r>
      <w:r>
        <w:rPr>
          <w:szCs w:val="32"/>
        </w:rPr>
        <w:t xml:space="preserve"> customers who participat</w:t>
      </w:r>
      <w:r w:rsidR="008127FE">
        <w:rPr>
          <w:szCs w:val="32"/>
        </w:rPr>
        <w:t>ed</w:t>
      </w:r>
      <w:r>
        <w:rPr>
          <w:szCs w:val="32"/>
        </w:rPr>
        <w:t xml:space="preserve"> in the </w:t>
      </w:r>
      <w:r w:rsidR="00B3763C">
        <w:t xml:space="preserve">Technical Assistance and Technology Incentives (TA/TI) and </w:t>
      </w:r>
      <w:r w:rsidR="008127FE">
        <w:t>Automated Demand Response (</w:t>
      </w:r>
      <w:proofErr w:type="spellStart"/>
      <w:r>
        <w:rPr>
          <w:szCs w:val="32"/>
        </w:rPr>
        <w:t>AutoDR</w:t>
      </w:r>
      <w:proofErr w:type="spellEnd"/>
      <w:r w:rsidR="008127FE">
        <w:rPr>
          <w:szCs w:val="32"/>
        </w:rPr>
        <w:t>)</w:t>
      </w:r>
      <w:r>
        <w:rPr>
          <w:szCs w:val="32"/>
        </w:rPr>
        <w:t xml:space="preserve"> </w:t>
      </w:r>
      <w:r w:rsidR="00D021CD">
        <w:rPr>
          <w:szCs w:val="32"/>
        </w:rPr>
        <w:t>programs.</w:t>
      </w:r>
      <w:r>
        <w:rPr>
          <w:szCs w:val="32"/>
        </w:rPr>
        <w:t xml:space="preserve"> </w:t>
      </w:r>
      <w:r w:rsidR="00B3763C">
        <w:t xml:space="preserve">TA/TI is no longer offered by the IOUs, but we summarize load impacts from customers that received program incentives in the past. The program had two parts: technical assistance in the form of energy audits, and technology incentives. The objective of the TA portion of the program was to subsidize customer energy audits that had the objective of identifying ways in which customers could reduce load during DR events. The TI portion of the program provided incentive payments for the installation of equipment or control software supporting DR.   </w:t>
      </w:r>
    </w:p>
    <w:p w14:paraId="7F0B61DF" w14:textId="3B469A94" w:rsidR="00B3763C" w:rsidRDefault="00B3763C" w:rsidP="00B3763C"/>
    <w:p w14:paraId="473309C7" w14:textId="7321568F" w:rsidR="00627028" w:rsidRDefault="00530AED" w:rsidP="00627028">
      <w:pPr>
        <w:rPr>
          <w:szCs w:val="32"/>
        </w:rPr>
      </w:pPr>
      <w:r>
        <w:rPr>
          <w:noProof/>
          <w:szCs w:val="32"/>
        </w:rPr>
        <mc:AlternateContent>
          <mc:Choice Requires="wps">
            <w:drawing>
              <wp:anchor distT="0" distB="0" distL="114300" distR="114300" simplePos="0" relativeHeight="251721728" behindDoc="0" locked="0" layoutInCell="1" allowOverlap="1" wp14:anchorId="008DD8CF" wp14:editId="4566D9CA">
                <wp:simplePos x="0" y="0"/>
                <wp:positionH relativeFrom="margin">
                  <wp:align>right</wp:align>
                </wp:positionH>
                <wp:positionV relativeFrom="paragraph">
                  <wp:posOffset>3240267</wp:posOffset>
                </wp:positionV>
                <wp:extent cx="5422789" cy="397566"/>
                <wp:effectExtent l="0" t="0" r="26035" b="21590"/>
                <wp:wrapNone/>
                <wp:docPr id="24" name="Text Box 24"/>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0E968E4" w14:textId="77777777" w:rsidR="006F4399" w:rsidRPr="00EB41EA" w:rsidRDefault="006F4399" w:rsidP="00530AED">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8DD8CF" id="Text Box 24" o:spid="_x0000_s1050" type="#_x0000_t202" style="position:absolute;margin-left:375.8pt;margin-top:255.15pt;width:427pt;height:31.3pt;z-index:25172172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" fillcolor="white [3201]" strokeweight=".5pt">
                <v:textbox>
                  <w:txbxContent>
                    <w:p w14:paraId="60E968E4" w14:textId="77777777" w:rsidR="006F4399" w:rsidRPr="00EB41EA" w:rsidRDefault="006F4399" w:rsidP="00530AED">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B3763C">
        <w:t xml:space="preserve">The </w:t>
      </w:r>
      <w:proofErr w:type="spellStart"/>
      <w:r w:rsidR="00B3763C">
        <w:t>AutoDR</w:t>
      </w:r>
      <w:proofErr w:type="spellEnd"/>
      <w:r w:rsidR="00B3763C">
        <w:t xml:space="preserve"> program provides customers incentives to invest in energy management technologies that will enable their equipment or facilities to reduce demand automatically in response to a physical signal sent from the utility. It encourages customers to expand their energy management capabilities by participating in DR programs using automated electric controls and management strategies. When a DR event is called</w:t>
      </w:r>
      <w:r w:rsidR="00B3763C" w:rsidRPr="009C2770">
        <w:t xml:space="preserve">, </w:t>
      </w:r>
      <w:r w:rsidR="00B3763C" w:rsidRPr="005805E9">
        <w:t>a communications signal from the utility</w:t>
      </w:r>
      <w:r w:rsidR="00B3763C" w:rsidRPr="009C2770">
        <w:t xml:space="preserve"> </w:t>
      </w:r>
      <w:r w:rsidR="00B3763C" w:rsidRPr="00EA176E">
        <w:t>enable</w:t>
      </w:r>
      <w:r w:rsidR="00B3763C">
        <w:t>s</w:t>
      </w:r>
      <w:r w:rsidR="00B3763C" w:rsidRPr="00EA176E">
        <w:t xml:space="preserve"> the execution of a sequence of </w:t>
      </w:r>
      <w:r w:rsidR="00B3763C">
        <w:t>load shed strategies without participant intervention.</w:t>
      </w:r>
      <w:r w:rsidR="00627028">
        <w:t xml:space="preserve"> </w:t>
      </w:r>
      <w:r w:rsidR="00F3603C">
        <w:rPr>
          <w:szCs w:val="32"/>
        </w:rPr>
        <w:t>We present results for the average event</w:t>
      </w:r>
      <w:r w:rsidR="00D021CD">
        <w:rPr>
          <w:szCs w:val="32"/>
        </w:rPr>
        <w:t>-</w:t>
      </w:r>
      <w:r w:rsidR="00F3603C">
        <w:rPr>
          <w:szCs w:val="32"/>
        </w:rPr>
        <w:t xml:space="preserve">hour for each event day </w:t>
      </w:r>
      <w:r w:rsidR="00D021CD">
        <w:rPr>
          <w:szCs w:val="32"/>
        </w:rPr>
        <w:t>and for the average event</w:t>
      </w:r>
      <w:r w:rsidR="00F3603C">
        <w:rPr>
          <w:szCs w:val="32"/>
        </w:rPr>
        <w:t xml:space="preserve">. Additional results for these customers can be found in </w:t>
      </w:r>
      <w:r w:rsidR="00F3603C" w:rsidRPr="00822514">
        <w:t>electronic form in Protocol table generators provided along with this report</w:t>
      </w:r>
      <w:r w:rsidR="00F3603C">
        <w:rPr>
          <w:szCs w:val="32"/>
        </w:rPr>
        <w:t>.</w:t>
      </w:r>
      <w:r w:rsidRPr="00530AED">
        <w:rPr>
          <w:noProof/>
          <w:szCs w:val="32"/>
        </w:rPr>
        <w:t xml:space="preserve"> </w:t>
      </w:r>
    </w:p>
    <w:p w14:paraId="7C551883" w14:textId="77777777" w:rsidR="005D5C7C" w:rsidRDefault="00D021CD" w:rsidP="005D5C7C">
      <w:pPr>
        <w:keepLines/>
      </w:pPr>
      <w:r>
        <w:rPr>
          <w:szCs w:val="32"/>
        </w:rPr>
        <w:fldChar w:fldCharType="begin"/>
      </w:r>
      <w:r>
        <w:rPr>
          <w:szCs w:val="32"/>
        </w:rPr>
        <w:instrText xml:space="preserve"> REF _Ref507061925 \h </w:instrText>
      </w:r>
      <w:r w:rsidR="00627028">
        <w:rPr>
          <w:szCs w:val="32"/>
        </w:rPr>
        <w:instrText xml:space="preserve"> \* MERGEFORMAT </w:instrText>
      </w:r>
      <w:r>
        <w:rPr>
          <w:szCs w:val="32"/>
        </w:rPr>
      </w:r>
      <w:r>
        <w:rPr>
          <w:szCs w:val="32"/>
        </w:rPr>
        <w:fldChar w:fldCharType="separate"/>
      </w:r>
    </w:p>
    <w:p w14:paraId="0BE4AC5F" w14:textId="2828AA6C" w:rsidR="00F3603C" w:rsidRDefault="005D5C7C" w:rsidP="00530AED">
      <w:pPr>
        <w:keepNext/>
        <w:keepLines/>
        <w:rPr>
          <w:szCs w:val="32"/>
        </w:rPr>
      </w:pPr>
      <w:r w:rsidRPr="005D5C7C">
        <w:rPr>
          <w:noProof/>
          <w:szCs w:val="32"/>
        </w:rPr>
        <w:lastRenderedPageBreak/>
        <w:t>Table 4.17</w:t>
      </w:r>
      <w:r w:rsidR="00D021CD">
        <w:rPr>
          <w:szCs w:val="32"/>
        </w:rPr>
        <w:fldChar w:fldCharType="end"/>
      </w:r>
      <w:r w:rsidR="00F3603C">
        <w:rPr>
          <w:szCs w:val="32"/>
        </w:rPr>
        <w:t xml:space="preserve"> </w:t>
      </w:r>
      <w:r w:rsidR="00D021CD">
        <w:rPr>
          <w:szCs w:val="32"/>
        </w:rPr>
        <w:t>summarizes aggregate event-hour results for each event-day as well as the typical event day for CPP customers who participat</w:t>
      </w:r>
      <w:r w:rsidR="00B359D4">
        <w:rPr>
          <w:szCs w:val="32"/>
        </w:rPr>
        <w:t>ed</w:t>
      </w:r>
      <w:r w:rsidR="00D021CD">
        <w:rPr>
          <w:szCs w:val="32"/>
        </w:rPr>
        <w:t xml:space="preserve"> in the </w:t>
      </w:r>
      <w:proofErr w:type="spellStart"/>
      <w:r w:rsidR="00D021CD">
        <w:rPr>
          <w:szCs w:val="32"/>
        </w:rPr>
        <w:t>AutoDR</w:t>
      </w:r>
      <w:proofErr w:type="spellEnd"/>
      <w:r w:rsidR="00D021CD">
        <w:rPr>
          <w:szCs w:val="32"/>
        </w:rPr>
        <w:t xml:space="preserve"> program, including the number of enrolled customers, the reference and observed loads, and the estimated load impacts (in MWh/hour and as a percentage of the reference load). </w:t>
      </w:r>
      <w:r w:rsidR="006B7F68" w:rsidRPr="006B7F68">
        <w:rPr>
          <w:szCs w:val="32"/>
          <w:highlight w:val="black"/>
        </w:rPr>
        <w:t>------------------------------------------------------------------------------------------------------------------------------------------------------------------------------------------------------------------------------------------------------------------------------------------------------------------------------------------------------------------------------------------------------------------------------------------------------------------------------------------------------------------------------------------------------------------------------------------------------------------------------------------------------------------------</w:t>
      </w:r>
      <w:r w:rsidR="00F3603C">
        <w:rPr>
          <w:szCs w:val="32"/>
        </w:rPr>
        <w:t xml:space="preserve"> </w:t>
      </w:r>
    </w:p>
    <w:p w14:paraId="47E199F5" w14:textId="77777777" w:rsidR="00607F01" w:rsidRDefault="00607F01" w:rsidP="005769CB">
      <w:pPr>
        <w:pStyle w:val="TableCaption"/>
      </w:pPr>
      <w:bookmarkStart w:id="338" w:name="_Ref507061925"/>
    </w:p>
    <w:p w14:paraId="49AF0D30" w14:textId="5624DC56" w:rsidR="00884FC9" w:rsidRDefault="00884FC9" w:rsidP="005769CB">
      <w:pPr>
        <w:pStyle w:val="TableCaption"/>
      </w:pPr>
      <w:bookmarkStart w:id="339" w:name="_Toc509837400"/>
      <w:r>
        <w:t xml:space="preserve">Table </w:t>
      </w:r>
      <w:fldSimple w:instr=" STYLEREF 1 \s ">
        <w:r w:rsidR="005D5C7C">
          <w:rPr>
            <w:noProof/>
          </w:rPr>
          <w:t>4</w:t>
        </w:r>
      </w:fldSimple>
      <w:r w:rsidR="0069714C">
        <w:t>.</w:t>
      </w:r>
      <w:fldSimple w:instr=" SEQ Table \* ARABIC \s 1 ">
        <w:r w:rsidR="005D5C7C">
          <w:rPr>
            <w:noProof/>
          </w:rPr>
          <w:t>17</w:t>
        </w:r>
      </w:fldSimple>
      <w:bookmarkEnd w:id="338"/>
      <w:r>
        <w:t xml:space="preserve">: Average Event-Hour Load Impacts for </w:t>
      </w:r>
      <w:proofErr w:type="spellStart"/>
      <w:r>
        <w:t>AutoDR</w:t>
      </w:r>
      <w:proofErr w:type="spellEnd"/>
      <w:r>
        <w:t xml:space="preserve"> Customers by Event, SC</w:t>
      </w:r>
      <w:r w:rsidRPr="00642410">
        <w:rPr>
          <w:i/>
        </w:rPr>
        <w:t>E</w:t>
      </w:r>
      <w:bookmarkEnd w:id="339"/>
    </w:p>
    <w:tbl>
      <w:tblPr>
        <w:tblW w:w="9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170"/>
        <w:gridCol w:w="1350"/>
        <w:gridCol w:w="1350"/>
        <w:gridCol w:w="1350"/>
        <w:gridCol w:w="810"/>
        <w:gridCol w:w="1188"/>
      </w:tblGrid>
      <w:tr w:rsidR="00864DA5" w14:paraId="5B110866" w14:textId="77777777" w:rsidTr="00F42180">
        <w:trPr>
          <w:jc w:val="center"/>
        </w:trPr>
        <w:tc>
          <w:tcPr>
            <w:tcW w:w="1980" w:type="dxa"/>
            <w:tcBorders>
              <w:right w:val="single" w:sz="4" w:space="0" w:color="FFFFFF" w:themeColor="background1"/>
            </w:tcBorders>
            <w:shd w:val="clear" w:color="auto" w:fill="0C2577"/>
            <w:vAlign w:val="center"/>
          </w:tcPr>
          <w:p w14:paraId="2B709836" w14:textId="77777777" w:rsidR="00864DA5" w:rsidRPr="007E0A27" w:rsidRDefault="00864DA5" w:rsidP="00864DA5">
            <w:pPr>
              <w:keepNext/>
              <w:keepLines/>
              <w:jc w:val="center"/>
              <w:rPr>
                <w:rFonts w:ascii="Arial" w:hAnsi="Arial" w:cs="Arial"/>
                <w:b/>
                <w:sz w:val="20"/>
                <w:szCs w:val="20"/>
              </w:rPr>
            </w:pPr>
            <w:r>
              <w:rPr>
                <w:rFonts w:ascii="Arial" w:hAnsi="Arial" w:cs="Arial"/>
                <w:b/>
                <w:sz w:val="20"/>
                <w:szCs w:val="20"/>
              </w:rPr>
              <w:t>Event Date</w:t>
            </w:r>
          </w:p>
        </w:tc>
        <w:tc>
          <w:tcPr>
            <w:tcW w:w="1170" w:type="dxa"/>
            <w:tcBorders>
              <w:top w:val="single" w:sz="4" w:space="0" w:color="000000" w:themeColor="text1"/>
              <w:left w:val="nil"/>
              <w:bottom w:val="nil"/>
              <w:right w:val="single" w:sz="4" w:space="0" w:color="FFFFFF"/>
            </w:tcBorders>
            <w:shd w:val="clear" w:color="000000" w:fill="0C2577"/>
            <w:vAlign w:val="center"/>
          </w:tcPr>
          <w:p w14:paraId="198C1BAC" w14:textId="0219C330"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 of Service Accounts</w:t>
            </w:r>
          </w:p>
        </w:tc>
        <w:tc>
          <w:tcPr>
            <w:tcW w:w="1350" w:type="dxa"/>
            <w:tcBorders>
              <w:top w:val="single" w:sz="4" w:space="0" w:color="000000" w:themeColor="text1"/>
              <w:left w:val="nil"/>
              <w:bottom w:val="nil"/>
              <w:right w:val="single" w:sz="4" w:space="0" w:color="FFFFFF"/>
            </w:tcBorders>
            <w:shd w:val="clear" w:color="000000" w:fill="0C2577"/>
            <w:vAlign w:val="center"/>
          </w:tcPr>
          <w:p w14:paraId="2F0E56F9" w14:textId="24E0F86A"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Estimated Reference Load (MW</w:t>
            </w:r>
            <w:r w:rsidR="006B18A8">
              <w:rPr>
                <w:rFonts w:ascii="Arial" w:hAnsi="Arial" w:cs="Arial"/>
                <w:b/>
                <w:bCs/>
                <w:color w:val="FFFFFF"/>
                <w:sz w:val="20"/>
                <w:szCs w:val="20"/>
              </w:rPr>
              <w:t>h/hour</w:t>
            </w:r>
            <w:r>
              <w:rPr>
                <w:rFonts w:ascii="Arial" w:hAnsi="Arial" w:cs="Arial"/>
                <w:b/>
                <w:bCs/>
                <w:color w:val="FFFFFF"/>
                <w:sz w:val="20"/>
                <w:szCs w:val="20"/>
              </w:rPr>
              <w:t>)</w:t>
            </w:r>
          </w:p>
        </w:tc>
        <w:tc>
          <w:tcPr>
            <w:tcW w:w="1350" w:type="dxa"/>
            <w:tcBorders>
              <w:top w:val="single" w:sz="4" w:space="0" w:color="000000" w:themeColor="text1"/>
              <w:left w:val="nil"/>
              <w:bottom w:val="nil"/>
              <w:right w:val="single" w:sz="4" w:space="0" w:color="FFFFFF"/>
            </w:tcBorders>
            <w:shd w:val="clear" w:color="000000" w:fill="0C2577"/>
            <w:vAlign w:val="center"/>
          </w:tcPr>
          <w:p w14:paraId="542B5EDB" w14:textId="0BCE4254"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Observed Load (MW</w:t>
            </w:r>
            <w:r w:rsidR="006B18A8">
              <w:rPr>
                <w:rFonts w:ascii="Arial" w:hAnsi="Arial" w:cs="Arial"/>
                <w:b/>
                <w:bCs/>
                <w:color w:val="FFFFFF"/>
                <w:sz w:val="20"/>
                <w:szCs w:val="20"/>
              </w:rPr>
              <w:t>h/hour</w:t>
            </w:r>
            <w:r>
              <w:rPr>
                <w:rFonts w:ascii="Arial" w:hAnsi="Arial" w:cs="Arial"/>
                <w:b/>
                <w:bCs/>
                <w:color w:val="FFFFFF"/>
                <w:sz w:val="20"/>
                <w:szCs w:val="20"/>
              </w:rPr>
              <w:t>)</w:t>
            </w:r>
          </w:p>
        </w:tc>
        <w:tc>
          <w:tcPr>
            <w:tcW w:w="1350" w:type="dxa"/>
            <w:tcBorders>
              <w:top w:val="single" w:sz="4" w:space="0" w:color="000000" w:themeColor="text1"/>
              <w:left w:val="nil"/>
              <w:bottom w:val="nil"/>
              <w:right w:val="single" w:sz="4" w:space="0" w:color="FFFFFF"/>
            </w:tcBorders>
            <w:shd w:val="clear" w:color="000000" w:fill="0C2577"/>
            <w:vAlign w:val="center"/>
          </w:tcPr>
          <w:p w14:paraId="1EE2CD94" w14:textId="6C366C14"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Estimated Load Impact (MW</w:t>
            </w:r>
            <w:r w:rsidR="006B18A8">
              <w:rPr>
                <w:rFonts w:ascii="Arial" w:hAnsi="Arial" w:cs="Arial"/>
                <w:b/>
                <w:bCs/>
                <w:color w:val="FFFFFF"/>
                <w:sz w:val="20"/>
                <w:szCs w:val="20"/>
              </w:rPr>
              <w:t>h/hour</w:t>
            </w:r>
            <w:r>
              <w:rPr>
                <w:rFonts w:ascii="Arial" w:hAnsi="Arial" w:cs="Arial"/>
                <w:b/>
                <w:bCs/>
                <w:color w:val="FFFFFF"/>
                <w:sz w:val="20"/>
                <w:szCs w:val="20"/>
              </w:rPr>
              <w:t>)</w:t>
            </w:r>
          </w:p>
        </w:tc>
        <w:tc>
          <w:tcPr>
            <w:tcW w:w="810" w:type="dxa"/>
            <w:tcBorders>
              <w:top w:val="single" w:sz="4" w:space="0" w:color="000000" w:themeColor="text1"/>
              <w:left w:val="nil"/>
              <w:bottom w:val="single" w:sz="4" w:space="0" w:color="000000" w:themeColor="text1"/>
              <w:right w:val="single" w:sz="4" w:space="0" w:color="FFFFFF"/>
            </w:tcBorders>
            <w:shd w:val="clear" w:color="000000" w:fill="0C2577"/>
            <w:vAlign w:val="center"/>
          </w:tcPr>
          <w:p w14:paraId="7DF56E52" w14:textId="362078BC"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 LI</w:t>
            </w:r>
          </w:p>
        </w:tc>
        <w:tc>
          <w:tcPr>
            <w:tcW w:w="1188" w:type="dxa"/>
            <w:tcBorders>
              <w:top w:val="single" w:sz="4" w:space="0" w:color="000000" w:themeColor="text1"/>
              <w:left w:val="nil"/>
              <w:bottom w:val="single" w:sz="4" w:space="0" w:color="000000" w:themeColor="text1"/>
              <w:right w:val="single" w:sz="4" w:space="0" w:color="000000" w:themeColor="text1"/>
            </w:tcBorders>
            <w:shd w:val="clear" w:color="000000" w:fill="0C2577"/>
            <w:vAlign w:val="center"/>
          </w:tcPr>
          <w:p w14:paraId="4B962B89" w14:textId="0BBD86E3"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Approved MW</w:t>
            </w:r>
          </w:p>
        </w:tc>
      </w:tr>
      <w:tr w:rsidR="00A02B78" w14:paraId="0FAB99CF" w14:textId="77777777" w:rsidTr="006B7F68">
        <w:trPr>
          <w:jc w:val="center"/>
        </w:trPr>
        <w:tc>
          <w:tcPr>
            <w:tcW w:w="1980" w:type="dxa"/>
            <w:vAlign w:val="bottom"/>
          </w:tcPr>
          <w:p w14:paraId="377C24E5" w14:textId="2B6B08FF"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6/19/2017</w:t>
            </w:r>
          </w:p>
        </w:tc>
        <w:tc>
          <w:tcPr>
            <w:tcW w:w="1170"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30A037FD" w14:textId="544D86F3"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0D90B3BD" w14:textId="512D5CCA"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034C1070" w14:textId="63410A19" w:rsidR="00A02B78" w:rsidRPr="000547DF" w:rsidRDefault="00A02B78" w:rsidP="00A02B7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181F43B3" w14:textId="068624DE" w:rsidR="00A02B78" w:rsidRPr="000547DF" w:rsidRDefault="00A02B78" w:rsidP="00A02B78">
            <w:pPr>
              <w:jc w:val="center"/>
              <w:rPr>
                <w:rFonts w:ascii="Arial" w:hAnsi="Arial" w:cs="Arial"/>
                <w:sz w:val="20"/>
                <w:szCs w:val="20"/>
              </w:rPr>
            </w:pPr>
          </w:p>
        </w:tc>
        <w:tc>
          <w:tcPr>
            <w:tcW w:w="810" w:type="dxa"/>
            <w:tcBorders>
              <w:top w:val="single" w:sz="4" w:space="0" w:color="auto"/>
              <w:left w:val="nil"/>
              <w:bottom w:val="single" w:sz="4" w:space="0" w:color="auto"/>
              <w:right w:val="single" w:sz="4" w:space="0" w:color="auto"/>
            </w:tcBorders>
            <w:shd w:val="clear" w:color="auto" w:fill="000000" w:themeFill="text1"/>
            <w:vAlign w:val="bottom"/>
          </w:tcPr>
          <w:p w14:paraId="0274E78D" w14:textId="368E274A" w:rsidR="00A02B78" w:rsidRPr="000547DF" w:rsidRDefault="00A02B78" w:rsidP="00A02B78">
            <w:pPr>
              <w:jc w:val="center"/>
              <w:rPr>
                <w:rFonts w:ascii="Arial" w:hAnsi="Arial" w:cs="Arial"/>
                <w:sz w:val="20"/>
                <w:szCs w:val="20"/>
              </w:rPr>
            </w:pPr>
          </w:p>
        </w:tc>
        <w:tc>
          <w:tcPr>
            <w:tcW w:w="1188" w:type="dxa"/>
            <w:tcBorders>
              <w:top w:val="single" w:sz="4" w:space="0" w:color="auto"/>
              <w:left w:val="nil"/>
              <w:bottom w:val="single" w:sz="4" w:space="0" w:color="auto"/>
              <w:right w:val="single" w:sz="4" w:space="0" w:color="auto"/>
            </w:tcBorders>
            <w:shd w:val="clear" w:color="auto" w:fill="000000" w:themeFill="text1"/>
            <w:vAlign w:val="bottom"/>
          </w:tcPr>
          <w:p w14:paraId="59E3B535" w14:textId="0886CDB4" w:rsidR="00A02B78" w:rsidRPr="000547DF" w:rsidRDefault="00A02B78" w:rsidP="00A02B78">
            <w:pPr>
              <w:jc w:val="center"/>
              <w:rPr>
                <w:rFonts w:ascii="Arial" w:hAnsi="Arial" w:cs="Arial"/>
                <w:sz w:val="20"/>
                <w:szCs w:val="20"/>
              </w:rPr>
            </w:pPr>
          </w:p>
        </w:tc>
      </w:tr>
      <w:tr w:rsidR="00A02B78" w14:paraId="11AEC3EB" w14:textId="77777777" w:rsidTr="006B7F68">
        <w:trPr>
          <w:jc w:val="center"/>
        </w:trPr>
        <w:tc>
          <w:tcPr>
            <w:tcW w:w="1980" w:type="dxa"/>
            <w:vAlign w:val="bottom"/>
          </w:tcPr>
          <w:p w14:paraId="453865BA" w14:textId="232B86F2" w:rsidR="00A02B78" w:rsidRPr="007E0A27" w:rsidRDefault="00A02B78" w:rsidP="00A02B78">
            <w:pPr>
              <w:keepNext/>
              <w:keepLines/>
              <w:jc w:val="center"/>
              <w:rPr>
                <w:rFonts w:ascii="Arial" w:hAnsi="Arial" w:cs="Arial"/>
                <w:sz w:val="20"/>
                <w:szCs w:val="20"/>
              </w:rPr>
            </w:pPr>
            <w:r>
              <w:rPr>
                <w:rFonts w:ascii="Arial" w:hAnsi="Arial" w:cs="Arial"/>
                <w:color w:val="000000"/>
                <w:sz w:val="20"/>
                <w:szCs w:val="20"/>
              </w:rPr>
              <w:t>6/20/2017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FA36E02" w14:textId="41822802"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BC0099B" w14:textId="565CCF1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13D7910" w14:textId="0876F334"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E5A6162" w14:textId="4072A028"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4C56CF22" w14:textId="35595DDC"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39551FB9" w14:textId="3D3F02C0" w:rsidR="00A02B78" w:rsidRPr="000547DF" w:rsidRDefault="00A02B78" w:rsidP="00A02B78">
            <w:pPr>
              <w:jc w:val="center"/>
              <w:rPr>
                <w:rFonts w:ascii="Arial" w:hAnsi="Arial" w:cs="Arial"/>
                <w:sz w:val="20"/>
                <w:szCs w:val="20"/>
              </w:rPr>
            </w:pPr>
          </w:p>
        </w:tc>
      </w:tr>
      <w:tr w:rsidR="00A02B78" w14:paraId="36FB612C" w14:textId="77777777" w:rsidTr="006B7F68">
        <w:trPr>
          <w:jc w:val="center"/>
        </w:trPr>
        <w:tc>
          <w:tcPr>
            <w:tcW w:w="1980" w:type="dxa"/>
            <w:vAlign w:val="bottom"/>
          </w:tcPr>
          <w:p w14:paraId="789EBB53" w14:textId="7BE8A522" w:rsidR="00A02B78" w:rsidRDefault="00A02B78" w:rsidP="00A02B78">
            <w:pPr>
              <w:keepNext/>
              <w:keepLines/>
              <w:jc w:val="center"/>
              <w:rPr>
                <w:rFonts w:ascii="Arial" w:hAnsi="Arial" w:cs="Arial"/>
                <w:sz w:val="20"/>
                <w:szCs w:val="20"/>
              </w:rPr>
            </w:pPr>
            <w:r>
              <w:rPr>
                <w:rFonts w:ascii="Arial" w:hAnsi="Arial" w:cs="Arial"/>
                <w:color w:val="000000"/>
                <w:sz w:val="20"/>
                <w:szCs w:val="20"/>
              </w:rPr>
              <w:t>7/6/2017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C855EC0" w14:textId="6B6A301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390F8D8" w14:textId="6D9E4281"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BA72B26" w14:textId="3A01AED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72EF885" w14:textId="7DE7A068"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5000C422" w14:textId="416940CC"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48712092" w14:textId="3945AF77" w:rsidR="00A02B78" w:rsidRPr="000547DF" w:rsidRDefault="00A02B78" w:rsidP="00A02B78">
            <w:pPr>
              <w:jc w:val="center"/>
              <w:rPr>
                <w:rFonts w:ascii="Arial" w:hAnsi="Arial" w:cs="Arial"/>
                <w:sz w:val="20"/>
                <w:szCs w:val="20"/>
              </w:rPr>
            </w:pPr>
          </w:p>
        </w:tc>
      </w:tr>
      <w:tr w:rsidR="00A02B78" w14:paraId="6C8141F2" w14:textId="77777777" w:rsidTr="006B7F68">
        <w:trPr>
          <w:jc w:val="center"/>
        </w:trPr>
        <w:tc>
          <w:tcPr>
            <w:tcW w:w="1980" w:type="dxa"/>
            <w:vAlign w:val="bottom"/>
          </w:tcPr>
          <w:p w14:paraId="64CBB08B" w14:textId="43E53F2E" w:rsidR="00A02B78" w:rsidRDefault="00A02B78" w:rsidP="00A02B78">
            <w:pPr>
              <w:keepNext/>
              <w:keepLines/>
              <w:jc w:val="center"/>
              <w:rPr>
                <w:rFonts w:ascii="Arial" w:hAnsi="Arial" w:cs="Arial"/>
                <w:sz w:val="20"/>
                <w:szCs w:val="20"/>
              </w:rPr>
            </w:pPr>
            <w:r>
              <w:rPr>
                <w:rFonts w:ascii="Arial" w:hAnsi="Arial" w:cs="Arial"/>
                <w:color w:val="000000"/>
                <w:sz w:val="20"/>
                <w:szCs w:val="20"/>
              </w:rPr>
              <w:t>7/7/2017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540C359" w14:textId="303DCE2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0931B07" w14:textId="32F9B26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680B263" w14:textId="5DF2497A"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2484773" w14:textId="7E7B5ED7"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29E9C532" w14:textId="13C81932"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083ECE69" w14:textId="63C4E668" w:rsidR="00A02B78" w:rsidRPr="000547DF" w:rsidRDefault="00A02B78" w:rsidP="00A02B78">
            <w:pPr>
              <w:jc w:val="center"/>
              <w:rPr>
                <w:rFonts w:ascii="Arial" w:hAnsi="Arial" w:cs="Arial"/>
                <w:sz w:val="20"/>
                <w:szCs w:val="20"/>
              </w:rPr>
            </w:pPr>
          </w:p>
        </w:tc>
      </w:tr>
      <w:tr w:rsidR="00A02B78" w14:paraId="04A9797C" w14:textId="77777777" w:rsidTr="006B7F68">
        <w:trPr>
          <w:jc w:val="center"/>
        </w:trPr>
        <w:tc>
          <w:tcPr>
            <w:tcW w:w="1980" w:type="dxa"/>
            <w:vAlign w:val="bottom"/>
          </w:tcPr>
          <w:p w14:paraId="35CBDCC5" w14:textId="71A131C2" w:rsidR="00A02B78" w:rsidRDefault="00A02B78" w:rsidP="00A02B78">
            <w:pPr>
              <w:keepNext/>
              <w:keepLines/>
              <w:jc w:val="center"/>
              <w:rPr>
                <w:rFonts w:ascii="Arial" w:hAnsi="Arial" w:cs="Arial"/>
                <w:sz w:val="20"/>
                <w:szCs w:val="20"/>
              </w:rPr>
            </w:pPr>
            <w:r>
              <w:rPr>
                <w:rFonts w:ascii="Arial" w:hAnsi="Arial" w:cs="Arial"/>
                <w:color w:val="000000"/>
                <w:sz w:val="20"/>
                <w:szCs w:val="20"/>
              </w:rPr>
              <w:t>7/27/2017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68E15525" w14:textId="3567A973"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78C55A4" w14:textId="207B4DE2"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DBE4F51" w14:textId="580705E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8F5AEFE" w14:textId="64457785"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24471493" w14:textId="012785D2"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55ED1E1F" w14:textId="4E1B1CAA" w:rsidR="00A02B78" w:rsidRPr="000547DF" w:rsidRDefault="00A02B78" w:rsidP="00A02B78">
            <w:pPr>
              <w:jc w:val="center"/>
              <w:rPr>
                <w:rFonts w:ascii="Arial" w:hAnsi="Arial" w:cs="Arial"/>
                <w:sz w:val="20"/>
                <w:szCs w:val="20"/>
              </w:rPr>
            </w:pPr>
          </w:p>
        </w:tc>
      </w:tr>
      <w:tr w:rsidR="00A02B78" w14:paraId="4105B5B1" w14:textId="77777777" w:rsidTr="006B7F68">
        <w:trPr>
          <w:jc w:val="center"/>
        </w:trPr>
        <w:tc>
          <w:tcPr>
            <w:tcW w:w="1980" w:type="dxa"/>
            <w:vAlign w:val="bottom"/>
          </w:tcPr>
          <w:p w14:paraId="74A644F0" w14:textId="7F9B8ABF" w:rsidR="00A02B78" w:rsidRDefault="00A02B78" w:rsidP="00A02B78">
            <w:pPr>
              <w:keepNext/>
              <w:keepLines/>
              <w:jc w:val="center"/>
              <w:rPr>
                <w:rFonts w:ascii="Arial" w:hAnsi="Arial" w:cs="Arial"/>
                <w:sz w:val="20"/>
                <w:szCs w:val="20"/>
              </w:rPr>
            </w:pPr>
            <w:r>
              <w:rPr>
                <w:rFonts w:ascii="Arial" w:hAnsi="Arial" w:cs="Arial"/>
                <w:color w:val="000000"/>
                <w:sz w:val="20"/>
                <w:szCs w:val="20"/>
              </w:rPr>
              <w:t>7/31/2017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9AFA28D" w14:textId="07D11057"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1FBBC56" w14:textId="21279D7A"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175032A" w14:textId="09F8998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1072685" w14:textId="3C43A408"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4A5D8200" w14:textId="772E0A07"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005110FF" w14:textId="64DC6C27" w:rsidR="00A02B78" w:rsidRPr="000547DF" w:rsidRDefault="00A02B78" w:rsidP="00A02B78">
            <w:pPr>
              <w:jc w:val="center"/>
              <w:rPr>
                <w:rFonts w:ascii="Arial" w:hAnsi="Arial" w:cs="Arial"/>
                <w:sz w:val="20"/>
                <w:szCs w:val="20"/>
              </w:rPr>
            </w:pPr>
          </w:p>
        </w:tc>
      </w:tr>
      <w:tr w:rsidR="00A02B78" w14:paraId="10E97040" w14:textId="77777777" w:rsidTr="006B7F68">
        <w:trPr>
          <w:jc w:val="center"/>
        </w:trPr>
        <w:tc>
          <w:tcPr>
            <w:tcW w:w="1980" w:type="dxa"/>
            <w:vAlign w:val="bottom"/>
          </w:tcPr>
          <w:p w14:paraId="131823D7" w14:textId="209BC9AD" w:rsidR="00A02B78" w:rsidRDefault="00A02B78" w:rsidP="00A02B78">
            <w:pPr>
              <w:keepNext/>
              <w:keepLines/>
              <w:jc w:val="center"/>
              <w:rPr>
                <w:rFonts w:ascii="Arial" w:hAnsi="Arial" w:cs="Arial"/>
                <w:sz w:val="20"/>
                <w:szCs w:val="20"/>
              </w:rPr>
            </w:pPr>
            <w:r>
              <w:rPr>
                <w:rFonts w:ascii="Arial" w:hAnsi="Arial" w:cs="Arial"/>
                <w:color w:val="000000"/>
                <w:sz w:val="20"/>
                <w:szCs w:val="20"/>
              </w:rPr>
              <w:t>8/1/2017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023BD7C" w14:textId="5EE6282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628F160" w14:textId="23D5DF59"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BC0B39C" w14:textId="372BBBF1"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AB7494D" w14:textId="490DF2E3"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148402D1" w14:textId="300BA036"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276CB85C" w14:textId="7A6C83DD" w:rsidR="00A02B78" w:rsidRPr="000547DF" w:rsidRDefault="00A02B78" w:rsidP="00A02B78">
            <w:pPr>
              <w:jc w:val="center"/>
              <w:rPr>
                <w:rFonts w:ascii="Arial" w:hAnsi="Arial" w:cs="Arial"/>
                <w:sz w:val="20"/>
                <w:szCs w:val="20"/>
              </w:rPr>
            </w:pPr>
          </w:p>
        </w:tc>
      </w:tr>
      <w:tr w:rsidR="00A02B78" w14:paraId="1175B4A7" w14:textId="77777777" w:rsidTr="006B7F68">
        <w:trPr>
          <w:jc w:val="center"/>
        </w:trPr>
        <w:tc>
          <w:tcPr>
            <w:tcW w:w="1980" w:type="dxa"/>
            <w:vAlign w:val="bottom"/>
          </w:tcPr>
          <w:p w14:paraId="6683FE05" w14:textId="4843D693" w:rsidR="00A02B78" w:rsidRDefault="00A02B78" w:rsidP="00A02B78">
            <w:pPr>
              <w:keepNext/>
              <w:keepLines/>
              <w:jc w:val="center"/>
              <w:rPr>
                <w:rFonts w:ascii="Arial" w:hAnsi="Arial" w:cs="Arial"/>
                <w:sz w:val="20"/>
                <w:szCs w:val="20"/>
              </w:rPr>
            </w:pPr>
            <w:r>
              <w:rPr>
                <w:rFonts w:ascii="Arial" w:hAnsi="Arial" w:cs="Arial"/>
                <w:color w:val="000000"/>
                <w:sz w:val="20"/>
                <w:szCs w:val="20"/>
              </w:rPr>
              <w:t>8/28/2017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0B4FD8D" w14:textId="72D370D6"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A6FEE1A" w14:textId="273D397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30E3A3A" w14:textId="05FF1E62"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3DCBAA8" w14:textId="61188DA7"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35F194FA" w14:textId="03BF687F"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0FECFB69" w14:textId="3E9F63AB" w:rsidR="00A02B78" w:rsidRPr="000547DF" w:rsidRDefault="00A02B78" w:rsidP="00A02B78">
            <w:pPr>
              <w:jc w:val="center"/>
              <w:rPr>
                <w:rFonts w:ascii="Arial" w:hAnsi="Arial" w:cs="Arial"/>
                <w:sz w:val="20"/>
                <w:szCs w:val="20"/>
              </w:rPr>
            </w:pPr>
          </w:p>
        </w:tc>
      </w:tr>
      <w:tr w:rsidR="00A02B78" w14:paraId="56D7B142" w14:textId="77777777" w:rsidTr="006B7F68">
        <w:trPr>
          <w:jc w:val="center"/>
        </w:trPr>
        <w:tc>
          <w:tcPr>
            <w:tcW w:w="1980" w:type="dxa"/>
            <w:vAlign w:val="bottom"/>
          </w:tcPr>
          <w:p w14:paraId="6BA02569" w14:textId="21013858" w:rsidR="00A02B78" w:rsidRDefault="00A02B78" w:rsidP="00A02B78">
            <w:pPr>
              <w:keepNext/>
              <w:keepLines/>
              <w:jc w:val="center"/>
              <w:rPr>
                <w:rFonts w:ascii="Arial" w:hAnsi="Arial" w:cs="Arial"/>
                <w:sz w:val="20"/>
                <w:szCs w:val="20"/>
              </w:rPr>
            </w:pPr>
            <w:r>
              <w:rPr>
                <w:rFonts w:ascii="Arial" w:hAnsi="Arial" w:cs="Arial"/>
                <w:color w:val="000000"/>
                <w:sz w:val="20"/>
                <w:szCs w:val="20"/>
              </w:rPr>
              <w:t>8/29/2017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9C81691" w14:textId="436B8F4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C16A866" w14:textId="36039B5A"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C46FDEF" w14:textId="0D8B59E0"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A88B276" w14:textId="7B97E724"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59331D47" w14:textId="78F21EE3"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18F7006A" w14:textId="349CA852" w:rsidR="00A02B78" w:rsidRPr="000547DF" w:rsidRDefault="00A02B78" w:rsidP="00A02B78">
            <w:pPr>
              <w:jc w:val="center"/>
              <w:rPr>
                <w:rFonts w:ascii="Arial" w:hAnsi="Arial" w:cs="Arial"/>
                <w:sz w:val="20"/>
                <w:szCs w:val="20"/>
              </w:rPr>
            </w:pPr>
          </w:p>
        </w:tc>
      </w:tr>
      <w:tr w:rsidR="00A02B78" w14:paraId="3EE25630" w14:textId="77777777" w:rsidTr="006B7F68">
        <w:trPr>
          <w:jc w:val="center"/>
        </w:trPr>
        <w:tc>
          <w:tcPr>
            <w:tcW w:w="1980" w:type="dxa"/>
            <w:vAlign w:val="bottom"/>
          </w:tcPr>
          <w:p w14:paraId="2BB80725" w14:textId="6539426D" w:rsidR="00A02B78" w:rsidRDefault="00A02B78" w:rsidP="00A02B78">
            <w:pPr>
              <w:keepNext/>
              <w:keepLines/>
              <w:jc w:val="center"/>
              <w:rPr>
                <w:rFonts w:ascii="Arial" w:hAnsi="Arial" w:cs="Arial"/>
                <w:sz w:val="20"/>
                <w:szCs w:val="20"/>
              </w:rPr>
            </w:pPr>
            <w:r>
              <w:rPr>
                <w:rFonts w:ascii="Arial" w:hAnsi="Arial" w:cs="Arial"/>
                <w:color w:val="000000"/>
                <w:sz w:val="20"/>
                <w:szCs w:val="20"/>
              </w:rPr>
              <w:t>8/31/2017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4DF6EBEF" w14:textId="0735FEA5"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4C61355" w14:textId="2312117F"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DE05FC0" w14:textId="17D6B608"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3C6013E" w14:textId="48FC730E"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0E2AA615" w14:textId="7D15D0E9"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15321F2A" w14:textId="106490DB" w:rsidR="00A02B78" w:rsidRPr="000547DF" w:rsidRDefault="00A02B78" w:rsidP="00A02B78">
            <w:pPr>
              <w:jc w:val="center"/>
              <w:rPr>
                <w:rFonts w:ascii="Arial" w:hAnsi="Arial" w:cs="Arial"/>
                <w:sz w:val="20"/>
                <w:szCs w:val="20"/>
              </w:rPr>
            </w:pPr>
          </w:p>
        </w:tc>
      </w:tr>
      <w:tr w:rsidR="00A02B78" w14:paraId="7B39CA76" w14:textId="77777777" w:rsidTr="006B7F68">
        <w:trPr>
          <w:jc w:val="center"/>
        </w:trPr>
        <w:tc>
          <w:tcPr>
            <w:tcW w:w="1980" w:type="dxa"/>
            <w:vAlign w:val="bottom"/>
          </w:tcPr>
          <w:p w14:paraId="0C1157AB" w14:textId="4B2C13A6" w:rsidR="00A02B78" w:rsidRDefault="00A02B78" w:rsidP="00A02B78">
            <w:pPr>
              <w:keepNext/>
              <w:keepLines/>
              <w:jc w:val="center"/>
              <w:rPr>
                <w:rFonts w:ascii="Arial" w:hAnsi="Arial" w:cs="Arial"/>
                <w:sz w:val="20"/>
                <w:szCs w:val="20"/>
              </w:rPr>
            </w:pPr>
            <w:r>
              <w:rPr>
                <w:rFonts w:ascii="Arial" w:hAnsi="Arial" w:cs="Arial"/>
                <w:color w:val="000000"/>
                <w:sz w:val="20"/>
                <w:szCs w:val="20"/>
              </w:rPr>
              <w:t>9/5/2017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05CE1A3" w14:textId="7C7EDCEE"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648EBA0" w14:textId="3E3E70E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68448EB" w14:textId="6AC5B85B"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BEE3982" w14:textId="77008A47"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5D211DC5" w14:textId="0EE4B500"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5A7FFDD5" w14:textId="3D76BAB0" w:rsidR="00A02B78" w:rsidRPr="000547DF" w:rsidRDefault="00A02B78" w:rsidP="00A02B78">
            <w:pPr>
              <w:jc w:val="center"/>
              <w:rPr>
                <w:rFonts w:ascii="Arial" w:hAnsi="Arial" w:cs="Arial"/>
                <w:sz w:val="20"/>
                <w:szCs w:val="20"/>
              </w:rPr>
            </w:pPr>
          </w:p>
        </w:tc>
      </w:tr>
      <w:tr w:rsidR="00A02B78" w14:paraId="1612027D" w14:textId="77777777" w:rsidTr="006B7F68">
        <w:trPr>
          <w:jc w:val="center"/>
        </w:trPr>
        <w:tc>
          <w:tcPr>
            <w:tcW w:w="1980" w:type="dxa"/>
            <w:vAlign w:val="bottom"/>
          </w:tcPr>
          <w:p w14:paraId="73191B42" w14:textId="4C2D6F53" w:rsidR="00A02B78" w:rsidRDefault="00A02B78" w:rsidP="00A02B78">
            <w:pPr>
              <w:keepNext/>
              <w:keepLines/>
              <w:jc w:val="center"/>
              <w:rPr>
                <w:rFonts w:ascii="Arial" w:hAnsi="Arial" w:cs="Arial"/>
                <w:sz w:val="20"/>
                <w:szCs w:val="20"/>
              </w:rPr>
            </w:pPr>
            <w:r>
              <w:rPr>
                <w:rFonts w:ascii="Arial" w:hAnsi="Arial" w:cs="Arial"/>
                <w:color w:val="000000"/>
                <w:sz w:val="20"/>
                <w:szCs w:val="20"/>
              </w:rPr>
              <w:t>9/12/2017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5379FB3" w14:textId="1E3B7FAC"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1F65F15" w14:textId="61192F61"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3AA864A" w14:textId="29C40C50" w:rsidR="00A02B78" w:rsidRPr="000547DF" w:rsidRDefault="00A02B78" w:rsidP="00A02B7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FEEA0AB" w14:textId="57671CAD" w:rsidR="00A02B78" w:rsidRPr="000547DF" w:rsidRDefault="00A02B78" w:rsidP="00A02B78">
            <w:pPr>
              <w:jc w:val="center"/>
              <w:rPr>
                <w:rFonts w:ascii="Arial" w:hAnsi="Arial" w:cs="Arial"/>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0096AD85" w14:textId="410E29D1" w:rsidR="00A02B78" w:rsidRPr="000547DF" w:rsidRDefault="00A02B78" w:rsidP="00A02B78">
            <w:pPr>
              <w:jc w:val="center"/>
              <w:rPr>
                <w:rFonts w:ascii="Arial" w:hAnsi="Arial" w:cs="Arial"/>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2F8B8249" w14:textId="29EE9671" w:rsidR="00A02B78" w:rsidRPr="000547DF" w:rsidRDefault="00A02B78" w:rsidP="00A02B78">
            <w:pPr>
              <w:jc w:val="center"/>
              <w:rPr>
                <w:rFonts w:ascii="Arial" w:hAnsi="Arial" w:cs="Arial"/>
                <w:sz w:val="20"/>
                <w:szCs w:val="20"/>
              </w:rPr>
            </w:pPr>
          </w:p>
        </w:tc>
      </w:tr>
      <w:tr w:rsidR="00A02B78" w14:paraId="2465E704" w14:textId="77777777" w:rsidTr="006B7F68">
        <w:trPr>
          <w:jc w:val="center"/>
        </w:trPr>
        <w:tc>
          <w:tcPr>
            <w:tcW w:w="1980" w:type="dxa"/>
            <w:vAlign w:val="center"/>
          </w:tcPr>
          <w:p w14:paraId="121E89D1" w14:textId="77777777" w:rsidR="00A02B78" w:rsidRDefault="00A02B78" w:rsidP="00A02B78">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3899DA96" w14:textId="45A2342C" w:rsidR="00A02B78" w:rsidRPr="00884FC9"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1638729" w14:textId="7C1ED36F" w:rsidR="00A02B78" w:rsidRPr="00884FC9"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244DB20" w14:textId="38505021" w:rsidR="00A02B78" w:rsidRPr="00884FC9" w:rsidRDefault="00A02B78" w:rsidP="00A02B7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697536A" w14:textId="4A3A4405" w:rsidR="00A02B78" w:rsidRPr="00884FC9" w:rsidRDefault="00A02B78" w:rsidP="00A02B78">
            <w:pPr>
              <w:jc w:val="center"/>
              <w:rPr>
                <w:rFonts w:ascii="Arial" w:hAnsi="Arial" w:cs="Arial"/>
                <w:b/>
                <w:sz w:val="20"/>
                <w:szCs w:val="20"/>
              </w:rPr>
            </w:pPr>
          </w:p>
        </w:tc>
        <w:tc>
          <w:tcPr>
            <w:tcW w:w="810" w:type="dxa"/>
            <w:tcBorders>
              <w:top w:val="nil"/>
              <w:left w:val="nil"/>
              <w:bottom w:val="single" w:sz="4" w:space="0" w:color="auto"/>
              <w:right w:val="single" w:sz="4" w:space="0" w:color="auto"/>
            </w:tcBorders>
            <w:shd w:val="clear" w:color="auto" w:fill="000000" w:themeFill="text1"/>
            <w:vAlign w:val="bottom"/>
          </w:tcPr>
          <w:p w14:paraId="7667C0F4" w14:textId="18D1F896" w:rsidR="00A02B78" w:rsidRPr="00884FC9" w:rsidRDefault="00A02B78" w:rsidP="00A02B78">
            <w:pPr>
              <w:jc w:val="center"/>
              <w:rPr>
                <w:rFonts w:ascii="Arial" w:hAnsi="Arial" w:cs="Arial"/>
                <w:b/>
                <w:sz w:val="20"/>
                <w:szCs w:val="20"/>
              </w:rPr>
            </w:pPr>
          </w:p>
        </w:tc>
        <w:tc>
          <w:tcPr>
            <w:tcW w:w="1188" w:type="dxa"/>
            <w:tcBorders>
              <w:top w:val="nil"/>
              <w:left w:val="nil"/>
              <w:bottom w:val="single" w:sz="4" w:space="0" w:color="auto"/>
              <w:right w:val="single" w:sz="4" w:space="0" w:color="auto"/>
            </w:tcBorders>
            <w:shd w:val="clear" w:color="auto" w:fill="000000" w:themeFill="text1"/>
            <w:vAlign w:val="bottom"/>
          </w:tcPr>
          <w:p w14:paraId="05623A5E" w14:textId="6B9D9E62" w:rsidR="00A02B78" w:rsidRPr="00884FC9" w:rsidRDefault="00A02B78" w:rsidP="00A02B78">
            <w:pPr>
              <w:jc w:val="center"/>
              <w:rPr>
                <w:rFonts w:ascii="Arial" w:hAnsi="Arial" w:cs="Arial"/>
                <w:b/>
                <w:sz w:val="20"/>
                <w:szCs w:val="20"/>
              </w:rPr>
            </w:pPr>
          </w:p>
        </w:tc>
      </w:tr>
    </w:tbl>
    <w:p w14:paraId="7A6054C0" w14:textId="7497389C" w:rsidR="00884FC9" w:rsidRDefault="00884FC9" w:rsidP="00CB13E9">
      <w:pPr>
        <w:spacing w:after="120"/>
        <w:rPr>
          <w:szCs w:val="32"/>
        </w:rPr>
      </w:pPr>
    </w:p>
    <w:p w14:paraId="2402623A" w14:textId="01660CBB" w:rsidR="00607F01" w:rsidRDefault="00607F01" w:rsidP="00607F01">
      <w:pPr>
        <w:spacing w:after="120"/>
        <w:rPr>
          <w:szCs w:val="32"/>
        </w:rPr>
      </w:pPr>
      <w:r>
        <w:rPr>
          <w:szCs w:val="32"/>
        </w:rPr>
        <w:fldChar w:fldCharType="begin"/>
      </w:r>
      <w:r>
        <w:rPr>
          <w:szCs w:val="32"/>
        </w:rPr>
        <w:instrText xml:space="preserve"> REF _Ref507062470 \h </w:instrText>
      </w:r>
      <w:r>
        <w:rPr>
          <w:szCs w:val="32"/>
        </w:rPr>
      </w:r>
      <w:r>
        <w:rPr>
          <w:szCs w:val="32"/>
        </w:rPr>
        <w:fldChar w:fldCharType="separate"/>
      </w:r>
      <w:r w:rsidR="005D5C7C">
        <w:t xml:space="preserve">Table </w:t>
      </w:r>
      <w:r w:rsidR="005D5C7C">
        <w:rPr>
          <w:noProof/>
        </w:rPr>
        <w:t>4</w:t>
      </w:r>
      <w:r w:rsidR="005D5C7C">
        <w:t>.</w:t>
      </w:r>
      <w:r w:rsidR="005D5C7C">
        <w:rPr>
          <w:noProof/>
        </w:rPr>
        <w:t>18</w:t>
      </w:r>
      <w:r>
        <w:rPr>
          <w:szCs w:val="32"/>
        </w:rPr>
        <w:fldChar w:fldCharType="end"/>
      </w:r>
      <w:r>
        <w:rPr>
          <w:szCs w:val="32"/>
        </w:rPr>
        <w:t xml:space="preserve"> summarizes aggregate event-hour results for each event-day as well as the typical event day for CPP customers who participat</w:t>
      </w:r>
      <w:r w:rsidR="00B359D4">
        <w:rPr>
          <w:szCs w:val="32"/>
        </w:rPr>
        <w:t>ed</w:t>
      </w:r>
      <w:r>
        <w:rPr>
          <w:szCs w:val="32"/>
        </w:rPr>
        <w:t xml:space="preserve"> in the TA/TI program, including the number of enrolled customers, the reference and observed loads, and the estimated load impacts (in MWh/hour and as a percentage of the reference load). </w:t>
      </w:r>
      <w:r w:rsidR="006B7F68" w:rsidRPr="006B7F68">
        <w:rPr>
          <w:szCs w:val="32"/>
          <w:highlight w:val="black"/>
        </w:rPr>
        <w:t>---------------------------------------------------------------------------------------------------------------------------------------------------------------------------------------------------------------------------------------------------------------------------------------------------------------------------------------------------------------------------------------------------------</w:t>
      </w:r>
      <w:r>
        <w:rPr>
          <w:szCs w:val="32"/>
        </w:rPr>
        <w:t xml:space="preserve"> </w:t>
      </w:r>
    </w:p>
    <w:p w14:paraId="68639F3F" w14:textId="0EACF494" w:rsidR="00607F01" w:rsidRDefault="00530AED" w:rsidP="00CB13E9">
      <w:pPr>
        <w:spacing w:after="120"/>
        <w:rPr>
          <w:szCs w:val="32"/>
        </w:rPr>
      </w:pPr>
      <w:r>
        <w:rPr>
          <w:noProof/>
          <w:szCs w:val="32"/>
        </w:rPr>
        <mc:AlternateContent>
          <mc:Choice Requires="wps">
            <w:drawing>
              <wp:anchor distT="0" distB="0" distL="114300" distR="114300" simplePos="0" relativeHeight="251719680" behindDoc="0" locked="0" layoutInCell="1" allowOverlap="1" wp14:anchorId="1C2F90B5" wp14:editId="34B8A8C1">
                <wp:simplePos x="0" y="0"/>
                <wp:positionH relativeFrom="margin">
                  <wp:align>right</wp:align>
                </wp:positionH>
                <wp:positionV relativeFrom="paragraph">
                  <wp:posOffset>1724687</wp:posOffset>
                </wp:positionV>
                <wp:extent cx="5422789" cy="397566"/>
                <wp:effectExtent l="0" t="0" r="26035" b="21590"/>
                <wp:wrapNone/>
                <wp:docPr id="13" name="Text Box 13"/>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4F767680" w14:textId="77777777" w:rsidR="006F4399" w:rsidRPr="00EB41EA" w:rsidRDefault="006F4399" w:rsidP="00530AED">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2F90B5" id="Text Box 13" o:spid="_x0000_s1051" type="#_x0000_t202" style="position:absolute;margin-left:375.8pt;margin-top:135.8pt;width:427pt;height:31.3pt;z-index:25171968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" fillcolor="white [3201]" strokeweight=".5pt">
                <v:textbox>
                  <w:txbxContent>
                    <w:p w14:paraId="4F767680" w14:textId="77777777" w:rsidR="006F4399" w:rsidRPr="00EB41EA" w:rsidRDefault="006F4399" w:rsidP="00530AED">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0D7BCA">
        <w:rPr>
          <w:noProof/>
          <w:szCs w:val="32"/>
        </w:rPr>
        <mc:AlternateContent>
          <mc:Choice Requires="wps">
            <w:drawing>
              <wp:anchor distT="0" distB="0" distL="114300" distR="114300" simplePos="0" relativeHeight="251709440" behindDoc="0" locked="0" layoutInCell="1" allowOverlap="1" wp14:anchorId="61DA2BE8" wp14:editId="11EFD714">
                <wp:simplePos x="0" y="0"/>
                <wp:positionH relativeFrom="margin">
                  <wp:align>right</wp:align>
                </wp:positionH>
                <wp:positionV relativeFrom="paragraph">
                  <wp:posOffset>2456953</wp:posOffset>
                </wp:positionV>
                <wp:extent cx="5422789" cy="397566"/>
                <wp:effectExtent l="0" t="0" r="26035" b="21590"/>
                <wp:wrapNone/>
                <wp:docPr id="94" name="Text Box 94"/>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30D882DF" w14:textId="77777777" w:rsidR="006F4399" w:rsidRPr="00EB41EA" w:rsidRDefault="006F4399" w:rsidP="000D7BCA">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DA2BE8" id="Text Box 94" o:spid="_x0000_s1052" type="#_x0000_t202" style="position:absolute;margin-left:375.8pt;margin-top:193.45pt;width:427pt;height:31.3pt;z-index:2517094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" fillcolor="white [3201]" strokeweight=".5pt">
                <v:textbox>
                  <w:txbxContent>
                    <w:p w14:paraId="30D882DF" w14:textId="77777777" w:rsidR="006F4399" w:rsidRPr="00EB41EA" w:rsidRDefault="006F4399" w:rsidP="000D7BCA">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74822155" w14:textId="4623368D" w:rsidR="00884FC9" w:rsidRDefault="00884FC9" w:rsidP="0085106F">
      <w:pPr>
        <w:pStyle w:val="TableCaption"/>
      </w:pPr>
      <w:bookmarkStart w:id="340" w:name="_Ref507062470"/>
      <w:bookmarkStart w:id="341" w:name="_Toc509837401"/>
      <w:r>
        <w:lastRenderedPageBreak/>
        <w:t xml:space="preserve">Table </w:t>
      </w:r>
      <w:fldSimple w:instr=" STYLEREF 1 \s ">
        <w:r w:rsidR="005D5C7C">
          <w:rPr>
            <w:noProof/>
          </w:rPr>
          <w:t>4</w:t>
        </w:r>
      </w:fldSimple>
      <w:r w:rsidR="0069714C">
        <w:t>.</w:t>
      </w:r>
      <w:fldSimple w:instr=" SEQ Table \* ARABIC \s 1 ">
        <w:r w:rsidR="005D5C7C">
          <w:rPr>
            <w:noProof/>
          </w:rPr>
          <w:t>18</w:t>
        </w:r>
      </w:fldSimple>
      <w:bookmarkEnd w:id="340"/>
      <w:r w:rsidRPr="00884FC9">
        <w:t xml:space="preserve"> </w:t>
      </w:r>
      <w:r>
        <w:t>Average Event-Hour Load Impacts for TA/TI Customers by Event, SC</w:t>
      </w:r>
      <w:r w:rsidRPr="00642410">
        <w:rPr>
          <w:i/>
        </w:rPr>
        <w:t>E</w:t>
      </w:r>
      <w:bookmarkEnd w:id="341"/>
    </w:p>
    <w:tbl>
      <w:tblPr>
        <w:tblW w:w="9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170"/>
        <w:gridCol w:w="1350"/>
        <w:gridCol w:w="1350"/>
        <w:gridCol w:w="1350"/>
        <w:gridCol w:w="990"/>
        <w:gridCol w:w="1233"/>
      </w:tblGrid>
      <w:tr w:rsidR="00864DA5" w14:paraId="1553C051" w14:textId="77777777" w:rsidTr="00F42180">
        <w:trPr>
          <w:jc w:val="center"/>
        </w:trPr>
        <w:tc>
          <w:tcPr>
            <w:tcW w:w="1980" w:type="dxa"/>
            <w:tcBorders>
              <w:right w:val="single" w:sz="4" w:space="0" w:color="FFFFFF" w:themeColor="background1"/>
            </w:tcBorders>
            <w:shd w:val="clear" w:color="auto" w:fill="0C2577"/>
            <w:vAlign w:val="center"/>
          </w:tcPr>
          <w:p w14:paraId="136BECAE" w14:textId="77777777" w:rsidR="00864DA5" w:rsidRPr="007E0A27" w:rsidRDefault="00864DA5" w:rsidP="00864DA5">
            <w:pPr>
              <w:keepNext/>
              <w:keepLines/>
              <w:jc w:val="center"/>
              <w:rPr>
                <w:rFonts w:ascii="Arial" w:hAnsi="Arial" w:cs="Arial"/>
                <w:b/>
                <w:sz w:val="20"/>
                <w:szCs w:val="20"/>
              </w:rPr>
            </w:pPr>
            <w:r>
              <w:rPr>
                <w:rFonts w:ascii="Arial" w:hAnsi="Arial" w:cs="Arial"/>
                <w:b/>
                <w:sz w:val="20"/>
                <w:szCs w:val="20"/>
              </w:rPr>
              <w:t>Event Date</w:t>
            </w:r>
          </w:p>
        </w:tc>
        <w:tc>
          <w:tcPr>
            <w:tcW w:w="1170" w:type="dxa"/>
            <w:tcBorders>
              <w:top w:val="single" w:sz="4" w:space="0" w:color="000000" w:themeColor="text1"/>
              <w:left w:val="nil"/>
              <w:bottom w:val="nil"/>
              <w:right w:val="single" w:sz="4" w:space="0" w:color="FFFFFF"/>
            </w:tcBorders>
            <w:shd w:val="clear" w:color="000000" w:fill="0C2577"/>
            <w:vAlign w:val="center"/>
          </w:tcPr>
          <w:p w14:paraId="2E637D4B" w14:textId="7E1AD046"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 of Service Accounts</w:t>
            </w:r>
          </w:p>
        </w:tc>
        <w:tc>
          <w:tcPr>
            <w:tcW w:w="1350" w:type="dxa"/>
            <w:tcBorders>
              <w:top w:val="single" w:sz="4" w:space="0" w:color="000000" w:themeColor="text1"/>
              <w:left w:val="nil"/>
              <w:bottom w:val="nil"/>
              <w:right w:val="single" w:sz="4" w:space="0" w:color="FFFFFF"/>
            </w:tcBorders>
            <w:shd w:val="clear" w:color="000000" w:fill="0C2577"/>
            <w:vAlign w:val="center"/>
          </w:tcPr>
          <w:p w14:paraId="39CA74EC" w14:textId="77BD0271"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Estimated Reference Load (MW</w:t>
            </w:r>
            <w:r w:rsidR="006B18A8">
              <w:rPr>
                <w:rFonts w:ascii="Arial" w:hAnsi="Arial" w:cs="Arial"/>
                <w:b/>
                <w:bCs/>
                <w:color w:val="FFFFFF"/>
                <w:sz w:val="20"/>
                <w:szCs w:val="20"/>
              </w:rPr>
              <w:t>h/hour</w:t>
            </w:r>
            <w:r>
              <w:rPr>
                <w:rFonts w:ascii="Arial" w:hAnsi="Arial" w:cs="Arial"/>
                <w:b/>
                <w:bCs/>
                <w:color w:val="FFFFFF"/>
                <w:sz w:val="20"/>
                <w:szCs w:val="20"/>
              </w:rPr>
              <w:t>)</w:t>
            </w:r>
          </w:p>
        </w:tc>
        <w:tc>
          <w:tcPr>
            <w:tcW w:w="1350" w:type="dxa"/>
            <w:tcBorders>
              <w:top w:val="single" w:sz="4" w:space="0" w:color="000000" w:themeColor="text1"/>
              <w:left w:val="nil"/>
              <w:bottom w:val="nil"/>
              <w:right w:val="single" w:sz="4" w:space="0" w:color="FFFFFF"/>
            </w:tcBorders>
            <w:shd w:val="clear" w:color="000000" w:fill="0C2577"/>
            <w:vAlign w:val="center"/>
          </w:tcPr>
          <w:p w14:paraId="26F450EF" w14:textId="028DD289"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Observed Load (MW</w:t>
            </w:r>
            <w:r w:rsidR="006B18A8">
              <w:rPr>
                <w:rFonts w:ascii="Arial" w:hAnsi="Arial" w:cs="Arial"/>
                <w:b/>
                <w:bCs/>
                <w:color w:val="FFFFFF"/>
                <w:sz w:val="20"/>
                <w:szCs w:val="20"/>
              </w:rPr>
              <w:t>h/hour</w:t>
            </w:r>
            <w:r>
              <w:rPr>
                <w:rFonts w:ascii="Arial" w:hAnsi="Arial" w:cs="Arial"/>
                <w:b/>
                <w:bCs/>
                <w:color w:val="FFFFFF"/>
                <w:sz w:val="20"/>
                <w:szCs w:val="20"/>
              </w:rPr>
              <w:t>)</w:t>
            </w:r>
          </w:p>
        </w:tc>
        <w:tc>
          <w:tcPr>
            <w:tcW w:w="1350" w:type="dxa"/>
            <w:tcBorders>
              <w:top w:val="single" w:sz="4" w:space="0" w:color="000000" w:themeColor="text1"/>
              <w:left w:val="nil"/>
              <w:bottom w:val="nil"/>
              <w:right w:val="single" w:sz="4" w:space="0" w:color="FFFFFF"/>
            </w:tcBorders>
            <w:shd w:val="clear" w:color="000000" w:fill="0C2577"/>
            <w:vAlign w:val="center"/>
          </w:tcPr>
          <w:p w14:paraId="05D1BA71" w14:textId="61F4C7A3"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Estimated Load Impact (MW</w:t>
            </w:r>
            <w:r w:rsidR="006B18A8">
              <w:rPr>
                <w:rFonts w:ascii="Arial" w:hAnsi="Arial" w:cs="Arial"/>
                <w:b/>
                <w:bCs/>
                <w:color w:val="FFFFFF"/>
                <w:sz w:val="20"/>
                <w:szCs w:val="20"/>
              </w:rPr>
              <w:t>h/hour</w:t>
            </w:r>
            <w:r>
              <w:rPr>
                <w:rFonts w:ascii="Arial" w:hAnsi="Arial" w:cs="Arial"/>
                <w:b/>
                <w:bCs/>
                <w:color w:val="FFFFFF"/>
                <w:sz w:val="20"/>
                <w:szCs w:val="20"/>
              </w:rPr>
              <w:t>)</w:t>
            </w:r>
          </w:p>
        </w:tc>
        <w:tc>
          <w:tcPr>
            <w:tcW w:w="990" w:type="dxa"/>
            <w:tcBorders>
              <w:top w:val="single" w:sz="4" w:space="0" w:color="000000" w:themeColor="text1"/>
              <w:left w:val="nil"/>
              <w:bottom w:val="nil"/>
              <w:right w:val="single" w:sz="4" w:space="0" w:color="FFFFFF"/>
            </w:tcBorders>
            <w:shd w:val="clear" w:color="000000" w:fill="0C2577"/>
            <w:vAlign w:val="center"/>
          </w:tcPr>
          <w:p w14:paraId="59EA3DD1" w14:textId="398F3B0D"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 LI</w:t>
            </w:r>
          </w:p>
        </w:tc>
        <w:tc>
          <w:tcPr>
            <w:tcW w:w="1233" w:type="dxa"/>
            <w:tcBorders>
              <w:top w:val="single" w:sz="4" w:space="0" w:color="000000" w:themeColor="text1"/>
              <w:left w:val="nil"/>
              <w:bottom w:val="nil"/>
              <w:right w:val="single" w:sz="4" w:space="0" w:color="000000" w:themeColor="text1"/>
            </w:tcBorders>
            <w:shd w:val="clear" w:color="000000" w:fill="0C2577"/>
            <w:vAlign w:val="center"/>
          </w:tcPr>
          <w:p w14:paraId="0A5260AF" w14:textId="14C68C65" w:rsidR="00864DA5" w:rsidRPr="007E0A27" w:rsidRDefault="00864DA5" w:rsidP="00864DA5">
            <w:pPr>
              <w:keepNext/>
              <w:keepLines/>
              <w:jc w:val="center"/>
              <w:rPr>
                <w:rFonts w:ascii="Arial" w:hAnsi="Arial" w:cs="Arial"/>
                <w:b/>
                <w:sz w:val="20"/>
                <w:szCs w:val="20"/>
              </w:rPr>
            </w:pPr>
            <w:r>
              <w:rPr>
                <w:rFonts w:ascii="Arial" w:hAnsi="Arial" w:cs="Arial"/>
                <w:b/>
                <w:bCs/>
                <w:color w:val="FFFFFF"/>
                <w:sz w:val="20"/>
                <w:szCs w:val="20"/>
              </w:rPr>
              <w:t>Approved MW</w:t>
            </w:r>
          </w:p>
        </w:tc>
      </w:tr>
      <w:tr w:rsidR="00FB48E8" w14:paraId="48D7C6B5" w14:textId="77777777" w:rsidTr="006B7F68">
        <w:trPr>
          <w:jc w:val="center"/>
        </w:trPr>
        <w:tc>
          <w:tcPr>
            <w:tcW w:w="1980" w:type="dxa"/>
            <w:vAlign w:val="bottom"/>
          </w:tcPr>
          <w:p w14:paraId="49059361" w14:textId="77777777" w:rsidR="00FB48E8" w:rsidRPr="007E0A27" w:rsidRDefault="00FB48E8" w:rsidP="00FB48E8">
            <w:pPr>
              <w:keepNext/>
              <w:keepLines/>
              <w:jc w:val="center"/>
              <w:rPr>
                <w:rFonts w:ascii="Arial" w:hAnsi="Arial" w:cs="Arial"/>
                <w:sz w:val="20"/>
                <w:szCs w:val="20"/>
              </w:rPr>
            </w:pPr>
            <w:r>
              <w:rPr>
                <w:rFonts w:ascii="Arial" w:hAnsi="Arial" w:cs="Arial"/>
                <w:color w:val="000000"/>
                <w:sz w:val="20"/>
                <w:szCs w:val="20"/>
              </w:rPr>
              <w:t>6/19/2017</w:t>
            </w:r>
          </w:p>
        </w:tc>
        <w:tc>
          <w:tcPr>
            <w:tcW w:w="1170"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75F3D3AA" w14:textId="26F257EB" w:rsidR="00FB48E8" w:rsidRPr="000547DF" w:rsidRDefault="00FB48E8" w:rsidP="00FB48E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260C2263" w14:textId="331AD1E0" w:rsidR="00FB48E8" w:rsidRPr="000547DF" w:rsidRDefault="00FB48E8" w:rsidP="00FB48E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3A8FECBB" w14:textId="6B9AF7A1" w:rsidR="00FB48E8" w:rsidRPr="000547DF" w:rsidRDefault="00FB48E8" w:rsidP="00FB48E8">
            <w:pPr>
              <w:jc w:val="center"/>
              <w:rPr>
                <w:rFonts w:ascii="Arial" w:hAnsi="Arial" w:cs="Arial"/>
                <w:sz w:val="20"/>
                <w:szCs w:val="20"/>
              </w:rPr>
            </w:pPr>
          </w:p>
        </w:tc>
        <w:tc>
          <w:tcPr>
            <w:tcW w:w="1350" w:type="dxa"/>
            <w:tcBorders>
              <w:top w:val="single" w:sz="4" w:space="0" w:color="auto"/>
              <w:left w:val="nil"/>
              <w:bottom w:val="single" w:sz="4" w:space="0" w:color="auto"/>
              <w:right w:val="single" w:sz="4" w:space="0" w:color="auto"/>
            </w:tcBorders>
            <w:shd w:val="clear" w:color="auto" w:fill="000000" w:themeFill="text1"/>
            <w:vAlign w:val="bottom"/>
          </w:tcPr>
          <w:p w14:paraId="3E79A7B0" w14:textId="428B0DBE" w:rsidR="00FB48E8" w:rsidRPr="000547DF" w:rsidRDefault="00FB48E8" w:rsidP="00FB48E8">
            <w:pPr>
              <w:jc w:val="center"/>
              <w:rPr>
                <w:rFonts w:ascii="Arial" w:hAnsi="Arial" w:cs="Arial"/>
                <w:sz w:val="20"/>
                <w:szCs w:val="20"/>
              </w:rPr>
            </w:pPr>
          </w:p>
        </w:tc>
        <w:tc>
          <w:tcPr>
            <w:tcW w:w="990" w:type="dxa"/>
            <w:tcBorders>
              <w:top w:val="single" w:sz="4" w:space="0" w:color="auto"/>
              <w:left w:val="nil"/>
              <w:bottom w:val="single" w:sz="4" w:space="0" w:color="auto"/>
              <w:right w:val="single" w:sz="4" w:space="0" w:color="auto"/>
            </w:tcBorders>
            <w:shd w:val="clear" w:color="auto" w:fill="000000" w:themeFill="text1"/>
            <w:vAlign w:val="bottom"/>
          </w:tcPr>
          <w:p w14:paraId="5C22D80A" w14:textId="243C90C8" w:rsidR="00FB48E8" w:rsidRPr="000547DF" w:rsidRDefault="00FB48E8" w:rsidP="00FB48E8">
            <w:pPr>
              <w:jc w:val="center"/>
              <w:rPr>
                <w:rFonts w:ascii="Arial" w:hAnsi="Arial" w:cs="Arial"/>
                <w:sz w:val="20"/>
                <w:szCs w:val="20"/>
              </w:rPr>
            </w:pPr>
          </w:p>
        </w:tc>
        <w:tc>
          <w:tcPr>
            <w:tcW w:w="1233" w:type="dxa"/>
            <w:tcBorders>
              <w:top w:val="single" w:sz="4" w:space="0" w:color="auto"/>
              <w:left w:val="nil"/>
              <w:bottom w:val="single" w:sz="4" w:space="0" w:color="auto"/>
              <w:right w:val="single" w:sz="4" w:space="0" w:color="auto"/>
            </w:tcBorders>
            <w:shd w:val="clear" w:color="auto" w:fill="000000" w:themeFill="text1"/>
            <w:vAlign w:val="bottom"/>
          </w:tcPr>
          <w:p w14:paraId="3FC6CDF3" w14:textId="54E304D0" w:rsidR="00FB48E8" w:rsidRPr="000547DF" w:rsidRDefault="00FB48E8" w:rsidP="00FB48E8">
            <w:pPr>
              <w:jc w:val="center"/>
              <w:rPr>
                <w:rFonts w:ascii="Arial" w:hAnsi="Arial" w:cs="Arial"/>
                <w:sz w:val="20"/>
                <w:szCs w:val="20"/>
              </w:rPr>
            </w:pPr>
          </w:p>
        </w:tc>
      </w:tr>
      <w:tr w:rsidR="00FB48E8" w14:paraId="552AEA6A" w14:textId="77777777" w:rsidTr="006B7F68">
        <w:trPr>
          <w:jc w:val="center"/>
        </w:trPr>
        <w:tc>
          <w:tcPr>
            <w:tcW w:w="1980" w:type="dxa"/>
            <w:vAlign w:val="bottom"/>
          </w:tcPr>
          <w:p w14:paraId="18EEE905" w14:textId="77777777" w:rsidR="00FB48E8" w:rsidRPr="007E0A27" w:rsidRDefault="00FB48E8" w:rsidP="00FB48E8">
            <w:pPr>
              <w:keepNext/>
              <w:keepLines/>
              <w:jc w:val="center"/>
              <w:rPr>
                <w:rFonts w:ascii="Arial" w:hAnsi="Arial" w:cs="Arial"/>
                <w:sz w:val="20"/>
                <w:szCs w:val="20"/>
              </w:rPr>
            </w:pPr>
            <w:r>
              <w:rPr>
                <w:rFonts w:ascii="Arial" w:hAnsi="Arial" w:cs="Arial"/>
                <w:color w:val="000000"/>
                <w:sz w:val="20"/>
                <w:szCs w:val="20"/>
              </w:rPr>
              <w:t>6/20/2017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06E2170" w14:textId="1F923C2C"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C057724" w14:textId="2F4906AF"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8B8756C" w14:textId="1D891721"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77D85CE" w14:textId="29F7ABDD"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4582F3F2" w14:textId="002BC380"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4BD56906" w14:textId="3A23882C" w:rsidR="00FB48E8" w:rsidRPr="000547DF" w:rsidRDefault="00FB48E8" w:rsidP="00FB48E8">
            <w:pPr>
              <w:jc w:val="center"/>
              <w:rPr>
                <w:rFonts w:ascii="Arial" w:hAnsi="Arial" w:cs="Arial"/>
                <w:sz w:val="20"/>
                <w:szCs w:val="20"/>
              </w:rPr>
            </w:pPr>
          </w:p>
        </w:tc>
      </w:tr>
      <w:tr w:rsidR="00FB48E8" w14:paraId="466B01D4" w14:textId="77777777" w:rsidTr="006B7F68">
        <w:trPr>
          <w:jc w:val="center"/>
        </w:trPr>
        <w:tc>
          <w:tcPr>
            <w:tcW w:w="1980" w:type="dxa"/>
            <w:vAlign w:val="bottom"/>
          </w:tcPr>
          <w:p w14:paraId="6A6FB92D"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7/6/2017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5B1FD6ED" w14:textId="62A700C9"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F852B4B" w14:textId="13E210B1"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2DADD59" w14:textId="41527868"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16A77FA" w14:textId="32A3647A"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6C8960B9" w14:textId="52CA36C1"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6D508E2B" w14:textId="481B1A3B" w:rsidR="00FB48E8" w:rsidRPr="000547DF" w:rsidRDefault="00FB48E8" w:rsidP="00FB48E8">
            <w:pPr>
              <w:jc w:val="center"/>
              <w:rPr>
                <w:rFonts w:ascii="Arial" w:hAnsi="Arial" w:cs="Arial"/>
                <w:sz w:val="20"/>
                <w:szCs w:val="20"/>
              </w:rPr>
            </w:pPr>
          </w:p>
        </w:tc>
      </w:tr>
      <w:tr w:rsidR="00FB48E8" w14:paraId="795D54F5" w14:textId="77777777" w:rsidTr="006B7F68">
        <w:trPr>
          <w:jc w:val="center"/>
        </w:trPr>
        <w:tc>
          <w:tcPr>
            <w:tcW w:w="1980" w:type="dxa"/>
            <w:vAlign w:val="bottom"/>
          </w:tcPr>
          <w:p w14:paraId="123205C0"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7/7/2017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4134129" w14:textId="7CBD9A24"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1B79465" w14:textId="1980C977"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AC499A4" w14:textId="089D66E3"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3471632" w14:textId="1A534C28"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092B7268" w14:textId="1AAA823E"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62D0A52B" w14:textId="3BD5F87C" w:rsidR="00FB48E8" w:rsidRPr="000547DF" w:rsidRDefault="00FB48E8" w:rsidP="00FB48E8">
            <w:pPr>
              <w:jc w:val="center"/>
              <w:rPr>
                <w:rFonts w:ascii="Arial" w:hAnsi="Arial" w:cs="Arial"/>
                <w:sz w:val="20"/>
                <w:szCs w:val="20"/>
              </w:rPr>
            </w:pPr>
          </w:p>
        </w:tc>
      </w:tr>
      <w:tr w:rsidR="00FB48E8" w14:paraId="3202769D" w14:textId="77777777" w:rsidTr="006B7F68">
        <w:trPr>
          <w:jc w:val="center"/>
        </w:trPr>
        <w:tc>
          <w:tcPr>
            <w:tcW w:w="1980" w:type="dxa"/>
            <w:vAlign w:val="bottom"/>
          </w:tcPr>
          <w:p w14:paraId="0C914241"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7/27/2017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3BA765D8" w14:textId="64835C57"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FFAEC15" w14:textId="454433C8"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83FA895" w14:textId="108479E0"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D335CDB" w14:textId="484169CB"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767E19CB" w14:textId="7CFB1AD5"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5EB07196" w14:textId="10CF54F6" w:rsidR="00FB48E8" w:rsidRPr="000547DF" w:rsidRDefault="00FB48E8" w:rsidP="00FB48E8">
            <w:pPr>
              <w:jc w:val="center"/>
              <w:rPr>
                <w:rFonts w:ascii="Arial" w:hAnsi="Arial" w:cs="Arial"/>
                <w:sz w:val="20"/>
                <w:szCs w:val="20"/>
              </w:rPr>
            </w:pPr>
          </w:p>
        </w:tc>
      </w:tr>
      <w:tr w:rsidR="00FB48E8" w14:paraId="0C488157" w14:textId="77777777" w:rsidTr="006B7F68">
        <w:trPr>
          <w:jc w:val="center"/>
        </w:trPr>
        <w:tc>
          <w:tcPr>
            <w:tcW w:w="1980" w:type="dxa"/>
            <w:vAlign w:val="bottom"/>
          </w:tcPr>
          <w:p w14:paraId="238D26D3"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7/31/2017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917328F" w14:textId="2D6D7B85"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9FB83D9" w14:textId="332F0206"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0FDE4E4" w14:textId="5BD27067"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742B61F" w14:textId="1FAA1ACA"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5551C569" w14:textId="593D4C6F"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3D0F3A9E" w14:textId="1E7A69E6" w:rsidR="00FB48E8" w:rsidRPr="000547DF" w:rsidRDefault="00FB48E8" w:rsidP="00FB48E8">
            <w:pPr>
              <w:jc w:val="center"/>
              <w:rPr>
                <w:rFonts w:ascii="Arial" w:hAnsi="Arial" w:cs="Arial"/>
                <w:sz w:val="20"/>
                <w:szCs w:val="20"/>
              </w:rPr>
            </w:pPr>
          </w:p>
        </w:tc>
      </w:tr>
      <w:tr w:rsidR="00FB48E8" w14:paraId="36770206" w14:textId="77777777" w:rsidTr="006B7F68">
        <w:trPr>
          <w:jc w:val="center"/>
        </w:trPr>
        <w:tc>
          <w:tcPr>
            <w:tcW w:w="1980" w:type="dxa"/>
            <w:vAlign w:val="bottom"/>
          </w:tcPr>
          <w:p w14:paraId="54969416"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8/1/2017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2FBBF3A6" w14:textId="0CE005D4"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87EF11C" w14:textId="2DB4D1C4"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8F495CB" w14:textId="027DC32A"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A233F52" w14:textId="50B9C9C1"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35411DEF" w14:textId="141A519E"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1E261818" w14:textId="5C2860E6" w:rsidR="00FB48E8" w:rsidRPr="000547DF" w:rsidRDefault="00FB48E8" w:rsidP="00FB48E8">
            <w:pPr>
              <w:jc w:val="center"/>
              <w:rPr>
                <w:rFonts w:ascii="Arial" w:hAnsi="Arial" w:cs="Arial"/>
                <w:sz w:val="20"/>
                <w:szCs w:val="20"/>
              </w:rPr>
            </w:pPr>
          </w:p>
        </w:tc>
      </w:tr>
      <w:tr w:rsidR="00FB48E8" w14:paraId="5B4A8FBB" w14:textId="77777777" w:rsidTr="006B7F68">
        <w:trPr>
          <w:jc w:val="center"/>
        </w:trPr>
        <w:tc>
          <w:tcPr>
            <w:tcW w:w="1980" w:type="dxa"/>
            <w:vAlign w:val="bottom"/>
          </w:tcPr>
          <w:p w14:paraId="0E956797"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8/28/2017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4B3C34E" w14:textId="2A1E2942"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F584AB2" w14:textId="626725B3"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93673D2" w14:textId="73DC3842"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905FB03" w14:textId="4799D70F"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457B4CA6" w14:textId="504A25D2"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26385CBD" w14:textId="094C5449" w:rsidR="00FB48E8" w:rsidRPr="000547DF" w:rsidRDefault="00FB48E8" w:rsidP="00FB48E8">
            <w:pPr>
              <w:jc w:val="center"/>
              <w:rPr>
                <w:rFonts w:ascii="Arial" w:hAnsi="Arial" w:cs="Arial"/>
                <w:sz w:val="20"/>
                <w:szCs w:val="20"/>
              </w:rPr>
            </w:pPr>
          </w:p>
        </w:tc>
      </w:tr>
      <w:tr w:rsidR="00FB48E8" w14:paraId="0DD951BB" w14:textId="77777777" w:rsidTr="006B7F68">
        <w:trPr>
          <w:jc w:val="center"/>
        </w:trPr>
        <w:tc>
          <w:tcPr>
            <w:tcW w:w="1980" w:type="dxa"/>
            <w:vAlign w:val="bottom"/>
          </w:tcPr>
          <w:p w14:paraId="5678E74D"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8/29/2017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774E642A" w14:textId="41B06A67"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15658E61" w14:textId="20C85D4F"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413E119" w14:textId="0B2EE308"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9AF6F53" w14:textId="2B62DFC2"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1A4E84B8" w14:textId="3BF7C58F"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514637D9" w14:textId="62218BA9" w:rsidR="00FB48E8" w:rsidRPr="000547DF" w:rsidRDefault="00FB48E8" w:rsidP="00FB48E8">
            <w:pPr>
              <w:jc w:val="center"/>
              <w:rPr>
                <w:rFonts w:ascii="Arial" w:hAnsi="Arial" w:cs="Arial"/>
                <w:sz w:val="20"/>
                <w:szCs w:val="20"/>
              </w:rPr>
            </w:pPr>
          </w:p>
        </w:tc>
      </w:tr>
      <w:tr w:rsidR="00FB48E8" w14:paraId="71BD02E5" w14:textId="77777777" w:rsidTr="006B7F68">
        <w:trPr>
          <w:jc w:val="center"/>
        </w:trPr>
        <w:tc>
          <w:tcPr>
            <w:tcW w:w="1980" w:type="dxa"/>
            <w:vAlign w:val="bottom"/>
          </w:tcPr>
          <w:p w14:paraId="65213ADD"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8/31/2017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46DC1883" w14:textId="77216785"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4A52678" w14:textId="4C1906A9"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EC18B01" w14:textId="6DA41DD3"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71FE9527" w14:textId="081A2257"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4EACF9AB" w14:textId="0F854E51"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5CF302BD" w14:textId="27EECEEE" w:rsidR="00FB48E8" w:rsidRPr="000547DF" w:rsidRDefault="00FB48E8" w:rsidP="00FB48E8">
            <w:pPr>
              <w:jc w:val="center"/>
              <w:rPr>
                <w:rFonts w:ascii="Arial" w:hAnsi="Arial" w:cs="Arial"/>
                <w:sz w:val="20"/>
                <w:szCs w:val="20"/>
              </w:rPr>
            </w:pPr>
          </w:p>
        </w:tc>
      </w:tr>
      <w:tr w:rsidR="00FB48E8" w14:paraId="37EC3CA2" w14:textId="77777777" w:rsidTr="006B7F68">
        <w:trPr>
          <w:jc w:val="center"/>
        </w:trPr>
        <w:tc>
          <w:tcPr>
            <w:tcW w:w="1980" w:type="dxa"/>
            <w:vAlign w:val="bottom"/>
          </w:tcPr>
          <w:p w14:paraId="7B24FD27"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9/5/2017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5510CC02" w14:textId="04EE792E"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006F58E6" w14:textId="4D20F89D"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AB21FCF" w14:textId="0F5BBAFB"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2E7B2124" w14:textId="587804C4"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44B33852" w14:textId="62405133"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2A847E41" w14:textId="578D4942" w:rsidR="00FB48E8" w:rsidRPr="000547DF" w:rsidRDefault="00FB48E8" w:rsidP="00FB48E8">
            <w:pPr>
              <w:jc w:val="center"/>
              <w:rPr>
                <w:rFonts w:ascii="Arial" w:hAnsi="Arial" w:cs="Arial"/>
                <w:sz w:val="20"/>
                <w:szCs w:val="20"/>
              </w:rPr>
            </w:pPr>
          </w:p>
        </w:tc>
      </w:tr>
      <w:tr w:rsidR="00FB48E8" w14:paraId="2B5481D6" w14:textId="77777777" w:rsidTr="006B7F68">
        <w:trPr>
          <w:jc w:val="center"/>
        </w:trPr>
        <w:tc>
          <w:tcPr>
            <w:tcW w:w="1980" w:type="dxa"/>
            <w:vAlign w:val="bottom"/>
          </w:tcPr>
          <w:p w14:paraId="7CDEF574" w14:textId="77777777" w:rsidR="00FB48E8" w:rsidRDefault="00FB48E8" w:rsidP="00FB48E8">
            <w:pPr>
              <w:keepNext/>
              <w:keepLines/>
              <w:jc w:val="center"/>
              <w:rPr>
                <w:rFonts w:ascii="Arial" w:hAnsi="Arial" w:cs="Arial"/>
                <w:sz w:val="20"/>
                <w:szCs w:val="20"/>
              </w:rPr>
            </w:pPr>
            <w:r>
              <w:rPr>
                <w:rFonts w:ascii="Arial" w:hAnsi="Arial" w:cs="Arial"/>
                <w:color w:val="000000"/>
                <w:sz w:val="20"/>
                <w:szCs w:val="20"/>
              </w:rPr>
              <w:t>9/12/2017</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107B64D8" w14:textId="2208B69C"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68D87620" w14:textId="38BF6815"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338AAA7" w14:textId="402A7B0D" w:rsidR="00FB48E8" w:rsidRPr="000547DF" w:rsidRDefault="00FB48E8" w:rsidP="00FB48E8">
            <w:pPr>
              <w:jc w:val="center"/>
              <w:rPr>
                <w:rFonts w:ascii="Arial" w:hAnsi="Arial" w:cs="Arial"/>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3FF79A44" w14:textId="6B15D8C9" w:rsidR="00FB48E8" w:rsidRPr="000547DF" w:rsidRDefault="00FB48E8" w:rsidP="00FB48E8">
            <w:pPr>
              <w:jc w:val="center"/>
              <w:rPr>
                <w:rFonts w:ascii="Arial" w:hAnsi="Arial" w:cs="Arial"/>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18E5F521" w14:textId="0C887C51" w:rsidR="00FB48E8" w:rsidRPr="000547DF" w:rsidRDefault="00FB48E8" w:rsidP="00FB48E8">
            <w:pPr>
              <w:jc w:val="center"/>
              <w:rPr>
                <w:rFonts w:ascii="Arial" w:hAnsi="Arial" w:cs="Arial"/>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48F99EF9" w14:textId="4BAB7A87" w:rsidR="00FB48E8" w:rsidRPr="000547DF" w:rsidRDefault="00FB48E8" w:rsidP="00FB48E8">
            <w:pPr>
              <w:jc w:val="center"/>
              <w:rPr>
                <w:rFonts w:ascii="Arial" w:hAnsi="Arial" w:cs="Arial"/>
                <w:sz w:val="20"/>
                <w:szCs w:val="20"/>
              </w:rPr>
            </w:pPr>
          </w:p>
        </w:tc>
      </w:tr>
      <w:tr w:rsidR="00FB48E8" w14:paraId="085C653E" w14:textId="77777777" w:rsidTr="006B7F68">
        <w:trPr>
          <w:jc w:val="center"/>
        </w:trPr>
        <w:tc>
          <w:tcPr>
            <w:tcW w:w="1980" w:type="dxa"/>
            <w:vAlign w:val="center"/>
          </w:tcPr>
          <w:p w14:paraId="6405BE3D" w14:textId="77777777" w:rsidR="00FB48E8" w:rsidRDefault="00FB48E8" w:rsidP="00FB48E8">
            <w:pPr>
              <w:keepNext/>
              <w:keepLines/>
              <w:jc w:val="center"/>
              <w:rPr>
                <w:rFonts w:ascii="Arial" w:hAnsi="Arial" w:cs="Arial"/>
                <w:sz w:val="20"/>
                <w:szCs w:val="20"/>
              </w:rPr>
            </w:pPr>
            <w:r w:rsidRPr="00283F52">
              <w:rPr>
                <w:rFonts w:ascii="Arial" w:hAnsi="Arial" w:cs="Arial"/>
                <w:b/>
                <w:bCs/>
                <w:sz w:val="20"/>
                <w:szCs w:val="20"/>
              </w:rPr>
              <w:t>Typical Event Day</w:t>
            </w:r>
          </w:p>
        </w:tc>
        <w:tc>
          <w:tcPr>
            <w:tcW w:w="1170" w:type="dxa"/>
            <w:tcBorders>
              <w:top w:val="nil"/>
              <w:left w:val="single" w:sz="4" w:space="0" w:color="auto"/>
              <w:bottom w:val="single" w:sz="4" w:space="0" w:color="auto"/>
              <w:right w:val="single" w:sz="4" w:space="0" w:color="auto"/>
            </w:tcBorders>
            <w:shd w:val="clear" w:color="auto" w:fill="000000" w:themeFill="text1"/>
            <w:vAlign w:val="bottom"/>
          </w:tcPr>
          <w:p w14:paraId="4B601FA6" w14:textId="34E0DFF4" w:rsidR="00FB48E8" w:rsidRPr="00884FC9" w:rsidRDefault="00FB48E8" w:rsidP="00FB48E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41AAF5F3" w14:textId="3BA7F14D" w:rsidR="00FB48E8" w:rsidRPr="00884FC9" w:rsidRDefault="00FB48E8" w:rsidP="00FB48E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6AA5287" w14:textId="096325A5" w:rsidR="00FB48E8" w:rsidRPr="00884FC9" w:rsidRDefault="00FB48E8" w:rsidP="00FB48E8">
            <w:pPr>
              <w:jc w:val="center"/>
              <w:rPr>
                <w:rFonts w:ascii="Arial" w:hAnsi="Arial" w:cs="Arial"/>
                <w:b/>
                <w:sz w:val="20"/>
                <w:szCs w:val="20"/>
              </w:rPr>
            </w:pPr>
          </w:p>
        </w:tc>
        <w:tc>
          <w:tcPr>
            <w:tcW w:w="1350" w:type="dxa"/>
            <w:tcBorders>
              <w:top w:val="nil"/>
              <w:left w:val="nil"/>
              <w:bottom w:val="single" w:sz="4" w:space="0" w:color="auto"/>
              <w:right w:val="single" w:sz="4" w:space="0" w:color="auto"/>
            </w:tcBorders>
            <w:shd w:val="clear" w:color="auto" w:fill="000000" w:themeFill="text1"/>
            <w:vAlign w:val="bottom"/>
          </w:tcPr>
          <w:p w14:paraId="5F2CEA6B" w14:textId="7E046351" w:rsidR="00FB48E8" w:rsidRPr="00884FC9" w:rsidRDefault="00FB48E8" w:rsidP="00FB48E8">
            <w:pPr>
              <w:jc w:val="center"/>
              <w:rPr>
                <w:rFonts w:ascii="Arial" w:hAnsi="Arial" w:cs="Arial"/>
                <w:b/>
                <w:sz w:val="20"/>
                <w:szCs w:val="20"/>
              </w:rPr>
            </w:pPr>
          </w:p>
        </w:tc>
        <w:tc>
          <w:tcPr>
            <w:tcW w:w="990" w:type="dxa"/>
            <w:tcBorders>
              <w:top w:val="nil"/>
              <w:left w:val="nil"/>
              <w:bottom w:val="single" w:sz="4" w:space="0" w:color="auto"/>
              <w:right w:val="single" w:sz="4" w:space="0" w:color="auto"/>
            </w:tcBorders>
            <w:shd w:val="clear" w:color="auto" w:fill="000000" w:themeFill="text1"/>
            <w:vAlign w:val="bottom"/>
          </w:tcPr>
          <w:p w14:paraId="592A01DB" w14:textId="48A1B0B1" w:rsidR="00FB48E8" w:rsidRPr="00884FC9" w:rsidRDefault="00FB48E8" w:rsidP="00FB48E8">
            <w:pPr>
              <w:jc w:val="center"/>
              <w:rPr>
                <w:rFonts w:ascii="Arial" w:hAnsi="Arial" w:cs="Arial"/>
                <w:b/>
                <w:sz w:val="20"/>
                <w:szCs w:val="20"/>
              </w:rPr>
            </w:pPr>
          </w:p>
        </w:tc>
        <w:tc>
          <w:tcPr>
            <w:tcW w:w="1233" w:type="dxa"/>
            <w:tcBorders>
              <w:top w:val="nil"/>
              <w:left w:val="nil"/>
              <w:bottom w:val="single" w:sz="4" w:space="0" w:color="auto"/>
              <w:right w:val="single" w:sz="4" w:space="0" w:color="auto"/>
            </w:tcBorders>
            <w:shd w:val="clear" w:color="auto" w:fill="000000" w:themeFill="text1"/>
            <w:vAlign w:val="bottom"/>
          </w:tcPr>
          <w:p w14:paraId="3B96197B" w14:textId="4352555D" w:rsidR="00FB48E8" w:rsidRPr="00884FC9" w:rsidRDefault="00FB48E8" w:rsidP="00FB48E8">
            <w:pPr>
              <w:jc w:val="center"/>
              <w:rPr>
                <w:rFonts w:ascii="Arial" w:hAnsi="Arial" w:cs="Arial"/>
                <w:b/>
                <w:sz w:val="20"/>
                <w:szCs w:val="20"/>
              </w:rPr>
            </w:pPr>
          </w:p>
        </w:tc>
      </w:tr>
    </w:tbl>
    <w:p w14:paraId="0860A72D" w14:textId="77777777" w:rsidR="00884FC9" w:rsidRDefault="00884FC9" w:rsidP="00CB13E9">
      <w:pPr>
        <w:spacing w:after="120"/>
        <w:rPr>
          <w:szCs w:val="32"/>
        </w:rPr>
      </w:pPr>
    </w:p>
    <w:p w14:paraId="2C6F6064" w14:textId="39092E70" w:rsidR="00CB13E9" w:rsidRDefault="00CB13E9" w:rsidP="00CB13E9">
      <w:pPr>
        <w:pStyle w:val="Heading2"/>
      </w:pPr>
      <w:bookmarkStart w:id="342" w:name="_Toc509837331"/>
      <w:r>
        <w:t>SCE Ex-Ante Load Impacts</w:t>
      </w:r>
      <w:bookmarkEnd w:id="342"/>
    </w:p>
    <w:p w14:paraId="3F9068C5" w14:textId="02D99CDE" w:rsidR="00B931F1" w:rsidRDefault="00425989" w:rsidP="00425989">
      <w:r>
        <w:t xml:space="preserve">This section provides the </w:t>
      </w:r>
      <w:r w:rsidRPr="00E6482F">
        <w:rPr>
          <w:i/>
        </w:rPr>
        <w:t>ex-</w:t>
      </w:r>
      <w:r>
        <w:rPr>
          <w:i/>
        </w:rPr>
        <w:t>ante</w:t>
      </w:r>
      <w:r>
        <w:t xml:space="preserve"> </w:t>
      </w:r>
      <w:r w:rsidR="00B359D4">
        <w:t xml:space="preserve">CPP </w:t>
      </w:r>
      <w:r>
        <w:t>load impact forecast</w:t>
      </w:r>
      <w:r w:rsidR="00B359D4">
        <w:t xml:space="preserve"> based </w:t>
      </w:r>
      <w:r>
        <w:t xml:space="preserve">on </w:t>
      </w:r>
      <w:r w:rsidR="00B359D4">
        <w:t>an enrollment forecast provided by SCE</w:t>
      </w:r>
      <w:r>
        <w:t xml:space="preserve">. </w:t>
      </w:r>
      <w:r w:rsidR="00B931F1">
        <w:t xml:space="preserve">Results are presented by size group, with the small and medium customers combined into an SMB section. Within each size group, we present the following: a summary of the enrollment forecast provided by SCE; a figure showing the hourly reference load and load impact on a typical event day; a figure showing the share of load impacts by LCA; a figure showing the seasonal pattern of load impacts; and a figure summarizing annual load impacts by weather scenario. </w:t>
      </w:r>
      <w:r w:rsidR="00B931F1" w:rsidRPr="00822514">
        <w:t>Detailed results for each hour</w:t>
      </w:r>
      <w:r w:rsidR="00B931F1">
        <w:t xml:space="preserve">, weather scenario, month, and forecast year are available </w:t>
      </w:r>
      <w:r w:rsidR="00B931F1" w:rsidRPr="00822514">
        <w:t>in electronic form in Protocol table generators provided along with this report.</w:t>
      </w:r>
    </w:p>
    <w:p w14:paraId="5A7D7AB4" w14:textId="77777777" w:rsidR="00425989" w:rsidRDefault="00425989" w:rsidP="00425989"/>
    <w:p w14:paraId="010C7F6A" w14:textId="7A94308D" w:rsidR="00B931F1" w:rsidRDefault="00425989" w:rsidP="00425989">
      <w:r>
        <w:t xml:space="preserve">As described in Section </w:t>
      </w:r>
      <w:r>
        <w:fldChar w:fldCharType="begin"/>
      </w:r>
      <w:r>
        <w:instrText xml:space="preserve"> REF _Ref507242366 \r \h </w:instrText>
      </w:r>
      <w:r>
        <w:fldChar w:fldCharType="separate"/>
      </w:r>
      <w:r w:rsidR="005D5C7C">
        <w:t>2.2</w:t>
      </w:r>
      <w:r>
        <w:fldChar w:fldCharType="end"/>
      </w:r>
      <w:r>
        <w:t xml:space="preserve">, </w:t>
      </w:r>
      <w:r>
        <w:rPr>
          <w:rFonts w:asciiTheme="minorHAnsi" w:hAnsiTheme="minorHAnsi"/>
          <w:i/>
        </w:rPr>
        <w:t>per-customer l</w:t>
      </w:r>
      <w:r w:rsidRPr="009F1F3A">
        <w:rPr>
          <w:rFonts w:asciiTheme="minorHAnsi" w:hAnsiTheme="minorHAnsi"/>
          <w:i/>
        </w:rPr>
        <w:t>oad impacts</w:t>
      </w:r>
      <w:r>
        <w:t xml:space="preserve"> are derived from analysis of current and previous </w:t>
      </w:r>
      <w:r w:rsidRPr="00FB6D9B">
        <w:rPr>
          <w:i/>
        </w:rPr>
        <w:t>ex-post</w:t>
      </w:r>
      <w:r>
        <w:t xml:space="preserve"> load impacts. </w:t>
      </w:r>
      <w:r w:rsidR="00B931F1">
        <w:t xml:space="preserve">We investigated the effect of weather on estimated load impacts, and found that the results were not reasonable for most customer groups. Therefore, in a manner </w:t>
      </w:r>
      <w:proofErr w:type="gramStart"/>
      <w:r w:rsidR="00B931F1">
        <w:t>similar to</w:t>
      </w:r>
      <w:proofErr w:type="gramEnd"/>
      <w:r w:rsidR="00B931F1">
        <w:t xml:space="preserve"> the approach used in the 2016 evaluation, the </w:t>
      </w:r>
      <w:r w:rsidR="00B931F1" w:rsidRPr="00B931F1">
        <w:rPr>
          <w:i/>
        </w:rPr>
        <w:t>ex-ante</w:t>
      </w:r>
      <w:r w:rsidR="00B931F1">
        <w:t xml:space="preserve"> load impacts are simulated by multiplying forecast reference loads by the </w:t>
      </w:r>
      <w:r w:rsidR="00B931F1" w:rsidRPr="00A95C1C">
        <w:rPr>
          <w:i/>
        </w:rPr>
        <w:t>ex-post</w:t>
      </w:r>
      <w:r w:rsidR="00B931F1">
        <w:t xml:space="preserve"> percentage load impacts (by size, LCA, and hour of the day).</w:t>
      </w:r>
    </w:p>
    <w:p w14:paraId="1A057C9F" w14:textId="77777777" w:rsidR="00425989" w:rsidRDefault="00425989" w:rsidP="00425989"/>
    <w:p w14:paraId="5F8AA645" w14:textId="222A2A8F" w:rsidR="00425989" w:rsidRDefault="00425989" w:rsidP="00425989">
      <w:r>
        <w:t xml:space="preserve">Another assumption made in these forecasts is that the share of enrollments by LCA </w:t>
      </w:r>
      <w:r w:rsidR="00B931F1">
        <w:t xml:space="preserve">within each </w:t>
      </w:r>
      <w:r>
        <w:t>size group remains constant over time. This was necessary to produce forecasts at the LCA</w:t>
      </w:r>
      <w:r w:rsidR="00B931F1">
        <w:t xml:space="preserve"> </w:t>
      </w:r>
      <w:r>
        <w:t xml:space="preserve">level from SCE’s enrollment forecasts, which vary by size group but not by LCA. For large customers, we use the share of enrollments by LCA in 2017. For SMB customers, we use the share of enrollments by LCA from the 2017 report, since our </w:t>
      </w:r>
      <w:r w:rsidRPr="007B6DEB">
        <w:rPr>
          <w:i/>
        </w:rPr>
        <w:t>ex-ante</w:t>
      </w:r>
      <w:r>
        <w:t xml:space="preserve"> forecasts are based on what is reported therein.</w:t>
      </w:r>
      <w:r w:rsidR="000D7BCA" w:rsidRPr="000D7BCA">
        <w:rPr>
          <w:noProof/>
          <w:szCs w:val="32"/>
        </w:rPr>
        <w:t xml:space="preserve"> </w:t>
      </w:r>
    </w:p>
    <w:p w14:paraId="65197BFB" w14:textId="46AF8418" w:rsidR="00425989" w:rsidRPr="004E1771" w:rsidRDefault="000D7BCA" w:rsidP="00425989">
      <w:r>
        <w:rPr>
          <w:noProof/>
          <w:szCs w:val="32"/>
        </w:rPr>
        <mc:AlternateContent>
          <mc:Choice Requires="wps">
            <w:drawing>
              <wp:anchor distT="0" distB="0" distL="114300" distR="114300" simplePos="0" relativeHeight="251711488" behindDoc="0" locked="0" layoutInCell="1" allowOverlap="1" wp14:anchorId="7C0C4C4F" wp14:editId="5035EB3B">
                <wp:simplePos x="0" y="0"/>
                <wp:positionH relativeFrom="margin">
                  <wp:align>right</wp:align>
                </wp:positionH>
                <wp:positionV relativeFrom="paragraph">
                  <wp:posOffset>807085</wp:posOffset>
                </wp:positionV>
                <wp:extent cx="5422789" cy="397566"/>
                <wp:effectExtent l="0" t="0" r="26035" b="21590"/>
                <wp:wrapNone/>
                <wp:docPr id="96" name="Text Box 96"/>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63D953B1" w14:textId="77777777" w:rsidR="006F4399" w:rsidRPr="00EB41EA" w:rsidRDefault="006F4399" w:rsidP="000D7BCA">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0C4C4F" id="Text Box 96" o:spid="_x0000_s1053" type="#_x0000_t202" style="position:absolute;margin-left:375.8pt;margin-top:63.55pt;width:427pt;height:31.3pt;z-index:25171148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" fillcolor="white [3201]" strokeweight=".5pt">
                <v:textbox>
                  <w:txbxContent>
                    <w:p w14:paraId="63D953B1" w14:textId="77777777" w:rsidR="006F4399" w:rsidRPr="00EB41EA" w:rsidRDefault="006F4399" w:rsidP="000D7BCA">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1DB64100" w14:textId="77777777" w:rsidR="00425989" w:rsidRDefault="00425989" w:rsidP="00425989">
      <w:pPr>
        <w:pStyle w:val="Heading3"/>
        <w:numPr>
          <w:ilvl w:val="2"/>
          <w:numId w:val="43"/>
        </w:numPr>
      </w:pPr>
      <w:bookmarkStart w:id="343" w:name="_Toc507339879"/>
      <w:bookmarkStart w:id="344" w:name="_Toc509837332"/>
      <w:r>
        <w:lastRenderedPageBreak/>
        <w:t>Large Customers</w:t>
      </w:r>
      <w:bookmarkEnd w:id="343"/>
      <w:bookmarkEnd w:id="344"/>
    </w:p>
    <w:p w14:paraId="73E8574B" w14:textId="6951207A" w:rsidR="00425989" w:rsidRDefault="00425989" w:rsidP="00425989">
      <w:pPr>
        <w:spacing w:after="120"/>
        <w:rPr>
          <w:szCs w:val="32"/>
        </w:rPr>
      </w:pPr>
      <w:r>
        <w:rPr>
          <w:szCs w:val="32"/>
        </w:rPr>
        <w:fldChar w:fldCharType="begin"/>
      </w:r>
      <w:r>
        <w:rPr>
          <w:szCs w:val="32"/>
        </w:rPr>
        <w:instrText xml:space="preserve"> REF _Ref507409883 \h </w:instrText>
      </w:r>
      <w:r>
        <w:rPr>
          <w:szCs w:val="32"/>
        </w:rPr>
      </w:r>
      <w:r>
        <w:rPr>
          <w:szCs w:val="32"/>
        </w:rPr>
        <w:fldChar w:fldCharType="separate"/>
      </w:r>
      <w:r w:rsidR="005D5C7C">
        <w:t xml:space="preserve">Figure </w:t>
      </w:r>
      <w:r w:rsidR="005D5C7C">
        <w:rPr>
          <w:noProof/>
        </w:rPr>
        <w:t>4</w:t>
      </w:r>
      <w:r w:rsidR="005D5C7C">
        <w:t>.</w:t>
      </w:r>
      <w:r w:rsidR="005D5C7C">
        <w:rPr>
          <w:noProof/>
        </w:rPr>
        <w:t>14</w:t>
      </w:r>
      <w:r>
        <w:rPr>
          <w:szCs w:val="32"/>
        </w:rPr>
        <w:fldChar w:fldCharType="end"/>
      </w:r>
      <w:r>
        <w:rPr>
          <w:szCs w:val="32"/>
        </w:rPr>
        <w:t xml:space="preserve"> summarizes SCE’s enrollment forecast for large customers. SCE anticipates that large CPP customer enrollment will grow by 10 customers per year, or 0.3 percent.  </w:t>
      </w:r>
    </w:p>
    <w:p w14:paraId="3369BE39" w14:textId="77777777" w:rsidR="00425989" w:rsidRPr="00846579" w:rsidRDefault="00425989" w:rsidP="00425989"/>
    <w:p w14:paraId="7AB372C9" w14:textId="3DC2EE9F" w:rsidR="00425989" w:rsidRDefault="00425989" w:rsidP="00425989">
      <w:pPr>
        <w:pStyle w:val="FigureCaption"/>
        <w:rPr>
          <w:i/>
        </w:rPr>
      </w:pPr>
      <w:bookmarkStart w:id="345" w:name="_Ref507409883"/>
      <w:bookmarkStart w:id="346" w:name="_Toc507340022"/>
      <w:bookmarkStart w:id="347" w:name="_Toc509837492"/>
      <w:r>
        <w:t xml:space="preserve">Figure </w:t>
      </w:r>
      <w:fldSimple w:instr=" STYLEREF 1 \s ">
        <w:r w:rsidR="005D5C7C">
          <w:rPr>
            <w:noProof/>
          </w:rPr>
          <w:t>4</w:t>
        </w:r>
      </w:fldSimple>
      <w:r w:rsidR="00A11E78">
        <w:t>.</w:t>
      </w:r>
      <w:fldSimple w:instr=" SEQ Figure \* ARABIC \s 1 ">
        <w:r w:rsidR="005D5C7C">
          <w:rPr>
            <w:noProof/>
          </w:rPr>
          <w:t>14</w:t>
        </w:r>
      </w:fldSimple>
      <w:bookmarkEnd w:id="345"/>
      <w:r>
        <w:t xml:space="preserve">: CPP Enrollments, </w:t>
      </w:r>
      <w:r>
        <w:rPr>
          <w:i/>
        </w:rPr>
        <w:t>SCE Large</w:t>
      </w:r>
      <w:bookmarkEnd w:id="346"/>
      <w:bookmarkEnd w:id="347"/>
    </w:p>
    <w:p w14:paraId="4FE8BF21" w14:textId="5768E58D" w:rsidR="00F608D8" w:rsidRDefault="00F608D8" w:rsidP="00425989">
      <w:r>
        <w:rPr>
          <w:noProof/>
        </w:rPr>
        <w:drawing>
          <wp:inline distT="0" distB="0" distL="0" distR="0" wp14:anchorId="16155003" wp14:editId="6D6BDE25">
            <wp:extent cx="5486400" cy="3983990"/>
            <wp:effectExtent l="0" t="0" r="0" b="0"/>
            <wp:docPr id="131" name="Chart 131">
              <a:extLst xmlns:a="http://schemas.openxmlformats.org/drawingml/2006/main">
                <a:ext uri="{FF2B5EF4-FFF2-40B4-BE49-F238E27FC236}">
                  <a16:creationId xmlns:a16="http://schemas.microsoft.com/office/drawing/2014/main" id="{8F9B1363-40B8-4D8E-93AA-2FDA78C382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6E3B2FCE" w14:textId="77777777" w:rsidR="00F608D8" w:rsidRDefault="00F608D8" w:rsidP="00425989"/>
    <w:p w14:paraId="3F1210C5" w14:textId="7E03AAC1" w:rsidR="00425989" w:rsidRDefault="00425989" w:rsidP="00425989">
      <w:r>
        <w:fldChar w:fldCharType="begin"/>
      </w:r>
      <w:r>
        <w:instrText xml:space="preserve"> REF _Ref507410203 \h </w:instrText>
      </w:r>
      <w:r>
        <w:fldChar w:fldCharType="separate"/>
      </w:r>
      <w:r w:rsidR="005D5C7C">
        <w:t xml:space="preserve">Figure </w:t>
      </w:r>
      <w:r w:rsidR="005D5C7C">
        <w:rPr>
          <w:noProof/>
        </w:rPr>
        <w:t>4</w:t>
      </w:r>
      <w:r w:rsidR="005D5C7C">
        <w:t>.</w:t>
      </w:r>
      <w:r w:rsidR="005D5C7C">
        <w:rPr>
          <w:noProof/>
        </w:rPr>
        <w:t>15</w:t>
      </w:r>
      <w:r>
        <w:fldChar w:fldCharType="end"/>
      </w:r>
      <w:r>
        <w:t xml:space="preserve"> illustrates the aggregate reference load, observed load, and load impact for large customers on the typical event day in August in 2022 for the SCE 1-in-2 weather scenario. The shape of the </w:t>
      </w:r>
      <w:r w:rsidRPr="003B39B5">
        <w:rPr>
          <w:i/>
        </w:rPr>
        <w:t>ex-ante</w:t>
      </w:r>
      <w:r>
        <w:t xml:space="preserve"> loads and load impacts is </w:t>
      </w:r>
      <w:proofErr w:type="gramStart"/>
      <w:r>
        <w:t>similar to</w:t>
      </w:r>
      <w:proofErr w:type="gramEnd"/>
      <w:r>
        <w:t xml:space="preserve"> the </w:t>
      </w:r>
      <w:r w:rsidRPr="003B39B5">
        <w:rPr>
          <w:i/>
        </w:rPr>
        <w:t>ex-post</w:t>
      </w:r>
      <w:r>
        <w:t xml:space="preserve"> results in </w:t>
      </w:r>
      <w:r>
        <w:fldChar w:fldCharType="begin"/>
      </w:r>
      <w:r>
        <w:instrText xml:space="preserve"> REF _Ref506991132 \h </w:instrText>
      </w:r>
      <w:r>
        <w:fldChar w:fldCharType="separate"/>
      </w:r>
      <w:r w:rsidR="005D5C7C">
        <w:t xml:space="preserve">Figure </w:t>
      </w:r>
      <w:r w:rsidR="005D5C7C">
        <w:rPr>
          <w:noProof/>
        </w:rPr>
        <w:t>4</w:t>
      </w:r>
      <w:r w:rsidR="005D5C7C">
        <w:t>.</w:t>
      </w:r>
      <w:r w:rsidR="005D5C7C">
        <w:rPr>
          <w:noProof/>
        </w:rPr>
        <w:t>2</w:t>
      </w:r>
      <w:r>
        <w:fldChar w:fldCharType="end"/>
      </w:r>
      <w:r>
        <w:t xml:space="preserve">, while the magnitudes are somewhat </w:t>
      </w:r>
      <w:r w:rsidR="00C22EA5">
        <w:t>larger due to higher enrollment</w:t>
      </w:r>
      <w:r>
        <w:t xml:space="preserve">. The average </w:t>
      </w:r>
      <w:r w:rsidR="00C22EA5">
        <w:t xml:space="preserve">event-hour </w:t>
      </w:r>
      <w:r>
        <w:t xml:space="preserve">load impact </w:t>
      </w:r>
      <w:r w:rsidR="00C22EA5">
        <w:t>is</w:t>
      </w:r>
      <w:r>
        <w:t xml:space="preserve"> 30 MWh/hour, </w:t>
      </w:r>
      <w:r w:rsidR="00C22EA5">
        <w:t>or 4</w:t>
      </w:r>
      <w:r>
        <w:t xml:space="preserve"> percent </w:t>
      </w:r>
      <w:r w:rsidR="00C22EA5">
        <w:t xml:space="preserve">of the </w:t>
      </w:r>
      <w:r>
        <w:t>reference load.</w:t>
      </w:r>
    </w:p>
    <w:p w14:paraId="331A26A4" w14:textId="77777777" w:rsidR="00425989" w:rsidRDefault="00425989" w:rsidP="00425989"/>
    <w:p w14:paraId="0D492996" w14:textId="77777777" w:rsidR="00425989" w:rsidRDefault="00425989" w:rsidP="00425989">
      <w:pPr>
        <w:spacing w:after="120"/>
        <w:rPr>
          <w:szCs w:val="32"/>
        </w:rPr>
      </w:pPr>
    </w:p>
    <w:p w14:paraId="4ACD2852" w14:textId="77777777" w:rsidR="00425989" w:rsidRDefault="00425989" w:rsidP="00425989">
      <w:pPr>
        <w:spacing w:after="120"/>
        <w:rPr>
          <w:szCs w:val="32"/>
        </w:rPr>
      </w:pPr>
    </w:p>
    <w:p w14:paraId="3B90C0E9" w14:textId="77777777" w:rsidR="00425989" w:rsidRDefault="00425989" w:rsidP="00425989">
      <w:pPr>
        <w:spacing w:after="120"/>
        <w:rPr>
          <w:szCs w:val="32"/>
        </w:rPr>
      </w:pPr>
    </w:p>
    <w:p w14:paraId="3B456C6F" w14:textId="77777777" w:rsidR="00425989" w:rsidRDefault="00425989" w:rsidP="00425989">
      <w:pPr>
        <w:spacing w:after="120"/>
        <w:rPr>
          <w:szCs w:val="32"/>
        </w:rPr>
      </w:pPr>
    </w:p>
    <w:p w14:paraId="715DA43B" w14:textId="1777476C" w:rsidR="00425989" w:rsidRDefault="00425989" w:rsidP="00425989">
      <w:pPr>
        <w:pStyle w:val="FigureCaption"/>
        <w:rPr>
          <w:i/>
        </w:rPr>
      </w:pPr>
      <w:bookmarkStart w:id="348" w:name="_Ref507410203"/>
      <w:bookmarkStart w:id="349" w:name="_Toc507340023"/>
      <w:bookmarkStart w:id="350" w:name="_Toc509837493"/>
      <w:r>
        <w:lastRenderedPageBreak/>
        <w:t xml:space="preserve">Figure </w:t>
      </w:r>
      <w:fldSimple w:instr=" STYLEREF 1 \s ">
        <w:r w:rsidR="005D5C7C">
          <w:rPr>
            <w:noProof/>
          </w:rPr>
          <w:t>4</w:t>
        </w:r>
      </w:fldSimple>
      <w:r w:rsidR="00A11E78">
        <w:t>.</w:t>
      </w:r>
      <w:fldSimple w:instr=" SEQ Figure \* ARABIC \s 1 ">
        <w:r w:rsidR="005D5C7C">
          <w:rPr>
            <w:noProof/>
          </w:rPr>
          <w:t>15</w:t>
        </w:r>
      </w:fldSimple>
      <w:bookmarkEnd w:id="348"/>
      <w:r>
        <w:t xml:space="preserve">: </w:t>
      </w:r>
      <w:r w:rsidRPr="003E379F">
        <w:t>Aggregate Hourly Loads and Load Impacts</w:t>
      </w:r>
      <w:r>
        <w:t xml:space="preserve"> in 2022 for</w:t>
      </w:r>
      <w:r>
        <w:rPr>
          <w:i/>
        </w:rPr>
        <w:t xml:space="preserve"> SCE 1-in-2 Typical Event Day, SCE Large</w:t>
      </w:r>
      <w:bookmarkEnd w:id="349"/>
      <w:bookmarkEnd w:id="350"/>
    </w:p>
    <w:p w14:paraId="30725755" w14:textId="182B3CCC" w:rsidR="00425989" w:rsidRDefault="00F608D8" w:rsidP="00425989">
      <w:r>
        <w:rPr>
          <w:noProof/>
        </w:rPr>
        <w:drawing>
          <wp:inline distT="0" distB="0" distL="0" distR="0" wp14:anchorId="4DC82A29" wp14:editId="2B91F531">
            <wp:extent cx="5486400" cy="3983990"/>
            <wp:effectExtent l="0" t="0" r="0" b="0"/>
            <wp:docPr id="132" name="Chart 132">
              <a:extLst xmlns:a="http://schemas.openxmlformats.org/drawingml/2006/main">
                <a:ext uri="{FF2B5EF4-FFF2-40B4-BE49-F238E27FC236}">
                  <a16:creationId xmlns:a16="http://schemas.microsoft.com/office/drawing/2014/main" id="{EBBD2EAC-D31E-4A84-B972-25EEF880FE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2D8D20EF" w14:textId="2DF9E01D" w:rsidR="00425989" w:rsidRDefault="00425989" w:rsidP="00425989"/>
    <w:p w14:paraId="661789E8" w14:textId="77777777" w:rsidR="00F608D8" w:rsidRDefault="00F608D8" w:rsidP="00425989"/>
    <w:p w14:paraId="1A354E7D" w14:textId="79EAE430" w:rsidR="00425989" w:rsidRDefault="00425989" w:rsidP="00425989">
      <w:pPr>
        <w:spacing w:after="120"/>
        <w:rPr>
          <w:szCs w:val="32"/>
        </w:rPr>
      </w:pPr>
      <w:r>
        <w:rPr>
          <w:szCs w:val="32"/>
        </w:rPr>
        <w:fldChar w:fldCharType="begin"/>
      </w:r>
      <w:r>
        <w:rPr>
          <w:szCs w:val="32"/>
        </w:rPr>
        <w:instrText xml:space="preserve"> REF _Ref507411343 \h </w:instrText>
      </w:r>
      <w:r>
        <w:rPr>
          <w:szCs w:val="32"/>
        </w:rPr>
      </w:r>
      <w:r>
        <w:rPr>
          <w:szCs w:val="32"/>
        </w:rPr>
        <w:fldChar w:fldCharType="separate"/>
      </w:r>
      <w:r w:rsidR="005D5C7C">
        <w:t xml:space="preserve">Figure </w:t>
      </w:r>
      <w:r w:rsidR="005D5C7C">
        <w:rPr>
          <w:noProof/>
        </w:rPr>
        <w:t>4</w:t>
      </w:r>
      <w:r w:rsidR="005D5C7C">
        <w:t>.</w:t>
      </w:r>
      <w:r w:rsidR="005D5C7C">
        <w:rPr>
          <w:noProof/>
        </w:rPr>
        <w:t>16</w:t>
      </w:r>
      <w:r>
        <w:rPr>
          <w:szCs w:val="32"/>
        </w:rPr>
        <w:fldChar w:fldCharType="end"/>
      </w:r>
      <w:r>
        <w:rPr>
          <w:szCs w:val="32"/>
        </w:rPr>
        <w:t xml:space="preserve"> shows the forecasted share of load impacts </w:t>
      </w:r>
      <w:r w:rsidR="00C22EA5">
        <w:rPr>
          <w:szCs w:val="32"/>
        </w:rPr>
        <w:t xml:space="preserve">by LCA during </w:t>
      </w:r>
      <w:r>
        <w:rPr>
          <w:szCs w:val="32"/>
        </w:rPr>
        <w:t>the average event</w:t>
      </w:r>
      <w:r w:rsidR="00C22EA5">
        <w:rPr>
          <w:szCs w:val="32"/>
        </w:rPr>
        <w:t xml:space="preserve"> </w:t>
      </w:r>
      <w:r>
        <w:rPr>
          <w:szCs w:val="32"/>
        </w:rPr>
        <w:t xml:space="preserve">hour on the typical event day in 2022 under </w:t>
      </w:r>
      <w:r w:rsidR="00C22EA5">
        <w:rPr>
          <w:szCs w:val="32"/>
        </w:rPr>
        <w:t>SCE</w:t>
      </w:r>
      <w:r>
        <w:rPr>
          <w:szCs w:val="32"/>
        </w:rPr>
        <w:t xml:space="preserve">’s 1-in-2 weather scenario. </w:t>
      </w:r>
      <w:r w:rsidR="00B62F69">
        <w:rPr>
          <w:szCs w:val="32"/>
        </w:rPr>
        <w:t>As expected, the LA Basin accounts for over 80 percent of the total load impact</w:t>
      </w:r>
      <w:r>
        <w:rPr>
          <w:szCs w:val="32"/>
        </w:rPr>
        <w:t>.</w:t>
      </w:r>
    </w:p>
    <w:p w14:paraId="0A10C6D6" w14:textId="77777777" w:rsidR="00425989" w:rsidRDefault="00425989" w:rsidP="00425989">
      <w:pPr>
        <w:spacing w:after="120"/>
        <w:rPr>
          <w:szCs w:val="32"/>
        </w:rPr>
      </w:pPr>
    </w:p>
    <w:p w14:paraId="40A8C6C6" w14:textId="722F1A74" w:rsidR="00425989" w:rsidRPr="00EE4C42" w:rsidRDefault="00425989" w:rsidP="00425989">
      <w:pPr>
        <w:pStyle w:val="FigureCaption"/>
        <w:rPr>
          <w:i/>
        </w:rPr>
      </w:pPr>
      <w:bookmarkStart w:id="351" w:name="_Ref507411343"/>
      <w:bookmarkStart w:id="352" w:name="_Toc507340024"/>
      <w:bookmarkStart w:id="353" w:name="_Toc509837494"/>
      <w:r>
        <w:lastRenderedPageBreak/>
        <w:t xml:space="preserve">Figure </w:t>
      </w:r>
      <w:fldSimple w:instr=" STYLEREF 1 \s ">
        <w:r w:rsidR="005D5C7C">
          <w:rPr>
            <w:noProof/>
          </w:rPr>
          <w:t>4</w:t>
        </w:r>
      </w:fldSimple>
      <w:r w:rsidR="00A11E78">
        <w:t>.</w:t>
      </w:r>
      <w:fldSimple w:instr=" SEQ Figure \* ARABIC \s 1 ">
        <w:r w:rsidR="005D5C7C">
          <w:rPr>
            <w:noProof/>
          </w:rPr>
          <w:t>16</w:t>
        </w:r>
      </w:fldSimple>
      <w:bookmarkEnd w:id="351"/>
      <w:r>
        <w:t>: Share of Load Impacts by LCA in 2022 for</w:t>
      </w:r>
      <w:r>
        <w:rPr>
          <w:i/>
        </w:rPr>
        <w:t xml:space="preserve"> SCE 1-in-2 Typical Event Day, </w:t>
      </w:r>
      <w:r>
        <w:rPr>
          <w:i/>
        </w:rPr>
        <w:br/>
        <w:t>SCE Large</w:t>
      </w:r>
      <w:bookmarkEnd w:id="352"/>
      <w:bookmarkEnd w:id="353"/>
    </w:p>
    <w:p w14:paraId="25DE7B43" w14:textId="77777777" w:rsidR="00425989" w:rsidRDefault="00425989" w:rsidP="00425989">
      <w:pPr>
        <w:spacing w:after="120"/>
        <w:rPr>
          <w:szCs w:val="32"/>
        </w:rPr>
      </w:pPr>
      <w:r>
        <w:rPr>
          <w:noProof/>
          <w:szCs w:val="32"/>
        </w:rPr>
        <w:drawing>
          <wp:inline distT="0" distB="0" distL="0" distR="0" wp14:anchorId="2D2A644A" wp14:editId="4E563D14">
            <wp:extent cx="5487035" cy="3987165"/>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487035" cy="3987165"/>
                    </a:xfrm>
                    <a:prstGeom prst="rect">
                      <a:avLst/>
                    </a:prstGeom>
                    <a:noFill/>
                  </pic:spPr>
                </pic:pic>
              </a:graphicData>
            </a:graphic>
          </wp:inline>
        </w:drawing>
      </w:r>
    </w:p>
    <w:p w14:paraId="7253001F" w14:textId="23AA51BF" w:rsidR="00B62F69" w:rsidRDefault="00425989" w:rsidP="00425989">
      <w:pPr>
        <w:spacing w:after="120"/>
        <w:rPr>
          <w:szCs w:val="32"/>
        </w:rPr>
      </w:pPr>
      <w:r>
        <w:rPr>
          <w:szCs w:val="32"/>
        </w:rPr>
        <w:fldChar w:fldCharType="begin"/>
      </w:r>
      <w:r>
        <w:rPr>
          <w:szCs w:val="32"/>
        </w:rPr>
        <w:instrText xml:space="preserve"> REF _Ref507415447 \h </w:instrText>
      </w:r>
      <w:r>
        <w:rPr>
          <w:szCs w:val="32"/>
        </w:rPr>
      </w:r>
      <w:r>
        <w:rPr>
          <w:szCs w:val="32"/>
        </w:rPr>
        <w:fldChar w:fldCharType="separate"/>
      </w:r>
      <w:r w:rsidR="005D5C7C">
        <w:t xml:space="preserve">Figure </w:t>
      </w:r>
      <w:r w:rsidR="005D5C7C">
        <w:rPr>
          <w:noProof/>
        </w:rPr>
        <w:t>4</w:t>
      </w:r>
      <w:r w:rsidR="005D5C7C">
        <w:t>.</w:t>
      </w:r>
      <w:r w:rsidR="005D5C7C">
        <w:rPr>
          <w:noProof/>
        </w:rPr>
        <w:t>17</w:t>
      </w:r>
      <w:r>
        <w:rPr>
          <w:szCs w:val="32"/>
        </w:rPr>
        <w:fldChar w:fldCharType="end"/>
      </w:r>
      <w:r>
        <w:rPr>
          <w:szCs w:val="32"/>
        </w:rPr>
        <w:t xml:space="preserve"> illustrates the seasonality in the forecasted</w:t>
      </w:r>
      <w:r w:rsidRPr="00703D32">
        <w:rPr>
          <w:i/>
          <w:szCs w:val="32"/>
        </w:rPr>
        <w:t xml:space="preserve"> </w:t>
      </w:r>
      <w:r>
        <w:rPr>
          <w:szCs w:val="32"/>
        </w:rPr>
        <w:t xml:space="preserve">load impacts for by comparing aggregate load impacts for the average hour in the </w:t>
      </w:r>
      <w:r w:rsidR="00B62F69">
        <w:rPr>
          <w:szCs w:val="32"/>
        </w:rPr>
        <w:t>R</w:t>
      </w:r>
      <w:r>
        <w:rPr>
          <w:szCs w:val="32"/>
        </w:rPr>
        <w:t>esource</w:t>
      </w:r>
      <w:r w:rsidR="00B62F69">
        <w:rPr>
          <w:szCs w:val="32"/>
        </w:rPr>
        <w:t xml:space="preserve"> A</w:t>
      </w:r>
      <w:r>
        <w:rPr>
          <w:szCs w:val="32"/>
        </w:rPr>
        <w:t xml:space="preserve">dequacy </w:t>
      </w:r>
      <w:r w:rsidR="00B62F69">
        <w:rPr>
          <w:szCs w:val="32"/>
        </w:rPr>
        <w:t xml:space="preserve">(RA) </w:t>
      </w:r>
      <w:r>
        <w:rPr>
          <w:szCs w:val="32"/>
        </w:rPr>
        <w:t xml:space="preserve">window in 2022 across months for SCE’s 1-in-2 peak day weather scenario. </w:t>
      </w:r>
      <w:r w:rsidR="00B62F69">
        <w:rPr>
          <w:szCs w:val="32"/>
        </w:rPr>
        <w:t xml:space="preserve">The RA window is 1 to 6 p.m. from April through October and 4 to 9 p.m. for the remainder of the year. The lower load impacts from November through March are largely </w:t>
      </w:r>
      <w:proofErr w:type="gramStart"/>
      <w:r w:rsidR="00B62F69">
        <w:rPr>
          <w:szCs w:val="32"/>
        </w:rPr>
        <w:t>due to the fact that</w:t>
      </w:r>
      <w:proofErr w:type="gramEnd"/>
      <w:r w:rsidR="00B62F69">
        <w:rPr>
          <w:szCs w:val="32"/>
        </w:rPr>
        <w:t xml:space="preserve"> the RA window in those months includes three hours that are not CPP event hours, where the summer RA window includes only one such hour. The load impact is highest in August (27 MWh/hour) and lowest in January and December (9 MWh/hour).</w:t>
      </w:r>
    </w:p>
    <w:p w14:paraId="1972409E" w14:textId="77777777" w:rsidR="00425989" w:rsidRDefault="00425989" w:rsidP="00425989">
      <w:pPr>
        <w:spacing w:after="120"/>
        <w:rPr>
          <w:szCs w:val="32"/>
        </w:rPr>
      </w:pPr>
    </w:p>
    <w:p w14:paraId="4F25BAB9" w14:textId="38231320" w:rsidR="00425989" w:rsidRDefault="00425989" w:rsidP="00425989">
      <w:pPr>
        <w:pStyle w:val="FigureCaption"/>
        <w:rPr>
          <w:i/>
        </w:rPr>
      </w:pPr>
      <w:bookmarkStart w:id="354" w:name="_Ref507415447"/>
      <w:bookmarkStart w:id="355" w:name="_Toc507340025"/>
      <w:bookmarkStart w:id="356" w:name="_Toc509837495"/>
      <w:r>
        <w:lastRenderedPageBreak/>
        <w:t xml:space="preserve">Figure </w:t>
      </w:r>
      <w:fldSimple w:instr=" STYLEREF 1 \s ">
        <w:r w:rsidR="005D5C7C">
          <w:rPr>
            <w:noProof/>
          </w:rPr>
          <w:t>4</w:t>
        </w:r>
      </w:fldSimple>
      <w:r w:rsidR="00A11E78">
        <w:t>.</w:t>
      </w:r>
      <w:fldSimple w:instr=" SEQ Figure \* ARABIC \s 1 ">
        <w:r w:rsidR="005D5C7C">
          <w:rPr>
            <w:noProof/>
          </w:rPr>
          <w:t>17</w:t>
        </w:r>
      </w:fldSimple>
      <w:bookmarkEnd w:id="354"/>
      <w:r>
        <w:t xml:space="preserve">: </w:t>
      </w:r>
      <w:r w:rsidRPr="003E379F">
        <w:t>Aggregate</w:t>
      </w:r>
      <w:r>
        <w:t xml:space="preserve"> </w:t>
      </w:r>
      <w:r w:rsidRPr="003E379F">
        <w:t xml:space="preserve">Load Impacts </w:t>
      </w:r>
      <w:r>
        <w:t>by Month</w:t>
      </w:r>
      <w:r w:rsidRPr="003E379F">
        <w:t xml:space="preserve"> </w:t>
      </w:r>
      <w:r>
        <w:t xml:space="preserve">over RA Window in 2022 for </w:t>
      </w:r>
      <w:r>
        <w:rPr>
          <w:i/>
        </w:rPr>
        <w:t>SCE 1-in-2 Peak Day</w:t>
      </w:r>
      <w:r>
        <w:t xml:space="preserve">, </w:t>
      </w:r>
      <w:r>
        <w:rPr>
          <w:i/>
        </w:rPr>
        <w:t>SCE Large</w:t>
      </w:r>
      <w:bookmarkEnd w:id="355"/>
      <w:bookmarkEnd w:id="356"/>
    </w:p>
    <w:p w14:paraId="7579366D" w14:textId="23C424B9" w:rsidR="00425989" w:rsidRDefault="00F608D8" w:rsidP="00425989">
      <w:r>
        <w:rPr>
          <w:noProof/>
        </w:rPr>
        <w:drawing>
          <wp:inline distT="0" distB="0" distL="0" distR="0" wp14:anchorId="36C188ED" wp14:editId="132F8FB1">
            <wp:extent cx="5486400" cy="3983990"/>
            <wp:effectExtent l="0" t="0" r="0" b="0"/>
            <wp:docPr id="133" name="Chart 133">
              <a:extLst xmlns:a="http://schemas.openxmlformats.org/drawingml/2006/main">
                <a:ext uri="{FF2B5EF4-FFF2-40B4-BE49-F238E27FC236}">
                  <a16:creationId xmlns:a16="http://schemas.microsoft.com/office/drawing/2014/main" id="{620BB8F2-5EE1-4664-8954-E62191D264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4629F107" w14:textId="77777777" w:rsidR="00425989" w:rsidRDefault="00425989" w:rsidP="00425989"/>
    <w:p w14:paraId="28E09008" w14:textId="06375107" w:rsidR="00B62F69" w:rsidRDefault="00425989" w:rsidP="00425989">
      <w:pPr>
        <w:spacing w:after="120"/>
        <w:rPr>
          <w:szCs w:val="32"/>
        </w:rPr>
      </w:pPr>
      <w:r>
        <w:rPr>
          <w:szCs w:val="32"/>
        </w:rPr>
        <w:fldChar w:fldCharType="begin"/>
      </w:r>
      <w:r>
        <w:rPr>
          <w:szCs w:val="32"/>
        </w:rPr>
        <w:instrText xml:space="preserve"> REF _Ref507415464 \h </w:instrText>
      </w:r>
      <w:r>
        <w:rPr>
          <w:szCs w:val="32"/>
        </w:rPr>
      </w:r>
      <w:r>
        <w:rPr>
          <w:szCs w:val="32"/>
        </w:rPr>
        <w:fldChar w:fldCharType="separate"/>
      </w:r>
      <w:r w:rsidR="005D5C7C">
        <w:t xml:space="preserve">Figure </w:t>
      </w:r>
      <w:r w:rsidR="005D5C7C">
        <w:rPr>
          <w:noProof/>
        </w:rPr>
        <w:t>4</w:t>
      </w:r>
      <w:r w:rsidR="005D5C7C">
        <w:t>.</w:t>
      </w:r>
      <w:r w:rsidR="005D5C7C">
        <w:rPr>
          <w:noProof/>
        </w:rPr>
        <w:t>18</w:t>
      </w:r>
      <w:r>
        <w:rPr>
          <w:szCs w:val="32"/>
        </w:rPr>
        <w:fldChar w:fldCharType="end"/>
      </w:r>
      <w:r>
        <w:rPr>
          <w:szCs w:val="32"/>
        </w:rPr>
        <w:t xml:space="preserve"> </w:t>
      </w:r>
      <w:r w:rsidR="00B62F69">
        <w:rPr>
          <w:szCs w:val="32"/>
        </w:rPr>
        <w:t>shows the change in load impacts over time and across weather scenarios. Each value is the aggregate load impact during the RA window of the typical event day. There is little forecast growth in load impacts because SCE forecasts a correspondingly small change in large customer CPP enrollments. There are relatively minor differences between the forecast load impacts for the alternative weather scenarios over the forecast period. The highest load impacts for each year occur under utility-specific 1-in-10 weather conditions.</w:t>
      </w:r>
    </w:p>
    <w:p w14:paraId="732553D0" w14:textId="77777777" w:rsidR="00425989" w:rsidRDefault="00425989" w:rsidP="00425989">
      <w:pPr>
        <w:spacing w:after="120"/>
        <w:rPr>
          <w:szCs w:val="32"/>
        </w:rPr>
      </w:pPr>
    </w:p>
    <w:p w14:paraId="7A0D38FC" w14:textId="72CB2ECB" w:rsidR="00425989" w:rsidRDefault="00425989" w:rsidP="00425989">
      <w:pPr>
        <w:pStyle w:val="FigureCaption"/>
        <w:rPr>
          <w:i/>
        </w:rPr>
      </w:pPr>
      <w:bookmarkStart w:id="357" w:name="_Ref507415464"/>
      <w:bookmarkStart w:id="358" w:name="_Toc507340026"/>
      <w:bookmarkStart w:id="359" w:name="_Toc509837496"/>
      <w:r>
        <w:lastRenderedPageBreak/>
        <w:t xml:space="preserve">Figure </w:t>
      </w:r>
      <w:fldSimple w:instr=" STYLEREF 1 \s ">
        <w:r w:rsidR="005D5C7C">
          <w:rPr>
            <w:noProof/>
          </w:rPr>
          <w:t>4</w:t>
        </w:r>
      </w:fldSimple>
      <w:r w:rsidR="00A11E78">
        <w:t>.</w:t>
      </w:r>
      <w:fldSimple w:instr=" SEQ Figure \* ARABIC \s 1 ">
        <w:r w:rsidR="005D5C7C">
          <w:rPr>
            <w:noProof/>
          </w:rPr>
          <w:t>18</w:t>
        </w:r>
      </w:fldSimple>
      <w:bookmarkEnd w:id="357"/>
      <w:r>
        <w:t xml:space="preserve">: </w:t>
      </w:r>
      <w:r w:rsidRPr="003E379F">
        <w:t xml:space="preserve">Aggregate </w:t>
      </w:r>
      <w:r>
        <w:t xml:space="preserve">Load Impacts for </w:t>
      </w:r>
      <w:r w:rsidR="00515724">
        <w:t>Typical Event Day</w:t>
      </w:r>
      <w:r>
        <w:t xml:space="preserve"> by Year and Weather Scenario over RA Window, </w:t>
      </w:r>
      <w:r>
        <w:rPr>
          <w:i/>
        </w:rPr>
        <w:t>SCE Large</w:t>
      </w:r>
      <w:bookmarkEnd w:id="358"/>
      <w:bookmarkEnd w:id="359"/>
    </w:p>
    <w:p w14:paraId="68502770" w14:textId="6BE0C278" w:rsidR="00425989" w:rsidRDefault="00F608D8" w:rsidP="00425989">
      <w:r>
        <w:rPr>
          <w:noProof/>
        </w:rPr>
        <w:drawing>
          <wp:inline distT="0" distB="0" distL="0" distR="0" wp14:anchorId="28917952" wp14:editId="432078BC">
            <wp:extent cx="5486400" cy="3983990"/>
            <wp:effectExtent l="0" t="0" r="0" b="0"/>
            <wp:docPr id="134" name="Chart 134">
              <a:extLst xmlns:a="http://schemas.openxmlformats.org/drawingml/2006/main">
                <a:ext uri="{FF2B5EF4-FFF2-40B4-BE49-F238E27FC236}">
                  <a16:creationId xmlns:a16="http://schemas.microsoft.com/office/drawing/2014/main" id="{677C3D30-5855-4924-8792-4EEAEF20C6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6605D252" w14:textId="77777777" w:rsidR="00425989" w:rsidRDefault="00425989" w:rsidP="00425989"/>
    <w:p w14:paraId="08627D71" w14:textId="77777777" w:rsidR="00425989" w:rsidRDefault="00425989" w:rsidP="00425989">
      <w:pPr>
        <w:pStyle w:val="Heading3"/>
        <w:numPr>
          <w:ilvl w:val="2"/>
          <w:numId w:val="43"/>
        </w:numPr>
      </w:pPr>
      <w:bookmarkStart w:id="360" w:name="_Toc507339880"/>
      <w:bookmarkStart w:id="361" w:name="_Toc509837333"/>
      <w:r>
        <w:t>SMB Customers</w:t>
      </w:r>
      <w:bookmarkEnd w:id="360"/>
      <w:bookmarkEnd w:id="361"/>
    </w:p>
    <w:p w14:paraId="45730FDF" w14:textId="6AF4F3EE" w:rsidR="00425989" w:rsidRDefault="00425989" w:rsidP="00425989">
      <w:pPr>
        <w:spacing w:after="120"/>
        <w:rPr>
          <w:szCs w:val="32"/>
        </w:rPr>
      </w:pPr>
      <w:r>
        <w:rPr>
          <w:szCs w:val="32"/>
        </w:rPr>
        <w:fldChar w:fldCharType="begin"/>
      </w:r>
      <w:r>
        <w:rPr>
          <w:szCs w:val="32"/>
        </w:rPr>
        <w:instrText xml:space="preserve"> REF _Ref507410272 \h </w:instrText>
      </w:r>
      <w:r>
        <w:rPr>
          <w:szCs w:val="32"/>
        </w:rPr>
      </w:r>
      <w:r>
        <w:rPr>
          <w:szCs w:val="32"/>
        </w:rPr>
        <w:fldChar w:fldCharType="separate"/>
      </w:r>
      <w:r w:rsidR="005D5C7C">
        <w:t xml:space="preserve">Figure </w:t>
      </w:r>
      <w:r w:rsidR="005D5C7C">
        <w:rPr>
          <w:noProof/>
        </w:rPr>
        <w:t>4</w:t>
      </w:r>
      <w:r w:rsidR="005D5C7C">
        <w:t>.</w:t>
      </w:r>
      <w:r w:rsidR="005D5C7C">
        <w:rPr>
          <w:noProof/>
        </w:rPr>
        <w:t>19</w:t>
      </w:r>
      <w:r>
        <w:rPr>
          <w:szCs w:val="32"/>
        </w:rPr>
        <w:fldChar w:fldCharType="end"/>
      </w:r>
      <w:r>
        <w:rPr>
          <w:szCs w:val="32"/>
        </w:rPr>
        <w:t xml:space="preserve"> summarizes SCE’s enrollment forecast for SMB customers. There will be no SMB customers in 2018. In 2019, SMB customers will be defaulted into the CPP program, and SCE projects initial enrollment of 215,205 small customers and 34,795 medium customers. In 2020, SCE anticipates that roughly 60 percent of SMB customers will opt-out of CPP. After 2020, SMB enrollments are expected to remain constant. This pattern is reflected in the load impact forecasts shown in </w:t>
      </w:r>
      <w:r>
        <w:rPr>
          <w:szCs w:val="32"/>
        </w:rPr>
        <w:fldChar w:fldCharType="begin"/>
      </w:r>
      <w:r>
        <w:rPr>
          <w:szCs w:val="32"/>
        </w:rPr>
        <w:instrText xml:space="preserve"> REF _Ref507410685 \h </w:instrText>
      </w:r>
      <w:r>
        <w:rPr>
          <w:szCs w:val="32"/>
        </w:rPr>
      </w:r>
      <w:r>
        <w:rPr>
          <w:szCs w:val="32"/>
        </w:rPr>
        <w:fldChar w:fldCharType="separate"/>
      </w:r>
      <w:r w:rsidR="005D5C7C">
        <w:t xml:space="preserve">Figure </w:t>
      </w:r>
      <w:r w:rsidR="005D5C7C">
        <w:rPr>
          <w:noProof/>
        </w:rPr>
        <w:t>4</w:t>
      </w:r>
      <w:r w:rsidR="005D5C7C">
        <w:t>.</w:t>
      </w:r>
      <w:r w:rsidR="005D5C7C">
        <w:rPr>
          <w:noProof/>
        </w:rPr>
        <w:t>26</w:t>
      </w:r>
      <w:r>
        <w:rPr>
          <w:szCs w:val="32"/>
        </w:rPr>
        <w:fldChar w:fldCharType="end"/>
      </w:r>
      <w:r>
        <w:rPr>
          <w:szCs w:val="32"/>
        </w:rPr>
        <w:t xml:space="preserve"> and </w:t>
      </w:r>
      <w:r>
        <w:rPr>
          <w:szCs w:val="32"/>
        </w:rPr>
        <w:fldChar w:fldCharType="begin"/>
      </w:r>
      <w:r>
        <w:rPr>
          <w:szCs w:val="32"/>
        </w:rPr>
        <w:instrText xml:space="preserve"> REF _Ref507410693 \h </w:instrText>
      </w:r>
      <w:r>
        <w:rPr>
          <w:szCs w:val="32"/>
        </w:rPr>
      </w:r>
      <w:r>
        <w:rPr>
          <w:szCs w:val="32"/>
        </w:rPr>
        <w:fldChar w:fldCharType="separate"/>
      </w:r>
      <w:r w:rsidR="005D5C7C">
        <w:t xml:space="preserve">Figure </w:t>
      </w:r>
      <w:r w:rsidR="005D5C7C">
        <w:rPr>
          <w:noProof/>
        </w:rPr>
        <w:t>4</w:t>
      </w:r>
      <w:r w:rsidR="005D5C7C">
        <w:t>.</w:t>
      </w:r>
      <w:r w:rsidR="005D5C7C">
        <w:rPr>
          <w:noProof/>
        </w:rPr>
        <w:t>27</w:t>
      </w:r>
      <w:r>
        <w:rPr>
          <w:szCs w:val="32"/>
        </w:rPr>
        <w:fldChar w:fldCharType="end"/>
      </w:r>
      <w:r>
        <w:rPr>
          <w:szCs w:val="32"/>
        </w:rPr>
        <w:t>.</w:t>
      </w:r>
    </w:p>
    <w:p w14:paraId="6A34C436" w14:textId="77777777" w:rsidR="00425989" w:rsidRDefault="00425989" w:rsidP="00425989">
      <w:pPr>
        <w:spacing w:after="120"/>
        <w:rPr>
          <w:szCs w:val="32"/>
        </w:rPr>
      </w:pPr>
    </w:p>
    <w:p w14:paraId="05584288" w14:textId="77777777" w:rsidR="00425989" w:rsidRDefault="00425989" w:rsidP="00425989">
      <w:pPr>
        <w:spacing w:after="120"/>
        <w:rPr>
          <w:szCs w:val="32"/>
        </w:rPr>
      </w:pPr>
    </w:p>
    <w:p w14:paraId="25FD1900" w14:textId="77777777" w:rsidR="00425989" w:rsidRDefault="00425989" w:rsidP="00425989">
      <w:pPr>
        <w:spacing w:after="120"/>
        <w:rPr>
          <w:szCs w:val="32"/>
        </w:rPr>
      </w:pPr>
    </w:p>
    <w:p w14:paraId="79B4D450" w14:textId="77777777" w:rsidR="00425989" w:rsidRDefault="00425989" w:rsidP="00425989">
      <w:pPr>
        <w:spacing w:after="120"/>
        <w:rPr>
          <w:szCs w:val="32"/>
        </w:rPr>
      </w:pPr>
    </w:p>
    <w:p w14:paraId="2941ED8F" w14:textId="77777777" w:rsidR="00425989" w:rsidRDefault="00425989" w:rsidP="00425989">
      <w:pPr>
        <w:spacing w:after="120"/>
        <w:rPr>
          <w:szCs w:val="32"/>
        </w:rPr>
      </w:pPr>
    </w:p>
    <w:p w14:paraId="61436163" w14:textId="2842199D" w:rsidR="00425989" w:rsidRDefault="00425989" w:rsidP="00425989">
      <w:pPr>
        <w:pStyle w:val="FigureCaption"/>
        <w:rPr>
          <w:i/>
        </w:rPr>
      </w:pPr>
      <w:bookmarkStart w:id="362" w:name="_Ref507410272"/>
      <w:bookmarkStart w:id="363" w:name="_Toc507340027"/>
      <w:bookmarkStart w:id="364" w:name="_Toc509837497"/>
      <w:r>
        <w:lastRenderedPageBreak/>
        <w:t xml:space="preserve">Figure </w:t>
      </w:r>
      <w:fldSimple w:instr=" STYLEREF 1 \s ">
        <w:r w:rsidR="005D5C7C">
          <w:rPr>
            <w:noProof/>
          </w:rPr>
          <w:t>4</w:t>
        </w:r>
      </w:fldSimple>
      <w:r w:rsidR="00A11E78">
        <w:t>.</w:t>
      </w:r>
      <w:fldSimple w:instr=" SEQ Figure \* ARABIC \s 1 ">
        <w:r w:rsidR="005D5C7C">
          <w:rPr>
            <w:noProof/>
          </w:rPr>
          <w:t>19</w:t>
        </w:r>
      </w:fldSimple>
      <w:bookmarkEnd w:id="362"/>
      <w:r>
        <w:t xml:space="preserve">: CPP Enrollments, </w:t>
      </w:r>
      <w:r>
        <w:rPr>
          <w:i/>
        </w:rPr>
        <w:t>SCE SMB</w:t>
      </w:r>
      <w:bookmarkEnd w:id="363"/>
      <w:bookmarkEnd w:id="364"/>
    </w:p>
    <w:p w14:paraId="70FBF604" w14:textId="25A1C6AE" w:rsidR="00425989" w:rsidRDefault="00F608D8" w:rsidP="00425989">
      <w:r>
        <w:rPr>
          <w:noProof/>
        </w:rPr>
        <w:drawing>
          <wp:inline distT="0" distB="0" distL="0" distR="0" wp14:anchorId="7F35BBC8" wp14:editId="4B71E815">
            <wp:extent cx="5486400" cy="3983990"/>
            <wp:effectExtent l="0" t="0" r="0" b="0"/>
            <wp:docPr id="135" name="Chart 135">
              <a:extLst xmlns:a="http://schemas.openxmlformats.org/drawingml/2006/main">
                <a:ext uri="{FF2B5EF4-FFF2-40B4-BE49-F238E27FC236}">
                  <a16:creationId xmlns:a16="http://schemas.microsoft.com/office/drawing/2014/main" id="{C7C1FF6E-E431-4028-A294-86EF54BAD1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r>
        <w:rPr>
          <w:noProof/>
        </w:rPr>
        <w:t xml:space="preserve"> </w:t>
      </w:r>
    </w:p>
    <w:p w14:paraId="0D19FC9B" w14:textId="77777777" w:rsidR="00425989" w:rsidRDefault="00425989" w:rsidP="00425989"/>
    <w:p w14:paraId="38FC713E" w14:textId="77777777" w:rsidR="00425989" w:rsidRDefault="00425989" w:rsidP="00425989">
      <w:pPr>
        <w:spacing w:after="120"/>
        <w:rPr>
          <w:szCs w:val="32"/>
        </w:rPr>
      </w:pPr>
    </w:p>
    <w:p w14:paraId="4E5E81A9" w14:textId="54540349" w:rsidR="0020289F" w:rsidRDefault="00425989" w:rsidP="00425989">
      <w:r>
        <w:fldChar w:fldCharType="begin"/>
      </w:r>
      <w:r>
        <w:instrText xml:space="preserve"> REF _Ref507413295 \h </w:instrText>
      </w:r>
      <w:r>
        <w:fldChar w:fldCharType="separate"/>
      </w:r>
      <w:r w:rsidR="005D5C7C">
        <w:t xml:space="preserve">Figure </w:t>
      </w:r>
      <w:r w:rsidR="005D5C7C">
        <w:rPr>
          <w:noProof/>
        </w:rPr>
        <w:t>4</w:t>
      </w:r>
      <w:r w:rsidR="005D5C7C">
        <w:t>.</w:t>
      </w:r>
      <w:r w:rsidR="005D5C7C">
        <w:rPr>
          <w:noProof/>
        </w:rPr>
        <w:t>20</w:t>
      </w:r>
      <w:r>
        <w:fldChar w:fldCharType="end"/>
      </w:r>
      <w:r>
        <w:t xml:space="preserve"> illustrates the aggregate reference loads, observed loads, and load impacts for medium customers on the typical event day in August in 2022 for the SCE 1-in-2 weather scenario.</w:t>
      </w:r>
      <w:r w:rsidR="0020289F">
        <w:t xml:space="preserve"> </w:t>
      </w:r>
    </w:p>
    <w:p w14:paraId="14FAAACA" w14:textId="77777777" w:rsidR="0020289F" w:rsidRDefault="0020289F" w:rsidP="00425989"/>
    <w:p w14:paraId="6C08D73F" w14:textId="69022689" w:rsidR="00C30246" w:rsidRDefault="0020289F" w:rsidP="00425989">
      <w:r>
        <w:t xml:space="preserve">Because SCE has not yet defaulted its SMB customers onto CPP, we do not have </w:t>
      </w:r>
      <w:r w:rsidRPr="0020289F">
        <w:rPr>
          <w:i/>
        </w:rPr>
        <w:t>ex-post</w:t>
      </w:r>
      <w:r>
        <w:t xml:space="preserve"> impacts on which to base the </w:t>
      </w:r>
      <w:r w:rsidRPr="0020289F">
        <w:rPr>
          <w:i/>
        </w:rPr>
        <w:t>ex-ante</w:t>
      </w:r>
      <w:r>
        <w:t xml:space="preserve"> forecast. This was also the case for the previous evaluation, in which the </w:t>
      </w:r>
      <w:r w:rsidRPr="0020289F">
        <w:rPr>
          <w:i/>
        </w:rPr>
        <w:t>ex-ante</w:t>
      </w:r>
      <w:r>
        <w:t xml:space="preserve"> forecast was based on a combination of reference loads from samples of SCE customers and percentage load impacts adapted from PG&amp;E </w:t>
      </w:r>
      <w:r w:rsidRPr="0020289F">
        <w:rPr>
          <w:i/>
        </w:rPr>
        <w:t>ex-post</w:t>
      </w:r>
      <w:r>
        <w:t xml:space="preserve"> estimates. In the interest of continuity, we base our </w:t>
      </w:r>
      <w:r w:rsidRPr="0020289F">
        <w:rPr>
          <w:i/>
        </w:rPr>
        <w:t>ex-ante</w:t>
      </w:r>
      <w:r>
        <w:t xml:space="preserve"> forecast of SCE’s SMB customers on the forecast in the previous study. Specifically, we retain the per-customer reference loads and load impacts, but re-scale them to the updated enrollment forecast.</w:t>
      </w:r>
      <w:r>
        <w:rPr>
          <w:rStyle w:val="FootnoteReference"/>
        </w:rPr>
        <w:footnoteReference w:id="18"/>
      </w:r>
      <w:r>
        <w:t xml:space="preserve"> </w:t>
      </w:r>
      <w:r w:rsidR="00C30246">
        <w:t xml:space="preserve">Because of how the forecast is developed, there is not a close correspondence to the </w:t>
      </w:r>
      <w:r w:rsidR="00C30246" w:rsidRPr="00264FB1">
        <w:rPr>
          <w:i/>
        </w:rPr>
        <w:t>ex-post</w:t>
      </w:r>
      <w:r w:rsidR="00C30246">
        <w:t xml:space="preserve"> estimates for SCE’s SMB customers, as that group is currently comprised of a </w:t>
      </w:r>
      <w:proofErr w:type="gramStart"/>
      <w:r w:rsidR="00C30246">
        <w:t>fairly small</w:t>
      </w:r>
      <w:proofErr w:type="gramEnd"/>
      <w:r w:rsidR="00C30246">
        <w:t xml:space="preserve"> number of customers who enrolled in CPP voluntarily (rather than being defaulted onto the rate)</w:t>
      </w:r>
      <w:r w:rsidR="00425989">
        <w:t xml:space="preserve">. </w:t>
      </w:r>
    </w:p>
    <w:p w14:paraId="4791346F" w14:textId="5F19E1C4" w:rsidR="00425989" w:rsidRDefault="00425989" w:rsidP="00425989">
      <w:r>
        <w:lastRenderedPageBreak/>
        <w:t>The forecast predicts an average load impact of 4 MWh/hour for medium customers on the typical event day in 2022 for the SCE 1-in-2 weather scenario, which is a two percent reduction in reference loads.</w:t>
      </w:r>
    </w:p>
    <w:p w14:paraId="3D73B2BB" w14:textId="77777777" w:rsidR="00425989" w:rsidRDefault="00425989" w:rsidP="00425989">
      <w:pPr>
        <w:spacing w:after="120"/>
        <w:rPr>
          <w:szCs w:val="32"/>
        </w:rPr>
      </w:pPr>
    </w:p>
    <w:p w14:paraId="1A9C84C1" w14:textId="6BF0E202" w:rsidR="00425989" w:rsidRDefault="00425989" w:rsidP="00425989">
      <w:pPr>
        <w:pStyle w:val="FigureCaption"/>
        <w:rPr>
          <w:i/>
        </w:rPr>
      </w:pPr>
      <w:bookmarkStart w:id="365" w:name="_Ref507413295"/>
      <w:bookmarkStart w:id="366" w:name="_Toc507340028"/>
      <w:bookmarkStart w:id="367" w:name="_Toc509837498"/>
      <w:r>
        <w:t xml:space="preserve">Figure </w:t>
      </w:r>
      <w:fldSimple w:instr=" STYLEREF 1 \s ">
        <w:r w:rsidR="005D5C7C">
          <w:rPr>
            <w:noProof/>
          </w:rPr>
          <w:t>4</w:t>
        </w:r>
      </w:fldSimple>
      <w:r w:rsidR="00A11E78">
        <w:t>.</w:t>
      </w:r>
      <w:fldSimple w:instr=" SEQ Figure \* ARABIC \s 1 ">
        <w:r w:rsidR="005D5C7C">
          <w:rPr>
            <w:noProof/>
          </w:rPr>
          <w:t>20</w:t>
        </w:r>
      </w:fldSimple>
      <w:bookmarkEnd w:id="365"/>
      <w:r>
        <w:t xml:space="preserve">: </w:t>
      </w:r>
      <w:r w:rsidRPr="003E379F">
        <w:t>Aggregate Hourly Loads and Load Impacts</w:t>
      </w:r>
      <w:r>
        <w:t xml:space="preserve"> in 2022 for</w:t>
      </w:r>
      <w:r>
        <w:rPr>
          <w:i/>
        </w:rPr>
        <w:t xml:space="preserve"> SCE 1-in-2 Typical Event Day, SCE Medium</w:t>
      </w:r>
      <w:bookmarkEnd w:id="366"/>
      <w:bookmarkEnd w:id="367"/>
    </w:p>
    <w:p w14:paraId="019DAB45" w14:textId="5B74DEAB" w:rsidR="00425989" w:rsidRDefault="00F608D8" w:rsidP="00425989">
      <w:r>
        <w:rPr>
          <w:noProof/>
        </w:rPr>
        <w:drawing>
          <wp:inline distT="0" distB="0" distL="0" distR="0" wp14:anchorId="2D8F2761" wp14:editId="01FCAA12">
            <wp:extent cx="5486400" cy="3983990"/>
            <wp:effectExtent l="0" t="0" r="0" b="0"/>
            <wp:docPr id="136" name="Chart 136">
              <a:extLst xmlns:a="http://schemas.openxmlformats.org/drawingml/2006/main">
                <a:ext uri="{FF2B5EF4-FFF2-40B4-BE49-F238E27FC236}">
                  <a16:creationId xmlns:a16="http://schemas.microsoft.com/office/drawing/2014/main" id="{C56E7310-4A80-44B9-B43B-E78C3BC7FF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6EFEA2B9" w14:textId="77777777" w:rsidR="00425989" w:rsidRDefault="00425989" w:rsidP="00425989">
      <w:pPr>
        <w:spacing w:after="120"/>
        <w:rPr>
          <w:szCs w:val="32"/>
        </w:rPr>
      </w:pPr>
    </w:p>
    <w:p w14:paraId="39B5907D" w14:textId="08329154" w:rsidR="00425989" w:rsidRDefault="00425989" w:rsidP="00425989">
      <w:r>
        <w:fldChar w:fldCharType="begin"/>
      </w:r>
      <w:r>
        <w:instrText xml:space="preserve"> REF _Ref507413464 \h </w:instrText>
      </w:r>
      <w:r>
        <w:fldChar w:fldCharType="separate"/>
      </w:r>
      <w:r w:rsidR="005D5C7C">
        <w:t xml:space="preserve">Figure </w:t>
      </w:r>
      <w:r w:rsidR="005D5C7C">
        <w:rPr>
          <w:noProof/>
        </w:rPr>
        <w:t>4</w:t>
      </w:r>
      <w:r w:rsidR="005D5C7C">
        <w:t>.</w:t>
      </w:r>
      <w:r w:rsidR="005D5C7C">
        <w:rPr>
          <w:noProof/>
        </w:rPr>
        <w:t>21</w:t>
      </w:r>
      <w:r>
        <w:fldChar w:fldCharType="end"/>
      </w:r>
      <w:r>
        <w:t xml:space="preserve"> illustrates the aggregate reference loads, observed loads, and load impacts for small customers on the typical event day in August in 2022 for the SCE 1-in-2 weather scenario. </w:t>
      </w:r>
      <w:r w:rsidR="00993951">
        <w:t>For these customers, t</w:t>
      </w:r>
      <w:r>
        <w:t xml:space="preserve">he forecast predicts an average load impact of 3 MWh/hour on the typical event day in 2022 for the </w:t>
      </w:r>
      <w:r w:rsidR="00993951">
        <w:t>SCE</w:t>
      </w:r>
      <w:r>
        <w:t xml:space="preserve"> 1-in-2 weather scenario, which is a four percent reduction in reference loads.</w:t>
      </w:r>
    </w:p>
    <w:p w14:paraId="0574D9DD" w14:textId="77777777" w:rsidR="00425989" w:rsidRDefault="00425989" w:rsidP="00425989">
      <w:pPr>
        <w:spacing w:after="120"/>
        <w:rPr>
          <w:szCs w:val="32"/>
        </w:rPr>
      </w:pPr>
    </w:p>
    <w:p w14:paraId="6ED6AD94" w14:textId="57AC8A70" w:rsidR="00425989" w:rsidRDefault="00425989" w:rsidP="00425989">
      <w:pPr>
        <w:pStyle w:val="FigureCaption"/>
        <w:rPr>
          <w:i/>
        </w:rPr>
      </w:pPr>
      <w:bookmarkStart w:id="368" w:name="_Ref507413464"/>
      <w:bookmarkStart w:id="369" w:name="_Toc507340029"/>
      <w:bookmarkStart w:id="370" w:name="_Toc509837499"/>
      <w:r>
        <w:lastRenderedPageBreak/>
        <w:t xml:space="preserve">Figure </w:t>
      </w:r>
      <w:fldSimple w:instr=" STYLEREF 1 \s ">
        <w:r w:rsidR="005D5C7C">
          <w:rPr>
            <w:noProof/>
          </w:rPr>
          <w:t>4</w:t>
        </w:r>
      </w:fldSimple>
      <w:r w:rsidR="00A11E78">
        <w:t>.</w:t>
      </w:r>
      <w:fldSimple w:instr=" SEQ Figure \* ARABIC \s 1 ">
        <w:r w:rsidR="005D5C7C">
          <w:rPr>
            <w:noProof/>
          </w:rPr>
          <w:t>21</w:t>
        </w:r>
      </w:fldSimple>
      <w:bookmarkEnd w:id="368"/>
      <w:r>
        <w:t xml:space="preserve">: </w:t>
      </w:r>
      <w:r w:rsidRPr="003E379F">
        <w:t>Aggregate Hourly Loads and Load Impacts</w:t>
      </w:r>
      <w:r>
        <w:t xml:space="preserve"> in 2022 for</w:t>
      </w:r>
      <w:r>
        <w:rPr>
          <w:i/>
        </w:rPr>
        <w:t xml:space="preserve"> SCE 1-in-2 Typical Event Day, SCE Small</w:t>
      </w:r>
      <w:bookmarkEnd w:id="369"/>
      <w:bookmarkEnd w:id="370"/>
    </w:p>
    <w:p w14:paraId="3CCDECBE" w14:textId="459FD35B" w:rsidR="00425989" w:rsidRDefault="00F608D8" w:rsidP="00425989">
      <w:pPr>
        <w:rPr>
          <w:rStyle w:val="Emphasis"/>
        </w:rPr>
      </w:pPr>
      <w:r>
        <w:rPr>
          <w:noProof/>
        </w:rPr>
        <w:drawing>
          <wp:inline distT="0" distB="0" distL="0" distR="0" wp14:anchorId="1F7C2001" wp14:editId="6E364827">
            <wp:extent cx="5486400" cy="3983990"/>
            <wp:effectExtent l="0" t="0" r="0" b="0"/>
            <wp:docPr id="137" name="Chart 137">
              <a:extLst xmlns:a="http://schemas.openxmlformats.org/drawingml/2006/main">
                <a:ext uri="{FF2B5EF4-FFF2-40B4-BE49-F238E27FC236}">
                  <a16:creationId xmlns:a16="http://schemas.microsoft.com/office/drawing/2014/main" id="{D5F7C1E8-598A-49C8-9AE6-29E64B1DE1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4300171B" w14:textId="6DB938C2" w:rsidR="00425989" w:rsidRDefault="00425989" w:rsidP="00425989">
      <w:pPr>
        <w:rPr>
          <w:rStyle w:val="Emphasis"/>
        </w:rPr>
      </w:pPr>
    </w:p>
    <w:p w14:paraId="75C34E34" w14:textId="77777777" w:rsidR="00F608D8" w:rsidRPr="00420F94" w:rsidRDefault="00F608D8" w:rsidP="00425989">
      <w:pPr>
        <w:rPr>
          <w:rStyle w:val="Emphasis"/>
        </w:rPr>
      </w:pPr>
    </w:p>
    <w:p w14:paraId="758337BA" w14:textId="7A575639" w:rsidR="00425989" w:rsidRDefault="00425989" w:rsidP="00993951">
      <w:pPr>
        <w:spacing w:after="120"/>
        <w:rPr>
          <w:szCs w:val="32"/>
        </w:rPr>
      </w:pPr>
      <w:r>
        <w:rPr>
          <w:szCs w:val="32"/>
        </w:rPr>
        <w:fldChar w:fldCharType="begin"/>
      </w:r>
      <w:r>
        <w:rPr>
          <w:szCs w:val="32"/>
        </w:rPr>
        <w:instrText xml:space="preserve"> REF _Ref507414165 \h </w:instrText>
      </w:r>
      <w:r>
        <w:rPr>
          <w:szCs w:val="32"/>
        </w:rPr>
      </w:r>
      <w:r>
        <w:rPr>
          <w:szCs w:val="32"/>
        </w:rPr>
        <w:fldChar w:fldCharType="separate"/>
      </w:r>
      <w:r w:rsidR="005D5C7C">
        <w:t xml:space="preserve">Figure </w:t>
      </w:r>
      <w:r w:rsidR="005D5C7C">
        <w:rPr>
          <w:noProof/>
        </w:rPr>
        <w:t>4</w:t>
      </w:r>
      <w:r w:rsidR="005D5C7C">
        <w:t>.</w:t>
      </w:r>
      <w:r w:rsidR="005D5C7C">
        <w:rPr>
          <w:noProof/>
        </w:rPr>
        <w:t>22</w:t>
      </w:r>
      <w:r>
        <w:rPr>
          <w:szCs w:val="32"/>
        </w:rPr>
        <w:fldChar w:fldCharType="end"/>
      </w:r>
      <w:r>
        <w:rPr>
          <w:szCs w:val="32"/>
        </w:rPr>
        <w:t xml:space="preserve"> </w:t>
      </w:r>
      <w:r w:rsidR="00993951">
        <w:rPr>
          <w:szCs w:val="32"/>
        </w:rPr>
        <w:t xml:space="preserve">shows the forecasted share of load impacts for medium customers by LCA, based on the average event-hour load impact on the typical event day in 2022 under SCE’s 1-in-2 weather scenario. </w:t>
      </w:r>
      <w:r>
        <w:rPr>
          <w:szCs w:val="32"/>
        </w:rPr>
        <w:t xml:space="preserve">LA Basin </w:t>
      </w:r>
      <w:r w:rsidR="00993951">
        <w:rPr>
          <w:szCs w:val="32"/>
        </w:rPr>
        <w:t xml:space="preserve">is expected to </w:t>
      </w:r>
      <w:r>
        <w:rPr>
          <w:szCs w:val="32"/>
        </w:rPr>
        <w:t>have the largest share of load impacts at 81 percent, followed by Ventura at 13 percent, then Outside Basin at 6 percent.</w:t>
      </w:r>
    </w:p>
    <w:p w14:paraId="45FDE15E" w14:textId="77777777" w:rsidR="00425989" w:rsidRDefault="00425989" w:rsidP="00425989">
      <w:pPr>
        <w:spacing w:after="120"/>
        <w:rPr>
          <w:szCs w:val="32"/>
        </w:rPr>
      </w:pPr>
    </w:p>
    <w:p w14:paraId="37BBA44C" w14:textId="77777777" w:rsidR="00425989" w:rsidRDefault="00425989" w:rsidP="00425989">
      <w:pPr>
        <w:spacing w:after="120"/>
        <w:rPr>
          <w:szCs w:val="32"/>
        </w:rPr>
      </w:pPr>
    </w:p>
    <w:p w14:paraId="349AC696" w14:textId="74839D7D" w:rsidR="00425989" w:rsidRDefault="00425989" w:rsidP="00425989">
      <w:pPr>
        <w:pStyle w:val="FigureCaption"/>
      </w:pPr>
      <w:bookmarkStart w:id="371" w:name="_Ref507414165"/>
      <w:bookmarkStart w:id="372" w:name="_Toc507340030"/>
      <w:bookmarkStart w:id="373" w:name="_Toc509837500"/>
      <w:r>
        <w:lastRenderedPageBreak/>
        <w:t xml:space="preserve">Figure </w:t>
      </w:r>
      <w:fldSimple w:instr=" STYLEREF 1 \s ">
        <w:r w:rsidR="005D5C7C">
          <w:rPr>
            <w:noProof/>
          </w:rPr>
          <w:t>4</w:t>
        </w:r>
      </w:fldSimple>
      <w:r w:rsidR="00A11E78">
        <w:t>.</w:t>
      </w:r>
      <w:fldSimple w:instr=" SEQ Figure \* ARABIC \s 1 ">
        <w:r w:rsidR="005D5C7C">
          <w:rPr>
            <w:noProof/>
          </w:rPr>
          <w:t>22</w:t>
        </w:r>
      </w:fldSimple>
      <w:bookmarkEnd w:id="371"/>
      <w:r>
        <w:t>: Share of Load Impacts by LCA in 2022 for</w:t>
      </w:r>
      <w:r>
        <w:rPr>
          <w:i/>
        </w:rPr>
        <w:t xml:space="preserve"> SCE 1-in-2 Typical Event Day, </w:t>
      </w:r>
      <w:r>
        <w:rPr>
          <w:i/>
        </w:rPr>
        <w:br/>
        <w:t>SCE Medium</w:t>
      </w:r>
      <w:bookmarkEnd w:id="372"/>
      <w:bookmarkEnd w:id="373"/>
    </w:p>
    <w:p w14:paraId="30C12D34" w14:textId="77777777" w:rsidR="00425989" w:rsidRDefault="00425989" w:rsidP="00425989">
      <w:pPr>
        <w:spacing w:after="120"/>
        <w:rPr>
          <w:szCs w:val="32"/>
        </w:rPr>
      </w:pPr>
      <w:r>
        <w:rPr>
          <w:noProof/>
          <w:szCs w:val="32"/>
        </w:rPr>
        <w:drawing>
          <wp:inline distT="0" distB="0" distL="0" distR="0" wp14:anchorId="7D7C3E8D" wp14:editId="2278A3AE">
            <wp:extent cx="5487035" cy="398716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87035" cy="3987165"/>
                    </a:xfrm>
                    <a:prstGeom prst="rect">
                      <a:avLst/>
                    </a:prstGeom>
                    <a:noFill/>
                  </pic:spPr>
                </pic:pic>
              </a:graphicData>
            </a:graphic>
          </wp:inline>
        </w:drawing>
      </w:r>
    </w:p>
    <w:p w14:paraId="7DEFED04" w14:textId="77777777" w:rsidR="00425989" w:rsidRDefault="00425989" w:rsidP="00425989">
      <w:pPr>
        <w:spacing w:after="120"/>
        <w:rPr>
          <w:szCs w:val="32"/>
        </w:rPr>
      </w:pPr>
    </w:p>
    <w:p w14:paraId="7864BD71" w14:textId="5D85CB50" w:rsidR="00425989" w:rsidRDefault="00425989" w:rsidP="00425989">
      <w:pPr>
        <w:spacing w:after="120"/>
        <w:rPr>
          <w:szCs w:val="32"/>
        </w:rPr>
      </w:pPr>
      <w:r>
        <w:rPr>
          <w:szCs w:val="32"/>
        </w:rPr>
        <w:fldChar w:fldCharType="begin"/>
      </w:r>
      <w:r>
        <w:rPr>
          <w:szCs w:val="32"/>
        </w:rPr>
        <w:instrText xml:space="preserve"> REF _Ref507414579 \h </w:instrText>
      </w:r>
      <w:r>
        <w:rPr>
          <w:szCs w:val="32"/>
        </w:rPr>
      </w:r>
      <w:r>
        <w:rPr>
          <w:szCs w:val="32"/>
        </w:rPr>
        <w:fldChar w:fldCharType="separate"/>
      </w:r>
      <w:r w:rsidR="005D5C7C">
        <w:t xml:space="preserve">Figure </w:t>
      </w:r>
      <w:r w:rsidR="005D5C7C">
        <w:rPr>
          <w:noProof/>
        </w:rPr>
        <w:t>4</w:t>
      </w:r>
      <w:r w:rsidR="005D5C7C">
        <w:t>.</w:t>
      </w:r>
      <w:r w:rsidR="005D5C7C">
        <w:rPr>
          <w:noProof/>
        </w:rPr>
        <w:t>23</w:t>
      </w:r>
      <w:r>
        <w:rPr>
          <w:szCs w:val="32"/>
        </w:rPr>
        <w:fldChar w:fldCharType="end"/>
      </w:r>
      <w:r>
        <w:rPr>
          <w:szCs w:val="32"/>
        </w:rPr>
        <w:t xml:space="preserve"> shows the </w:t>
      </w:r>
      <w:r w:rsidR="00993951">
        <w:rPr>
          <w:szCs w:val="32"/>
        </w:rPr>
        <w:t>same information f</w:t>
      </w:r>
      <w:r>
        <w:rPr>
          <w:szCs w:val="32"/>
        </w:rPr>
        <w:t>or small customers</w:t>
      </w:r>
      <w:r w:rsidR="00993951">
        <w:rPr>
          <w:szCs w:val="32"/>
        </w:rPr>
        <w:t xml:space="preserve">. The shared by LCA are </w:t>
      </w:r>
      <w:proofErr w:type="gramStart"/>
      <w:r w:rsidR="00993951">
        <w:rPr>
          <w:szCs w:val="32"/>
        </w:rPr>
        <w:t>similar to</w:t>
      </w:r>
      <w:proofErr w:type="gramEnd"/>
      <w:r w:rsidR="00993951">
        <w:rPr>
          <w:szCs w:val="32"/>
        </w:rPr>
        <w:t xml:space="preserve"> those of the medium customers, with 80 percent in the LA Basin, 15 percent in Ventura, and 5 percent in Outside Basin.</w:t>
      </w:r>
    </w:p>
    <w:p w14:paraId="1EA5EDEE" w14:textId="77777777" w:rsidR="00993951" w:rsidRDefault="00993951" w:rsidP="00425989">
      <w:pPr>
        <w:spacing w:after="120"/>
        <w:rPr>
          <w:szCs w:val="32"/>
        </w:rPr>
      </w:pPr>
    </w:p>
    <w:p w14:paraId="4BC49628" w14:textId="4AE60BE4" w:rsidR="00425989" w:rsidRDefault="00425989" w:rsidP="00425989">
      <w:pPr>
        <w:pStyle w:val="FigureCaption"/>
      </w:pPr>
      <w:bookmarkStart w:id="374" w:name="_Ref507414579"/>
      <w:bookmarkStart w:id="375" w:name="_Toc507340031"/>
      <w:bookmarkStart w:id="376" w:name="_Toc509837501"/>
      <w:r>
        <w:lastRenderedPageBreak/>
        <w:t xml:space="preserve">Figure </w:t>
      </w:r>
      <w:fldSimple w:instr=" STYLEREF 1 \s ">
        <w:r w:rsidR="005D5C7C">
          <w:rPr>
            <w:noProof/>
          </w:rPr>
          <w:t>4</w:t>
        </w:r>
      </w:fldSimple>
      <w:r w:rsidR="00A11E78">
        <w:t>.</w:t>
      </w:r>
      <w:fldSimple w:instr=" SEQ Figure \* ARABIC \s 1 ">
        <w:r w:rsidR="005D5C7C">
          <w:rPr>
            <w:noProof/>
          </w:rPr>
          <w:t>23</w:t>
        </w:r>
      </w:fldSimple>
      <w:bookmarkEnd w:id="374"/>
      <w:r>
        <w:t>: Share of Load Impacts by LCA in 2022 for</w:t>
      </w:r>
      <w:r>
        <w:rPr>
          <w:i/>
        </w:rPr>
        <w:t xml:space="preserve"> SCE 1-in-2 Typical Event Day, </w:t>
      </w:r>
      <w:r>
        <w:rPr>
          <w:i/>
        </w:rPr>
        <w:br/>
        <w:t>SCE Small</w:t>
      </w:r>
      <w:bookmarkEnd w:id="375"/>
      <w:bookmarkEnd w:id="376"/>
    </w:p>
    <w:p w14:paraId="4FC14AFB" w14:textId="77777777" w:rsidR="00425989" w:rsidRDefault="00425989" w:rsidP="00425989">
      <w:pPr>
        <w:spacing w:after="120"/>
        <w:rPr>
          <w:szCs w:val="32"/>
        </w:rPr>
      </w:pPr>
      <w:r>
        <w:rPr>
          <w:noProof/>
          <w:szCs w:val="32"/>
        </w:rPr>
        <w:drawing>
          <wp:inline distT="0" distB="0" distL="0" distR="0" wp14:anchorId="092C18D0" wp14:editId="7BC0ABCA">
            <wp:extent cx="5487035" cy="3987165"/>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87035" cy="3987165"/>
                    </a:xfrm>
                    <a:prstGeom prst="rect">
                      <a:avLst/>
                    </a:prstGeom>
                    <a:noFill/>
                  </pic:spPr>
                </pic:pic>
              </a:graphicData>
            </a:graphic>
          </wp:inline>
        </w:drawing>
      </w:r>
    </w:p>
    <w:p w14:paraId="45665FD7" w14:textId="77777777" w:rsidR="00425989" w:rsidRDefault="00425989" w:rsidP="00425989">
      <w:pPr>
        <w:spacing w:after="120"/>
        <w:rPr>
          <w:szCs w:val="32"/>
        </w:rPr>
      </w:pPr>
    </w:p>
    <w:p w14:paraId="325A0DCB" w14:textId="5352A421" w:rsidR="0067075C" w:rsidRDefault="00425989" w:rsidP="00425989">
      <w:pPr>
        <w:spacing w:after="120"/>
        <w:rPr>
          <w:szCs w:val="32"/>
        </w:rPr>
      </w:pPr>
      <w:r>
        <w:rPr>
          <w:szCs w:val="32"/>
        </w:rPr>
        <w:fldChar w:fldCharType="begin"/>
      </w:r>
      <w:r>
        <w:rPr>
          <w:szCs w:val="32"/>
        </w:rPr>
        <w:instrText xml:space="preserve"> REF _Ref507416096 \h </w:instrText>
      </w:r>
      <w:r>
        <w:rPr>
          <w:szCs w:val="32"/>
        </w:rPr>
      </w:r>
      <w:r>
        <w:rPr>
          <w:szCs w:val="32"/>
        </w:rPr>
        <w:fldChar w:fldCharType="separate"/>
      </w:r>
      <w:r w:rsidR="005D5C7C">
        <w:t xml:space="preserve">Figure </w:t>
      </w:r>
      <w:r w:rsidR="005D5C7C">
        <w:rPr>
          <w:noProof/>
        </w:rPr>
        <w:t>4</w:t>
      </w:r>
      <w:r w:rsidR="005D5C7C">
        <w:t>.</w:t>
      </w:r>
      <w:r w:rsidR="005D5C7C">
        <w:rPr>
          <w:noProof/>
        </w:rPr>
        <w:t>24</w:t>
      </w:r>
      <w:r>
        <w:rPr>
          <w:szCs w:val="32"/>
        </w:rPr>
        <w:fldChar w:fldCharType="end"/>
      </w:r>
      <w:r>
        <w:rPr>
          <w:szCs w:val="32"/>
        </w:rPr>
        <w:t xml:space="preserve"> </w:t>
      </w:r>
      <w:r w:rsidR="00993951">
        <w:rPr>
          <w:szCs w:val="32"/>
        </w:rPr>
        <w:t>shows the seasonality of the forecasted</w:t>
      </w:r>
      <w:r w:rsidR="00993951" w:rsidRPr="00703D32">
        <w:rPr>
          <w:i/>
          <w:szCs w:val="32"/>
        </w:rPr>
        <w:t xml:space="preserve"> </w:t>
      </w:r>
      <w:r w:rsidR="00993951">
        <w:rPr>
          <w:szCs w:val="32"/>
        </w:rPr>
        <w:t>load impacts for medium customers based on the 2022 aggregate load impacts for the average hour in the RA window for SCE’s 1-in-2 weather scenario. T</w:t>
      </w:r>
      <w:r>
        <w:rPr>
          <w:szCs w:val="32"/>
        </w:rPr>
        <w:t xml:space="preserve">he seasonality </w:t>
      </w:r>
      <w:r w:rsidR="00993951">
        <w:rPr>
          <w:szCs w:val="32"/>
        </w:rPr>
        <w:t xml:space="preserve">in load impacts </w:t>
      </w:r>
      <w:r>
        <w:rPr>
          <w:szCs w:val="32"/>
        </w:rPr>
        <w:t xml:space="preserve">results from </w:t>
      </w:r>
      <w:r w:rsidR="00993951">
        <w:rPr>
          <w:szCs w:val="32"/>
        </w:rPr>
        <w:t>the change in the RA window during the year, with the November to March RA window including three non-event hours.</w:t>
      </w:r>
      <w:r w:rsidR="0067075C">
        <w:rPr>
          <w:szCs w:val="32"/>
        </w:rPr>
        <w:t xml:space="preserve"> The load impact is highest in August (4.2 MWh/hour) and lowest in December (1.2 MWh/hour).</w:t>
      </w:r>
    </w:p>
    <w:p w14:paraId="1F6B84A3" w14:textId="77777777" w:rsidR="00425989" w:rsidRDefault="00425989" w:rsidP="00425989">
      <w:pPr>
        <w:spacing w:after="120"/>
        <w:rPr>
          <w:szCs w:val="32"/>
        </w:rPr>
      </w:pPr>
    </w:p>
    <w:p w14:paraId="7ACC2B2A" w14:textId="15CAC624" w:rsidR="00425989" w:rsidRDefault="00425989" w:rsidP="00425989">
      <w:pPr>
        <w:pStyle w:val="FigureCaption"/>
        <w:rPr>
          <w:i/>
        </w:rPr>
      </w:pPr>
      <w:bookmarkStart w:id="377" w:name="_Ref507416096"/>
      <w:bookmarkStart w:id="378" w:name="_Toc507340032"/>
      <w:bookmarkStart w:id="379" w:name="_Toc509837502"/>
      <w:r>
        <w:lastRenderedPageBreak/>
        <w:t xml:space="preserve">Figure </w:t>
      </w:r>
      <w:fldSimple w:instr=" STYLEREF 1 \s ">
        <w:r w:rsidR="005D5C7C">
          <w:rPr>
            <w:noProof/>
          </w:rPr>
          <w:t>4</w:t>
        </w:r>
      </w:fldSimple>
      <w:r w:rsidR="00A11E78">
        <w:t>.</w:t>
      </w:r>
      <w:fldSimple w:instr=" SEQ Figure \* ARABIC \s 1 ">
        <w:r w:rsidR="005D5C7C">
          <w:rPr>
            <w:noProof/>
          </w:rPr>
          <w:t>24</w:t>
        </w:r>
      </w:fldSimple>
      <w:bookmarkEnd w:id="377"/>
      <w:r>
        <w:t xml:space="preserve">: </w:t>
      </w:r>
      <w:r w:rsidRPr="003E379F">
        <w:t>Aggregate</w:t>
      </w:r>
      <w:r>
        <w:t xml:space="preserve"> </w:t>
      </w:r>
      <w:r w:rsidRPr="003E379F">
        <w:t xml:space="preserve">Load Impacts </w:t>
      </w:r>
      <w:r>
        <w:t>by Month</w:t>
      </w:r>
      <w:r w:rsidRPr="003E379F">
        <w:t xml:space="preserve"> </w:t>
      </w:r>
      <w:r>
        <w:t xml:space="preserve">over RA Window in 2022 for </w:t>
      </w:r>
      <w:r>
        <w:rPr>
          <w:i/>
        </w:rPr>
        <w:t>SCE 1-in-2 Peak Day</w:t>
      </w:r>
      <w:r>
        <w:t xml:space="preserve">, </w:t>
      </w:r>
      <w:r>
        <w:rPr>
          <w:i/>
        </w:rPr>
        <w:t>SCE Medium</w:t>
      </w:r>
      <w:bookmarkEnd w:id="378"/>
      <w:bookmarkEnd w:id="379"/>
    </w:p>
    <w:p w14:paraId="31E784A4" w14:textId="40A4AB94" w:rsidR="00F608D8" w:rsidRDefault="00F608D8" w:rsidP="00425989">
      <w:r>
        <w:rPr>
          <w:noProof/>
        </w:rPr>
        <w:drawing>
          <wp:inline distT="0" distB="0" distL="0" distR="0" wp14:anchorId="0857154D" wp14:editId="19F3DD4E">
            <wp:extent cx="5486400" cy="3983990"/>
            <wp:effectExtent l="0" t="0" r="0" b="0"/>
            <wp:docPr id="138" name="Chart 138">
              <a:extLst xmlns:a="http://schemas.openxmlformats.org/drawingml/2006/main">
                <a:ext uri="{FF2B5EF4-FFF2-40B4-BE49-F238E27FC236}">
                  <a16:creationId xmlns:a16="http://schemas.microsoft.com/office/drawing/2014/main" id="{11481B67-5A97-4BE8-A008-303DE3D683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0AEA9033" w14:textId="77777777" w:rsidR="00425989" w:rsidRDefault="00425989" w:rsidP="00425989"/>
    <w:p w14:paraId="63AAA7A0" w14:textId="5835DA20" w:rsidR="00425989" w:rsidRDefault="00425989" w:rsidP="00425989">
      <w:pPr>
        <w:spacing w:after="120"/>
        <w:rPr>
          <w:szCs w:val="32"/>
        </w:rPr>
      </w:pPr>
      <w:r>
        <w:rPr>
          <w:szCs w:val="32"/>
        </w:rPr>
        <w:fldChar w:fldCharType="begin"/>
      </w:r>
      <w:r>
        <w:rPr>
          <w:szCs w:val="32"/>
        </w:rPr>
        <w:instrText xml:space="preserve"> REF _Ref507416104 \h </w:instrText>
      </w:r>
      <w:r>
        <w:rPr>
          <w:szCs w:val="32"/>
        </w:rPr>
      </w:r>
      <w:r>
        <w:rPr>
          <w:szCs w:val="32"/>
        </w:rPr>
        <w:fldChar w:fldCharType="separate"/>
      </w:r>
      <w:r w:rsidR="005D5C7C">
        <w:t xml:space="preserve">Figure </w:t>
      </w:r>
      <w:r w:rsidR="005D5C7C">
        <w:rPr>
          <w:noProof/>
        </w:rPr>
        <w:t>4</w:t>
      </w:r>
      <w:r w:rsidR="005D5C7C">
        <w:t>.</w:t>
      </w:r>
      <w:r w:rsidR="005D5C7C">
        <w:rPr>
          <w:noProof/>
        </w:rPr>
        <w:t>25</w:t>
      </w:r>
      <w:r>
        <w:rPr>
          <w:szCs w:val="32"/>
        </w:rPr>
        <w:fldChar w:fldCharType="end"/>
      </w:r>
      <w:r>
        <w:rPr>
          <w:szCs w:val="32"/>
        </w:rPr>
        <w:t xml:space="preserve"> </w:t>
      </w:r>
      <w:r w:rsidR="0067075C">
        <w:rPr>
          <w:szCs w:val="32"/>
        </w:rPr>
        <w:t>illustrates the seasonality in the forecasted</w:t>
      </w:r>
      <w:r w:rsidR="0067075C" w:rsidRPr="00703D32">
        <w:rPr>
          <w:i/>
          <w:szCs w:val="32"/>
        </w:rPr>
        <w:t xml:space="preserve"> </w:t>
      </w:r>
      <w:r w:rsidR="0067075C">
        <w:rPr>
          <w:szCs w:val="32"/>
        </w:rPr>
        <w:t xml:space="preserve">load impacts for small customers. The seasonal pattern is </w:t>
      </w:r>
      <w:proofErr w:type="gramStart"/>
      <w:r w:rsidR="0067075C">
        <w:rPr>
          <w:szCs w:val="32"/>
        </w:rPr>
        <w:t>similar to</w:t>
      </w:r>
      <w:proofErr w:type="gramEnd"/>
      <w:r w:rsidR="0067075C">
        <w:rPr>
          <w:szCs w:val="32"/>
        </w:rPr>
        <w:t xml:space="preserve"> that of the medium customers. T</w:t>
      </w:r>
      <w:r>
        <w:rPr>
          <w:szCs w:val="32"/>
        </w:rPr>
        <w:t xml:space="preserve">he load impact </w:t>
      </w:r>
      <w:r w:rsidR="0067075C">
        <w:rPr>
          <w:szCs w:val="32"/>
        </w:rPr>
        <w:t xml:space="preserve">is highest in </w:t>
      </w:r>
      <w:r>
        <w:rPr>
          <w:szCs w:val="32"/>
        </w:rPr>
        <w:t xml:space="preserve">August </w:t>
      </w:r>
      <w:r w:rsidR="0067075C">
        <w:rPr>
          <w:szCs w:val="32"/>
        </w:rPr>
        <w:t>(</w:t>
      </w:r>
      <w:r>
        <w:rPr>
          <w:szCs w:val="32"/>
        </w:rPr>
        <w:t>3</w:t>
      </w:r>
      <w:r w:rsidR="0067075C">
        <w:rPr>
          <w:szCs w:val="32"/>
        </w:rPr>
        <w:t>.0</w:t>
      </w:r>
      <w:r>
        <w:rPr>
          <w:szCs w:val="32"/>
        </w:rPr>
        <w:t xml:space="preserve"> MWh/hour</w:t>
      </w:r>
      <w:r w:rsidR="0067075C">
        <w:rPr>
          <w:szCs w:val="32"/>
        </w:rPr>
        <w:t xml:space="preserve">) and lowest in </w:t>
      </w:r>
      <w:r>
        <w:rPr>
          <w:szCs w:val="32"/>
        </w:rPr>
        <w:t>March</w:t>
      </w:r>
      <w:r w:rsidR="0067075C">
        <w:rPr>
          <w:szCs w:val="32"/>
        </w:rPr>
        <w:t xml:space="preserve"> (1.6</w:t>
      </w:r>
      <w:r>
        <w:rPr>
          <w:szCs w:val="32"/>
        </w:rPr>
        <w:t xml:space="preserve"> MWh/hour</w:t>
      </w:r>
      <w:r w:rsidR="0067075C">
        <w:rPr>
          <w:szCs w:val="32"/>
        </w:rPr>
        <w:t>)</w:t>
      </w:r>
      <w:r>
        <w:rPr>
          <w:szCs w:val="32"/>
        </w:rPr>
        <w:t>.</w:t>
      </w:r>
    </w:p>
    <w:p w14:paraId="1018BA9C" w14:textId="77777777" w:rsidR="00425989" w:rsidRDefault="00425989" w:rsidP="00425989">
      <w:pPr>
        <w:spacing w:after="120"/>
        <w:rPr>
          <w:szCs w:val="32"/>
        </w:rPr>
      </w:pPr>
    </w:p>
    <w:p w14:paraId="1FBBA9AC" w14:textId="00C03877" w:rsidR="00425989" w:rsidRDefault="00425989" w:rsidP="00425989">
      <w:pPr>
        <w:pStyle w:val="FigureCaption"/>
        <w:rPr>
          <w:i/>
        </w:rPr>
      </w:pPr>
      <w:bookmarkStart w:id="380" w:name="_Ref507416104"/>
      <w:bookmarkStart w:id="381" w:name="_Toc507340033"/>
      <w:bookmarkStart w:id="382" w:name="_Toc509837503"/>
      <w:r>
        <w:lastRenderedPageBreak/>
        <w:t xml:space="preserve">Figure </w:t>
      </w:r>
      <w:fldSimple w:instr=" STYLEREF 1 \s ">
        <w:r w:rsidR="005D5C7C">
          <w:rPr>
            <w:noProof/>
          </w:rPr>
          <w:t>4</w:t>
        </w:r>
      </w:fldSimple>
      <w:r w:rsidR="00A11E78">
        <w:t>.</w:t>
      </w:r>
      <w:fldSimple w:instr=" SEQ Figure \* ARABIC \s 1 ">
        <w:r w:rsidR="005D5C7C">
          <w:rPr>
            <w:noProof/>
          </w:rPr>
          <w:t>25</w:t>
        </w:r>
      </w:fldSimple>
      <w:bookmarkEnd w:id="380"/>
      <w:r>
        <w:t xml:space="preserve">: </w:t>
      </w:r>
      <w:r w:rsidRPr="003E379F">
        <w:t>Aggregate</w:t>
      </w:r>
      <w:r>
        <w:t xml:space="preserve"> </w:t>
      </w:r>
      <w:r w:rsidRPr="003E379F">
        <w:t xml:space="preserve">Load Impacts </w:t>
      </w:r>
      <w:r>
        <w:t>by Month</w:t>
      </w:r>
      <w:r w:rsidRPr="003E379F">
        <w:t xml:space="preserve"> </w:t>
      </w:r>
      <w:r>
        <w:t xml:space="preserve">over RA Window in 2022 for </w:t>
      </w:r>
      <w:r>
        <w:rPr>
          <w:i/>
        </w:rPr>
        <w:t>SCE 1-in-2 Peak Day</w:t>
      </w:r>
      <w:r>
        <w:t xml:space="preserve">, </w:t>
      </w:r>
      <w:r>
        <w:rPr>
          <w:i/>
        </w:rPr>
        <w:t>SCE Small</w:t>
      </w:r>
      <w:bookmarkEnd w:id="381"/>
      <w:bookmarkEnd w:id="382"/>
    </w:p>
    <w:p w14:paraId="7D68EB65" w14:textId="2CC66DF0" w:rsidR="00425989" w:rsidRDefault="00F608D8" w:rsidP="00425989">
      <w:r>
        <w:rPr>
          <w:noProof/>
        </w:rPr>
        <w:drawing>
          <wp:inline distT="0" distB="0" distL="0" distR="0" wp14:anchorId="15D015BA" wp14:editId="6779126F">
            <wp:extent cx="5486400" cy="3983990"/>
            <wp:effectExtent l="0" t="0" r="0" b="0"/>
            <wp:docPr id="139" name="Chart 139">
              <a:extLst xmlns:a="http://schemas.openxmlformats.org/drawingml/2006/main">
                <a:ext uri="{FF2B5EF4-FFF2-40B4-BE49-F238E27FC236}">
                  <a16:creationId xmlns:a16="http://schemas.microsoft.com/office/drawing/2014/main" id="{73A794A7-5C56-45E2-99E1-FAAE1493A2B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5374599E" w14:textId="77777777" w:rsidR="002E1403" w:rsidRDefault="002E1403" w:rsidP="00425989"/>
    <w:p w14:paraId="27A7C811" w14:textId="4789D758" w:rsidR="00425989" w:rsidRDefault="00425989" w:rsidP="00425989">
      <w:pPr>
        <w:spacing w:after="120"/>
        <w:rPr>
          <w:szCs w:val="32"/>
        </w:rPr>
      </w:pPr>
      <w:r>
        <w:rPr>
          <w:szCs w:val="32"/>
        </w:rPr>
        <w:fldChar w:fldCharType="begin"/>
      </w:r>
      <w:r>
        <w:rPr>
          <w:szCs w:val="32"/>
        </w:rPr>
        <w:instrText xml:space="preserve"> REF _Ref507410685 \h </w:instrText>
      </w:r>
      <w:r>
        <w:rPr>
          <w:szCs w:val="32"/>
        </w:rPr>
      </w:r>
      <w:r>
        <w:rPr>
          <w:szCs w:val="32"/>
        </w:rPr>
        <w:fldChar w:fldCharType="separate"/>
      </w:r>
      <w:r w:rsidR="005D5C7C">
        <w:t xml:space="preserve">Figure </w:t>
      </w:r>
      <w:r w:rsidR="005D5C7C">
        <w:rPr>
          <w:noProof/>
        </w:rPr>
        <w:t>4</w:t>
      </w:r>
      <w:r w:rsidR="005D5C7C">
        <w:t>.</w:t>
      </w:r>
      <w:r w:rsidR="005D5C7C">
        <w:rPr>
          <w:noProof/>
        </w:rPr>
        <w:t>26</w:t>
      </w:r>
      <w:r>
        <w:rPr>
          <w:szCs w:val="32"/>
        </w:rPr>
        <w:fldChar w:fldCharType="end"/>
      </w:r>
      <w:r>
        <w:rPr>
          <w:szCs w:val="32"/>
        </w:rPr>
        <w:t xml:space="preserve"> </w:t>
      </w:r>
      <w:r w:rsidR="0067075C">
        <w:rPr>
          <w:szCs w:val="32"/>
        </w:rPr>
        <w:t xml:space="preserve">shows the change in load impacts over time and across weather scenarios. Each value is the aggregate load impact during the RA window of the typical event day. </w:t>
      </w:r>
      <w:r>
        <w:rPr>
          <w:szCs w:val="32"/>
        </w:rPr>
        <w:t xml:space="preserve">There are no </w:t>
      </w:r>
      <w:r w:rsidRPr="006741D9">
        <w:rPr>
          <w:i/>
          <w:szCs w:val="32"/>
        </w:rPr>
        <w:t>ex-ante</w:t>
      </w:r>
      <w:r>
        <w:rPr>
          <w:szCs w:val="32"/>
        </w:rPr>
        <w:t xml:space="preserve"> load impacts in 2018 due to zero </w:t>
      </w:r>
      <w:r w:rsidR="0067075C">
        <w:rPr>
          <w:szCs w:val="32"/>
        </w:rPr>
        <w:t xml:space="preserve">forecast </w:t>
      </w:r>
      <w:r>
        <w:rPr>
          <w:szCs w:val="32"/>
        </w:rPr>
        <w:t xml:space="preserve">enrollments. Customers who are defaulted into CPP in 2019 cause forecasted load impacts to increase </w:t>
      </w:r>
      <w:r w:rsidR="0067075C">
        <w:rPr>
          <w:szCs w:val="32"/>
        </w:rPr>
        <w:t xml:space="preserve">to approximately </w:t>
      </w:r>
      <w:r>
        <w:rPr>
          <w:szCs w:val="32"/>
        </w:rPr>
        <w:t xml:space="preserve">10 MWh/hour across weather scenarios, after which load impacts drop to </w:t>
      </w:r>
      <w:r w:rsidR="0067075C">
        <w:rPr>
          <w:szCs w:val="32"/>
        </w:rPr>
        <w:t xml:space="preserve">approximately </w:t>
      </w:r>
      <w:r>
        <w:rPr>
          <w:szCs w:val="32"/>
        </w:rPr>
        <w:t>4 MWh/hour in 2020. There are relatively minor differences between the forecasted load impacts for the alternative weather scenarios over the forecast period.</w:t>
      </w:r>
    </w:p>
    <w:p w14:paraId="6AB2F6C9" w14:textId="77777777" w:rsidR="00425989" w:rsidRDefault="00425989" w:rsidP="00425989">
      <w:pPr>
        <w:spacing w:after="120"/>
        <w:rPr>
          <w:szCs w:val="32"/>
        </w:rPr>
      </w:pPr>
    </w:p>
    <w:p w14:paraId="6EB26937" w14:textId="77777777" w:rsidR="00425989" w:rsidRDefault="00425989" w:rsidP="00425989">
      <w:pPr>
        <w:spacing w:after="120"/>
        <w:rPr>
          <w:szCs w:val="32"/>
        </w:rPr>
      </w:pPr>
    </w:p>
    <w:p w14:paraId="4D7B47E9" w14:textId="77777777" w:rsidR="00425989" w:rsidRDefault="00425989" w:rsidP="00425989">
      <w:pPr>
        <w:spacing w:after="120"/>
        <w:rPr>
          <w:szCs w:val="32"/>
        </w:rPr>
      </w:pPr>
    </w:p>
    <w:p w14:paraId="0D8282E6" w14:textId="77777777" w:rsidR="00425989" w:rsidRDefault="00425989" w:rsidP="00425989">
      <w:pPr>
        <w:spacing w:after="120"/>
        <w:rPr>
          <w:szCs w:val="32"/>
        </w:rPr>
      </w:pPr>
    </w:p>
    <w:p w14:paraId="62E46F72" w14:textId="77777777" w:rsidR="00425989" w:rsidRDefault="00425989" w:rsidP="00425989">
      <w:pPr>
        <w:spacing w:after="120"/>
        <w:rPr>
          <w:szCs w:val="32"/>
        </w:rPr>
      </w:pPr>
    </w:p>
    <w:p w14:paraId="70944399" w14:textId="6E2755A8" w:rsidR="00425989" w:rsidRDefault="00425989" w:rsidP="00425989">
      <w:pPr>
        <w:pStyle w:val="FigureCaption"/>
        <w:rPr>
          <w:i/>
        </w:rPr>
      </w:pPr>
      <w:bookmarkStart w:id="383" w:name="_Ref507410685"/>
      <w:bookmarkStart w:id="384" w:name="_Toc507340034"/>
      <w:bookmarkStart w:id="385" w:name="_Toc509837504"/>
      <w:r>
        <w:lastRenderedPageBreak/>
        <w:t xml:space="preserve">Figure </w:t>
      </w:r>
      <w:fldSimple w:instr=" STYLEREF 1 \s ">
        <w:r w:rsidR="005D5C7C">
          <w:rPr>
            <w:noProof/>
          </w:rPr>
          <w:t>4</w:t>
        </w:r>
      </w:fldSimple>
      <w:r w:rsidR="00A11E78">
        <w:t>.</w:t>
      </w:r>
      <w:fldSimple w:instr=" SEQ Figure \* ARABIC \s 1 ">
        <w:r w:rsidR="005D5C7C">
          <w:rPr>
            <w:noProof/>
          </w:rPr>
          <w:t>26</w:t>
        </w:r>
      </w:fldSimple>
      <w:bookmarkEnd w:id="383"/>
      <w:r>
        <w:t xml:space="preserve">: </w:t>
      </w:r>
      <w:r w:rsidRPr="003E379F">
        <w:t xml:space="preserve">Aggregate </w:t>
      </w:r>
      <w:r>
        <w:t xml:space="preserve">Load Impacts for </w:t>
      </w:r>
      <w:r w:rsidR="00515724">
        <w:t>Typical Event Day</w:t>
      </w:r>
      <w:r>
        <w:t xml:space="preserve"> by Year and Weather Scenario over RA Window, </w:t>
      </w:r>
      <w:r>
        <w:rPr>
          <w:i/>
        </w:rPr>
        <w:t>SCE Medium</w:t>
      </w:r>
      <w:bookmarkEnd w:id="384"/>
      <w:bookmarkEnd w:id="385"/>
    </w:p>
    <w:p w14:paraId="02F246F6" w14:textId="615FA72F" w:rsidR="00425989" w:rsidRDefault="002E1403" w:rsidP="00425989">
      <w:r>
        <w:rPr>
          <w:noProof/>
        </w:rPr>
        <w:drawing>
          <wp:inline distT="0" distB="0" distL="0" distR="0" wp14:anchorId="2D9D9B61" wp14:editId="1B3EAA32">
            <wp:extent cx="5486400" cy="3983990"/>
            <wp:effectExtent l="0" t="0" r="0" b="0"/>
            <wp:docPr id="140" name="Chart 140">
              <a:extLst xmlns:a="http://schemas.openxmlformats.org/drawingml/2006/main">
                <a:ext uri="{FF2B5EF4-FFF2-40B4-BE49-F238E27FC236}">
                  <a16:creationId xmlns:a16="http://schemas.microsoft.com/office/drawing/2014/main" id="{13069146-4679-474D-A170-E3322DB740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239900F1" w14:textId="77777777" w:rsidR="00425989" w:rsidRDefault="00425989" w:rsidP="00425989"/>
    <w:p w14:paraId="3FC5F286" w14:textId="77777777" w:rsidR="00425989" w:rsidRDefault="00425989" w:rsidP="00425989">
      <w:pPr>
        <w:spacing w:after="120"/>
        <w:rPr>
          <w:szCs w:val="32"/>
        </w:rPr>
      </w:pPr>
    </w:p>
    <w:p w14:paraId="27F5C869" w14:textId="77777777" w:rsidR="00425989" w:rsidRDefault="00425989" w:rsidP="00425989">
      <w:pPr>
        <w:spacing w:after="120"/>
        <w:rPr>
          <w:szCs w:val="32"/>
        </w:rPr>
      </w:pPr>
    </w:p>
    <w:p w14:paraId="1B1633CC" w14:textId="1B698BD2" w:rsidR="00425989" w:rsidRDefault="00425989" w:rsidP="0067075C">
      <w:pPr>
        <w:spacing w:after="120"/>
        <w:rPr>
          <w:szCs w:val="32"/>
        </w:rPr>
      </w:pPr>
      <w:r>
        <w:rPr>
          <w:szCs w:val="32"/>
        </w:rPr>
        <w:fldChar w:fldCharType="begin"/>
      </w:r>
      <w:r>
        <w:rPr>
          <w:szCs w:val="32"/>
        </w:rPr>
        <w:instrText xml:space="preserve"> REF _Ref507410693 \h </w:instrText>
      </w:r>
      <w:r>
        <w:rPr>
          <w:szCs w:val="32"/>
        </w:rPr>
      </w:r>
      <w:r>
        <w:rPr>
          <w:szCs w:val="32"/>
        </w:rPr>
        <w:fldChar w:fldCharType="separate"/>
      </w:r>
      <w:r w:rsidR="005D5C7C">
        <w:t xml:space="preserve">Figure </w:t>
      </w:r>
      <w:r w:rsidR="005D5C7C">
        <w:rPr>
          <w:noProof/>
        </w:rPr>
        <w:t>4</w:t>
      </w:r>
      <w:r w:rsidR="005D5C7C">
        <w:t>.</w:t>
      </w:r>
      <w:r w:rsidR="005D5C7C">
        <w:rPr>
          <w:noProof/>
        </w:rPr>
        <w:t>27</w:t>
      </w:r>
      <w:r>
        <w:rPr>
          <w:szCs w:val="32"/>
        </w:rPr>
        <w:fldChar w:fldCharType="end"/>
      </w:r>
      <w:r>
        <w:rPr>
          <w:szCs w:val="32"/>
        </w:rPr>
        <w:t xml:space="preserve"> </w:t>
      </w:r>
      <w:r w:rsidR="0067075C">
        <w:rPr>
          <w:szCs w:val="32"/>
        </w:rPr>
        <w:t xml:space="preserve">shows the same information for small customers. As with medium customers, the changes in load impacts reflect changes in enrollments. </w:t>
      </w:r>
      <w:r>
        <w:rPr>
          <w:szCs w:val="32"/>
        </w:rPr>
        <w:t xml:space="preserve">Customers who are defaulted into CPP in 2019 cause forecasted load impacts to increase to </w:t>
      </w:r>
      <w:r w:rsidR="0067075C">
        <w:rPr>
          <w:szCs w:val="32"/>
        </w:rPr>
        <w:t xml:space="preserve">approximately </w:t>
      </w:r>
      <w:r>
        <w:rPr>
          <w:szCs w:val="32"/>
        </w:rPr>
        <w:t xml:space="preserve">7 MWh/hour, after which load impacts drop to </w:t>
      </w:r>
      <w:r w:rsidR="0067075C">
        <w:rPr>
          <w:szCs w:val="32"/>
        </w:rPr>
        <w:t xml:space="preserve">approximately </w:t>
      </w:r>
      <w:r>
        <w:rPr>
          <w:szCs w:val="32"/>
        </w:rPr>
        <w:t>3 MWh/hour in 2020. There are relatively minor differences between the forecasted load impacts for the alternative weather scenarios over the forecast period.</w:t>
      </w:r>
    </w:p>
    <w:p w14:paraId="3DCDCFCF" w14:textId="77777777" w:rsidR="00425989" w:rsidRDefault="00425989" w:rsidP="00425989">
      <w:pPr>
        <w:spacing w:after="120"/>
        <w:rPr>
          <w:szCs w:val="32"/>
        </w:rPr>
      </w:pPr>
    </w:p>
    <w:p w14:paraId="1BAA029B" w14:textId="77777777" w:rsidR="00425989" w:rsidRDefault="00425989" w:rsidP="00425989">
      <w:pPr>
        <w:spacing w:after="120"/>
        <w:rPr>
          <w:szCs w:val="32"/>
        </w:rPr>
      </w:pPr>
    </w:p>
    <w:p w14:paraId="6432B5F2" w14:textId="77777777" w:rsidR="00425989" w:rsidRDefault="00425989" w:rsidP="00425989">
      <w:pPr>
        <w:spacing w:after="120"/>
        <w:rPr>
          <w:szCs w:val="32"/>
        </w:rPr>
      </w:pPr>
    </w:p>
    <w:p w14:paraId="087AE341" w14:textId="77777777" w:rsidR="00425989" w:rsidRDefault="00425989" w:rsidP="00425989">
      <w:pPr>
        <w:spacing w:after="120"/>
        <w:rPr>
          <w:szCs w:val="32"/>
        </w:rPr>
      </w:pPr>
    </w:p>
    <w:p w14:paraId="6D6CDC06" w14:textId="77777777" w:rsidR="00425989" w:rsidRDefault="00425989" w:rsidP="00425989">
      <w:pPr>
        <w:spacing w:after="120"/>
        <w:rPr>
          <w:szCs w:val="32"/>
        </w:rPr>
      </w:pPr>
    </w:p>
    <w:p w14:paraId="0441C0DA" w14:textId="46F3704A" w:rsidR="00425989" w:rsidRDefault="00425989" w:rsidP="00425989">
      <w:pPr>
        <w:pStyle w:val="FigureCaption"/>
        <w:rPr>
          <w:i/>
        </w:rPr>
      </w:pPr>
      <w:bookmarkStart w:id="386" w:name="_Ref507410693"/>
      <w:bookmarkStart w:id="387" w:name="_Toc507340035"/>
      <w:bookmarkStart w:id="388" w:name="_Toc509837505"/>
      <w:r>
        <w:lastRenderedPageBreak/>
        <w:t xml:space="preserve">Figure </w:t>
      </w:r>
      <w:fldSimple w:instr=" STYLEREF 1 \s ">
        <w:r w:rsidR="005D5C7C">
          <w:rPr>
            <w:noProof/>
          </w:rPr>
          <w:t>4</w:t>
        </w:r>
      </w:fldSimple>
      <w:r w:rsidR="00A11E78">
        <w:t>.</w:t>
      </w:r>
      <w:fldSimple w:instr=" SEQ Figure \* ARABIC \s 1 ">
        <w:r w:rsidR="005D5C7C">
          <w:rPr>
            <w:noProof/>
          </w:rPr>
          <w:t>27</w:t>
        </w:r>
      </w:fldSimple>
      <w:bookmarkEnd w:id="386"/>
      <w:r>
        <w:t xml:space="preserve">: </w:t>
      </w:r>
      <w:r w:rsidRPr="003E379F">
        <w:t xml:space="preserve">Aggregate </w:t>
      </w:r>
      <w:r>
        <w:t xml:space="preserve">Load Impacts for </w:t>
      </w:r>
      <w:r w:rsidR="00515724">
        <w:t>Typical Event Day</w:t>
      </w:r>
      <w:r>
        <w:t xml:space="preserve"> by Year and Weather Scenario over RA Window, </w:t>
      </w:r>
      <w:r>
        <w:rPr>
          <w:i/>
        </w:rPr>
        <w:t>SCE Small</w:t>
      </w:r>
      <w:bookmarkEnd w:id="387"/>
      <w:bookmarkEnd w:id="388"/>
    </w:p>
    <w:p w14:paraId="6990299C" w14:textId="3045FAC7" w:rsidR="00425989" w:rsidRDefault="002E1403" w:rsidP="00425989">
      <w:r>
        <w:rPr>
          <w:noProof/>
        </w:rPr>
        <w:drawing>
          <wp:inline distT="0" distB="0" distL="0" distR="0" wp14:anchorId="07B27A04" wp14:editId="527EB129">
            <wp:extent cx="5486400" cy="3983990"/>
            <wp:effectExtent l="0" t="0" r="0" b="0"/>
            <wp:docPr id="141" name="Chart 141">
              <a:extLst xmlns:a="http://schemas.openxmlformats.org/drawingml/2006/main">
                <a:ext uri="{FF2B5EF4-FFF2-40B4-BE49-F238E27FC236}">
                  <a16:creationId xmlns:a16="http://schemas.microsoft.com/office/drawing/2014/main" id="{60D459AE-7164-4FA3-9085-60B84ECD32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5A992B46" w14:textId="77777777" w:rsidR="00425989" w:rsidRDefault="00425989" w:rsidP="00425989"/>
    <w:p w14:paraId="2248B645" w14:textId="49D1199E" w:rsidR="00CB13E9" w:rsidRDefault="00CB13E9" w:rsidP="00CB13E9">
      <w:pPr>
        <w:pStyle w:val="Heading2"/>
      </w:pPr>
      <w:bookmarkStart w:id="389" w:name="_Toc509837334"/>
      <w:r>
        <w:t>SCE Load Impact Reconciliations</w:t>
      </w:r>
      <w:bookmarkEnd w:id="389"/>
    </w:p>
    <w:p w14:paraId="6E854D03" w14:textId="77777777" w:rsidR="005659FA" w:rsidRDefault="005659FA" w:rsidP="005659FA">
      <w:bookmarkStart w:id="390" w:name="_Ref506974916"/>
      <w:r>
        <w:t xml:space="preserve">In a continuing effort to clarify the relationships between </w:t>
      </w:r>
      <w:r>
        <w:rPr>
          <w:i/>
        </w:rPr>
        <w:t>ex-post</w:t>
      </w:r>
      <w:r>
        <w:t xml:space="preserve"> and </w:t>
      </w:r>
      <w:r>
        <w:rPr>
          <w:i/>
        </w:rPr>
        <w:t>ex-ante</w:t>
      </w:r>
      <w:r>
        <w:t xml:space="preserve"> results, this section compares several sets of estimated load impacts for CPP, including the following:</w:t>
      </w:r>
    </w:p>
    <w:p w14:paraId="0AE850CC" w14:textId="77777777" w:rsidR="005659FA" w:rsidRDefault="005659FA" w:rsidP="005659FA">
      <w:pPr>
        <w:numPr>
          <w:ilvl w:val="0"/>
          <w:numId w:val="10"/>
        </w:numPr>
      </w:pPr>
      <w:r>
        <w:rPr>
          <w:i/>
        </w:rPr>
        <w:t>Ex-post</w:t>
      </w:r>
      <w:r>
        <w:t xml:space="preserve"> load impacts from the current and previous studies;</w:t>
      </w:r>
    </w:p>
    <w:p w14:paraId="0D705A62" w14:textId="77777777" w:rsidR="005659FA" w:rsidRDefault="005659FA" w:rsidP="005659FA">
      <w:pPr>
        <w:numPr>
          <w:ilvl w:val="0"/>
          <w:numId w:val="10"/>
        </w:numPr>
      </w:pPr>
      <w:r>
        <w:rPr>
          <w:i/>
        </w:rPr>
        <w:t>Ex-ante</w:t>
      </w:r>
      <w:r>
        <w:t xml:space="preserve"> load impacts from the current and previous studies; </w:t>
      </w:r>
    </w:p>
    <w:p w14:paraId="2A4824E4" w14:textId="77777777" w:rsidR="005659FA" w:rsidRDefault="005659FA" w:rsidP="005659FA">
      <w:pPr>
        <w:numPr>
          <w:ilvl w:val="0"/>
          <w:numId w:val="10"/>
        </w:numPr>
      </w:pPr>
      <w:r>
        <w:t xml:space="preserve">Current </w:t>
      </w:r>
      <w:r>
        <w:rPr>
          <w:i/>
        </w:rPr>
        <w:t>ex-post</w:t>
      </w:r>
      <w:r>
        <w:t xml:space="preserve"> and previous </w:t>
      </w:r>
      <w:r>
        <w:rPr>
          <w:i/>
        </w:rPr>
        <w:t>ex-ante</w:t>
      </w:r>
      <w:r>
        <w:t xml:space="preserve"> load impacts; and </w:t>
      </w:r>
    </w:p>
    <w:p w14:paraId="2CBBF6A7" w14:textId="77777777" w:rsidR="005659FA" w:rsidRDefault="005659FA" w:rsidP="005659FA">
      <w:pPr>
        <w:numPr>
          <w:ilvl w:val="0"/>
          <w:numId w:val="10"/>
        </w:numPr>
      </w:pPr>
      <w:r>
        <w:t xml:space="preserve">Current </w:t>
      </w:r>
      <w:r w:rsidRPr="00095BA1">
        <w:rPr>
          <w:i/>
        </w:rPr>
        <w:t>ex-post</w:t>
      </w:r>
      <w:r>
        <w:t xml:space="preserve"> and </w:t>
      </w:r>
      <w:r w:rsidRPr="00095BA1">
        <w:rPr>
          <w:i/>
        </w:rPr>
        <w:t>ex-ante</w:t>
      </w:r>
      <w:r>
        <w:t xml:space="preserve"> load impacts.</w:t>
      </w:r>
    </w:p>
    <w:p w14:paraId="41F22482" w14:textId="77777777" w:rsidR="005659FA" w:rsidRDefault="005659FA" w:rsidP="005659FA"/>
    <w:p w14:paraId="016F5FC7" w14:textId="744833A5" w:rsidR="005659FA" w:rsidRPr="00E67E92" w:rsidRDefault="005659FA" w:rsidP="005659FA">
      <w:r>
        <w:t xml:space="preserve">The term “current” refers to the present study, which includes </w:t>
      </w:r>
      <w:r w:rsidRPr="00A102B2">
        <w:rPr>
          <w:i/>
        </w:rPr>
        <w:t>ex-post</w:t>
      </w:r>
      <w:r>
        <w:t xml:space="preserve"> and </w:t>
      </w:r>
      <w:r w:rsidRPr="00A102B2">
        <w:rPr>
          <w:i/>
        </w:rPr>
        <w:t>ex-ante</w:t>
      </w:r>
      <w:r>
        <w:t xml:space="preserve"> results for PY2017. The term “previous” refers to findings in reports for PY2016. </w:t>
      </w:r>
    </w:p>
    <w:p w14:paraId="28BA12E3" w14:textId="77777777" w:rsidR="005659FA" w:rsidRDefault="005659FA" w:rsidP="005659FA">
      <w:pPr>
        <w:pStyle w:val="Heading3"/>
        <w:numPr>
          <w:ilvl w:val="2"/>
          <w:numId w:val="43"/>
        </w:numPr>
        <w:rPr>
          <w:sz w:val="24"/>
        </w:rPr>
      </w:pPr>
      <w:bookmarkStart w:id="391" w:name="_Toc507081158"/>
      <w:bookmarkStart w:id="392" w:name="_Toc507140067"/>
      <w:bookmarkStart w:id="393" w:name="_Toc509837335"/>
      <w:r>
        <w:rPr>
          <w:sz w:val="24"/>
        </w:rPr>
        <w:t>SCE Large Customer Reconciliations</w:t>
      </w:r>
      <w:bookmarkEnd w:id="391"/>
      <w:bookmarkEnd w:id="392"/>
      <w:bookmarkEnd w:id="393"/>
    </w:p>
    <w:p w14:paraId="05734DC9" w14:textId="77777777" w:rsidR="005659FA" w:rsidRPr="00823315" w:rsidRDefault="005659FA" w:rsidP="005659FA">
      <w:pPr>
        <w:rPr>
          <w:b/>
          <w:i/>
        </w:rPr>
      </w:pPr>
      <w:r w:rsidRPr="00823315">
        <w:rPr>
          <w:b/>
          <w:i/>
        </w:rPr>
        <w:t>Previous vs. Current Ex-Post</w:t>
      </w:r>
    </w:p>
    <w:p w14:paraId="337BC34B" w14:textId="2B4C24F3" w:rsidR="005659FA" w:rsidRDefault="005659FA" w:rsidP="005659FA">
      <w:r>
        <w:fldChar w:fldCharType="begin"/>
      </w:r>
      <w:r>
        <w:instrText xml:space="preserve"> REF _Ref507078289 \h </w:instrText>
      </w:r>
      <w:r>
        <w:fldChar w:fldCharType="separate"/>
      </w:r>
      <w:r w:rsidR="005D5C7C">
        <w:t xml:space="preserve">Table </w:t>
      </w:r>
      <w:r w:rsidR="005D5C7C">
        <w:rPr>
          <w:noProof/>
        </w:rPr>
        <w:t>4</w:t>
      </w:r>
      <w:r w:rsidR="005D5C7C">
        <w:t>.</w:t>
      </w:r>
      <w:r w:rsidR="005D5C7C">
        <w:rPr>
          <w:noProof/>
        </w:rPr>
        <w:t>19</w:t>
      </w:r>
      <w:r>
        <w:fldChar w:fldCharType="end"/>
      </w:r>
      <w:r>
        <w:t xml:space="preserve"> shows the average event-hour reference loads and load impacts for the average event day during the current and previous program years. </w:t>
      </w:r>
      <w:r w:rsidR="00623459">
        <w:t xml:space="preserve">The total load impact is somewhat lower in the current study (561 MWh/hour vs. 595 MWh/hour in the </w:t>
      </w:r>
      <w:r w:rsidR="00623459">
        <w:lastRenderedPageBreak/>
        <w:t xml:space="preserve">previous study). </w:t>
      </w:r>
      <w:r w:rsidR="00D63DE3">
        <w:t xml:space="preserve">This is due to a combination of lower enrollment and lower per-customer load impacts (3.9 percent in this study vs. 5.8% in the previous study).  </w:t>
      </w:r>
    </w:p>
    <w:p w14:paraId="2DFFD6F9" w14:textId="77777777" w:rsidR="005659FA" w:rsidRDefault="005659FA" w:rsidP="005659FA"/>
    <w:p w14:paraId="4AE6CB90" w14:textId="453280E8" w:rsidR="005659FA" w:rsidRDefault="005659FA" w:rsidP="005659FA">
      <w:pPr>
        <w:pStyle w:val="TableCaption"/>
      </w:pPr>
      <w:bookmarkStart w:id="394" w:name="_Ref507078289"/>
      <w:bookmarkStart w:id="395" w:name="_Toc507081236"/>
      <w:bookmarkStart w:id="396" w:name="_Toc509837402"/>
      <w:r>
        <w:t xml:space="preserve">Table </w:t>
      </w:r>
      <w:fldSimple w:instr=" STYLEREF 1 \s ">
        <w:r w:rsidR="005D5C7C">
          <w:rPr>
            <w:noProof/>
          </w:rPr>
          <w:t>4</w:t>
        </w:r>
      </w:fldSimple>
      <w:r w:rsidR="0069714C">
        <w:t>.</w:t>
      </w:r>
      <w:fldSimple w:instr=" SEQ Table \* ARABIC \s 1 ">
        <w:r w:rsidR="005D5C7C">
          <w:rPr>
            <w:noProof/>
          </w:rPr>
          <w:t>19</w:t>
        </w:r>
      </w:fldSimple>
      <w:bookmarkEnd w:id="394"/>
      <w:r w:rsidRPr="00376F46">
        <w:t xml:space="preserve">: </w:t>
      </w:r>
      <w:r>
        <w:t xml:space="preserve">Current vs. Previous </w:t>
      </w:r>
      <w:r w:rsidRPr="001634AA">
        <w:rPr>
          <w:i/>
        </w:rPr>
        <w:t>Ex-Post</w:t>
      </w:r>
      <w:r>
        <w:t xml:space="preserve"> Load Impacts for the Average Event</w:t>
      </w:r>
      <w:bookmarkEnd w:id="395"/>
      <w:bookmarkEnd w:id="39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5"/>
        <w:gridCol w:w="1731"/>
        <w:gridCol w:w="1512"/>
        <w:gridCol w:w="1512"/>
      </w:tblGrid>
      <w:tr w:rsidR="005659FA" w14:paraId="43D5C0D8" w14:textId="77777777" w:rsidTr="003C7443">
        <w:trPr>
          <w:trHeight w:val="728"/>
          <w:jc w:val="center"/>
        </w:trPr>
        <w:tc>
          <w:tcPr>
            <w:tcW w:w="1295" w:type="dxa"/>
            <w:tcBorders>
              <w:right w:val="single" w:sz="4" w:space="0" w:color="FFFFFF"/>
            </w:tcBorders>
            <w:shd w:val="clear" w:color="auto" w:fill="0C2577"/>
            <w:vAlign w:val="center"/>
          </w:tcPr>
          <w:p w14:paraId="131C1EE1"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731" w:type="dxa"/>
            <w:tcBorders>
              <w:left w:val="single" w:sz="4" w:space="0" w:color="FFFFFF"/>
              <w:right w:val="single" w:sz="4" w:space="0" w:color="FFFFFF"/>
            </w:tcBorders>
            <w:shd w:val="clear" w:color="auto" w:fill="0C2577"/>
            <w:vAlign w:val="center"/>
          </w:tcPr>
          <w:p w14:paraId="38D96B84"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512" w:type="dxa"/>
            <w:tcBorders>
              <w:left w:val="single" w:sz="4" w:space="0" w:color="FFFFFF"/>
              <w:right w:val="single" w:sz="4" w:space="0" w:color="FFFFFF"/>
            </w:tcBorders>
            <w:shd w:val="clear" w:color="auto" w:fill="0C2577"/>
            <w:vAlign w:val="center"/>
          </w:tcPr>
          <w:p w14:paraId="07FE6F43"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6</w:t>
            </w:r>
          </w:p>
        </w:tc>
        <w:tc>
          <w:tcPr>
            <w:tcW w:w="1512" w:type="dxa"/>
            <w:tcBorders>
              <w:left w:val="single" w:sz="4" w:space="0" w:color="FFFFFF"/>
            </w:tcBorders>
            <w:shd w:val="clear" w:color="auto" w:fill="0C2577"/>
            <w:vAlign w:val="center"/>
          </w:tcPr>
          <w:p w14:paraId="46FF1BAE"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7</w:t>
            </w:r>
          </w:p>
        </w:tc>
      </w:tr>
      <w:tr w:rsidR="005659FA" w14:paraId="4601BCF1" w14:textId="77777777" w:rsidTr="003C7443">
        <w:trPr>
          <w:jc w:val="center"/>
        </w:trPr>
        <w:tc>
          <w:tcPr>
            <w:tcW w:w="1295" w:type="dxa"/>
            <w:vMerge w:val="restart"/>
            <w:shd w:val="clear" w:color="auto" w:fill="auto"/>
            <w:vAlign w:val="center"/>
          </w:tcPr>
          <w:p w14:paraId="7A54081D"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731" w:type="dxa"/>
            <w:shd w:val="clear" w:color="auto" w:fill="auto"/>
          </w:tcPr>
          <w:p w14:paraId="04C84516"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512" w:type="dxa"/>
            <w:shd w:val="clear" w:color="auto" w:fill="auto"/>
            <w:vAlign w:val="center"/>
          </w:tcPr>
          <w:p w14:paraId="120F1CE9"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2,545</w:t>
            </w:r>
          </w:p>
        </w:tc>
        <w:tc>
          <w:tcPr>
            <w:tcW w:w="1512" w:type="dxa"/>
            <w:shd w:val="clear" w:color="auto" w:fill="auto"/>
            <w:vAlign w:val="center"/>
          </w:tcPr>
          <w:p w14:paraId="68D4C7C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2,292</w:t>
            </w:r>
          </w:p>
        </w:tc>
      </w:tr>
      <w:tr w:rsidR="005659FA" w14:paraId="1B6BB07D" w14:textId="77777777" w:rsidTr="003C7443">
        <w:trPr>
          <w:trHeight w:val="242"/>
          <w:jc w:val="center"/>
        </w:trPr>
        <w:tc>
          <w:tcPr>
            <w:tcW w:w="1295" w:type="dxa"/>
            <w:vMerge/>
            <w:shd w:val="clear" w:color="auto" w:fill="auto"/>
            <w:vAlign w:val="center"/>
          </w:tcPr>
          <w:p w14:paraId="4BBA4F9A"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458CAFEB"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512" w:type="dxa"/>
            <w:shd w:val="clear" w:color="auto" w:fill="auto"/>
            <w:vAlign w:val="center"/>
          </w:tcPr>
          <w:p w14:paraId="4145B69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595</w:t>
            </w:r>
          </w:p>
        </w:tc>
        <w:tc>
          <w:tcPr>
            <w:tcW w:w="1512" w:type="dxa"/>
            <w:shd w:val="clear" w:color="auto" w:fill="auto"/>
            <w:vAlign w:val="center"/>
          </w:tcPr>
          <w:p w14:paraId="2A79BD9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561</w:t>
            </w:r>
          </w:p>
        </w:tc>
      </w:tr>
      <w:tr w:rsidR="005659FA" w14:paraId="4956ADDE" w14:textId="77777777" w:rsidTr="003C7443">
        <w:trPr>
          <w:jc w:val="center"/>
        </w:trPr>
        <w:tc>
          <w:tcPr>
            <w:tcW w:w="1295" w:type="dxa"/>
            <w:vMerge/>
            <w:shd w:val="clear" w:color="auto" w:fill="auto"/>
            <w:vAlign w:val="center"/>
          </w:tcPr>
          <w:p w14:paraId="0D5E6256"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78EF362F"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512" w:type="dxa"/>
            <w:shd w:val="clear" w:color="auto" w:fill="auto"/>
            <w:vAlign w:val="center"/>
          </w:tcPr>
          <w:p w14:paraId="0BFEAB1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34.4</w:t>
            </w:r>
          </w:p>
        </w:tc>
        <w:tc>
          <w:tcPr>
            <w:tcW w:w="1512" w:type="dxa"/>
            <w:shd w:val="clear" w:color="auto" w:fill="auto"/>
            <w:vAlign w:val="center"/>
          </w:tcPr>
          <w:p w14:paraId="43F5D77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21.9</w:t>
            </w:r>
          </w:p>
        </w:tc>
      </w:tr>
      <w:tr w:rsidR="005659FA" w14:paraId="7320CF68" w14:textId="77777777" w:rsidTr="003C7443">
        <w:trPr>
          <w:jc w:val="center"/>
        </w:trPr>
        <w:tc>
          <w:tcPr>
            <w:tcW w:w="1295" w:type="dxa"/>
            <w:vMerge/>
            <w:shd w:val="clear" w:color="auto" w:fill="auto"/>
            <w:vAlign w:val="center"/>
          </w:tcPr>
          <w:p w14:paraId="1D58F0BF"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781893B8"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512" w:type="dxa"/>
            <w:shd w:val="clear" w:color="auto" w:fill="auto"/>
            <w:vAlign w:val="center"/>
          </w:tcPr>
          <w:p w14:paraId="61E7ECD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90.2</w:t>
            </w:r>
          </w:p>
        </w:tc>
        <w:tc>
          <w:tcPr>
            <w:tcW w:w="1512" w:type="dxa"/>
            <w:shd w:val="clear" w:color="auto" w:fill="auto"/>
            <w:vAlign w:val="center"/>
          </w:tcPr>
          <w:p w14:paraId="197686D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90.4</w:t>
            </w:r>
          </w:p>
        </w:tc>
      </w:tr>
      <w:tr w:rsidR="005659FA" w14:paraId="4DBB9248" w14:textId="77777777" w:rsidTr="003C7443">
        <w:trPr>
          <w:jc w:val="center"/>
        </w:trPr>
        <w:tc>
          <w:tcPr>
            <w:tcW w:w="1295" w:type="dxa"/>
            <w:vMerge w:val="restart"/>
            <w:shd w:val="clear" w:color="auto" w:fill="auto"/>
            <w:vAlign w:val="center"/>
          </w:tcPr>
          <w:p w14:paraId="4CC1C40A"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731" w:type="dxa"/>
            <w:shd w:val="clear" w:color="auto" w:fill="auto"/>
          </w:tcPr>
          <w:p w14:paraId="408A85D4"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512" w:type="dxa"/>
            <w:shd w:val="clear" w:color="auto" w:fill="auto"/>
            <w:vAlign w:val="center"/>
          </w:tcPr>
          <w:p w14:paraId="1D3CF9D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234</w:t>
            </w:r>
          </w:p>
        </w:tc>
        <w:tc>
          <w:tcPr>
            <w:tcW w:w="1512" w:type="dxa"/>
            <w:shd w:val="clear" w:color="auto" w:fill="auto"/>
            <w:vAlign w:val="center"/>
          </w:tcPr>
          <w:p w14:paraId="4748C50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245</w:t>
            </w:r>
          </w:p>
        </w:tc>
      </w:tr>
      <w:tr w:rsidR="005659FA" w14:paraId="0D99464C" w14:textId="77777777" w:rsidTr="003C7443">
        <w:trPr>
          <w:jc w:val="center"/>
        </w:trPr>
        <w:tc>
          <w:tcPr>
            <w:tcW w:w="1295" w:type="dxa"/>
            <w:vMerge/>
            <w:shd w:val="clear" w:color="auto" w:fill="auto"/>
          </w:tcPr>
          <w:p w14:paraId="2FE7ADD9"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66052191"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512" w:type="dxa"/>
            <w:shd w:val="clear" w:color="auto" w:fill="auto"/>
            <w:vAlign w:val="center"/>
          </w:tcPr>
          <w:p w14:paraId="6DE5994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13.5</w:t>
            </w:r>
          </w:p>
        </w:tc>
        <w:tc>
          <w:tcPr>
            <w:tcW w:w="1512" w:type="dxa"/>
            <w:shd w:val="clear" w:color="auto" w:fill="auto"/>
            <w:vAlign w:val="center"/>
          </w:tcPr>
          <w:p w14:paraId="1C37392D"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9.6</w:t>
            </w:r>
          </w:p>
        </w:tc>
      </w:tr>
      <w:tr w:rsidR="005659FA" w14:paraId="2AD79F0D" w14:textId="77777777" w:rsidTr="003C7443">
        <w:trPr>
          <w:jc w:val="center"/>
        </w:trPr>
        <w:tc>
          <w:tcPr>
            <w:tcW w:w="1295" w:type="dxa"/>
            <w:vMerge/>
            <w:shd w:val="clear" w:color="auto" w:fill="auto"/>
          </w:tcPr>
          <w:p w14:paraId="4C2A8802"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16B089A0"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512" w:type="dxa"/>
            <w:shd w:val="clear" w:color="auto" w:fill="auto"/>
            <w:vAlign w:val="center"/>
          </w:tcPr>
          <w:p w14:paraId="0D9C6AE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5.8%</w:t>
            </w:r>
          </w:p>
        </w:tc>
        <w:tc>
          <w:tcPr>
            <w:tcW w:w="1512" w:type="dxa"/>
            <w:shd w:val="clear" w:color="auto" w:fill="auto"/>
            <w:vAlign w:val="center"/>
          </w:tcPr>
          <w:p w14:paraId="44BD3CF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3.9%</w:t>
            </w:r>
          </w:p>
        </w:tc>
      </w:tr>
    </w:tbl>
    <w:p w14:paraId="2CFD83B9" w14:textId="77777777" w:rsidR="005659FA" w:rsidRDefault="005659FA" w:rsidP="005659FA"/>
    <w:p w14:paraId="14B32D6C" w14:textId="77777777" w:rsidR="005659FA" w:rsidRPr="00823315" w:rsidRDefault="005659FA" w:rsidP="005659FA">
      <w:pPr>
        <w:rPr>
          <w:b/>
          <w:i/>
        </w:rPr>
      </w:pPr>
      <w:r w:rsidRPr="00823315">
        <w:rPr>
          <w:b/>
          <w:i/>
        </w:rPr>
        <w:t>Previous versus current ex-ante</w:t>
      </w:r>
    </w:p>
    <w:p w14:paraId="38E23A36" w14:textId="7D26AA43" w:rsidR="005659FA" w:rsidRDefault="005659FA" w:rsidP="005659FA">
      <w:r>
        <w:t xml:space="preserve">In this sub-section, we compare the </w:t>
      </w:r>
      <w:r w:rsidRPr="00933F01">
        <w:rPr>
          <w:i/>
        </w:rPr>
        <w:t>ex-ante</w:t>
      </w:r>
      <w:r>
        <w:t xml:space="preserve"> forecast prepared following PY2016 (the “previous study”) to the </w:t>
      </w:r>
      <w:r w:rsidRPr="00933F01">
        <w:rPr>
          <w:i/>
        </w:rPr>
        <w:t>ex-ante</w:t>
      </w:r>
      <w:r>
        <w:t xml:space="preserve"> forecast contained in this study (the “current study”). </w:t>
      </w:r>
      <w:r>
        <w:fldChar w:fldCharType="begin"/>
      </w:r>
      <w:r>
        <w:instrText xml:space="preserve"> REF _Ref507078310 \h </w:instrText>
      </w:r>
      <w:r>
        <w:fldChar w:fldCharType="separate"/>
      </w:r>
      <w:r w:rsidR="005D5C7C">
        <w:t xml:space="preserve">Table </w:t>
      </w:r>
      <w:r w:rsidR="005D5C7C">
        <w:rPr>
          <w:noProof/>
        </w:rPr>
        <w:t>4</w:t>
      </w:r>
      <w:r w:rsidR="005D5C7C">
        <w:t>.</w:t>
      </w:r>
      <w:r w:rsidR="005D5C7C">
        <w:rPr>
          <w:noProof/>
        </w:rPr>
        <w:t>20</w:t>
      </w:r>
      <w:r>
        <w:fldChar w:fldCharType="end"/>
      </w:r>
      <w:r>
        <w:t xml:space="preserve"> reports the average event-hour load impacts for the August 2018 peak day under utility-specific 1-in-2 weather conditions. </w:t>
      </w:r>
      <w:r w:rsidR="00D63DE3">
        <w:t xml:space="preserve">The forecast load impact is lower in the current study (29.8 MWh/hour vs. 35.3 MWh/hour in the previous study) despite having higher forecast enrollments. This is due to a lower percentage impact, which is 3.7 percent in the current study versus 5.7 percent in the previous study (where both values are consistent with their contemporaneous </w:t>
      </w:r>
      <w:r w:rsidR="00D63DE3" w:rsidRPr="00D63DE3">
        <w:rPr>
          <w:i/>
        </w:rPr>
        <w:t>ex-post</w:t>
      </w:r>
      <w:r w:rsidR="00D63DE3">
        <w:t xml:space="preserve"> load impact study).</w:t>
      </w:r>
    </w:p>
    <w:p w14:paraId="59E00960" w14:textId="77777777" w:rsidR="005659FA" w:rsidRDefault="005659FA" w:rsidP="005659FA"/>
    <w:p w14:paraId="02D486F7" w14:textId="6D820C21" w:rsidR="005659FA" w:rsidRDefault="005659FA" w:rsidP="005659FA">
      <w:pPr>
        <w:pStyle w:val="TableCaption"/>
      </w:pPr>
      <w:bookmarkStart w:id="397" w:name="_Ref507078310"/>
      <w:bookmarkStart w:id="398" w:name="_Toc507081237"/>
      <w:bookmarkStart w:id="399" w:name="_Toc509837403"/>
      <w:r>
        <w:t xml:space="preserve">Table </w:t>
      </w:r>
      <w:fldSimple w:instr=" STYLEREF 1 \s ">
        <w:r w:rsidR="005D5C7C">
          <w:rPr>
            <w:noProof/>
          </w:rPr>
          <w:t>4</w:t>
        </w:r>
      </w:fldSimple>
      <w:r w:rsidR="0069714C">
        <w:t>.</w:t>
      </w:r>
      <w:fldSimple w:instr=" SEQ Table \* ARABIC \s 1 ">
        <w:r w:rsidR="005D5C7C">
          <w:rPr>
            <w:noProof/>
          </w:rPr>
          <w:t>20</w:t>
        </w:r>
      </w:fldSimple>
      <w:bookmarkEnd w:id="397"/>
      <w:r w:rsidRPr="00376F46">
        <w:t xml:space="preserve">: </w:t>
      </w:r>
      <w:r>
        <w:t xml:space="preserve">Previous vs. Current </w:t>
      </w:r>
      <w:r w:rsidRPr="001634AA">
        <w:rPr>
          <w:i/>
        </w:rPr>
        <w:t>Ex-Ante</w:t>
      </w:r>
      <w:r>
        <w:t xml:space="preserve"> Load Impacts, </w:t>
      </w:r>
      <w:r w:rsidRPr="00D90369">
        <w:rPr>
          <w:i/>
        </w:rPr>
        <w:t>Utility</w:t>
      </w:r>
      <w:r>
        <w:t xml:space="preserve"> </w:t>
      </w:r>
      <w:r w:rsidRPr="001634AA">
        <w:rPr>
          <w:i/>
        </w:rPr>
        <w:t>1-in-2 August 2018 Peak Day</w:t>
      </w:r>
      <w:bookmarkEnd w:id="398"/>
      <w:bookmarkEnd w:id="39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1916"/>
        <w:gridCol w:w="1445"/>
        <w:gridCol w:w="1369"/>
      </w:tblGrid>
      <w:tr w:rsidR="005659FA" w14:paraId="505E2985" w14:textId="77777777" w:rsidTr="003C7443">
        <w:trPr>
          <w:jc w:val="center"/>
        </w:trPr>
        <w:tc>
          <w:tcPr>
            <w:tcW w:w="1153" w:type="dxa"/>
            <w:tcBorders>
              <w:right w:val="single" w:sz="4" w:space="0" w:color="FFFFFF"/>
            </w:tcBorders>
            <w:shd w:val="clear" w:color="auto" w:fill="0C2577"/>
            <w:vAlign w:val="center"/>
          </w:tcPr>
          <w:p w14:paraId="2E4A521A"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916" w:type="dxa"/>
            <w:tcBorders>
              <w:left w:val="single" w:sz="4" w:space="0" w:color="FFFFFF"/>
              <w:right w:val="single" w:sz="4" w:space="0" w:color="FFFFFF"/>
            </w:tcBorders>
            <w:shd w:val="clear" w:color="auto" w:fill="0C2577"/>
            <w:vAlign w:val="center"/>
          </w:tcPr>
          <w:p w14:paraId="743C74E7"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445" w:type="dxa"/>
            <w:tcBorders>
              <w:left w:val="single" w:sz="4" w:space="0" w:color="FFFFFF"/>
              <w:right w:val="single" w:sz="4" w:space="0" w:color="FFFFFF"/>
            </w:tcBorders>
            <w:shd w:val="clear" w:color="auto" w:fill="0C2577"/>
            <w:vAlign w:val="center"/>
          </w:tcPr>
          <w:p w14:paraId="4E5DC15F" w14:textId="77777777" w:rsidR="005659FA" w:rsidRPr="009C75E1" w:rsidRDefault="005659FA" w:rsidP="003C7443">
            <w:pPr>
              <w:keepNext/>
              <w:keepLines/>
              <w:jc w:val="center"/>
              <w:rPr>
                <w:rFonts w:ascii="Arial" w:hAnsi="Arial" w:cs="Arial"/>
                <w:b/>
                <w:sz w:val="20"/>
                <w:szCs w:val="20"/>
              </w:rPr>
            </w:pPr>
          </w:p>
          <w:p w14:paraId="7DD0324C"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Previous</w:t>
            </w:r>
            <w:r>
              <w:rPr>
                <w:rFonts w:ascii="Arial" w:hAnsi="Arial" w:cs="Arial"/>
                <w:b/>
                <w:sz w:val="20"/>
                <w:szCs w:val="20"/>
              </w:rPr>
              <w:t xml:space="preserve"> Study</w:t>
            </w:r>
          </w:p>
          <w:p w14:paraId="3726972E" w14:textId="77777777" w:rsidR="005659FA" w:rsidRPr="009C75E1" w:rsidRDefault="005659FA" w:rsidP="003C7443">
            <w:pPr>
              <w:keepNext/>
              <w:keepLines/>
              <w:jc w:val="center"/>
              <w:rPr>
                <w:rFonts w:ascii="Arial" w:hAnsi="Arial" w:cs="Arial"/>
                <w:b/>
                <w:sz w:val="20"/>
                <w:szCs w:val="20"/>
              </w:rPr>
            </w:pPr>
          </w:p>
        </w:tc>
        <w:tc>
          <w:tcPr>
            <w:tcW w:w="1369" w:type="dxa"/>
            <w:tcBorders>
              <w:left w:val="single" w:sz="4" w:space="0" w:color="FFFFFF"/>
            </w:tcBorders>
            <w:shd w:val="clear" w:color="auto" w:fill="0C2577"/>
            <w:vAlign w:val="center"/>
          </w:tcPr>
          <w:p w14:paraId="5E828611"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Current</w:t>
            </w:r>
            <w:r>
              <w:rPr>
                <w:rFonts w:ascii="Arial" w:hAnsi="Arial" w:cs="Arial"/>
                <w:b/>
                <w:sz w:val="20"/>
                <w:szCs w:val="20"/>
              </w:rPr>
              <w:t xml:space="preserve"> Study</w:t>
            </w:r>
          </w:p>
        </w:tc>
      </w:tr>
      <w:tr w:rsidR="005659FA" w14:paraId="24846EDC" w14:textId="77777777" w:rsidTr="003C7443">
        <w:trPr>
          <w:jc w:val="center"/>
        </w:trPr>
        <w:tc>
          <w:tcPr>
            <w:tcW w:w="1153" w:type="dxa"/>
            <w:vMerge w:val="restart"/>
            <w:shd w:val="clear" w:color="auto" w:fill="auto"/>
            <w:vAlign w:val="center"/>
          </w:tcPr>
          <w:p w14:paraId="476BAA02"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916" w:type="dxa"/>
            <w:shd w:val="clear" w:color="auto" w:fill="auto"/>
          </w:tcPr>
          <w:p w14:paraId="0865EEA3"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445" w:type="dxa"/>
            <w:shd w:val="clear" w:color="auto" w:fill="auto"/>
          </w:tcPr>
          <w:p w14:paraId="4980A9D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2,599</w:t>
            </w:r>
          </w:p>
        </w:tc>
        <w:tc>
          <w:tcPr>
            <w:tcW w:w="1369" w:type="dxa"/>
            <w:shd w:val="clear" w:color="auto" w:fill="auto"/>
          </w:tcPr>
          <w:p w14:paraId="6801B4DD"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3,300</w:t>
            </w:r>
          </w:p>
        </w:tc>
      </w:tr>
      <w:tr w:rsidR="005659FA" w14:paraId="512A153D" w14:textId="77777777" w:rsidTr="003C7443">
        <w:trPr>
          <w:trHeight w:val="242"/>
          <w:jc w:val="center"/>
        </w:trPr>
        <w:tc>
          <w:tcPr>
            <w:tcW w:w="1153" w:type="dxa"/>
            <w:vMerge/>
            <w:shd w:val="clear" w:color="auto" w:fill="auto"/>
            <w:vAlign w:val="center"/>
          </w:tcPr>
          <w:p w14:paraId="079DA8F8"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4667EAAA"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445" w:type="dxa"/>
            <w:shd w:val="clear" w:color="auto" w:fill="auto"/>
          </w:tcPr>
          <w:p w14:paraId="1BA25AE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615</w:t>
            </w:r>
          </w:p>
        </w:tc>
        <w:tc>
          <w:tcPr>
            <w:tcW w:w="1369" w:type="dxa"/>
            <w:shd w:val="clear" w:color="auto" w:fill="auto"/>
          </w:tcPr>
          <w:p w14:paraId="3E86B71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803</w:t>
            </w:r>
          </w:p>
        </w:tc>
      </w:tr>
      <w:tr w:rsidR="005659FA" w14:paraId="55845F7F" w14:textId="77777777" w:rsidTr="003C7443">
        <w:trPr>
          <w:jc w:val="center"/>
        </w:trPr>
        <w:tc>
          <w:tcPr>
            <w:tcW w:w="1153" w:type="dxa"/>
            <w:vMerge/>
            <w:shd w:val="clear" w:color="auto" w:fill="auto"/>
            <w:vAlign w:val="center"/>
          </w:tcPr>
          <w:p w14:paraId="567DADFC"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2E887ACF"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445" w:type="dxa"/>
            <w:shd w:val="clear" w:color="auto" w:fill="auto"/>
          </w:tcPr>
          <w:p w14:paraId="44DC1E0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35.3</w:t>
            </w:r>
          </w:p>
        </w:tc>
        <w:tc>
          <w:tcPr>
            <w:tcW w:w="1369" w:type="dxa"/>
            <w:shd w:val="clear" w:color="auto" w:fill="auto"/>
          </w:tcPr>
          <w:p w14:paraId="4B77FF2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29.8</w:t>
            </w:r>
          </w:p>
        </w:tc>
      </w:tr>
      <w:tr w:rsidR="005659FA" w14:paraId="1894B6C3" w14:textId="77777777" w:rsidTr="003C7443">
        <w:trPr>
          <w:jc w:val="center"/>
        </w:trPr>
        <w:tc>
          <w:tcPr>
            <w:tcW w:w="1153" w:type="dxa"/>
            <w:vMerge/>
            <w:shd w:val="clear" w:color="auto" w:fill="auto"/>
            <w:vAlign w:val="center"/>
          </w:tcPr>
          <w:p w14:paraId="52506D4B"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727DAE22"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445" w:type="dxa"/>
            <w:shd w:val="clear" w:color="auto" w:fill="auto"/>
          </w:tcPr>
          <w:p w14:paraId="5A8E510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91.7</w:t>
            </w:r>
          </w:p>
        </w:tc>
        <w:tc>
          <w:tcPr>
            <w:tcW w:w="1369" w:type="dxa"/>
            <w:shd w:val="clear" w:color="auto" w:fill="auto"/>
          </w:tcPr>
          <w:p w14:paraId="20C74AF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89.4</w:t>
            </w:r>
          </w:p>
        </w:tc>
      </w:tr>
      <w:tr w:rsidR="005659FA" w14:paraId="63DFBBAA" w14:textId="77777777" w:rsidTr="003C7443">
        <w:trPr>
          <w:jc w:val="center"/>
        </w:trPr>
        <w:tc>
          <w:tcPr>
            <w:tcW w:w="1153" w:type="dxa"/>
            <w:vMerge w:val="restart"/>
            <w:shd w:val="clear" w:color="auto" w:fill="auto"/>
            <w:vAlign w:val="center"/>
          </w:tcPr>
          <w:p w14:paraId="1C340B11"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916" w:type="dxa"/>
            <w:shd w:val="clear" w:color="auto" w:fill="auto"/>
          </w:tcPr>
          <w:p w14:paraId="139955CF"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445" w:type="dxa"/>
            <w:shd w:val="clear" w:color="auto" w:fill="auto"/>
          </w:tcPr>
          <w:p w14:paraId="7C7D966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237</w:t>
            </w:r>
          </w:p>
        </w:tc>
        <w:tc>
          <w:tcPr>
            <w:tcW w:w="1369" w:type="dxa"/>
            <w:shd w:val="clear" w:color="auto" w:fill="auto"/>
          </w:tcPr>
          <w:p w14:paraId="78FED935"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243</w:t>
            </w:r>
          </w:p>
        </w:tc>
      </w:tr>
      <w:tr w:rsidR="005659FA" w14:paraId="0EE5D02A" w14:textId="77777777" w:rsidTr="003C7443">
        <w:trPr>
          <w:jc w:val="center"/>
        </w:trPr>
        <w:tc>
          <w:tcPr>
            <w:tcW w:w="1153" w:type="dxa"/>
            <w:vMerge/>
            <w:shd w:val="clear" w:color="auto" w:fill="auto"/>
          </w:tcPr>
          <w:p w14:paraId="192F5AE0"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48BE0F5A"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445" w:type="dxa"/>
            <w:shd w:val="clear" w:color="auto" w:fill="auto"/>
          </w:tcPr>
          <w:p w14:paraId="3E5FD09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54.3</w:t>
            </w:r>
          </w:p>
        </w:tc>
        <w:tc>
          <w:tcPr>
            <w:tcW w:w="1369" w:type="dxa"/>
            <w:shd w:val="clear" w:color="auto" w:fill="auto"/>
          </w:tcPr>
          <w:p w14:paraId="7CD1924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9.0</w:t>
            </w:r>
          </w:p>
        </w:tc>
      </w:tr>
      <w:tr w:rsidR="005659FA" w14:paraId="52DF52C9" w14:textId="77777777" w:rsidTr="003C7443">
        <w:trPr>
          <w:jc w:val="center"/>
        </w:trPr>
        <w:tc>
          <w:tcPr>
            <w:tcW w:w="1153" w:type="dxa"/>
            <w:vMerge/>
            <w:shd w:val="clear" w:color="auto" w:fill="auto"/>
          </w:tcPr>
          <w:p w14:paraId="216FA66A"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534FEB1A"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445" w:type="dxa"/>
            <w:shd w:val="clear" w:color="auto" w:fill="auto"/>
          </w:tcPr>
          <w:p w14:paraId="3BFB1FE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5.7%</w:t>
            </w:r>
          </w:p>
        </w:tc>
        <w:tc>
          <w:tcPr>
            <w:tcW w:w="1369" w:type="dxa"/>
            <w:shd w:val="clear" w:color="auto" w:fill="auto"/>
          </w:tcPr>
          <w:p w14:paraId="2C04E559"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3.7%</w:t>
            </w:r>
          </w:p>
        </w:tc>
      </w:tr>
    </w:tbl>
    <w:p w14:paraId="5C77BF7C" w14:textId="77777777" w:rsidR="005659FA" w:rsidRDefault="005659FA" w:rsidP="005659FA"/>
    <w:p w14:paraId="78F9E969" w14:textId="77777777" w:rsidR="005659FA" w:rsidRPr="00823315" w:rsidRDefault="005659FA" w:rsidP="005659FA">
      <w:pPr>
        <w:rPr>
          <w:b/>
          <w:i/>
        </w:rPr>
      </w:pPr>
      <w:r w:rsidRPr="00823315">
        <w:rPr>
          <w:b/>
          <w:i/>
        </w:rPr>
        <w:t>Previous ex-ante versus current ex-post</w:t>
      </w:r>
    </w:p>
    <w:p w14:paraId="267C5A88" w14:textId="7A27AE6D" w:rsidR="005659FA" w:rsidRDefault="005659FA" w:rsidP="005659FA">
      <w:r>
        <w:fldChar w:fldCharType="begin"/>
      </w:r>
      <w:r>
        <w:instrText xml:space="preserve"> REF _Ref507078334 \h </w:instrText>
      </w:r>
      <w:r>
        <w:fldChar w:fldCharType="separate"/>
      </w:r>
      <w:r w:rsidR="005D5C7C">
        <w:t xml:space="preserve">Table </w:t>
      </w:r>
      <w:r w:rsidR="005D5C7C">
        <w:rPr>
          <w:noProof/>
        </w:rPr>
        <w:t>4</w:t>
      </w:r>
      <w:r w:rsidR="005D5C7C">
        <w:t>.</w:t>
      </w:r>
      <w:r w:rsidR="005D5C7C">
        <w:rPr>
          <w:noProof/>
        </w:rPr>
        <w:t>21</w:t>
      </w:r>
      <w:r>
        <w:fldChar w:fldCharType="end"/>
      </w:r>
      <w:r>
        <w:t xml:space="preserve"> provides a comparison of the </w:t>
      </w:r>
      <w:r w:rsidRPr="005926F0">
        <w:rPr>
          <w:i/>
        </w:rPr>
        <w:t>ex-ante</w:t>
      </w:r>
      <w:r>
        <w:t xml:space="preserve"> forecast of 2017 load impacts prepared following PY2016 and the PY2017 load impacts estimated as part of this study. The </w:t>
      </w:r>
      <w:r w:rsidRPr="005926F0">
        <w:rPr>
          <w:i/>
        </w:rPr>
        <w:t>ex-ante</w:t>
      </w:r>
      <w:r>
        <w:t xml:space="preserve"> forecast shown in the table represents the August peak day during a utility-specific 1-in-2 weather year. The </w:t>
      </w:r>
      <w:r w:rsidRPr="005926F0">
        <w:rPr>
          <w:i/>
        </w:rPr>
        <w:t>ex-post</w:t>
      </w:r>
      <w:r>
        <w:t xml:space="preserve"> load impacts are based on the average event day. </w:t>
      </w:r>
      <w:r w:rsidR="00D63DE3">
        <w:t xml:space="preserve">The </w:t>
      </w:r>
      <w:r w:rsidR="00D63DE3" w:rsidRPr="00D63DE3">
        <w:rPr>
          <w:i/>
        </w:rPr>
        <w:t>ex-ante</w:t>
      </w:r>
      <w:r w:rsidR="00D63DE3">
        <w:t xml:space="preserve"> forecast in the previous study predicted higher total load impacts than we </w:t>
      </w:r>
      <w:r w:rsidR="00D63DE3">
        <w:lastRenderedPageBreak/>
        <w:t>estimated in the current study. This is due to both a lower-than-expected enrollment level and a lower-than-forecast percentage load impact.</w:t>
      </w:r>
    </w:p>
    <w:p w14:paraId="0BA9D0C7" w14:textId="77777777" w:rsidR="005659FA" w:rsidRDefault="005659FA" w:rsidP="005659FA"/>
    <w:p w14:paraId="0CBB0CB5" w14:textId="49BE2B11" w:rsidR="005659FA" w:rsidRDefault="005659FA" w:rsidP="005659FA">
      <w:pPr>
        <w:pStyle w:val="TableCaption"/>
      </w:pPr>
      <w:bookmarkStart w:id="400" w:name="_Ref507078334"/>
      <w:bookmarkStart w:id="401" w:name="_Toc507081238"/>
      <w:bookmarkStart w:id="402" w:name="_Toc509837404"/>
      <w:r>
        <w:t xml:space="preserve">Table </w:t>
      </w:r>
      <w:fldSimple w:instr=" STYLEREF 1 \s ">
        <w:r w:rsidR="005D5C7C">
          <w:rPr>
            <w:noProof/>
          </w:rPr>
          <w:t>4</w:t>
        </w:r>
      </w:fldSimple>
      <w:r w:rsidR="0069714C">
        <w:t>.</w:t>
      </w:r>
      <w:fldSimple w:instr=" SEQ Table \* ARABIC \s 1 ">
        <w:r w:rsidR="005D5C7C">
          <w:rPr>
            <w:noProof/>
          </w:rPr>
          <w:t>21</w:t>
        </w:r>
      </w:fldSimple>
      <w:bookmarkEnd w:id="400"/>
      <w:r>
        <w:t>:</w:t>
      </w:r>
      <w:r w:rsidRPr="00827AFF">
        <w:t xml:space="preserve"> </w:t>
      </w:r>
      <w:r w:rsidRPr="00376F46">
        <w:t xml:space="preserve">Comparison of </w:t>
      </w:r>
      <w:r>
        <w:t xml:space="preserve">Previous </w:t>
      </w:r>
      <w:r>
        <w:rPr>
          <w:i/>
        </w:rPr>
        <w:t>Ex-Ante</w:t>
      </w:r>
      <w:r>
        <w:t xml:space="preserve"> and Current </w:t>
      </w:r>
      <w:r>
        <w:rPr>
          <w:i/>
        </w:rPr>
        <w:t>Ex-Post</w:t>
      </w:r>
      <w:r>
        <w:t xml:space="preserve"> </w:t>
      </w:r>
      <w:r w:rsidRPr="00376F46">
        <w:t>Impacts</w:t>
      </w:r>
      <w:bookmarkEnd w:id="401"/>
      <w:bookmarkEnd w:id="40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5659FA" w14:paraId="231F0894" w14:textId="77777777" w:rsidTr="003C7443">
        <w:trPr>
          <w:jc w:val="center"/>
        </w:trPr>
        <w:tc>
          <w:tcPr>
            <w:tcW w:w="1548" w:type="dxa"/>
            <w:tcBorders>
              <w:right w:val="single" w:sz="4" w:space="0" w:color="FFFFFF"/>
            </w:tcBorders>
            <w:shd w:val="clear" w:color="auto" w:fill="0C2577"/>
            <w:vAlign w:val="center"/>
          </w:tcPr>
          <w:p w14:paraId="7EE327E2"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6B7E08C7"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5D23A7E9"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2017 August Peak Day from PY2016 Study</w:t>
            </w:r>
          </w:p>
        </w:tc>
        <w:tc>
          <w:tcPr>
            <w:tcW w:w="1772" w:type="dxa"/>
            <w:tcBorders>
              <w:left w:val="single" w:sz="4" w:space="0" w:color="FFFFFF"/>
            </w:tcBorders>
            <w:shd w:val="clear" w:color="auto" w:fill="0C2577"/>
            <w:vAlign w:val="center"/>
          </w:tcPr>
          <w:p w14:paraId="3BED8BF5"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r>
      <w:tr w:rsidR="005659FA" w14:paraId="5ED0E60C" w14:textId="77777777" w:rsidTr="003C7443">
        <w:trPr>
          <w:jc w:val="center"/>
        </w:trPr>
        <w:tc>
          <w:tcPr>
            <w:tcW w:w="1548" w:type="dxa"/>
            <w:vMerge w:val="restart"/>
            <w:shd w:val="clear" w:color="auto" w:fill="auto"/>
            <w:vAlign w:val="center"/>
          </w:tcPr>
          <w:p w14:paraId="7898CFAF"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19645613"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tcPr>
          <w:p w14:paraId="3946E72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2,591</w:t>
            </w:r>
          </w:p>
        </w:tc>
        <w:tc>
          <w:tcPr>
            <w:tcW w:w="1772" w:type="dxa"/>
            <w:shd w:val="clear" w:color="auto" w:fill="auto"/>
            <w:vAlign w:val="center"/>
          </w:tcPr>
          <w:p w14:paraId="701E8B3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2,292</w:t>
            </w:r>
          </w:p>
        </w:tc>
      </w:tr>
      <w:tr w:rsidR="005659FA" w14:paraId="3CD6F034" w14:textId="77777777" w:rsidTr="003C7443">
        <w:trPr>
          <w:trHeight w:val="242"/>
          <w:jc w:val="center"/>
        </w:trPr>
        <w:tc>
          <w:tcPr>
            <w:tcW w:w="1548" w:type="dxa"/>
            <w:vMerge/>
            <w:shd w:val="clear" w:color="auto" w:fill="auto"/>
            <w:vAlign w:val="center"/>
          </w:tcPr>
          <w:p w14:paraId="0F16456F"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64727C74"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tcPr>
          <w:p w14:paraId="171D52C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613</w:t>
            </w:r>
          </w:p>
        </w:tc>
        <w:tc>
          <w:tcPr>
            <w:tcW w:w="1772" w:type="dxa"/>
            <w:shd w:val="clear" w:color="auto" w:fill="auto"/>
            <w:vAlign w:val="center"/>
          </w:tcPr>
          <w:p w14:paraId="5AFD273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561</w:t>
            </w:r>
          </w:p>
        </w:tc>
      </w:tr>
      <w:tr w:rsidR="005659FA" w14:paraId="31DECEEC" w14:textId="77777777" w:rsidTr="003C7443">
        <w:trPr>
          <w:jc w:val="center"/>
        </w:trPr>
        <w:tc>
          <w:tcPr>
            <w:tcW w:w="1548" w:type="dxa"/>
            <w:vMerge/>
            <w:shd w:val="clear" w:color="auto" w:fill="auto"/>
            <w:vAlign w:val="center"/>
          </w:tcPr>
          <w:p w14:paraId="1CC9D8B4"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068B34C1"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tcPr>
          <w:p w14:paraId="25738EE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35.2</w:t>
            </w:r>
          </w:p>
        </w:tc>
        <w:tc>
          <w:tcPr>
            <w:tcW w:w="1772" w:type="dxa"/>
            <w:shd w:val="clear" w:color="auto" w:fill="auto"/>
            <w:vAlign w:val="center"/>
          </w:tcPr>
          <w:p w14:paraId="5D3E15F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21.9</w:t>
            </w:r>
          </w:p>
        </w:tc>
      </w:tr>
      <w:tr w:rsidR="005659FA" w14:paraId="52C7710D" w14:textId="77777777" w:rsidTr="003C7443">
        <w:trPr>
          <w:jc w:val="center"/>
        </w:trPr>
        <w:tc>
          <w:tcPr>
            <w:tcW w:w="1548" w:type="dxa"/>
            <w:vMerge/>
            <w:shd w:val="clear" w:color="auto" w:fill="auto"/>
            <w:vAlign w:val="center"/>
          </w:tcPr>
          <w:p w14:paraId="4BB5142B"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7CD386B1"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771" w:type="dxa"/>
            <w:shd w:val="clear" w:color="auto" w:fill="auto"/>
          </w:tcPr>
          <w:p w14:paraId="59E322AB" w14:textId="77777777" w:rsidR="005659FA" w:rsidRDefault="005659FA" w:rsidP="003C7443">
            <w:pPr>
              <w:keepNext/>
              <w:keepLines/>
              <w:jc w:val="center"/>
              <w:rPr>
                <w:rFonts w:ascii="Arial" w:hAnsi="Arial" w:cs="Arial"/>
                <w:sz w:val="20"/>
                <w:szCs w:val="20"/>
              </w:rPr>
            </w:pPr>
            <w:r>
              <w:rPr>
                <w:rFonts w:ascii="Arial" w:hAnsi="Arial" w:cs="Arial"/>
                <w:sz w:val="20"/>
                <w:szCs w:val="20"/>
              </w:rPr>
              <w:t>91.7</w:t>
            </w:r>
          </w:p>
        </w:tc>
        <w:tc>
          <w:tcPr>
            <w:tcW w:w="1772" w:type="dxa"/>
            <w:shd w:val="clear" w:color="auto" w:fill="auto"/>
            <w:vAlign w:val="center"/>
          </w:tcPr>
          <w:p w14:paraId="79B5E963" w14:textId="77777777" w:rsidR="005659FA" w:rsidRDefault="005659FA" w:rsidP="003C7443">
            <w:pPr>
              <w:keepNext/>
              <w:keepLines/>
              <w:jc w:val="center"/>
              <w:rPr>
                <w:rFonts w:ascii="Arial" w:hAnsi="Arial" w:cs="Arial"/>
                <w:sz w:val="20"/>
                <w:szCs w:val="20"/>
              </w:rPr>
            </w:pPr>
            <w:r>
              <w:rPr>
                <w:rFonts w:ascii="Arial" w:hAnsi="Arial" w:cs="Arial"/>
                <w:sz w:val="20"/>
                <w:szCs w:val="20"/>
              </w:rPr>
              <w:t>90.4</w:t>
            </w:r>
          </w:p>
        </w:tc>
      </w:tr>
      <w:tr w:rsidR="005659FA" w14:paraId="72C94771" w14:textId="77777777" w:rsidTr="003C7443">
        <w:trPr>
          <w:jc w:val="center"/>
        </w:trPr>
        <w:tc>
          <w:tcPr>
            <w:tcW w:w="1548" w:type="dxa"/>
            <w:vMerge w:val="restart"/>
            <w:shd w:val="clear" w:color="auto" w:fill="auto"/>
            <w:vAlign w:val="center"/>
          </w:tcPr>
          <w:p w14:paraId="4848E3C0"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2F562966"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tcPr>
          <w:p w14:paraId="177EF01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237</w:t>
            </w:r>
          </w:p>
        </w:tc>
        <w:tc>
          <w:tcPr>
            <w:tcW w:w="1772" w:type="dxa"/>
            <w:shd w:val="clear" w:color="auto" w:fill="auto"/>
            <w:vAlign w:val="center"/>
          </w:tcPr>
          <w:p w14:paraId="7BCC96F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245</w:t>
            </w:r>
          </w:p>
        </w:tc>
      </w:tr>
      <w:tr w:rsidR="005659FA" w14:paraId="66BFD837" w14:textId="77777777" w:rsidTr="003C7443">
        <w:trPr>
          <w:jc w:val="center"/>
        </w:trPr>
        <w:tc>
          <w:tcPr>
            <w:tcW w:w="1548" w:type="dxa"/>
            <w:vMerge/>
            <w:shd w:val="clear" w:color="auto" w:fill="auto"/>
          </w:tcPr>
          <w:p w14:paraId="2EC6AAAB"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168E3C43"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tcPr>
          <w:p w14:paraId="69AA9D85"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13.6</w:t>
            </w:r>
          </w:p>
        </w:tc>
        <w:tc>
          <w:tcPr>
            <w:tcW w:w="1772" w:type="dxa"/>
            <w:shd w:val="clear" w:color="auto" w:fill="auto"/>
            <w:vAlign w:val="center"/>
          </w:tcPr>
          <w:p w14:paraId="5169E69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9.6</w:t>
            </w:r>
          </w:p>
        </w:tc>
      </w:tr>
      <w:tr w:rsidR="005659FA" w14:paraId="240FA154" w14:textId="77777777" w:rsidTr="003C7443">
        <w:trPr>
          <w:jc w:val="center"/>
        </w:trPr>
        <w:tc>
          <w:tcPr>
            <w:tcW w:w="1548" w:type="dxa"/>
            <w:vMerge/>
            <w:shd w:val="clear" w:color="auto" w:fill="auto"/>
          </w:tcPr>
          <w:p w14:paraId="68D69A02"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0BDF2B60"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tcPr>
          <w:p w14:paraId="0B8FC3E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5.7%</w:t>
            </w:r>
          </w:p>
        </w:tc>
        <w:tc>
          <w:tcPr>
            <w:tcW w:w="1772" w:type="dxa"/>
            <w:shd w:val="clear" w:color="auto" w:fill="auto"/>
            <w:vAlign w:val="center"/>
          </w:tcPr>
          <w:p w14:paraId="255AB64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3.9%</w:t>
            </w:r>
          </w:p>
        </w:tc>
      </w:tr>
    </w:tbl>
    <w:p w14:paraId="06ACDDB3" w14:textId="77777777" w:rsidR="005659FA" w:rsidRDefault="005659FA" w:rsidP="005659FA"/>
    <w:p w14:paraId="30C1C8C3" w14:textId="77777777" w:rsidR="005659FA" w:rsidRPr="00823315" w:rsidRDefault="005659FA" w:rsidP="005659FA">
      <w:pPr>
        <w:rPr>
          <w:b/>
          <w:i/>
        </w:rPr>
      </w:pPr>
      <w:r w:rsidRPr="00823315">
        <w:rPr>
          <w:b/>
          <w:i/>
        </w:rPr>
        <w:t>Current ex-post versus current ex-ante</w:t>
      </w:r>
    </w:p>
    <w:p w14:paraId="153FA52D" w14:textId="0B1DBBEC" w:rsidR="005659FA" w:rsidRDefault="005659FA" w:rsidP="005659FA">
      <w:r>
        <w:fldChar w:fldCharType="begin"/>
      </w:r>
      <w:r>
        <w:instrText xml:space="preserve"> REF _Ref507078358 \h </w:instrText>
      </w:r>
      <w:r>
        <w:fldChar w:fldCharType="separate"/>
      </w:r>
      <w:r w:rsidR="005D5C7C">
        <w:t xml:space="preserve">Table </w:t>
      </w:r>
      <w:r w:rsidR="005D5C7C">
        <w:rPr>
          <w:noProof/>
        </w:rPr>
        <w:t>4</w:t>
      </w:r>
      <w:r w:rsidR="005D5C7C">
        <w:t>.</w:t>
      </w:r>
      <w:r w:rsidR="005D5C7C">
        <w:rPr>
          <w:noProof/>
        </w:rPr>
        <w:t>22</w:t>
      </w:r>
      <w:r>
        <w:fldChar w:fldCharType="end"/>
      </w:r>
      <w:r>
        <w:t xml:space="preserve"> compares the </w:t>
      </w:r>
      <w:r w:rsidRPr="005926F0">
        <w:rPr>
          <w:i/>
        </w:rPr>
        <w:t>ex-post</w:t>
      </w:r>
      <w:r>
        <w:t xml:space="preserve"> and </w:t>
      </w:r>
      <w:r w:rsidRPr="005926F0">
        <w:rPr>
          <w:i/>
        </w:rPr>
        <w:t>ex-ante</w:t>
      </w:r>
      <w:r>
        <w:t xml:space="preserve"> load impacts from this study. The </w:t>
      </w:r>
      <w:r w:rsidRPr="005926F0">
        <w:rPr>
          <w:i/>
        </w:rPr>
        <w:t>ex-ante</w:t>
      </w:r>
      <w:r>
        <w:t xml:space="preserve"> load impacts in the table represent the 2018 August peak day with utility-specific 1-in-2 weather conditions. </w:t>
      </w:r>
      <w:r w:rsidR="00D63DE3">
        <w:t>The forecast calls for an increase in the aggregate load impact, from 21.9 MWh/hour to 29.8 MWh/hour, which is attributable to a forecast increase in enrollment from 2,292 to 3,300 customers.</w:t>
      </w:r>
    </w:p>
    <w:p w14:paraId="45B07C00" w14:textId="77777777" w:rsidR="005659FA" w:rsidRDefault="005659FA" w:rsidP="005659FA"/>
    <w:p w14:paraId="1E91DEE0" w14:textId="64A8F946" w:rsidR="005659FA" w:rsidRDefault="005659FA" w:rsidP="005659FA">
      <w:pPr>
        <w:pStyle w:val="TableCaption"/>
      </w:pPr>
      <w:bookmarkStart w:id="403" w:name="_Ref507078358"/>
      <w:bookmarkStart w:id="404" w:name="_Toc507081239"/>
      <w:bookmarkStart w:id="405" w:name="_Toc509837405"/>
      <w:r>
        <w:t xml:space="preserve">Table </w:t>
      </w:r>
      <w:fldSimple w:instr=" STYLEREF 1 \s ">
        <w:r w:rsidR="005D5C7C">
          <w:rPr>
            <w:noProof/>
          </w:rPr>
          <w:t>4</w:t>
        </w:r>
      </w:fldSimple>
      <w:r w:rsidR="0069714C">
        <w:t>.</w:t>
      </w:r>
      <w:fldSimple w:instr=" SEQ Table \* ARABIC \s 1 ">
        <w:r w:rsidR="005D5C7C">
          <w:rPr>
            <w:noProof/>
          </w:rPr>
          <w:t>22</w:t>
        </w:r>
      </w:fldSimple>
      <w:bookmarkEnd w:id="403"/>
      <w:r>
        <w:t xml:space="preserve">: </w:t>
      </w:r>
      <w:r w:rsidRPr="00376F46">
        <w:t xml:space="preserve">Comparison of </w:t>
      </w:r>
      <w:r>
        <w:t xml:space="preserve">Current </w:t>
      </w:r>
      <w:r>
        <w:rPr>
          <w:i/>
        </w:rPr>
        <w:t>Ex-Post</w:t>
      </w:r>
      <w:r>
        <w:t xml:space="preserve"> and </w:t>
      </w:r>
      <w:r>
        <w:rPr>
          <w:i/>
        </w:rPr>
        <w:t>Ex-Ante</w:t>
      </w:r>
      <w:r>
        <w:t xml:space="preserve"> Load </w:t>
      </w:r>
      <w:r w:rsidRPr="00376F46">
        <w:t>Impacts</w:t>
      </w:r>
      <w:bookmarkEnd w:id="404"/>
      <w:bookmarkEnd w:id="4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5659FA" w14:paraId="513352BF" w14:textId="77777777" w:rsidTr="003C7443">
        <w:trPr>
          <w:jc w:val="center"/>
        </w:trPr>
        <w:tc>
          <w:tcPr>
            <w:tcW w:w="1548" w:type="dxa"/>
            <w:tcBorders>
              <w:right w:val="single" w:sz="4" w:space="0" w:color="FFFFFF"/>
            </w:tcBorders>
            <w:shd w:val="clear" w:color="auto" w:fill="0C2577"/>
            <w:vAlign w:val="center"/>
          </w:tcPr>
          <w:p w14:paraId="5D1FE6CE"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2BE645DA"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3C128DF1"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c>
          <w:tcPr>
            <w:tcW w:w="1772" w:type="dxa"/>
            <w:tcBorders>
              <w:left w:val="single" w:sz="4" w:space="0" w:color="FFFFFF"/>
            </w:tcBorders>
            <w:shd w:val="clear" w:color="auto" w:fill="0C2577"/>
            <w:vAlign w:val="center"/>
          </w:tcPr>
          <w:p w14:paraId="2EDC36E9"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2018 August Peak Day from PY2017 Study</w:t>
            </w:r>
          </w:p>
        </w:tc>
      </w:tr>
      <w:tr w:rsidR="005659FA" w14:paraId="4EAC0F31" w14:textId="77777777" w:rsidTr="003C7443">
        <w:trPr>
          <w:jc w:val="center"/>
        </w:trPr>
        <w:tc>
          <w:tcPr>
            <w:tcW w:w="1548" w:type="dxa"/>
            <w:vMerge w:val="restart"/>
            <w:shd w:val="clear" w:color="auto" w:fill="auto"/>
            <w:vAlign w:val="center"/>
          </w:tcPr>
          <w:p w14:paraId="38FA5BE1"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77A38F31"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58B93D7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2,292</w:t>
            </w:r>
          </w:p>
        </w:tc>
        <w:tc>
          <w:tcPr>
            <w:tcW w:w="1772" w:type="dxa"/>
            <w:shd w:val="clear" w:color="auto" w:fill="auto"/>
          </w:tcPr>
          <w:p w14:paraId="5576EE9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3,300</w:t>
            </w:r>
          </w:p>
        </w:tc>
      </w:tr>
      <w:tr w:rsidR="005659FA" w14:paraId="5CDFC096" w14:textId="77777777" w:rsidTr="003C7443">
        <w:trPr>
          <w:trHeight w:val="242"/>
          <w:jc w:val="center"/>
        </w:trPr>
        <w:tc>
          <w:tcPr>
            <w:tcW w:w="1548" w:type="dxa"/>
            <w:vMerge/>
            <w:shd w:val="clear" w:color="auto" w:fill="auto"/>
            <w:vAlign w:val="center"/>
          </w:tcPr>
          <w:p w14:paraId="39CF99B3"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6C484C21"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2C9D819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561</w:t>
            </w:r>
          </w:p>
        </w:tc>
        <w:tc>
          <w:tcPr>
            <w:tcW w:w="1772" w:type="dxa"/>
            <w:shd w:val="clear" w:color="auto" w:fill="auto"/>
          </w:tcPr>
          <w:p w14:paraId="3181D54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803</w:t>
            </w:r>
          </w:p>
        </w:tc>
      </w:tr>
      <w:tr w:rsidR="005659FA" w14:paraId="4C093BA6" w14:textId="77777777" w:rsidTr="003C7443">
        <w:trPr>
          <w:jc w:val="center"/>
        </w:trPr>
        <w:tc>
          <w:tcPr>
            <w:tcW w:w="1548" w:type="dxa"/>
            <w:vMerge/>
            <w:shd w:val="clear" w:color="auto" w:fill="auto"/>
            <w:vAlign w:val="center"/>
          </w:tcPr>
          <w:p w14:paraId="0EEC1263"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118A15EB"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7977837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21.9</w:t>
            </w:r>
          </w:p>
        </w:tc>
        <w:tc>
          <w:tcPr>
            <w:tcW w:w="1772" w:type="dxa"/>
            <w:shd w:val="clear" w:color="auto" w:fill="auto"/>
          </w:tcPr>
          <w:p w14:paraId="78FAE3F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29.8</w:t>
            </w:r>
          </w:p>
        </w:tc>
      </w:tr>
      <w:tr w:rsidR="005659FA" w14:paraId="22F85301" w14:textId="77777777" w:rsidTr="003C7443">
        <w:trPr>
          <w:jc w:val="center"/>
        </w:trPr>
        <w:tc>
          <w:tcPr>
            <w:tcW w:w="1548" w:type="dxa"/>
            <w:vMerge/>
            <w:shd w:val="clear" w:color="auto" w:fill="auto"/>
            <w:vAlign w:val="center"/>
          </w:tcPr>
          <w:p w14:paraId="194227F3"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1A03442F"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0A5B8DAD" w14:textId="77777777" w:rsidR="005659FA" w:rsidRDefault="005659FA" w:rsidP="003C7443">
            <w:pPr>
              <w:keepNext/>
              <w:keepLines/>
              <w:jc w:val="center"/>
              <w:rPr>
                <w:rFonts w:ascii="Arial" w:hAnsi="Arial" w:cs="Arial"/>
                <w:sz w:val="20"/>
                <w:szCs w:val="20"/>
              </w:rPr>
            </w:pPr>
            <w:r>
              <w:rPr>
                <w:rFonts w:ascii="Arial" w:hAnsi="Arial" w:cs="Arial"/>
                <w:sz w:val="20"/>
                <w:szCs w:val="20"/>
              </w:rPr>
              <w:t>90.4</w:t>
            </w:r>
          </w:p>
        </w:tc>
        <w:tc>
          <w:tcPr>
            <w:tcW w:w="1772" w:type="dxa"/>
            <w:shd w:val="clear" w:color="auto" w:fill="auto"/>
          </w:tcPr>
          <w:p w14:paraId="7556EE13" w14:textId="77777777" w:rsidR="005659FA" w:rsidRDefault="005659FA" w:rsidP="003C7443">
            <w:pPr>
              <w:keepNext/>
              <w:keepLines/>
              <w:jc w:val="center"/>
              <w:rPr>
                <w:rFonts w:ascii="Arial" w:hAnsi="Arial" w:cs="Arial"/>
                <w:sz w:val="20"/>
                <w:szCs w:val="20"/>
              </w:rPr>
            </w:pPr>
            <w:r>
              <w:rPr>
                <w:rFonts w:ascii="Arial" w:hAnsi="Arial" w:cs="Arial"/>
                <w:sz w:val="20"/>
                <w:szCs w:val="20"/>
              </w:rPr>
              <w:t>89.4</w:t>
            </w:r>
          </w:p>
        </w:tc>
      </w:tr>
      <w:tr w:rsidR="005659FA" w14:paraId="72157380" w14:textId="77777777" w:rsidTr="003C7443">
        <w:trPr>
          <w:jc w:val="center"/>
        </w:trPr>
        <w:tc>
          <w:tcPr>
            <w:tcW w:w="1548" w:type="dxa"/>
            <w:vMerge w:val="restart"/>
            <w:shd w:val="clear" w:color="auto" w:fill="auto"/>
            <w:vAlign w:val="center"/>
          </w:tcPr>
          <w:p w14:paraId="2B9509D5"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0FA6FA43"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13DB939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245</w:t>
            </w:r>
          </w:p>
        </w:tc>
        <w:tc>
          <w:tcPr>
            <w:tcW w:w="1772" w:type="dxa"/>
            <w:shd w:val="clear" w:color="auto" w:fill="auto"/>
          </w:tcPr>
          <w:p w14:paraId="69B8D02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243</w:t>
            </w:r>
          </w:p>
        </w:tc>
      </w:tr>
      <w:tr w:rsidR="005659FA" w14:paraId="4D829EED" w14:textId="77777777" w:rsidTr="003C7443">
        <w:trPr>
          <w:jc w:val="center"/>
        </w:trPr>
        <w:tc>
          <w:tcPr>
            <w:tcW w:w="1548" w:type="dxa"/>
            <w:vMerge/>
            <w:shd w:val="clear" w:color="auto" w:fill="auto"/>
          </w:tcPr>
          <w:p w14:paraId="3BFCFCD2"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737BDFEC"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724A668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9.6</w:t>
            </w:r>
          </w:p>
        </w:tc>
        <w:tc>
          <w:tcPr>
            <w:tcW w:w="1772" w:type="dxa"/>
            <w:shd w:val="clear" w:color="auto" w:fill="auto"/>
          </w:tcPr>
          <w:p w14:paraId="2B4D3F5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9.0</w:t>
            </w:r>
          </w:p>
        </w:tc>
      </w:tr>
      <w:tr w:rsidR="005659FA" w14:paraId="521B9D8A" w14:textId="77777777" w:rsidTr="003C7443">
        <w:trPr>
          <w:jc w:val="center"/>
        </w:trPr>
        <w:tc>
          <w:tcPr>
            <w:tcW w:w="1548" w:type="dxa"/>
            <w:vMerge/>
            <w:shd w:val="clear" w:color="auto" w:fill="auto"/>
          </w:tcPr>
          <w:p w14:paraId="2717D326"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580C259B"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650B8C1D"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3.9%</w:t>
            </w:r>
          </w:p>
        </w:tc>
        <w:tc>
          <w:tcPr>
            <w:tcW w:w="1772" w:type="dxa"/>
            <w:shd w:val="clear" w:color="auto" w:fill="auto"/>
          </w:tcPr>
          <w:p w14:paraId="070B287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3.7%</w:t>
            </w:r>
          </w:p>
        </w:tc>
      </w:tr>
    </w:tbl>
    <w:p w14:paraId="0877A834" w14:textId="77777777" w:rsidR="005659FA" w:rsidRDefault="005659FA" w:rsidP="005659FA"/>
    <w:p w14:paraId="717C8A09" w14:textId="3A574E28" w:rsidR="005659FA" w:rsidRDefault="005659FA" w:rsidP="005659FA">
      <w:r>
        <w:fldChar w:fldCharType="begin"/>
      </w:r>
      <w:r>
        <w:instrText xml:space="preserve"> REF _Ref507078388 \h </w:instrText>
      </w:r>
      <w:r>
        <w:fldChar w:fldCharType="separate"/>
      </w:r>
      <w:r w:rsidR="005D5C7C">
        <w:t xml:space="preserve">Table </w:t>
      </w:r>
      <w:r w:rsidR="005D5C7C">
        <w:rPr>
          <w:noProof/>
        </w:rPr>
        <w:t>4</w:t>
      </w:r>
      <w:r w:rsidR="005D5C7C">
        <w:t>.</w:t>
      </w:r>
      <w:r w:rsidR="005D5C7C">
        <w:rPr>
          <w:noProof/>
        </w:rPr>
        <w:t>23</w:t>
      </w:r>
      <w:r>
        <w:fldChar w:fldCharType="end"/>
      </w:r>
      <w:r>
        <w:t xml:space="preserve"> documents the various potential sources of differences between the </w:t>
      </w:r>
      <w:r w:rsidRPr="002A342D">
        <w:rPr>
          <w:i/>
        </w:rPr>
        <w:t>ex-post</w:t>
      </w:r>
      <w:r>
        <w:t xml:space="preserve"> and </w:t>
      </w:r>
      <w:r w:rsidRPr="002A342D">
        <w:rPr>
          <w:i/>
        </w:rPr>
        <w:t>ex-ante</w:t>
      </w:r>
      <w:r>
        <w:t xml:space="preserve"> load impacts. </w:t>
      </w:r>
      <w:r w:rsidR="00D63DE3">
        <w:t>As explained above, the difference in enrollments is the driving force behind the forecast increase in load impacts.</w:t>
      </w:r>
    </w:p>
    <w:p w14:paraId="51C86F7C" w14:textId="77777777" w:rsidR="005659FA" w:rsidRDefault="005659FA" w:rsidP="005659FA"/>
    <w:p w14:paraId="1169B766" w14:textId="35EF982F" w:rsidR="005659FA" w:rsidRDefault="005659FA" w:rsidP="005659FA">
      <w:pPr>
        <w:pStyle w:val="TableCaption"/>
      </w:pPr>
      <w:bookmarkStart w:id="406" w:name="_Ref507078388"/>
      <w:bookmarkStart w:id="407" w:name="_Toc507081240"/>
      <w:bookmarkStart w:id="408" w:name="_Toc509837406"/>
      <w:r>
        <w:lastRenderedPageBreak/>
        <w:t xml:space="preserve">Table </w:t>
      </w:r>
      <w:fldSimple w:instr=" STYLEREF 1 \s ">
        <w:r w:rsidR="005D5C7C">
          <w:rPr>
            <w:noProof/>
          </w:rPr>
          <w:t>4</w:t>
        </w:r>
      </w:fldSimple>
      <w:r w:rsidR="0069714C">
        <w:t>.</w:t>
      </w:r>
      <w:fldSimple w:instr=" SEQ Table \* ARABIC \s 1 ">
        <w:r w:rsidR="005D5C7C">
          <w:rPr>
            <w:noProof/>
          </w:rPr>
          <w:t>23</w:t>
        </w:r>
      </w:fldSimple>
      <w:bookmarkEnd w:id="406"/>
      <w:r w:rsidRPr="00726438">
        <w:t>:</w:t>
      </w:r>
      <w:r>
        <w:t xml:space="preserve"> Comparison of </w:t>
      </w:r>
      <w:r>
        <w:rPr>
          <w:i/>
        </w:rPr>
        <w:t>Ex-Post</w:t>
      </w:r>
      <w:r w:rsidRPr="00726438">
        <w:t xml:space="preserve"> </w:t>
      </w:r>
      <w:r>
        <w:t xml:space="preserve">and </w:t>
      </w:r>
      <w:r>
        <w:rPr>
          <w:i/>
        </w:rPr>
        <w:t>Ex-Ante</w:t>
      </w:r>
      <w:r>
        <w:t xml:space="preserve"> Factors</w:t>
      </w:r>
      <w:bookmarkEnd w:id="407"/>
      <w:bookmarkEnd w:id="408"/>
    </w:p>
    <w:tbl>
      <w:tblPr>
        <w:tblW w:w="9452" w:type="dxa"/>
        <w:jc w:val="center"/>
        <w:tblLook w:val="04A0" w:firstRow="1" w:lastRow="0" w:firstColumn="1" w:lastColumn="0" w:noHBand="0" w:noVBand="1"/>
      </w:tblPr>
      <w:tblGrid>
        <w:gridCol w:w="1518"/>
        <w:gridCol w:w="3028"/>
        <w:gridCol w:w="2340"/>
        <w:gridCol w:w="2566"/>
      </w:tblGrid>
      <w:tr w:rsidR="005659FA" w:rsidRPr="008E5D4C" w14:paraId="7A049154" w14:textId="77777777" w:rsidTr="003C7443">
        <w:trPr>
          <w:trHeight w:val="510"/>
          <w:jc w:val="center"/>
        </w:trPr>
        <w:tc>
          <w:tcPr>
            <w:tcW w:w="1518" w:type="dxa"/>
            <w:tcBorders>
              <w:top w:val="single" w:sz="4" w:space="0" w:color="auto"/>
              <w:left w:val="single" w:sz="4" w:space="0" w:color="auto"/>
              <w:bottom w:val="single" w:sz="4" w:space="0" w:color="auto"/>
              <w:right w:val="single" w:sz="4" w:space="0" w:color="FFFFFF"/>
            </w:tcBorders>
            <w:shd w:val="clear" w:color="auto" w:fill="0C2577"/>
            <w:vAlign w:val="center"/>
            <w:hideMark/>
          </w:tcPr>
          <w:p w14:paraId="1FAD853F" w14:textId="77777777" w:rsidR="005659FA" w:rsidRPr="008E5D4C" w:rsidRDefault="005659FA" w:rsidP="003C7443">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5EDD7669" w14:textId="77777777" w:rsidR="005659FA" w:rsidRPr="008E5D4C" w:rsidRDefault="005659FA" w:rsidP="003C7443">
            <w:pPr>
              <w:pStyle w:val="TableHeader"/>
              <w:keepNext/>
              <w:keepLines/>
              <w:rPr>
                <w:color w:val="auto"/>
                <w:szCs w:val="20"/>
              </w:rPr>
            </w:pPr>
            <w:r>
              <w:rPr>
                <w:i/>
                <w:color w:val="auto"/>
                <w:szCs w:val="20"/>
              </w:rPr>
              <w:t>Ex-Post</w:t>
            </w:r>
          </w:p>
        </w:tc>
        <w:tc>
          <w:tcPr>
            <w:tcW w:w="2340"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711480A5" w14:textId="77777777" w:rsidR="005659FA" w:rsidRPr="008E5D4C" w:rsidRDefault="005659FA" w:rsidP="003C7443">
            <w:pPr>
              <w:pStyle w:val="TableHeader"/>
              <w:keepNext/>
              <w:keepLines/>
              <w:rPr>
                <w:color w:val="auto"/>
                <w:szCs w:val="20"/>
              </w:rPr>
            </w:pPr>
            <w:r>
              <w:rPr>
                <w:i/>
                <w:color w:val="auto"/>
                <w:szCs w:val="20"/>
              </w:rPr>
              <w:t>Ex-Ante</w:t>
            </w:r>
          </w:p>
        </w:tc>
        <w:tc>
          <w:tcPr>
            <w:tcW w:w="2566" w:type="dxa"/>
            <w:tcBorders>
              <w:top w:val="single" w:sz="4" w:space="0" w:color="auto"/>
              <w:left w:val="single" w:sz="4" w:space="0" w:color="FFFFFF"/>
              <w:bottom w:val="single" w:sz="4" w:space="0" w:color="auto"/>
              <w:right w:val="single" w:sz="4" w:space="0" w:color="auto"/>
            </w:tcBorders>
            <w:shd w:val="clear" w:color="auto" w:fill="0C2577"/>
            <w:vAlign w:val="center"/>
            <w:hideMark/>
          </w:tcPr>
          <w:p w14:paraId="3A98265D" w14:textId="77777777" w:rsidR="005659FA" w:rsidRPr="008E5D4C" w:rsidRDefault="005659FA" w:rsidP="003C7443">
            <w:pPr>
              <w:pStyle w:val="TableHeader"/>
              <w:keepNext/>
              <w:keepLines/>
              <w:rPr>
                <w:color w:val="auto"/>
                <w:szCs w:val="20"/>
              </w:rPr>
            </w:pPr>
            <w:r w:rsidRPr="008E5D4C">
              <w:rPr>
                <w:color w:val="auto"/>
                <w:szCs w:val="20"/>
              </w:rPr>
              <w:t>Expected Impact</w:t>
            </w:r>
          </w:p>
        </w:tc>
      </w:tr>
      <w:tr w:rsidR="005659FA" w:rsidRPr="007F356D" w14:paraId="26C08065" w14:textId="77777777" w:rsidTr="003C7443">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1C4831AA" w14:textId="77777777" w:rsidR="005659FA" w:rsidRPr="008E5D4C" w:rsidRDefault="005659FA" w:rsidP="003C7443">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18A5FAD6" w14:textId="77777777" w:rsidR="005659FA" w:rsidRPr="008E5D4C" w:rsidRDefault="005659FA" w:rsidP="003C7443">
            <w:pPr>
              <w:pStyle w:val="TableText"/>
              <w:keepNext/>
              <w:keepLines/>
              <w:spacing w:after="120"/>
              <w:jc w:val="left"/>
              <w:rPr>
                <w:rFonts w:cs="Calibri"/>
                <w:sz w:val="20"/>
                <w:szCs w:val="20"/>
              </w:rPr>
            </w:pPr>
            <w:r>
              <w:rPr>
                <w:rFonts w:cs="Calibri"/>
                <w:sz w:val="20"/>
                <w:szCs w:val="20"/>
              </w:rPr>
              <w:t xml:space="preserve">Average event-hour temperature of 90.4 </w:t>
            </w:r>
            <w:r>
              <w:rPr>
                <w:rFonts w:cs="Arial"/>
                <w:sz w:val="20"/>
                <w:szCs w:val="20"/>
              </w:rPr>
              <w:t>°</w:t>
            </w:r>
            <w:r>
              <w:rPr>
                <w:rFonts w:cs="Calibri"/>
                <w:sz w:val="20"/>
                <w:szCs w:val="20"/>
              </w:rPr>
              <w:t>F during the average event day.</w:t>
            </w:r>
          </w:p>
        </w:tc>
        <w:tc>
          <w:tcPr>
            <w:tcW w:w="2340" w:type="dxa"/>
            <w:tcBorders>
              <w:top w:val="single" w:sz="4" w:space="0" w:color="auto"/>
              <w:left w:val="nil"/>
              <w:bottom w:val="single" w:sz="4" w:space="0" w:color="auto"/>
              <w:right w:val="single" w:sz="4" w:space="0" w:color="auto"/>
            </w:tcBorders>
            <w:shd w:val="clear" w:color="000000" w:fill="FFFFFF"/>
          </w:tcPr>
          <w:p w14:paraId="3294A06F" w14:textId="77777777" w:rsidR="005659FA" w:rsidRPr="008E5D4C" w:rsidRDefault="005659FA" w:rsidP="003C7443">
            <w:pPr>
              <w:pStyle w:val="TableText"/>
              <w:keepNext/>
              <w:keepLines/>
              <w:jc w:val="left"/>
              <w:rPr>
                <w:sz w:val="20"/>
                <w:szCs w:val="20"/>
              </w:rPr>
            </w:pPr>
            <w:r>
              <w:rPr>
                <w:rFonts w:cs="Calibri"/>
                <w:sz w:val="20"/>
                <w:szCs w:val="20"/>
              </w:rPr>
              <w:t xml:space="preserve">Average event-hour temperature of 89.4 </w:t>
            </w:r>
            <w:r>
              <w:rPr>
                <w:rFonts w:cs="Arial"/>
                <w:sz w:val="20"/>
                <w:szCs w:val="20"/>
              </w:rPr>
              <w:t>°</w:t>
            </w:r>
            <w:r>
              <w:rPr>
                <w:rFonts w:cs="Calibri"/>
                <w:sz w:val="20"/>
                <w:szCs w:val="20"/>
              </w:rPr>
              <w:t>F during the SCE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0ADBA11D" w14:textId="77777777" w:rsidR="005659FA" w:rsidRPr="008E5D4C" w:rsidRDefault="005659FA" w:rsidP="003C7443">
            <w:pPr>
              <w:pStyle w:val="TableText"/>
              <w:keepNext/>
              <w:keepLines/>
              <w:jc w:val="left"/>
              <w:rPr>
                <w:sz w:val="20"/>
                <w:szCs w:val="20"/>
              </w:rPr>
            </w:pPr>
            <w:r>
              <w:rPr>
                <w:sz w:val="20"/>
                <w:szCs w:val="20"/>
              </w:rPr>
              <w:t xml:space="preserve">Slightly lower </w:t>
            </w:r>
            <w:r w:rsidRPr="0044495E">
              <w:rPr>
                <w:i/>
                <w:sz w:val="20"/>
                <w:szCs w:val="20"/>
              </w:rPr>
              <w:t>ex-post</w:t>
            </w:r>
            <w:r>
              <w:rPr>
                <w:sz w:val="20"/>
                <w:szCs w:val="20"/>
              </w:rPr>
              <w:t xml:space="preserve"> temperatures may have reduced the per-customer load impact (</w:t>
            </w:r>
            <w:r w:rsidRPr="0044495E">
              <w:rPr>
                <w:i/>
                <w:sz w:val="20"/>
                <w:szCs w:val="20"/>
              </w:rPr>
              <w:t>ceteris paribus</w:t>
            </w:r>
            <w:r>
              <w:rPr>
                <w:sz w:val="20"/>
                <w:szCs w:val="20"/>
              </w:rPr>
              <w:t>).</w:t>
            </w:r>
          </w:p>
        </w:tc>
      </w:tr>
      <w:tr w:rsidR="005659FA" w:rsidRPr="007F356D" w14:paraId="7F52F28A"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420A78A2" w14:textId="77777777" w:rsidR="005659FA" w:rsidRPr="008E5D4C" w:rsidRDefault="005659FA" w:rsidP="003C7443">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26C2C5CE" w14:textId="77777777" w:rsidR="005659FA" w:rsidRPr="008E5D4C" w:rsidRDefault="005659FA" w:rsidP="003C7443">
            <w:pPr>
              <w:pStyle w:val="TableText"/>
              <w:keepNext/>
              <w:keepLines/>
              <w:jc w:val="left"/>
              <w:rPr>
                <w:rFonts w:cs="Calibri"/>
                <w:sz w:val="20"/>
                <w:szCs w:val="20"/>
              </w:rPr>
            </w:pPr>
            <w:r>
              <w:rPr>
                <w:rFonts w:cs="Calibri"/>
                <w:sz w:val="20"/>
                <w:szCs w:val="20"/>
              </w:rPr>
              <w:t>Hours-ending 15 through 18.</w:t>
            </w:r>
          </w:p>
        </w:tc>
        <w:tc>
          <w:tcPr>
            <w:tcW w:w="2340" w:type="dxa"/>
            <w:tcBorders>
              <w:top w:val="nil"/>
              <w:left w:val="nil"/>
              <w:bottom w:val="single" w:sz="4" w:space="0" w:color="auto"/>
              <w:right w:val="single" w:sz="4" w:space="0" w:color="auto"/>
            </w:tcBorders>
            <w:shd w:val="clear" w:color="000000" w:fill="FFFFFF"/>
          </w:tcPr>
          <w:p w14:paraId="192B3958" w14:textId="77777777" w:rsidR="005659FA" w:rsidRPr="008E5D4C" w:rsidRDefault="005659FA" w:rsidP="003C7443">
            <w:pPr>
              <w:pStyle w:val="TableText"/>
              <w:keepNext/>
              <w:keepLines/>
              <w:jc w:val="left"/>
              <w:rPr>
                <w:sz w:val="20"/>
                <w:szCs w:val="20"/>
              </w:rPr>
            </w:pPr>
            <w:r>
              <w:rPr>
                <w:rFonts w:cs="Calibri"/>
                <w:sz w:val="20"/>
                <w:szCs w:val="20"/>
              </w:rPr>
              <w:t>Hours-ending 15 through 18.</w:t>
            </w:r>
          </w:p>
        </w:tc>
        <w:tc>
          <w:tcPr>
            <w:tcW w:w="2566" w:type="dxa"/>
            <w:tcBorders>
              <w:top w:val="nil"/>
              <w:left w:val="nil"/>
              <w:bottom w:val="single" w:sz="4" w:space="0" w:color="auto"/>
              <w:right w:val="single" w:sz="4" w:space="0" w:color="auto"/>
            </w:tcBorders>
            <w:shd w:val="clear" w:color="000000" w:fill="FFFFFF"/>
          </w:tcPr>
          <w:p w14:paraId="2A439FB7" w14:textId="77777777" w:rsidR="005659FA" w:rsidRPr="008E5D4C" w:rsidRDefault="005659FA" w:rsidP="003C7443">
            <w:pPr>
              <w:pStyle w:val="TableText"/>
              <w:keepNext/>
              <w:keepLines/>
              <w:jc w:val="left"/>
              <w:rPr>
                <w:sz w:val="20"/>
                <w:szCs w:val="20"/>
              </w:rPr>
            </w:pPr>
            <w:r>
              <w:rPr>
                <w:sz w:val="20"/>
                <w:szCs w:val="20"/>
              </w:rPr>
              <w:t xml:space="preserve">None, though </w:t>
            </w:r>
            <w:r w:rsidRPr="00061085">
              <w:rPr>
                <w:i/>
                <w:sz w:val="20"/>
                <w:szCs w:val="20"/>
              </w:rPr>
              <w:t>ex-ante</w:t>
            </w:r>
            <w:r>
              <w:rPr>
                <w:sz w:val="20"/>
                <w:szCs w:val="20"/>
              </w:rPr>
              <w:t xml:space="preserve"> load impact summaries for the Resource Adequacy window will be lower because they include non-event hours (HE 14 from Apr. to Oct.; HE 19-21 from Nov. to Mar.)</w:t>
            </w:r>
          </w:p>
        </w:tc>
      </w:tr>
      <w:tr w:rsidR="005659FA" w:rsidRPr="007F356D" w14:paraId="6CF8FAC4"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2C2F87C7" w14:textId="77777777" w:rsidR="005659FA" w:rsidRPr="008E5D4C" w:rsidRDefault="005659FA" w:rsidP="003C7443">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3678A9A5" w14:textId="77777777" w:rsidR="005659FA" w:rsidRPr="008E5D4C" w:rsidRDefault="005659FA" w:rsidP="003C7443">
            <w:pPr>
              <w:pStyle w:val="TableText"/>
              <w:keepNext/>
              <w:keepLines/>
              <w:jc w:val="left"/>
              <w:rPr>
                <w:rFonts w:cs="Calibri"/>
                <w:sz w:val="20"/>
                <w:szCs w:val="20"/>
              </w:rPr>
            </w:pPr>
            <w:r>
              <w:rPr>
                <w:rFonts w:cs="Calibri"/>
                <w:sz w:val="20"/>
                <w:szCs w:val="20"/>
              </w:rPr>
              <w:t>100 percent</w:t>
            </w:r>
          </w:p>
        </w:tc>
        <w:tc>
          <w:tcPr>
            <w:tcW w:w="2340" w:type="dxa"/>
            <w:tcBorders>
              <w:top w:val="nil"/>
              <w:left w:val="nil"/>
              <w:bottom w:val="single" w:sz="4" w:space="0" w:color="auto"/>
              <w:right w:val="single" w:sz="4" w:space="0" w:color="auto"/>
            </w:tcBorders>
            <w:shd w:val="clear" w:color="000000" w:fill="FFFFFF"/>
          </w:tcPr>
          <w:p w14:paraId="4E10FC4D" w14:textId="77777777" w:rsidR="005659FA" w:rsidRPr="008E5D4C" w:rsidRDefault="005659FA" w:rsidP="003C7443">
            <w:pPr>
              <w:pStyle w:val="TableText"/>
              <w:keepNext/>
              <w:keepLines/>
              <w:jc w:val="left"/>
              <w:rPr>
                <w:sz w:val="20"/>
                <w:szCs w:val="20"/>
              </w:rPr>
            </w:pPr>
            <w:r>
              <w:rPr>
                <w:sz w:val="20"/>
                <w:szCs w:val="20"/>
              </w:rPr>
              <w:t>100 percent</w:t>
            </w:r>
          </w:p>
        </w:tc>
        <w:tc>
          <w:tcPr>
            <w:tcW w:w="2566" w:type="dxa"/>
            <w:tcBorders>
              <w:top w:val="nil"/>
              <w:left w:val="nil"/>
              <w:bottom w:val="single" w:sz="4" w:space="0" w:color="auto"/>
              <w:right w:val="single" w:sz="4" w:space="0" w:color="auto"/>
            </w:tcBorders>
            <w:shd w:val="clear" w:color="000000" w:fill="FFFFFF"/>
          </w:tcPr>
          <w:p w14:paraId="7CABFC3F" w14:textId="77777777" w:rsidR="005659FA" w:rsidRPr="008E5D4C" w:rsidRDefault="005659FA" w:rsidP="003C7443">
            <w:pPr>
              <w:pStyle w:val="TableText"/>
              <w:keepNext/>
              <w:keepLines/>
              <w:jc w:val="left"/>
              <w:rPr>
                <w:sz w:val="20"/>
                <w:szCs w:val="20"/>
              </w:rPr>
            </w:pPr>
            <w:r>
              <w:rPr>
                <w:sz w:val="20"/>
                <w:szCs w:val="20"/>
              </w:rPr>
              <w:t>None.</w:t>
            </w:r>
          </w:p>
        </w:tc>
      </w:tr>
      <w:tr w:rsidR="005659FA" w:rsidRPr="007F356D" w14:paraId="35475D67"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26B9110A" w14:textId="77777777" w:rsidR="005659FA" w:rsidRPr="008E5D4C" w:rsidRDefault="005659FA" w:rsidP="003C7443">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24CF6C66" w14:textId="77777777" w:rsidR="005659FA" w:rsidRPr="008E5D4C" w:rsidRDefault="005659FA" w:rsidP="003C7443">
            <w:pPr>
              <w:pStyle w:val="TableText"/>
              <w:keepNext/>
              <w:keepLines/>
              <w:jc w:val="left"/>
              <w:rPr>
                <w:rFonts w:cs="Calibri"/>
                <w:sz w:val="20"/>
                <w:szCs w:val="20"/>
              </w:rPr>
            </w:pPr>
            <w:r>
              <w:rPr>
                <w:rFonts w:cs="Calibri"/>
                <w:sz w:val="20"/>
                <w:szCs w:val="20"/>
              </w:rPr>
              <w:t>2,292 service accounts.</w:t>
            </w:r>
          </w:p>
        </w:tc>
        <w:tc>
          <w:tcPr>
            <w:tcW w:w="2340" w:type="dxa"/>
            <w:tcBorders>
              <w:top w:val="nil"/>
              <w:left w:val="nil"/>
              <w:bottom w:val="single" w:sz="4" w:space="0" w:color="auto"/>
              <w:right w:val="single" w:sz="4" w:space="0" w:color="auto"/>
            </w:tcBorders>
            <w:shd w:val="clear" w:color="000000" w:fill="FFFFFF"/>
          </w:tcPr>
          <w:p w14:paraId="447E4EA2" w14:textId="77777777" w:rsidR="005659FA" w:rsidRPr="008E5D4C" w:rsidRDefault="005659FA" w:rsidP="003C7443">
            <w:pPr>
              <w:pStyle w:val="TableText"/>
              <w:keepNext/>
              <w:keepLines/>
              <w:jc w:val="left"/>
              <w:rPr>
                <w:sz w:val="20"/>
                <w:szCs w:val="20"/>
              </w:rPr>
            </w:pPr>
            <w:r>
              <w:rPr>
                <w:sz w:val="20"/>
                <w:szCs w:val="20"/>
              </w:rPr>
              <w:t>3,300 service accounts.</w:t>
            </w:r>
          </w:p>
        </w:tc>
        <w:tc>
          <w:tcPr>
            <w:tcW w:w="2566" w:type="dxa"/>
            <w:tcBorders>
              <w:top w:val="nil"/>
              <w:left w:val="nil"/>
              <w:bottom w:val="single" w:sz="4" w:space="0" w:color="auto"/>
              <w:right w:val="single" w:sz="4" w:space="0" w:color="auto"/>
            </w:tcBorders>
            <w:shd w:val="clear" w:color="000000" w:fill="FFFFFF"/>
          </w:tcPr>
          <w:p w14:paraId="3C9B84ED" w14:textId="77777777" w:rsidR="005659FA" w:rsidRPr="00866CCC" w:rsidRDefault="005659FA" w:rsidP="003C7443">
            <w:pPr>
              <w:pStyle w:val="TableText"/>
              <w:keepNext/>
              <w:keepLines/>
              <w:jc w:val="left"/>
              <w:rPr>
                <w:sz w:val="20"/>
                <w:szCs w:val="20"/>
                <w:highlight w:val="yellow"/>
              </w:rPr>
            </w:pPr>
            <w:r w:rsidRPr="0044495E">
              <w:rPr>
                <w:sz w:val="20"/>
                <w:szCs w:val="20"/>
              </w:rPr>
              <w:t xml:space="preserve">Higher </w:t>
            </w:r>
            <w:r w:rsidRPr="0054538A">
              <w:rPr>
                <w:i/>
                <w:sz w:val="20"/>
                <w:szCs w:val="20"/>
              </w:rPr>
              <w:t>ex-ante</w:t>
            </w:r>
            <w:r w:rsidRPr="0044495E">
              <w:rPr>
                <w:sz w:val="20"/>
                <w:szCs w:val="20"/>
              </w:rPr>
              <w:t xml:space="preserve"> enrollment</w:t>
            </w:r>
            <w:r>
              <w:rPr>
                <w:sz w:val="20"/>
                <w:szCs w:val="20"/>
              </w:rPr>
              <w:t xml:space="preserve"> leads to higher aggregate load impact. </w:t>
            </w:r>
          </w:p>
        </w:tc>
      </w:tr>
      <w:tr w:rsidR="005659FA" w:rsidRPr="007F356D" w14:paraId="76CD0CE0"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0DD70213" w14:textId="77777777" w:rsidR="005659FA" w:rsidRPr="008E5D4C" w:rsidRDefault="005659FA" w:rsidP="003C7443">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0C775B96" w14:textId="77777777" w:rsidR="005659FA" w:rsidRPr="008E5D4C" w:rsidRDefault="005659FA" w:rsidP="003C7443">
            <w:pPr>
              <w:pStyle w:val="TableText"/>
              <w:keepNext/>
              <w:keepLines/>
              <w:spacing w:after="120"/>
              <w:jc w:val="left"/>
              <w:rPr>
                <w:rFonts w:cs="Calibri"/>
                <w:sz w:val="20"/>
                <w:szCs w:val="20"/>
              </w:rPr>
            </w:pPr>
            <w:r>
              <w:rPr>
                <w:rFonts w:cs="Calibri"/>
                <w:sz w:val="20"/>
                <w:szCs w:val="20"/>
              </w:rPr>
              <w:t>Panel models by LCA with fixed customer and date effects and a matched control-group of non-participants.</w:t>
            </w:r>
          </w:p>
        </w:tc>
        <w:tc>
          <w:tcPr>
            <w:tcW w:w="2340" w:type="dxa"/>
            <w:tcBorders>
              <w:top w:val="nil"/>
              <w:left w:val="nil"/>
              <w:bottom w:val="single" w:sz="4" w:space="0" w:color="auto"/>
              <w:right w:val="single" w:sz="4" w:space="0" w:color="auto"/>
            </w:tcBorders>
            <w:shd w:val="clear" w:color="000000" w:fill="FFFFFF"/>
          </w:tcPr>
          <w:p w14:paraId="5A01444F" w14:textId="77777777" w:rsidR="005659FA" w:rsidRPr="008E5D4C" w:rsidRDefault="005659FA" w:rsidP="003C7443">
            <w:pPr>
              <w:pStyle w:val="TableText"/>
              <w:keepNext/>
              <w:keepLines/>
              <w:jc w:val="left"/>
              <w:rPr>
                <w:sz w:val="20"/>
                <w:szCs w:val="20"/>
              </w:rPr>
            </w:pPr>
            <w:r>
              <w:rPr>
                <w:sz w:val="20"/>
                <w:szCs w:val="20"/>
              </w:rPr>
              <w:t xml:space="preserve">Simulated LCA-specific reference loads by LCA from the enrolled customer data. Then applied percentage load impacts derived from the </w:t>
            </w:r>
            <w:r w:rsidRPr="000C58FA">
              <w:rPr>
                <w:i/>
                <w:sz w:val="20"/>
                <w:szCs w:val="20"/>
              </w:rPr>
              <w:t>ex-post</w:t>
            </w:r>
            <w:r>
              <w:rPr>
                <w:sz w:val="20"/>
                <w:szCs w:val="20"/>
              </w:rPr>
              <w:t xml:space="preserve"> analysis.</w:t>
            </w:r>
          </w:p>
        </w:tc>
        <w:tc>
          <w:tcPr>
            <w:tcW w:w="2566" w:type="dxa"/>
            <w:tcBorders>
              <w:top w:val="nil"/>
              <w:left w:val="nil"/>
              <w:bottom w:val="single" w:sz="4" w:space="0" w:color="auto"/>
              <w:right w:val="single" w:sz="4" w:space="0" w:color="auto"/>
            </w:tcBorders>
            <w:shd w:val="clear" w:color="000000" w:fill="FFFFFF"/>
          </w:tcPr>
          <w:p w14:paraId="7DA67B17" w14:textId="77777777" w:rsidR="005659FA" w:rsidRPr="008E5D4C" w:rsidRDefault="005659FA" w:rsidP="003C7443">
            <w:pPr>
              <w:pStyle w:val="TableText"/>
              <w:keepNext/>
              <w:keepLines/>
              <w:jc w:val="left"/>
              <w:rPr>
                <w:sz w:val="20"/>
                <w:szCs w:val="20"/>
              </w:rPr>
            </w:pPr>
            <w:r>
              <w:rPr>
                <w:sz w:val="20"/>
                <w:szCs w:val="20"/>
              </w:rPr>
              <w:t xml:space="preserve">The method is not expected to consistently produce differences between the </w:t>
            </w:r>
            <w:r w:rsidRPr="000C58FA">
              <w:rPr>
                <w:i/>
                <w:sz w:val="20"/>
                <w:szCs w:val="20"/>
              </w:rPr>
              <w:t>ex-post</w:t>
            </w:r>
            <w:r>
              <w:rPr>
                <w:sz w:val="20"/>
                <w:szCs w:val="20"/>
              </w:rPr>
              <w:t xml:space="preserve"> and </w:t>
            </w:r>
            <w:r w:rsidRPr="000C58FA">
              <w:rPr>
                <w:i/>
                <w:sz w:val="20"/>
                <w:szCs w:val="20"/>
              </w:rPr>
              <w:t>ex-ante</w:t>
            </w:r>
            <w:r>
              <w:rPr>
                <w:sz w:val="20"/>
                <w:szCs w:val="20"/>
              </w:rPr>
              <w:t xml:space="preserve"> impacts.</w:t>
            </w:r>
          </w:p>
        </w:tc>
      </w:tr>
    </w:tbl>
    <w:p w14:paraId="3373E064" w14:textId="77777777" w:rsidR="005659FA" w:rsidRDefault="005659FA" w:rsidP="005659FA">
      <w:pPr>
        <w:pStyle w:val="Heading3"/>
        <w:numPr>
          <w:ilvl w:val="2"/>
          <w:numId w:val="43"/>
        </w:numPr>
        <w:rPr>
          <w:sz w:val="24"/>
        </w:rPr>
      </w:pPr>
      <w:bookmarkStart w:id="409" w:name="_Toc507081159"/>
      <w:bookmarkStart w:id="410" w:name="_Toc507140068"/>
      <w:bookmarkStart w:id="411" w:name="_Toc509837336"/>
      <w:r>
        <w:rPr>
          <w:sz w:val="24"/>
        </w:rPr>
        <w:t>SCE SMB Customer Reconciliations</w:t>
      </w:r>
      <w:bookmarkEnd w:id="409"/>
      <w:bookmarkEnd w:id="410"/>
      <w:bookmarkEnd w:id="411"/>
    </w:p>
    <w:p w14:paraId="7F742F45" w14:textId="77777777" w:rsidR="005659FA" w:rsidRPr="00823315" w:rsidRDefault="005659FA" w:rsidP="005659FA">
      <w:pPr>
        <w:rPr>
          <w:b/>
          <w:i/>
        </w:rPr>
      </w:pPr>
      <w:r w:rsidRPr="00823315">
        <w:rPr>
          <w:b/>
          <w:i/>
        </w:rPr>
        <w:t>Previous vs. Current Ex-Post</w:t>
      </w:r>
    </w:p>
    <w:p w14:paraId="27466D31" w14:textId="69C73F6C" w:rsidR="005659FA" w:rsidRDefault="005659FA" w:rsidP="005659FA">
      <w:r>
        <w:fldChar w:fldCharType="begin"/>
      </w:r>
      <w:r>
        <w:instrText xml:space="preserve"> REF _Ref507078419 \h </w:instrText>
      </w:r>
      <w:r>
        <w:fldChar w:fldCharType="separate"/>
      </w:r>
      <w:r w:rsidR="005D5C7C">
        <w:t xml:space="preserve">Table </w:t>
      </w:r>
      <w:r w:rsidR="005D5C7C">
        <w:rPr>
          <w:noProof/>
        </w:rPr>
        <w:t>4</w:t>
      </w:r>
      <w:r w:rsidR="005D5C7C">
        <w:t>.</w:t>
      </w:r>
      <w:r w:rsidR="005D5C7C">
        <w:rPr>
          <w:noProof/>
        </w:rPr>
        <w:t>24</w:t>
      </w:r>
      <w:r>
        <w:fldChar w:fldCharType="end"/>
      </w:r>
      <w:r>
        <w:t xml:space="preserve"> shows the average event-hour reference loads and load impacts for the average event day during the current and previous program years. </w:t>
      </w:r>
      <w:r w:rsidR="00A71789">
        <w:t>The aggregate load impact is lower in the current study (0.6 MWh/hour vs. 0.8 MWh/hour in the previous study), resulting from a combination of offsetting factors. While enrollment and percentage load impacts were lower in PY2017, the per-customer reference load was higher. It is possible that the current study has higher reference loads because we placed NEM customers in their own class.</w:t>
      </w:r>
    </w:p>
    <w:p w14:paraId="53D7C5D8" w14:textId="77777777" w:rsidR="005659FA" w:rsidRDefault="005659FA" w:rsidP="005659FA"/>
    <w:p w14:paraId="17CDCF88" w14:textId="59B67249" w:rsidR="005659FA" w:rsidRDefault="005659FA" w:rsidP="005659FA">
      <w:pPr>
        <w:pStyle w:val="TableCaption"/>
      </w:pPr>
      <w:bookmarkStart w:id="412" w:name="_Ref507078419"/>
      <w:bookmarkStart w:id="413" w:name="_Toc507081241"/>
      <w:bookmarkStart w:id="414" w:name="_Toc509837407"/>
      <w:r>
        <w:lastRenderedPageBreak/>
        <w:t xml:space="preserve">Table </w:t>
      </w:r>
      <w:fldSimple w:instr=" STYLEREF 1 \s ">
        <w:r w:rsidR="005D5C7C">
          <w:rPr>
            <w:noProof/>
          </w:rPr>
          <w:t>4</w:t>
        </w:r>
      </w:fldSimple>
      <w:r w:rsidR="0069714C">
        <w:t>.</w:t>
      </w:r>
      <w:fldSimple w:instr=" SEQ Table \* ARABIC \s 1 ">
        <w:r w:rsidR="005D5C7C">
          <w:rPr>
            <w:noProof/>
          </w:rPr>
          <w:t>24</w:t>
        </w:r>
      </w:fldSimple>
      <w:bookmarkEnd w:id="412"/>
      <w:r w:rsidRPr="00376F46">
        <w:t xml:space="preserve">: </w:t>
      </w:r>
      <w:r>
        <w:t xml:space="preserve">Current vs. Previous </w:t>
      </w:r>
      <w:r w:rsidRPr="001634AA">
        <w:rPr>
          <w:i/>
        </w:rPr>
        <w:t>Ex-Post</w:t>
      </w:r>
      <w:r>
        <w:t xml:space="preserve"> Load Impacts for the Average Event</w:t>
      </w:r>
      <w:bookmarkEnd w:id="413"/>
      <w:bookmarkEnd w:id="4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5"/>
        <w:gridCol w:w="1731"/>
        <w:gridCol w:w="1512"/>
        <w:gridCol w:w="1512"/>
      </w:tblGrid>
      <w:tr w:rsidR="005659FA" w14:paraId="6291E83F" w14:textId="77777777" w:rsidTr="003C7443">
        <w:trPr>
          <w:trHeight w:val="728"/>
          <w:jc w:val="center"/>
        </w:trPr>
        <w:tc>
          <w:tcPr>
            <w:tcW w:w="1295" w:type="dxa"/>
            <w:tcBorders>
              <w:right w:val="single" w:sz="4" w:space="0" w:color="FFFFFF"/>
            </w:tcBorders>
            <w:shd w:val="clear" w:color="auto" w:fill="0C2577"/>
            <w:vAlign w:val="center"/>
          </w:tcPr>
          <w:p w14:paraId="4D9F42A3"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731" w:type="dxa"/>
            <w:tcBorders>
              <w:left w:val="single" w:sz="4" w:space="0" w:color="FFFFFF"/>
              <w:right w:val="single" w:sz="4" w:space="0" w:color="FFFFFF"/>
            </w:tcBorders>
            <w:shd w:val="clear" w:color="auto" w:fill="0C2577"/>
            <w:vAlign w:val="center"/>
          </w:tcPr>
          <w:p w14:paraId="71CC43D3"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512" w:type="dxa"/>
            <w:tcBorders>
              <w:left w:val="single" w:sz="4" w:space="0" w:color="FFFFFF"/>
              <w:right w:val="single" w:sz="4" w:space="0" w:color="FFFFFF"/>
            </w:tcBorders>
            <w:shd w:val="clear" w:color="auto" w:fill="0C2577"/>
            <w:vAlign w:val="center"/>
          </w:tcPr>
          <w:p w14:paraId="4452E2F9"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6</w:t>
            </w:r>
          </w:p>
        </w:tc>
        <w:tc>
          <w:tcPr>
            <w:tcW w:w="1512" w:type="dxa"/>
            <w:tcBorders>
              <w:left w:val="single" w:sz="4" w:space="0" w:color="FFFFFF"/>
            </w:tcBorders>
            <w:shd w:val="clear" w:color="auto" w:fill="0C2577"/>
            <w:vAlign w:val="center"/>
          </w:tcPr>
          <w:p w14:paraId="3ADA44E5"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7</w:t>
            </w:r>
          </w:p>
        </w:tc>
      </w:tr>
      <w:tr w:rsidR="005659FA" w14:paraId="26C654C7" w14:textId="77777777" w:rsidTr="003C7443">
        <w:trPr>
          <w:jc w:val="center"/>
        </w:trPr>
        <w:tc>
          <w:tcPr>
            <w:tcW w:w="1295" w:type="dxa"/>
            <w:vMerge w:val="restart"/>
            <w:shd w:val="clear" w:color="auto" w:fill="auto"/>
            <w:vAlign w:val="center"/>
          </w:tcPr>
          <w:p w14:paraId="128797AD"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731" w:type="dxa"/>
            <w:shd w:val="clear" w:color="auto" w:fill="auto"/>
          </w:tcPr>
          <w:p w14:paraId="76D272B4"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512" w:type="dxa"/>
            <w:shd w:val="clear" w:color="auto" w:fill="auto"/>
            <w:vAlign w:val="center"/>
          </w:tcPr>
          <w:p w14:paraId="02875FB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1,045</w:t>
            </w:r>
          </w:p>
        </w:tc>
        <w:tc>
          <w:tcPr>
            <w:tcW w:w="1512" w:type="dxa"/>
            <w:shd w:val="clear" w:color="auto" w:fill="auto"/>
            <w:vAlign w:val="center"/>
          </w:tcPr>
          <w:p w14:paraId="1E6F16B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820</w:t>
            </w:r>
          </w:p>
        </w:tc>
      </w:tr>
      <w:tr w:rsidR="005659FA" w14:paraId="298F2763" w14:textId="77777777" w:rsidTr="003C7443">
        <w:trPr>
          <w:trHeight w:val="242"/>
          <w:jc w:val="center"/>
        </w:trPr>
        <w:tc>
          <w:tcPr>
            <w:tcW w:w="1295" w:type="dxa"/>
            <w:vMerge/>
            <w:shd w:val="clear" w:color="auto" w:fill="auto"/>
            <w:vAlign w:val="center"/>
          </w:tcPr>
          <w:p w14:paraId="21AF23EC"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5701CF1A"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512" w:type="dxa"/>
            <w:shd w:val="clear" w:color="auto" w:fill="auto"/>
            <w:vAlign w:val="center"/>
          </w:tcPr>
          <w:p w14:paraId="7B73056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39.6</w:t>
            </w:r>
          </w:p>
        </w:tc>
        <w:tc>
          <w:tcPr>
            <w:tcW w:w="1512" w:type="dxa"/>
            <w:shd w:val="clear" w:color="auto" w:fill="auto"/>
            <w:vAlign w:val="center"/>
          </w:tcPr>
          <w:p w14:paraId="06A2AB3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64.6</w:t>
            </w:r>
          </w:p>
        </w:tc>
      </w:tr>
      <w:tr w:rsidR="005659FA" w14:paraId="43EF6074" w14:textId="77777777" w:rsidTr="003C7443">
        <w:trPr>
          <w:jc w:val="center"/>
        </w:trPr>
        <w:tc>
          <w:tcPr>
            <w:tcW w:w="1295" w:type="dxa"/>
            <w:vMerge/>
            <w:shd w:val="clear" w:color="auto" w:fill="auto"/>
            <w:vAlign w:val="center"/>
          </w:tcPr>
          <w:p w14:paraId="73E6C299"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76C46C47"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512" w:type="dxa"/>
            <w:shd w:val="clear" w:color="auto" w:fill="auto"/>
            <w:vAlign w:val="center"/>
          </w:tcPr>
          <w:p w14:paraId="687AD40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0.8</w:t>
            </w:r>
          </w:p>
        </w:tc>
        <w:tc>
          <w:tcPr>
            <w:tcW w:w="1512" w:type="dxa"/>
            <w:shd w:val="clear" w:color="auto" w:fill="auto"/>
            <w:vAlign w:val="center"/>
          </w:tcPr>
          <w:p w14:paraId="4B24201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0.6</w:t>
            </w:r>
          </w:p>
        </w:tc>
      </w:tr>
      <w:tr w:rsidR="005659FA" w14:paraId="3EECEAC8" w14:textId="77777777" w:rsidTr="003C7443">
        <w:trPr>
          <w:jc w:val="center"/>
        </w:trPr>
        <w:tc>
          <w:tcPr>
            <w:tcW w:w="1295" w:type="dxa"/>
            <w:vMerge/>
            <w:shd w:val="clear" w:color="auto" w:fill="auto"/>
            <w:vAlign w:val="center"/>
          </w:tcPr>
          <w:p w14:paraId="51541D07"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22EA7C0C"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512" w:type="dxa"/>
            <w:shd w:val="clear" w:color="auto" w:fill="auto"/>
            <w:vAlign w:val="center"/>
          </w:tcPr>
          <w:p w14:paraId="18A59E6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90.4</w:t>
            </w:r>
          </w:p>
        </w:tc>
        <w:tc>
          <w:tcPr>
            <w:tcW w:w="1512" w:type="dxa"/>
            <w:shd w:val="clear" w:color="auto" w:fill="auto"/>
            <w:vAlign w:val="center"/>
          </w:tcPr>
          <w:p w14:paraId="24BB425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90.2</w:t>
            </w:r>
          </w:p>
        </w:tc>
      </w:tr>
      <w:tr w:rsidR="005659FA" w14:paraId="5DDB34E3" w14:textId="77777777" w:rsidTr="003C7443">
        <w:trPr>
          <w:jc w:val="center"/>
        </w:trPr>
        <w:tc>
          <w:tcPr>
            <w:tcW w:w="1295" w:type="dxa"/>
            <w:vMerge w:val="restart"/>
            <w:shd w:val="clear" w:color="auto" w:fill="auto"/>
            <w:vAlign w:val="center"/>
          </w:tcPr>
          <w:p w14:paraId="21F7D911"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731" w:type="dxa"/>
            <w:shd w:val="clear" w:color="auto" w:fill="auto"/>
          </w:tcPr>
          <w:p w14:paraId="3C4F35EC"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512" w:type="dxa"/>
            <w:shd w:val="clear" w:color="auto" w:fill="auto"/>
            <w:vAlign w:val="center"/>
          </w:tcPr>
          <w:p w14:paraId="45D462E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39.7</w:t>
            </w:r>
          </w:p>
        </w:tc>
        <w:tc>
          <w:tcPr>
            <w:tcW w:w="1512" w:type="dxa"/>
            <w:shd w:val="clear" w:color="auto" w:fill="auto"/>
            <w:vAlign w:val="center"/>
          </w:tcPr>
          <w:p w14:paraId="7FE3B67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78.7</w:t>
            </w:r>
          </w:p>
        </w:tc>
      </w:tr>
      <w:tr w:rsidR="005659FA" w14:paraId="3D6137B0" w14:textId="77777777" w:rsidTr="003C7443">
        <w:trPr>
          <w:jc w:val="center"/>
        </w:trPr>
        <w:tc>
          <w:tcPr>
            <w:tcW w:w="1295" w:type="dxa"/>
            <w:vMerge/>
            <w:shd w:val="clear" w:color="auto" w:fill="auto"/>
          </w:tcPr>
          <w:p w14:paraId="3D88E3DF"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479AC212"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512" w:type="dxa"/>
            <w:shd w:val="clear" w:color="auto" w:fill="auto"/>
            <w:vAlign w:val="center"/>
          </w:tcPr>
          <w:p w14:paraId="1714012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0.75</w:t>
            </w:r>
          </w:p>
        </w:tc>
        <w:tc>
          <w:tcPr>
            <w:tcW w:w="1512" w:type="dxa"/>
            <w:shd w:val="clear" w:color="auto" w:fill="auto"/>
            <w:vAlign w:val="center"/>
          </w:tcPr>
          <w:p w14:paraId="757C51F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0.75</w:t>
            </w:r>
          </w:p>
        </w:tc>
      </w:tr>
      <w:tr w:rsidR="005659FA" w14:paraId="2664311E" w14:textId="77777777" w:rsidTr="003C7443">
        <w:trPr>
          <w:jc w:val="center"/>
        </w:trPr>
        <w:tc>
          <w:tcPr>
            <w:tcW w:w="1295" w:type="dxa"/>
            <w:vMerge/>
            <w:shd w:val="clear" w:color="auto" w:fill="auto"/>
          </w:tcPr>
          <w:p w14:paraId="55A23560" w14:textId="77777777" w:rsidR="005659FA" w:rsidRPr="009C75E1" w:rsidRDefault="005659FA" w:rsidP="003C7443">
            <w:pPr>
              <w:keepNext/>
              <w:keepLines/>
              <w:rPr>
                <w:rFonts w:ascii="Arial" w:hAnsi="Arial" w:cs="Arial"/>
                <w:sz w:val="20"/>
                <w:szCs w:val="20"/>
              </w:rPr>
            </w:pPr>
          </w:p>
        </w:tc>
        <w:tc>
          <w:tcPr>
            <w:tcW w:w="1731" w:type="dxa"/>
            <w:shd w:val="clear" w:color="auto" w:fill="auto"/>
          </w:tcPr>
          <w:p w14:paraId="4AE686EE"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512" w:type="dxa"/>
            <w:shd w:val="clear" w:color="auto" w:fill="auto"/>
            <w:vAlign w:val="center"/>
          </w:tcPr>
          <w:p w14:paraId="08D3374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2.0%</w:t>
            </w:r>
          </w:p>
        </w:tc>
        <w:tc>
          <w:tcPr>
            <w:tcW w:w="1512" w:type="dxa"/>
            <w:shd w:val="clear" w:color="auto" w:fill="auto"/>
            <w:vAlign w:val="center"/>
          </w:tcPr>
          <w:p w14:paraId="29FB3D1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w:t>
            </w:r>
          </w:p>
        </w:tc>
      </w:tr>
    </w:tbl>
    <w:p w14:paraId="6CBD0C7C" w14:textId="77777777" w:rsidR="005659FA" w:rsidRDefault="005659FA" w:rsidP="005659FA"/>
    <w:p w14:paraId="2B94E0EB" w14:textId="77777777" w:rsidR="005659FA" w:rsidRPr="00823315" w:rsidRDefault="005659FA" w:rsidP="005659FA">
      <w:pPr>
        <w:rPr>
          <w:b/>
          <w:i/>
        </w:rPr>
      </w:pPr>
      <w:r w:rsidRPr="00823315">
        <w:rPr>
          <w:b/>
          <w:i/>
        </w:rPr>
        <w:t>Previous versus current ex-ante</w:t>
      </w:r>
    </w:p>
    <w:p w14:paraId="09855232" w14:textId="2C7ED210" w:rsidR="005659FA" w:rsidRDefault="005659FA" w:rsidP="005659FA">
      <w:r>
        <w:t xml:space="preserve">In this sub-section, we compare the </w:t>
      </w:r>
      <w:r w:rsidRPr="00933F01">
        <w:rPr>
          <w:i/>
        </w:rPr>
        <w:t>ex-ante</w:t>
      </w:r>
      <w:r>
        <w:t xml:space="preserve"> forecast prepared following PY2016 (the “previous study”) to the </w:t>
      </w:r>
      <w:r w:rsidRPr="00933F01">
        <w:rPr>
          <w:i/>
        </w:rPr>
        <w:t>ex-ante</w:t>
      </w:r>
      <w:r>
        <w:t xml:space="preserve"> forecast contained in this study (the “current study”). </w:t>
      </w:r>
      <w:r>
        <w:fldChar w:fldCharType="begin"/>
      </w:r>
      <w:r>
        <w:instrText xml:space="preserve"> REF _Ref507078444 \h </w:instrText>
      </w:r>
      <w:r>
        <w:fldChar w:fldCharType="separate"/>
      </w:r>
      <w:r w:rsidR="005D5C7C">
        <w:t xml:space="preserve">Table </w:t>
      </w:r>
      <w:r w:rsidR="005D5C7C">
        <w:rPr>
          <w:noProof/>
        </w:rPr>
        <w:t>4</w:t>
      </w:r>
      <w:r w:rsidR="005D5C7C">
        <w:t>.</w:t>
      </w:r>
      <w:r w:rsidR="005D5C7C">
        <w:rPr>
          <w:noProof/>
        </w:rPr>
        <w:t>25</w:t>
      </w:r>
      <w:r>
        <w:fldChar w:fldCharType="end"/>
      </w:r>
      <w:r>
        <w:t xml:space="preserve"> reports the average event-hour load impacts for the August 2020 peak day under utility-specific 1-in-2 weather conditions. </w:t>
      </w:r>
      <w:r w:rsidR="00CD3C4A">
        <w:t>As expected because the current study is based on the previous study, the per-customer results are nearly identical, but the aggregate results are much lower due to lower forecast enrollment.</w:t>
      </w:r>
    </w:p>
    <w:p w14:paraId="5AAEEBD4" w14:textId="77777777" w:rsidR="005659FA" w:rsidRDefault="005659FA" w:rsidP="005659FA"/>
    <w:p w14:paraId="039A0F8B" w14:textId="6BC299CC" w:rsidR="005659FA" w:rsidRDefault="005659FA" w:rsidP="005659FA">
      <w:pPr>
        <w:pStyle w:val="TableCaption"/>
      </w:pPr>
      <w:bookmarkStart w:id="415" w:name="_Ref507078444"/>
      <w:bookmarkStart w:id="416" w:name="_Toc507081242"/>
      <w:bookmarkStart w:id="417" w:name="_Toc509837408"/>
      <w:r>
        <w:t xml:space="preserve">Table </w:t>
      </w:r>
      <w:fldSimple w:instr=" STYLEREF 1 \s ">
        <w:r w:rsidR="005D5C7C">
          <w:rPr>
            <w:noProof/>
          </w:rPr>
          <w:t>4</w:t>
        </w:r>
      </w:fldSimple>
      <w:r w:rsidR="0069714C">
        <w:t>.</w:t>
      </w:r>
      <w:fldSimple w:instr=" SEQ Table \* ARABIC \s 1 ">
        <w:r w:rsidR="005D5C7C">
          <w:rPr>
            <w:noProof/>
          </w:rPr>
          <w:t>25</w:t>
        </w:r>
      </w:fldSimple>
      <w:bookmarkEnd w:id="415"/>
      <w:r w:rsidRPr="00376F46">
        <w:t xml:space="preserve">: </w:t>
      </w:r>
      <w:r>
        <w:t xml:space="preserve">Previous vs. Current </w:t>
      </w:r>
      <w:r w:rsidRPr="001634AA">
        <w:rPr>
          <w:i/>
        </w:rPr>
        <w:t>Ex-Ante</w:t>
      </w:r>
      <w:r>
        <w:t xml:space="preserve"> Load Impacts, </w:t>
      </w:r>
      <w:r w:rsidRPr="00D90369">
        <w:rPr>
          <w:i/>
        </w:rPr>
        <w:t>Utility</w:t>
      </w:r>
      <w:r w:rsidRPr="001634AA">
        <w:rPr>
          <w:i/>
        </w:rPr>
        <w:t xml:space="preserve"> 1-in-2 August 20</w:t>
      </w:r>
      <w:r>
        <w:rPr>
          <w:i/>
        </w:rPr>
        <w:t>20</w:t>
      </w:r>
      <w:r w:rsidRPr="001634AA">
        <w:rPr>
          <w:i/>
        </w:rPr>
        <w:t xml:space="preserve"> Peak Day</w:t>
      </w:r>
      <w:bookmarkEnd w:id="416"/>
      <w:bookmarkEnd w:id="4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1916"/>
        <w:gridCol w:w="1445"/>
        <w:gridCol w:w="1369"/>
      </w:tblGrid>
      <w:tr w:rsidR="005659FA" w14:paraId="5DDBFF39" w14:textId="77777777" w:rsidTr="003C7443">
        <w:trPr>
          <w:jc w:val="center"/>
        </w:trPr>
        <w:tc>
          <w:tcPr>
            <w:tcW w:w="1153" w:type="dxa"/>
            <w:tcBorders>
              <w:right w:val="single" w:sz="4" w:space="0" w:color="FFFFFF"/>
            </w:tcBorders>
            <w:shd w:val="clear" w:color="auto" w:fill="0C2577"/>
            <w:vAlign w:val="center"/>
          </w:tcPr>
          <w:p w14:paraId="4852EDB6"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916" w:type="dxa"/>
            <w:tcBorders>
              <w:left w:val="single" w:sz="4" w:space="0" w:color="FFFFFF"/>
              <w:right w:val="single" w:sz="4" w:space="0" w:color="FFFFFF"/>
            </w:tcBorders>
            <w:shd w:val="clear" w:color="auto" w:fill="0C2577"/>
            <w:vAlign w:val="center"/>
          </w:tcPr>
          <w:p w14:paraId="30762B05"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445" w:type="dxa"/>
            <w:tcBorders>
              <w:left w:val="single" w:sz="4" w:space="0" w:color="FFFFFF"/>
              <w:right w:val="single" w:sz="4" w:space="0" w:color="FFFFFF"/>
            </w:tcBorders>
            <w:shd w:val="clear" w:color="auto" w:fill="0C2577"/>
            <w:vAlign w:val="center"/>
          </w:tcPr>
          <w:p w14:paraId="405D38BB" w14:textId="77777777" w:rsidR="005659FA" w:rsidRPr="009C75E1" w:rsidRDefault="005659FA" w:rsidP="003C7443">
            <w:pPr>
              <w:keepNext/>
              <w:keepLines/>
              <w:jc w:val="center"/>
              <w:rPr>
                <w:rFonts w:ascii="Arial" w:hAnsi="Arial" w:cs="Arial"/>
                <w:b/>
                <w:sz w:val="20"/>
                <w:szCs w:val="20"/>
              </w:rPr>
            </w:pPr>
          </w:p>
          <w:p w14:paraId="53563693"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Previous</w:t>
            </w:r>
            <w:r>
              <w:rPr>
                <w:rFonts w:ascii="Arial" w:hAnsi="Arial" w:cs="Arial"/>
                <w:b/>
                <w:sz w:val="20"/>
                <w:szCs w:val="20"/>
              </w:rPr>
              <w:t xml:space="preserve"> Study</w:t>
            </w:r>
          </w:p>
          <w:p w14:paraId="2D787AAC" w14:textId="77777777" w:rsidR="005659FA" w:rsidRPr="009C75E1" w:rsidRDefault="005659FA" w:rsidP="003C7443">
            <w:pPr>
              <w:keepNext/>
              <w:keepLines/>
              <w:jc w:val="center"/>
              <w:rPr>
                <w:rFonts w:ascii="Arial" w:hAnsi="Arial" w:cs="Arial"/>
                <w:b/>
                <w:sz w:val="20"/>
                <w:szCs w:val="20"/>
              </w:rPr>
            </w:pPr>
          </w:p>
        </w:tc>
        <w:tc>
          <w:tcPr>
            <w:tcW w:w="1369" w:type="dxa"/>
            <w:tcBorders>
              <w:left w:val="single" w:sz="4" w:space="0" w:color="FFFFFF"/>
            </w:tcBorders>
            <w:shd w:val="clear" w:color="auto" w:fill="0C2577"/>
            <w:vAlign w:val="center"/>
          </w:tcPr>
          <w:p w14:paraId="0206E717"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Current</w:t>
            </w:r>
            <w:r>
              <w:rPr>
                <w:rFonts w:ascii="Arial" w:hAnsi="Arial" w:cs="Arial"/>
                <w:b/>
                <w:sz w:val="20"/>
                <w:szCs w:val="20"/>
              </w:rPr>
              <w:t xml:space="preserve"> Study</w:t>
            </w:r>
          </w:p>
        </w:tc>
      </w:tr>
      <w:tr w:rsidR="005659FA" w14:paraId="62DEB981" w14:textId="77777777" w:rsidTr="003C7443">
        <w:trPr>
          <w:jc w:val="center"/>
        </w:trPr>
        <w:tc>
          <w:tcPr>
            <w:tcW w:w="1153" w:type="dxa"/>
            <w:vMerge w:val="restart"/>
            <w:shd w:val="clear" w:color="auto" w:fill="auto"/>
            <w:vAlign w:val="center"/>
          </w:tcPr>
          <w:p w14:paraId="5BDB0B71"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916" w:type="dxa"/>
            <w:shd w:val="clear" w:color="auto" w:fill="auto"/>
          </w:tcPr>
          <w:p w14:paraId="7D52E7CE"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445" w:type="dxa"/>
            <w:shd w:val="clear" w:color="auto" w:fill="auto"/>
          </w:tcPr>
          <w:p w14:paraId="7093D06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251,065</w:t>
            </w:r>
          </w:p>
        </w:tc>
        <w:tc>
          <w:tcPr>
            <w:tcW w:w="1369" w:type="dxa"/>
            <w:shd w:val="clear" w:color="auto" w:fill="auto"/>
          </w:tcPr>
          <w:p w14:paraId="71AF084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100,000</w:t>
            </w:r>
          </w:p>
        </w:tc>
      </w:tr>
      <w:tr w:rsidR="005659FA" w14:paraId="0BA45AF8" w14:textId="77777777" w:rsidTr="003C7443">
        <w:trPr>
          <w:trHeight w:val="242"/>
          <w:jc w:val="center"/>
        </w:trPr>
        <w:tc>
          <w:tcPr>
            <w:tcW w:w="1153" w:type="dxa"/>
            <w:vMerge/>
            <w:shd w:val="clear" w:color="auto" w:fill="auto"/>
            <w:vAlign w:val="center"/>
          </w:tcPr>
          <w:p w14:paraId="157F7EFB"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573712FD"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445" w:type="dxa"/>
            <w:shd w:val="clear" w:color="auto" w:fill="auto"/>
          </w:tcPr>
          <w:p w14:paraId="76E0496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794</w:t>
            </w:r>
          </w:p>
        </w:tc>
        <w:tc>
          <w:tcPr>
            <w:tcW w:w="1369" w:type="dxa"/>
            <w:shd w:val="clear" w:color="auto" w:fill="auto"/>
          </w:tcPr>
          <w:p w14:paraId="156CD7ED"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314</w:t>
            </w:r>
          </w:p>
        </w:tc>
      </w:tr>
      <w:tr w:rsidR="005659FA" w14:paraId="70C7A09D" w14:textId="77777777" w:rsidTr="003C7443">
        <w:trPr>
          <w:jc w:val="center"/>
        </w:trPr>
        <w:tc>
          <w:tcPr>
            <w:tcW w:w="1153" w:type="dxa"/>
            <w:vMerge/>
            <w:shd w:val="clear" w:color="auto" w:fill="auto"/>
            <w:vAlign w:val="center"/>
          </w:tcPr>
          <w:p w14:paraId="3B429497"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044B3D0D"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445" w:type="dxa"/>
            <w:shd w:val="clear" w:color="auto" w:fill="auto"/>
          </w:tcPr>
          <w:p w14:paraId="5571C72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19.1</w:t>
            </w:r>
          </w:p>
        </w:tc>
        <w:tc>
          <w:tcPr>
            <w:tcW w:w="1369" w:type="dxa"/>
            <w:shd w:val="clear" w:color="auto" w:fill="auto"/>
          </w:tcPr>
          <w:p w14:paraId="08F3170A"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7.6</w:t>
            </w:r>
          </w:p>
        </w:tc>
      </w:tr>
      <w:tr w:rsidR="005659FA" w14:paraId="6375F305" w14:textId="77777777" w:rsidTr="003C7443">
        <w:trPr>
          <w:jc w:val="center"/>
        </w:trPr>
        <w:tc>
          <w:tcPr>
            <w:tcW w:w="1153" w:type="dxa"/>
            <w:vMerge/>
            <w:shd w:val="clear" w:color="auto" w:fill="auto"/>
            <w:vAlign w:val="center"/>
          </w:tcPr>
          <w:p w14:paraId="356999E7"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2F41F7EE"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445" w:type="dxa"/>
            <w:shd w:val="clear" w:color="auto" w:fill="auto"/>
          </w:tcPr>
          <w:p w14:paraId="10D1241B"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92.0</w:t>
            </w:r>
          </w:p>
        </w:tc>
        <w:tc>
          <w:tcPr>
            <w:tcW w:w="1369" w:type="dxa"/>
            <w:shd w:val="clear" w:color="auto" w:fill="auto"/>
          </w:tcPr>
          <w:p w14:paraId="4262CD9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92.0</w:t>
            </w:r>
          </w:p>
        </w:tc>
      </w:tr>
      <w:tr w:rsidR="005659FA" w14:paraId="59EBCE81" w14:textId="77777777" w:rsidTr="003C7443">
        <w:trPr>
          <w:jc w:val="center"/>
        </w:trPr>
        <w:tc>
          <w:tcPr>
            <w:tcW w:w="1153" w:type="dxa"/>
            <w:vMerge w:val="restart"/>
            <w:shd w:val="clear" w:color="auto" w:fill="auto"/>
            <w:vAlign w:val="center"/>
          </w:tcPr>
          <w:p w14:paraId="3EF8E680"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916" w:type="dxa"/>
            <w:shd w:val="clear" w:color="auto" w:fill="auto"/>
          </w:tcPr>
          <w:p w14:paraId="6DAF949D"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445" w:type="dxa"/>
            <w:shd w:val="clear" w:color="auto" w:fill="auto"/>
          </w:tcPr>
          <w:p w14:paraId="03E53C41"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3.2</w:t>
            </w:r>
          </w:p>
        </w:tc>
        <w:tc>
          <w:tcPr>
            <w:tcW w:w="1369" w:type="dxa"/>
            <w:shd w:val="clear" w:color="auto" w:fill="auto"/>
          </w:tcPr>
          <w:p w14:paraId="0C454EC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3.1</w:t>
            </w:r>
          </w:p>
        </w:tc>
      </w:tr>
      <w:tr w:rsidR="005659FA" w14:paraId="284CD418" w14:textId="77777777" w:rsidTr="003C7443">
        <w:trPr>
          <w:jc w:val="center"/>
        </w:trPr>
        <w:tc>
          <w:tcPr>
            <w:tcW w:w="1153" w:type="dxa"/>
            <w:vMerge/>
            <w:shd w:val="clear" w:color="auto" w:fill="auto"/>
          </w:tcPr>
          <w:p w14:paraId="465E1D21"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239054E7"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445" w:type="dxa"/>
            <w:shd w:val="clear" w:color="auto" w:fill="auto"/>
          </w:tcPr>
          <w:p w14:paraId="7315FA8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0.08</w:t>
            </w:r>
          </w:p>
        </w:tc>
        <w:tc>
          <w:tcPr>
            <w:tcW w:w="1369" w:type="dxa"/>
            <w:shd w:val="clear" w:color="auto" w:fill="auto"/>
          </w:tcPr>
          <w:p w14:paraId="2D3A153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0.08</w:t>
            </w:r>
          </w:p>
        </w:tc>
      </w:tr>
      <w:tr w:rsidR="005659FA" w14:paraId="66406970" w14:textId="77777777" w:rsidTr="003C7443">
        <w:trPr>
          <w:jc w:val="center"/>
        </w:trPr>
        <w:tc>
          <w:tcPr>
            <w:tcW w:w="1153" w:type="dxa"/>
            <w:vMerge/>
            <w:shd w:val="clear" w:color="auto" w:fill="auto"/>
          </w:tcPr>
          <w:p w14:paraId="267172E3" w14:textId="77777777" w:rsidR="005659FA" w:rsidRPr="009C75E1" w:rsidRDefault="005659FA" w:rsidP="003C7443">
            <w:pPr>
              <w:keepNext/>
              <w:keepLines/>
              <w:rPr>
                <w:rFonts w:ascii="Arial" w:hAnsi="Arial" w:cs="Arial"/>
                <w:sz w:val="20"/>
                <w:szCs w:val="20"/>
              </w:rPr>
            </w:pPr>
          </w:p>
        </w:tc>
        <w:tc>
          <w:tcPr>
            <w:tcW w:w="1916" w:type="dxa"/>
            <w:shd w:val="clear" w:color="auto" w:fill="auto"/>
          </w:tcPr>
          <w:p w14:paraId="695143F5"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445" w:type="dxa"/>
            <w:shd w:val="clear" w:color="auto" w:fill="auto"/>
          </w:tcPr>
          <w:p w14:paraId="6DA8F18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w:t>
            </w:r>
          </w:p>
        </w:tc>
        <w:tc>
          <w:tcPr>
            <w:tcW w:w="1369" w:type="dxa"/>
            <w:shd w:val="clear" w:color="auto" w:fill="auto"/>
          </w:tcPr>
          <w:p w14:paraId="0545EA7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w:t>
            </w:r>
          </w:p>
        </w:tc>
      </w:tr>
    </w:tbl>
    <w:p w14:paraId="5019CCD9" w14:textId="77777777" w:rsidR="005659FA" w:rsidRDefault="005659FA" w:rsidP="005659FA"/>
    <w:p w14:paraId="08D46E89" w14:textId="77777777" w:rsidR="005659FA" w:rsidRPr="00823315" w:rsidRDefault="005659FA" w:rsidP="005659FA">
      <w:pPr>
        <w:rPr>
          <w:b/>
          <w:i/>
        </w:rPr>
      </w:pPr>
      <w:r w:rsidRPr="00823315">
        <w:rPr>
          <w:b/>
          <w:i/>
        </w:rPr>
        <w:t>Previous ex-ante versus current ex-post</w:t>
      </w:r>
    </w:p>
    <w:p w14:paraId="58A13F1B" w14:textId="01DC2FA2" w:rsidR="005659FA" w:rsidRDefault="005659FA" w:rsidP="005659FA">
      <w:r>
        <w:fldChar w:fldCharType="begin"/>
      </w:r>
      <w:r>
        <w:instrText xml:space="preserve"> REF _Ref507078570 \h </w:instrText>
      </w:r>
      <w:r>
        <w:fldChar w:fldCharType="separate"/>
      </w:r>
      <w:r w:rsidR="005D5C7C">
        <w:t xml:space="preserve">Table </w:t>
      </w:r>
      <w:r w:rsidR="005D5C7C">
        <w:rPr>
          <w:noProof/>
        </w:rPr>
        <w:t>4</w:t>
      </w:r>
      <w:r w:rsidR="005D5C7C">
        <w:t>.</w:t>
      </w:r>
      <w:r w:rsidR="005D5C7C">
        <w:rPr>
          <w:noProof/>
        </w:rPr>
        <w:t>26</w:t>
      </w:r>
      <w:r>
        <w:fldChar w:fldCharType="end"/>
      </w:r>
      <w:r>
        <w:t xml:space="preserve"> provides a comparison of the </w:t>
      </w:r>
      <w:r w:rsidRPr="005926F0">
        <w:rPr>
          <w:i/>
        </w:rPr>
        <w:t>ex-ante</w:t>
      </w:r>
      <w:r>
        <w:t xml:space="preserve"> forecast of 2017 load impacts prepared following PY2016 and the PY2017 load impacts estimated as part of this study. The </w:t>
      </w:r>
      <w:r w:rsidRPr="005926F0">
        <w:rPr>
          <w:i/>
        </w:rPr>
        <w:t>ex-ante</w:t>
      </w:r>
      <w:r>
        <w:t xml:space="preserve"> forecast shown in the table represents the August peak day during a utility-specific 1-in-2 weather year. The </w:t>
      </w:r>
      <w:r w:rsidRPr="005926F0">
        <w:rPr>
          <w:i/>
        </w:rPr>
        <w:t>ex-post</w:t>
      </w:r>
      <w:r>
        <w:t xml:space="preserve"> load impacts are based on the average event day. </w:t>
      </w:r>
      <w:r w:rsidR="00921C5B">
        <w:t xml:space="preserve">The total load impact is somewhat higher in the current </w:t>
      </w:r>
      <w:r w:rsidR="00921C5B" w:rsidRPr="00921C5B">
        <w:rPr>
          <w:i/>
        </w:rPr>
        <w:t>ex-post</w:t>
      </w:r>
      <w:r w:rsidR="00921C5B">
        <w:t xml:space="preserve"> study due to larger average customer reference loads (offset by lower percentage load impacts and enrollment).</w:t>
      </w:r>
    </w:p>
    <w:p w14:paraId="3CFED7A2" w14:textId="77777777" w:rsidR="005659FA" w:rsidRDefault="005659FA" w:rsidP="005659FA"/>
    <w:p w14:paraId="17A3401D" w14:textId="419C508E" w:rsidR="005659FA" w:rsidRDefault="005659FA" w:rsidP="005659FA">
      <w:pPr>
        <w:pStyle w:val="TableCaption"/>
      </w:pPr>
      <w:bookmarkStart w:id="418" w:name="_Ref507078570"/>
      <w:bookmarkStart w:id="419" w:name="_Toc507081243"/>
      <w:bookmarkStart w:id="420" w:name="_Toc509837409"/>
      <w:r>
        <w:lastRenderedPageBreak/>
        <w:t xml:space="preserve">Table </w:t>
      </w:r>
      <w:fldSimple w:instr=" STYLEREF 1 \s ">
        <w:r w:rsidR="005D5C7C">
          <w:rPr>
            <w:noProof/>
          </w:rPr>
          <w:t>4</w:t>
        </w:r>
      </w:fldSimple>
      <w:r w:rsidR="0069714C">
        <w:t>.</w:t>
      </w:r>
      <w:fldSimple w:instr=" SEQ Table \* ARABIC \s 1 ">
        <w:r w:rsidR="005D5C7C">
          <w:rPr>
            <w:noProof/>
          </w:rPr>
          <w:t>26</w:t>
        </w:r>
      </w:fldSimple>
      <w:bookmarkEnd w:id="418"/>
      <w:r>
        <w:t>:</w:t>
      </w:r>
      <w:r w:rsidRPr="00827AFF">
        <w:t xml:space="preserve"> </w:t>
      </w:r>
      <w:r w:rsidRPr="00376F46">
        <w:t xml:space="preserve">Comparison of </w:t>
      </w:r>
      <w:r>
        <w:t xml:space="preserve">Previous </w:t>
      </w:r>
      <w:r>
        <w:rPr>
          <w:i/>
        </w:rPr>
        <w:t>Ex-Ante</w:t>
      </w:r>
      <w:r>
        <w:t xml:space="preserve"> and Current </w:t>
      </w:r>
      <w:r>
        <w:rPr>
          <w:i/>
        </w:rPr>
        <w:t>Ex-Post</w:t>
      </w:r>
      <w:r>
        <w:t xml:space="preserve"> </w:t>
      </w:r>
      <w:r w:rsidRPr="00376F46">
        <w:t>Impacts</w:t>
      </w:r>
      <w:bookmarkEnd w:id="419"/>
      <w:bookmarkEnd w:id="4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5659FA" w14:paraId="522F9F59" w14:textId="77777777" w:rsidTr="003C7443">
        <w:trPr>
          <w:jc w:val="center"/>
        </w:trPr>
        <w:tc>
          <w:tcPr>
            <w:tcW w:w="1548" w:type="dxa"/>
            <w:tcBorders>
              <w:right w:val="single" w:sz="4" w:space="0" w:color="FFFFFF"/>
            </w:tcBorders>
            <w:shd w:val="clear" w:color="auto" w:fill="0C2577"/>
            <w:vAlign w:val="center"/>
          </w:tcPr>
          <w:p w14:paraId="6CDF5F57"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50597F65"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14792A06"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2017 August Peak Day from PY2016 Study</w:t>
            </w:r>
          </w:p>
        </w:tc>
        <w:tc>
          <w:tcPr>
            <w:tcW w:w="1772" w:type="dxa"/>
            <w:tcBorders>
              <w:left w:val="single" w:sz="4" w:space="0" w:color="FFFFFF"/>
            </w:tcBorders>
            <w:shd w:val="clear" w:color="auto" w:fill="0C2577"/>
            <w:vAlign w:val="center"/>
          </w:tcPr>
          <w:p w14:paraId="074DE3FA"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r>
      <w:tr w:rsidR="005659FA" w14:paraId="012D4CCD" w14:textId="77777777" w:rsidTr="003C7443">
        <w:trPr>
          <w:jc w:val="center"/>
        </w:trPr>
        <w:tc>
          <w:tcPr>
            <w:tcW w:w="1548" w:type="dxa"/>
            <w:vMerge w:val="restart"/>
            <w:shd w:val="clear" w:color="auto" w:fill="auto"/>
            <w:vAlign w:val="center"/>
          </w:tcPr>
          <w:p w14:paraId="0800F5A6"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27DC8C64"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tcPr>
          <w:p w14:paraId="53029CD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1,059</w:t>
            </w:r>
          </w:p>
        </w:tc>
        <w:tc>
          <w:tcPr>
            <w:tcW w:w="1772" w:type="dxa"/>
            <w:shd w:val="clear" w:color="auto" w:fill="auto"/>
            <w:vAlign w:val="center"/>
          </w:tcPr>
          <w:p w14:paraId="2646B22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820</w:t>
            </w:r>
          </w:p>
        </w:tc>
      </w:tr>
      <w:tr w:rsidR="005659FA" w14:paraId="4E4B95DC" w14:textId="77777777" w:rsidTr="003C7443">
        <w:trPr>
          <w:trHeight w:val="242"/>
          <w:jc w:val="center"/>
        </w:trPr>
        <w:tc>
          <w:tcPr>
            <w:tcW w:w="1548" w:type="dxa"/>
            <w:vMerge/>
            <w:shd w:val="clear" w:color="auto" w:fill="auto"/>
            <w:vAlign w:val="center"/>
          </w:tcPr>
          <w:p w14:paraId="41E804A7"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7D074CA3"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tcPr>
          <w:p w14:paraId="1C1409F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9.2</w:t>
            </w:r>
          </w:p>
        </w:tc>
        <w:tc>
          <w:tcPr>
            <w:tcW w:w="1772" w:type="dxa"/>
            <w:shd w:val="clear" w:color="auto" w:fill="auto"/>
            <w:vAlign w:val="center"/>
          </w:tcPr>
          <w:p w14:paraId="47CE3ECA"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64.6</w:t>
            </w:r>
          </w:p>
        </w:tc>
      </w:tr>
      <w:tr w:rsidR="005659FA" w14:paraId="329432F4" w14:textId="77777777" w:rsidTr="003C7443">
        <w:trPr>
          <w:jc w:val="center"/>
        </w:trPr>
        <w:tc>
          <w:tcPr>
            <w:tcW w:w="1548" w:type="dxa"/>
            <w:vMerge/>
            <w:shd w:val="clear" w:color="auto" w:fill="auto"/>
            <w:vAlign w:val="center"/>
          </w:tcPr>
          <w:p w14:paraId="44C107E4"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3C58900B"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tcPr>
          <w:p w14:paraId="2C9AC426"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0.23</w:t>
            </w:r>
          </w:p>
        </w:tc>
        <w:tc>
          <w:tcPr>
            <w:tcW w:w="1772" w:type="dxa"/>
            <w:shd w:val="clear" w:color="auto" w:fill="auto"/>
            <w:vAlign w:val="center"/>
          </w:tcPr>
          <w:p w14:paraId="4863AA9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0.6</w:t>
            </w:r>
          </w:p>
        </w:tc>
      </w:tr>
      <w:tr w:rsidR="005659FA" w14:paraId="2A7F4DD9" w14:textId="77777777" w:rsidTr="003C7443">
        <w:trPr>
          <w:jc w:val="center"/>
        </w:trPr>
        <w:tc>
          <w:tcPr>
            <w:tcW w:w="1548" w:type="dxa"/>
            <w:vMerge/>
            <w:shd w:val="clear" w:color="auto" w:fill="auto"/>
            <w:vAlign w:val="center"/>
          </w:tcPr>
          <w:p w14:paraId="7A739B25"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4013D8D9"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771" w:type="dxa"/>
            <w:shd w:val="clear" w:color="auto" w:fill="auto"/>
          </w:tcPr>
          <w:p w14:paraId="5472C0CB" w14:textId="77777777" w:rsidR="005659FA" w:rsidRDefault="005659FA" w:rsidP="003C7443">
            <w:pPr>
              <w:keepNext/>
              <w:keepLines/>
              <w:jc w:val="center"/>
              <w:rPr>
                <w:rFonts w:ascii="Arial" w:hAnsi="Arial" w:cs="Arial"/>
                <w:sz w:val="20"/>
                <w:szCs w:val="20"/>
              </w:rPr>
            </w:pPr>
            <w:r>
              <w:rPr>
                <w:rFonts w:ascii="Arial" w:hAnsi="Arial" w:cs="Arial"/>
                <w:sz w:val="20"/>
                <w:szCs w:val="20"/>
              </w:rPr>
              <w:t>91.9</w:t>
            </w:r>
          </w:p>
        </w:tc>
        <w:tc>
          <w:tcPr>
            <w:tcW w:w="1772" w:type="dxa"/>
            <w:shd w:val="clear" w:color="auto" w:fill="auto"/>
            <w:vAlign w:val="center"/>
          </w:tcPr>
          <w:p w14:paraId="515AFBEB" w14:textId="77777777" w:rsidR="005659FA" w:rsidRDefault="005659FA" w:rsidP="003C7443">
            <w:pPr>
              <w:keepNext/>
              <w:keepLines/>
              <w:jc w:val="center"/>
              <w:rPr>
                <w:rFonts w:ascii="Arial" w:hAnsi="Arial" w:cs="Arial"/>
                <w:sz w:val="20"/>
                <w:szCs w:val="20"/>
              </w:rPr>
            </w:pPr>
            <w:r>
              <w:rPr>
                <w:rFonts w:ascii="Arial" w:hAnsi="Arial" w:cs="Arial"/>
                <w:sz w:val="20"/>
                <w:szCs w:val="20"/>
              </w:rPr>
              <w:t>90.2</w:t>
            </w:r>
          </w:p>
        </w:tc>
      </w:tr>
      <w:tr w:rsidR="005659FA" w14:paraId="6A0020DC" w14:textId="77777777" w:rsidTr="003C7443">
        <w:trPr>
          <w:jc w:val="center"/>
        </w:trPr>
        <w:tc>
          <w:tcPr>
            <w:tcW w:w="1548" w:type="dxa"/>
            <w:vMerge w:val="restart"/>
            <w:shd w:val="clear" w:color="auto" w:fill="auto"/>
            <w:vAlign w:val="center"/>
          </w:tcPr>
          <w:p w14:paraId="70DA51C0"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027F1D61"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tcPr>
          <w:p w14:paraId="6196B1A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8.7</w:t>
            </w:r>
          </w:p>
        </w:tc>
        <w:tc>
          <w:tcPr>
            <w:tcW w:w="1772" w:type="dxa"/>
            <w:shd w:val="clear" w:color="auto" w:fill="auto"/>
            <w:vAlign w:val="center"/>
          </w:tcPr>
          <w:p w14:paraId="6D2971D0"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78.7</w:t>
            </w:r>
          </w:p>
        </w:tc>
      </w:tr>
      <w:tr w:rsidR="005659FA" w14:paraId="4B0DF340" w14:textId="77777777" w:rsidTr="003C7443">
        <w:trPr>
          <w:jc w:val="center"/>
        </w:trPr>
        <w:tc>
          <w:tcPr>
            <w:tcW w:w="1548" w:type="dxa"/>
            <w:vMerge/>
            <w:shd w:val="clear" w:color="auto" w:fill="auto"/>
          </w:tcPr>
          <w:p w14:paraId="21F99222"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7E67DFA4"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tcPr>
          <w:p w14:paraId="71FB86B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0.21</w:t>
            </w:r>
          </w:p>
        </w:tc>
        <w:tc>
          <w:tcPr>
            <w:tcW w:w="1772" w:type="dxa"/>
            <w:shd w:val="clear" w:color="auto" w:fill="auto"/>
            <w:vAlign w:val="center"/>
          </w:tcPr>
          <w:p w14:paraId="596D241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0.75</w:t>
            </w:r>
          </w:p>
        </w:tc>
      </w:tr>
      <w:tr w:rsidR="005659FA" w14:paraId="35C2235F" w14:textId="77777777" w:rsidTr="003C7443">
        <w:trPr>
          <w:jc w:val="center"/>
        </w:trPr>
        <w:tc>
          <w:tcPr>
            <w:tcW w:w="1548" w:type="dxa"/>
            <w:vMerge/>
            <w:shd w:val="clear" w:color="auto" w:fill="auto"/>
          </w:tcPr>
          <w:p w14:paraId="7139ABDF"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4C83911B"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tcPr>
          <w:p w14:paraId="6E62A5D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2.5%</w:t>
            </w:r>
          </w:p>
        </w:tc>
        <w:tc>
          <w:tcPr>
            <w:tcW w:w="1772" w:type="dxa"/>
            <w:shd w:val="clear" w:color="auto" w:fill="auto"/>
            <w:vAlign w:val="center"/>
          </w:tcPr>
          <w:p w14:paraId="59809AD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w:t>
            </w:r>
          </w:p>
        </w:tc>
      </w:tr>
    </w:tbl>
    <w:p w14:paraId="73D3BC7D" w14:textId="77777777" w:rsidR="005659FA" w:rsidRDefault="005659FA" w:rsidP="005659FA"/>
    <w:p w14:paraId="1CF30478" w14:textId="77777777" w:rsidR="005659FA" w:rsidRPr="00823315" w:rsidRDefault="005659FA" w:rsidP="005659FA">
      <w:pPr>
        <w:rPr>
          <w:b/>
          <w:i/>
        </w:rPr>
      </w:pPr>
      <w:r w:rsidRPr="00823315">
        <w:rPr>
          <w:b/>
          <w:i/>
        </w:rPr>
        <w:t>Current ex-post versus current ex-ante</w:t>
      </w:r>
    </w:p>
    <w:p w14:paraId="31FF2937" w14:textId="3AF0996D" w:rsidR="005659FA" w:rsidRDefault="005659FA" w:rsidP="005659FA">
      <w:r>
        <w:fldChar w:fldCharType="begin"/>
      </w:r>
      <w:r>
        <w:instrText xml:space="preserve"> REF _Ref507078601 \h </w:instrText>
      </w:r>
      <w:r>
        <w:fldChar w:fldCharType="separate"/>
      </w:r>
      <w:r w:rsidR="005D5C7C">
        <w:t xml:space="preserve">Table </w:t>
      </w:r>
      <w:r w:rsidR="005D5C7C">
        <w:rPr>
          <w:noProof/>
        </w:rPr>
        <w:t>4</w:t>
      </w:r>
      <w:r w:rsidR="005D5C7C">
        <w:t>.</w:t>
      </w:r>
      <w:r w:rsidR="005D5C7C">
        <w:rPr>
          <w:noProof/>
        </w:rPr>
        <w:t>27</w:t>
      </w:r>
      <w:r>
        <w:fldChar w:fldCharType="end"/>
      </w:r>
      <w:r>
        <w:t xml:space="preserve"> compares the </w:t>
      </w:r>
      <w:r w:rsidRPr="005926F0">
        <w:rPr>
          <w:i/>
        </w:rPr>
        <w:t>ex-post</w:t>
      </w:r>
      <w:r>
        <w:t xml:space="preserve"> and </w:t>
      </w:r>
      <w:r w:rsidRPr="005926F0">
        <w:rPr>
          <w:i/>
        </w:rPr>
        <w:t>ex-ante</w:t>
      </w:r>
      <w:r>
        <w:t xml:space="preserve"> load impacts from this study. The </w:t>
      </w:r>
      <w:r w:rsidRPr="005926F0">
        <w:rPr>
          <w:i/>
        </w:rPr>
        <w:t>ex-ante</w:t>
      </w:r>
      <w:r>
        <w:t xml:space="preserve"> load impacts in the table represent the 2018 August peak day with utility-specific 1-in-2 weather conditions. </w:t>
      </w:r>
      <w:r w:rsidR="00921C5B">
        <w:t xml:space="preserve">In this case, the </w:t>
      </w:r>
      <w:r w:rsidR="00921C5B" w:rsidRPr="00921C5B">
        <w:rPr>
          <w:i/>
        </w:rPr>
        <w:t>ex-post</w:t>
      </w:r>
      <w:r w:rsidR="00921C5B">
        <w:t xml:space="preserve"> and </w:t>
      </w:r>
      <w:r w:rsidR="00921C5B" w:rsidRPr="00921C5B">
        <w:rPr>
          <w:i/>
        </w:rPr>
        <w:t>ex-ante</w:t>
      </w:r>
      <w:r w:rsidR="00921C5B">
        <w:t xml:space="preserve"> load impacts are not related to one another. The </w:t>
      </w:r>
      <w:r w:rsidR="00921C5B" w:rsidRPr="00921C5B">
        <w:rPr>
          <w:i/>
        </w:rPr>
        <w:t>ex-post</w:t>
      </w:r>
      <w:r w:rsidR="00921C5B">
        <w:t xml:space="preserve"> impacts are based on a relatively small number of voluntarily enrolled customers, while the </w:t>
      </w:r>
      <w:r w:rsidR="00921C5B" w:rsidRPr="00921C5B">
        <w:rPr>
          <w:i/>
        </w:rPr>
        <w:t>ex-ante</w:t>
      </w:r>
      <w:r w:rsidR="00921C5B">
        <w:t xml:space="preserve"> impacts are based on simulated default-customer reference loads and assumed percentage load impacts derived from PG&amp;E </w:t>
      </w:r>
      <w:r w:rsidR="00921C5B" w:rsidRPr="00921C5B">
        <w:rPr>
          <w:i/>
        </w:rPr>
        <w:t>ex-post</w:t>
      </w:r>
      <w:r w:rsidR="00921C5B">
        <w:t xml:space="preserve"> studies.</w:t>
      </w:r>
    </w:p>
    <w:p w14:paraId="24DCF09C" w14:textId="77777777" w:rsidR="005659FA" w:rsidRDefault="005659FA" w:rsidP="005659FA"/>
    <w:p w14:paraId="4B074B0A" w14:textId="1FCAAE6D" w:rsidR="005659FA" w:rsidRDefault="005659FA" w:rsidP="005659FA">
      <w:pPr>
        <w:pStyle w:val="TableCaption"/>
      </w:pPr>
      <w:bookmarkStart w:id="421" w:name="_Ref507078601"/>
      <w:bookmarkStart w:id="422" w:name="_Toc507081244"/>
      <w:bookmarkStart w:id="423" w:name="_Toc509837410"/>
      <w:r>
        <w:t xml:space="preserve">Table </w:t>
      </w:r>
      <w:fldSimple w:instr=" STYLEREF 1 \s ">
        <w:r w:rsidR="005D5C7C">
          <w:rPr>
            <w:noProof/>
          </w:rPr>
          <w:t>4</w:t>
        </w:r>
      </w:fldSimple>
      <w:r w:rsidR="0069714C">
        <w:t>.</w:t>
      </w:r>
      <w:fldSimple w:instr=" SEQ Table \* ARABIC \s 1 ">
        <w:r w:rsidR="005D5C7C">
          <w:rPr>
            <w:noProof/>
          </w:rPr>
          <w:t>27</w:t>
        </w:r>
      </w:fldSimple>
      <w:bookmarkEnd w:id="421"/>
      <w:r>
        <w:t xml:space="preserve">: </w:t>
      </w:r>
      <w:r w:rsidRPr="00376F46">
        <w:t xml:space="preserve">Comparison of </w:t>
      </w:r>
      <w:r>
        <w:t xml:space="preserve">Current </w:t>
      </w:r>
      <w:r>
        <w:rPr>
          <w:i/>
        </w:rPr>
        <w:t>Ex-Post</w:t>
      </w:r>
      <w:r>
        <w:t xml:space="preserve"> and </w:t>
      </w:r>
      <w:r>
        <w:rPr>
          <w:i/>
        </w:rPr>
        <w:t>Ex-Ante</w:t>
      </w:r>
      <w:r>
        <w:t xml:space="preserve"> Load </w:t>
      </w:r>
      <w:r w:rsidRPr="00376F46">
        <w:t>Impacts</w:t>
      </w:r>
      <w:bookmarkEnd w:id="422"/>
      <w:bookmarkEnd w:id="42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5659FA" w14:paraId="13FC6978" w14:textId="77777777" w:rsidTr="003C7443">
        <w:trPr>
          <w:jc w:val="center"/>
        </w:trPr>
        <w:tc>
          <w:tcPr>
            <w:tcW w:w="1548" w:type="dxa"/>
            <w:tcBorders>
              <w:right w:val="single" w:sz="4" w:space="0" w:color="FFFFFF"/>
            </w:tcBorders>
            <w:shd w:val="clear" w:color="auto" w:fill="0C2577"/>
            <w:vAlign w:val="center"/>
          </w:tcPr>
          <w:p w14:paraId="71D6AB93"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53812AA6" w14:textId="77777777" w:rsidR="005659FA" w:rsidRPr="009C75E1" w:rsidRDefault="005659FA" w:rsidP="003C7443">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1D4E1313"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Event Day from PY2017 Study</w:t>
            </w:r>
          </w:p>
        </w:tc>
        <w:tc>
          <w:tcPr>
            <w:tcW w:w="1772" w:type="dxa"/>
            <w:tcBorders>
              <w:left w:val="single" w:sz="4" w:space="0" w:color="FFFFFF"/>
            </w:tcBorders>
            <w:shd w:val="clear" w:color="auto" w:fill="0C2577"/>
            <w:vAlign w:val="center"/>
          </w:tcPr>
          <w:p w14:paraId="573E818A" w14:textId="77777777" w:rsidR="005659FA" w:rsidRPr="009C75E1" w:rsidRDefault="005659FA" w:rsidP="003C7443">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2020 August Peak Day from PY2017 Study</w:t>
            </w:r>
          </w:p>
        </w:tc>
      </w:tr>
      <w:tr w:rsidR="005659FA" w14:paraId="0A61F9EA" w14:textId="77777777" w:rsidTr="003C7443">
        <w:trPr>
          <w:jc w:val="center"/>
        </w:trPr>
        <w:tc>
          <w:tcPr>
            <w:tcW w:w="1548" w:type="dxa"/>
            <w:vMerge w:val="restart"/>
            <w:shd w:val="clear" w:color="auto" w:fill="auto"/>
            <w:vAlign w:val="center"/>
          </w:tcPr>
          <w:p w14:paraId="5566EE5E"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68D37AD1"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141B88A2"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820</w:t>
            </w:r>
          </w:p>
        </w:tc>
        <w:tc>
          <w:tcPr>
            <w:tcW w:w="1772" w:type="dxa"/>
            <w:shd w:val="clear" w:color="auto" w:fill="auto"/>
          </w:tcPr>
          <w:p w14:paraId="7F55671F"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100,000</w:t>
            </w:r>
          </w:p>
        </w:tc>
      </w:tr>
      <w:tr w:rsidR="005659FA" w14:paraId="2FB06EDB" w14:textId="77777777" w:rsidTr="003C7443">
        <w:trPr>
          <w:trHeight w:val="242"/>
          <w:jc w:val="center"/>
        </w:trPr>
        <w:tc>
          <w:tcPr>
            <w:tcW w:w="1548" w:type="dxa"/>
            <w:vMerge/>
            <w:shd w:val="clear" w:color="auto" w:fill="auto"/>
            <w:vAlign w:val="center"/>
          </w:tcPr>
          <w:p w14:paraId="6BBD3DFA"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55FF93F5"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48DC0CD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64.6</w:t>
            </w:r>
          </w:p>
        </w:tc>
        <w:tc>
          <w:tcPr>
            <w:tcW w:w="1772" w:type="dxa"/>
            <w:shd w:val="clear" w:color="auto" w:fill="auto"/>
          </w:tcPr>
          <w:p w14:paraId="3CE4C6EE"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314</w:t>
            </w:r>
          </w:p>
        </w:tc>
      </w:tr>
      <w:tr w:rsidR="005659FA" w14:paraId="529C4C98" w14:textId="77777777" w:rsidTr="003C7443">
        <w:trPr>
          <w:jc w:val="center"/>
        </w:trPr>
        <w:tc>
          <w:tcPr>
            <w:tcW w:w="1548" w:type="dxa"/>
            <w:vMerge/>
            <w:shd w:val="clear" w:color="auto" w:fill="auto"/>
            <w:vAlign w:val="center"/>
          </w:tcPr>
          <w:p w14:paraId="1E998B99"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038D1D5D"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57AC35C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0.6</w:t>
            </w:r>
          </w:p>
        </w:tc>
        <w:tc>
          <w:tcPr>
            <w:tcW w:w="1772" w:type="dxa"/>
            <w:shd w:val="clear" w:color="auto" w:fill="auto"/>
          </w:tcPr>
          <w:p w14:paraId="0497E797"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7.6</w:t>
            </w:r>
          </w:p>
        </w:tc>
      </w:tr>
      <w:tr w:rsidR="005659FA" w14:paraId="45FF4523" w14:textId="77777777" w:rsidTr="003C7443">
        <w:trPr>
          <w:jc w:val="center"/>
        </w:trPr>
        <w:tc>
          <w:tcPr>
            <w:tcW w:w="1548" w:type="dxa"/>
            <w:vMerge/>
            <w:shd w:val="clear" w:color="auto" w:fill="auto"/>
            <w:vAlign w:val="center"/>
          </w:tcPr>
          <w:p w14:paraId="51333AA9"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355E3E43" w14:textId="77777777" w:rsidR="005659FA" w:rsidRPr="009C75E1" w:rsidRDefault="005659FA" w:rsidP="003C7443">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7B875426" w14:textId="77777777" w:rsidR="005659FA" w:rsidRDefault="005659FA" w:rsidP="003C7443">
            <w:pPr>
              <w:keepNext/>
              <w:keepLines/>
              <w:jc w:val="center"/>
              <w:rPr>
                <w:rFonts w:ascii="Arial" w:hAnsi="Arial" w:cs="Arial"/>
                <w:sz w:val="20"/>
                <w:szCs w:val="20"/>
              </w:rPr>
            </w:pPr>
            <w:r>
              <w:rPr>
                <w:rFonts w:ascii="Arial" w:hAnsi="Arial" w:cs="Arial"/>
                <w:sz w:val="20"/>
                <w:szCs w:val="20"/>
              </w:rPr>
              <w:t>90.2</w:t>
            </w:r>
          </w:p>
        </w:tc>
        <w:tc>
          <w:tcPr>
            <w:tcW w:w="1772" w:type="dxa"/>
            <w:shd w:val="clear" w:color="auto" w:fill="auto"/>
          </w:tcPr>
          <w:p w14:paraId="11B41E68" w14:textId="77777777" w:rsidR="005659FA" w:rsidRDefault="005659FA" w:rsidP="003C7443">
            <w:pPr>
              <w:keepNext/>
              <w:keepLines/>
              <w:jc w:val="center"/>
              <w:rPr>
                <w:rFonts w:ascii="Arial" w:hAnsi="Arial" w:cs="Arial"/>
                <w:sz w:val="20"/>
                <w:szCs w:val="20"/>
              </w:rPr>
            </w:pPr>
            <w:r>
              <w:rPr>
                <w:rFonts w:ascii="Arial" w:hAnsi="Arial" w:cs="Arial"/>
                <w:sz w:val="20"/>
                <w:szCs w:val="20"/>
              </w:rPr>
              <w:t>92.0</w:t>
            </w:r>
          </w:p>
        </w:tc>
      </w:tr>
      <w:tr w:rsidR="005659FA" w14:paraId="7515E7AD" w14:textId="77777777" w:rsidTr="003C7443">
        <w:trPr>
          <w:jc w:val="center"/>
        </w:trPr>
        <w:tc>
          <w:tcPr>
            <w:tcW w:w="1548" w:type="dxa"/>
            <w:vMerge w:val="restart"/>
            <w:shd w:val="clear" w:color="auto" w:fill="auto"/>
            <w:vAlign w:val="center"/>
          </w:tcPr>
          <w:p w14:paraId="6D0C22E2" w14:textId="77777777" w:rsidR="005659FA" w:rsidRPr="009C75E1" w:rsidRDefault="005659FA" w:rsidP="003C7443">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05A329C6"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5F86332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78.7</w:t>
            </w:r>
          </w:p>
        </w:tc>
        <w:tc>
          <w:tcPr>
            <w:tcW w:w="1772" w:type="dxa"/>
            <w:shd w:val="clear" w:color="auto" w:fill="auto"/>
          </w:tcPr>
          <w:p w14:paraId="3A65F93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3.1</w:t>
            </w:r>
          </w:p>
        </w:tc>
      </w:tr>
      <w:tr w:rsidR="005659FA" w14:paraId="11932608" w14:textId="77777777" w:rsidTr="003C7443">
        <w:trPr>
          <w:jc w:val="center"/>
        </w:trPr>
        <w:tc>
          <w:tcPr>
            <w:tcW w:w="1548" w:type="dxa"/>
            <w:vMerge/>
            <w:shd w:val="clear" w:color="auto" w:fill="auto"/>
          </w:tcPr>
          <w:p w14:paraId="6465C2FE"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2EF680E3"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41BB4C8C"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0.75</w:t>
            </w:r>
          </w:p>
        </w:tc>
        <w:tc>
          <w:tcPr>
            <w:tcW w:w="1772" w:type="dxa"/>
            <w:shd w:val="clear" w:color="auto" w:fill="auto"/>
          </w:tcPr>
          <w:p w14:paraId="497466A8"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0.08</w:t>
            </w:r>
          </w:p>
        </w:tc>
      </w:tr>
      <w:tr w:rsidR="005659FA" w14:paraId="37E5E508" w14:textId="77777777" w:rsidTr="003C7443">
        <w:trPr>
          <w:jc w:val="center"/>
        </w:trPr>
        <w:tc>
          <w:tcPr>
            <w:tcW w:w="1548" w:type="dxa"/>
            <w:vMerge/>
            <w:shd w:val="clear" w:color="auto" w:fill="auto"/>
          </w:tcPr>
          <w:p w14:paraId="5526C311" w14:textId="77777777" w:rsidR="005659FA" w:rsidRPr="009C75E1" w:rsidRDefault="005659FA" w:rsidP="003C7443">
            <w:pPr>
              <w:keepNext/>
              <w:keepLines/>
              <w:rPr>
                <w:rFonts w:ascii="Arial" w:hAnsi="Arial" w:cs="Arial"/>
                <w:sz w:val="20"/>
                <w:szCs w:val="20"/>
              </w:rPr>
            </w:pPr>
          </w:p>
        </w:tc>
        <w:tc>
          <w:tcPr>
            <w:tcW w:w="1994" w:type="dxa"/>
            <w:shd w:val="clear" w:color="auto" w:fill="auto"/>
          </w:tcPr>
          <w:p w14:paraId="4B164BED" w14:textId="77777777" w:rsidR="005659FA" w:rsidRPr="009C75E1" w:rsidRDefault="005659FA" w:rsidP="003C7443">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316B9A64"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1.0%</w:t>
            </w:r>
          </w:p>
        </w:tc>
        <w:tc>
          <w:tcPr>
            <w:tcW w:w="1772" w:type="dxa"/>
            <w:shd w:val="clear" w:color="auto" w:fill="auto"/>
          </w:tcPr>
          <w:p w14:paraId="080EB943" w14:textId="77777777" w:rsidR="005659FA" w:rsidRPr="009C75E1" w:rsidRDefault="005659FA" w:rsidP="003C7443">
            <w:pPr>
              <w:keepNext/>
              <w:keepLines/>
              <w:jc w:val="center"/>
              <w:rPr>
                <w:rFonts w:ascii="Arial" w:hAnsi="Arial" w:cs="Arial"/>
                <w:sz w:val="20"/>
                <w:szCs w:val="20"/>
              </w:rPr>
            </w:pPr>
            <w:r>
              <w:rPr>
                <w:rFonts w:ascii="Arial" w:hAnsi="Arial" w:cs="Arial"/>
                <w:sz w:val="20"/>
                <w:szCs w:val="20"/>
              </w:rPr>
              <w:t>2.4%</w:t>
            </w:r>
          </w:p>
        </w:tc>
      </w:tr>
    </w:tbl>
    <w:p w14:paraId="09902566" w14:textId="77777777" w:rsidR="005659FA" w:rsidRDefault="005659FA" w:rsidP="005659FA"/>
    <w:p w14:paraId="79F76416" w14:textId="27CA1A88" w:rsidR="005659FA" w:rsidRDefault="005659FA" w:rsidP="005659FA">
      <w:r>
        <w:fldChar w:fldCharType="begin"/>
      </w:r>
      <w:r>
        <w:instrText xml:space="preserve"> REF _Ref507078625 \h </w:instrText>
      </w:r>
      <w:r>
        <w:fldChar w:fldCharType="separate"/>
      </w:r>
      <w:r w:rsidR="005D5C7C">
        <w:t xml:space="preserve">Table </w:t>
      </w:r>
      <w:r w:rsidR="005D5C7C">
        <w:rPr>
          <w:noProof/>
        </w:rPr>
        <w:t>4</w:t>
      </w:r>
      <w:r w:rsidR="005D5C7C">
        <w:t>.</w:t>
      </w:r>
      <w:r w:rsidR="005D5C7C">
        <w:rPr>
          <w:noProof/>
        </w:rPr>
        <w:t>28</w:t>
      </w:r>
      <w:r>
        <w:fldChar w:fldCharType="end"/>
      </w:r>
      <w:r>
        <w:t xml:space="preserve"> documents the various potential sources of differences between the </w:t>
      </w:r>
      <w:r w:rsidRPr="002A342D">
        <w:rPr>
          <w:i/>
        </w:rPr>
        <w:t>ex-post</w:t>
      </w:r>
      <w:r>
        <w:t xml:space="preserve"> and </w:t>
      </w:r>
      <w:r w:rsidRPr="002A342D">
        <w:rPr>
          <w:i/>
        </w:rPr>
        <w:t>ex-ante</w:t>
      </w:r>
      <w:r>
        <w:t xml:space="preserve"> load impacts. </w:t>
      </w:r>
      <w:r w:rsidR="00921C5B">
        <w:t xml:space="preserve">Again, we would expect to </w:t>
      </w:r>
      <w:r w:rsidR="00921C5B" w:rsidRPr="00921C5B">
        <w:rPr>
          <w:i/>
        </w:rPr>
        <w:t>ex-ante</w:t>
      </w:r>
      <w:r w:rsidR="00921C5B">
        <w:t xml:space="preserve"> forecast to result in very different outcomes than the </w:t>
      </w:r>
      <w:r w:rsidR="00921C5B" w:rsidRPr="00921C5B">
        <w:rPr>
          <w:i/>
        </w:rPr>
        <w:t>ex-post</w:t>
      </w:r>
      <w:r w:rsidR="00921C5B">
        <w:t xml:space="preserve"> study because it is based on different inputs (higher enrollment, reference loads that reflect defaulted customers, and percentage load impacts derived from PG&amp;E </w:t>
      </w:r>
      <w:r w:rsidR="00921C5B" w:rsidRPr="00921C5B">
        <w:rPr>
          <w:i/>
        </w:rPr>
        <w:t>ex-post</w:t>
      </w:r>
      <w:r w:rsidR="00921C5B">
        <w:t xml:space="preserve"> studies). </w:t>
      </w:r>
    </w:p>
    <w:p w14:paraId="22C79C60" w14:textId="77777777" w:rsidR="005659FA" w:rsidRDefault="005659FA" w:rsidP="005659FA"/>
    <w:p w14:paraId="5EC6D66E" w14:textId="6BFF10FF" w:rsidR="005659FA" w:rsidRDefault="005659FA" w:rsidP="005659FA">
      <w:pPr>
        <w:pStyle w:val="TableCaption"/>
      </w:pPr>
      <w:bookmarkStart w:id="424" w:name="_Ref507078625"/>
      <w:bookmarkStart w:id="425" w:name="_Toc507081245"/>
      <w:bookmarkStart w:id="426" w:name="_Toc509837411"/>
      <w:r>
        <w:lastRenderedPageBreak/>
        <w:t xml:space="preserve">Table </w:t>
      </w:r>
      <w:fldSimple w:instr=" STYLEREF 1 \s ">
        <w:r w:rsidR="005D5C7C">
          <w:rPr>
            <w:noProof/>
          </w:rPr>
          <w:t>4</w:t>
        </w:r>
      </w:fldSimple>
      <w:r w:rsidR="0069714C">
        <w:t>.</w:t>
      </w:r>
      <w:fldSimple w:instr=" SEQ Table \* ARABIC \s 1 ">
        <w:r w:rsidR="005D5C7C">
          <w:rPr>
            <w:noProof/>
          </w:rPr>
          <w:t>28</w:t>
        </w:r>
      </w:fldSimple>
      <w:bookmarkEnd w:id="424"/>
      <w:r w:rsidRPr="00726438">
        <w:t>:</w:t>
      </w:r>
      <w:r>
        <w:t xml:space="preserve"> Comparison of </w:t>
      </w:r>
      <w:r>
        <w:rPr>
          <w:i/>
        </w:rPr>
        <w:t>Ex-Post</w:t>
      </w:r>
      <w:r w:rsidRPr="00726438">
        <w:t xml:space="preserve"> </w:t>
      </w:r>
      <w:r>
        <w:t xml:space="preserve">and </w:t>
      </w:r>
      <w:r>
        <w:rPr>
          <w:i/>
        </w:rPr>
        <w:t>Ex-Ante</w:t>
      </w:r>
      <w:r>
        <w:t xml:space="preserve"> Factors</w:t>
      </w:r>
      <w:bookmarkEnd w:id="425"/>
      <w:bookmarkEnd w:id="426"/>
    </w:p>
    <w:tbl>
      <w:tblPr>
        <w:tblW w:w="9452" w:type="dxa"/>
        <w:jc w:val="center"/>
        <w:tblLook w:val="04A0" w:firstRow="1" w:lastRow="0" w:firstColumn="1" w:lastColumn="0" w:noHBand="0" w:noVBand="1"/>
      </w:tblPr>
      <w:tblGrid>
        <w:gridCol w:w="1518"/>
        <w:gridCol w:w="3028"/>
        <w:gridCol w:w="2340"/>
        <w:gridCol w:w="2566"/>
      </w:tblGrid>
      <w:tr w:rsidR="005659FA" w:rsidRPr="008E5D4C" w14:paraId="50520540" w14:textId="77777777" w:rsidTr="003C7443">
        <w:trPr>
          <w:trHeight w:val="510"/>
          <w:jc w:val="center"/>
        </w:trPr>
        <w:tc>
          <w:tcPr>
            <w:tcW w:w="1518" w:type="dxa"/>
            <w:tcBorders>
              <w:top w:val="single" w:sz="4" w:space="0" w:color="auto"/>
              <w:left w:val="single" w:sz="4" w:space="0" w:color="auto"/>
              <w:bottom w:val="single" w:sz="4" w:space="0" w:color="auto"/>
              <w:right w:val="single" w:sz="4" w:space="0" w:color="FFFFFF"/>
            </w:tcBorders>
            <w:shd w:val="clear" w:color="auto" w:fill="0C2577"/>
            <w:vAlign w:val="center"/>
            <w:hideMark/>
          </w:tcPr>
          <w:p w14:paraId="0D1D25B6" w14:textId="77777777" w:rsidR="005659FA" w:rsidRPr="008E5D4C" w:rsidRDefault="005659FA" w:rsidP="003C7443">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323C723D" w14:textId="77777777" w:rsidR="005659FA" w:rsidRPr="008E5D4C" w:rsidRDefault="005659FA" w:rsidP="003C7443">
            <w:pPr>
              <w:pStyle w:val="TableHeader"/>
              <w:keepNext/>
              <w:keepLines/>
              <w:rPr>
                <w:color w:val="auto"/>
                <w:szCs w:val="20"/>
              </w:rPr>
            </w:pPr>
            <w:r>
              <w:rPr>
                <w:i/>
                <w:color w:val="auto"/>
                <w:szCs w:val="20"/>
              </w:rPr>
              <w:t>Ex-Post</w:t>
            </w:r>
          </w:p>
        </w:tc>
        <w:tc>
          <w:tcPr>
            <w:tcW w:w="2340"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53F74DB3" w14:textId="77777777" w:rsidR="005659FA" w:rsidRPr="008E5D4C" w:rsidRDefault="005659FA" w:rsidP="003C7443">
            <w:pPr>
              <w:pStyle w:val="TableHeader"/>
              <w:keepNext/>
              <w:keepLines/>
              <w:rPr>
                <w:color w:val="auto"/>
                <w:szCs w:val="20"/>
              </w:rPr>
            </w:pPr>
            <w:r>
              <w:rPr>
                <w:i/>
                <w:color w:val="auto"/>
                <w:szCs w:val="20"/>
              </w:rPr>
              <w:t>Ex-Ante</w:t>
            </w:r>
          </w:p>
        </w:tc>
        <w:tc>
          <w:tcPr>
            <w:tcW w:w="2566" w:type="dxa"/>
            <w:tcBorders>
              <w:top w:val="single" w:sz="4" w:space="0" w:color="auto"/>
              <w:left w:val="single" w:sz="4" w:space="0" w:color="FFFFFF"/>
              <w:bottom w:val="single" w:sz="4" w:space="0" w:color="auto"/>
              <w:right w:val="single" w:sz="4" w:space="0" w:color="auto"/>
            </w:tcBorders>
            <w:shd w:val="clear" w:color="auto" w:fill="0C2577"/>
            <w:vAlign w:val="center"/>
            <w:hideMark/>
          </w:tcPr>
          <w:p w14:paraId="516CA711" w14:textId="77777777" w:rsidR="005659FA" w:rsidRPr="008E5D4C" w:rsidRDefault="005659FA" w:rsidP="003C7443">
            <w:pPr>
              <w:pStyle w:val="TableHeader"/>
              <w:keepNext/>
              <w:keepLines/>
              <w:rPr>
                <w:color w:val="auto"/>
                <w:szCs w:val="20"/>
              </w:rPr>
            </w:pPr>
            <w:r w:rsidRPr="008E5D4C">
              <w:rPr>
                <w:color w:val="auto"/>
                <w:szCs w:val="20"/>
              </w:rPr>
              <w:t>Expected Impact</w:t>
            </w:r>
          </w:p>
        </w:tc>
      </w:tr>
      <w:tr w:rsidR="005659FA" w:rsidRPr="007F356D" w14:paraId="2BD59D66" w14:textId="77777777" w:rsidTr="003C7443">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75A04C6D" w14:textId="77777777" w:rsidR="005659FA" w:rsidRPr="008E5D4C" w:rsidRDefault="005659FA" w:rsidP="003C7443">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21A0EC2F" w14:textId="77777777" w:rsidR="005659FA" w:rsidRPr="008E5D4C" w:rsidRDefault="005659FA" w:rsidP="003C7443">
            <w:pPr>
              <w:pStyle w:val="TableText"/>
              <w:keepNext/>
              <w:keepLines/>
              <w:spacing w:after="120"/>
              <w:jc w:val="left"/>
              <w:rPr>
                <w:rFonts w:cs="Calibri"/>
                <w:sz w:val="20"/>
                <w:szCs w:val="20"/>
              </w:rPr>
            </w:pPr>
            <w:r>
              <w:rPr>
                <w:rFonts w:cs="Calibri"/>
                <w:sz w:val="20"/>
                <w:szCs w:val="20"/>
              </w:rPr>
              <w:t xml:space="preserve">Average event-hour temperature of 90.2 </w:t>
            </w:r>
            <w:r>
              <w:rPr>
                <w:rFonts w:cs="Arial"/>
                <w:sz w:val="20"/>
                <w:szCs w:val="20"/>
              </w:rPr>
              <w:t>°</w:t>
            </w:r>
            <w:r>
              <w:rPr>
                <w:rFonts w:cs="Calibri"/>
                <w:sz w:val="20"/>
                <w:szCs w:val="20"/>
              </w:rPr>
              <w:t>F during the average event day.</w:t>
            </w:r>
          </w:p>
        </w:tc>
        <w:tc>
          <w:tcPr>
            <w:tcW w:w="2340" w:type="dxa"/>
            <w:tcBorders>
              <w:top w:val="single" w:sz="4" w:space="0" w:color="auto"/>
              <w:left w:val="nil"/>
              <w:bottom w:val="single" w:sz="4" w:space="0" w:color="auto"/>
              <w:right w:val="single" w:sz="4" w:space="0" w:color="auto"/>
            </w:tcBorders>
            <w:shd w:val="clear" w:color="000000" w:fill="FFFFFF"/>
          </w:tcPr>
          <w:p w14:paraId="359180D8" w14:textId="77777777" w:rsidR="005659FA" w:rsidRPr="008E5D4C" w:rsidRDefault="005659FA" w:rsidP="003C7443">
            <w:pPr>
              <w:pStyle w:val="TableText"/>
              <w:keepNext/>
              <w:keepLines/>
              <w:jc w:val="left"/>
              <w:rPr>
                <w:sz w:val="20"/>
                <w:szCs w:val="20"/>
              </w:rPr>
            </w:pPr>
            <w:r>
              <w:rPr>
                <w:rFonts w:cs="Calibri"/>
                <w:sz w:val="20"/>
                <w:szCs w:val="20"/>
              </w:rPr>
              <w:t xml:space="preserve">Average event-hour temperature of 92.0 </w:t>
            </w:r>
            <w:r>
              <w:rPr>
                <w:rFonts w:cs="Arial"/>
                <w:sz w:val="20"/>
                <w:szCs w:val="20"/>
              </w:rPr>
              <w:t>°</w:t>
            </w:r>
            <w:r>
              <w:rPr>
                <w:rFonts w:cs="Calibri"/>
                <w:sz w:val="20"/>
                <w:szCs w:val="20"/>
              </w:rPr>
              <w:t>F during the SCE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2A08BA08" w14:textId="77777777" w:rsidR="005659FA" w:rsidRPr="008E5D4C" w:rsidRDefault="005659FA" w:rsidP="003C7443">
            <w:pPr>
              <w:pStyle w:val="TableText"/>
              <w:keepNext/>
              <w:keepLines/>
              <w:jc w:val="left"/>
              <w:rPr>
                <w:sz w:val="20"/>
                <w:szCs w:val="20"/>
              </w:rPr>
            </w:pPr>
            <w:r>
              <w:rPr>
                <w:sz w:val="20"/>
                <w:szCs w:val="20"/>
              </w:rPr>
              <w:t xml:space="preserve">None given the disconnect between the </w:t>
            </w:r>
            <w:r w:rsidRPr="00BE1AD6">
              <w:rPr>
                <w:i/>
                <w:sz w:val="20"/>
                <w:szCs w:val="20"/>
              </w:rPr>
              <w:t>ex-post</w:t>
            </w:r>
            <w:r>
              <w:rPr>
                <w:sz w:val="20"/>
                <w:szCs w:val="20"/>
              </w:rPr>
              <w:t xml:space="preserve"> and </w:t>
            </w:r>
            <w:r w:rsidRPr="00BE1AD6">
              <w:rPr>
                <w:i/>
                <w:sz w:val="20"/>
                <w:szCs w:val="20"/>
              </w:rPr>
              <w:t>ex-ante</w:t>
            </w:r>
            <w:r>
              <w:rPr>
                <w:sz w:val="20"/>
                <w:szCs w:val="20"/>
              </w:rPr>
              <w:t xml:space="preserve"> studies, as explained below.</w:t>
            </w:r>
          </w:p>
        </w:tc>
      </w:tr>
      <w:tr w:rsidR="005659FA" w:rsidRPr="007F356D" w14:paraId="20557B84"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3D041963" w14:textId="77777777" w:rsidR="005659FA" w:rsidRPr="008E5D4C" w:rsidRDefault="005659FA" w:rsidP="003C7443">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614EC1CE" w14:textId="77777777" w:rsidR="005659FA" w:rsidRPr="008E5D4C" w:rsidRDefault="005659FA" w:rsidP="003C7443">
            <w:pPr>
              <w:pStyle w:val="TableText"/>
              <w:keepNext/>
              <w:keepLines/>
              <w:jc w:val="left"/>
              <w:rPr>
                <w:rFonts w:cs="Calibri"/>
                <w:sz w:val="20"/>
                <w:szCs w:val="20"/>
              </w:rPr>
            </w:pPr>
            <w:r>
              <w:rPr>
                <w:rFonts w:cs="Calibri"/>
                <w:sz w:val="20"/>
                <w:szCs w:val="20"/>
              </w:rPr>
              <w:t>Hours-ending 15 through 18.</w:t>
            </w:r>
          </w:p>
        </w:tc>
        <w:tc>
          <w:tcPr>
            <w:tcW w:w="2340" w:type="dxa"/>
            <w:tcBorders>
              <w:top w:val="nil"/>
              <w:left w:val="nil"/>
              <w:bottom w:val="single" w:sz="4" w:space="0" w:color="auto"/>
              <w:right w:val="single" w:sz="4" w:space="0" w:color="auto"/>
            </w:tcBorders>
            <w:shd w:val="clear" w:color="000000" w:fill="FFFFFF"/>
          </w:tcPr>
          <w:p w14:paraId="256DE9AF" w14:textId="77777777" w:rsidR="005659FA" w:rsidRPr="008E5D4C" w:rsidRDefault="005659FA" w:rsidP="003C7443">
            <w:pPr>
              <w:pStyle w:val="TableText"/>
              <w:keepNext/>
              <w:keepLines/>
              <w:jc w:val="left"/>
              <w:rPr>
                <w:sz w:val="20"/>
                <w:szCs w:val="20"/>
              </w:rPr>
            </w:pPr>
            <w:r>
              <w:rPr>
                <w:rFonts w:cs="Calibri"/>
                <w:sz w:val="20"/>
                <w:szCs w:val="20"/>
              </w:rPr>
              <w:t>Hours-ending 15 through 18.</w:t>
            </w:r>
          </w:p>
        </w:tc>
        <w:tc>
          <w:tcPr>
            <w:tcW w:w="2566" w:type="dxa"/>
            <w:tcBorders>
              <w:top w:val="nil"/>
              <w:left w:val="nil"/>
              <w:bottom w:val="single" w:sz="4" w:space="0" w:color="auto"/>
              <w:right w:val="single" w:sz="4" w:space="0" w:color="auto"/>
            </w:tcBorders>
            <w:shd w:val="clear" w:color="000000" w:fill="FFFFFF"/>
          </w:tcPr>
          <w:p w14:paraId="04AA9CFE" w14:textId="77777777" w:rsidR="005659FA" w:rsidRPr="008E5D4C" w:rsidRDefault="005659FA" w:rsidP="003C7443">
            <w:pPr>
              <w:pStyle w:val="TableText"/>
              <w:keepNext/>
              <w:keepLines/>
              <w:jc w:val="left"/>
              <w:rPr>
                <w:sz w:val="20"/>
                <w:szCs w:val="20"/>
              </w:rPr>
            </w:pPr>
            <w:r>
              <w:rPr>
                <w:sz w:val="20"/>
                <w:szCs w:val="20"/>
              </w:rPr>
              <w:t xml:space="preserve">None, though </w:t>
            </w:r>
            <w:r w:rsidRPr="00061085">
              <w:rPr>
                <w:i/>
                <w:sz w:val="20"/>
                <w:szCs w:val="20"/>
              </w:rPr>
              <w:t>ex-ante</w:t>
            </w:r>
            <w:r>
              <w:rPr>
                <w:sz w:val="20"/>
                <w:szCs w:val="20"/>
              </w:rPr>
              <w:t xml:space="preserve"> load impact summaries for the Resource Adequacy window will be lower because they include non-event hours (HE 14 from Apr. to Oct.; HE 19-21 from Nov. to Mar.)</w:t>
            </w:r>
          </w:p>
        </w:tc>
      </w:tr>
      <w:tr w:rsidR="005659FA" w:rsidRPr="007F356D" w14:paraId="25BC7211"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0A70361F" w14:textId="77777777" w:rsidR="005659FA" w:rsidRPr="008E5D4C" w:rsidRDefault="005659FA" w:rsidP="003C7443">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0DD8FB76" w14:textId="77777777" w:rsidR="005659FA" w:rsidRPr="008E5D4C" w:rsidRDefault="005659FA" w:rsidP="003C7443">
            <w:pPr>
              <w:pStyle w:val="TableText"/>
              <w:keepNext/>
              <w:keepLines/>
              <w:jc w:val="left"/>
              <w:rPr>
                <w:rFonts w:cs="Calibri"/>
                <w:sz w:val="20"/>
                <w:szCs w:val="20"/>
              </w:rPr>
            </w:pPr>
            <w:r>
              <w:rPr>
                <w:rFonts w:cs="Calibri"/>
                <w:sz w:val="20"/>
                <w:szCs w:val="20"/>
              </w:rPr>
              <w:t>100 percent</w:t>
            </w:r>
          </w:p>
        </w:tc>
        <w:tc>
          <w:tcPr>
            <w:tcW w:w="2340" w:type="dxa"/>
            <w:tcBorders>
              <w:top w:val="nil"/>
              <w:left w:val="nil"/>
              <w:bottom w:val="single" w:sz="4" w:space="0" w:color="auto"/>
              <w:right w:val="single" w:sz="4" w:space="0" w:color="auto"/>
            </w:tcBorders>
            <w:shd w:val="clear" w:color="000000" w:fill="FFFFFF"/>
          </w:tcPr>
          <w:p w14:paraId="58339A2F" w14:textId="77777777" w:rsidR="005659FA" w:rsidRPr="008E5D4C" w:rsidRDefault="005659FA" w:rsidP="003C7443">
            <w:pPr>
              <w:pStyle w:val="TableText"/>
              <w:keepNext/>
              <w:keepLines/>
              <w:jc w:val="left"/>
              <w:rPr>
                <w:sz w:val="20"/>
                <w:szCs w:val="20"/>
              </w:rPr>
            </w:pPr>
            <w:r>
              <w:rPr>
                <w:sz w:val="20"/>
                <w:szCs w:val="20"/>
              </w:rPr>
              <w:t>100 percent</w:t>
            </w:r>
          </w:p>
        </w:tc>
        <w:tc>
          <w:tcPr>
            <w:tcW w:w="2566" w:type="dxa"/>
            <w:tcBorders>
              <w:top w:val="nil"/>
              <w:left w:val="nil"/>
              <w:bottom w:val="single" w:sz="4" w:space="0" w:color="auto"/>
              <w:right w:val="single" w:sz="4" w:space="0" w:color="auto"/>
            </w:tcBorders>
            <w:shd w:val="clear" w:color="000000" w:fill="FFFFFF"/>
          </w:tcPr>
          <w:p w14:paraId="4EAEDF61" w14:textId="77777777" w:rsidR="005659FA" w:rsidRPr="008E5D4C" w:rsidRDefault="005659FA" w:rsidP="003C7443">
            <w:pPr>
              <w:pStyle w:val="TableText"/>
              <w:keepNext/>
              <w:keepLines/>
              <w:jc w:val="left"/>
              <w:rPr>
                <w:sz w:val="20"/>
                <w:szCs w:val="20"/>
              </w:rPr>
            </w:pPr>
            <w:r>
              <w:rPr>
                <w:sz w:val="20"/>
                <w:szCs w:val="20"/>
              </w:rPr>
              <w:t>None.</w:t>
            </w:r>
          </w:p>
        </w:tc>
      </w:tr>
      <w:tr w:rsidR="005659FA" w:rsidRPr="007F356D" w14:paraId="5D3EF68D"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4970CA3F" w14:textId="77777777" w:rsidR="005659FA" w:rsidRPr="008E5D4C" w:rsidRDefault="005659FA" w:rsidP="003C7443">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070BA516" w14:textId="77777777" w:rsidR="005659FA" w:rsidRPr="008E5D4C" w:rsidRDefault="005659FA" w:rsidP="003C7443">
            <w:pPr>
              <w:pStyle w:val="TableText"/>
              <w:keepNext/>
              <w:keepLines/>
              <w:jc w:val="left"/>
              <w:rPr>
                <w:rFonts w:cs="Calibri"/>
                <w:sz w:val="20"/>
                <w:szCs w:val="20"/>
              </w:rPr>
            </w:pPr>
            <w:r>
              <w:rPr>
                <w:rFonts w:cs="Calibri"/>
                <w:sz w:val="20"/>
                <w:szCs w:val="20"/>
              </w:rPr>
              <w:t>820 service accounts.</w:t>
            </w:r>
          </w:p>
        </w:tc>
        <w:tc>
          <w:tcPr>
            <w:tcW w:w="2340" w:type="dxa"/>
            <w:tcBorders>
              <w:top w:val="nil"/>
              <w:left w:val="nil"/>
              <w:bottom w:val="single" w:sz="4" w:space="0" w:color="auto"/>
              <w:right w:val="single" w:sz="4" w:space="0" w:color="auto"/>
            </w:tcBorders>
            <w:shd w:val="clear" w:color="000000" w:fill="FFFFFF"/>
          </w:tcPr>
          <w:p w14:paraId="64C8FA6E" w14:textId="77777777" w:rsidR="005659FA" w:rsidRPr="008E5D4C" w:rsidRDefault="005659FA" w:rsidP="003C7443">
            <w:pPr>
              <w:pStyle w:val="TableText"/>
              <w:keepNext/>
              <w:keepLines/>
              <w:jc w:val="left"/>
              <w:rPr>
                <w:sz w:val="20"/>
                <w:szCs w:val="20"/>
              </w:rPr>
            </w:pPr>
            <w:r>
              <w:rPr>
                <w:sz w:val="20"/>
                <w:szCs w:val="20"/>
              </w:rPr>
              <w:t>100,000 service accounts.</w:t>
            </w:r>
          </w:p>
        </w:tc>
        <w:tc>
          <w:tcPr>
            <w:tcW w:w="2566" w:type="dxa"/>
            <w:tcBorders>
              <w:top w:val="nil"/>
              <w:left w:val="nil"/>
              <w:bottom w:val="single" w:sz="4" w:space="0" w:color="auto"/>
              <w:right w:val="single" w:sz="4" w:space="0" w:color="auto"/>
            </w:tcBorders>
            <w:shd w:val="clear" w:color="000000" w:fill="FFFFFF"/>
          </w:tcPr>
          <w:p w14:paraId="0D3C4C12" w14:textId="77777777" w:rsidR="005659FA" w:rsidRPr="00866CCC" w:rsidRDefault="005659FA" w:rsidP="003C7443">
            <w:pPr>
              <w:pStyle w:val="TableText"/>
              <w:keepNext/>
              <w:keepLines/>
              <w:jc w:val="left"/>
              <w:rPr>
                <w:sz w:val="20"/>
                <w:szCs w:val="20"/>
                <w:highlight w:val="yellow"/>
              </w:rPr>
            </w:pPr>
            <w:r w:rsidRPr="0044495E">
              <w:rPr>
                <w:sz w:val="20"/>
                <w:szCs w:val="20"/>
              </w:rPr>
              <w:t xml:space="preserve">Higher </w:t>
            </w:r>
            <w:r w:rsidRPr="0054538A">
              <w:rPr>
                <w:i/>
                <w:sz w:val="20"/>
                <w:szCs w:val="20"/>
              </w:rPr>
              <w:t>ex-ante</w:t>
            </w:r>
            <w:r w:rsidRPr="0044495E">
              <w:rPr>
                <w:sz w:val="20"/>
                <w:szCs w:val="20"/>
              </w:rPr>
              <w:t xml:space="preserve"> enrollment</w:t>
            </w:r>
            <w:r>
              <w:rPr>
                <w:sz w:val="20"/>
                <w:szCs w:val="20"/>
              </w:rPr>
              <w:t xml:space="preserve"> leads to higher aggregate load impact. </w:t>
            </w:r>
          </w:p>
        </w:tc>
      </w:tr>
      <w:tr w:rsidR="005659FA" w:rsidRPr="007F356D" w14:paraId="13C5C606" w14:textId="77777777" w:rsidTr="003C7443">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538558E9" w14:textId="77777777" w:rsidR="005659FA" w:rsidRPr="008E5D4C" w:rsidRDefault="005659FA" w:rsidP="003C7443">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3DB0CCBE" w14:textId="77777777" w:rsidR="005659FA" w:rsidRPr="008E5D4C" w:rsidRDefault="005659FA" w:rsidP="003C7443">
            <w:pPr>
              <w:pStyle w:val="TableText"/>
              <w:keepNext/>
              <w:keepLines/>
              <w:spacing w:after="120"/>
              <w:jc w:val="left"/>
              <w:rPr>
                <w:rFonts w:cs="Calibri"/>
                <w:sz w:val="20"/>
                <w:szCs w:val="20"/>
              </w:rPr>
            </w:pPr>
            <w:r>
              <w:rPr>
                <w:rFonts w:cs="Calibri"/>
                <w:sz w:val="20"/>
                <w:szCs w:val="20"/>
              </w:rPr>
              <w:t>Panel models by LCA with fixed customer and date effects and a matched control-group of non-participants.</w:t>
            </w:r>
          </w:p>
        </w:tc>
        <w:tc>
          <w:tcPr>
            <w:tcW w:w="2340" w:type="dxa"/>
            <w:tcBorders>
              <w:top w:val="nil"/>
              <w:left w:val="nil"/>
              <w:bottom w:val="single" w:sz="4" w:space="0" w:color="auto"/>
              <w:right w:val="single" w:sz="4" w:space="0" w:color="auto"/>
            </w:tcBorders>
            <w:shd w:val="clear" w:color="000000" w:fill="FFFFFF"/>
          </w:tcPr>
          <w:p w14:paraId="42AB76A8" w14:textId="77777777" w:rsidR="005659FA" w:rsidRPr="008E5D4C" w:rsidRDefault="005659FA" w:rsidP="003C7443">
            <w:pPr>
              <w:pStyle w:val="TableText"/>
              <w:keepNext/>
              <w:keepLines/>
              <w:jc w:val="left"/>
              <w:rPr>
                <w:sz w:val="20"/>
                <w:szCs w:val="20"/>
              </w:rPr>
            </w:pPr>
            <w:r w:rsidRPr="00BE1AD6">
              <w:rPr>
                <w:i/>
                <w:sz w:val="20"/>
                <w:szCs w:val="20"/>
              </w:rPr>
              <w:t>Ex-ante</w:t>
            </w:r>
            <w:r>
              <w:rPr>
                <w:sz w:val="20"/>
                <w:szCs w:val="20"/>
              </w:rPr>
              <w:t xml:space="preserve"> forecast developed in PY2016, rescaled to current enrollment forecast.</w:t>
            </w:r>
          </w:p>
        </w:tc>
        <w:tc>
          <w:tcPr>
            <w:tcW w:w="2566" w:type="dxa"/>
            <w:tcBorders>
              <w:top w:val="nil"/>
              <w:left w:val="nil"/>
              <w:bottom w:val="single" w:sz="4" w:space="0" w:color="auto"/>
              <w:right w:val="single" w:sz="4" w:space="0" w:color="auto"/>
            </w:tcBorders>
            <w:shd w:val="clear" w:color="000000" w:fill="FFFFFF"/>
          </w:tcPr>
          <w:p w14:paraId="46F3D882" w14:textId="77777777" w:rsidR="005659FA" w:rsidRPr="008E5D4C" w:rsidRDefault="005659FA" w:rsidP="003C7443">
            <w:pPr>
              <w:pStyle w:val="TableText"/>
              <w:keepNext/>
              <w:keepLines/>
              <w:jc w:val="left"/>
              <w:rPr>
                <w:sz w:val="20"/>
                <w:szCs w:val="20"/>
              </w:rPr>
            </w:pPr>
            <w:r>
              <w:rPr>
                <w:sz w:val="20"/>
                <w:szCs w:val="20"/>
              </w:rPr>
              <w:t xml:space="preserve">The </w:t>
            </w:r>
            <w:r w:rsidRPr="00BE1AD6">
              <w:rPr>
                <w:i/>
                <w:sz w:val="20"/>
                <w:szCs w:val="20"/>
              </w:rPr>
              <w:t>ex-post</w:t>
            </w:r>
            <w:r>
              <w:rPr>
                <w:sz w:val="20"/>
                <w:szCs w:val="20"/>
              </w:rPr>
              <w:t xml:space="preserve"> impacts were based on responses from the relatively few customers who happened to be enrolled in CPP despite it being primarily a large customer program during PY2017. The </w:t>
            </w:r>
            <w:r w:rsidRPr="00BE1AD6">
              <w:rPr>
                <w:i/>
                <w:sz w:val="20"/>
                <w:szCs w:val="20"/>
              </w:rPr>
              <w:t>ex-ante</w:t>
            </w:r>
            <w:r>
              <w:rPr>
                <w:sz w:val="20"/>
                <w:szCs w:val="20"/>
              </w:rPr>
              <w:t xml:space="preserve"> study uses assumed percentage load impacts based on estimates from PG&amp;E.</w:t>
            </w:r>
          </w:p>
        </w:tc>
      </w:tr>
    </w:tbl>
    <w:p w14:paraId="254AA302" w14:textId="77777777" w:rsidR="005659FA" w:rsidRDefault="005659FA" w:rsidP="005659FA">
      <w:pPr>
        <w:spacing w:after="120"/>
        <w:rPr>
          <w:szCs w:val="32"/>
        </w:rPr>
      </w:pPr>
    </w:p>
    <w:p w14:paraId="7FEDA791" w14:textId="427B20E5" w:rsidR="00CB13E9" w:rsidRDefault="00CB13E9" w:rsidP="00CB13E9">
      <w:pPr>
        <w:pStyle w:val="Heading1"/>
        <w:spacing w:before="480" w:after="120"/>
      </w:pPr>
      <w:bookmarkStart w:id="427" w:name="_Toc509837337"/>
      <w:r>
        <w:t>SDG&amp;E</w:t>
      </w:r>
      <w:bookmarkEnd w:id="390"/>
      <w:bookmarkEnd w:id="427"/>
    </w:p>
    <w:p w14:paraId="66AB8255" w14:textId="2F669639" w:rsidR="00441449" w:rsidRDefault="00441449" w:rsidP="00441449">
      <w:pPr>
        <w:pStyle w:val="Heading2"/>
        <w:numPr>
          <w:ilvl w:val="1"/>
          <w:numId w:val="43"/>
        </w:numPr>
      </w:pPr>
      <w:bookmarkStart w:id="428" w:name="_Ref507599449"/>
      <w:bookmarkStart w:id="429" w:name="_Toc509837338"/>
      <w:r>
        <w:t>SDG&amp;E Ex-Post Load Impacts</w:t>
      </w:r>
      <w:bookmarkEnd w:id="428"/>
      <w:bookmarkEnd w:id="429"/>
    </w:p>
    <w:p w14:paraId="3DE68C88" w14:textId="6F3CA895" w:rsidR="00D3527F" w:rsidRDefault="00D3527F" w:rsidP="00D3527F">
      <w:r>
        <w:t xml:space="preserve">This section documents the findings from the </w:t>
      </w:r>
      <w:r w:rsidRPr="00E6482F">
        <w:rPr>
          <w:i/>
        </w:rPr>
        <w:t>ex-post</w:t>
      </w:r>
      <w:r>
        <w:t xml:space="preserve"> load impact analysis for SDG&amp;E. The primary load impact results include estimates of average event-hour load impacts, in aggregate and per-customer, for the </w:t>
      </w:r>
      <w:r w:rsidR="00D100B0">
        <w:t>average weekday event</w:t>
      </w:r>
      <w:r>
        <w:t xml:space="preserve"> day as well as for each individual event. Results for all hours for the </w:t>
      </w:r>
      <w:r w:rsidR="00D100B0">
        <w:t>average weekday</w:t>
      </w:r>
      <w:r>
        <w:t xml:space="preserve"> event are also illustrated in figures and presented in data tables.</w:t>
      </w:r>
      <w:r w:rsidRPr="003915B7">
        <w:t xml:space="preserve"> </w:t>
      </w:r>
      <w:r w:rsidRPr="00822514">
        <w:t xml:space="preserve">Detailed results for each hour </w:t>
      </w:r>
      <w:r>
        <w:t xml:space="preserve">for each event are available </w:t>
      </w:r>
      <w:r w:rsidRPr="00822514">
        <w:t>in electronic form in Protocol table generators provided along with this report.</w:t>
      </w:r>
    </w:p>
    <w:p w14:paraId="50AA0F87" w14:textId="77777777" w:rsidR="00D3527F" w:rsidRDefault="00D3527F" w:rsidP="00D3527F"/>
    <w:p w14:paraId="27228AE2" w14:textId="66579050" w:rsidR="00D3527F" w:rsidRDefault="00D3527F" w:rsidP="00D3527F">
      <w:pPr>
        <w:spacing w:after="120"/>
      </w:pPr>
      <w:r>
        <w:t xml:space="preserve">As described in Section </w:t>
      </w:r>
      <w:r>
        <w:fldChar w:fldCharType="begin"/>
      </w:r>
      <w:r>
        <w:instrText xml:space="preserve"> REF _Ref506899729 \n \h </w:instrText>
      </w:r>
      <w:r>
        <w:fldChar w:fldCharType="separate"/>
      </w:r>
      <w:r w:rsidR="005D5C7C">
        <w:t>2</w:t>
      </w:r>
      <w:r>
        <w:fldChar w:fldCharType="end"/>
      </w:r>
      <w:r>
        <w:t xml:space="preserve">, all results presented in this section are derived from panel fixed-effects regression analyses of hourly data for CPP customers and a matched </w:t>
      </w:r>
      <w:r>
        <w:lastRenderedPageBreak/>
        <w:t xml:space="preserve">control group. The evaluation of match quality and a discussion thereof is presented in the appendix. The estimated model is described in Section </w:t>
      </w:r>
      <w:r>
        <w:fldChar w:fldCharType="begin"/>
      </w:r>
      <w:r>
        <w:instrText xml:space="preserve"> REF _Ref506888235 \r \h </w:instrText>
      </w:r>
      <w:r>
        <w:fldChar w:fldCharType="separate"/>
      </w:r>
      <w:r w:rsidR="005D5C7C">
        <w:t>2.1.2</w:t>
      </w:r>
      <w:r>
        <w:fldChar w:fldCharType="end"/>
      </w:r>
      <w:r>
        <w:t>. Furthermore, we control for concurrent events that are called for other programs, including BIP, CBP, and Summer Saver, by including indicators for customers who are dually enrolled and who are called (or in the case of CBP, nominated when their aggregator is called) for a given event that occurs during an event or non-event day. Customers dually enrolled in SCTD are excluded from this analysis to prevent any double counting of load impacts because they are included in a separate report analysis.</w:t>
      </w:r>
    </w:p>
    <w:p w14:paraId="7336B599" w14:textId="178709DD" w:rsidR="00D3527F" w:rsidRDefault="00D3527F" w:rsidP="00D3527F">
      <w:pPr>
        <w:spacing w:after="120"/>
        <w:rPr>
          <w:szCs w:val="32"/>
        </w:rPr>
      </w:pPr>
      <w:r w:rsidRPr="00A83611">
        <w:rPr>
          <w:szCs w:val="32"/>
        </w:rPr>
        <w:t xml:space="preserve">Summaries of load impacts for dually enrolled customers and </w:t>
      </w:r>
      <w:proofErr w:type="spellStart"/>
      <w:r w:rsidRPr="00A83611">
        <w:rPr>
          <w:szCs w:val="32"/>
        </w:rPr>
        <w:t>AutoDR</w:t>
      </w:r>
      <w:proofErr w:type="spellEnd"/>
      <w:r w:rsidRPr="00A83611">
        <w:rPr>
          <w:szCs w:val="32"/>
        </w:rPr>
        <w:t xml:space="preserve"> customers are presented in</w:t>
      </w:r>
      <w:r>
        <w:rPr>
          <w:szCs w:val="32"/>
        </w:rPr>
        <w:t xml:space="preserve"> Section </w:t>
      </w:r>
      <w:r>
        <w:rPr>
          <w:szCs w:val="32"/>
        </w:rPr>
        <w:fldChar w:fldCharType="begin"/>
      </w:r>
      <w:r>
        <w:rPr>
          <w:szCs w:val="32"/>
        </w:rPr>
        <w:instrText xml:space="preserve"> REF _Ref507516602 \r \h </w:instrText>
      </w:r>
      <w:r>
        <w:rPr>
          <w:szCs w:val="32"/>
        </w:rPr>
      </w:r>
      <w:r>
        <w:rPr>
          <w:szCs w:val="32"/>
        </w:rPr>
        <w:fldChar w:fldCharType="separate"/>
      </w:r>
      <w:r w:rsidR="005D5C7C">
        <w:rPr>
          <w:szCs w:val="32"/>
        </w:rPr>
        <w:t>5.1.3</w:t>
      </w:r>
      <w:r>
        <w:rPr>
          <w:szCs w:val="32"/>
        </w:rPr>
        <w:fldChar w:fldCharType="end"/>
      </w:r>
      <w:r w:rsidRPr="00A83611">
        <w:rPr>
          <w:szCs w:val="32"/>
        </w:rPr>
        <w:t>.</w:t>
      </w:r>
    </w:p>
    <w:p w14:paraId="14E1A2F3" w14:textId="77777777" w:rsidR="00D3527F" w:rsidRDefault="00D3527F" w:rsidP="00D3527F">
      <w:pPr>
        <w:pStyle w:val="Heading3"/>
        <w:numPr>
          <w:ilvl w:val="2"/>
          <w:numId w:val="43"/>
        </w:numPr>
      </w:pPr>
      <w:bookmarkStart w:id="430" w:name="_Toc507425152"/>
      <w:bookmarkStart w:id="431" w:name="_Toc509837339"/>
      <w:r>
        <w:t>Large Customers</w:t>
      </w:r>
      <w:bookmarkEnd w:id="430"/>
      <w:bookmarkEnd w:id="431"/>
    </w:p>
    <w:p w14:paraId="2F34FB33" w14:textId="77777777" w:rsidR="00D3527F" w:rsidRDefault="00D3527F" w:rsidP="00D3527F">
      <w:pPr>
        <w:spacing w:after="120"/>
        <w:rPr>
          <w:szCs w:val="32"/>
        </w:rPr>
      </w:pPr>
      <w:r>
        <w:rPr>
          <w:szCs w:val="32"/>
        </w:rPr>
        <w:t xml:space="preserve">This section summarizes results for all large SDG&amp;E customers, defined as customers with maximum demand over 200 kW. The presented results include: the average event-hour load impact by event day; the hourly load impact for the average event day; and load impacts by industry group. </w:t>
      </w:r>
    </w:p>
    <w:p w14:paraId="1E95B2D7" w14:textId="195118AB" w:rsidR="00D3527F" w:rsidRDefault="00D3527F" w:rsidP="00D3527F">
      <w:pPr>
        <w:spacing w:after="120"/>
        <w:rPr>
          <w:szCs w:val="32"/>
        </w:rPr>
      </w:pPr>
      <w:r>
        <w:rPr>
          <w:szCs w:val="32"/>
        </w:rPr>
        <w:t xml:space="preserve">The </w:t>
      </w:r>
      <w:r w:rsidRPr="00E6482F">
        <w:rPr>
          <w:i/>
          <w:szCs w:val="32"/>
        </w:rPr>
        <w:t>ex-post</w:t>
      </w:r>
      <w:r>
        <w:rPr>
          <w:szCs w:val="32"/>
        </w:rPr>
        <w:t xml:space="preserve"> load impacts for SDG&amp;E’s large CPP customers are summarized for all three events and </w:t>
      </w:r>
      <w:r w:rsidR="00D100B0">
        <w:rPr>
          <w:szCs w:val="32"/>
        </w:rPr>
        <w:t xml:space="preserve">the average weekday </w:t>
      </w:r>
      <w:r>
        <w:rPr>
          <w:szCs w:val="32"/>
        </w:rPr>
        <w:t xml:space="preserve">event in </w:t>
      </w:r>
      <w:r>
        <w:rPr>
          <w:szCs w:val="32"/>
        </w:rPr>
        <w:fldChar w:fldCharType="begin"/>
      </w:r>
      <w:r>
        <w:rPr>
          <w:szCs w:val="32"/>
        </w:rPr>
        <w:instrText xml:space="preserve"> REF _Ref507429407 \h </w:instrText>
      </w:r>
      <w:r>
        <w:rPr>
          <w:szCs w:val="32"/>
        </w:rPr>
      </w:r>
      <w:r>
        <w:rPr>
          <w:szCs w:val="32"/>
        </w:rPr>
        <w:fldChar w:fldCharType="separate"/>
      </w:r>
      <w:r w:rsidR="005D5C7C">
        <w:t xml:space="preserve">Figure </w:t>
      </w:r>
      <w:r w:rsidR="005D5C7C">
        <w:rPr>
          <w:noProof/>
        </w:rPr>
        <w:t>5</w:t>
      </w:r>
      <w:r w:rsidR="005D5C7C">
        <w:t>.</w:t>
      </w:r>
      <w:r w:rsidR="005D5C7C">
        <w:rPr>
          <w:noProof/>
        </w:rPr>
        <w:t>1</w:t>
      </w:r>
      <w:r>
        <w:rPr>
          <w:szCs w:val="32"/>
        </w:rPr>
        <w:fldChar w:fldCharType="end"/>
      </w:r>
      <w:r>
        <w:rPr>
          <w:szCs w:val="32"/>
        </w:rPr>
        <w:t xml:space="preserve">. </w:t>
      </w:r>
      <w:r w:rsidR="008D1F64">
        <w:rPr>
          <w:szCs w:val="32"/>
        </w:rPr>
        <w:t>The weekday events are August 31</w:t>
      </w:r>
      <w:r w:rsidR="008D1F64" w:rsidRPr="00CC2ABE">
        <w:rPr>
          <w:szCs w:val="32"/>
          <w:vertAlign w:val="superscript"/>
        </w:rPr>
        <w:t>st</w:t>
      </w:r>
      <w:r w:rsidR="008D1F64">
        <w:rPr>
          <w:szCs w:val="32"/>
        </w:rPr>
        <w:t xml:space="preserve"> and September 1</w:t>
      </w:r>
      <w:r w:rsidR="008D1F64" w:rsidRPr="00CC2ABE">
        <w:rPr>
          <w:szCs w:val="32"/>
          <w:vertAlign w:val="superscript"/>
        </w:rPr>
        <w:t>st</w:t>
      </w:r>
      <w:r w:rsidR="008D1F64">
        <w:rPr>
          <w:szCs w:val="32"/>
        </w:rPr>
        <w:t xml:space="preserve">. </w:t>
      </w:r>
      <w:r>
        <w:rPr>
          <w:szCs w:val="32"/>
        </w:rPr>
        <w:t>The blue bars indicate the magnitude of the aggregate load impact (in MWh/hour). The green bands correspond to 80 percent confidence intervals around these estimates (</w:t>
      </w:r>
      <w:r w:rsidRPr="00E6482F">
        <w:rPr>
          <w:i/>
          <w:szCs w:val="32"/>
        </w:rPr>
        <w:t>i.e.</w:t>
      </w:r>
      <w:r>
        <w:rPr>
          <w:szCs w:val="32"/>
        </w:rPr>
        <w:t>, the 10</w:t>
      </w:r>
      <w:r w:rsidRPr="00E6482F">
        <w:rPr>
          <w:szCs w:val="32"/>
          <w:vertAlign w:val="superscript"/>
        </w:rPr>
        <w:t>th</w:t>
      </w:r>
      <w:r>
        <w:rPr>
          <w:szCs w:val="32"/>
        </w:rPr>
        <w:t xml:space="preserve"> and 90</w:t>
      </w:r>
      <w:r w:rsidRPr="00E6482F">
        <w:rPr>
          <w:szCs w:val="32"/>
          <w:vertAlign w:val="superscript"/>
        </w:rPr>
        <w:t>th</w:t>
      </w:r>
      <w:r>
        <w:rPr>
          <w:szCs w:val="32"/>
        </w:rPr>
        <w:t xml:space="preserve"> percentile scenarios from the uncertainty-adjusted load impacts). The orange line represents the average temperatures experienced by the customers during the event hours.  </w:t>
      </w:r>
    </w:p>
    <w:p w14:paraId="6FFA9760" w14:textId="23E0BC47" w:rsidR="00D3527F" w:rsidRDefault="00D3527F" w:rsidP="00D3527F">
      <w:pPr>
        <w:spacing w:after="120"/>
        <w:rPr>
          <w:szCs w:val="32"/>
        </w:rPr>
      </w:pPr>
      <w:r>
        <w:rPr>
          <w:szCs w:val="32"/>
        </w:rPr>
        <w:t xml:space="preserve">The results indicate that large customers had statistically significant load reductions on each of the three event days, ranging from 9 to 19 MWh/hour. The load impact averaged 15 MWh/hour over the three days or 18 MWh/hour for the </w:t>
      </w:r>
      <w:r w:rsidR="008D1F64">
        <w:rPr>
          <w:szCs w:val="32"/>
        </w:rPr>
        <w:t xml:space="preserve">average weekday </w:t>
      </w:r>
      <w:r>
        <w:rPr>
          <w:szCs w:val="32"/>
        </w:rPr>
        <w:t xml:space="preserve">event. </w:t>
      </w:r>
      <w:r w:rsidR="0068099C">
        <w:rPr>
          <w:szCs w:val="32"/>
        </w:rPr>
        <w:t xml:space="preserve">The events occurred on </w:t>
      </w:r>
      <w:r>
        <w:rPr>
          <w:szCs w:val="32"/>
        </w:rPr>
        <w:t xml:space="preserve">consecutive </w:t>
      </w:r>
      <w:r w:rsidR="0068099C">
        <w:rPr>
          <w:szCs w:val="32"/>
        </w:rPr>
        <w:t>days, with the load impact declining on each successive day</w:t>
      </w:r>
      <w:r>
        <w:rPr>
          <w:szCs w:val="32"/>
        </w:rPr>
        <w:t xml:space="preserve">. It is difficult to identify any relationship of weather and load impacts illustrated in </w:t>
      </w:r>
      <w:r>
        <w:rPr>
          <w:szCs w:val="32"/>
        </w:rPr>
        <w:fldChar w:fldCharType="begin"/>
      </w:r>
      <w:r>
        <w:rPr>
          <w:szCs w:val="32"/>
        </w:rPr>
        <w:instrText xml:space="preserve"> REF _Ref507429407 \h </w:instrText>
      </w:r>
      <w:r>
        <w:rPr>
          <w:szCs w:val="32"/>
        </w:rPr>
      </w:r>
      <w:r>
        <w:rPr>
          <w:szCs w:val="32"/>
        </w:rPr>
        <w:fldChar w:fldCharType="separate"/>
      </w:r>
      <w:r w:rsidR="005D5C7C">
        <w:t xml:space="preserve">Figure </w:t>
      </w:r>
      <w:r w:rsidR="005D5C7C">
        <w:rPr>
          <w:noProof/>
        </w:rPr>
        <w:t>5</w:t>
      </w:r>
      <w:r w:rsidR="005D5C7C">
        <w:t>.</w:t>
      </w:r>
      <w:r w:rsidR="005D5C7C">
        <w:rPr>
          <w:noProof/>
        </w:rPr>
        <w:t>1</w:t>
      </w:r>
      <w:r>
        <w:rPr>
          <w:szCs w:val="32"/>
        </w:rPr>
        <w:fldChar w:fldCharType="end"/>
      </w:r>
      <w:r w:rsidR="0068099C">
        <w:rPr>
          <w:szCs w:val="32"/>
        </w:rPr>
        <w:t xml:space="preserve"> </w:t>
      </w:r>
      <w:r>
        <w:rPr>
          <w:szCs w:val="32"/>
        </w:rPr>
        <w:t>because of the small</w:t>
      </w:r>
      <w:r w:rsidR="0068099C">
        <w:rPr>
          <w:szCs w:val="32"/>
        </w:rPr>
        <w:t xml:space="preserve"> number</w:t>
      </w:r>
      <w:r>
        <w:rPr>
          <w:szCs w:val="32"/>
        </w:rPr>
        <w:t xml:space="preserve"> of events, the consecutive nature of the events, and that the last event date </w:t>
      </w:r>
      <w:r w:rsidR="0068099C">
        <w:rPr>
          <w:szCs w:val="32"/>
        </w:rPr>
        <w:t xml:space="preserve">takes place on </w:t>
      </w:r>
      <w:r>
        <w:rPr>
          <w:szCs w:val="32"/>
        </w:rPr>
        <w:t xml:space="preserve">a weekend. </w:t>
      </w:r>
    </w:p>
    <w:p w14:paraId="7B8E43B2" w14:textId="77777777" w:rsidR="00D3527F" w:rsidRDefault="00D3527F" w:rsidP="00D3527F">
      <w:pPr>
        <w:spacing w:after="120"/>
        <w:rPr>
          <w:szCs w:val="32"/>
        </w:rPr>
      </w:pPr>
    </w:p>
    <w:p w14:paraId="1BC7ED64" w14:textId="46E0986A" w:rsidR="00D3527F" w:rsidRPr="00CC2ABE" w:rsidRDefault="00D3527F" w:rsidP="00D3527F">
      <w:pPr>
        <w:pStyle w:val="FigureCaption"/>
        <w:rPr>
          <w:i/>
        </w:rPr>
      </w:pPr>
      <w:bookmarkStart w:id="432" w:name="_Ref507429407"/>
      <w:bookmarkStart w:id="433" w:name="_Ref507429403"/>
      <w:bookmarkStart w:id="434" w:name="_Toc509837506"/>
      <w:r>
        <w:lastRenderedPageBreak/>
        <w:t xml:space="preserve">Figure </w:t>
      </w:r>
      <w:fldSimple w:instr=" STYLEREF 1 \s ">
        <w:r w:rsidR="005D5C7C">
          <w:rPr>
            <w:noProof/>
          </w:rPr>
          <w:t>5</w:t>
        </w:r>
      </w:fldSimple>
      <w:r>
        <w:t>.</w:t>
      </w:r>
      <w:fldSimple w:instr=" SEQ Figure \* ARABIC \s 1 ">
        <w:r w:rsidR="005D5C7C">
          <w:rPr>
            <w:noProof/>
          </w:rPr>
          <w:t>1</w:t>
        </w:r>
      </w:fldSimple>
      <w:bookmarkEnd w:id="432"/>
      <w:r>
        <w:t xml:space="preserve">: Average Event-Hour Load Impacts by Event, </w:t>
      </w:r>
      <w:r>
        <w:rPr>
          <w:i/>
        </w:rPr>
        <w:t>SDG&amp;E Large</w:t>
      </w:r>
      <w:bookmarkEnd w:id="433"/>
      <w:bookmarkEnd w:id="434"/>
    </w:p>
    <w:p w14:paraId="5FEAD431" w14:textId="6934F4B7" w:rsidR="00D3527F" w:rsidRDefault="008D1F64" w:rsidP="00D3527F">
      <w:pPr>
        <w:spacing w:after="120"/>
        <w:jc w:val="center"/>
        <w:rPr>
          <w:szCs w:val="32"/>
        </w:rPr>
      </w:pPr>
      <w:r>
        <w:rPr>
          <w:noProof/>
          <w:szCs w:val="32"/>
        </w:rPr>
        <w:drawing>
          <wp:inline distT="0" distB="0" distL="0" distR="0" wp14:anchorId="7AD1EF86" wp14:editId="2F9CF350">
            <wp:extent cx="4801156"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1156" cy="3200400"/>
                    </a:xfrm>
                    <a:prstGeom prst="rect">
                      <a:avLst/>
                    </a:prstGeom>
                    <a:noFill/>
                  </pic:spPr>
                </pic:pic>
              </a:graphicData>
            </a:graphic>
          </wp:inline>
        </w:drawing>
      </w:r>
    </w:p>
    <w:p w14:paraId="4EDB44DA" w14:textId="77777777" w:rsidR="00D3527F" w:rsidRDefault="00D3527F" w:rsidP="00D3527F">
      <w:pPr>
        <w:spacing w:after="120"/>
        <w:rPr>
          <w:szCs w:val="32"/>
        </w:rPr>
      </w:pPr>
    </w:p>
    <w:p w14:paraId="4CED2BFF" w14:textId="73BFD78A" w:rsidR="00D3527F" w:rsidRDefault="00D3527F" w:rsidP="00D3527F">
      <w:pPr>
        <w:spacing w:after="120"/>
        <w:rPr>
          <w:szCs w:val="32"/>
        </w:rPr>
      </w:pPr>
      <w:r>
        <w:rPr>
          <w:szCs w:val="32"/>
        </w:rPr>
        <w:fldChar w:fldCharType="begin"/>
      </w:r>
      <w:r>
        <w:rPr>
          <w:szCs w:val="32"/>
        </w:rPr>
        <w:instrText xml:space="preserve"> REF _Ref507430457 \h </w:instrText>
      </w:r>
      <w:r>
        <w:rPr>
          <w:szCs w:val="32"/>
        </w:rPr>
      </w:r>
      <w:r>
        <w:rPr>
          <w:szCs w:val="32"/>
        </w:rPr>
        <w:fldChar w:fldCharType="separate"/>
      </w:r>
      <w:r w:rsidR="005D5C7C">
        <w:t xml:space="preserve">Table </w:t>
      </w:r>
      <w:r w:rsidR="005D5C7C">
        <w:rPr>
          <w:noProof/>
        </w:rPr>
        <w:t>5</w:t>
      </w:r>
      <w:r w:rsidR="005D5C7C">
        <w:t>.</w:t>
      </w:r>
      <w:r w:rsidR="005D5C7C">
        <w:rPr>
          <w:noProof/>
        </w:rPr>
        <w:t>1</w:t>
      </w:r>
      <w:r>
        <w:rPr>
          <w:szCs w:val="32"/>
        </w:rPr>
        <w:fldChar w:fldCharType="end"/>
      </w:r>
      <w:r>
        <w:rPr>
          <w:szCs w:val="32"/>
        </w:rPr>
        <w:t xml:space="preserve"> summarizes enrollments, average event-hour load impacts, and reference loads for each event day and the average event. The enrollments remain the same for the three consecutive event days. Estimated load reductions averaged for 14.1 kWh/hour/customer across weekday event days, which amounts to a 4.3 percent load reduction.</w:t>
      </w:r>
    </w:p>
    <w:p w14:paraId="41BDB672" w14:textId="77777777" w:rsidR="00D3527F" w:rsidRDefault="00D3527F" w:rsidP="00D3527F">
      <w:pPr>
        <w:spacing w:after="120"/>
        <w:rPr>
          <w:szCs w:val="32"/>
        </w:rPr>
      </w:pPr>
    </w:p>
    <w:p w14:paraId="260D00F7" w14:textId="2B951D2E" w:rsidR="00D3527F" w:rsidRDefault="00D3527F" w:rsidP="00D3527F">
      <w:pPr>
        <w:pStyle w:val="TableCaption"/>
      </w:pPr>
      <w:bookmarkStart w:id="435" w:name="_Ref507430457"/>
      <w:bookmarkStart w:id="436" w:name="_Toc509837412"/>
      <w:r>
        <w:t xml:space="preserve">Table </w:t>
      </w:r>
      <w:fldSimple w:instr=" STYLEREF 1 \s ">
        <w:r w:rsidR="005D5C7C">
          <w:rPr>
            <w:noProof/>
          </w:rPr>
          <w:t>5</w:t>
        </w:r>
      </w:fldSimple>
      <w:r w:rsidR="0069714C">
        <w:t>.</w:t>
      </w:r>
      <w:fldSimple w:instr=" SEQ Table \* ARABIC \s 1 ">
        <w:r w:rsidR="005D5C7C">
          <w:rPr>
            <w:noProof/>
          </w:rPr>
          <w:t>1</w:t>
        </w:r>
      </w:fldSimple>
      <w:bookmarkEnd w:id="435"/>
      <w:r>
        <w:t xml:space="preserve">: Average Event-Hour Load Impacts by Event, </w:t>
      </w:r>
      <w:r w:rsidRPr="00F242C7">
        <w:rPr>
          <w:i/>
        </w:rPr>
        <w:t>SDG&amp;E Large</w:t>
      </w:r>
      <w:bookmarkEnd w:id="436"/>
    </w:p>
    <w:tbl>
      <w:tblPr>
        <w:tblW w:w="9741" w:type="dxa"/>
        <w:jc w:val="center"/>
        <w:tblLook w:val="04A0" w:firstRow="1" w:lastRow="0" w:firstColumn="1" w:lastColumn="0" w:noHBand="0" w:noVBand="1"/>
      </w:tblPr>
      <w:tblGrid>
        <w:gridCol w:w="2520"/>
        <w:gridCol w:w="1080"/>
        <w:gridCol w:w="1080"/>
        <w:gridCol w:w="1170"/>
        <w:gridCol w:w="1170"/>
        <w:gridCol w:w="1080"/>
        <w:gridCol w:w="849"/>
        <w:gridCol w:w="792"/>
      </w:tblGrid>
      <w:tr w:rsidR="00D3527F" w:rsidRPr="00CB5D81" w14:paraId="738E8B59" w14:textId="77777777" w:rsidTr="008D1F64">
        <w:trPr>
          <w:trHeight w:val="300"/>
          <w:jc w:val="center"/>
        </w:trPr>
        <w:tc>
          <w:tcPr>
            <w:tcW w:w="2520" w:type="dxa"/>
            <w:vMerge w:val="restart"/>
            <w:tcBorders>
              <w:top w:val="single" w:sz="4" w:space="0" w:color="auto"/>
              <w:left w:val="single" w:sz="4" w:space="0" w:color="auto"/>
              <w:bottom w:val="single" w:sz="4" w:space="0" w:color="000000"/>
              <w:right w:val="nil"/>
            </w:tcBorders>
            <w:shd w:val="clear" w:color="000000" w:fill="0C2577"/>
            <w:vAlign w:val="center"/>
            <w:hideMark/>
          </w:tcPr>
          <w:p w14:paraId="5BEADD7E"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Event Date</w:t>
            </w:r>
          </w:p>
        </w:tc>
        <w:tc>
          <w:tcPr>
            <w:tcW w:w="1080" w:type="dxa"/>
            <w:vMerge w:val="restart"/>
            <w:tcBorders>
              <w:top w:val="single" w:sz="4" w:space="0" w:color="000000"/>
              <w:left w:val="single" w:sz="4" w:space="0" w:color="FFFFFF"/>
              <w:bottom w:val="single" w:sz="4" w:space="0" w:color="000000"/>
              <w:right w:val="single" w:sz="4" w:space="0" w:color="FFFFFF"/>
            </w:tcBorders>
            <w:shd w:val="clear" w:color="000000" w:fill="0C2577"/>
            <w:vAlign w:val="center"/>
            <w:hideMark/>
          </w:tcPr>
          <w:p w14:paraId="5C401BD7"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 Enrolled</w:t>
            </w:r>
          </w:p>
        </w:tc>
        <w:tc>
          <w:tcPr>
            <w:tcW w:w="2250" w:type="dxa"/>
            <w:gridSpan w:val="2"/>
            <w:vMerge w:val="restart"/>
            <w:tcBorders>
              <w:top w:val="single" w:sz="4" w:space="0" w:color="000000"/>
              <w:left w:val="nil"/>
              <w:bottom w:val="single" w:sz="4" w:space="0" w:color="000000"/>
              <w:right w:val="single" w:sz="4" w:space="0" w:color="FFFFFF" w:themeColor="background1"/>
            </w:tcBorders>
            <w:shd w:val="clear" w:color="000000" w:fill="0C2577"/>
            <w:vAlign w:val="center"/>
            <w:hideMark/>
          </w:tcPr>
          <w:p w14:paraId="2278E49E"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Aggregate (MWh/hour)</w:t>
            </w:r>
          </w:p>
        </w:tc>
        <w:tc>
          <w:tcPr>
            <w:tcW w:w="2250" w:type="dxa"/>
            <w:gridSpan w:val="2"/>
            <w:vMerge w:val="restart"/>
            <w:tcBorders>
              <w:top w:val="single" w:sz="4" w:space="0" w:color="000000"/>
              <w:left w:val="single" w:sz="4" w:space="0" w:color="FFFFFF" w:themeColor="background1"/>
              <w:bottom w:val="single" w:sz="4" w:space="0" w:color="000000"/>
              <w:right w:val="single" w:sz="4" w:space="0" w:color="FFFFFF" w:themeColor="background1"/>
            </w:tcBorders>
            <w:shd w:val="clear" w:color="000000" w:fill="0C2577"/>
            <w:vAlign w:val="center"/>
            <w:hideMark/>
          </w:tcPr>
          <w:p w14:paraId="12E74F41"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Per-Customer (kWh/hour)</w:t>
            </w:r>
          </w:p>
        </w:tc>
        <w:tc>
          <w:tcPr>
            <w:tcW w:w="849" w:type="dxa"/>
            <w:vMerge w:val="restart"/>
            <w:tcBorders>
              <w:top w:val="single" w:sz="4" w:space="0" w:color="000000"/>
              <w:left w:val="single" w:sz="4" w:space="0" w:color="FFFFFF" w:themeColor="background1"/>
              <w:bottom w:val="single" w:sz="4" w:space="0" w:color="000000"/>
              <w:right w:val="single" w:sz="4" w:space="0" w:color="FFFFFF"/>
            </w:tcBorders>
            <w:shd w:val="clear" w:color="000000" w:fill="0C2577"/>
            <w:vAlign w:val="center"/>
            <w:hideMark/>
          </w:tcPr>
          <w:p w14:paraId="4ED81986"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 xml:space="preserve">% Load Impact </w:t>
            </w:r>
          </w:p>
        </w:tc>
        <w:tc>
          <w:tcPr>
            <w:tcW w:w="792" w:type="dxa"/>
            <w:vMerge w:val="restart"/>
            <w:tcBorders>
              <w:top w:val="single" w:sz="4" w:space="0" w:color="000000"/>
              <w:left w:val="single" w:sz="4" w:space="0" w:color="FFFFFF"/>
              <w:bottom w:val="single" w:sz="4" w:space="0" w:color="000000"/>
              <w:right w:val="single" w:sz="4" w:space="0" w:color="000000"/>
            </w:tcBorders>
            <w:shd w:val="clear" w:color="000000" w:fill="0C2577"/>
            <w:vAlign w:val="center"/>
            <w:hideMark/>
          </w:tcPr>
          <w:p w14:paraId="53580A43"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Ave. Event Temp.</w:t>
            </w:r>
          </w:p>
        </w:tc>
      </w:tr>
      <w:tr w:rsidR="00D3527F" w:rsidRPr="00CB5D81" w14:paraId="48A93FDB" w14:textId="77777777" w:rsidTr="008D1F64">
        <w:trPr>
          <w:trHeight w:val="300"/>
          <w:jc w:val="center"/>
        </w:trPr>
        <w:tc>
          <w:tcPr>
            <w:tcW w:w="2520" w:type="dxa"/>
            <w:vMerge/>
            <w:tcBorders>
              <w:top w:val="single" w:sz="4" w:space="0" w:color="000000"/>
              <w:left w:val="single" w:sz="4" w:space="0" w:color="auto"/>
              <w:bottom w:val="single" w:sz="4" w:space="0" w:color="000000"/>
              <w:right w:val="nil"/>
            </w:tcBorders>
            <w:vAlign w:val="center"/>
            <w:hideMark/>
          </w:tcPr>
          <w:p w14:paraId="3E84BB76" w14:textId="77777777" w:rsidR="00D3527F" w:rsidRPr="00CB5D81" w:rsidRDefault="00D3527F" w:rsidP="00D3527F">
            <w:pPr>
              <w:keepNext/>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single" w:sz="4" w:space="0" w:color="FFFFFF"/>
            </w:tcBorders>
            <w:vAlign w:val="center"/>
            <w:hideMark/>
          </w:tcPr>
          <w:p w14:paraId="05186787" w14:textId="77777777" w:rsidR="00D3527F" w:rsidRPr="00CB5D81" w:rsidRDefault="00D3527F" w:rsidP="00D3527F">
            <w:pPr>
              <w:keepNext/>
              <w:rPr>
                <w:rFonts w:cs="Calibri"/>
                <w:b/>
                <w:bCs/>
                <w:color w:val="FFFFFF"/>
                <w:sz w:val="22"/>
                <w:szCs w:val="22"/>
              </w:rPr>
            </w:pPr>
          </w:p>
        </w:tc>
        <w:tc>
          <w:tcPr>
            <w:tcW w:w="2250" w:type="dxa"/>
            <w:gridSpan w:val="2"/>
            <w:vMerge/>
            <w:tcBorders>
              <w:top w:val="single" w:sz="4" w:space="0" w:color="000000"/>
              <w:left w:val="nil"/>
              <w:bottom w:val="single" w:sz="4" w:space="0" w:color="FFFFFF" w:themeColor="background1"/>
              <w:right w:val="single" w:sz="4" w:space="0" w:color="FFFFFF" w:themeColor="background1"/>
            </w:tcBorders>
            <w:vAlign w:val="center"/>
            <w:hideMark/>
          </w:tcPr>
          <w:p w14:paraId="1448485D" w14:textId="77777777" w:rsidR="00D3527F" w:rsidRPr="00CB5D81" w:rsidRDefault="00D3527F" w:rsidP="00D3527F">
            <w:pPr>
              <w:keepNext/>
              <w:rPr>
                <w:rFonts w:cs="Calibri"/>
                <w:b/>
                <w:bCs/>
                <w:color w:val="FFFFFF"/>
                <w:sz w:val="22"/>
                <w:szCs w:val="22"/>
              </w:rPr>
            </w:pPr>
          </w:p>
        </w:tc>
        <w:tc>
          <w:tcPr>
            <w:tcW w:w="2250" w:type="dxa"/>
            <w:gridSpan w:val="2"/>
            <w:vMerge/>
            <w:tcBorders>
              <w:top w:val="single" w:sz="4" w:space="0" w:color="000000"/>
              <w:left w:val="single" w:sz="4" w:space="0" w:color="FFFFFF" w:themeColor="background1"/>
              <w:bottom w:val="single" w:sz="4" w:space="0" w:color="FFFFFF" w:themeColor="background1"/>
              <w:right w:val="single" w:sz="4" w:space="0" w:color="FFFFFF" w:themeColor="background1"/>
            </w:tcBorders>
            <w:vAlign w:val="center"/>
            <w:hideMark/>
          </w:tcPr>
          <w:p w14:paraId="340CD29B" w14:textId="77777777" w:rsidR="00D3527F" w:rsidRPr="00CB5D81" w:rsidRDefault="00D3527F" w:rsidP="00D3527F">
            <w:pPr>
              <w:keepNext/>
              <w:rPr>
                <w:rFonts w:cs="Calibri"/>
                <w:b/>
                <w:bCs/>
                <w:color w:val="FFFFFF"/>
                <w:sz w:val="22"/>
                <w:szCs w:val="22"/>
              </w:rPr>
            </w:pPr>
          </w:p>
        </w:tc>
        <w:tc>
          <w:tcPr>
            <w:tcW w:w="849" w:type="dxa"/>
            <w:vMerge/>
            <w:tcBorders>
              <w:top w:val="single" w:sz="4" w:space="0" w:color="000000"/>
              <w:left w:val="single" w:sz="4" w:space="0" w:color="FFFFFF" w:themeColor="background1"/>
              <w:bottom w:val="single" w:sz="4" w:space="0" w:color="000000"/>
              <w:right w:val="single" w:sz="4" w:space="0" w:color="FFFFFF"/>
            </w:tcBorders>
            <w:vAlign w:val="center"/>
            <w:hideMark/>
          </w:tcPr>
          <w:p w14:paraId="6AF84E56" w14:textId="77777777" w:rsidR="00D3527F" w:rsidRPr="00CB5D81" w:rsidRDefault="00D3527F" w:rsidP="00D3527F">
            <w:pPr>
              <w:keepNext/>
              <w:rPr>
                <w:rFonts w:cs="Calibri"/>
                <w:b/>
                <w:bCs/>
                <w:color w:val="FFFFFF"/>
                <w:sz w:val="22"/>
                <w:szCs w:val="22"/>
              </w:rPr>
            </w:pPr>
          </w:p>
        </w:tc>
        <w:tc>
          <w:tcPr>
            <w:tcW w:w="792" w:type="dxa"/>
            <w:vMerge/>
            <w:tcBorders>
              <w:top w:val="single" w:sz="4" w:space="0" w:color="000000"/>
              <w:left w:val="single" w:sz="4" w:space="0" w:color="FFFFFF"/>
              <w:bottom w:val="single" w:sz="4" w:space="0" w:color="000000"/>
              <w:right w:val="single" w:sz="4" w:space="0" w:color="000000"/>
            </w:tcBorders>
            <w:vAlign w:val="center"/>
            <w:hideMark/>
          </w:tcPr>
          <w:p w14:paraId="52E224C3" w14:textId="77777777" w:rsidR="00D3527F" w:rsidRPr="00CB5D81" w:rsidRDefault="00D3527F" w:rsidP="00D3527F">
            <w:pPr>
              <w:keepNext/>
              <w:rPr>
                <w:rFonts w:cs="Calibri"/>
                <w:b/>
                <w:bCs/>
                <w:color w:val="FFFFFF"/>
                <w:sz w:val="22"/>
                <w:szCs w:val="22"/>
              </w:rPr>
            </w:pPr>
          </w:p>
        </w:tc>
      </w:tr>
      <w:tr w:rsidR="00D3527F" w:rsidRPr="00CB5D81" w14:paraId="1223E761" w14:textId="77777777" w:rsidTr="008D1F64">
        <w:trPr>
          <w:trHeight w:val="300"/>
          <w:jc w:val="center"/>
        </w:trPr>
        <w:tc>
          <w:tcPr>
            <w:tcW w:w="2520" w:type="dxa"/>
            <w:vMerge/>
            <w:tcBorders>
              <w:top w:val="single" w:sz="4" w:space="0" w:color="000000"/>
              <w:left w:val="single" w:sz="4" w:space="0" w:color="auto"/>
              <w:bottom w:val="single" w:sz="4" w:space="0" w:color="000000"/>
              <w:right w:val="nil"/>
            </w:tcBorders>
            <w:vAlign w:val="center"/>
            <w:hideMark/>
          </w:tcPr>
          <w:p w14:paraId="2003876E" w14:textId="77777777" w:rsidR="00D3527F" w:rsidRPr="00CB5D81" w:rsidRDefault="00D3527F" w:rsidP="00D3527F">
            <w:pPr>
              <w:keepNext/>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single" w:sz="4" w:space="0" w:color="FFFFFF"/>
            </w:tcBorders>
            <w:vAlign w:val="center"/>
            <w:hideMark/>
          </w:tcPr>
          <w:p w14:paraId="426F5CC1" w14:textId="77777777" w:rsidR="00D3527F" w:rsidRPr="00CB5D81" w:rsidRDefault="00D3527F" w:rsidP="00D3527F">
            <w:pPr>
              <w:keepNext/>
              <w:rPr>
                <w:rFonts w:cs="Calibri"/>
                <w:b/>
                <w:bCs/>
                <w:color w:val="FFFFFF"/>
                <w:sz w:val="22"/>
                <w:szCs w:val="22"/>
              </w:rPr>
            </w:pPr>
          </w:p>
        </w:tc>
        <w:tc>
          <w:tcPr>
            <w:tcW w:w="1080" w:type="dxa"/>
            <w:vMerge w:val="restart"/>
            <w:tcBorders>
              <w:top w:val="single" w:sz="4" w:space="0" w:color="FFFFFF" w:themeColor="background1"/>
              <w:left w:val="single" w:sz="4" w:space="0" w:color="FFFFFF"/>
              <w:bottom w:val="single" w:sz="4" w:space="0" w:color="000000"/>
              <w:right w:val="single" w:sz="4" w:space="0" w:color="FFFFFF"/>
            </w:tcBorders>
            <w:shd w:val="clear" w:color="000000" w:fill="0C2577"/>
            <w:vAlign w:val="center"/>
            <w:hideMark/>
          </w:tcPr>
          <w:p w14:paraId="45463121"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Ref. Load</w:t>
            </w:r>
          </w:p>
        </w:tc>
        <w:tc>
          <w:tcPr>
            <w:tcW w:w="1170" w:type="dxa"/>
            <w:vMerge w:val="restart"/>
            <w:tcBorders>
              <w:top w:val="single" w:sz="4" w:space="0" w:color="FFFFFF" w:themeColor="background1"/>
              <w:left w:val="single" w:sz="4" w:space="0" w:color="FFFFFF"/>
              <w:bottom w:val="single" w:sz="4" w:space="0" w:color="000000"/>
              <w:right w:val="nil"/>
            </w:tcBorders>
            <w:shd w:val="clear" w:color="000000" w:fill="0C2577"/>
            <w:vAlign w:val="center"/>
            <w:hideMark/>
          </w:tcPr>
          <w:p w14:paraId="30D790BC"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Load Impact</w:t>
            </w:r>
          </w:p>
        </w:tc>
        <w:tc>
          <w:tcPr>
            <w:tcW w:w="1170" w:type="dxa"/>
            <w:vMerge w:val="restart"/>
            <w:tcBorders>
              <w:top w:val="single" w:sz="4" w:space="0" w:color="FFFFFF" w:themeColor="background1"/>
              <w:left w:val="single" w:sz="4" w:space="0" w:color="FFFFFF"/>
              <w:bottom w:val="single" w:sz="4" w:space="0" w:color="000000"/>
              <w:right w:val="single" w:sz="4" w:space="0" w:color="FFFFFF"/>
            </w:tcBorders>
            <w:shd w:val="clear" w:color="000000" w:fill="0C2577"/>
            <w:vAlign w:val="center"/>
            <w:hideMark/>
          </w:tcPr>
          <w:p w14:paraId="58D85CA7"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Ref. Load</w:t>
            </w:r>
          </w:p>
        </w:tc>
        <w:tc>
          <w:tcPr>
            <w:tcW w:w="1080" w:type="dxa"/>
            <w:vMerge w:val="restart"/>
            <w:tcBorders>
              <w:top w:val="single" w:sz="4" w:space="0" w:color="FFFFFF" w:themeColor="background1"/>
              <w:left w:val="nil"/>
              <w:bottom w:val="single" w:sz="4" w:space="0" w:color="000000"/>
              <w:right w:val="single" w:sz="4" w:space="0" w:color="FFFFFF" w:themeColor="background1"/>
            </w:tcBorders>
            <w:shd w:val="clear" w:color="000000" w:fill="0C2577"/>
            <w:vAlign w:val="center"/>
            <w:hideMark/>
          </w:tcPr>
          <w:p w14:paraId="7F676322"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Load Impact</w:t>
            </w:r>
          </w:p>
        </w:tc>
        <w:tc>
          <w:tcPr>
            <w:tcW w:w="849" w:type="dxa"/>
            <w:vMerge/>
            <w:tcBorders>
              <w:top w:val="single" w:sz="4" w:space="0" w:color="000000"/>
              <w:left w:val="single" w:sz="4" w:space="0" w:color="FFFFFF" w:themeColor="background1"/>
              <w:bottom w:val="single" w:sz="4" w:space="0" w:color="000000"/>
              <w:right w:val="single" w:sz="4" w:space="0" w:color="FFFFFF"/>
            </w:tcBorders>
            <w:vAlign w:val="center"/>
            <w:hideMark/>
          </w:tcPr>
          <w:p w14:paraId="3C5301D8" w14:textId="77777777" w:rsidR="00D3527F" w:rsidRPr="00CB5D81" w:rsidRDefault="00D3527F" w:rsidP="00D3527F">
            <w:pPr>
              <w:keepNext/>
              <w:rPr>
                <w:rFonts w:cs="Calibri"/>
                <w:b/>
                <w:bCs/>
                <w:color w:val="FFFFFF"/>
                <w:sz w:val="22"/>
                <w:szCs w:val="22"/>
              </w:rPr>
            </w:pPr>
          </w:p>
        </w:tc>
        <w:tc>
          <w:tcPr>
            <w:tcW w:w="792" w:type="dxa"/>
            <w:vMerge/>
            <w:tcBorders>
              <w:top w:val="single" w:sz="4" w:space="0" w:color="000000"/>
              <w:left w:val="single" w:sz="4" w:space="0" w:color="FFFFFF"/>
              <w:bottom w:val="single" w:sz="4" w:space="0" w:color="000000"/>
              <w:right w:val="single" w:sz="4" w:space="0" w:color="000000"/>
            </w:tcBorders>
            <w:vAlign w:val="center"/>
            <w:hideMark/>
          </w:tcPr>
          <w:p w14:paraId="577A83EC" w14:textId="77777777" w:rsidR="00D3527F" w:rsidRPr="00CB5D81" w:rsidRDefault="00D3527F" w:rsidP="00D3527F">
            <w:pPr>
              <w:keepNext/>
              <w:rPr>
                <w:rFonts w:cs="Calibri"/>
                <w:b/>
                <w:bCs/>
                <w:color w:val="FFFFFF"/>
                <w:sz w:val="22"/>
                <w:szCs w:val="22"/>
              </w:rPr>
            </w:pPr>
          </w:p>
        </w:tc>
      </w:tr>
      <w:tr w:rsidR="00D3527F" w:rsidRPr="00CB5D81" w14:paraId="3303DBD1" w14:textId="77777777" w:rsidTr="008D1F64">
        <w:trPr>
          <w:trHeight w:val="300"/>
          <w:jc w:val="center"/>
        </w:trPr>
        <w:tc>
          <w:tcPr>
            <w:tcW w:w="2520" w:type="dxa"/>
            <w:vMerge/>
            <w:tcBorders>
              <w:top w:val="single" w:sz="4" w:space="0" w:color="000000"/>
              <w:left w:val="single" w:sz="4" w:space="0" w:color="auto"/>
              <w:bottom w:val="single" w:sz="4" w:space="0" w:color="000000"/>
              <w:right w:val="nil"/>
            </w:tcBorders>
            <w:vAlign w:val="center"/>
            <w:hideMark/>
          </w:tcPr>
          <w:p w14:paraId="06702445" w14:textId="77777777" w:rsidR="00D3527F" w:rsidRPr="00CB5D81" w:rsidRDefault="00D3527F" w:rsidP="00D3527F">
            <w:pPr>
              <w:keepNext/>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single" w:sz="4" w:space="0" w:color="FFFFFF"/>
            </w:tcBorders>
            <w:vAlign w:val="center"/>
            <w:hideMark/>
          </w:tcPr>
          <w:p w14:paraId="172C2F1B" w14:textId="77777777" w:rsidR="00D3527F" w:rsidRPr="00CB5D81" w:rsidRDefault="00D3527F" w:rsidP="00D3527F">
            <w:pPr>
              <w:keepNext/>
              <w:rPr>
                <w:rFonts w:cs="Calibri"/>
                <w:b/>
                <w:bCs/>
                <w:color w:val="FFFFFF"/>
                <w:sz w:val="22"/>
                <w:szCs w:val="22"/>
              </w:rPr>
            </w:pPr>
          </w:p>
        </w:tc>
        <w:tc>
          <w:tcPr>
            <w:tcW w:w="1080" w:type="dxa"/>
            <w:vMerge/>
            <w:tcBorders>
              <w:top w:val="single" w:sz="4" w:space="0" w:color="FFFFFF"/>
              <w:left w:val="single" w:sz="4" w:space="0" w:color="FFFFFF"/>
              <w:bottom w:val="single" w:sz="4" w:space="0" w:color="000000"/>
              <w:right w:val="single" w:sz="4" w:space="0" w:color="FFFFFF"/>
            </w:tcBorders>
            <w:vAlign w:val="center"/>
            <w:hideMark/>
          </w:tcPr>
          <w:p w14:paraId="1517CF97" w14:textId="77777777" w:rsidR="00D3527F" w:rsidRPr="00CB5D81" w:rsidRDefault="00D3527F" w:rsidP="00D3527F">
            <w:pPr>
              <w:keepNext/>
              <w:rPr>
                <w:rFonts w:cs="Calibri"/>
                <w:b/>
                <w:bCs/>
                <w:color w:val="FFFFFF"/>
                <w:sz w:val="22"/>
                <w:szCs w:val="22"/>
              </w:rPr>
            </w:pPr>
          </w:p>
        </w:tc>
        <w:tc>
          <w:tcPr>
            <w:tcW w:w="1170" w:type="dxa"/>
            <w:vMerge/>
            <w:tcBorders>
              <w:top w:val="single" w:sz="4" w:space="0" w:color="FFFFFF"/>
              <w:left w:val="single" w:sz="4" w:space="0" w:color="FFFFFF"/>
              <w:bottom w:val="single" w:sz="4" w:space="0" w:color="000000"/>
              <w:right w:val="nil"/>
            </w:tcBorders>
            <w:vAlign w:val="center"/>
            <w:hideMark/>
          </w:tcPr>
          <w:p w14:paraId="4D8390D9" w14:textId="77777777" w:rsidR="00D3527F" w:rsidRPr="00CB5D81" w:rsidRDefault="00D3527F" w:rsidP="00D3527F">
            <w:pPr>
              <w:keepNext/>
              <w:rPr>
                <w:rFonts w:cs="Calibri"/>
                <w:b/>
                <w:bCs/>
                <w:color w:val="FFFFFF"/>
                <w:sz w:val="22"/>
                <w:szCs w:val="22"/>
              </w:rPr>
            </w:pPr>
          </w:p>
        </w:tc>
        <w:tc>
          <w:tcPr>
            <w:tcW w:w="1170" w:type="dxa"/>
            <w:vMerge/>
            <w:tcBorders>
              <w:top w:val="single" w:sz="4" w:space="0" w:color="FFFFFF"/>
              <w:left w:val="single" w:sz="4" w:space="0" w:color="FFFFFF"/>
              <w:bottom w:val="single" w:sz="4" w:space="0" w:color="000000"/>
              <w:right w:val="single" w:sz="4" w:space="0" w:color="FFFFFF"/>
            </w:tcBorders>
            <w:vAlign w:val="center"/>
            <w:hideMark/>
          </w:tcPr>
          <w:p w14:paraId="4B58A920" w14:textId="77777777" w:rsidR="00D3527F" w:rsidRPr="00CB5D81" w:rsidRDefault="00D3527F" w:rsidP="00D3527F">
            <w:pPr>
              <w:keepNext/>
              <w:rPr>
                <w:rFonts w:cs="Calibri"/>
                <w:b/>
                <w:bCs/>
                <w:color w:val="FFFFFF"/>
                <w:sz w:val="22"/>
                <w:szCs w:val="22"/>
              </w:rPr>
            </w:pPr>
          </w:p>
        </w:tc>
        <w:tc>
          <w:tcPr>
            <w:tcW w:w="1080" w:type="dxa"/>
            <w:vMerge/>
            <w:tcBorders>
              <w:top w:val="single" w:sz="4" w:space="0" w:color="FFFFFF"/>
              <w:left w:val="nil"/>
              <w:bottom w:val="single" w:sz="4" w:space="0" w:color="000000"/>
              <w:right w:val="single" w:sz="4" w:space="0" w:color="FFFFFF" w:themeColor="background1"/>
            </w:tcBorders>
            <w:vAlign w:val="center"/>
            <w:hideMark/>
          </w:tcPr>
          <w:p w14:paraId="235D17BA" w14:textId="77777777" w:rsidR="00D3527F" w:rsidRPr="00CB5D81" w:rsidRDefault="00D3527F" w:rsidP="00D3527F">
            <w:pPr>
              <w:keepNext/>
              <w:rPr>
                <w:rFonts w:cs="Calibri"/>
                <w:b/>
                <w:bCs/>
                <w:color w:val="FFFFFF"/>
                <w:sz w:val="22"/>
                <w:szCs w:val="22"/>
              </w:rPr>
            </w:pPr>
          </w:p>
        </w:tc>
        <w:tc>
          <w:tcPr>
            <w:tcW w:w="849" w:type="dxa"/>
            <w:vMerge/>
            <w:tcBorders>
              <w:top w:val="single" w:sz="4" w:space="0" w:color="000000"/>
              <w:left w:val="single" w:sz="4" w:space="0" w:color="FFFFFF" w:themeColor="background1"/>
              <w:bottom w:val="single" w:sz="4" w:space="0" w:color="000000"/>
              <w:right w:val="single" w:sz="4" w:space="0" w:color="FFFFFF"/>
            </w:tcBorders>
            <w:vAlign w:val="center"/>
            <w:hideMark/>
          </w:tcPr>
          <w:p w14:paraId="45641203" w14:textId="77777777" w:rsidR="00D3527F" w:rsidRPr="00CB5D81" w:rsidRDefault="00D3527F" w:rsidP="00D3527F">
            <w:pPr>
              <w:keepNext/>
              <w:rPr>
                <w:rFonts w:cs="Calibri"/>
                <w:b/>
                <w:bCs/>
                <w:color w:val="FFFFFF"/>
                <w:sz w:val="22"/>
                <w:szCs w:val="22"/>
              </w:rPr>
            </w:pPr>
          </w:p>
        </w:tc>
        <w:tc>
          <w:tcPr>
            <w:tcW w:w="792" w:type="dxa"/>
            <w:vMerge/>
            <w:tcBorders>
              <w:top w:val="single" w:sz="4" w:space="0" w:color="000000"/>
              <w:left w:val="single" w:sz="4" w:space="0" w:color="FFFFFF"/>
              <w:bottom w:val="single" w:sz="4" w:space="0" w:color="000000"/>
              <w:right w:val="single" w:sz="4" w:space="0" w:color="000000"/>
            </w:tcBorders>
            <w:vAlign w:val="center"/>
            <w:hideMark/>
          </w:tcPr>
          <w:p w14:paraId="2B13D5F5" w14:textId="77777777" w:rsidR="00D3527F" w:rsidRPr="00CB5D81" w:rsidRDefault="00D3527F" w:rsidP="00D3527F">
            <w:pPr>
              <w:keepNext/>
              <w:rPr>
                <w:rFonts w:cs="Calibri"/>
                <w:b/>
                <w:bCs/>
                <w:color w:val="FFFFFF"/>
                <w:sz w:val="22"/>
                <w:szCs w:val="22"/>
              </w:rPr>
            </w:pPr>
          </w:p>
        </w:tc>
      </w:tr>
      <w:tr w:rsidR="00D3527F" w:rsidRPr="00CB5D81" w14:paraId="1E7ED760" w14:textId="77777777" w:rsidTr="008D1F6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bottom"/>
            <w:hideMark/>
          </w:tcPr>
          <w:p w14:paraId="3614A32A"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8/31/2017</w:t>
            </w:r>
          </w:p>
        </w:tc>
        <w:tc>
          <w:tcPr>
            <w:tcW w:w="1080" w:type="dxa"/>
            <w:tcBorders>
              <w:top w:val="nil"/>
              <w:left w:val="nil"/>
              <w:bottom w:val="single" w:sz="4" w:space="0" w:color="000000"/>
              <w:right w:val="single" w:sz="4" w:space="0" w:color="000000"/>
            </w:tcBorders>
            <w:shd w:val="clear" w:color="auto" w:fill="auto"/>
            <w:noWrap/>
            <w:vAlign w:val="bottom"/>
            <w:hideMark/>
          </w:tcPr>
          <w:p w14:paraId="50C44B9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1,281</w:t>
            </w:r>
          </w:p>
        </w:tc>
        <w:tc>
          <w:tcPr>
            <w:tcW w:w="1080" w:type="dxa"/>
            <w:tcBorders>
              <w:top w:val="nil"/>
              <w:left w:val="nil"/>
              <w:bottom w:val="single" w:sz="4" w:space="0" w:color="000000"/>
              <w:right w:val="single" w:sz="4" w:space="0" w:color="000000"/>
            </w:tcBorders>
            <w:shd w:val="clear" w:color="auto" w:fill="auto"/>
            <w:noWrap/>
            <w:vAlign w:val="bottom"/>
            <w:hideMark/>
          </w:tcPr>
          <w:p w14:paraId="1595993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416.2</w:t>
            </w:r>
          </w:p>
        </w:tc>
        <w:tc>
          <w:tcPr>
            <w:tcW w:w="1170" w:type="dxa"/>
            <w:tcBorders>
              <w:top w:val="nil"/>
              <w:left w:val="nil"/>
              <w:bottom w:val="single" w:sz="4" w:space="0" w:color="000000"/>
              <w:right w:val="single" w:sz="4" w:space="0" w:color="000000"/>
            </w:tcBorders>
            <w:shd w:val="clear" w:color="auto" w:fill="auto"/>
            <w:noWrap/>
            <w:vAlign w:val="bottom"/>
            <w:hideMark/>
          </w:tcPr>
          <w:p w14:paraId="2723518F"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19.2</w:t>
            </w:r>
          </w:p>
        </w:tc>
        <w:tc>
          <w:tcPr>
            <w:tcW w:w="1170" w:type="dxa"/>
            <w:tcBorders>
              <w:top w:val="nil"/>
              <w:left w:val="nil"/>
              <w:bottom w:val="single" w:sz="4" w:space="0" w:color="000000"/>
              <w:right w:val="single" w:sz="4" w:space="0" w:color="000000"/>
            </w:tcBorders>
            <w:shd w:val="clear" w:color="auto" w:fill="auto"/>
            <w:noWrap/>
            <w:vAlign w:val="bottom"/>
            <w:hideMark/>
          </w:tcPr>
          <w:p w14:paraId="10FCA37C"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324.9</w:t>
            </w:r>
          </w:p>
        </w:tc>
        <w:tc>
          <w:tcPr>
            <w:tcW w:w="1080" w:type="dxa"/>
            <w:tcBorders>
              <w:top w:val="nil"/>
              <w:left w:val="nil"/>
              <w:bottom w:val="single" w:sz="4" w:space="0" w:color="000000"/>
              <w:right w:val="single" w:sz="4" w:space="0" w:color="000000"/>
            </w:tcBorders>
            <w:shd w:val="clear" w:color="auto" w:fill="auto"/>
            <w:noWrap/>
            <w:vAlign w:val="bottom"/>
            <w:hideMark/>
          </w:tcPr>
          <w:p w14:paraId="471878EE"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15.0</w:t>
            </w:r>
          </w:p>
        </w:tc>
        <w:tc>
          <w:tcPr>
            <w:tcW w:w="849" w:type="dxa"/>
            <w:tcBorders>
              <w:top w:val="nil"/>
              <w:left w:val="nil"/>
              <w:bottom w:val="single" w:sz="4" w:space="0" w:color="000000"/>
              <w:right w:val="single" w:sz="4" w:space="0" w:color="000000"/>
            </w:tcBorders>
            <w:shd w:val="clear" w:color="auto" w:fill="auto"/>
            <w:noWrap/>
            <w:vAlign w:val="bottom"/>
            <w:hideMark/>
          </w:tcPr>
          <w:p w14:paraId="10E414BC"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4.6%</w:t>
            </w:r>
          </w:p>
        </w:tc>
        <w:tc>
          <w:tcPr>
            <w:tcW w:w="792" w:type="dxa"/>
            <w:tcBorders>
              <w:top w:val="nil"/>
              <w:left w:val="nil"/>
              <w:bottom w:val="single" w:sz="4" w:space="0" w:color="000000"/>
              <w:right w:val="single" w:sz="4" w:space="0" w:color="000000"/>
            </w:tcBorders>
            <w:shd w:val="clear" w:color="auto" w:fill="auto"/>
            <w:noWrap/>
            <w:vAlign w:val="bottom"/>
            <w:hideMark/>
          </w:tcPr>
          <w:p w14:paraId="18FC34B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88.8</w:t>
            </w:r>
          </w:p>
        </w:tc>
      </w:tr>
      <w:tr w:rsidR="00D3527F" w:rsidRPr="00CB5D81" w14:paraId="2AFC3103" w14:textId="77777777" w:rsidTr="008D1F6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bottom"/>
            <w:hideMark/>
          </w:tcPr>
          <w:p w14:paraId="03194CA1"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9/1/2017</w:t>
            </w:r>
          </w:p>
        </w:tc>
        <w:tc>
          <w:tcPr>
            <w:tcW w:w="1080" w:type="dxa"/>
            <w:tcBorders>
              <w:top w:val="nil"/>
              <w:left w:val="nil"/>
              <w:bottom w:val="single" w:sz="4" w:space="0" w:color="000000"/>
              <w:right w:val="single" w:sz="4" w:space="0" w:color="000000"/>
            </w:tcBorders>
            <w:shd w:val="clear" w:color="auto" w:fill="auto"/>
            <w:noWrap/>
            <w:vAlign w:val="bottom"/>
            <w:hideMark/>
          </w:tcPr>
          <w:p w14:paraId="7C9D6C4A"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1,281</w:t>
            </w:r>
          </w:p>
        </w:tc>
        <w:tc>
          <w:tcPr>
            <w:tcW w:w="1080" w:type="dxa"/>
            <w:tcBorders>
              <w:top w:val="nil"/>
              <w:left w:val="nil"/>
              <w:bottom w:val="single" w:sz="4" w:space="0" w:color="000000"/>
              <w:right w:val="single" w:sz="4" w:space="0" w:color="000000"/>
            </w:tcBorders>
            <w:shd w:val="clear" w:color="auto" w:fill="auto"/>
            <w:noWrap/>
            <w:vAlign w:val="bottom"/>
            <w:hideMark/>
          </w:tcPr>
          <w:p w14:paraId="3E504EBE"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413.4</w:t>
            </w:r>
          </w:p>
        </w:tc>
        <w:tc>
          <w:tcPr>
            <w:tcW w:w="1170" w:type="dxa"/>
            <w:tcBorders>
              <w:top w:val="nil"/>
              <w:left w:val="nil"/>
              <w:bottom w:val="single" w:sz="4" w:space="0" w:color="000000"/>
              <w:right w:val="single" w:sz="4" w:space="0" w:color="000000"/>
            </w:tcBorders>
            <w:shd w:val="clear" w:color="auto" w:fill="auto"/>
            <w:noWrap/>
            <w:vAlign w:val="bottom"/>
            <w:hideMark/>
          </w:tcPr>
          <w:p w14:paraId="29E9A32B"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16.8</w:t>
            </w:r>
          </w:p>
        </w:tc>
        <w:tc>
          <w:tcPr>
            <w:tcW w:w="1170" w:type="dxa"/>
            <w:tcBorders>
              <w:top w:val="nil"/>
              <w:left w:val="nil"/>
              <w:bottom w:val="single" w:sz="4" w:space="0" w:color="000000"/>
              <w:right w:val="single" w:sz="4" w:space="0" w:color="000000"/>
            </w:tcBorders>
            <w:shd w:val="clear" w:color="auto" w:fill="auto"/>
            <w:noWrap/>
            <w:vAlign w:val="bottom"/>
            <w:hideMark/>
          </w:tcPr>
          <w:p w14:paraId="032581CA"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322.7</w:t>
            </w:r>
          </w:p>
        </w:tc>
        <w:tc>
          <w:tcPr>
            <w:tcW w:w="1080" w:type="dxa"/>
            <w:tcBorders>
              <w:top w:val="nil"/>
              <w:left w:val="nil"/>
              <w:bottom w:val="single" w:sz="4" w:space="0" w:color="000000"/>
              <w:right w:val="single" w:sz="4" w:space="0" w:color="000000"/>
            </w:tcBorders>
            <w:shd w:val="clear" w:color="auto" w:fill="auto"/>
            <w:noWrap/>
            <w:vAlign w:val="bottom"/>
            <w:hideMark/>
          </w:tcPr>
          <w:p w14:paraId="50F0DBB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13.1</w:t>
            </w:r>
          </w:p>
        </w:tc>
        <w:tc>
          <w:tcPr>
            <w:tcW w:w="849" w:type="dxa"/>
            <w:tcBorders>
              <w:top w:val="nil"/>
              <w:left w:val="nil"/>
              <w:bottom w:val="single" w:sz="4" w:space="0" w:color="000000"/>
              <w:right w:val="single" w:sz="4" w:space="0" w:color="000000"/>
            </w:tcBorders>
            <w:shd w:val="clear" w:color="auto" w:fill="auto"/>
            <w:noWrap/>
            <w:vAlign w:val="bottom"/>
            <w:hideMark/>
          </w:tcPr>
          <w:p w14:paraId="4329608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4.1%</w:t>
            </w:r>
          </w:p>
        </w:tc>
        <w:tc>
          <w:tcPr>
            <w:tcW w:w="792" w:type="dxa"/>
            <w:tcBorders>
              <w:top w:val="nil"/>
              <w:left w:val="nil"/>
              <w:bottom w:val="single" w:sz="4" w:space="0" w:color="000000"/>
              <w:right w:val="single" w:sz="4" w:space="0" w:color="000000"/>
            </w:tcBorders>
            <w:shd w:val="clear" w:color="auto" w:fill="auto"/>
            <w:noWrap/>
            <w:vAlign w:val="bottom"/>
            <w:hideMark/>
          </w:tcPr>
          <w:p w14:paraId="25683D1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95.0</w:t>
            </w:r>
          </w:p>
        </w:tc>
      </w:tr>
      <w:tr w:rsidR="00D3527F" w:rsidRPr="00CB5D81" w14:paraId="2A4E6578" w14:textId="77777777" w:rsidTr="008D1F6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bottom"/>
            <w:hideMark/>
          </w:tcPr>
          <w:p w14:paraId="27F1068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9/2/2017</w:t>
            </w:r>
          </w:p>
        </w:tc>
        <w:tc>
          <w:tcPr>
            <w:tcW w:w="1080" w:type="dxa"/>
            <w:tcBorders>
              <w:top w:val="nil"/>
              <w:left w:val="nil"/>
              <w:bottom w:val="single" w:sz="4" w:space="0" w:color="000000"/>
              <w:right w:val="single" w:sz="4" w:space="0" w:color="000000"/>
            </w:tcBorders>
            <w:shd w:val="clear" w:color="auto" w:fill="auto"/>
            <w:noWrap/>
            <w:vAlign w:val="bottom"/>
            <w:hideMark/>
          </w:tcPr>
          <w:p w14:paraId="649412A0"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1,281</w:t>
            </w:r>
          </w:p>
        </w:tc>
        <w:tc>
          <w:tcPr>
            <w:tcW w:w="1080" w:type="dxa"/>
            <w:tcBorders>
              <w:top w:val="nil"/>
              <w:left w:val="nil"/>
              <w:bottom w:val="single" w:sz="4" w:space="0" w:color="000000"/>
              <w:right w:val="single" w:sz="4" w:space="0" w:color="000000"/>
            </w:tcBorders>
            <w:shd w:val="clear" w:color="auto" w:fill="auto"/>
            <w:noWrap/>
            <w:vAlign w:val="bottom"/>
            <w:hideMark/>
          </w:tcPr>
          <w:p w14:paraId="1F9B7D10"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310.0</w:t>
            </w:r>
          </w:p>
        </w:tc>
        <w:tc>
          <w:tcPr>
            <w:tcW w:w="1170" w:type="dxa"/>
            <w:tcBorders>
              <w:top w:val="nil"/>
              <w:left w:val="nil"/>
              <w:bottom w:val="single" w:sz="4" w:space="0" w:color="000000"/>
              <w:right w:val="single" w:sz="4" w:space="0" w:color="000000"/>
            </w:tcBorders>
            <w:shd w:val="clear" w:color="auto" w:fill="auto"/>
            <w:noWrap/>
            <w:vAlign w:val="bottom"/>
            <w:hideMark/>
          </w:tcPr>
          <w:p w14:paraId="2B1988BC"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8.9</w:t>
            </w:r>
          </w:p>
        </w:tc>
        <w:tc>
          <w:tcPr>
            <w:tcW w:w="1170" w:type="dxa"/>
            <w:tcBorders>
              <w:top w:val="nil"/>
              <w:left w:val="nil"/>
              <w:bottom w:val="single" w:sz="4" w:space="0" w:color="000000"/>
              <w:right w:val="single" w:sz="4" w:space="0" w:color="000000"/>
            </w:tcBorders>
            <w:shd w:val="clear" w:color="auto" w:fill="auto"/>
            <w:noWrap/>
            <w:vAlign w:val="bottom"/>
            <w:hideMark/>
          </w:tcPr>
          <w:p w14:paraId="0D9F5770"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242.0</w:t>
            </w:r>
          </w:p>
        </w:tc>
        <w:tc>
          <w:tcPr>
            <w:tcW w:w="1080" w:type="dxa"/>
            <w:tcBorders>
              <w:top w:val="nil"/>
              <w:left w:val="nil"/>
              <w:bottom w:val="single" w:sz="4" w:space="0" w:color="000000"/>
              <w:right w:val="single" w:sz="4" w:space="0" w:color="000000"/>
            </w:tcBorders>
            <w:shd w:val="clear" w:color="auto" w:fill="auto"/>
            <w:noWrap/>
            <w:vAlign w:val="bottom"/>
            <w:hideMark/>
          </w:tcPr>
          <w:p w14:paraId="34EA0D9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7.0</w:t>
            </w:r>
          </w:p>
        </w:tc>
        <w:tc>
          <w:tcPr>
            <w:tcW w:w="849" w:type="dxa"/>
            <w:tcBorders>
              <w:top w:val="nil"/>
              <w:left w:val="nil"/>
              <w:bottom w:val="single" w:sz="4" w:space="0" w:color="000000"/>
              <w:right w:val="single" w:sz="4" w:space="0" w:color="000000"/>
            </w:tcBorders>
            <w:shd w:val="clear" w:color="auto" w:fill="auto"/>
            <w:noWrap/>
            <w:vAlign w:val="bottom"/>
            <w:hideMark/>
          </w:tcPr>
          <w:p w14:paraId="1217887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2.9%</w:t>
            </w:r>
          </w:p>
        </w:tc>
        <w:tc>
          <w:tcPr>
            <w:tcW w:w="792" w:type="dxa"/>
            <w:tcBorders>
              <w:top w:val="nil"/>
              <w:left w:val="nil"/>
              <w:bottom w:val="single" w:sz="4" w:space="0" w:color="000000"/>
              <w:right w:val="single" w:sz="4" w:space="0" w:color="000000"/>
            </w:tcBorders>
            <w:shd w:val="clear" w:color="auto" w:fill="auto"/>
            <w:noWrap/>
            <w:vAlign w:val="bottom"/>
            <w:hideMark/>
          </w:tcPr>
          <w:p w14:paraId="2BDBCCD9"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94.3</w:t>
            </w:r>
          </w:p>
        </w:tc>
      </w:tr>
      <w:tr w:rsidR="00D3527F" w:rsidRPr="00CB5D81" w14:paraId="2CB66A65" w14:textId="77777777" w:rsidTr="008D1F6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bottom"/>
            <w:hideMark/>
          </w:tcPr>
          <w:p w14:paraId="1C976EC2" w14:textId="30EEFEA2" w:rsidR="00D3527F" w:rsidRPr="00E301F7" w:rsidRDefault="008D1F64" w:rsidP="00D3527F">
            <w:pPr>
              <w:keepNext/>
              <w:jc w:val="center"/>
              <w:rPr>
                <w:rFonts w:cs="Calibri"/>
                <w:b/>
                <w:color w:val="000000"/>
                <w:sz w:val="22"/>
                <w:szCs w:val="22"/>
              </w:rPr>
            </w:pPr>
            <w:r>
              <w:rPr>
                <w:rFonts w:cs="Calibri"/>
                <w:b/>
                <w:color w:val="000000"/>
                <w:sz w:val="22"/>
                <w:szCs w:val="22"/>
              </w:rPr>
              <w:t>Average Weekday Event</w:t>
            </w:r>
          </w:p>
        </w:tc>
        <w:tc>
          <w:tcPr>
            <w:tcW w:w="1080" w:type="dxa"/>
            <w:tcBorders>
              <w:top w:val="nil"/>
              <w:left w:val="nil"/>
              <w:bottom w:val="single" w:sz="4" w:space="0" w:color="000000"/>
              <w:right w:val="single" w:sz="4" w:space="0" w:color="000000"/>
            </w:tcBorders>
            <w:shd w:val="clear" w:color="auto" w:fill="auto"/>
            <w:noWrap/>
            <w:vAlign w:val="bottom"/>
            <w:hideMark/>
          </w:tcPr>
          <w:p w14:paraId="7880CADC"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1,281</w:t>
            </w:r>
          </w:p>
        </w:tc>
        <w:tc>
          <w:tcPr>
            <w:tcW w:w="1080" w:type="dxa"/>
            <w:tcBorders>
              <w:top w:val="nil"/>
              <w:left w:val="nil"/>
              <w:bottom w:val="single" w:sz="4" w:space="0" w:color="000000"/>
              <w:right w:val="single" w:sz="4" w:space="0" w:color="000000"/>
            </w:tcBorders>
            <w:shd w:val="clear" w:color="auto" w:fill="auto"/>
            <w:noWrap/>
            <w:vAlign w:val="bottom"/>
            <w:hideMark/>
          </w:tcPr>
          <w:p w14:paraId="7FF35793"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414.8</w:t>
            </w:r>
          </w:p>
        </w:tc>
        <w:tc>
          <w:tcPr>
            <w:tcW w:w="1170" w:type="dxa"/>
            <w:tcBorders>
              <w:top w:val="nil"/>
              <w:left w:val="nil"/>
              <w:bottom w:val="single" w:sz="4" w:space="0" w:color="000000"/>
              <w:right w:val="single" w:sz="4" w:space="0" w:color="000000"/>
            </w:tcBorders>
            <w:shd w:val="clear" w:color="auto" w:fill="auto"/>
            <w:noWrap/>
            <w:vAlign w:val="bottom"/>
            <w:hideMark/>
          </w:tcPr>
          <w:p w14:paraId="357393C5"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18.0</w:t>
            </w:r>
          </w:p>
        </w:tc>
        <w:tc>
          <w:tcPr>
            <w:tcW w:w="1170" w:type="dxa"/>
            <w:tcBorders>
              <w:top w:val="nil"/>
              <w:left w:val="nil"/>
              <w:bottom w:val="single" w:sz="4" w:space="0" w:color="000000"/>
              <w:right w:val="single" w:sz="4" w:space="0" w:color="000000"/>
            </w:tcBorders>
            <w:shd w:val="clear" w:color="auto" w:fill="auto"/>
            <w:noWrap/>
            <w:vAlign w:val="bottom"/>
            <w:hideMark/>
          </w:tcPr>
          <w:p w14:paraId="2DF8BFAA"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323.8</w:t>
            </w:r>
          </w:p>
        </w:tc>
        <w:tc>
          <w:tcPr>
            <w:tcW w:w="1080" w:type="dxa"/>
            <w:tcBorders>
              <w:top w:val="nil"/>
              <w:left w:val="nil"/>
              <w:bottom w:val="single" w:sz="4" w:space="0" w:color="000000"/>
              <w:right w:val="single" w:sz="4" w:space="0" w:color="000000"/>
            </w:tcBorders>
            <w:shd w:val="clear" w:color="auto" w:fill="auto"/>
            <w:noWrap/>
            <w:vAlign w:val="bottom"/>
            <w:hideMark/>
          </w:tcPr>
          <w:p w14:paraId="3ADDA118"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14.1</w:t>
            </w:r>
          </w:p>
        </w:tc>
        <w:tc>
          <w:tcPr>
            <w:tcW w:w="849" w:type="dxa"/>
            <w:tcBorders>
              <w:top w:val="nil"/>
              <w:left w:val="nil"/>
              <w:bottom w:val="single" w:sz="4" w:space="0" w:color="000000"/>
              <w:right w:val="single" w:sz="4" w:space="0" w:color="000000"/>
            </w:tcBorders>
            <w:shd w:val="clear" w:color="auto" w:fill="auto"/>
            <w:noWrap/>
            <w:vAlign w:val="bottom"/>
            <w:hideMark/>
          </w:tcPr>
          <w:p w14:paraId="6379E25E"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4.3%</w:t>
            </w:r>
          </w:p>
        </w:tc>
        <w:tc>
          <w:tcPr>
            <w:tcW w:w="792" w:type="dxa"/>
            <w:tcBorders>
              <w:top w:val="nil"/>
              <w:left w:val="nil"/>
              <w:bottom w:val="single" w:sz="4" w:space="0" w:color="000000"/>
              <w:right w:val="single" w:sz="4" w:space="0" w:color="000000"/>
            </w:tcBorders>
            <w:shd w:val="clear" w:color="auto" w:fill="auto"/>
            <w:noWrap/>
            <w:vAlign w:val="bottom"/>
            <w:hideMark/>
          </w:tcPr>
          <w:p w14:paraId="55EE2962" w14:textId="77777777" w:rsidR="00D3527F" w:rsidRPr="00E301F7" w:rsidRDefault="00D3527F" w:rsidP="00D3527F">
            <w:pPr>
              <w:keepNext/>
              <w:jc w:val="center"/>
              <w:rPr>
                <w:rFonts w:cs="Calibri"/>
                <w:b/>
                <w:color w:val="000000"/>
                <w:sz w:val="22"/>
                <w:szCs w:val="22"/>
              </w:rPr>
            </w:pPr>
            <w:r w:rsidRPr="00E301F7">
              <w:rPr>
                <w:rFonts w:cs="Calibri"/>
                <w:b/>
                <w:color w:val="000000"/>
                <w:sz w:val="22"/>
                <w:szCs w:val="22"/>
              </w:rPr>
              <w:t>91.9</w:t>
            </w:r>
          </w:p>
        </w:tc>
      </w:tr>
    </w:tbl>
    <w:p w14:paraId="6D1C7DB4" w14:textId="77777777" w:rsidR="00D3527F" w:rsidRDefault="00D3527F" w:rsidP="00D3527F">
      <w:pPr>
        <w:spacing w:after="120"/>
        <w:rPr>
          <w:szCs w:val="32"/>
        </w:rPr>
      </w:pPr>
    </w:p>
    <w:p w14:paraId="790F5A7F" w14:textId="244D24C5" w:rsidR="00D3527F" w:rsidRDefault="00D3527F" w:rsidP="00D3527F">
      <w:pPr>
        <w:keepNext/>
      </w:pPr>
      <w:r>
        <w:fldChar w:fldCharType="begin"/>
      </w:r>
      <w:r>
        <w:instrText xml:space="preserve"> REF _Ref507430853 \h </w:instrText>
      </w:r>
      <w:r>
        <w:fldChar w:fldCharType="separate"/>
      </w:r>
      <w:r w:rsidR="005D5C7C">
        <w:t xml:space="preserve">Figure </w:t>
      </w:r>
      <w:r w:rsidR="005D5C7C">
        <w:rPr>
          <w:noProof/>
        </w:rPr>
        <w:t>5</w:t>
      </w:r>
      <w:r w:rsidR="005D5C7C">
        <w:t>.</w:t>
      </w:r>
      <w:r w:rsidR="005D5C7C">
        <w:rPr>
          <w:noProof/>
        </w:rPr>
        <w:t>2</w:t>
      </w:r>
      <w:r>
        <w:fldChar w:fldCharType="end"/>
      </w:r>
      <w:r>
        <w:t xml:space="preserve"> shows the aggregate hourly reference loads, observed loads, and estimated load impacts on the </w:t>
      </w:r>
      <w:r w:rsidR="00D100B0">
        <w:t>average weekday</w:t>
      </w:r>
      <w:r>
        <w:t xml:space="preserve"> event. </w:t>
      </w:r>
      <w:r>
        <w:fldChar w:fldCharType="begin"/>
      </w:r>
      <w:r>
        <w:instrText xml:space="preserve"> REF _Ref507431007 \h </w:instrText>
      </w:r>
      <w:r>
        <w:fldChar w:fldCharType="separate"/>
      </w:r>
      <w:r w:rsidR="005D5C7C">
        <w:t xml:space="preserve">Table </w:t>
      </w:r>
      <w:r w:rsidR="005D5C7C">
        <w:rPr>
          <w:noProof/>
        </w:rPr>
        <w:t>5</w:t>
      </w:r>
      <w:r w:rsidR="005D5C7C">
        <w:t>.</w:t>
      </w:r>
      <w:r w:rsidR="005D5C7C">
        <w:rPr>
          <w:noProof/>
        </w:rPr>
        <w:t>2</w:t>
      </w:r>
      <w:r>
        <w:fldChar w:fldCharType="end"/>
      </w:r>
      <w:r>
        <w:t xml:space="preserve"> contains the hourly </w:t>
      </w:r>
      <w:r w:rsidR="008D1F64">
        <w:t>average weekday</w:t>
      </w:r>
      <w:r>
        <w:t xml:space="preserve"> event results in the manner required by the Protocols, including hourly temperatures and uncertainty adjusted load impacts. The hourly load impact estimates do not show evidence of significant pre-cooling or post-event snapback, which would </w:t>
      </w:r>
      <w:r>
        <w:lastRenderedPageBreak/>
        <w:t>appear as load increases in the hours surrounding the event. Rather, there are smaller load impacts of approximated 8 MWh in the hours immediately preceding (10:00 to 11:00 a.m.) and following (6:00 to 7:00 p.m.)</w:t>
      </w:r>
      <w:r w:rsidR="002A72E7">
        <w:t xml:space="preserve"> the event</w:t>
      </w:r>
      <w:r>
        <w:t>. Overall, these results do not suggest that large customers are responding to events by shifting event-hour loads to hours outside the event window.</w:t>
      </w:r>
    </w:p>
    <w:p w14:paraId="5D0FC0EE" w14:textId="77777777" w:rsidR="00D3527F" w:rsidRDefault="00D3527F" w:rsidP="00D3527F">
      <w:pPr>
        <w:spacing w:after="120"/>
        <w:rPr>
          <w:szCs w:val="32"/>
        </w:rPr>
      </w:pPr>
    </w:p>
    <w:p w14:paraId="406961F9" w14:textId="0765938D" w:rsidR="00D3527F" w:rsidRPr="00F242C7" w:rsidRDefault="00D3527F" w:rsidP="00D3527F">
      <w:pPr>
        <w:pStyle w:val="FigureCaption"/>
        <w:rPr>
          <w:i/>
        </w:rPr>
      </w:pPr>
      <w:bookmarkStart w:id="437" w:name="_Ref507430853"/>
      <w:bookmarkStart w:id="438" w:name="_Toc509837507"/>
      <w:r>
        <w:t xml:space="preserve">Figure </w:t>
      </w:r>
      <w:fldSimple w:instr=" STYLEREF 1 \s ">
        <w:r w:rsidR="005D5C7C">
          <w:rPr>
            <w:noProof/>
          </w:rPr>
          <w:t>5</w:t>
        </w:r>
      </w:fldSimple>
      <w:r>
        <w:t>.</w:t>
      </w:r>
      <w:fldSimple w:instr=" SEQ Figure \* ARABIC \s 1 ">
        <w:r w:rsidR="005D5C7C">
          <w:rPr>
            <w:noProof/>
          </w:rPr>
          <w:t>2</w:t>
        </w:r>
      </w:fldSimple>
      <w:bookmarkEnd w:id="437"/>
      <w:r>
        <w:t xml:space="preserve">: </w:t>
      </w:r>
      <w:r w:rsidR="008D1F64">
        <w:t>Average Weekday</w:t>
      </w:r>
      <w:r>
        <w:t xml:space="preserve"> Event Reference Loads and Load Profile, </w:t>
      </w:r>
      <w:r>
        <w:rPr>
          <w:i/>
        </w:rPr>
        <w:t>SDG&amp;E Large</w:t>
      </w:r>
      <w:bookmarkEnd w:id="438"/>
    </w:p>
    <w:p w14:paraId="25E05C6F" w14:textId="77777777" w:rsidR="00D3527F" w:rsidRDefault="00D3527F" w:rsidP="00D3527F">
      <w:pPr>
        <w:spacing w:after="120"/>
        <w:jc w:val="center"/>
        <w:rPr>
          <w:szCs w:val="32"/>
        </w:rPr>
      </w:pPr>
      <w:r>
        <w:rPr>
          <w:noProof/>
          <w:szCs w:val="32"/>
        </w:rPr>
        <w:drawing>
          <wp:inline distT="0" distB="0" distL="0" distR="0" wp14:anchorId="212AFEDB" wp14:editId="097FDE12">
            <wp:extent cx="4572635" cy="27432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2B46D309" w14:textId="77777777" w:rsidR="00D3527F" w:rsidRDefault="00D3527F" w:rsidP="00D3527F">
      <w:pPr>
        <w:spacing w:after="120"/>
        <w:rPr>
          <w:szCs w:val="32"/>
        </w:rPr>
      </w:pPr>
    </w:p>
    <w:p w14:paraId="571AC966" w14:textId="24A06B3C" w:rsidR="00D3527F" w:rsidRPr="00590BDA" w:rsidRDefault="00D3527F" w:rsidP="00D3527F">
      <w:pPr>
        <w:pStyle w:val="TableCaption"/>
        <w:rPr>
          <w:i/>
        </w:rPr>
      </w:pPr>
      <w:bookmarkStart w:id="439" w:name="_Ref507431007"/>
      <w:bookmarkStart w:id="440" w:name="_Toc509837413"/>
      <w:r>
        <w:lastRenderedPageBreak/>
        <w:t xml:space="preserve">Table </w:t>
      </w:r>
      <w:fldSimple w:instr=" STYLEREF 1 \s ">
        <w:r w:rsidR="005D5C7C">
          <w:rPr>
            <w:noProof/>
          </w:rPr>
          <w:t>5</w:t>
        </w:r>
      </w:fldSimple>
      <w:r w:rsidR="0069714C">
        <w:t>.</w:t>
      </w:r>
      <w:fldSimple w:instr=" SEQ Table \* ARABIC \s 1 ">
        <w:r w:rsidR="005D5C7C">
          <w:rPr>
            <w:noProof/>
          </w:rPr>
          <w:t>2</w:t>
        </w:r>
      </w:fldSimple>
      <w:bookmarkEnd w:id="439"/>
      <w:r>
        <w:t xml:space="preserve">: </w:t>
      </w:r>
      <w:r w:rsidR="008D1F64">
        <w:t>Average Weekday</w:t>
      </w:r>
      <w:r w:rsidR="00515724">
        <w:t xml:space="preserve"> Event </w:t>
      </w:r>
      <w:r>
        <w:t xml:space="preserve">Load Impacts and Uncertainty Adjusted Estimates by hour, </w:t>
      </w:r>
      <w:r>
        <w:rPr>
          <w:i/>
        </w:rPr>
        <w:t>SDG&amp;E Large</w:t>
      </w:r>
      <w:bookmarkEnd w:id="440"/>
    </w:p>
    <w:p w14:paraId="39AD32AF" w14:textId="753B2BFC" w:rsidR="00D3527F" w:rsidRDefault="008D1F64" w:rsidP="00D3527F">
      <w:pPr>
        <w:spacing w:after="120"/>
        <w:rPr>
          <w:szCs w:val="32"/>
        </w:rPr>
      </w:pPr>
      <w:r w:rsidRPr="008D1F64">
        <w:rPr>
          <w:noProof/>
        </w:rPr>
        <w:drawing>
          <wp:inline distT="0" distB="0" distL="0" distR="0" wp14:anchorId="6373F0AB" wp14:editId="195EA3B6">
            <wp:extent cx="5486400" cy="4491548"/>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486400" cy="4491548"/>
                    </a:xfrm>
                    <a:prstGeom prst="rect">
                      <a:avLst/>
                    </a:prstGeom>
                    <a:noFill/>
                    <a:ln>
                      <a:noFill/>
                    </a:ln>
                  </pic:spPr>
                </pic:pic>
              </a:graphicData>
            </a:graphic>
          </wp:inline>
        </w:drawing>
      </w:r>
    </w:p>
    <w:p w14:paraId="447E3B3E" w14:textId="77777777" w:rsidR="00D3527F" w:rsidRDefault="00D3527F" w:rsidP="00D3527F">
      <w:pPr>
        <w:spacing w:after="120"/>
        <w:rPr>
          <w:szCs w:val="32"/>
        </w:rPr>
      </w:pPr>
    </w:p>
    <w:p w14:paraId="39B380EE" w14:textId="47B538A2" w:rsidR="00D3527F" w:rsidRDefault="00D3527F" w:rsidP="00D3527F">
      <w:pPr>
        <w:spacing w:after="120"/>
        <w:rPr>
          <w:szCs w:val="32"/>
        </w:rPr>
      </w:pPr>
      <w:r>
        <w:rPr>
          <w:szCs w:val="32"/>
        </w:rPr>
        <w:t xml:space="preserve">Next, we look at SDG&amp;E large customer estimates by industry group. </w:t>
      </w:r>
      <w:r>
        <w:rPr>
          <w:szCs w:val="32"/>
        </w:rPr>
        <w:fldChar w:fldCharType="begin"/>
      </w:r>
      <w:r>
        <w:rPr>
          <w:szCs w:val="32"/>
        </w:rPr>
        <w:instrText xml:space="preserve"> REF _Ref507431809 \h </w:instrText>
      </w:r>
      <w:r>
        <w:rPr>
          <w:szCs w:val="32"/>
        </w:rPr>
      </w:r>
      <w:r>
        <w:rPr>
          <w:szCs w:val="32"/>
        </w:rPr>
        <w:fldChar w:fldCharType="separate"/>
      </w:r>
      <w:r w:rsidR="005D5C7C">
        <w:t xml:space="preserve">Table </w:t>
      </w:r>
      <w:r w:rsidR="005D5C7C">
        <w:rPr>
          <w:noProof/>
        </w:rPr>
        <w:t>5</w:t>
      </w:r>
      <w:r w:rsidR="005D5C7C">
        <w:t>.</w:t>
      </w:r>
      <w:r w:rsidR="005D5C7C">
        <w:rPr>
          <w:noProof/>
        </w:rPr>
        <w:t>3</w:t>
      </w:r>
      <w:r>
        <w:rPr>
          <w:szCs w:val="32"/>
        </w:rPr>
        <w:fldChar w:fldCharType="end"/>
      </w:r>
      <w:r>
        <w:rPr>
          <w:szCs w:val="32"/>
        </w:rPr>
        <w:t xml:space="preserve"> summarizes aggregate event-hour results for the </w:t>
      </w:r>
      <w:r w:rsidR="008D1F64">
        <w:rPr>
          <w:szCs w:val="32"/>
        </w:rPr>
        <w:t>average weekday</w:t>
      </w:r>
      <w:r>
        <w:rPr>
          <w:szCs w:val="32"/>
        </w:rPr>
        <w:t xml:space="preserve"> event for eight industry groups, including the number of enrolled customers, the reference and observed loads, and the estimated load impacts (in MWh/hour and as a percentage of the reference load). Enrollments are concentrated in the Offices, Hotels, Health &amp; Services groups, which represents 37 percent of large customers. This groups also comprises 49% of the reference load with an estimated reference loads of 203 MWh/hour</w:t>
      </w:r>
      <w:r w:rsidRPr="003E01D7">
        <w:rPr>
          <w:rFonts w:asciiTheme="minorHAnsi" w:hAnsiTheme="minorHAnsi"/>
        </w:rPr>
        <w:t>.</w:t>
      </w:r>
      <w:r>
        <w:rPr>
          <w:rFonts w:asciiTheme="minorHAnsi" w:hAnsiTheme="minorHAnsi"/>
        </w:rPr>
        <w:t xml:space="preserve"> </w:t>
      </w:r>
      <w:r>
        <w:rPr>
          <w:szCs w:val="32"/>
        </w:rPr>
        <w:t xml:space="preserve">Offices, Hotels, Health &amp; Services groups provides the largest level load impact of 8.56 MWh/hour while the Institutional/Government </w:t>
      </w:r>
      <w:r w:rsidR="002A72E7">
        <w:rPr>
          <w:szCs w:val="32"/>
        </w:rPr>
        <w:t xml:space="preserve">group </w:t>
      </w:r>
      <w:r>
        <w:rPr>
          <w:szCs w:val="32"/>
        </w:rPr>
        <w:t xml:space="preserve">has the largest percentage load impact of 16.7%. </w:t>
      </w:r>
      <w:r w:rsidRPr="003E01D7">
        <w:rPr>
          <w:rFonts w:asciiTheme="minorHAnsi" w:hAnsiTheme="minorHAnsi"/>
        </w:rPr>
        <w:t xml:space="preserve">There are </w:t>
      </w:r>
      <w:r>
        <w:rPr>
          <w:rFonts w:asciiTheme="minorHAnsi" w:hAnsiTheme="minorHAnsi"/>
        </w:rPr>
        <w:t xml:space="preserve">three </w:t>
      </w:r>
      <w:r w:rsidRPr="003E01D7">
        <w:rPr>
          <w:rFonts w:asciiTheme="minorHAnsi" w:hAnsiTheme="minorHAnsi"/>
        </w:rPr>
        <w:t>industr</w:t>
      </w:r>
      <w:r>
        <w:rPr>
          <w:rFonts w:asciiTheme="minorHAnsi" w:hAnsiTheme="minorHAnsi"/>
        </w:rPr>
        <w:t>y group</w:t>
      </w:r>
      <w:r w:rsidRPr="003E01D7">
        <w:rPr>
          <w:rFonts w:asciiTheme="minorHAnsi" w:hAnsiTheme="minorHAnsi"/>
        </w:rPr>
        <w:t xml:space="preserve">s </w:t>
      </w:r>
      <w:r w:rsidR="002A72E7">
        <w:rPr>
          <w:rFonts w:asciiTheme="minorHAnsi" w:hAnsiTheme="minorHAnsi"/>
        </w:rPr>
        <w:t xml:space="preserve">for which we estimated </w:t>
      </w:r>
      <w:r>
        <w:rPr>
          <w:rFonts w:asciiTheme="minorHAnsi" w:hAnsiTheme="minorHAnsi"/>
        </w:rPr>
        <w:t xml:space="preserve">negative load impacts, thus indicating an </w:t>
      </w:r>
      <w:r w:rsidRPr="00E2196E">
        <w:rPr>
          <w:rFonts w:asciiTheme="minorHAnsi" w:hAnsiTheme="minorHAnsi"/>
          <w:i/>
        </w:rPr>
        <w:t>increase</w:t>
      </w:r>
      <w:r>
        <w:rPr>
          <w:rFonts w:asciiTheme="minorHAnsi" w:hAnsiTheme="minorHAnsi"/>
        </w:rPr>
        <w:t xml:space="preserve"> in load), </w:t>
      </w:r>
      <w:r w:rsidRPr="003E01D7">
        <w:rPr>
          <w:rFonts w:asciiTheme="minorHAnsi" w:hAnsiTheme="minorHAnsi"/>
        </w:rPr>
        <w:t>includ</w:t>
      </w:r>
      <w:r>
        <w:rPr>
          <w:rFonts w:asciiTheme="minorHAnsi" w:hAnsiTheme="minorHAnsi"/>
        </w:rPr>
        <w:t>ing Wholesale, Transportation, Utilities</w:t>
      </w:r>
      <w:r w:rsidRPr="003E01D7">
        <w:rPr>
          <w:rFonts w:asciiTheme="minorHAnsi" w:hAnsiTheme="minorHAnsi"/>
        </w:rPr>
        <w:t>; Retail Stores;</w:t>
      </w:r>
      <w:r>
        <w:rPr>
          <w:rFonts w:asciiTheme="minorHAnsi" w:hAnsiTheme="minorHAnsi"/>
        </w:rPr>
        <w:t xml:space="preserve"> and Other</w:t>
      </w:r>
      <w:r w:rsidR="00441449">
        <w:rPr>
          <w:rFonts w:asciiTheme="minorHAnsi" w:hAnsiTheme="minorHAnsi"/>
        </w:rPr>
        <w:t>.</w:t>
      </w:r>
    </w:p>
    <w:p w14:paraId="36660846" w14:textId="7192AC21" w:rsidR="00D3527F" w:rsidRPr="00667CA0" w:rsidRDefault="00D3527F" w:rsidP="00D3527F">
      <w:pPr>
        <w:pStyle w:val="TableCaption"/>
      </w:pPr>
      <w:bookmarkStart w:id="441" w:name="_Ref507431809"/>
      <w:bookmarkStart w:id="442" w:name="_Toc509837414"/>
      <w:r>
        <w:lastRenderedPageBreak/>
        <w:t xml:space="preserve">Table </w:t>
      </w:r>
      <w:fldSimple w:instr=" STYLEREF 1 \s ">
        <w:r w:rsidR="005D5C7C">
          <w:rPr>
            <w:noProof/>
          </w:rPr>
          <w:t>5</w:t>
        </w:r>
      </w:fldSimple>
      <w:r w:rsidR="0069714C">
        <w:t>.</w:t>
      </w:r>
      <w:fldSimple w:instr=" SEQ Table \* ARABIC \s 1 ">
        <w:r w:rsidR="005D5C7C">
          <w:rPr>
            <w:noProof/>
          </w:rPr>
          <w:t>3</w:t>
        </w:r>
      </w:fldSimple>
      <w:bookmarkEnd w:id="441"/>
      <w:r>
        <w:t xml:space="preserve">: </w:t>
      </w:r>
      <w:r w:rsidR="008D1F64">
        <w:t xml:space="preserve">Average Weekday </w:t>
      </w:r>
      <w:r>
        <w:t xml:space="preserve">Event Load Impacts by Industry Group, </w:t>
      </w:r>
      <w:r>
        <w:rPr>
          <w:i/>
        </w:rPr>
        <w:t>SDG&amp;E Large</w:t>
      </w:r>
      <w:bookmarkEnd w:id="442"/>
    </w:p>
    <w:tbl>
      <w:tblPr>
        <w:tblW w:w="8995" w:type="dxa"/>
        <w:jc w:val="center"/>
        <w:tblLayout w:type="fixed"/>
        <w:tblLook w:val="04A0" w:firstRow="1" w:lastRow="0" w:firstColumn="1" w:lastColumn="0" w:noHBand="0" w:noVBand="1"/>
      </w:tblPr>
      <w:tblGrid>
        <w:gridCol w:w="2695"/>
        <w:gridCol w:w="1080"/>
        <w:gridCol w:w="1440"/>
        <w:gridCol w:w="1440"/>
        <w:gridCol w:w="1440"/>
        <w:gridCol w:w="900"/>
      </w:tblGrid>
      <w:tr w:rsidR="00D3527F" w:rsidRPr="00CB5D81" w14:paraId="516117A5" w14:textId="77777777" w:rsidTr="00B2641D">
        <w:trPr>
          <w:trHeight w:val="300"/>
          <w:jc w:val="center"/>
        </w:trPr>
        <w:tc>
          <w:tcPr>
            <w:tcW w:w="2695" w:type="dxa"/>
            <w:vMerge w:val="restart"/>
            <w:tcBorders>
              <w:top w:val="single" w:sz="4" w:space="0" w:color="000000"/>
              <w:left w:val="single" w:sz="4" w:space="0" w:color="000000" w:themeColor="text1"/>
              <w:bottom w:val="single" w:sz="4" w:space="0" w:color="000000"/>
              <w:right w:val="nil"/>
            </w:tcBorders>
            <w:shd w:val="clear" w:color="000000" w:fill="0C2577"/>
            <w:noWrap/>
            <w:vAlign w:val="center"/>
            <w:hideMark/>
          </w:tcPr>
          <w:p w14:paraId="035828CB"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Industry Type</w:t>
            </w:r>
          </w:p>
        </w:tc>
        <w:tc>
          <w:tcPr>
            <w:tcW w:w="1080" w:type="dxa"/>
            <w:vMerge w:val="restart"/>
            <w:tcBorders>
              <w:top w:val="single" w:sz="4" w:space="0" w:color="000000"/>
              <w:left w:val="single" w:sz="4" w:space="0" w:color="FFFFFF"/>
              <w:bottom w:val="single" w:sz="4" w:space="0" w:color="000000"/>
              <w:right w:val="nil"/>
            </w:tcBorders>
            <w:shd w:val="clear" w:color="000000" w:fill="0C2577"/>
            <w:vAlign w:val="center"/>
            <w:hideMark/>
          </w:tcPr>
          <w:p w14:paraId="6821B289"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 of Service Accounts</w:t>
            </w:r>
          </w:p>
        </w:tc>
        <w:tc>
          <w:tcPr>
            <w:tcW w:w="1440" w:type="dxa"/>
            <w:vMerge w:val="restart"/>
            <w:tcBorders>
              <w:top w:val="single" w:sz="4" w:space="0" w:color="000000"/>
              <w:left w:val="single" w:sz="4" w:space="0" w:color="FFFFFF"/>
              <w:bottom w:val="single" w:sz="4" w:space="0" w:color="000000"/>
              <w:right w:val="nil"/>
            </w:tcBorders>
            <w:shd w:val="clear" w:color="000000" w:fill="0C2577"/>
            <w:vAlign w:val="center"/>
            <w:hideMark/>
          </w:tcPr>
          <w:p w14:paraId="6FCB13D9"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Estimated Reference Load (MW</w:t>
            </w:r>
            <w:r>
              <w:rPr>
                <w:rFonts w:cs="Calibri"/>
                <w:b/>
                <w:bCs/>
                <w:color w:val="FFFFFF"/>
                <w:sz w:val="22"/>
                <w:szCs w:val="22"/>
              </w:rPr>
              <w:t>h/hour</w:t>
            </w:r>
            <w:r w:rsidRPr="00CB5D81">
              <w:rPr>
                <w:rFonts w:cs="Calibri"/>
                <w:b/>
                <w:bCs/>
                <w:color w:val="FFFFFF"/>
                <w:sz w:val="22"/>
                <w:szCs w:val="22"/>
              </w:rPr>
              <w:t>)</w:t>
            </w:r>
          </w:p>
        </w:tc>
        <w:tc>
          <w:tcPr>
            <w:tcW w:w="1440" w:type="dxa"/>
            <w:vMerge w:val="restart"/>
            <w:tcBorders>
              <w:top w:val="single" w:sz="4" w:space="0" w:color="000000"/>
              <w:left w:val="single" w:sz="4" w:space="0" w:color="FFFFFF"/>
              <w:bottom w:val="single" w:sz="4" w:space="0" w:color="000000"/>
              <w:right w:val="single" w:sz="4" w:space="0" w:color="FFFFFF"/>
            </w:tcBorders>
            <w:shd w:val="clear" w:color="000000" w:fill="0C2577"/>
            <w:vAlign w:val="center"/>
            <w:hideMark/>
          </w:tcPr>
          <w:p w14:paraId="5CC5631E"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Observed Load (MW</w:t>
            </w:r>
            <w:r>
              <w:rPr>
                <w:rFonts w:cs="Calibri"/>
                <w:b/>
                <w:bCs/>
                <w:color w:val="FFFFFF"/>
                <w:sz w:val="22"/>
                <w:szCs w:val="22"/>
              </w:rPr>
              <w:t>h/hour</w:t>
            </w:r>
            <w:r w:rsidRPr="00CB5D81">
              <w:rPr>
                <w:rFonts w:cs="Calibri"/>
                <w:b/>
                <w:bCs/>
                <w:color w:val="FFFFFF"/>
                <w:sz w:val="22"/>
                <w:szCs w:val="22"/>
              </w:rPr>
              <w:t>)</w:t>
            </w:r>
          </w:p>
        </w:tc>
        <w:tc>
          <w:tcPr>
            <w:tcW w:w="1440" w:type="dxa"/>
            <w:vMerge w:val="restart"/>
            <w:tcBorders>
              <w:top w:val="single" w:sz="4" w:space="0" w:color="000000"/>
              <w:left w:val="nil"/>
              <w:bottom w:val="single" w:sz="4" w:space="0" w:color="000000"/>
              <w:right w:val="nil"/>
            </w:tcBorders>
            <w:shd w:val="clear" w:color="000000" w:fill="0C2577"/>
            <w:vAlign w:val="center"/>
            <w:hideMark/>
          </w:tcPr>
          <w:p w14:paraId="1B785655"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Estimated Load Impact (MW</w:t>
            </w:r>
            <w:r>
              <w:rPr>
                <w:rFonts w:cs="Calibri"/>
                <w:b/>
                <w:bCs/>
                <w:color w:val="FFFFFF"/>
                <w:sz w:val="22"/>
                <w:szCs w:val="22"/>
              </w:rPr>
              <w:t>h/hour</w:t>
            </w:r>
            <w:r w:rsidRPr="00CB5D81">
              <w:rPr>
                <w:rFonts w:cs="Calibri"/>
                <w:b/>
                <w:bCs/>
                <w:color w:val="FFFFFF"/>
                <w:sz w:val="22"/>
                <w:szCs w:val="22"/>
              </w:rPr>
              <w:t>)</w:t>
            </w:r>
          </w:p>
        </w:tc>
        <w:tc>
          <w:tcPr>
            <w:tcW w:w="900" w:type="dxa"/>
            <w:vMerge w:val="restart"/>
            <w:tcBorders>
              <w:top w:val="single" w:sz="4" w:space="0" w:color="000000"/>
              <w:left w:val="single" w:sz="4" w:space="0" w:color="FFFFFF"/>
              <w:bottom w:val="single" w:sz="4" w:space="0" w:color="000000"/>
              <w:right w:val="single" w:sz="4" w:space="0" w:color="000000"/>
            </w:tcBorders>
            <w:shd w:val="clear" w:color="000000" w:fill="0C2577"/>
            <w:vAlign w:val="center"/>
            <w:hideMark/>
          </w:tcPr>
          <w:p w14:paraId="7294CBF3"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 LI</w:t>
            </w:r>
          </w:p>
        </w:tc>
      </w:tr>
      <w:tr w:rsidR="00D3527F" w:rsidRPr="00CB5D81" w14:paraId="25BA65D3" w14:textId="77777777" w:rsidTr="00B2641D">
        <w:trPr>
          <w:trHeight w:val="300"/>
          <w:jc w:val="center"/>
        </w:trPr>
        <w:tc>
          <w:tcPr>
            <w:tcW w:w="2695" w:type="dxa"/>
            <w:vMerge/>
            <w:tcBorders>
              <w:top w:val="single" w:sz="4" w:space="0" w:color="000000"/>
              <w:left w:val="single" w:sz="4" w:space="0" w:color="000000" w:themeColor="text1"/>
              <w:bottom w:val="single" w:sz="4" w:space="0" w:color="000000"/>
              <w:right w:val="nil"/>
            </w:tcBorders>
            <w:vAlign w:val="center"/>
            <w:hideMark/>
          </w:tcPr>
          <w:p w14:paraId="14D50436" w14:textId="77777777" w:rsidR="00D3527F" w:rsidRPr="00CB5D81" w:rsidRDefault="00D3527F" w:rsidP="00D3527F">
            <w:pPr>
              <w:keepNext/>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nil"/>
            </w:tcBorders>
            <w:vAlign w:val="center"/>
            <w:hideMark/>
          </w:tcPr>
          <w:p w14:paraId="4B0F5B57" w14:textId="77777777" w:rsidR="00D3527F" w:rsidRPr="00CB5D81" w:rsidRDefault="00D3527F" w:rsidP="00D3527F">
            <w:pPr>
              <w:keepNext/>
              <w:rPr>
                <w:rFonts w:cs="Calibri"/>
                <w:b/>
                <w:bCs/>
                <w:color w:val="FFFFFF"/>
                <w:sz w:val="22"/>
                <w:szCs w:val="22"/>
              </w:rPr>
            </w:pPr>
          </w:p>
        </w:tc>
        <w:tc>
          <w:tcPr>
            <w:tcW w:w="1440" w:type="dxa"/>
            <w:vMerge/>
            <w:tcBorders>
              <w:top w:val="single" w:sz="4" w:space="0" w:color="000000"/>
              <w:left w:val="single" w:sz="4" w:space="0" w:color="FFFFFF"/>
              <w:bottom w:val="single" w:sz="4" w:space="0" w:color="000000"/>
              <w:right w:val="nil"/>
            </w:tcBorders>
            <w:vAlign w:val="center"/>
            <w:hideMark/>
          </w:tcPr>
          <w:p w14:paraId="272FFCA3" w14:textId="77777777" w:rsidR="00D3527F" w:rsidRPr="00CB5D81" w:rsidRDefault="00D3527F" w:rsidP="00D3527F">
            <w:pPr>
              <w:keepNext/>
              <w:rPr>
                <w:rFonts w:cs="Calibri"/>
                <w:b/>
                <w:bCs/>
                <w:color w:val="FFFFFF"/>
                <w:sz w:val="22"/>
                <w:szCs w:val="22"/>
              </w:rPr>
            </w:pPr>
          </w:p>
        </w:tc>
        <w:tc>
          <w:tcPr>
            <w:tcW w:w="1440" w:type="dxa"/>
            <w:vMerge/>
            <w:tcBorders>
              <w:top w:val="single" w:sz="4" w:space="0" w:color="000000"/>
              <w:left w:val="single" w:sz="4" w:space="0" w:color="FFFFFF"/>
              <w:bottom w:val="single" w:sz="4" w:space="0" w:color="000000"/>
              <w:right w:val="single" w:sz="4" w:space="0" w:color="FFFFFF"/>
            </w:tcBorders>
            <w:vAlign w:val="center"/>
            <w:hideMark/>
          </w:tcPr>
          <w:p w14:paraId="76FBBF7F" w14:textId="77777777" w:rsidR="00D3527F" w:rsidRPr="00CB5D81" w:rsidRDefault="00D3527F" w:rsidP="00D3527F">
            <w:pPr>
              <w:keepNext/>
              <w:rPr>
                <w:rFonts w:cs="Calibri"/>
                <w:b/>
                <w:bCs/>
                <w:color w:val="FFFFFF"/>
                <w:sz w:val="22"/>
                <w:szCs w:val="22"/>
              </w:rPr>
            </w:pPr>
          </w:p>
        </w:tc>
        <w:tc>
          <w:tcPr>
            <w:tcW w:w="1440" w:type="dxa"/>
            <w:vMerge/>
            <w:tcBorders>
              <w:top w:val="single" w:sz="4" w:space="0" w:color="000000"/>
              <w:left w:val="nil"/>
              <w:bottom w:val="single" w:sz="4" w:space="0" w:color="000000"/>
              <w:right w:val="nil"/>
            </w:tcBorders>
            <w:vAlign w:val="center"/>
            <w:hideMark/>
          </w:tcPr>
          <w:p w14:paraId="32EE5383" w14:textId="77777777" w:rsidR="00D3527F" w:rsidRPr="00CB5D81" w:rsidRDefault="00D3527F" w:rsidP="00D3527F">
            <w:pPr>
              <w:keepNext/>
              <w:rPr>
                <w:rFonts w:cs="Calibri"/>
                <w:b/>
                <w:bCs/>
                <w:color w:val="FFFFFF"/>
                <w:sz w:val="22"/>
                <w:szCs w:val="22"/>
              </w:rPr>
            </w:pPr>
          </w:p>
        </w:tc>
        <w:tc>
          <w:tcPr>
            <w:tcW w:w="900" w:type="dxa"/>
            <w:vMerge/>
            <w:tcBorders>
              <w:top w:val="single" w:sz="4" w:space="0" w:color="000000"/>
              <w:left w:val="single" w:sz="4" w:space="0" w:color="FFFFFF"/>
              <w:bottom w:val="single" w:sz="4" w:space="0" w:color="000000"/>
              <w:right w:val="single" w:sz="4" w:space="0" w:color="000000"/>
            </w:tcBorders>
            <w:vAlign w:val="center"/>
            <w:hideMark/>
          </w:tcPr>
          <w:p w14:paraId="7C06A379" w14:textId="77777777" w:rsidR="00D3527F" w:rsidRPr="00CB5D81" w:rsidRDefault="00D3527F" w:rsidP="00D3527F">
            <w:pPr>
              <w:keepNext/>
              <w:rPr>
                <w:rFonts w:cs="Calibri"/>
                <w:b/>
                <w:bCs/>
                <w:color w:val="FFFFFF"/>
                <w:sz w:val="22"/>
                <w:szCs w:val="22"/>
              </w:rPr>
            </w:pPr>
          </w:p>
        </w:tc>
      </w:tr>
      <w:tr w:rsidR="00D3527F" w:rsidRPr="00CB5D81" w14:paraId="33D7FB83" w14:textId="77777777" w:rsidTr="009E57B4">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7AE115B5" w14:textId="3AA31F05"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1.</w:t>
            </w:r>
            <w:r w:rsidR="0052185A">
              <w:rPr>
                <w:rFonts w:ascii="Arial" w:hAnsi="Arial" w:cs="Arial"/>
                <w:color w:val="000000"/>
                <w:sz w:val="20"/>
                <w:szCs w:val="20"/>
              </w:rPr>
              <w:t xml:space="preserve"> </w:t>
            </w:r>
            <w:r w:rsidRPr="00CB5D81">
              <w:rPr>
                <w:rFonts w:ascii="Arial" w:hAnsi="Arial" w:cs="Arial"/>
                <w:color w:val="000000"/>
                <w:sz w:val="20"/>
                <w:szCs w:val="20"/>
              </w:rPr>
              <w:t>Agriculture, Mining, Construction</w:t>
            </w:r>
          </w:p>
        </w:tc>
        <w:tc>
          <w:tcPr>
            <w:tcW w:w="1080" w:type="dxa"/>
            <w:tcBorders>
              <w:top w:val="nil"/>
              <w:left w:val="nil"/>
              <w:bottom w:val="single" w:sz="4" w:space="0" w:color="000000"/>
              <w:right w:val="single" w:sz="4" w:space="0" w:color="000000"/>
            </w:tcBorders>
            <w:shd w:val="clear" w:color="auto" w:fill="000000" w:themeFill="text1"/>
            <w:noWrap/>
            <w:vAlign w:val="center"/>
          </w:tcPr>
          <w:p w14:paraId="280ABA97" w14:textId="7052BC8C" w:rsidR="00D3527F" w:rsidRPr="00CB5D81" w:rsidRDefault="00D3527F" w:rsidP="00D3527F">
            <w:pPr>
              <w:keepNext/>
              <w:jc w:val="center"/>
              <w:rPr>
                <w:rFonts w:cs="Calibri"/>
                <w:color w:val="000000"/>
                <w:sz w:val="22"/>
                <w:szCs w:val="22"/>
              </w:rPr>
            </w:pPr>
          </w:p>
        </w:tc>
        <w:tc>
          <w:tcPr>
            <w:tcW w:w="1440" w:type="dxa"/>
            <w:tcBorders>
              <w:top w:val="nil"/>
              <w:left w:val="nil"/>
              <w:bottom w:val="single" w:sz="4" w:space="0" w:color="000000"/>
              <w:right w:val="single" w:sz="4" w:space="0" w:color="000000"/>
            </w:tcBorders>
            <w:shd w:val="clear" w:color="auto" w:fill="000000" w:themeFill="text1"/>
            <w:noWrap/>
            <w:vAlign w:val="center"/>
          </w:tcPr>
          <w:p w14:paraId="3EA4F3D2" w14:textId="29710828" w:rsidR="00D3527F" w:rsidRPr="00CB5D81" w:rsidRDefault="00D3527F" w:rsidP="00D3527F">
            <w:pPr>
              <w:keepNext/>
              <w:jc w:val="center"/>
              <w:rPr>
                <w:rFonts w:cs="Calibri"/>
                <w:color w:val="000000"/>
                <w:sz w:val="22"/>
                <w:szCs w:val="22"/>
              </w:rPr>
            </w:pPr>
          </w:p>
        </w:tc>
        <w:tc>
          <w:tcPr>
            <w:tcW w:w="1440" w:type="dxa"/>
            <w:tcBorders>
              <w:top w:val="nil"/>
              <w:left w:val="nil"/>
              <w:bottom w:val="single" w:sz="4" w:space="0" w:color="000000"/>
              <w:right w:val="single" w:sz="4" w:space="0" w:color="000000"/>
            </w:tcBorders>
            <w:shd w:val="clear" w:color="auto" w:fill="000000" w:themeFill="text1"/>
            <w:noWrap/>
            <w:vAlign w:val="center"/>
          </w:tcPr>
          <w:p w14:paraId="592A8545" w14:textId="318DD6AA" w:rsidR="00D3527F" w:rsidRPr="00CB5D81" w:rsidRDefault="00D3527F" w:rsidP="00D3527F">
            <w:pPr>
              <w:keepNext/>
              <w:jc w:val="center"/>
              <w:rPr>
                <w:rFonts w:cs="Calibri"/>
                <w:color w:val="000000"/>
                <w:sz w:val="22"/>
                <w:szCs w:val="22"/>
              </w:rPr>
            </w:pPr>
          </w:p>
        </w:tc>
        <w:tc>
          <w:tcPr>
            <w:tcW w:w="1440" w:type="dxa"/>
            <w:tcBorders>
              <w:top w:val="nil"/>
              <w:left w:val="nil"/>
              <w:bottom w:val="single" w:sz="4" w:space="0" w:color="000000"/>
              <w:right w:val="single" w:sz="4" w:space="0" w:color="000000"/>
            </w:tcBorders>
            <w:shd w:val="clear" w:color="auto" w:fill="000000" w:themeFill="text1"/>
            <w:noWrap/>
            <w:vAlign w:val="center"/>
          </w:tcPr>
          <w:p w14:paraId="4F479AEE" w14:textId="2C5E1D11" w:rsidR="00D3527F" w:rsidRPr="00CB5D81" w:rsidRDefault="00D3527F" w:rsidP="00D3527F">
            <w:pPr>
              <w:keepNext/>
              <w:jc w:val="center"/>
              <w:rPr>
                <w:rFonts w:cs="Calibri"/>
                <w:color w:val="000000"/>
                <w:sz w:val="22"/>
                <w:szCs w:val="22"/>
              </w:rPr>
            </w:pPr>
          </w:p>
        </w:tc>
        <w:tc>
          <w:tcPr>
            <w:tcW w:w="900" w:type="dxa"/>
            <w:tcBorders>
              <w:top w:val="nil"/>
              <w:left w:val="nil"/>
              <w:bottom w:val="single" w:sz="4" w:space="0" w:color="000000"/>
              <w:right w:val="single" w:sz="4" w:space="0" w:color="000000"/>
            </w:tcBorders>
            <w:shd w:val="clear" w:color="auto" w:fill="000000" w:themeFill="text1"/>
            <w:noWrap/>
            <w:vAlign w:val="center"/>
          </w:tcPr>
          <w:p w14:paraId="090F87C3" w14:textId="47193048" w:rsidR="00D3527F" w:rsidRPr="00CB5D81" w:rsidRDefault="00D3527F" w:rsidP="00D3527F">
            <w:pPr>
              <w:keepNext/>
              <w:jc w:val="center"/>
              <w:rPr>
                <w:rFonts w:cs="Calibri"/>
                <w:color w:val="000000"/>
                <w:sz w:val="22"/>
                <w:szCs w:val="22"/>
              </w:rPr>
            </w:pPr>
          </w:p>
        </w:tc>
      </w:tr>
      <w:tr w:rsidR="00D3527F" w:rsidRPr="00CB5D81" w14:paraId="538B00FC" w14:textId="77777777" w:rsidTr="00B2641D">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7FD8A8DA" w14:textId="63D25191"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2.</w:t>
            </w:r>
            <w:r w:rsidR="0052185A">
              <w:rPr>
                <w:rFonts w:ascii="Arial" w:hAnsi="Arial" w:cs="Arial"/>
                <w:color w:val="000000"/>
                <w:sz w:val="20"/>
                <w:szCs w:val="20"/>
              </w:rPr>
              <w:t xml:space="preserve"> </w:t>
            </w:r>
            <w:r w:rsidRPr="00CB5D81">
              <w:rPr>
                <w:rFonts w:ascii="Arial" w:hAnsi="Arial" w:cs="Arial"/>
                <w:color w:val="000000"/>
                <w:sz w:val="20"/>
                <w:szCs w:val="20"/>
              </w:rPr>
              <w:t>Manufacturing</w:t>
            </w:r>
          </w:p>
        </w:tc>
        <w:tc>
          <w:tcPr>
            <w:tcW w:w="1080" w:type="dxa"/>
            <w:tcBorders>
              <w:top w:val="nil"/>
              <w:left w:val="nil"/>
              <w:bottom w:val="single" w:sz="4" w:space="0" w:color="000000"/>
              <w:right w:val="single" w:sz="4" w:space="0" w:color="000000"/>
            </w:tcBorders>
            <w:shd w:val="clear" w:color="auto" w:fill="auto"/>
            <w:noWrap/>
            <w:vAlign w:val="center"/>
            <w:hideMark/>
          </w:tcPr>
          <w:p w14:paraId="35D2B259"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162</w:t>
            </w:r>
          </w:p>
        </w:tc>
        <w:tc>
          <w:tcPr>
            <w:tcW w:w="1440" w:type="dxa"/>
            <w:tcBorders>
              <w:top w:val="nil"/>
              <w:left w:val="nil"/>
              <w:bottom w:val="single" w:sz="4" w:space="0" w:color="000000"/>
              <w:right w:val="single" w:sz="4" w:space="0" w:color="000000"/>
            </w:tcBorders>
            <w:shd w:val="clear" w:color="auto" w:fill="auto"/>
            <w:noWrap/>
            <w:vAlign w:val="center"/>
            <w:hideMark/>
          </w:tcPr>
          <w:p w14:paraId="6F10E39C"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43.6</w:t>
            </w:r>
          </w:p>
        </w:tc>
        <w:tc>
          <w:tcPr>
            <w:tcW w:w="1440" w:type="dxa"/>
            <w:tcBorders>
              <w:top w:val="nil"/>
              <w:left w:val="nil"/>
              <w:bottom w:val="single" w:sz="4" w:space="0" w:color="000000"/>
              <w:right w:val="single" w:sz="4" w:space="0" w:color="000000"/>
            </w:tcBorders>
            <w:shd w:val="clear" w:color="auto" w:fill="auto"/>
            <w:noWrap/>
            <w:vAlign w:val="center"/>
            <w:hideMark/>
          </w:tcPr>
          <w:p w14:paraId="75F8CB5C"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41.1</w:t>
            </w:r>
          </w:p>
        </w:tc>
        <w:tc>
          <w:tcPr>
            <w:tcW w:w="1440" w:type="dxa"/>
            <w:tcBorders>
              <w:top w:val="nil"/>
              <w:left w:val="nil"/>
              <w:bottom w:val="single" w:sz="4" w:space="0" w:color="000000"/>
              <w:right w:val="single" w:sz="4" w:space="0" w:color="000000"/>
            </w:tcBorders>
            <w:shd w:val="clear" w:color="auto" w:fill="auto"/>
            <w:noWrap/>
            <w:vAlign w:val="center"/>
            <w:hideMark/>
          </w:tcPr>
          <w:p w14:paraId="649E73A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2.44</w:t>
            </w:r>
          </w:p>
        </w:tc>
        <w:tc>
          <w:tcPr>
            <w:tcW w:w="900" w:type="dxa"/>
            <w:tcBorders>
              <w:top w:val="nil"/>
              <w:left w:val="nil"/>
              <w:bottom w:val="single" w:sz="4" w:space="0" w:color="000000"/>
              <w:right w:val="single" w:sz="4" w:space="0" w:color="000000"/>
            </w:tcBorders>
            <w:shd w:val="clear" w:color="auto" w:fill="auto"/>
            <w:noWrap/>
            <w:vAlign w:val="center"/>
            <w:hideMark/>
          </w:tcPr>
          <w:p w14:paraId="2DC7581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5.6%</w:t>
            </w:r>
          </w:p>
        </w:tc>
      </w:tr>
      <w:tr w:rsidR="00D3527F" w:rsidRPr="00CB5D81" w14:paraId="477E2B5B" w14:textId="77777777" w:rsidTr="00B2641D">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16B197D8" w14:textId="339FFE50"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3.</w:t>
            </w:r>
            <w:r w:rsidR="0052185A">
              <w:rPr>
                <w:rFonts w:ascii="Arial" w:hAnsi="Arial" w:cs="Arial"/>
                <w:color w:val="000000"/>
                <w:sz w:val="20"/>
                <w:szCs w:val="20"/>
              </w:rPr>
              <w:t xml:space="preserve"> </w:t>
            </w:r>
            <w:r w:rsidRPr="00CB5D81">
              <w:rPr>
                <w:rFonts w:ascii="Arial" w:hAnsi="Arial" w:cs="Arial"/>
                <w:color w:val="000000"/>
                <w:sz w:val="20"/>
                <w:szCs w:val="20"/>
              </w:rPr>
              <w:t>Wholesale, Transportation, Utilities</w:t>
            </w:r>
          </w:p>
        </w:tc>
        <w:tc>
          <w:tcPr>
            <w:tcW w:w="1080" w:type="dxa"/>
            <w:tcBorders>
              <w:top w:val="nil"/>
              <w:left w:val="nil"/>
              <w:bottom w:val="single" w:sz="4" w:space="0" w:color="000000"/>
              <w:right w:val="single" w:sz="4" w:space="0" w:color="000000"/>
            </w:tcBorders>
            <w:shd w:val="clear" w:color="auto" w:fill="auto"/>
            <w:noWrap/>
            <w:vAlign w:val="center"/>
            <w:hideMark/>
          </w:tcPr>
          <w:p w14:paraId="361AFA3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152</w:t>
            </w:r>
          </w:p>
        </w:tc>
        <w:tc>
          <w:tcPr>
            <w:tcW w:w="1440" w:type="dxa"/>
            <w:tcBorders>
              <w:top w:val="nil"/>
              <w:left w:val="nil"/>
              <w:bottom w:val="single" w:sz="4" w:space="0" w:color="000000"/>
              <w:right w:val="single" w:sz="4" w:space="0" w:color="000000"/>
            </w:tcBorders>
            <w:shd w:val="clear" w:color="auto" w:fill="auto"/>
            <w:noWrap/>
            <w:vAlign w:val="center"/>
            <w:hideMark/>
          </w:tcPr>
          <w:p w14:paraId="43FD9AB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31.7</w:t>
            </w:r>
          </w:p>
        </w:tc>
        <w:tc>
          <w:tcPr>
            <w:tcW w:w="1440" w:type="dxa"/>
            <w:tcBorders>
              <w:top w:val="nil"/>
              <w:left w:val="nil"/>
              <w:bottom w:val="single" w:sz="4" w:space="0" w:color="000000"/>
              <w:right w:val="single" w:sz="4" w:space="0" w:color="000000"/>
            </w:tcBorders>
            <w:shd w:val="clear" w:color="auto" w:fill="auto"/>
            <w:noWrap/>
            <w:vAlign w:val="center"/>
            <w:hideMark/>
          </w:tcPr>
          <w:p w14:paraId="7324778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32.0</w:t>
            </w:r>
          </w:p>
        </w:tc>
        <w:tc>
          <w:tcPr>
            <w:tcW w:w="1440" w:type="dxa"/>
            <w:tcBorders>
              <w:top w:val="nil"/>
              <w:left w:val="nil"/>
              <w:bottom w:val="single" w:sz="4" w:space="0" w:color="000000"/>
              <w:right w:val="single" w:sz="4" w:space="0" w:color="000000"/>
            </w:tcBorders>
            <w:shd w:val="clear" w:color="auto" w:fill="auto"/>
            <w:noWrap/>
            <w:vAlign w:val="center"/>
            <w:hideMark/>
          </w:tcPr>
          <w:p w14:paraId="590A603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-0.27</w:t>
            </w:r>
          </w:p>
        </w:tc>
        <w:tc>
          <w:tcPr>
            <w:tcW w:w="900" w:type="dxa"/>
            <w:tcBorders>
              <w:top w:val="nil"/>
              <w:left w:val="nil"/>
              <w:bottom w:val="single" w:sz="4" w:space="0" w:color="000000"/>
              <w:right w:val="single" w:sz="4" w:space="0" w:color="000000"/>
            </w:tcBorders>
            <w:shd w:val="clear" w:color="auto" w:fill="auto"/>
            <w:noWrap/>
            <w:vAlign w:val="center"/>
            <w:hideMark/>
          </w:tcPr>
          <w:p w14:paraId="7E1A06A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-0.9%</w:t>
            </w:r>
          </w:p>
        </w:tc>
      </w:tr>
      <w:tr w:rsidR="00D3527F" w:rsidRPr="00CB5D81" w14:paraId="13576B57" w14:textId="77777777" w:rsidTr="00B2641D">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4E52111B" w14:textId="5CE691BA"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4.</w:t>
            </w:r>
            <w:r w:rsidR="0052185A">
              <w:rPr>
                <w:rFonts w:ascii="Arial" w:hAnsi="Arial" w:cs="Arial"/>
                <w:color w:val="000000"/>
                <w:sz w:val="20"/>
                <w:szCs w:val="20"/>
              </w:rPr>
              <w:t xml:space="preserve"> </w:t>
            </w:r>
            <w:r w:rsidRPr="00CB5D81">
              <w:rPr>
                <w:rFonts w:ascii="Arial" w:hAnsi="Arial" w:cs="Arial"/>
                <w:color w:val="000000"/>
                <w:sz w:val="20"/>
                <w:szCs w:val="20"/>
              </w:rPr>
              <w:t>Retail Stores</w:t>
            </w:r>
          </w:p>
        </w:tc>
        <w:tc>
          <w:tcPr>
            <w:tcW w:w="1080" w:type="dxa"/>
            <w:tcBorders>
              <w:top w:val="nil"/>
              <w:left w:val="nil"/>
              <w:bottom w:val="single" w:sz="4" w:space="0" w:color="000000"/>
              <w:right w:val="single" w:sz="4" w:space="0" w:color="000000"/>
            </w:tcBorders>
            <w:shd w:val="clear" w:color="auto" w:fill="auto"/>
            <w:noWrap/>
            <w:vAlign w:val="center"/>
            <w:hideMark/>
          </w:tcPr>
          <w:p w14:paraId="3D672ADA"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119</w:t>
            </w:r>
          </w:p>
        </w:tc>
        <w:tc>
          <w:tcPr>
            <w:tcW w:w="1440" w:type="dxa"/>
            <w:tcBorders>
              <w:top w:val="nil"/>
              <w:left w:val="nil"/>
              <w:bottom w:val="single" w:sz="4" w:space="0" w:color="000000"/>
              <w:right w:val="single" w:sz="4" w:space="0" w:color="000000"/>
            </w:tcBorders>
            <w:shd w:val="clear" w:color="auto" w:fill="auto"/>
            <w:noWrap/>
            <w:vAlign w:val="center"/>
            <w:hideMark/>
          </w:tcPr>
          <w:p w14:paraId="39E3B23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35.2</w:t>
            </w:r>
          </w:p>
        </w:tc>
        <w:tc>
          <w:tcPr>
            <w:tcW w:w="1440" w:type="dxa"/>
            <w:tcBorders>
              <w:top w:val="nil"/>
              <w:left w:val="nil"/>
              <w:bottom w:val="single" w:sz="4" w:space="0" w:color="000000"/>
              <w:right w:val="single" w:sz="4" w:space="0" w:color="000000"/>
            </w:tcBorders>
            <w:shd w:val="clear" w:color="auto" w:fill="auto"/>
            <w:noWrap/>
            <w:vAlign w:val="center"/>
            <w:hideMark/>
          </w:tcPr>
          <w:p w14:paraId="6F3859E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35.2</w:t>
            </w:r>
          </w:p>
        </w:tc>
        <w:tc>
          <w:tcPr>
            <w:tcW w:w="1440" w:type="dxa"/>
            <w:tcBorders>
              <w:top w:val="nil"/>
              <w:left w:val="nil"/>
              <w:bottom w:val="single" w:sz="4" w:space="0" w:color="000000"/>
              <w:right w:val="single" w:sz="4" w:space="0" w:color="000000"/>
            </w:tcBorders>
            <w:shd w:val="clear" w:color="auto" w:fill="auto"/>
            <w:noWrap/>
            <w:vAlign w:val="center"/>
            <w:hideMark/>
          </w:tcPr>
          <w:p w14:paraId="5FDD7A5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-0.08</w:t>
            </w:r>
          </w:p>
        </w:tc>
        <w:tc>
          <w:tcPr>
            <w:tcW w:w="900" w:type="dxa"/>
            <w:tcBorders>
              <w:top w:val="nil"/>
              <w:left w:val="nil"/>
              <w:bottom w:val="single" w:sz="4" w:space="0" w:color="000000"/>
              <w:right w:val="single" w:sz="4" w:space="0" w:color="000000"/>
            </w:tcBorders>
            <w:shd w:val="clear" w:color="auto" w:fill="auto"/>
            <w:noWrap/>
            <w:vAlign w:val="center"/>
            <w:hideMark/>
          </w:tcPr>
          <w:p w14:paraId="4EAB0E7B"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-0.2%</w:t>
            </w:r>
          </w:p>
        </w:tc>
      </w:tr>
      <w:tr w:rsidR="00D3527F" w:rsidRPr="00CB5D81" w14:paraId="42BECA40" w14:textId="77777777" w:rsidTr="00B2641D">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1BBD963D" w14:textId="4DE0A110"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5.</w:t>
            </w:r>
            <w:r w:rsidR="0052185A">
              <w:rPr>
                <w:rFonts w:ascii="Arial" w:hAnsi="Arial" w:cs="Arial"/>
                <w:color w:val="000000"/>
                <w:sz w:val="20"/>
                <w:szCs w:val="20"/>
              </w:rPr>
              <w:t xml:space="preserve"> </w:t>
            </w:r>
            <w:r w:rsidRPr="00CB5D81">
              <w:rPr>
                <w:rFonts w:ascii="Arial" w:hAnsi="Arial" w:cs="Arial"/>
                <w:color w:val="000000"/>
                <w:sz w:val="20"/>
                <w:szCs w:val="20"/>
              </w:rPr>
              <w:t>Offices, Hotels, Health, Services</w:t>
            </w:r>
          </w:p>
        </w:tc>
        <w:tc>
          <w:tcPr>
            <w:tcW w:w="1080" w:type="dxa"/>
            <w:tcBorders>
              <w:top w:val="nil"/>
              <w:left w:val="nil"/>
              <w:bottom w:val="single" w:sz="4" w:space="0" w:color="000000"/>
              <w:right w:val="single" w:sz="4" w:space="0" w:color="000000"/>
            </w:tcBorders>
            <w:shd w:val="clear" w:color="auto" w:fill="auto"/>
            <w:noWrap/>
            <w:vAlign w:val="center"/>
            <w:hideMark/>
          </w:tcPr>
          <w:p w14:paraId="53396D6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472</w:t>
            </w:r>
          </w:p>
        </w:tc>
        <w:tc>
          <w:tcPr>
            <w:tcW w:w="1440" w:type="dxa"/>
            <w:tcBorders>
              <w:top w:val="nil"/>
              <w:left w:val="nil"/>
              <w:bottom w:val="single" w:sz="4" w:space="0" w:color="000000"/>
              <w:right w:val="single" w:sz="4" w:space="0" w:color="000000"/>
            </w:tcBorders>
            <w:shd w:val="clear" w:color="auto" w:fill="auto"/>
            <w:noWrap/>
            <w:vAlign w:val="center"/>
            <w:hideMark/>
          </w:tcPr>
          <w:p w14:paraId="5D2656E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203.4</w:t>
            </w:r>
          </w:p>
        </w:tc>
        <w:tc>
          <w:tcPr>
            <w:tcW w:w="1440" w:type="dxa"/>
            <w:tcBorders>
              <w:top w:val="nil"/>
              <w:left w:val="nil"/>
              <w:bottom w:val="single" w:sz="4" w:space="0" w:color="000000"/>
              <w:right w:val="single" w:sz="4" w:space="0" w:color="000000"/>
            </w:tcBorders>
            <w:shd w:val="clear" w:color="auto" w:fill="auto"/>
            <w:noWrap/>
            <w:vAlign w:val="center"/>
            <w:hideMark/>
          </w:tcPr>
          <w:p w14:paraId="22E0403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194.9</w:t>
            </w:r>
          </w:p>
        </w:tc>
        <w:tc>
          <w:tcPr>
            <w:tcW w:w="1440" w:type="dxa"/>
            <w:tcBorders>
              <w:top w:val="nil"/>
              <w:left w:val="nil"/>
              <w:bottom w:val="single" w:sz="4" w:space="0" w:color="000000"/>
              <w:right w:val="single" w:sz="4" w:space="0" w:color="000000"/>
            </w:tcBorders>
            <w:shd w:val="clear" w:color="auto" w:fill="auto"/>
            <w:noWrap/>
            <w:vAlign w:val="center"/>
            <w:hideMark/>
          </w:tcPr>
          <w:p w14:paraId="100B9010"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8.56</w:t>
            </w:r>
          </w:p>
        </w:tc>
        <w:tc>
          <w:tcPr>
            <w:tcW w:w="900" w:type="dxa"/>
            <w:tcBorders>
              <w:top w:val="nil"/>
              <w:left w:val="nil"/>
              <w:bottom w:val="single" w:sz="4" w:space="0" w:color="000000"/>
              <w:right w:val="single" w:sz="4" w:space="0" w:color="000000"/>
            </w:tcBorders>
            <w:shd w:val="clear" w:color="auto" w:fill="auto"/>
            <w:noWrap/>
            <w:vAlign w:val="center"/>
            <w:hideMark/>
          </w:tcPr>
          <w:p w14:paraId="26A27DBF"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4.2%</w:t>
            </w:r>
          </w:p>
        </w:tc>
      </w:tr>
      <w:tr w:rsidR="00D3527F" w:rsidRPr="00CB5D81" w14:paraId="4ED63A83" w14:textId="77777777" w:rsidTr="00B2641D">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2C61C621" w14:textId="20E532CC"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6.</w:t>
            </w:r>
            <w:r w:rsidR="0052185A">
              <w:rPr>
                <w:rFonts w:ascii="Arial" w:hAnsi="Arial" w:cs="Arial"/>
                <w:color w:val="000000"/>
                <w:sz w:val="20"/>
                <w:szCs w:val="20"/>
              </w:rPr>
              <w:t xml:space="preserve"> </w:t>
            </w:r>
            <w:r w:rsidRPr="00CB5D81">
              <w:rPr>
                <w:rFonts w:ascii="Arial" w:hAnsi="Arial" w:cs="Arial"/>
                <w:color w:val="000000"/>
                <w:sz w:val="20"/>
                <w:szCs w:val="20"/>
              </w:rPr>
              <w:t>Schools</w:t>
            </w:r>
          </w:p>
        </w:tc>
        <w:tc>
          <w:tcPr>
            <w:tcW w:w="1080" w:type="dxa"/>
            <w:tcBorders>
              <w:top w:val="nil"/>
              <w:left w:val="nil"/>
              <w:bottom w:val="single" w:sz="4" w:space="0" w:color="000000"/>
              <w:right w:val="single" w:sz="4" w:space="0" w:color="000000"/>
            </w:tcBorders>
            <w:shd w:val="clear" w:color="auto" w:fill="auto"/>
            <w:noWrap/>
            <w:vAlign w:val="center"/>
            <w:hideMark/>
          </w:tcPr>
          <w:p w14:paraId="3DFAA16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219</w:t>
            </w:r>
          </w:p>
        </w:tc>
        <w:tc>
          <w:tcPr>
            <w:tcW w:w="1440" w:type="dxa"/>
            <w:tcBorders>
              <w:top w:val="nil"/>
              <w:left w:val="nil"/>
              <w:bottom w:val="single" w:sz="4" w:space="0" w:color="000000"/>
              <w:right w:val="single" w:sz="4" w:space="0" w:color="000000"/>
            </w:tcBorders>
            <w:shd w:val="clear" w:color="auto" w:fill="auto"/>
            <w:noWrap/>
            <w:vAlign w:val="center"/>
            <w:hideMark/>
          </w:tcPr>
          <w:p w14:paraId="530EB5D9"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55.0</w:t>
            </w:r>
          </w:p>
        </w:tc>
        <w:tc>
          <w:tcPr>
            <w:tcW w:w="1440" w:type="dxa"/>
            <w:tcBorders>
              <w:top w:val="nil"/>
              <w:left w:val="nil"/>
              <w:bottom w:val="single" w:sz="4" w:space="0" w:color="000000"/>
              <w:right w:val="single" w:sz="4" w:space="0" w:color="000000"/>
            </w:tcBorders>
            <w:shd w:val="clear" w:color="auto" w:fill="auto"/>
            <w:noWrap/>
            <w:vAlign w:val="center"/>
            <w:hideMark/>
          </w:tcPr>
          <w:p w14:paraId="76631FF8"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54.5</w:t>
            </w:r>
          </w:p>
        </w:tc>
        <w:tc>
          <w:tcPr>
            <w:tcW w:w="1440" w:type="dxa"/>
            <w:tcBorders>
              <w:top w:val="nil"/>
              <w:left w:val="nil"/>
              <w:bottom w:val="single" w:sz="4" w:space="0" w:color="000000"/>
              <w:right w:val="single" w:sz="4" w:space="0" w:color="000000"/>
            </w:tcBorders>
            <w:shd w:val="clear" w:color="auto" w:fill="auto"/>
            <w:noWrap/>
            <w:vAlign w:val="center"/>
            <w:hideMark/>
          </w:tcPr>
          <w:p w14:paraId="53CE5AA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0.48</w:t>
            </w:r>
          </w:p>
        </w:tc>
        <w:tc>
          <w:tcPr>
            <w:tcW w:w="900" w:type="dxa"/>
            <w:tcBorders>
              <w:top w:val="nil"/>
              <w:left w:val="nil"/>
              <w:bottom w:val="single" w:sz="4" w:space="0" w:color="000000"/>
              <w:right w:val="single" w:sz="4" w:space="0" w:color="000000"/>
            </w:tcBorders>
            <w:shd w:val="clear" w:color="auto" w:fill="auto"/>
            <w:noWrap/>
            <w:vAlign w:val="center"/>
            <w:hideMark/>
          </w:tcPr>
          <w:p w14:paraId="2E780EA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0.9%</w:t>
            </w:r>
          </w:p>
        </w:tc>
      </w:tr>
      <w:tr w:rsidR="00D3527F" w:rsidRPr="00CB5D81" w14:paraId="1202BC02" w14:textId="77777777" w:rsidTr="00B2641D">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0B8F8F61"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7. Institutional/Government</w:t>
            </w:r>
          </w:p>
        </w:tc>
        <w:tc>
          <w:tcPr>
            <w:tcW w:w="1080" w:type="dxa"/>
            <w:tcBorders>
              <w:top w:val="nil"/>
              <w:left w:val="nil"/>
              <w:bottom w:val="single" w:sz="4" w:space="0" w:color="000000"/>
              <w:right w:val="single" w:sz="4" w:space="0" w:color="000000"/>
            </w:tcBorders>
            <w:shd w:val="clear" w:color="auto" w:fill="auto"/>
            <w:noWrap/>
            <w:vAlign w:val="center"/>
            <w:hideMark/>
          </w:tcPr>
          <w:p w14:paraId="1D7C434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130</w:t>
            </w:r>
          </w:p>
        </w:tc>
        <w:tc>
          <w:tcPr>
            <w:tcW w:w="1440" w:type="dxa"/>
            <w:tcBorders>
              <w:top w:val="nil"/>
              <w:left w:val="nil"/>
              <w:bottom w:val="single" w:sz="4" w:space="0" w:color="000000"/>
              <w:right w:val="single" w:sz="4" w:space="0" w:color="000000"/>
            </w:tcBorders>
            <w:shd w:val="clear" w:color="auto" w:fill="auto"/>
            <w:noWrap/>
            <w:vAlign w:val="center"/>
            <w:hideMark/>
          </w:tcPr>
          <w:p w14:paraId="432D8F6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37.8</w:t>
            </w:r>
          </w:p>
        </w:tc>
        <w:tc>
          <w:tcPr>
            <w:tcW w:w="1440" w:type="dxa"/>
            <w:tcBorders>
              <w:top w:val="nil"/>
              <w:left w:val="nil"/>
              <w:bottom w:val="single" w:sz="4" w:space="0" w:color="000000"/>
              <w:right w:val="single" w:sz="4" w:space="0" w:color="000000"/>
            </w:tcBorders>
            <w:shd w:val="clear" w:color="auto" w:fill="auto"/>
            <w:noWrap/>
            <w:vAlign w:val="center"/>
            <w:hideMark/>
          </w:tcPr>
          <w:p w14:paraId="45E3140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31.5</w:t>
            </w:r>
          </w:p>
        </w:tc>
        <w:tc>
          <w:tcPr>
            <w:tcW w:w="1440" w:type="dxa"/>
            <w:tcBorders>
              <w:top w:val="nil"/>
              <w:left w:val="nil"/>
              <w:bottom w:val="single" w:sz="4" w:space="0" w:color="000000"/>
              <w:right w:val="single" w:sz="4" w:space="0" w:color="000000"/>
            </w:tcBorders>
            <w:shd w:val="clear" w:color="auto" w:fill="auto"/>
            <w:noWrap/>
            <w:vAlign w:val="center"/>
            <w:hideMark/>
          </w:tcPr>
          <w:p w14:paraId="3383E719"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6.31</w:t>
            </w:r>
          </w:p>
        </w:tc>
        <w:tc>
          <w:tcPr>
            <w:tcW w:w="900" w:type="dxa"/>
            <w:tcBorders>
              <w:top w:val="nil"/>
              <w:left w:val="nil"/>
              <w:bottom w:val="single" w:sz="4" w:space="0" w:color="000000"/>
              <w:right w:val="single" w:sz="4" w:space="0" w:color="000000"/>
            </w:tcBorders>
            <w:shd w:val="clear" w:color="auto" w:fill="auto"/>
            <w:noWrap/>
            <w:vAlign w:val="center"/>
            <w:hideMark/>
          </w:tcPr>
          <w:p w14:paraId="66457768"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16.7%</w:t>
            </w:r>
          </w:p>
        </w:tc>
      </w:tr>
      <w:tr w:rsidR="00D3527F" w:rsidRPr="00CB5D81" w14:paraId="7389B36C" w14:textId="77777777" w:rsidTr="009E57B4">
        <w:trPr>
          <w:trHeight w:val="300"/>
          <w:jc w:val="center"/>
        </w:trPr>
        <w:tc>
          <w:tcPr>
            <w:tcW w:w="2695" w:type="dxa"/>
            <w:tcBorders>
              <w:top w:val="nil"/>
              <w:left w:val="single" w:sz="4" w:space="0" w:color="000000"/>
              <w:bottom w:val="single" w:sz="4" w:space="0" w:color="000000"/>
              <w:right w:val="single" w:sz="4" w:space="0" w:color="000000"/>
            </w:tcBorders>
            <w:shd w:val="clear" w:color="auto" w:fill="auto"/>
            <w:noWrap/>
            <w:vAlign w:val="center"/>
            <w:hideMark/>
          </w:tcPr>
          <w:p w14:paraId="0DF3496F" w14:textId="195C7DBC"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8.</w:t>
            </w:r>
            <w:r w:rsidR="0052185A">
              <w:rPr>
                <w:rFonts w:ascii="Arial" w:hAnsi="Arial" w:cs="Arial"/>
                <w:color w:val="000000"/>
                <w:sz w:val="20"/>
                <w:szCs w:val="20"/>
              </w:rPr>
              <w:t xml:space="preserve"> </w:t>
            </w:r>
            <w:r w:rsidRPr="00CB5D81">
              <w:rPr>
                <w:rFonts w:ascii="Arial" w:hAnsi="Arial" w:cs="Arial"/>
                <w:color w:val="000000"/>
                <w:sz w:val="20"/>
                <w:szCs w:val="20"/>
              </w:rPr>
              <w:t>Other</w:t>
            </w:r>
          </w:p>
        </w:tc>
        <w:tc>
          <w:tcPr>
            <w:tcW w:w="1080" w:type="dxa"/>
            <w:tcBorders>
              <w:top w:val="nil"/>
              <w:left w:val="nil"/>
              <w:bottom w:val="single" w:sz="4" w:space="0" w:color="000000"/>
              <w:right w:val="single" w:sz="4" w:space="0" w:color="000000"/>
            </w:tcBorders>
            <w:shd w:val="clear" w:color="auto" w:fill="000000" w:themeFill="text1"/>
            <w:noWrap/>
            <w:vAlign w:val="center"/>
          </w:tcPr>
          <w:p w14:paraId="4954DD59" w14:textId="3FA7C47E" w:rsidR="00D3527F" w:rsidRPr="00CB5D81" w:rsidRDefault="00D3527F" w:rsidP="00D3527F">
            <w:pPr>
              <w:keepNext/>
              <w:jc w:val="center"/>
              <w:rPr>
                <w:rFonts w:cs="Calibri"/>
                <w:color w:val="000000"/>
                <w:sz w:val="22"/>
                <w:szCs w:val="22"/>
              </w:rPr>
            </w:pPr>
          </w:p>
        </w:tc>
        <w:tc>
          <w:tcPr>
            <w:tcW w:w="1440" w:type="dxa"/>
            <w:tcBorders>
              <w:top w:val="nil"/>
              <w:left w:val="nil"/>
              <w:bottom w:val="single" w:sz="4" w:space="0" w:color="000000"/>
              <w:right w:val="single" w:sz="4" w:space="0" w:color="000000"/>
            </w:tcBorders>
            <w:shd w:val="clear" w:color="auto" w:fill="000000" w:themeFill="text1"/>
            <w:noWrap/>
            <w:vAlign w:val="center"/>
          </w:tcPr>
          <w:p w14:paraId="57BC77BF" w14:textId="73E552D6" w:rsidR="00D3527F" w:rsidRPr="00CB5D81" w:rsidRDefault="00D3527F" w:rsidP="00D3527F">
            <w:pPr>
              <w:keepNext/>
              <w:jc w:val="center"/>
              <w:rPr>
                <w:rFonts w:cs="Calibri"/>
                <w:color w:val="000000"/>
                <w:sz w:val="22"/>
                <w:szCs w:val="22"/>
              </w:rPr>
            </w:pPr>
          </w:p>
        </w:tc>
        <w:tc>
          <w:tcPr>
            <w:tcW w:w="1440" w:type="dxa"/>
            <w:tcBorders>
              <w:top w:val="nil"/>
              <w:left w:val="nil"/>
              <w:bottom w:val="single" w:sz="4" w:space="0" w:color="000000"/>
              <w:right w:val="single" w:sz="4" w:space="0" w:color="000000"/>
            </w:tcBorders>
            <w:shd w:val="clear" w:color="auto" w:fill="000000" w:themeFill="text1"/>
            <w:noWrap/>
            <w:vAlign w:val="center"/>
          </w:tcPr>
          <w:p w14:paraId="744AC11C" w14:textId="3B34CE91" w:rsidR="00D3527F" w:rsidRPr="00CB5D81" w:rsidRDefault="00D3527F" w:rsidP="00D3527F">
            <w:pPr>
              <w:keepNext/>
              <w:jc w:val="center"/>
              <w:rPr>
                <w:rFonts w:cs="Calibri"/>
                <w:color w:val="000000"/>
                <w:sz w:val="22"/>
                <w:szCs w:val="22"/>
              </w:rPr>
            </w:pPr>
          </w:p>
        </w:tc>
        <w:tc>
          <w:tcPr>
            <w:tcW w:w="1440" w:type="dxa"/>
            <w:tcBorders>
              <w:top w:val="nil"/>
              <w:left w:val="nil"/>
              <w:bottom w:val="single" w:sz="4" w:space="0" w:color="000000"/>
              <w:right w:val="single" w:sz="4" w:space="0" w:color="000000"/>
            </w:tcBorders>
            <w:shd w:val="clear" w:color="auto" w:fill="000000" w:themeFill="text1"/>
            <w:noWrap/>
            <w:vAlign w:val="center"/>
          </w:tcPr>
          <w:p w14:paraId="72DF507F" w14:textId="3B11F6C6" w:rsidR="00D3527F" w:rsidRPr="00CB5D81" w:rsidRDefault="00D3527F" w:rsidP="00D3527F">
            <w:pPr>
              <w:keepNext/>
              <w:jc w:val="center"/>
              <w:rPr>
                <w:rFonts w:cs="Calibri"/>
                <w:color w:val="000000"/>
                <w:sz w:val="22"/>
                <w:szCs w:val="22"/>
              </w:rPr>
            </w:pPr>
          </w:p>
        </w:tc>
        <w:tc>
          <w:tcPr>
            <w:tcW w:w="900" w:type="dxa"/>
            <w:tcBorders>
              <w:top w:val="nil"/>
              <w:left w:val="nil"/>
              <w:bottom w:val="single" w:sz="4" w:space="0" w:color="000000"/>
              <w:right w:val="single" w:sz="4" w:space="0" w:color="000000"/>
            </w:tcBorders>
            <w:shd w:val="clear" w:color="auto" w:fill="000000" w:themeFill="text1"/>
            <w:noWrap/>
            <w:vAlign w:val="center"/>
          </w:tcPr>
          <w:p w14:paraId="7C2005C1" w14:textId="136C414E" w:rsidR="00D3527F" w:rsidRPr="00CB5D81" w:rsidRDefault="00D3527F" w:rsidP="00D3527F">
            <w:pPr>
              <w:keepNext/>
              <w:jc w:val="center"/>
              <w:rPr>
                <w:rFonts w:cs="Calibri"/>
                <w:color w:val="000000"/>
                <w:sz w:val="22"/>
                <w:szCs w:val="22"/>
              </w:rPr>
            </w:pPr>
          </w:p>
        </w:tc>
      </w:tr>
    </w:tbl>
    <w:p w14:paraId="04B52F3F" w14:textId="77777777" w:rsidR="00D3527F" w:rsidRDefault="00D3527F" w:rsidP="00D3527F">
      <w:pPr>
        <w:spacing w:after="120"/>
        <w:rPr>
          <w:szCs w:val="32"/>
        </w:rPr>
      </w:pPr>
    </w:p>
    <w:p w14:paraId="35E244DA" w14:textId="33D077BE" w:rsidR="00D3527F" w:rsidRDefault="00D3527F" w:rsidP="00D3527F">
      <w:pPr>
        <w:spacing w:after="120"/>
        <w:rPr>
          <w:szCs w:val="32"/>
        </w:rPr>
      </w:pPr>
      <w:r>
        <w:rPr>
          <w:szCs w:val="32"/>
        </w:rPr>
        <w:t xml:space="preserve">To better understand the distribution of results across industries, we look at the shares of estimated load impacts, reference loads, and enrollments by industry group in </w:t>
      </w:r>
      <w:r>
        <w:rPr>
          <w:szCs w:val="32"/>
        </w:rPr>
        <w:fldChar w:fldCharType="begin"/>
      </w:r>
      <w:r>
        <w:rPr>
          <w:szCs w:val="32"/>
        </w:rPr>
        <w:instrText xml:space="preserve"> REF _Ref507433062 \h </w:instrText>
      </w:r>
      <w:r>
        <w:rPr>
          <w:szCs w:val="32"/>
        </w:rPr>
      </w:r>
      <w:r>
        <w:rPr>
          <w:szCs w:val="32"/>
        </w:rPr>
        <w:fldChar w:fldCharType="separate"/>
      </w:r>
      <w:r w:rsidR="005D5C7C" w:rsidRPr="0052185A">
        <w:rPr>
          <w:highlight w:val="lightGray"/>
        </w:rPr>
        <w:t xml:space="preserve">Figure </w:t>
      </w:r>
      <w:r w:rsidR="005D5C7C">
        <w:rPr>
          <w:noProof/>
          <w:highlight w:val="lightGray"/>
        </w:rPr>
        <w:t>5</w:t>
      </w:r>
      <w:r w:rsidR="005D5C7C" w:rsidRPr="0052185A">
        <w:rPr>
          <w:highlight w:val="lightGray"/>
        </w:rPr>
        <w:t>.</w:t>
      </w:r>
      <w:r w:rsidR="005D5C7C">
        <w:rPr>
          <w:noProof/>
          <w:highlight w:val="lightGray"/>
        </w:rPr>
        <w:t>3</w:t>
      </w:r>
      <w:r>
        <w:rPr>
          <w:szCs w:val="32"/>
        </w:rPr>
        <w:fldChar w:fldCharType="end"/>
      </w:r>
      <w:r>
        <w:rPr>
          <w:szCs w:val="32"/>
        </w:rPr>
        <w:t>.</w:t>
      </w:r>
      <w:r>
        <w:rPr>
          <w:rStyle w:val="FootnoteReference"/>
          <w:szCs w:val="32"/>
        </w:rPr>
        <w:footnoteReference w:id="19"/>
      </w:r>
      <w:r>
        <w:rPr>
          <w:szCs w:val="32"/>
        </w:rPr>
        <w:t xml:space="preserve"> The load impacts for large customers are mainly driven by</w:t>
      </w:r>
      <w:r w:rsidR="000B680C">
        <w:rPr>
          <w:szCs w:val="32"/>
        </w:rPr>
        <w:t xml:space="preserve"> the</w:t>
      </w:r>
      <w:r>
        <w:rPr>
          <w:szCs w:val="32"/>
        </w:rPr>
        <w:t xml:space="preserve"> Offices, Hotels, Health, Services</w:t>
      </w:r>
      <w:r w:rsidR="000B680C">
        <w:rPr>
          <w:szCs w:val="32"/>
        </w:rPr>
        <w:t xml:space="preserve"> group</w:t>
      </w:r>
      <w:r>
        <w:rPr>
          <w:szCs w:val="32"/>
        </w:rPr>
        <w:t>; which ha</w:t>
      </w:r>
      <w:r w:rsidR="000B680C">
        <w:rPr>
          <w:szCs w:val="32"/>
        </w:rPr>
        <w:t>s</w:t>
      </w:r>
      <w:r>
        <w:rPr>
          <w:szCs w:val="32"/>
        </w:rPr>
        <w:t xml:space="preserve"> the highest share of enrollments, reference loads, and load impacts. </w:t>
      </w:r>
      <w:r w:rsidR="000B680C">
        <w:rPr>
          <w:szCs w:val="32"/>
        </w:rPr>
        <w:t>The Institutional/Government group has the largest difference between its share of load impacts and its shares of customers and reference load.</w:t>
      </w:r>
    </w:p>
    <w:p w14:paraId="4478252E" w14:textId="694E6A4C" w:rsidR="00D3527F" w:rsidRDefault="00D3527F" w:rsidP="00D3527F">
      <w:pPr>
        <w:spacing w:after="120"/>
        <w:rPr>
          <w:szCs w:val="32"/>
        </w:rPr>
      </w:pPr>
    </w:p>
    <w:p w14:paraId="50372236" w14:textId="29289FB1" w:rsidR="00D3527F" w:rsidRPr="00181BA9" w:rsidRDefault="00D3527F" w:rsidP="00D3527F">
      <w:pPr>
        <w:pStyle w:val="FigureCaption"/>
        <w:rPr>
          <w:i/>
        </w:rPr>
      </w:pPr>
      <w:bookmarkStart w:id="443" w:name="_Ref507433062"/>
      <w:bookmarkStart w:id="444" w:name="_Toc509837508"/>
      <w:r w:rsidRPr="0052185A">
        <w:rPr>
          <w:highlight w:val="lightGray"/>
        </w:rPr>
        <w:t xml:space="preserve">Figure </w:t>
      </w:r>
      <w:r w:rsidR="0052185A" w:rsidRPr="0052185A">
        <w:rPr>
          <w:highlight w:val="lightGray"/>
        </w:rPr>
        <w:fldChar w:fldCharType="begin"/>
      </w:r>
      <w:r w:rsidR="0052185A" w:rsidRPr="0052185A">
        <w:rPr>
          <w:highlight w:val="lightGray"/>
        </w:rPr>
        <w:instrText xml:space="preserve"> STYLEREF 1 \s </w:instrText>
      </w:r>
      <w:r w:rsidR="0052185A" w:rsidRPr="0052185A">
        <w:rPr>
          <w:highlight w:val="lightGray"/>
        </w:rPr>
        <w:fldChar w:fldCharType="separate"/>
      </w:r>
      <w:r w:rsidR="005D5C7C">
        <w:rPr>
          <w:noProof/>
          <w:highlight w:val="lightGray"/>
        </w:rPr>
        <w:t>5</w:t>
      </w:r>
      <w:r w:rsidR="0052185A" w:rsidRPr="0052185A">
        <w:rPr>
          <w:noProof/>
          <w:highlight w:val="lightGray"/>
        </w:rPr>
        <w:fldChar w:fldCharType="end"/>
      </w:r>
      <w:r w:rsidRPr="0052185A">
        <w:rPr>
          <w:highlight w:val="lightGray"/>
        </w:rPr>
        <w:t>.</w:t>
      </w:r>
      <w:r w:rsidR="0052185A" w:rsidRPr="0052185A">
        <w:rPr>
          <w:highlight w:val="lightGray"/>
        </w:rPr>
        <w:fldChar w:fldCharType="begin"/>
      </w:r>
      <w:r w:rsidR="0052185A" w:rsidRPr="0052185A">
        <w:rPr>
          <w:highlight w:val="lightGray"/>
        </w:rPr>
        <w:instrText xml:space="preserve"> SEQ Figure \* ARABIC \s 1 </w:instrText>
      </w:r>
      <w:r w:rsidR="0052185A" w:rsidRPr="0052185A">
        <w:rPr>
          <w:highlight w:val="lightGray"/>
        </w:rPr>
        <w:fldChar w:fldCharType="separate"/>
      </w:r>
      <w:r w:rsidR="005D5C7C">
        <w:rPr>
          <w:noProof/>
          <w:highlight w:val="lightGray"/>
        </w:rPr>
        <w:t>3</w:t>
      </w:r>
      <w:r w:rsidR="0052185A" w:rsidRPr="0052185A">
        <w:rPr>
          <w:noProof/>
          <w:highlight w:val="lightGray"/>
        </w:rPr>
        <w:fldChar w:fldCharType="end"/>
      </w:r>
      <w:bookmarkEnd w:id="443"/>
      <w:r w:rsidRPr="0052185A">
        <w:rPr>
          <w:highlight w:val="lightGray"/>
        </w:rPr>
        <w:t xml:space="preserve">: </w:t>
      </w:r>
      <w:r w:rsidR="001958B4">
        <w:rPr>
          <w:highlight w:val="lightGray"/>
        </w:rPr>
        <w:t>Average Weekday</w:t>
      </w:r>
      <w:r w:rsidRPr="0052185A">
        <w:rPr>
          <w:highlight w:val="lightGray"/>
        </w:rPr>
        <w:t xml:space="preserve"> Event-Hour Load Impacts by Industry Group, </w:t>
      </w:r>
      <w:r w:rsidRPr="0052185A">
        <w:rPr>
          <w:highlight w:val="lightGray"/>
        </w:rPr>
        <w:br/>
      </w:r>
      <w:r w:rsidRPr="0052185A">
        <w:rPr>
          <w:i/>
          <w:highlight w:val="lightGray"/>
        </w:rPr>
        <w:t>SDG&amp;E Large</w:t>
      </w:r>
      <w:bookmarkEnd w:id="444"/>
    </w:p>
    <w:p w14:paraId="6E285CE9" w14:textId="78B224ED" w:rsidR="00D3527F" w:rsidRDefault="00A07B5F" w:rsidP="00D3527F">
      <w:pPr>
        <w:spacing w:after="120"/>
        <w:jc w:val="center"/>
        <w:rPr>
          <w:szCs w:val="32"/>
        </w:rPr>
      </w:pPr>
      <w:r>
        <w:rPr>
          <w:noProof/>
          <w:szCs w:val="32"/>
        </w:rPr>
        <mc:AlternateContent>
          <mc:Choice Requires="wps">
            <w:drawing>
              <wp:anchor distT="0" distB="0" distL="114300" distR="114300" simplePos="0" relativeHeight="251713536" behindDoc="0" locked="0" layoutInCell="1" allowOverlap="1" wp14:anchorId="2168823C" wp14:editId="3AC8A81B">
                <wp:simplePos x="0" y="0"/>
                <wp:positionH relativeFrom="margin">
                  <wp:align>right</wp:align>
                </wp:positionH>
                <wp:positionV relativeFrom="paragraph">
                  <wp:posOffset>3504730</wp:posOffset>
                </wp:positionV>
                <wp:extent cx="5422789" cy="397566"/>
                <wp:effectExtent l="0" t="0" r="26035" b="21590"/>
                <wp:wrapNone/>
                <wp:docPr id="98" name="Text Box 98"/>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583C90A6" w14:textId="77777777" w:rsidR="006F4399" w:rsidRPr="00EB41EA" w:rsidRDefault="006F4399" w:rsidP="00A07B5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68823C" id="Text Box 98" o:spid="_x0000_s1054" type="#_x0000_t202" style="position:absolute;left:0;text-align:left;margin-left:375.8pt;margin-top:275.95pt;width:427pt;height:31.3pt;z-index:25171353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" fillcolor="white [3201]" strokeweight=".5pt">
                <v:textbox>
                  <w:txbxContent>
                    <w:p w14:paraId="583C90A6" w14:textId="77777777" w:rsidR="006F4399" w:rsidRPr="00EB41EA" w:rsidRDefault="006F4399" w:rsidP="00A07B5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9E57B4" w:rsidRPr="009E57B4">
        <w:rPr>
          <w:noProof/>
        </w:rPr>
        <w:t xml:space="preserve"> </w:t>
      </w:r>
      <w:r w:rsidR="009E57B4">
        <w:rPr>
          <w:noProof/>
        </w:rPr>
        <w:drawing>
          <wp:inline distT="0" distB="0" distL="0" distR="0" wp14:anchorId="78BA4246" wp14:editId="1C8D6D98">
            <wp:extent cx="4572000" cy="2743200"/>
            <wp:effectExtent l="0" t="0" r="0" b="0"/>
            <wp:docPr id="125" name="Chart 125">
              <a:extLst xmlns:a="http://schemas.openxmlformats.org/drawingml/2006/main">
                <a:ext uri="{FF2B5EF4-FFF2-40B4-BE49-F238E27FC236}">
                  <a16:creationId xmlns:a16="http://schemas.microsoft.com/office/drawing/2014/main" id="{DDBDE29C-35CB-413C-8EFD-A482C7CFA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1D815B0C" w14:textId="77777777" w:rsidR="00D3527F" w:rsidRDefault="00D3527F" w:rsidP="00D3527F">
      <w:pPr>
        <w:spacing w:after="120"/>
        <w:rPr>
          <w:szCs w:val="32"/>
        </w:rPr>
      </w:pPr>
    </w:p>
    <w:p w14:paraId="068E8D57" w14:textId="77777777" w:rsidR="00D3527F" w:rsidRDefault="00D3527F" w:rsidP="00D3527F">
      <w:pPr>
        <w:pStyle w:val="Heading3"/>
        <w:numPr>
          <w:ilvl w:val="2"/>
          <w:numId w:val="43"/>
        </w:numPr>
      </w:pPr>
      <w:bookmarkStart w:id="445" w:name="_Toc507425153"/>
      <w:bookmarkStart w:id="446" w:name="_Toc509837340"/>
      <w:r>
        <w:t>Medium Customers</w:t>
      </w:r>
      <w:bookmarkEnd w:id="445"/>
      <w:bookmarkEnd w:id="446"/>
    </w:p>
    <w:p w14:paraId="25D0FC01" w14:textId="22DA5013" w:rsidR="00D3527F" w:rsidRDefault="00D3527F" w:rsidP="00D3527F">
      <w:pPr>
        <w:spacing w:after="120"/>
        <w:rPr>
          <w:szCs w:val="32"/>
        </w:rPr>
      </w:pPr>
      <w:r>
        <w:rPr>
          <w:szCs w:val="32"/>
        </w:rPr>
        <w:t xml:space="preserve">This section summarizes results for </w:t>
      </w:r>
      <w:r w:rsidR="000B680C">
        <w:rPr>
          <w:szCs w:val="32"/>
        </w:rPr>
        <w:t>S</w:t>
      </w:r>
      <w:r>
        <w:rPr>
          <w:szCs w:val="32"/>
        </w:rPr>
        <w:t>DG&amp;E</w:t>
      </w:r>
      <w:r w:rsidR="000B680C">
        <w:rPr>
          <w:szCs w:val="32"/>
        </w:rPr>
        <w:t>’s medium-sized</w:t>
      </w:r>
      <w:r>
        <w:rPr>
          <w:szCs w:val="32"/>
        </w:rPr>
        <w:t xml:space="preserve"> CPP customers</w:t>
      </w:r>
      <w:r w:rsidR="000B680C">
        <w:rPr>
          <w:szCs w:val="32"/>
        </w:rPr>
        <w:t xml:space="preserve"> (defined as customers with maximum demand between 20 and 199.99 kW)</w:t>
      </w:r>
      <w:r>
        <w:rPr>
          <w:szCs w:val="32"/>
        </w:rPr>
        <w:t xml:space="preserve">, excluding those dually enrolled in SCTD. The presented results include: the average event-hour load impact by event day; the hourly load impact for the average event day; and load impacts by industry group for the average event hour. </w:t>
      </w:r>
    </w:p>
    <w:p w14:paraId="5D606B15" w14:textId="592E6024" w:rsidR="00D3527F" w:rsidRDefault="00D3527F" w:rsidP="00D3527F">
      <w:pPr>
        <w:spacing w:after="120"/>
        <w:rPr>
          <w:szCs w:val="32"/>
        </w:rPr>
      </w:pPr>
      <w:r>
        <w:rPr>
          <w:szCs w:val="32"/>
        </w:rPr>
        <w:t xml:space="preserve">The </w:t>
      </w:r>
      <w:r w:rsidRPr="00441449">
        <w:rPr>
          <w:i/>
          <w:szCs w:val="32"/>
        </w:rPr>
        <w:t>ex-post</w:t>
      </w:r>
      <w:r>
        <w:rPr>
          <w:szCs w:val="32"/>
        </w:rPr>
        <w:t xml:space="preserve"> load impacts for SDG&amp;E’s medium CPP customers are summarized </w:t>
      </w:r>
      <w:r w:rsidR="00CC05C4">
        <w:rPr>
          <w:szCs w:val="32"/>
        </w:rPr>
        <w:t xml:space="preserve">for </w:t>
      </w:r>
      <w:r>
        <w:rPr>
          <w:szCs w:val="32"/>
        </w:rPr>
        <w:t xml:space="preserve">each of the three events along with the </w:t>
      </w:r>
      <w:r w:rsidR="001958B4">
        <w:rPr>
          <w:szCs w:val="32"/>
        </w:rPr>
        <w:t>average weekday</w:t>
      </w:r>
      <w:r>
        <w:rPr>
          <w:szCs w:val="32"/>
        </w:rPr>
        <w:t xml:space="preserve"> event in </w:t>
      </w:r>
      <w:r>
        <w:rPr>
          <w:szCs w:val="32"/>
        </w:rPr>
        <w:fldChar w:fldCharType="begin"/>
      </w:r>
      <w:r>
        <w:rPr>
          <w:szCs w:val="32"/>
        </w:rPr>
        <w:instrText xml:space="preserve"> REF _Ref507434169 \h </w:instrText>
      </w:r>
      <w:r>
        <w:rPr>
          <w:szCs w:val="32"/>
        </w:rPr>
      </w:r>
      <w:r>
        <w:rPr>
          <w:szCs w:val="32"/>
        </w:rPr>
        <w:fldChar w:fldCharType="separate"/>
      </w:r>
      <w:r w:rsidR="005D5C7C">
        <w:t xml:space="preserve">Figure </w:t>
      </w:r>
      <w:r w:rsidR="005D5C7C">
        <w:rPr>
          <w:noProof/>
        </w:rPr>
        <w:t>5</w:t>
      </w:r>
      <w:r w:rsidR="005D5C7C">
        <w:t>.</w:t>
      </w:r>
      <w:r w:rsidR="005D5C7C">
        <w:rPr>
          <w:noProof/>
        </w:rPr>
        <w:t>4</w:t>
      </w:r>
      <w:r>
        <w:rPr>
          <w:szCs w:val="32"/>
        </w:rPr>
        <w:fldChar w:fldCharType="end"/>
      </w:r>
      <w:r>
        <w:rPr>
          <w:szCs w:val="32"/>
        </w:rPr>
        <w:t>. In contrast to large customers, the load impacts are only statistically significant for the weekend event day</w:t>
      </w:r>
      <w:r w:rsidR="00CC05C4">
        <w:rPr>
          <w:szCs w:val="32"/>
        </w:rPr>
        <w:t xml:space="preserve"> (</w:t>
      </w:r>
      <w:r>
        <w:rPr>
          <w:szCs w:val="32"/>
        </w:rPr>
        <w:t>September 2</w:t>
      </w:r>
      <w:r w:rsidRPr="00754414">
        <w:rPr>
          <w:szCs w:val="32"/>
          <w:vertAlign w:val="superscript"/>
        </w:rPr>
        <w:t>nd</w:t>
      </w:r>
      <w:r w:rsidR="00CC05C4">
        <w:rPr>
          <w:szCs w:val="32"/>
        </w:rPr>
        <w:t>)</w:t>
      </w:r>
      <w:r>
        <w:rPr>
          <w:szCs w:val="32"/>
        </w:rPr>
        <w:t xml:space="preserve"> which also indicates an </w:t>
      </w:r>
      <w:r w:rsidRPr="00754414">
        <w:rPr>
          <w:i/>
          <w:szCs w:val="32"/>
        </w:rPr>
        <w:t>increase</w:t>
      </w:r>
      <w:r>
        <w:rPr>
          <w:szCs w:val="32"/>
        </w:rPr>
        <w:t xml:space="preserve"> in usage. </w:t>
      </w:r>
      <w:proofErr w:type="gramStart"/>
      <w:r>
        <w:rPr>
          <w:szCs w:val="32"/>
        </w:rPr>
        <w:t>Similar to</w:t>
      </w:r>
      <w:proofErr w:type="gramEnd"/>
      <w:r>
        <w:rPr>
          <w:szCs w:val="32"/>
        </w:rPr>
        <w:t xml:space="preserve"> the results of large customers, there is not enough information to suggest </w:t>
      </w:r>
      <w:r w:rsidR="00CC05C4">
        <w:rPr>
          <w:szCs w:val="32"/>
        </w:rPr>
        <w:t xml:space="preserve">a </w:t>
      </w:r>
      <w:r>
        <w:rPr>
          <w:szCs w:val="32"/>
        </w:rPr>
        <w:t xml:space="preserve">relationship between load impacts and temperatures. </w:t>
      </w:r>
    </w:p>
    <w:p w14:paraId="56F8F1B9" w14:textId="7DAFAAE6" w:rsidR="00D3527F" w:rsidRPr="00754414" w:rsidRDefault="00D3527F" w:rsidP="00D3527F">
      <w:pPr>
        <w:pStyle w:val="FigureCaption"/>
        <w:rPr>
          <w:i/>
        </w:rPr>
      </w:pPr>
      <w:bookmarkStart w:id="447" w:name="_Ref507434169"/>
      <w:bookmarkStart w:id="448" w:name="_Toc509837509"/>
      <w:r>
        <w:t xml:space="preserve">Figure </w:t>
      </w:r>
      <w:fldSimple w:instr=" STYLEREF 1 \s ">
        <w:r w:rsidR="005D5C7C">
          <w:rPr>
            <w:noProof/>
          </w:rPr>
          <w:t>5</w:t>
        </w:r>
      </w:fldSimple>
      <w:r>
        <w:t>.</w:t>
      </w:r>
      <w:fldSimple w:instr=" SEQ Figure \* ARABIC \s 1 ">
        <w:r w:rsidR="005D5C7C">
          <w:rPr>
            <w:noProof/>
          </w:rPr>
          <w:t>4</w:t>
        </w:r>
      </w:fldSimple>
      <w:bookmarkEnd w:id="447"/>
      <w:r>
        <w:t xml:space="preserve">: Average Event-Hour Load Impacts by Event, </w:t>
      </w:r>
      <w:r>
        <w:rPr>
          <w:i/>
        </w:rPr>
        <w:t>SDG&amp;E Medium</w:t>
      </w:r>
      <w:bookmarkEnd w:id="448"/>
    </w:p>
    <w:p w14:paraId="6562E145" w14:textId="4921CF82" w:rsidR="001958B4" w:rsidRDefault="001958B4" w:rsidP="001958B4">
      <w:pPr>
        <w:spacing w:after="120"/>
        <w:jc w:val="center"/>
        <w:rPr>
          <w:szCs w:val="32"/>
        </w:rPr>
      </w:pPr>
      <w:r>
        <w:rPr>
          <w:noProof/>
          <w:szCs w:val="32"/>
        </w:rPr>
        <w:drawing>
          <wp:inline distT="0" distB="0" distL="0" distR="0" wp14:anchorId="5B930E10" wp14:editId="31229A80">
            <wp:extent cx="4801156" cy="3200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01156" cy="3200400"/>
                    </a:xfrm>
                    <a:prstGeom prst="rect">
                      <a:avLst/>
                    </a:prstGeom>
                    <a:noFill/>
                  </pic:spPr>
                </pic:pic>
              </a:graphicData>
            </a:graphic>
          </wp:inline>
        </w:drawing>
      </w:r>
    </w:p>
    <w:p w14:paraId="63B21EFE" w14:textId="77777777" w:rsidR="00D3527F" w:rsidRDefault="00D3527F" w:rsidP="00D3527F">
      <w:pPr>
        <w:rPr>
          <w:szCs w:val="32"/>
        </w:rPr>
      </w:pPr>
    </w:p>
    <w:p w14:paraId="435BD80E" w14:textId="4EEBB9D1" w:rsidR="00D3527F" w:rsidRDefault="00D3527F" w:rsidP="00D3527F">
      <w:pPr>
        <w:rPr>
          <w:szCs w:val="32"/>
        </w:rPr>
      </w:pPr>
      <w:r>
        <w:rPr>
          <w:szCs w:val="32"/>
        </w:rPr>
        <w:fldChar w:fldCharType="begin"/>
      </w:r>
      <w:r>
        <w:rPr>
          <w:szCs w:val="32"/>
        </w:rPr>
        <w:instrText xml:space="preserve"> REF _Ref507434909 \h </w:instrText>
      </w:r>
      <w:r>
        <w:rPr>
          <w:szCs w:val="32"/>
        </w:rPr>
      </w:r>
      <w:r>
        <w:rPr>
          <w:szCs w:val="32"/>
        </w:rPr>
        <w:fldChar w:fldCharType="separate"/>
      </w:r>
      <w:r w:rsidR="005D5C7C">
        <w:t xml:space="preserve">Table </w:t>
      </w:r>
      <w:r w:rsidR="005D5C7C">
        <w:rPr>
          <w:noProof/>
        </w:rPr>
        <w:t>5</w:t>
      </w:r>
      <w:r w:rsidR="005D5C7C">
        <w:t>.</w:t>
      </w:r>
      <w:r w:rsidR="005D5C7C">
        <w:rPr>
          <w:noProof/>
        </w:rPr>
        <w:t>4</w:t>
      </w:r>
      <w:r>
        <w:rPr>
          <w:szCs w:val="32"/>
        </w:rPr>
        <w:fldChar w:fldCharType="end"/>
      </w:r>
      <w:r>
        <w:rPr>
          <w:szCs w:val="32"/>
        </w:rPr>
        <w:t xml:space="preserve"> summarizes enrollments, average event-hour load impacts, and reference loads for each event day and the average </w:t>
      </w:r>
      <w:r w:rsidR="001958B4">
        <w:rPr>
          <w:szCs w:val="32"/>
        </w:rPr>
        <w:t xml:space="preserve">weekday </w:t>
      </w:r>
      <w:r>
        <w:rPr>
          <w:szCs w:val="32"/>
        </w:rPr>
        <w:t xml:space="preserve">event. Enrollments increased by one for the weekend event. The </w:t>
      </w:r>
      <w:r w:rsidR="001958B4">
        <w:rPr>
          <w:szCs w:val="32"/>
        </w:rPr>
        <w:t>average weekday</w:t>
      </w:r>
      <w:r>
        <w:rPr>
          <w:szCs w:val="32"/>
        </w:rPr>
        <w:t xml:space="preserve"> event day exhibits a load impact of 1 MWh/hour for the </w:t>
      </w:r>
      <w:r w:rsidR="00CC05C4">
        <w:rPr>
          <w:szCs w:val="32"/>
        </w:rPr>
        <w:t xml:space="preserve">two </w:t>
      </w:r>
      <w:r>
        <w:rPr>
          <w:szCs w:val="32"/>
        </w:rPr>
        <w:t xml:space="preserve">weekday events, although </w:t>
      </w:r>
      <w:r w:rsidR="00CC05C4">
        <w:rPr>
          <w:szCs w:val="32"/>
        </w:rPr>
        <w:t>t</w:t>
      </w:r>
      <w:r>
        <w:rPr>
          <w:szCs w:val="32"/>
        </w:rPr>
        <w:t>his amount</w:t>
      </w:r>
      <w:r w:rsidR="00CC05C4">
        <w:rPr>
          <w:szCs w:val="32"/>
        </w:rPr>
        <w:t>s</w:t>
      </w:r>
      <w:r>
        <w:rPr>
          <w:szCs w:val="32"/>
        </w:rPr>
        <w:t xml:space="preserve"> to only 0.2% of the reference load </w:t>
      </w:r>
      <w:r w:rsidR="00CC05C4">
        <w:rPr>
          <w:szCs w:val="32"/>
        </w:rPr>
        <w:t>(</w:t>
      </w:r>
      <w:r>
        <w:rPr>
          <w:szCs w:val="32"/>
        </w:rPr>
        <w:t>and as the previous figure indicated, is not statistically significant</w:t>
      </w:r>
      <w:r w:rsidR="00CC05C4">
        <w:rPr>
          <w:szCs w:val="32"/>
        </w:rPr>
        <w:t>)</w:t>
      </w:r>
      <w:r>
        <w:rPr>
          <w:szCs w:val="32"/>
        </w:rPr>
        <w:t xml:space="preserve">. </w:t>
      </w:r>
      <w:r w:rsidR="00CC05C4">
        <w:rPr>
          <w:szCs w:val="32"/>
        </w:rPr>
        <w:t xml:space="preserve">Our estimates indicate </w:t>
      </w:r>
      <w:r>
        <w:rPr>
          <w:szCs w:val="32"/>
        </w:rPr>
        <w:t xml:space="preserve">an </w:t>
      </w:r>
      <w:r>
        <w:rPr>
          <w:i/>
          <w:szCs w:val="32"/>
        </w:rPr>
        <w:t>increase</w:t>
      </w:r>
      <w:r>
        <w:rPr>
          <w:szCs w:val="32"/>
        </w:rPr>
        <w:t xml:space="preserve"> in usage </w:t>
      </w:r>
      <w:r w:rsidR="00CC05C4">
        <w:rPr>
          <w:szCs w:val="32"/>
        </w:rPr>
        <w:t xml:space="preserve">for the weekend event of </w:t>
      </w:r>
      <w:r>
        <w:rPr>
          <w:szCs w:val="32"/>
        </w:rPr>
        <w:t xml:space="preserve">5.9 MWh/hour </w:t>
      </w:r>
      <w:r w:rsidR="00CC05C4">
        <w:rPr>
          <w:szCs w:val="32"/>
        </w:rPr>
        <w:t>(</w:t>
      </w:r>
      <w:r>
        <w:rPr>
          <w:szCs w:val="32"/>
        </w:rPr>
        <w:t>1.6% of reference load</w:t>
      </w:r>
      <w:r w:rsidR="00CC05C4">
        <w:rPr>
          <w:szCs w:val="32"/>
        </w:rPr>
        <w:t>)</w:t>
      </w:r>
      <w:r>
        <w:rPr>
          <w:szCs w:val="32"/>
        </w:rPr>
        <w:t>.</w:t>
      </w:r>
    </w:p>
    <w:p w14:paraId="357C6C80" w14:textId="77777777" w:rsidR="00D3527F" w:rsidRDefault="00D3527F" w:rsidP="00D3527F">
      <w:pPr>
        <w:spacing w:after="120"/>
        <w:rPr>
          <w:szCs w:val="32"/>
        </w:rPr>
      </w:pPr>
    </w:p>
    <w:p w14:paraId="015B350F" w14:textId="52168A46" w:rsidR="00D3527F" w:rsidRPr="006F686D" w:rsidRDefault="00D3527F" w:rsidP="00D3527F">
      <w:pPr>
        <w:pStyle w:val="TableCaption"/>
        <w:rPr>
          <w:i/>
        </w:rPr>
      </w:pPr>
      <w:bookmarkStart w:id="449" w:name="_Ref507434909"/>
      <w:bookmarkStart w:id="450" w:name="_Ref507489855"/>
      <w:bookmarkStart w:id="451" w:name="_Toc509837415"/>
      <w:r>
        <w:lastRenderedPageBreak/>
        <w:t xml:space="preserve">Table </w:t>
      </w:r>
      <w:fldSimple w:instr=" STYLEREF 1 \s ">
        <w:r w:rsidR="005D5C7C">
          <w:rPr>
            <w:noProof/>
          </w:rPr>
          <w:t>5</w:t>
        </w:r>
      </w:fldSimple>
      <w:r w:rsidR="0069714C">
        <w:t>.</w:t>
      </w:r>
      <w:fldSimple w:instr=" SEQ Table \* ARABIC \s 1 ">
        <w:r w:rsidR="005D5C7C">
          <w:rPr>
            <w:noProof/>
          </w:rPr>
          <w:t>4</w:t>
        </w:r>
      </w:fldSimple>
      <w:bookmarkEnd w:id="449"/>
      <w:r>
        <w:t xml:space="preserve">: Average Event-Hour Load Impacts by Event, </w:t>
      </w:r>
      <w:r>
        <w:rPr>
          <w:i/>
        </w:rPr>
        <w:t>SDG&amp;E Medium</w:t>
      </w:r>
      <w:bookmarkEnd w:id="450"/>
      <w:bookmarkEnd w:id="451"/>
    </w:p>
    <w:tbl>
      <w:tblPr>
        <w:tblW w:w="9810" w:type="dxa"/>
        <w:jc w:val="center"/>
        <w:tblLook w:val="04A0" w:firstRow="1" w:lastRow="0" w:firstColumn="1" w:lastColumn="0" w:noHBand="0" w:noVBand="1"/>
      </w:tblPr>
      <w:tblGrid>
        <w:gridCol w:w="2520"/>
        <w:gridCol w:w="975"/>
        <w:gridCol w:w="1005"/>
        <w:gridCol w:w="1080"/>
        <w:gridCol w:w="990"/>
        <w:gridCol w:w="1080"/>
        <w:gridCol w:w="1080"/>
        <w:gridCol w:w="1080"/>
      </w:tblGrid>
      <w:tr w:rsidR="00D3527F" w:rsidRPr="00CB5D81" w14:paraId="09609736" w14:textId="77777777" w:rsidTr="001958B4">
        <w:trPr>
          <w:trHeight w:val="300"/>
          <w:jc w:val="center"/>
        </w:trPr>
        <w:tc>
          <w:tcPr>
            <w:tcW w:w="2520" w:type="dxa"/>
            <w:vMerge w:val="restart"/>
            <w:tcBorders>
              <w:top w:val="single" w:sz="4" w:space="0" w:color="000000"/>
              <w:left w:val="single" w:sz="4" w:space="0" w:color="000000" w:themeColor="text1"/>
              <w:bottom w:val="single" w:sz="4" w:space="0" w:color="000000"/>
              <w:right w:val="nil"/>
            </w:tcBorders>
            <w:shd w:val="clear" w:color="000000" w:fill="0C2577"/>
            <w:vAlign w:val="center"/>
            <w:hideMark/>
          </w:tcPr>
          <w:p w14:paraId="230F29A9"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Event Date</w:t>
            </w:r>
          </w:p>
        </w:tc>
        <w:tc>
          <w:tcPr>
            <w:tcW w:w="975" w:type="dxa"/>
            <w:vMerge w:val="restart"/>
            <w:tcBorders>
              <w:top w:val="single" w:sz="4" w:space="0" w:color="000000"/>
              <w:left w:val="single" w:sz="4" w:space="0" w:color="FFFFFF"/>
              <w:bottom w:val="single" w:sz="4" w:space="0" w:color="000000"/>
              <w:right w:val="single" w:sz="4" w:space="0" w:color="FFFFFF"/>
            </w:tcBorders>
            <w:shd w:val="clear" w:color="000000" w:fill="0C2577"/>
            <w:vAlign w:val="center"/>
            <w:hideMark/>
          </w:tcPr>
          <w:p w14:paraId="17BE0E7E"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 Enrolled</w:t>
            </w:r>
          </w:p>
        </w:tc>
        <w:tc>
          <w:tcPr>
            <w:tcW w:w="2085" w:type="dxa"/>
            <w:gridSpan w:val="2"/>
            <w:vMerge w:val="restart"/>
            <w:tcBorders>
              <w:top w:val="single" w:sz="4" w:space="0" w:color="000000"/>
              <w:left w:val="nil"/>
              <w:bottom w:val="single" w:sz="4" w:space="0" w:color="000000"/>
              <w:right w:val="single" w:sz="4" w:space="0" w:color="FFFFFF" w:themeColor="background1"/>
            </w:tcBorders>
            <w:shd w:val="clear" w:color="000000" w:fill="0C2577"/>
            <w:vAlign w:val="center"/>
            <w:hideMark/>
          </w:tcPr>
          <w:p w14:paraId="713EAB6F"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Aggregate (MWh/hour)</w:t>
            </w:r>
          </w:p>
        </w:tc>
        <w:tc>
          <w:tcPr>
            <w:tcW w:w="2070" w:type="dxa"/>
            <w:gridSpan w:val="2"/>
            <w:vMerge w:val="restart"/>
            <w:tcBorders>
              <w:top w:val="single" w:sz="4" w:space="0" w:color="000000"/>
              <w:left w:val="single" w:sz="4" w:space="0" w:color="FFFFFF" w:themeColor="background1"/>
              <w:bottom w:val="single" w:sz="4" w:space="0" w:color="000000"/>
              <w:right w:val="single" w:sz="4" w:space="0" w:color="FFFFFF" w:themeColor="background1"/>
            </w:tcBorders>
            <w:shd w:val="clear" w:color="000000" w:fill="0C2577"/>
            <w:vAlign w:val="center"/>
            <w:hideMark/>
          </w:tcPr>
          <w:p w14:paraId="0C43B79A"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Per-Customer (kWh/hour)</w:t>
            </w:r>
          </w:p>
        </w:tc>
        <w:tc>
          <w:tcPr>
            <w:tcW w:w="1080" w:type="dxa"/>
            <w:vMerge w:val="restart"/>
            <w:tcBorders>
              <w:top w:val="single" w:sz="4" w:space="0" w:color="000000"/>
              <w:left w:val="single" w:sz="4" w:space="0" w:color="FFFFFF" w:themeColor="background1"/>
              <w:bottom w:val="single" w:sz="4" w:space="0" w:color="000000"/>
              <w:right w:val="single" w:sz="4" w:space="0" w:color="FFFFFF"/>
            </w:tcBorders>
            <w:shd w:val="clear" w:color="000000" w:fill="0C2577"/>
            <w:vAlign w:val="center"/>
            <w:hideMark/>
          </w:tcPr>
          <w:p w14:paraId="1CE74AF7"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 xml:space="preserve">% Load Impact </w:t>
            </w:r>
          </w:p>
        </w:tc>
        <w:tc>
          <w:tcPr>
            <w:tcW w:w="1080" w:type="dxa"/>
            <w:vMerge w:val="restart"/>
            <w:tcBorders>
              <w:top w:val="single" w:sz="4" w:space="0" w:color="000000"/>
              <w:left w:val="single" w:sz="4" w:space="0" w:color="FFFFFF"/>
              <w:bottom w:val="single" w:sz="4" w:space="0" w:color="000000"/>
              <w:right w:val="single" w:sz="4" w:space="0" w:color="000000"/>
            </w:tcBorders>
            <w:shd w:val="clear" w:color="000000" w:fill="0C2577"/>
            <w:vAlign w:val="center"/>
            <w:hideMark/>
          </w:tcPr>
          <w:p w14:paraId="7033AC29"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Ave. Event Temp.</w:t>
            </w:r>
          </w:p>
        </w:tc>
      </w:tr>
      <w:tr w:rsidR="00D3527F" w:rsidRPr="00CB5D81" w14:paraId="4513B1C3" w14:textId="77777777" w:rsidTr="001958B4">
        <w:trPr>
          <w:trHeight w:val="300"/>
          <w:jc w:val="center"/>
        </w:trPr>
        <w:tc>
          <w:tcPr>
            <w:tcW w:w="2520" w:type="dxa"/>
            <w:vMerge/>
            <w:tcBorders>
              <w:top w:val="single" w:sz="4" w:space="0" w:color="000000"/>
              <w:left w:val="single" w:sz="4" w:space="0" w:color="000000" w:themeColor="text1"/>
              <w:bottom w:val="single" w:sz="4" w:space="0" w:color="000000"/>
              <w:right w:val="nil"/>
            </w:tcBorders>
            <w:vAlign w:val="center"/>
            <w:hideMark/>
          </w:tcPr>
          <w:p w14:paraId="59959EE6" w14:textId="77777777" w:rsidR="00D3527F" w:rsidRPr="00CB5D81" w:rsidRDefault="00D3527F" w:rsidP="00D3527F">
            <w:pPr>
              <w:rPr>
                <w:rFonts w:cs="Calibri"/>
                <w:b/>
                <w:bCs/>
                <w:color w:val="FFFFFF"/>
                <w:sz w:val="22"/>
                <w:szCs w:val="22"/>
              </w:rPr>
            </w:pPr>
          </w:p>
        </w:tc>
        <w:tc>
          <w:tcPr>
            <w:tcW w:w="975" w:type="dxa"/>
            <w:vMerge/>
            <w:tcBorders>
              <w:top w:val="single" w:sz="4" w:space="0" w:color="000000"/>
              <w:left w:val="single" w:sz="4" w:space="0" w:color="FFFFFF"/>
              <w:bottom w:val="single" w:sz="4" w:space="0" w:color="000000"/>
              <w:right w:val="single" w:sz="4" w:space="0" w:color="FFFFFF"/>
            </w:tcBorders>
            <w:vAlign w:val="center"/>
            <w:hideMark/>
          </w:tcPr>
          <w:p w14:paraId="5BFDC4CE" w14:textId="77777777" w:rsidR="00D3527F" w:rsidRPr="00CB5D81" w:rsidRDefault="00D3527F" w:rsidP="00D3527F">
            <w:pPr>
              <w:rPr>
                <w:rFonts w:cs="Calibri"/>
                <w:b/>
                <w:bCs/>
                <w:color w:val="FFFFFF"/>
                <w:sz w:val="22"/>
                <w:szCs w:val="22"/>
              </w:rPr>
            </w:pPr>
          </w:p>
        </w:tc>
        <w:tc>
          <w:tcPr>
            <w:tcW w:w="2085" w:type="dxa"/>
            <w:gridSpan w:val="2"/>
            <w:vMerge/>
            <w:tcBorders>
              <w:top w:val="single" w:sz="4" w:space="0" w:color="000000"/>
              <w:left w:val="nil"/>
              <w:bottom w:val="single" w:sz="4" w:space="0" w:color="FFFFFF" w:themeColor="background1"/>
              <w:right w:val="single" w:sz="4" w:space="0" w:color="FFFFFF" w:themeColor="background1"/>
            </w:tcBorders>
            <w:vAlign w:val="center"/>
            <w:hideMark/>
          </w:tcPr>
          <w:p w14:paraId="3173F837" w14:textId="77777777" w:rsidR="00D3527F" w:rsidRPr="00CB5D81" w:rsidRDefault="00D3527F" w:rsidP="00D3527F">
            <w:pPr>
              <w:rPr>
                <w:rFonts w:cs="Calibri"/>
                <w:b/>
                <w:bCs/>
                <w:color w:val="FFFFFF"/>
                <w:sz w:val="22"/>
                <w:szCs w:val="22"/>
              </w:rPr>
            </w:pPr>
          </w:p>
        </w:tc>
        <w:tc>
          <w:tcPr>
            <w:tcW w:w="2070" w:type="dxa"/>
            <w:gridSpan w:val="2"/>
            <w:vMerge/>
            <w:tcBorders>
              <w:top w:val="single" w:sz="4" w:space="0" w:color="000000"/>
              <w:left w:val="single" w:sz="4" w:space="0" w:color="FFFFFF" w:themeColor="background1"/>
              <w:bottom w:val="single" w:sz="4" w:space="0" w:color="FFFFFF" w:themeColor="background1"/>
              <w:right w:val="single" w:sz="4" w:space="0" w:color="FFFFFF" w:themeColor="background1"/>
            </w:tcBorders>
            <w:vAlign w:val="center"/>
            <w:hideMark/>
          </w:tcPr>
          <w:p w14:paraId="4906269A" w14:textId="77777777" w:rsidR="00D3527F" w:rsidRPr="00CB5D81" w:rsidRDefault="00D3527F" w:rsidP="00D3527F">
            <w:pPr>
              <w:rPr>
                <w:rFonts w:cs="Calibri"/>
                <w:b/>
                <w:bCs/>
                <w:color w:val="FFFFFF"/>
                <w:sz w:val="22"/>
                <w:szCs w:val="22"/>
              </w:rPr>
            </w:pPr>
          </w:p>
        </w:tc>
        <w:tc>
          <w:tcPr>
            <w:tcW w:w="1080" w:type="dxa"/>
            <w:vMerge/>
            <w:tcBorders>
              <w:top w:val="single" w:sz="4" w:space="0" w:color="000000"/>
              <w:left w:val="single" w:sz="4" w:space="0" w:color="FFFFFF" w:themeColor="background1"/>
              <w:bottom w:val="single" w:sz="4" w:space="0" w:color="000000"/>
              <w:right w:val="single" w:sz="4" w:space="0" w:color="FFFFFF"/>
            </w:tcBorders>
            <w:vAlign w:val="center"/>
            <w:hideMark/>
          </w:tcPr>
          <w:p w14:paraId="0C03CCDF" w14:textId="77777777" w:rsidR="00D3527F" w:rsidRPr="00CB5D81" w:rsidRDefault="00D3527F" w:rsidP="00D3527F">
            <w:pPr>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single" w:sz="4" w:space="0" w:color="000000"/>
            </w:tcBorders>
            <w:vAlign w:val="center"/>
            <w:hideMark/>
          </w:tcPr>
          <w:p w14:paraId="08D74235" w14:textId="77777777" w:rsidR="00D3527F" w:rsidRPr="00CB5D81" w:rsidRDefault="00D3527F" w:rsidP="00D3527F">
            <w:pPr>
              <w:rPr>
                <w:rFonts w:cs="Calibri"/>
                <w:b/>
                <w:bCs/>
                <w:color w:val="FFFFFF"/>
                <w:sz w:val="22"/>
                <w:szCs w:val="22"/>
              </w:rPr>
            </w:pPr>
          </w:p>
        </w:tc>
      </w:tr>
      <w:tr w:rsidR="00D3527F" w:rsidRPr="00CB5D81" w14:paraId="12990881" w14:textId="77777777" w:rsidTr="001958B4">
        <w:trPr>
          <w:trHeight w:val="300"/>
          <w:jc w:val="center"/>
        </w:trPr>
        <w:tc>
          <w:tcPr>
            <w:tcW w:w="2520" w:type="dxa"/>
            <w:vMerge/>
            <w:tcBorders>
              <w:top w:val="single" w:sz="4" w:space="0" w:color="000000"/>
              <w:left w:val="single" w:sz="4" w:space="0" w:color="000000" w:themeColor="text1"/>
              <w:bottom w:val="single" w:sz="4" w:space="0" w:color="000000"/>
              <w:right w:val="nil"/>
            </w:tcBorders>
            <w:vAlign w:val="center"/>
            <w:hideMark/>
          </w:tcPr>
          <w:p w14:paraId="1F975CC2" w14:textId="77777777" w:rsidR="00D3527F" w:rsidRPr="00CB5D81" w:rsidRDefault="00D3527F" w:rsidP="00D3527F">
            <w:pPr>
              <w:rPr>
                <w:rFonts w:cs="Calibri"/>
                <w:b/>
                <w:bCs/>
                <w:color w:val="FFFFFF"/>
                <w:sz w:val="22"/>
                <w:szCs w:val="22"/>
              </w:rPr>
            </w:pPr>
          </w:p>
        </w:tc>
        <w:tc>
          <w:tcPr>
            <w:tcW w:w="975" w:type="dxa"/>
            <w:vMerge/>
            <w:tcBorders>
              <w:top w:val="single" w:sz="4" w:space="0" w:color="000000"/>
              <w:left w:val="single" w:sz="4" w:space="0" w:color="FFFFFF"/>
              <w:bottom w:val="single" w:sz="4" w:space="0" w:color="000000"/>
              <w:right w:val="single" w:sz="4" w:space="0" w:color="FFFFFF"/>
            </w:tcBorders>
            <w:vAlign w:val="center"/>
            <w:hideMark/>
          </w:tcPr>
          <w:p w14:paraId="0CCE4CEE" w14:textId="77777777" w:rsidR="00D3527F" w:rsidRPr="00CB5D81" w:rsidRDefault="00D3527F" w:rsidP="00D3527F">
            <w:pPr>
              <w:rPr>
                <w:rFonts w:cs="Calibri"/>
                <w:b/>
                <w:bCs/>
                <w:color w:val="FFFFFF"/>
                <w:sz w:val="22"/>
                <w:szCs w:val="22"/>
              </w:rPr>
            </w:pPr>
          </w:p>
        </w:tc>
        <w:tc>
          <w:tcPr>
            <w:tcW w:w="1005" w:type="dxa"/>
            <w:vMerge w:val="restart"/>
            <w:tcBorders>
              <w:top w:val="single" w:sz="4" w:space="0" w:color="FFFFFF" w:themeColor="background1"/>
              <w:left w:val="single" w:sz="4" w:space="0" w:color="FFFFFF"/>
              <w:bottom w:val="single" w:sz="4" w:space="0" w:color="000000"/>
              <w:right w:val="single" w:sz="4" w:space="0" w:color="FFFFFF"/>
            </w:tcBorders>
            <w:shd w:val="clear" w:color="000000" w:fill="0C2577"/>
            <w:vAlign w:val="center"/>
            <w:hideMark/>
          </w:tcPr>
          <w:p w14:paraId="616A00C1"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Ref. Load</w:t>
            </w:r>
          </w:p>
        </w:tc>
        <w:tc>
          <w:tcPr>
            <w:tcW w:w="1080" w:type="dxa"/>
            <w:vMerge w:val="restart"/>
            <w:tcBorders>
              <w:top w:val="single" w:sz="4" w:space="0" w:color="FFFFFF" w:themeColor="background1"/>
              <w:left w:val="single" w:sz="4" w:space="0" w:color="FFFFFF"/>
              <w:bottom w:val="single" w:sz="4" w:space="0" w:color="000000"/>
              <w:right w:val="nil"/>
            </w:tcBorders>
            <w:shd w:val="clear" w:color="000000" w:fill="0C2577"/>
            <w:vAlign w:val="center"/>
            <w:hideMark/>
          </w:tcPr>
          <w:p w14:paraId="3AABD217"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Load Impact</w:t>
            </w:r>
          </w:p>
        </w:tc>
        <w:tc>
          <w:tcPr>
            <w:tcW w:w="990" w:type="dxa"/>
            <w:vMerge w:val="restart"/>
            <w:tcBorders>
              <w:top w:val="single" w:sz="4" w:space="0" w:color="FFFFFF" w:themeColor="background1"/>
              <w:left w:val="single" w:sz="4" w:space="0" w:color="FFFFFF"/>
              <w:bottom w:val="single" w:sz="4" w:space="0" w:color="000000"/>
              <w:right w:val="single" w:sz="4" w:space="0" w:color="FFFFFF"/>
            </w:tcBorders>
            <w:shd w:val="clear" w:color="000000" w:fill="0C2577"/>
            <w:vAlign w:val="center"/>
            <w:hideMark/>
          </w:tcPr>
          <w:p w14:paraId="6CA79E5C"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Ref. Load</w:t>
            </w:r>
          </w:p>
        </w:tc>
        <w:tc>
          <w:tcPr>
            <w:tcW w:w="1080" w:type="dxa"/>
            <w:vMerge w:val="restart"/>
            <w:tcBorders>
              <w:top w:val="single" w:sz="4" w:space="0" w:color="FFFFFF" w:themeColor="background1"/>
              <w:left w:val="nil"/>
              <w:bottom w:val="single" w:sz="4" w:space="0" w:color="000000"/>
              <w:right w:val="single" w:sz="4" w:space="0" w:color="FFFFFF" w:themeColor="background1"/>
            </w:tcBorders>
            <w:shd w:val="clear" w:color="000000" w:fill="0C2577"/>
            <w:vAlign w:val="center"/>
            <w:hideMark/>
          </w:tcPr>
          <w:p w14:paraId="75731FBD" w14:textId="77777777" w:rsidR="00D3527F" w:rsidRPr="00CB5D81" w:rsidRDefault="00D3527F" w:rsidP="00D3527F">
            <w:pPr>
              <w:jc w:val="center"/>
              <w:rPr>
                <w:rFonts w:cs="Calibri"/>
                <w:b/>
                <w:bCs/>
                <w:color w:val="FFFFFF"/>
                <w:sz w:val="22"/>
                <w:szCs w:val="22"/>
              </w:rPr>
            </w:pPr>
            <w:r w:rsidRPr="00CB5D81">
              <w:rPr>
                <w:rFonts w:cs="Calibri"/>
                <w:b/>
                <w:bCs/>
                <w:color w:val="FFFFFF"/>
                <w:sz w:val="22"/>
                <w:szCs w:val="22"/>
              </w:rPr>
              <w:t>Load Impact</w:t>
            </w:r>
          </w:p>
        </w:tc>
        <w:tc>
          <w:tcPr>
            <w:tcW w:w="1080" w:type="dxa"/>
            <w:vMerge/>
            <w:tcBorders>
              <w:top w:val="single" w:sz="4" w:space="0" w:color="000000"/>
              <w:left w:val="single" w:sz="4" w:space="0" w:color="FFFFFF" w:themeColor="background1"/>
              <w:bottom w:val="single" w:sz="4" w:space="0" w:color="000000"/>
              <w:right w:val="single" w:sz="4" w:space="0" w:color="FFFFFF"/>
            </w:tcBorders>
            <w:vAlign w:val="center"/>
            <w:hideMark/>
          </w:tcPr>
          <w:p w14:paraId="5C957A4A" w14:textId="77777777" w:rsidR="00D3527F" w:rsidRPr="00CB5D81" w:rsidRDefault="00D3527F" w:rsidP="00D3527F">
            <w:pPr>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single" w:sz="4" w:space="0" w:color="000000"/>
            </w:tcBorders>
            <w:vAlign w:val="center"/>
            <w:hideMark/>
          </w:tcPr>
          <w:p w14:paraId="6D81409F" w14:textId="77777777" w:rsidR="00D3527F" w:rsidRPr="00CB5D81" w:rsidRDefault="00D3527F" w:rsidP="00D3527F">
            <w:pPr>
              <w:rPr>
                <w:rFonts w:cs="Calibri"/>
                <w:b/>
                <w:bCs/>
                <w:color w:val="FFFFFF"/>
                <w:sz w:val="22"/>
                <w:szCs w:val="22"/>
              </w:rPr>
            </w:pPr>
          </w:p>
        </w:tc>
      </w:tr>
      <w:tr w:rsidR="00D3527F" w:rsidRPr="00CB5D81" w14:paraId="3CF15324" w14:textId="77777777" w:rsidTr="001958B4">
        <w:trPr>
          <w:trHeight w:val="300"/>
          <w:jc w:val="center"/>
        </w:trPr>
        <w:tc>
          <w:tcPr>
            <w:tcW w:w="2520" w:type="dxa"/>
            <w:vMerge/>
            <w:tcBorders>
              <w:top w:val="single" w:sz="4" w:space="0" w:color="000000"/>
              <w:left w:val="single" w:sz="4" w:space="0" w:color="000000" w:themeColor="text1"/>
              <w:bottom w:val="single" w:sz="4" w:space="0" w:color="000000"/>
              <w:right w:val="nil"/>
            </w:tcBorders>
            <w:vAlign w:val="center"/>
            <w:hideMark/>
          </w:tcPr>
          <w:p w14:paraId="13E7F058" w14:textId="77777777" w:rsidR="00D3527F" w:rsidRPr="00CB5D81" w:rsidRDefault="00D3527F" w:rsidP="00D3527F">
            <w:pPr>
              <w:rPr>
                <w:rFonts w:cs="Calibri"/>
                <w:b/>
                <w:bCs/>
                <w:color w:val="FFFFFF"/>
                <w:sz w:val="22"/>
                <w:szCs w:val="22"/>
              </w:rPr>
            </w:pPr>
          </w:p>
        </w:tc>
        <w:tc>
          <w:tcPr>
            <w:tcW w:w="975" w:type="dxa"/>
            <w:vMerge/>
            <w:tcBorders>
              <w:top w:val="single" w:sz="4" w:space="0" w:color="000000"/>
              <w:left w:val="single" w:sz="4" w:space="0" w:color="FFFFFF"/>
              <w:bottom w:val="single" w:sz="4" w:space="0" w:color="000000"/>
              <w:right w:val="single" w:sz="4" w:space="0" w:color="FFFFFF"/>
            </w:tcBorders>
            <w:vAlign w:val="center"/>
            <w:hideMark/>
          </w:tcPr>
          <w:p w14:paraId="43FC0B47" w14:textId="77777777" w:rsidR="00D3527F" w:rsidRPr="00CB5D81" w:rsidRDefault="00D3527F" w:rsidP="00D3527F">
            <w:pPr>
              <w:rPr>
                <w:rFonts w:cs="Calibri"/>
                <w:b/>
                <w:bCs/>
                <w:color w:val="FFFFFF"/>
                <w:sz w:val="22"/>
                <w:szCs w:val="22"/>
              </w:rPr>
            </w:pPr>
          </w:p>
        </w:tc>
        <w:tc>
          <w:tcPr>
            <w:tcW w:w="1005" w:type="dxa"/>
            <w:vMerge/>
            <w:tcBorders>
              <w:top w:val="single" w:sz="4" w:space="0" w:color="FFFFFF"/>
              <w:left w:val="single" w:sz="4" w:space="0" w:color="FFFFFF"/>
              <w:bottom w:val="single" w:sz="4" w:space="0" w:color="000000"/>
              <w:right w:val="single" w:sz="4" w:space="0" w:color="FFFFFF"/>
            </w:tcBorders>
            <w:vAlign w:val="center"/>
            <w:hideMark/>
          </w:tcPr>
          <w:p w14:paraId="37497C2F" w14:textId="77777777" w:rsidR="00D3527F" w:rsidRPr="00CB5D81" w:rsidRDefault="00D3527F" w:rsidP="00D3527F">
            <w:pPr>
              <w:rPr>
                <w:rFonts w:cs="Calibri"/>
                <w:b/>
                <w:bCs/>
                <w:color w:val="FFFFFF"/>
                <w:sz w:val="22"/>
                <w:szCs w:val="22"/>
              </w:rPr>
            </w:pPr>
          </w:p>
        </w:tc>
        <w:tc>
          <w:tcPr>
            <w:tcW w:w="1080" w:type="dxa"/>
            <w:vMerge/>
            <w:tcBorders>
              <w:top w:val="single" w:sz="4" w:space="0" w:color="FFFFFF"/>
              <w:left w:val="single" w:sz="4" w:space="0" w:color="FFFFFF"/>
              <w:bottom w:val="single" w:sz="4" w:space="0" w:color="000000"/>
              <w:right w:val="nil"/>
            </w:tcBorders>
            <w:vAlign w:val="center"/>
            <w:hideMark/>
          </w:tcPr>
          <w:p w14:paraId="192DE54D" w14:textId="77777777" w:rsidR="00D3527F" w:rsidRPr="00CB5D81" w:rsidRDefault="00D3527F" w:rsidP="00D3527F">
            <w:pPr>
              <w:rPr>
                <w:rFonts w:cs="Calibri"/>
                <w:b/>
                <w:bCs/>
                <w:color w:val="FFFFFF"/>
                <w:sz w:val="22"/>
                <w:szCs w:val="22"/>
              </w:rPr>
            </w:pPr>
          </w:p>
        </w:tc>
        <w:tc>
          <w:tcPr>
            <w:tcW w:w="990" w:type="dxa"/>
            <w:vMerge/>
            <w:tcBorders>
              <w:top w:val="single" w:sz="4" w:space="0" w:color="FFFFFF"/>
              <w:left w:val="single" w:sz="4" w:space="0" w:color="FFFFFF"/>
              <w:bottom w:val="single" w:sz="4" w:space="0" w:color="000000"/>
              <w:right w:val="single" w:sz="4" w:space="0" w:color="FFFFFF"/>
            </w:tcBorders>
            <w:vAlign w:val="center"/>
            <w:hideMark/>
          </w:tcPr>
          <w:p w14:paraId="10C286BA" w14:textId="77777777" w:rsidR="00D3527F" w:rsidRPr="00CB5D81" w:rsidRDefault="00D3527F" w:rsidP="00D3527F">
            <w:pPr>
              <w:rPr>
                <w:rFonts w:cs="Calibri"/>
                <w:b/>
                <w:bCs/>
                <w:color w:val="FFFFFF"/>
                <w:sz w:val="22"/>
                <w:szCs w:val="22"/>
              </w:rPr>
            </w:pPr>
          </w:p>
        </w:tc>
        <w:tc>
          <w:tcPr>
            <w:tcW w:w="1080" w:type="dxa"/>
            <w:vMerge/>
            <w:tcBorders>
              <w:top w:val="single" w:sz="4" w:space="0" w:color="FFFFFF"/>
              <w:left w:val="nil"/>
              <w:bottom w:val="single" w:sz="4" w:space="0" w:color="000000"/>
              <w:right w:val="single" w:sz="4" w:space="0" w:color="FFFFFF" w:themeColor="background1"/>
            </w:tcBorders>
            <w:vAlign w:val="center"/>
            <w:hideMark/>
          </w:tcPr>
          <w:p w14:paraId="11B7598D" w14:textId="77777777" w:rsidR="00D3527F" w:rsidRPr="00CB5D81" w:rsidRDefault="00D3527F" w:rsidP="00D3527F">
            <w:pPr>
              <w:rPr>
                <w:rFonts w:cs="Calibri"/>
                <w:b/>
                <w:bCs/>
                <w:color w:val="FFFFFF"/>
                <w:sz w:val="22"/>
                <w:szCs w:val="22"/>
              </w:rPr>
            </w:pPr>
          </w:p>
        </w:tc>
        <w:tc>
          <w:tcPr>
            <w:tcW w:w="1080" w:type="dxa"/>
            <w:vMerge/>
            <w:tcBorders>
              <w:top w:val="single" w:sz="4" w:space="0" w:color="000000"/>
              <w:left w:val="single" w:sz="4" w:space="0" w:color="FFFFFF" w:themeColor="background1"/>
              <w:bottom w:val="single" w:sz="4" w:space="0" w:color="000000"/>
              <w:right w:val="single" w:sz="4" w:space="0" w:color="FFFFFF"/>
            </w:tcBorders>
            <w:vAlign w:val="center"/>
            <w:hideMark/>
          </w:tcPr>
          <w:p w14:paraId="41F330BE" w14:textId="77777777" w:rsidR="00D3527F" w:rsidRPr="00CB5D81" w:rsidRDefault="00D3527F" w:rsidP="00D3527F">
            <w:pPr>
              <w:rPr>
                <w:rFonts w:cs="Calibri"/>
                <w:b/>
                <w:bCs/>
                <w:color w:val="FFFFFF"/>
                <w:sz w:val="22"/>
                <w:szCs w:val="22"/>
              </w:rPr>
            </w:pPr>
          </w:p>
        </w:tc>
        <w:tc>
          <w:tcPr>
            <w:tcW w:w="1080" w:type="dxa"/>
            <w:vMerge/>
            <w:tcBorders>
              <w:top w:val="single" w:sz="4" w:space="0" w:color="000000"/>
              <w:left w:val="single" w:sz="4" w:space="0" w:color="FFFFFF"/>
              <w:bottom w:val="single" w:sz="4" w:space="0" w:color="000000"/>
              <w:right w:val="single" w:sz="4" w:space="0" w:color="000000"/>
            </w:tcBorders>
            <w:vAlign w:val="center"/>
            <w:hideMark/>
          </w:tcPr>
          <w:p w14:paraId="29A1BD8B" w14:textId="77777777" w:rsidR="00D3527F" w:rsidRPr="00CB5D81" w:rsidRDefault="00D3527F" w:rsidP="00D3527F">
            <w:pPr>
              <w:rPr>
                <w:rFonts w:cs="Calibri"/>
                <w:b/>
                <w:bCs/>
                <w:color w:val="FFFFFF"/>
                <w:sz w:val="22"/>
                <w:szCs w:val="22"/>
              </w:rPr>
            </w:pPr>
          </w:p>
        </w:tc>
      </w:tr>
      <w:tr w:rsidR="00D3527F" w:rsidRPr="00CB5D81" w14:paraId="4AEE4F0B" w14:textId="77777777" w:rsidTr="001958B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center"/>
            <w:hideMark/>
          </w:tcPr>
          <w:p w14:paraId="110F5729" w14:textId="77777777" w:rsidR="00D3527F" w:rsidRPr="00CB5D81" w:rsidRDefault="00D3527F" w:rsidP="00D3527F">
            <w:pPr>
              <w:jc w:val="center"/>
              <w:rPr>
                <w:rFonts w:cs="Calibri"/>
                <w:color w:val="000000"/>
                <w:sz w:val="22"/>
                <w:szCs w:val="22"/>
              </w:rPr>
            </w:pPr>
            <w:r w:rsidRPr="00CB5D81">
              <w:rPr>
                <w:rFonts w:cs="Calibri"/>
                <w:color w:val="000000"/>
                <w:sz w:val="22"/>
                <w:szCs w:val="22"/>
              </w:rPr>
              <w:t>8/31/2017</w:t>
            </w:r>
          </w:p>
        </w:tc>
        <w:tc>
          <w:tcPr>
            <w:tcW w:w="975" w:type="dxa"/>
            <w:tcBorders>
              <w:top w:val="nil"/>
              <w:left w:val="nil"/>
              <w:bottom w:val="single" w:sz="4" w:space="0" w:color="000000"/>
              <w:right w:val="single" w:sz="4" w:space="0" w:color="000000"/>
            </w:tcBorders>
            <w:shd w:val="clear" w:color="auto" w:fill="auto"/>
            <w:noWrap/>
            <w:vAlign w:val="center"/>
            <w:hideMark/>
          </w:tcPr>
          <w:p w14:paraId="148F7386" w14:textId="77777777" w:rsidR="00D3527F" w:rsidRPr="00CB5D81" w:rsidRDefault="00D3527F" w:rsidP="00D3527F">
            <w:pPr>
              <w:jc w:val="center"/>
              <w:rPr>
                <w:rFonts w:cs="Calibri"/>
                <w:color w:val="000000"/>
                <w:sz w:val="22"/>
                <w:szCs w:val="22"/>
              </w:rPr>
            </w:pPr>
            <w:r w:rsidRPr="00CB5D81">
              <w:rPr>
                <w:rFonts w:cs="Calibri"/>
                <w:color w:val="000000"/>
                <w:sz w:val="22"/>
                <w:szCs w:val="22"/>
              </w:rPr>
              <w:t>11,808</w:t>
            </w:r>
          </w:p>
        </w:tc>
        <w:tc>
          <w:tcPr>
            <w:tcW w:w="1005" w:type="dxa"/>
            <w:tcBorders>
              <w:top w:val="nil"/>
              <w:left w:val="nil"/>
              <w:bottom w:val="single" w:sz="4" w:space="0" w:color="000000"/>
              <w:right w:val="single" w:sz="4" w:space="0" w:color="000000"/>
            </w:tcBorders>
            <w:shd w:val="clear" w:color="auto" w:fill="auto"/>
            <w:noWrap/>
            <w:vAlign w:val="center"/>
            <w:hideMark/>
          </w:tcPr>
          <w:p w14:paraId="5E4F94EC" w14:textId="77777777" w:rsidR="00D3527F" w:rsidRPr="00CB5D81" w:rsidRDefault="00D3527F" w:rsidP="00D3527F">
            <w:pPr>
              <w:jc w:val="center"/>
              <w:rPr>
                <w:rFonts w:cs="Calibri"/>
                <w:color w:val="000000"/>
                <w:sz w:val="22"/>
                <w:szCs w:val="22"/>
              </w:rPr>
            </w:pPr>
            <w:r w:rsidRPr="00CB5D81">
              <w:rPr>
                <w:rFonts w:cs="Calibri"/>
                <w:color w:val="000000"/>
                <w:sz w:val="22"/>
                <w:szCs w:val="22"/>
              </w:rPr>
              <w:t>450.2</w:t>
            </w:r>
          </w:p>
        </w:tc>
        <w:tc>
          <w:tcPr>
            <w:tcW w:w="1080" w:type="dxa"/>
            <w:tcBorders>
              <w:top w:val="nil"/>
              <w:left w:val="nil"/>
              <w:bottom w:val="single" w:sz="4" w:space="0" w:color="000000"/>
              <w:right w:val="single" w:sz="4" w:space="0" w:color="000000"/>
            </w:tcBorders>
            <w:shd w:val="clear" w:color="auto" w:fill="auto"/>
            <w:noWrap/>
            <w:vAlign w:val="center"/>
            <w:hideMark/>
          </w:tcPr>
          <w:p w14:paraId="2E11193F" w14:textId="77777777" w:rsidR="00D3527F" w:rsidRPr="00CB5D81" w:rsidRDefault="00D3527F" w:rsidP="00D3527F">
            <w:pPr>
              <w:jc w:val="center"/>
              <w:rPr>
                <w:rFonts w:cs="Calibri"/>
                <w:color w:val="000000"/>
                <w:sz w:val="22"/>
                <w:szCs w:val="22"/>
              </w:rPr>
            </w:pPr>
            <w:r w:rsidRPr="00CB5D81">
              <w:rPr>
                <w:rFonts w:cs="Calibri"/>
                <w:color w:val="000000"/>
                <w:sz w:val="22"/>
                <w:szCs w:val="22"/>
              </w:rPr>
              <w:t>1.4</w:t>
            </w:r>
          </w:p>
        </w:tc>
        <w:tc>
          <w:tcPr>
            <w:tcW w:w="990" w:type="dxa"/>
            <w:tcBorders>
              <w:top w:val="nil"/>
              <w:left w:val="nil"/>
              <w:bottom w:val="single" w:sz="4" w:space="0" w:color="000000"/>
              <w:right w:val="single" w:sz="4" w:space="0" w:color="000000"/>
            </w:tcBorders>
            <w:shd w:val="clear" w:color="auto" w:fill="auto"/>
            <w:noWrap/>
            <w:vAlign w:val="center"/>
            <w:hideMark/>
          </w:tcPr>
          <w:p w14:paraId="610254DC" w14:textId="77777777" w:rsidR="00D3527F" w:rsidRPr="00CB5D81" w:rsidRDefault="00D3527F" w:rsidP="00D3527F">
            <w:pPr>
              <w:jc w:val="center"/>
              <w:rPr>
                <w:rFonts w:cs="Calibri"/>
                <w:color w:val="000000"/>
                <w:sz w:val="22"/>
                <w:szCs w:val="22"/>
              </w:rPr>
            </w:pPr>
            <w:r w:rsidRPr="00CB5D81">
              <w:rPr>
                <w:rFonts w:cs="Calibri"/>
                <w:color w:val="000000"/>
                <w:sz w:val="22"/>
                <w:szCs w:val="22"/>
              </w:rPr>
              <w:t>38.1</w:t>
            </w:r>
          </w:p>
        </w:tc>
        <w:tc>
          <w:tcPr>
            <w:tcW w:w="1080" w:type="dxa"/>
            <w:tcBorders>
              <w:top w:val="nil"/>
              <w:left w:val="nil"/>
              <w:bottom w:val="single" w:sz="4" w:space="0" w:color="000000"/>
              <w:right w:val="single" w:sz="4" w:space="0" w:color="000000" w:themeColor="text1"/>
            </w:tcBorders>
            <w:shd w:val="clear" w:color="auto" w:fill="auto"/>
            <w:noWrap/>
            <w:vAlign w:val="center"/>
            <w:hideMark/>
          </w:tcPr>
          <w:p w14:paraId="317E66FF" w14:textId="77777777" w:rsidR="00D3527F" w:rsidRPr="00CB5D81" w:rsidRDefault="00D3527F" w:rsidP="00D3527F">
            <w:pPr>
              <w:jc w:val="center"/>
              <w:rPr>
                <w:rFonts w:cs="Calibri"/>
                <w:color w:val="000000"/>
                <w:sz w:val="22"/>
                <w:szCs w:val="22"/>
              </w:rPr>
            </w:pPr>
            <w:r w:rsidRPr="00CB5D81">
              <w:rPr>
                <w:rFonts w:cs="Calibri"/>
                <w:color w:val="000000"/>
                <w:sz w:val="22"/>
                <w:szCs w:val="22"/>
              </w:rPr>
              <w:t>0.1</w:t>
            </w:r>
          </w:p>
        </w:tc>
        <w:tc>
          <w:tcPr>
            <w:tcW w:w="1080" w:type="dxa"/>
            <w:tcBorders>
              <w:top w:val="nil"/>
              <w:left w:val="single" w:sz="4" w:space="0" w:color="000000" w:themeColor="text1"/>
              <w:bottom w:val="single" w:sz="4" w:space="0" w:color="000000"/>
              <w:right w:val="single" w:sz="4" w:space="0" w:color="000000"/>
            </w:tcBorders>
            <w:shd w:val="clear" w:color="auto" w:fill="auto"/>
            <w:noWrap/>
            <w:vAlign w:val="center"/>
            <w:hideMark/>
          </w:tcPr>
          <w:p w14:paraId="59420DC4" w14:textId="77777777" w:rsidR="00D3527F" w:rsidRPr="00CB5D81" w:rsidRDefault="00D3527F" w:rsidP="00D3527F">
            <w:pPr>
              <w:jc w:val="center"/>
              <w:rPr>
                <w:rFonts w:cs="Calibri"/>
                <w:color w:val="000000"/>
                <w:sz w:val="22"/>
                <w:szCs w:val="22"/>
              </w:rPr>
            </w:pPr>
            <w:r w:rsidRPr="00CB5D81">
              <w:rPr>
                <w:rFonts w:cs="Calibri"/>
                <w:color w:val="000000"/>
                <w:sz w:val="22"/>
                <w:szCs w:val="22"/>
              </w:rPr>
              <w:t>0.3%</w:t>
            </w:r>
          </w:p>
        </w:tc>
        <w:tc>
          <w:tcPr>
            <w:tcW w:w="1080" w:type="dxa"/>
            <w:tcBorders>
              <w:top w:val="nil"/>
              <w:left w:val="nil"/>
              <w:bottom w:val="single" w:sz="4" w:space="0" w:color="000000"/>
              <w:right w:val="single" w:sz="4" w:space="0" w:color="000000"/>
            </w:tcBorders>
            <w:shd w:val="clear" w:color="auto" w:fill="auto"/>
            <w:noWrap/>
            <w:vAlign w:val="center"/>
            <w:hideMark/>
          </w:tcPr>
          <w:p w14:paraId="5616FCD5" w14:textId="77777777" w:rsidR="00D3527F" w:rsidRPr="00CB5D81" w:rsidRDefault="00D3527F" w:rsidP="00D3527F">
            <w:pPr>
              <w:jc w:val="center"/>
              <w:rPr>
                <w:rFonts w:cs="Calibri"/>
                <w:color w:val="000000"/>
                <w:sz w:val="22"/>
                <w:szCs w:val="22"/>
              </w:rPr>
            </w:pPr>
            <w:r w:rsidRPr="00CB5D81">
              <w:rPr>
                <w:rFonts w:cs="Calibri"/>
                <w:color w:val="000000"/>
                <w:sz w:val="22"/>
                <w:szCs w:val="22"/>
              </w:rPr>
              <w:t>88.1</w:t>
            </w:r>
          </w:p>
        </w:tc>
      </w:tr>
      <w:tr w:rsidR="00D3527F" w:rsidRPr="00CB5D81" w14:paraId="05CCAD33" w14:textId="77777777" w:rsidTr="001958B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center"/>
            <w:hideMark/>
          </w:tcPr>
          <w:p w14:paraId="335B46C4" w14:textId="77777777" w:rsidR="00D3527F" w:rsidRPr="00CB5D81" w:rsidRDefault="00D3527F" w:rsidP="00D3527F">
            <w:pPr>
              <w:jc w:val="center"/>
              <w:rPr>
                <w:rFonts w:cs="Calibri"/>
                <w:color w:val="000000"/>
                <w:sz w:val="22"/>
                <w:szCs w:val="22"/>
              </w:rPr>
            </w:pPr>
            <w:r w:rsidRPr="00CB5D81">
              <w:rPr>
                <w:rFonts w:cs="Calibri"/>
                <w:color w:val="000000"/>
                <w:sz w:val="22"/>
                <w:szCs w:val="22"/>
              </w:rPr>
              <w:t>9/1/2017</w:t>
            </w:r>
          </w:p>
        </w:tc>
        <w:tc>
          <w:tcPr>
            <w:tcW w:w="975" w:type="dxa"/>
            <w:tcBorders>
              <w:top w:val="nil"/>
              <w:left w:val="nil"/>
              <w:bottom w:val="single" w:sz="4" w:space="0" w:color="000000"/>
              <w:right w:val="single" w:sz="4" w:space="0" w:color="000000"/>
            </w:tcBorders>
            <w:shd w:val="clear" w:color="auto" w:fill="auto"/>
            <w:noWrap/>
            <w:vAlign w:val="center"/>
            <w:hideMark/>
          </w:tcPr>
          <w:p w14:paraId="4FB6AB03" w14:textId="77777777" w:rsidR="00D3527F" w:rsidRPr="00CB5D81" w:rsidRDefault="00D3527F" w:rsidP="00D3527F">
            <w:pPr>
              <w:jc w:val="center"/>
              <w:rPr>
                <w:rFonts w:cs="Calibri"/>
                <w:color w:val="000000"/>
                <w:sz w:val="22"/>
                <w:szCs w:val="22"/>
              </w:rPr>
            </w:pPr>
            <w:r w:rsidRPr="00CB5D81">
              <w:rPr>
                <w:rFonts w:cs="Calibri"/>
                <w:color w:val="000000"/>
                <w:sz w:val="22"/>
                <w:szCs w:val="22"/>
              </w:rPr>
              <w:t>11,808</w:t>
            </w:r>
          </w:p>
        </w:tc>
        <w:tc>
          <w:tcPr>
            <w:tcW w:w="1005" w:type="dxa"/>
            <w:tcBorders>
              <w:top w:val="nil"/>
              <w:left w:val="nil"/>
              <w:bottom w:val="single" w:sz="4" w:space="0" w:color="000000"/>
              <w:right w:val="single" w:sz="4" w:space="0" w:color="000000"/>
            </w:tcBorders>
            <w:shd w:val="clear" w:color="auto" w:fill="auto"/>
            <w:noWrap/>
            <w:vAlign w:val="center"/>
            <w:hideMark/>
          </w:tcPr>
          <w:p w14:paraId="2DCB7BD1" w14:textId="77777777" w:rsidR="00D3527F" w:rsidRPr="00CB5D81" w:rsidRDefault="00D3527F" w:rsidP="00D3527F">
            <w:pPr>
              <w:jc w:val="center"/>
              <w:rPr>
                <w:rFonts w:cs="Calibri"/>
                <w:color w:val="000000"/>
                <w:sz w:val="22"/>
                <w:szCs w:val="22"/>
              </w:rPr>
            </w:pPr>
            <w:r w:rsidRPr="00CB5D81">
              <w:rPr>
                <w:rFonts w:cs="Calibri"/>
                <w:color w:val="000000"/>
                <w:sz w:val="22"/>
                <w:szCs w:val="22"/>
              </w:rPr>
              <w:t>459.7</w:t>
            </w:r>
          </w:p>
        </w:tc>
        <w:tc>
          <w:tcPr>
            <w:tcW w:w="1080" w:type="dxa"/>
            <w:tcBorders>
              <w:top w:val="nil"/>
              <w:left w:val="nil"/>
              <w:bottom w:val="single" w:sz="4" w:space="0" w:color="000000"/>
              <w:right w:val="single" w:sz="4" w:space="0" w:color="000000"/>
            </w:tcBorders>
            <w:shd w:val="clear" w:color="auto" w:fill="auto"/>
            <w:noWrap/>
            <w:vAlign w:val="center"/>
            <w:hideMark/>
          </w:tcPr>
          <w:p w14:paraId="7259BFB7" w14:textId="77777777" w:rsidR="00D3527F" w:rsidRPr="00CB5D81" w:rsidRDefault="00D3527F" w:rsidP="00D3527F">
            <w:pPr>
              <w:jc w:val="center"/>
              <w:rPr>
                <w:rFonts w:cs="Calibri"/>
                <w:color w:val="000000"/>
                <w:sz w:val="22"/>
                <w:szCs w:val="22"/>
              </w:rPr>
            </w:pPr>
            <w:r w:rsidRPr="00CB5D81">
              <w:rPr>
                <w:rFonts w:cs="Calibri"/>
                <w:color w:val="000000"/>
                <w:sz w:val="22"/>
                <w:szCs w:val="22"/>
              </w:rPr>
              <w:t>0.7</w:t>
            </w:r>
          </w:p>
        </w:tc>
        <w:tc>
          <w:tcPr>
            <w:tcW w:w="990" w:type="dxa"/>
            <w:tcBorders>
              <w:top w:val="nil"/>
              <w:left w:val="nil"/>
              <w:bottom w:val="single" w:sz="4" w:space="0" w:color="000000"/>
              <w:right w:val="single" w:sz="4" w:space="0" w:color="000000"/>
            </w:tcBorders>
            <w:shd w:val="clear" w:color="auto" w:fill="auto"/>
            <w:noWrap/>
            <w:vAlign w:val="center"/>
            <w:hideMark/>
          </w:tcPr>
          <w:p w14:paraId="781CB18F" w14:textId="77777777" w:rsidR="00D3527F" w:rsidRPr="00CB5D81" w:rsidRDefault="00D3527F" w:rsidP="00D3527F">
            <w:pPr>
              <w:jc w:val="center"/>
              <w:rPr>
                <w:rFonts w:cs="Calibri"/>
                <w:color w:val="000000"/>
                <w:sz w:val="22"/>
                <w:szCs w:val="22"/>
              </w:rPr>
            </w:pPr>
            <w:r w:rsidRPr="00CB5D81">
              <w:rPr>
                <w:rFonts w:cs="Calibri"/>
                <w:color w:val="000000"/>
                <w:sz w:val="22"/>
                <w:szCs w:val="22"/>
              </w:rPr>
              <w:t>38.9</w:t>
            </w:r>
          </w:p>
        </w:tc>
        <w:tc>
          <w:tcPr>
            <w:tcW w:w="1080" w:type="dxa"/>
            <w:tcBorders>
              <w:top w:val="nil"/>
              <w:left w:val="nil"/>
              <w:bottom w:val="single" w:sz="4" w:space="0" w:color="000000"/>
              <w:right w:val="single" w:sz="4" w:space="0" w:color="000000"/>
            </w:tcBorders>
            <w:shd w:val="clear" w:color="auto" w:fill="auto"/>
            <w:noWrap/>
            <w:vAlign w:val="center"/>
            <w:hideMark/>
          </w:tcPr>
          <w:p w14:paraId="7FD4B24E" w14:textId="77777777" w:rsidR="00D3527F" w:rsidRPr="00CB5D81" w:rsidRDefault="00D3527F" w:rsidP="00D3527F">
            <w:pPr>
              <w:jc w:val="center"/>
              <w:rPr>
                <w:rFonts w:cs="Calibri"/>
                <w:color w:val="000000"/>
                <w:sz w:val="22"/>
                <w:szCs w:val="22"/>
              </w:rPr>
            </w:pPr>
            <w:r w:rsidRPr="00CB5D81">
              <w:rPr>
                <w:rFonts w:cs="Calibri"/>
                <w:color w:val="000000"/>
                <w:sz w:val="22"/>
                <w:szCs w:val="22"/>
              </w:rPr>
              <w:t>0.1</w:t>
            </w:r>
          </w:p>
        </w:tc>
        <w:tc>
          <w:tcPr>
            <w:tcW w:w="1080" w:type="dxa"/>
            <w:tcBorders>
              <w:top w:val="nil"/>
              <w:left w:val="nil"/>
              <w:bottom w:val="single" w:sz="4" w:space="0" w:color="000000"/>
              <w:right w:val="single" w:sz="4" w:space="0" w:color="000000"/>
            </w:tcBorders>
            <w:shd w:val="clear" w:color="auto" w:fill="auto"/>
            <w:noWrap/>
            <w:vAlign w:val="center"/>
            <w:hideMark/>
          </w:tcPr>
          <w:p w14:paraId="1DC9682D" w14:textId="77777777" w:rsidR="00D3527F" w:rsidRPr="00CB5D81" w:rsidRDefault="00D3527F" w:rsidP="00D3527F">
            <w:pPr>
              <w:jc w:val="center"/>
              <w:rPr>
                <w:rFonts w:cs="Calibri"/>
                <w:color w:val="000000"/>
                <w:sz w:val="22"/>
                <w:szCs w:val="22"/>
              </w:rPr>
            </w:pPr>
            <w:r w:rsidRPr="00CB5D81">
              <w:rPr>
                <w:rFonts w:cs="Calibri"/>
                <w:color w:val="000000"/>
                <w:sz w:val="22"/>
                <w:szCs w:val="22"/>
              </w:rPr>
              <w:t>0.1%</w:t>
            </w:r>
          </w:p>
        </w:tc>
        <w:tc>
          <w:tcPr>
            <w:tcW w:w="1080" w:type="dxa"/>
            <w:tcBorders>
              <w:top w:val="nil"/>
              <w:left w:val="nil"/>
              <w:bottom w:val="single" w:sz="4" w:space="0" w:color="000000"/>
              <w:right w:val="single" w:sz="4" w:space="0" w:color="000000"/>
            </w:tcBorders>
            <w:shd w:val="clear" w:color="auto" w:fill="auto"/>
            <w:noWrap/>
            <w:vAlign w:val="center"/>
            <w:hideMark/>
          </w:tcPr>
          <w:p w14:paraId="52AE5A57" w14:textId="77777777" w:rsidR="00D3527F" w:rsidRPr="00CB5D81" w:rsidRDefault="00D3527F" w:rsidP="00D3527F">
            <w:pPr>
              <w:jc w:val="center"/>
              <w:rPr>
                <w:rFonts w:cs="Calibri"/>
                <w:color w:val="000000"/>
                <w:sz w:val="22"/>
                <w:szCs w:val="22"/>
              </w:rPr>
            </w:pPr>
            <w:r w:rsidRPr="00CB5D81">
              <w:rPr>
                <w:rFonts w:cs="Calibri"/>
                <w:color w:val="000000"/>
                <w:sz w:val="22"/>
                <w:szCs w:val="22"/>
              </w:rPr>
              <w:t>94.6</w:t>
            </w:r>
          </w:p>
        </w:tc>
      </w:tr>
      <w:tr w:rsidR="00D3527F" w:rsidRPr="00CB5D81" w14:paraId="499D803F" w14:textId="77777777" w:rsidTr="001958B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center"/>
            <w:hideMark/>
          </w:tcPr>
          <w:p w14:paraId="181D3F18" w14:textId="77777777" w:rsidR="00D3527F" w:rsidRPr="00CB5D81" w:rsidRDefault="00D3527F" w:rsidP="00D3527F">
            <w:pPr>
              <w:jc w:val="center"/>
              <w:rPr>
                <w:rFonts w:cs="Calibri"/>
                <w:color w:val="000000"/>
                <w:sz w:val="22"/>
                <w:szCs w:val="22"/>
              </w:rPr>
            </w:pPr>
            <w:r w:rsidRPr="00CB5D81">
              <w:rPr>
                <w:rFonts w:cs="Calibri"/>
                <w:color w:val="000000"/>
                <w:sz w:val="22"/>
                <w:szCs w:val="22"/>
              </w:rPr>
              <w:t>9/2/2017</w:t>
            </w:r>
          </w:p>
        </w:tc>
        <w:tc>
          <w:tcPr>
            <w:tcW w:w="975" w:type="dxa"/>
            <w:tcBorders>
              <w:top w:val="nil"/>
              <w:left w:val="nil"/>
              <w:bottom w:val="single" w:sz="4" w:space="0" w:color="000000"/>
              <w:right w:val="single" w:sz="4" w:space="0" w:color="000000"/>
            </w:tcBorders>
            <w:shd w:val="clear" w:color="auto" w:fill="auto"/>
            <w:noWrap/>
            <w:vAlign w:val="center"/>
            <w:hideMark/>
          </w:tcPr>
          <w:p w14:paraId="350A2CB9" w14:textId="77777777" w:rsidR="00D3527F" w:rsidRPr="00CB5D81" w:rsidRDefault="00D3527F" w:rsidP="00D3527F">
            <w:pPr>
              <w:jc w:val="center"/>
              <w:rPr>
                <w:rFonts w:cs="Calibri"/>
                <w:color w:val="000000"/>
                <w:sz w:val="22"/>
                <w:szCs w:val="22"/>
              </w:rPr>
            </w:pPr>
            <w:r w:rsidRPr="00CB5D81">
              <w:rPr>
                <w:rFonts w:cs="Calibri"/>
                <w:color w:val="000000"/>
                <w:sz w:val="22"/>
                <w:szCs w:val="22"/>
              </w:rPr>
              <w:t>11,809</w:t>
            </w:r>
          </w:p>
        </w:tc>
        <w:tc>
          <w:tcPr>
            <w:tcW w:w="1005" w:type="dxa"/>
            <w:tcBorders>
              <w:top w:val="nil"/>
              <w:left w:val="nil"/>
              <w:bottom w:val="single" w:sz="4" w:space="0" w:color="000000"/>
              <w:right w:val="single" w:sz="4" w:space="0" w:color="000000"/>
            </w:tcBorders>
            <w:shd w:val="clear" w:color="auto" w:fill="auto"/>
            <w:noWrap/>
            <w:vAlign w:val="center"/>
            <w:hideMark/>
          </w:tcPr>
          <w:p w14:paraId="6262871A" w14:textId="77777777" w:rsidR="00D3527F" w:rsidRPr="00CB5D81" w:rsidRDefault="00D3527F" w:rsidP="00D3527F">
            <w:pPr>
              <w:jc w:val="center"/>
              <w:rPr>
                <w:rFonts w:cs="Calibri"/>
                <w:color w:val="000000"/>
                <w:sz w:val="22"/>
                <w:szCs w:val="22"/>
              </w:rPr>
            </w:pPr>
            <w:r w:rsidRPr="00CB5D81">
              <w:rPr>
                <w:rFonts w:cs="Calibri"/>
                <w:color w:val="000000"/>
                <w:sz w:val="22"/>
                <w:szCs w:val="22"/>
              </w:rPr>
              <w:t>367.4</w:t>
            </w:r>
          </w:p>
        </w:tc>
        <w:tc>
          <w:tcPr>
            <w:tcW w:w="1080" w:type="dxa"/>
            <w:tcBorders>
              <w:top w:val="nil"/>
              <w:left w:val="nil"/>
              <w:bottom w:val="single" w:sz="4" w:space="0" w:color="000000"/>
              <w:right w:val="single" w:sz="4" w:space="0" w:color="000000"/>
            </w:tcBorders>
            <w:shd w:val="clear" w:color="auto" w:fill="auto"/>
            <w:noWrap/>
            <w:vAlign w:val="center"/>
            <w:hideMark/>
          </w:tcPr>
          <w:p w14:paraId="78E5DEBD" w14:textId="77777777" w:rsidR="00D3527F" w:rsidRPr="00CB5D81" w:rsidRDefault="00D3527F" w:rsidP="00D3527F">
            <w:pPr>
              <w:jc w:val="center"/>
              <w:rPr>
                <w:rFonts w:cs="Calibri"/>
                <w:color w:val="000000"/>
                <w:sz w:val="22"/>
                <w:szCs w:val="22"/>
              </w:rPr>
            </w:pPr>
            <w:r w:rsidRPr="00CB5D81">
              <w:rPr>
                <w:rFonts w:cs="Calibri"/>
                <w:color w:val="000000"/>
                <w:sz w:val="22"/>
                <w:szCs w:val="22"/>
              </w:rPr>
              <w:t>-5.9</w:t>
            </w:r>
          </w:p>
        </w:tc>
        <w:tc>
          <w:tcPr>
            <w:tcW w:w="990" w:type="dxa"/>
            <w:tcBorders>
              <w:top w:val="nil"/>
              <w:left w:val="nil"/>
              <w:bottom w:val="single" w:sz="4" w:space="0" w:color="000000"/>
              <w:right w:val="single" w:sz="4" w:space="0" w:color="000000"/>
            </w:tcBorders>
            <w:shd w:val="clear" w:color="auto" w:fill="auto"/>
            <w:noWrap/>
            <w:vAlign w:val="center"/>
            <w:hideMark/>
          </w:tcPr>
          <w:p w14:paraId="259EE0E3" w14:textId="77777777" w:rsidR="00D3527F" w:rsidRPr="00CB5D81" w:rsidRDefault="00D3527F" w:rsidP="00D3527F">
            <w:pPr>
              <w:jc w:val="center"/>
              <w:rPr>
                <w:rFonts w:cs="Calibri"/>
                <w:color w:val="000000"/>
                <w:sz w:val="22"/>
                <w:szCs w:val="22"/>
              </w:rPr>
            </w:pPr>
            <w:r w:rsidRPr="00CB5D81">
              <w:rPr>
                <w:rFonts w:cs="Calibri"/>
                <w:color w:val="000000"/>
                <w:sz w:val="22"/>
                <w:szCs w:val="22"/>
              </w:rPr>
              <w:t>31.1</w:t>
            </w:r>
          </w:p>
        </w:tc>
        <w:tc>
          <w:tcPr>
            <w:tcW w:w="1080" w:type="dxa"/>
            <w:tcBorders>
              <w:top w:val="nil"/>
              <w:left w:val="nil"/>
              <w:bottom w:val="single" w:sz="4" w:space="0" w:color="000000"/>
              <w:right w:val="single" w:sz="4" w:space="0" w:color="000000"/>
            </w:tcBorders>
            <w:shd w:val="clear" w:color="auto" w:fill="auto"/>
            <w:noWrap/>
            <w:vAlign w:val="center"/>
            <w:hideMark/>
          </w:tcPr>
          <w:p w14:paraId="5B26316A" w14:textId="77777777" w:rsidR="00D3527F" w:rsidRPr="00CB5D81" w:rsidRDefault="00D3527F" w:rsidP="00D3527F">
            <w:pPr>
              <w:jc w:val="center"/>
              <w:rPr>
                <w:rFonts w:cs="Calibri"/>
                <w:color w:val="000000"/>
                <w:sz w:val="22"/>
                <w:szCs w:val="22"/>
              </w:rPr>
            </w:pPr>
            <w:r w:rsidRPr="00CB5D81">
              <w:rPr>
                <w:rFonts w:cs="Calibri"/>
                <w:color w:val="000000"/>
                <w:sz w:val="22"/>
                <w:szCs w:val="22"/>
              </w:rPr>
              <w:t>-0.5</w:t>
            </w:r>
          </w:p>
        </w:tc>
        <w:tc>
          <w:tcPr>
            <w:tcW w:w="1080" w:type="dxa"/>
            <w:tcBorders>
              <w:top w:val="nil"/>
              <w:left w:val="nil"/>
              <w:bottom w:val="single" w:sz="4" w:space="0" w:color="000000"/>
              <w:right w:val="single" w:sz="4" w:space="0" w:color="000000"/>
            </w:tcBorders>
            <w:shd w:val="clear" w:color="auto" w:fill="auto"/>
            <w:noWrap/>
            <w:vAlign w:val="center"/>
            <w:hideMark/>
          </w:tcPr>
          <w:p w14:paraId="63429E40" w14:textId="77777777" w:rsidR="00D3527F" w:rsidRPr="00CB5D81" w:rsidRDefault="00D3527F" w:rsidP="00D3527F">
            <w:pPr>
              <w:jc w:val="center"/>
              <w:rPr>
                <w:rFonts w:cs="Calibri"/>
                <w:color w:val="000000"/>
                <w:sz w:val="22"/>
                <w:szCs w:val="22"/>
              </w:rPr>
            </w:pPr>
            <w:r w:rsidRPr="00CB5D81">
              <w:rPr>
                <w:rFonts w:cs="Calibri"/>
                <w:color w:val="000000"/>
                <w:sz w:val="22"/>
                <w:szCs w:val="22"/>
              </w:rPr>
              <w:t>-1.6%</w:t>
            </w:r>
          </w:p>
        </w:tc>
        <w:tc>
          <w:tcPr>
            <w:tcW w:w="1080" w:type="dxa"/>
            <w:tcBorders>
              <w:top w:val="nil"/>
              <w:left w:val="nil"/>
              <w:bottom w:val="single" w:sz="4" w:space="0" w:color="000000"/>
              <w:right w:val="single" w:sz="4" w:space="0" w:color="000000"/>
            </w:tcBorders>
            <w:shd w:val="clear" w:color="auto" w:fill="auto"/>
            <w:noWrap/>
            <w:vAlign w:val="center"/>
            <w:hideMark/>
          </w:tcPr>
          <w:p w14:paraId="0DBDE8ED" w14:textId="77777777" w:rsidR="00D3527F" w:rsidRPr="00CB5D81" w:rsidRDefault="00D3527F" w:rsidP="00D3527F">
            <w:pPr>
              <w:jc w:val="center"/>
              <w:rPr>
                <w:rFonts w:cs="Calibri"/>
                <w:color w:val="000000"/>
                <w:sz w:val="22"/>
                <w:szCs w:val="22"/>
              </w:rPr>
            </w:pPr>
            <w:r w:rsidRPr="00CB5D81">
              <w:rPr>
                <w:rFonts w:cs="Calibri"/>
                <w:color w:val="000000"/>
                <w:sz w:val="22"/>
                <w:szCs w:val="22"/>
              </w:rPr>
              <w:t>93.7</w:t>
            </w:r>
          </w:p>
        </w:tc>
      </w:tr>
      <w:tr w:rsidR="00D3527F" w:rsidRPr="00CB5D81" w14:paraId="4B1017BB" w14:textId="77777777" w:rsidTr="001958B4">
        <w:trPr>
          <w:trHeight w:val="300"/>
          <w:jc w:val="center"/>
        </w:trPr>
        <w:tc>
          <w:tcPr>
            <w:tcW w:w="2520" w:type="dxa"/>
            <w:tcBorders>
              <w:top w:val="nil"/>
              <w:left w:val="single" w:sz="4" w:space="0" w:color="000000"/>
              <w:bottom w:val="single" w:sz="4" w:space="0" w:color="000000"/>
              <w:right w:val="single" w:sz="4" w:space="0" w:color="000000"/>
            </w:tcBorders>
            <w:shd w:val="clear" w:color="auto" w:fill="auto"/>
            <w:noWrap/>
            <w:vAlign w:val="center"/>
            <w:hideMark/>
          </w:tcPr>
          <w:p w14:paraId="3A4DDAE9" w14:textId="00B00F11" w:rsidR="00D3527F" w:rsidRPr="00754414" w:rsidRDefault="001958B4" w:rsidP="00D3527F">
            <w:pPr>
              <w:jc w:val="center"/>
              <w:rPr>
                <w:rFonts w:cs="Calibri"/>
                <w:b/>
                <w:color w:val="000000"/>
                <w:sz w:val="22"/>
                <w:szCs w:val="22"/>
              </w:rPr>
            </w:pPr>
            <w:r>
              <w:rPr>
                <w:rFonts w:cs="Calibri"/>
                <w:b/>
                <w:color w:val="000000"/>
                <w:sz w:val="22"/>
                <w:szCs w:val="22"/>
              </w:rPr>
              <w:t>Average Weekday Event</w:t>
            </w:r>
          </w:p>
        </w:tc>
        <w:tc>
          <w:tcPr>
            <w:tcW w:w="975" w:type="dxa"/>
            <w:tcBorders>
              <w:top w:val="nil"/>
              <w:left w:val="nil"/>
              <w:bottom w:val="single" w:sz="4" w:space="0" w:color="000000"/>
              <w:right w:val="single" w:sz="4" w:space="0" w:color="000000"/>
            </w:tcBorders>
            <w:shd w:val="clear" w:color="auto" w:fill="auto"/>
            <w:noWrap/>
            <w:vAlign w:val="center"/>
            <w:hideMark/>
          </w:tcPr>
          <w:p w14:paraId="57D3F74E"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11,808</w:t>
            </w:r>
          </w:p>
        </w:tc>
        <w:tc>
          <w:tcPr>
            <w:tcW w:w="1005" w:type="dxa"/>
            <w:tcBorders>
              <w:top w:val="nil"/>
              <w:left w:val="nil"/>
              <w:bottom w:val="single" w:sz="4" w:space="0" w:color="000000"/>
              <w:right w:val="single" w:sz="4" w:space="0" w:color="000000"/>
            </w:tcBorders>
            <w:shd w:val="clear" w:color="auto" w:fill="auto"/>
            <w:noWrap/>
            <w:vAlign w:val="center"/>
            <w:hideMark/>
          </w:tcPr>
          <w:p w14:paraId="79C3634B"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455.0</w:t>
            </w:r>
          </w:p>
        </w:tc>
        <w:tc>
          <w:tcPr>
            <w:tcW w:w="1080" w:type="dxa"/>
            <w:tcBorders>
              <w:top w:val="nil"/>
              <w:left w:val="nil"/>
              <w:bottom w:val="single" w:sz="4" w:space="0" w:color="000000"/>
              <w:right w:val="single" w:sz="4" w:space="0" w:color="000000"/>
            </w:tcBorders>
            <w:shd w:val="clear" w:color="auto" w:fill="auto"/>
            <w:noWrap/>
            <w:vAlign w:val="center"/>
            <w:hideMark/>
          </w:tcPr>
          <w:p w14:paraId="57C52D08"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1.0</w:t>
            </w:r>
          </w:p>
        </w:tc>
        <w:tc>
          <w:tcPr>
            <w:tcW w:w="990" w:type="dxa"/>
            <w:tcBorders>
              <w:top w:val="nil"/>
              <w:left w:val="nil"/>
              <w:bottom w:val="single" w:sz="4" w:space="0" w:color="000000"/>
              <w:right w:val="single" w:sz="4" w:space="0" w:color="000000"/>
            </w:tcBorders>
            <w:shd w:val="clear" w:color="auto" w:fill="auto"/>
            <w:noWrap/>
            <w:vAlign w:val="center"/>
            <w:hideMark/>
          </w:tcPr>
          <w:p w14:paraId="425D5E41"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38.5</w:t>
            </w:r>
          </w:p>
        </w:tc>
        <w:tc>
          <w:tcPr>
            <w:tcW w:w="1080" w:type="dxa"/>
            <w:tcBorders>
              <w:top w:val="nil"/>
              <w:left w:val="nil"/>
              <w:bottom w:val="single" w:sz="4" w:space="0" w:color="000000"/>
              <w:right w:val="single" w:sz="4" w:space="0" w:color="000000"/>
            </w:tcBorders>
            <w:shd w:val="clear" w:color="auto" w:fill="auto"/>
            <w:noWrap/>
            <w:vAlign w:val="center"/>
            <w:hideMark/>
          </w:tcPr>
          <w:p w14:paraId="12F5AEFF"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0.1</w:t>
            </w:r>
          </w:p>
        </w:tc>
        <w:tc>
          <w:tcPr>
            <w:tcW w:w="1080" w:type="dxa"/>
            <w:tcBorders>
              <w:top w:val="nil"/>
              <w:left w:val="nil"/>
              <w:bottom w:val="single" w:sz="4" w:space="0" w:color="000000"/>
              <w:right w:val="single" w:sz="4" w:space="0" w:color="000000"/>
            </w:tcBorders>
            <w:shd w:val="clear" w:color="auto" w:fill="auto"/>
            <w:noWrap/>
            <w:vAlign w:val="center"/>
            <w:hideMark/>
          </w:tcPr>
          <w:p w14:paraId="764715C5"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0.2%</w:t>
            </w:r>
          </w:p>
        </w:tc>
        <w:tc>
          <w:tcPr>
            <w:tcW w:w="1080" w:type="dxa"/>
            <w:tcBorders>
              <w:top w:val="nil"/>
              <w:left w:val="nil"/>
              <w:bottom w:val="single" w:sz="4" w:space="0" w:color="000000"/>
              <w:right w:val="single" w:sz="4" w:space="0" w:color="000000"/>
            </w:tcBorders>
            <w:shd w:val="clear" w:color="auto" w:fill="auto"/>
            <w:noWrap/>
            <w:vAlign w:val="center"/>
            <w:hideMark/>
          </w:tcPr>
          <w:p w14:paraId="201B1C0E" w14:textId="77777777" w:rsidR="00D3527F" w:rsidRPr="00754414" w:rsidRDefault="00D3527F" w:rsidP="00D3527F">
            <w:pPr>
              <w:jc w:val="center"/>
              <w:rPr>
                <w:rFonts w:cs="Calibri"/>
                <w:b/>
                <w:color w:val="000000"/>
                <w:sz w:val="22"/>
                <w:szCs w:val="22"/>
              </w:rPr>
            </w:pPr>
            <w:r w:rsidRPr="00754414">
              <w:rPr>
                <w:rFonts w:cs="Calibri"/>
                <w:b/>
                <w:color w:val="000000"/>
                <w:sz w:val="22"/>
                <w:szCs w:val="22"/>
              </w:rPr>
              <w:t>91.4</w:t>
            </w:r>
          </w:p>
        </w:tc>
      </w:tr>
    </w:tbl>
    <w:p w14:paraId="436B482F" w14:textId="77777777" w:rsidR="00D3527F" w:rsidRDefault="00D3527F" w:rsidP="00D3527F">
      <w:pPr>
        <w:spacing w:after="120"/>
        <w:rPr>
          <w:szCs w:val="32"/>
        </w:rPr>
      </w:pPr>
    </w:p>
    <w:p w14:paraId="05BD1875" w14:textId="1D74EC01" w:rsidR="00D3527F" w:rsidRDefault="00D3527F" w:rsidP="00D3527F">
      <w:pPr>
        <w:keepNext/>
      </w:pPr>
      <w:r>
        <w:fldChar w:fldCharType="begin"/>
      </w:r>
      <w:r>
        <w:instrText xml:space="preserve"> REF _Ref507435270 \h </w:instrText>
      </w:r>
      <w:r>
        <w:fldChar w:fldCharType="separate"/>
      </w:r>
      <w:r w:rsidR="005D5C7C">
        <w:t xml:space="preserve">Figure </w:t>
      </w:r>
      <w:r w:rsidR="005D5C7C">
        <w:rPr>
          <w:noProof/>
        </w:rPr>
        <w:t>5</w:t>
      </w:r>
      <w:r w:rsidR="005D5C7C">
        <w:t>.</w:t>
      </w:r>
      <w:r w:rsidR="005D5C7C">
        <w:rPr>
          <w:noProof/>
        </w:rPr>
        <w:t>5</w:t>
      </w:r>
      <w:r>
        <w:fldChar w:fldCharType="end"/>
      </w:r>
      <w:r>
        <w:t xml:space="preserve"> shows the aggregate hourly reference loads, observed loads, and estimated load impacts on the </w:t>
      </w:r>
      <w:r w:rsidR="001958B4">
        <w:t>average weekday</w:t>
      </w:r>
      <w:r>
        <w:t xml:space="preserve"> event for medium customers. </w:t>
      </w:r>
      <w:r>
        <w:fldChar w:fldCharType="begin"/>
      </w:r>
      <w:r>
        <w:instrText xml:space="preserve"> REF _Ref507435361 \h </w:instrText>
      </w:r>
      <w:r>
        <w:fldChar w:fldCharType="separate"/>
      </w:r>
      <w:r w:rsidR="005D5C7C">
        <w:t xml:space="preserve">Table </w:t>
      </w:r>
      <w:r w:rsidR="005D5C7C">
        <w:rPr>
          <w:noProof/>
        </w:rPr>
        <w:t>5</w:t>
      </w:r>
      <w:r w:rsidR="005D5C7C">
        <w:t>.</w:t>
      </w:r>
      <w:r w:rsidR="005D5C7C">
        <w:rPr>
          <w:noProof/>
        </w:rPr>
        <w:t>5</w:t>
      </w:r>
      <w:r>
        <w:fldChar w:fldCharType="end"/>
      </w:r>
      <w:r>
        <w:t xml:space="preserve"> contains the hourly </w:t>
      </w:r>
      <w:r w:rsidR="00D100B0">
        <w:t>average weekday</w:t>
      </w:r>
      <w:r>
        <w:t xml:space="preserve"> event results in the manner required by the Protocols, including hourly temperatures and uncertainty adjusted load impacts. There is no evidence of pre-cooling or post-event snapback. Overall, these results do not suggest that medium customers respond to events by reducing load during the event hours or in the hours surrounding the event, for the average weekday</w:t>
      </w:r>
      <w:r w:rsidR="001958B4">
        <w:t xml:space="preserve"> event</w:t>
      </w:r>
      <w:r>
        <w:t xml:space="preserve">. </w:t>
      </w:r>
    </w:p>
    <w:p w14:paraId="425FEAC3" w14:textId="77777777" w:rsidR="00D3527F" w:rsidRDefault="00D3527F" w:rsidP="00D3527F">
      <w:pPr>
        <w:keepNext/>
      </w:pPr>
    </w:p>
    <w:p w14:paraId="74BE25C2" w14:textId="12EDC16E" w:rsidR="00D3527F" w:rsidRPr="00004CBF" w:rsidRDefault="00D3527F" w:rsidP="00D3527F">
      <w:pPr>
        <w:pStyle w:val="FigureCaption"/>
      </w:pPr>
      <w:bookmarkStart w:id="452" w:name="_Ref507435270"/>
      <w:bookmarkStart w:id="453" w:name="_Toc509837510"/>
      <w:r>
        <w:t xml:space="preserve">Figure </w:t>
      </w:r>
      <w:fldSimple w:instr=" STYLEREF 1 \s ">
        <w:r w:rsidR="005D5C7C">
          <w:rPr>
            <w:noProof/>
          </w:rPr>
          <w:t>5</w:t>
        </w:r>
      </w:fldSimple>
      <w:r>
        <w:t>.</w:t>
      </w:r>
      <w:fldSimple w:instr=" SEQ Figure \* ARABIC \s 1 ">
        <w:r w:rsidR="005D5C7C">
          <w:rPr>
            <w:noProof/>
          </w:rPr>
          <w:t>5</w:t>
        </w:r>
      </w:fldSimple>
      <w:bookmarkEnd w:id="452"/>
      <w:r>
        <w:t xml:space="preserve">: </w:t>
      </w:r>
      <w:r w:rsidR="001958B4">
        <w:t>Average Weekday</w:t>
      </w:r>
      <w:r>
        <w:t xml:space="preserve"> Event Reference Load and Load Profile, </w:t>
      </w:r>
      <w:r>
        <w:rPr>
          <w:i/>
        </w:rPr>
        <w:t>SDG&amp;E Medium</w:t>
      </w:r>
      <w:bookmarkEnd w:id="453"/>
    </w:p>
    <w:p w14:paraId="3DBB8B66" w14:textId="77777777" w:rsidR="00D3527F" w:rsidRDefault="00D3527F" w:rsidP="00D3527F">
      <w:pPr>
        <w:spacing w:after="120"/>
        <w:jc w:val="center"/>
        <w:rPr>
          <w:szCs w:val="32"/>
        </w:rPr>
      </w:pPr>
      <w:r>
        <w:rPr>
          <w:noProof/>
          <w:szCs w:val="32"/>
        </w:rPr>
        <w:drawing>
          <wp:inline distT="0" distB="0" distL="0" distR="0" wp14:anchorId="00212E9E" wp14:editId="14060DBC">
            <wp:extent cx="4572635" cy="27432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5EDF8EB6" w14:textId="77777777" w:rsidR="00D3527F" w:rsidRDefault="00D3527F" w:rsidP="00D3527F">
      <w:pPr>
        <w:spacing w:after="120"/>
        <w:rPr>
          <w:szCs w:val="32"/>
        </w:rPr>
      </w:pPr>
    </w:p>
    <w:p w14:paraId="4172C0F9" w14:textId="295F892B" w:rsidR="00D3527F" w:rsidRPr="00666EEA" w:rsidRDefault="00D3527F" w:rsidP="00D3527F">
      <w:pPr>
        <w:pStyle w:val="TableCaption"/>
        <w:rPr>
          <w:i/>
        </w:rPr>
      </w:pPr>
      <w:bookmarkStart w:id="454" w:name="_Ref507435361"/>
      <w:bookmarkStart w:id="455" w:name="_Toc509837416"/>
      <w:r>
        <w:lastRenderedPageBreak/>
        <w:t xml:space="preserve">Table </w:t>
      </w:r>
      <w:fldSimple w:instr=" STYLEREF 1 \s ">
        <w:r w:rsidR="005D5C7C">
          <w:rPr>
            <w:noProof/>
          </w:rPr>
          <w:t>5</w:t>
        </w:r>
      </w:fldSimple>
      <w:r w:rsidR="0069714C">
        <w:t>.</w:t>
      </w:r>
      <w:fldSimple w:instr=" SEQ Table \* ARABIC \s 1 ">
        <w:r w:rsidR="005D5C7C">
          <w:rPr>
            <w:noProof/>
          </w:rPr>
          <w:t>5</w:t>
        </w:r>
      </w:fldSimple>
      <w:bookmarkEnd w:id="454"/>
      <w:r>
        <w:t xml:space="preserve">: </w:t>
      </w:r>
      <w:r w:rsidR="001958B4">
        <w:t>Average Weekday</w:t>
      </w:r>
      <w:r w:rsidR="00515724">
        <w:t xml:space="preserve"> Event </w:t>
      </w:r>
      <w:r>
        <w:t xml:space="preserve">Load Impacts and Uncertainty Adjusted Estimates by hour, </w:t>
      </w:r>
      <w:r>
        <w:rPr>
          <w:i/>
        </w:rPr>
        <w:t>SDG&amp;E Medium</w:t>
      </w:r>
      <w:bookmarkEnd w:id="455"/>
    </w:p>
    <w:p w14:paraId="6A61D6AA" w14:textId="4E6F0A14" w:rsidR="00D3527F" w:rsidRDefault="001958B4" w:rsidP="00D3527F">
      <w:pPr>
        <w:spacing w:after="120"/>
        <w:jc w:val="center"/>
        <w:rPr>
          <w:szCs w:val="32"/>
        </w:rPr>
      </w:pPr>
      <w:r w:rsidRPr="001958B4">
        <w:rPr>
          <w:noProof/>
        </w:rPr>
        <w:drawing>
          <wp:inline distT="0" distB="0" distL="0" distR="0" wp14:anchorId="132E4705" wp14:editId="1FD1944F">
            <wp:extent cx="5486400" cy="4491548"/>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486400" cy="4491548"/>
                    </a:xfrm>
                    <a:prstGeom prst="rect">
                      <a:avLst/>
                    </a:prstGeom>
                    <a:noFill/>
                    <a:ln>
                      <a:noFill/>
                    </a:ln>
                  </pic:spPr>
                </pic:pic>
              </a:graphicData>
            </a:graphic>
          </wp:inline>
        </w:drawing>
      </w:r>
    </w:p>
    <w:p w14:paraId="4675192A" w14:textId="77777777" w:rsidR="00D3527F" w:rsidRDefault="00D3527F" w:rsidP="00D3527F">
      <w:pPr>
        <w:spacing w:after="120"/>
        <w:rPr>
          <w:szCs w:val="32"/>
        </w:rPr>
      </w:pPr>
    </w:p>
    <w:p w14:paraId="15533F32" w14:textId="3B6B5C82" w:rsidR="00D3527F" w:rsidRDefault="00D3527F" w:rsidP="00D3527F">
      <w:pPr>
        <w:spacing w:after="120"/>
        <w:rPr>
          <w:szCs w:val="32"/>
        </w:rPr>
      </w:pPr>
      <w:r>
        <w:rPr>
          <w:szCs w:val="32"/>
        </w:rPr>
        <w:t xml:space="preserve">Next, we look at SDG&amp;E medium customer estimates by industry group. </w:t>
      </w:r>
      <w:r>
        <w:rPr>
          <w:szCs w:val="32"/>
        </w:rPr>
        <w:fldChar w:fldCharType="begin"/>
      </w:r>
      <w:r>
        <w:rPr>
          <w:szCs w:val="32"/>
        </w:rPr>
        <w:instrText xml:space="preserve"> REF _Ref507436056 \h </w:instrText>
      </w:r>
      <w:r>
        <w:rPr>
          <w:szCs w:val="32"/>
        </w:rPr>
      </w:r>
      <w:r>
        <w:rPr>
          <w:szCs w:val="32"/>
        </w:rPr>
        <w:fldChar w:fldCharType="separate"/>
      </w:r>
      <w:r w:rsidR="005D5C7C">
        <w:t xml:space="preserve">Table </w:t>
      </w:r>
      <w:r w:rsidR="005D5C7C">
        <w:rPr>
          <w:noProof/>
        </w:rPr>
        <w:t>5</w:t>
      </w:r>
      <w:r w:rsidR="005D5C7C">
        <w:t>.</w:t>
      </w:r>
      <w:r w:rsidR="005D5C7C">
        <w:rPr>
          <w:noProof/>
        </w:rPr>
        <w:t>6</w:t>
      </w:r>
      <w:r>
        <w:rPr>
          <w:szCs w:val="32"/>
        </w:rPr>
        <w:fldChar w:fldCharType="end"/>
      </w:r>
      <w:r>
        <w:rPr>
          <w:szCs w:val="32"/>
        </w:rPr>
        <w:t xml:space="preserve"> summarizes the aggregate event-hour results for the </w:t>
      </w:r>
      <w:r w:rsidR="001958B4">
        <w:rPr>
          <w:szCs w:val="32"/>
        </w:rPr>
        <w:t>average weekday</w:t>
      </w:r>
      <w:r>
        <w:rPr>
          <w:szCs w:val="32"/>
        </w:rPr>
        <w:t xml:space="preserve"> event for eight industry groups, including the number of enrolled customers, the reference and observed loads, and the estimated load impacts (in MWh/hour and as a percentage of the reference load). Although none of the industry groups has a load impact that reaches 1 MWh/hour, Institutional/Government has the highest magnitude load impact of 0.87 MWh/hour or 1.6% of the reference load. </w:t>
      </w:r>
    </w:p>
    <w:p w14:paraId="35AC19F6" w14:textId="0A6CBBBE" w:rsidR="00D3527F" w:rsidRPr="00A502F6" w:rsidRDefault="00D3527F" w:rsidP="00D3527F">
      <w:pPr>
        <w:pStyle w:val="TableCaption"/>
        <w:rPr>
          <w:i/>
        </w:rPr>
      </w:pPr>
      <w:bookmarkStart w:id="456" w:name="_Ref507436056"/>
      <w:bookmarkStart w:id="457" w:name="_Toc509837417"/>
      <w:r>
        <w:lastRenderedPageBreak/>
        <w:t xml:space="preserve">Table </w:t>
      </w:r>
      <w:fldSimple w:instr=" STYLEREF 1 \s ">
        <w:r w:rsidR="005D5C7C">
          <w:rPr>
            <w:noProof/>
          </w:rPr>
          <w:t>5</w:t>
        </w:r>
      </w:fldSimple>
      <w:r w:rsidR="0069714C">
        <w:t>.</w:t>
      </w:r>
      <w:fldSimple w:instr=" SEQ Table \* ARABIC \s 1 ">
        <w:r w:rsidR="005D5C7C">
          <w:rPr>
            <w:noProof/>
          </w:rPr>
          <w:t>6</w:t>
        </w:r>
      </w:fldSimple>
      <w:bookmarkEnd w:id="456"/>
      <w:r>
        <w:t xml:space="preserve">: </w:t>
      </w:r>
      <w:r w:rsidR="001958B4">
        <w:t>Average Weekday</w:t>
      </w:r>
      <w:r>
        <w:t xml:space="preserve"> Event Load Impacts by Industry Group, </w:t>
      </w:r>
      <w:r>
        <w:rPr>
          <w:i/>
        </w:rPr>
        <w:t>SDG&amp;E Medium</w:t>
      </w:r>
      <w:bookmarkEnd w:id="457"/>
    </w:p>
    <w:tbl>
      <w:tblPr>
        <w:tblW w:w="8905" w:type="dxa"/>
        <w:jc w:val="center"/>
        <w:tblLook w:val="04A0" w:firstRow="1" w:lastRow="0" w:firstColumn="1" w:lastColumn="0" w:noHBand="0" w:noVBand="1"/>
      </w:tblPr>
      <w:tblGrid>
        <w:gridCol w:w="3473"/>
        <w:gridCol w:w="1052"/>
        <w:gridCol w:w="1390"/>
        <w:gridCol w:w="1390"/>
        <w:gridCol w:w="1390"/>
        <w:gridCol w:w="946"/>
      </w:tblGrid>
      <w:tr w:rsidR="00D3527F" w:rsidRPr="00CB5D81" w14:paraId="1F52442F" w14:textId="77777777" w:rsidTr="00D3527F">
        <w:trPr>
          <w:trHeight w:val="300"/>
          <w:jc w:val="center"/>
        </w:trPr>
        <w:tc>
          <w:tcPr>
            <w:tcW w:w="0" w:type="auto"/>
            <w:vMerge w:val="restart"/>
            <w:tcBorders>
              <w:top w:val="single" w:sz="4" w:space="0" w:color="000000"/>
              <w:left w:val="single" w:sz="4" w:space="0" w:color="000000" w:themeColor="text1"/>
              <w:bottom w:val="single" w:sz="4" w:space="0" w:color="000000"/>
              <w:right w:val="nil"/>
            </w:tcBorders>
            <w:shd w:val="clear" w:color="000000" w:fill="0C2577"/>
            <w:noWrap/>
            <w:vAlign w:val="center"/>
            <w:hideMark/>
          </w:tcPr>
          <w:p w14:paraId="266CC012"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Industry Type</w:t>
            </w:r>
          </w:p>
        </w:tc>
        <w:tc>
          <w:tcPr>
            <w:tcW w:w="0" w:type="auto"/>
            <w:vMerge w:val="restart"/>
            <w:tcBorders>
              <w:top w:val="single" w:sz="4" w:space="0" w:color="000000"/>
              <w:left w:val="single" w:sz="4" w:space="0" w:color="FFFFFF"/>
              <w:bottom w:val="single" w:sz="4" w:space="0" w:color="000000"/>
              <w:right w:val="nil"/>
            </w:tcBorders>
            <w:shd w:val="clear" w:color="000000" w:fill="0C2577"/>
            <w:vAlign w:val="center"/>
            <w:hideMark/>
          </w:tcPr>
          <w:p w14:paraId="351133E1"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 of Service Accounts</w:t>
            </w:r>
          </w:p>
        </w:tc>
        <w:tc>
          <w:tcPr>
            <w:tcW w:w="0" w:type="auto"/>
            <w:vMerge w:val="restart"/>
            <w:tcBorders>
              <w:top w:val="single" w:sz="4" w:space="0" w:color="000000"/>
              <w:left w:val="single" w:sz="4" w:space="0" w:color="FFFFFF"/>
              <w:bottom w:val="single" w:sz="4" w:space="0" w:color="000000"/>
              <w:right w:val="nil"/>
            </w:tcBorders>
            <w:shd w:val="clear" w:color="000000" w:fill="0C2577"/>
            <w:vAlign w:val="center"/>
            <w:hideMark/>
          </w:tcPr>
          <w:p w14:paraId="70000132"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Estimated Reference Load (MW</w:t>
            </w:r>
            <w:r>
              <w:rPr>
                <w:rFonts w:cs="Calibri"/>
                <w:b/>
                <w:bCs/>
                <w:color w:val="FFFFFF"/>
                <w:sz w:val="22"/>
                <w:szCs w:val="22"/>
              </w:rPr>
              <w:t>h/hour</w:t>
            </w:r>
            <w:r w:rsidRPr="00CB5D81">
              <w:rPr>
                <w:rFonts w:cs="Calibri"/>
                <w:b/>
                <w:bCs/>
                <w:color w:val="FFFFFF"/>
                <w:sz w:val="22"/>
                <w:szCs w:val="22"/>
              </w:rPr>
              <w:t>)</w:t>
            </w:r>
          </w:p>
        </w:tc>
        <w:tc>
          <w:tcPr>
            <w:tcW w:w="0" w:type="auto"/>
            <w:vMerge w:val="restart"/>
            <w:tcBorders>
              <w:top w:val="single" w:sz="4" w:space="0" w:color="000000"/>
              <w:left w:val="single" w:sz="4" w:space="0" w:color="FFFFFF"/>
              <w:bottom w:val="single" w:sz="4" w:space="0" w:color="000000"/>
              <w:right w:val="single" w:sz="4" w:space="0" w:color="FFFFFF"/>
            </w:tcBorders>
            <w:shd w:val="clear" w:color="000000" w:fill="0C2577"/>
            <w:vAlign w:val="center"/>
            <w:hideMark/>
          </w:tcPr>
          <w:p w14:paraId="4B3ADFC9"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Observed Load (MW</w:t>
            </w:r>
            <w:r>
              <w:rPr>
                <w:rFonts w:cs="Calibri"/>
                <w:b/>
                <w:bCs/>
                <w:color w:val="FFFFFF"/>
                <w:sz w:val="22"/>
                <w:szCs w:val="22"/>
              </w:rPr>
              <w:t>h/hour</w:t>
            </w:r>
            <w:r w:rsidRPr="00CB5D81">
              <w:rPr>
                <w:rFonts w:cs="Calibri"/>
                <w:b/>
                <w:bCs/>
                <w:color w:val="FFFFFF"/>
                <w:sz w:val="22"/>
                <w:szCs w:val="22"/>
              </w:rPr>
              <w:t>)</w:t>
            </w:r>
          </w:p>
        </w:tc>
        <w:tc>
          <w:tcPr>
            <w:tcW w:w="0" w:type="auto"/>
            <w:vMerge w:val="restart"/>
            <w:tcBorders>
              <w:top w:val="single" w:sz="4" w:space="0" w:color="000000"/>
              <w:left w:val="nil"/>
              <w:bottom w:val="single" w:sz="4" w:space="0" w:color="000000"/>
              <w:right w:val="nil"/>
            </w:tcBorders>
            <w:shd w:val="clear" w:color="000000" w:fill="0C2577"/>
            <w:vAlign w:val="center"/>
            <w:hideMark/>
          </w:tcPr>
          <w:p w14:paraId="2CA80F57"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Estimated Load Impact (MW</w:t>
            </w:r>
            <w:r>
              <w:rPr>
                <w:rFonts w:cs="Calibri"/>
                <w:b/>
                <w:bCs/>
                <w:color w:val="FFFFFF"/>
                <w:sz w:val="22"/>
                <w:szCs w:val="22"/>
              </w:rPr>
              <w:t>h/hour</w:t>
            </w:r>
            <w:r w:rsidRPr="00CB5D81">
              <w:rPr>
                <w:rFonts w:cs="Calibri"/>
                <w:b/>
                <w:bCs/>
                <w:color w:val="FFFFFF"/>
                <w:sz w:val="22"/>
                <w:szCs w:val="22"/>
              </w:rPr>
              <w:t>)</w:t>
            </w:r>
          </w:p>
        </w:tc>
        <w:tc>
          <w:tcPr>
            <w:tcW w:w="946" w:type="dxa"/>
            <w:vMerge w:val="restart"/>
            <w:tcBorders>
              <w:top w:val="single" w:sz="4" w:space="0" w:color="000000"/>
              <w:left w:val="single" w:sz="4" w:space="0" w:color="FFFFFF"/>
              <w:bottom w:val="single" w:sz="4" w:space="0" w:color="000000"/>
              <w:right w:val="single" w:sz="4" w:space="0" w:color="000000"/>
            </w:tcBorders>
            <w:shd w:val="clear" w:color="000000" w:fill="0C2577"/>
            <w:vAlign w:val="center"/>
            <w:hideMark/>
          </w:tcPr>
          <w:p w14:paraId="466156F8" w14:textId="77777777" w:rsidR="00D3527F" w:rsidRPr="00CB5D81" w:rsidRDefault="00D3527F" w:rsidP="00D3527F">
            <w:pPr>
              <w:keepNext/>
              <w:jc w:val="center"/>
              <w:rPr>
                <w:rFonts w:cs="Calibri"/>
                <w:b/>
                <w:bCs/>
                <w:color w:val="FFFFFF"/>
                <w:sz w:val="22"/>
                <w:szCs w:val="22"/>
              </w:rPr>
            </w:pPr>
            <w:r w:rsidRPr="00CB5D81">
              <w:rPr>
                <w:rFonts w:cs="Calibri"/>
                <w:b/>
                <w:bCs/>
                <w:color w:val="FFFFFF"/>
                <w:sz w:val="22"/>
                <w:szCs w:val="22"/>
              </w:rPr>
              <w:t>% LI</w:t>
            </w:r>
          </w:p>
        </w:tc>
      </w:tr>
      <w:tr w:rsidR="00D3527F" w:rsidRPr="00CB5D81" w14:paraId="5EF73B1C" w14:textId="77777777" w:rsidTr="00D3527F">
        <w:trPr>
          <w:trHeight w:val="300"/>
          <w:jc w:val="center"/>
        </w:trPr>
        <w:tc>
          <w:tcPr>
            <w:tcW w:w="0" w:type="auto"/>
            <w:vMerge/>
            <w:tcBorders>
              <w:top w:val="single" w:sz="4" w:space="0" w:color="000000"/>
              <w:left w:val="single" w:sz="4" w:space="0" w:color="000000" w:themeColor="text1"/>
              <w:bottom w:val="single" w:sz="4" w:space="0" w:color="000000"/>
              <w:right w:val="nil"/>
            </w:tcBorders>
            <w:vAlign w:val="center"/>
            <w:hideMark/>
          </w:tcPr>
          <w:p w14:paraId="320E7B9E" w14:textId="77777777" w:rsidR="00D3527F" w:rsidRPr="00CB5D81" w:rsidRDefault="00D3527F" w:rsidP="00D3527F">
            <w:pPr>
              <w:keepNext/>
              <w:rPr>
                <w:rFonts w:cs="Calibri"/>
                <w:b/>
                <w:bCs/>
                <w:color w:val="FFFFFF"/>
                <w:sz w:val="22"/>
                <w:szCs w:val="22"/>
              </w:rPr>
            </w:pPr>
          </w:p>
        </w:tc>
        <w:tc>
          <w:tcPr>
            <w:tcW w:w="0" w:type="auto"/>
            <w:vMerge/>
            <w:tcBorders>
              <w:top w:val="single" w:sz="4" w:space="0" w:color="000000"/>
              <w:left w:val="single" w:sz="4" w:space="0" w:color="FFFFFF"/>
              <w:bottom w:val="single" w:sz="4" w:space="0" w:color="000000"/>
              <w:right w:val="nil"/>
            </w:tcBorders>
            <w:vAlign w:val="center"/>
            <w:hideMark/>
          </w:tcPr>
          <w:p w14:paraId="70A92D3E" w14:textId="77777777" w:rsidR="00D3527F" w:rsidRPr="00CB5D81" w:rsidRDefault="00D3527F" w:rsidP="00D3527F">
            <w:pPr>
              <w:keepNext/>
              <w:rPr>
                <w:rFonts w:cs="Calibri"/>
                <w:b/>
                <w:bCs/>
                <w:color w:val="FFFFFF"/>
                <w:sz w:val="22"/>
                <w:szCs w:val="22"/>
              </w:rPr>
            </w:pPr>
          </w:p>
        </w:tc>
        <w:tc>
          <w:tcPr>
            <w:tcW w:w="0" w:type="auto"/>
            <w:vMerge/>
            <w:tcBorders>
              <w:top w:val="single" w:sz="4" w:space="0" w:color="000000"/>
              <w:left w:val="single" w:sz="4" w:space="0" w:color="FFFFFF"/>
              <w:bottom w:val="single" w:sz="4" w:space="0" w:color="000000"/>
              <w:right w:val="nil"/>
            </w:tcBorders>
            <w:vAlign w:val="center"/>
            <w:hideMark/>
          </w:tcPr>
          <w:p w14:paraId="2539A35A" w14:textId="77777777" w:rsidR="00D3527F" w:rsidRPr="00CB5D81" w:rsidRDefault="00D3527F" w:rsidP="00D3527F">
            <w:pPr>
              <w:keepNext/>
              <w:rPr>
                <w:rFonts w:cs="Calibri"/>
                <w:b/>
                <w:bCs/>
                <w:color w:val="FFFFFF"/>
                <w:sz w:val="22"/>
                <w:szCs w:val="22"/>
              </w:rPr>
            </w:pPr>
          </w:p>
        </w:tc>
        <w:tc>
          <w:tcPr>
            <w:tcW w:w="0" w:type="auto"/>
            <w:vMerge/>
            <w:tcBorders>
              <w:top w:val="single" w:sz="4" w:space="0" w:color="000000"/>
              <w:left w:val="single" w:sz="4" w:space="0" w:color="FFFFFF"/>
              <w:bottom w:val="single" w:sz="4" w:space="0" w:color="000000"/>
              <w:right w:val="single" w:sz="4" w:space="0" w:color="FFFFFF"/>
            </w:tcBorders>
            <w:vAlign w:val="center"/>
            <w:hideMark/>
          </w:tcPr>
          <w:p w14:paraId="2F3C890A" w14:textId="77777777" w:rsidR="00D3527F" w:rsidRPr="00CB5D81" w:rsidRDefault="00D3527F" w:rsidP="00D3527F">
            <w:pPr>
              <w:keepNext/>
              <w:rPr>
                <w:rFonts w:cs="Calibri"/>
                <w:b/>
                <w:bCs/>
                <w:color w:val="FFFFFF"/>
                <w:sz w:val="22"/>
                <w:szCs w:val="22"/>
              </w:rPr>
            </w:pPr>
          </w:p>
        </w:tc>
        <w:tc>
          <w:tcPr>
            <w:tcW w:w="0" w:type="auto"/>
            <w:vMerge/>
            <w:tcBorders>
              <w:top w:val="single" w:sz="4" w:space="0" w:color="000000"/>
              <w:left w:val="nil"/>
              <w:bottom w:val="single" w:sz="4" w:space="0" w:color="000000"/>
              <w:right w:val="nil"/>
            </w:tcBorders>
            <w:vAlign w:val="center"/>
            <w:hideMark/>
          </w:tcPr>
          <w:p w14:paraId="40621A34" w14:textId="77777777" w:rsidR="00D3527F" w:rsidRPr="00CB5D81" w:rsidRDefault="00D3527F" w:rsidP="00D3527F">
            <w:pPr>
              <w:keepNext/>
              <w:rPr>
                <w:rFonts w:cs="Calibri"/>
                <w:b/>
                <w:bCs/>
                <w:color w:val="FFFFFF"/>
                <w:sz w:val="22"/>
                <w:szCs w:val="22"/>
              </w:rPr>
            </w:pPr>
          </w:p>
        </w:tc>
        <w:tc>
          <w:tcPr>
            <w:tcW w:w="946" w:type="dxa"/>
            <w:vMerge/>
            <w:tcBorders>
              <w:top w:val="single" w:sz="4" w:space="0" w:color="000000"/>
              <w:left w:val="single" w:sz="4" w:space="0" w:color="FFFFFF"/>
              <w:bottom w:val="single" w:sz="4" w:space="0" w:color="000000"/>
              <w:right w:val="single" w:sz="4" w:space="0" w:color="000000"/>
            </w:tcBorders>
            <w:vAlign w:val="center"/>
            <w:hideMark/>
          </w:tcPr>
          <w:p w14:paraId="0E940101" w14:textId="77777777" w:rsidR="00D3527F" w:rsidRPr="00CB5D81" w:rsidRDefault="00D3527F" w:rsidP="00D3527F">
            <w:pPr>
              <w:keepNext/>
              <w:rPr>
                <w:rFonts w:cs="Calibri"/>
                <w:b/>
                <w:bCs/>
                <w:color w:val="FFFFFF"/>
                <w:sz w:val="22"/>
                <w:szCs w:val="22"/>
              </w:rPr>
            </w:pPr>
          </w:p>
        </w:tc>
      </w:tr>
      <w:tr w:rsidR="00D3527F" w:rsidRPr="00CB5D81" w14:paraId="7F2186A8"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DA38068"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1.Agriculture, Mining, Construction</w:t>
            </w:r>
          </w:p>
        </w:tc>
        <w:tc>
          <w:tcPr>
            <w:tcW w:w="0" w:type="auto"/>
            <w:tcBorders>
              <w:top w:val="nil"/>
              <w:left w:val="nil"/>
              <w:bottom w:val="single" w:sz="4" w:space="0" w:color="000000"/>
              <w:right w:val="single" w:sz="4" w:space="0" w:color="000000"/>
            </w:tcBorders>
            <w:shd w:val="clear" w:color="auto" w:fill="auto"/>
            <w:noWrap/>
            <w:vAlign w:val="center"/>
            <w:hideMark/>
          </w:tcPr>
          <w:p w14:paraId="1481EA7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277</w:t>
            </w:r>
          </w:p>
        </w:tc>
        <w:tc>
          <w:tcPr>
            <w:tcW w:w="0" w:type="auto"/>
            <w:tcBorders>
              <w:top w:val="nil"/>
              <w:left w:val="nil"/>
              <w:bottom w:val="single" w:sz="4" w:space="0" w:color="000000"/>
              <w:right w:val="single" w:sz="4" w:space="0" w:color="000000"/>
            </w:tcBorders>
            <w:shd w:val="clear" w:color="auto" w:fill="auto"/>
            <w:noWrap/>
            <w:vAlign w:val="center"/>
            <w:hideMark/>
          </w:tcPr>
          <w:p w14:paraId="570C215B"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8.7</w:t>
            </w:r>
          </w:p>
        </w:tc>
        <w:tc>
          <w:tcPr>
            <w:tcW w:w="0" w:type="auto"/>
            <w:tcBorders>
              <w:top w:val="nil"/>
              <w:left w:val="nil"/>
              <w:bottom w:val="single" w:sz="4" w:space="0" w:color="000000"/>
              <w:right w:val="single" w:sz="4" w:space="0" w:color="000000"/>
            </w:tcBorders>
            <w:shd w:val="clear" w:color="auto" w:fill="auto"/>
            <w:noWrap/>
            <w:vAlign w:val="center"/>
            <w:hideMark/>
          </w:tcPr>
          <w:p w14:paraId="0768894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8.9</w:t>
            </w:r>
          </w:p>
        </w:tc>
        <w:tc>
          <w:tcPr>
            <w:tcW w:w="0" w:type="auto"/>
            <w:tcBorders>
              <w:top w:val="nil"/>
              <w:left w:val="nil"/>
              <w:bottom w:val="single" w:sz="4" w:space="0" w:color="000000"/>
              <w:right w:val="single" w:sz="4" w:space="0" w:color="000000"/>
            </w:tcBorders>
            <w:shd w:val="clear" w:color="auto" w:fill="auto"/>
            <w:noWrap/>
            <w:vAlign w:val="center"/>
            <w:hideMark/>
          </w:tcPr>
          <w:p w14:paraId="506683B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-0.15</w:t>
            </w:r>
          </w:p>
        </w:tc>
        <w:tc>
          <w:tcPr>
            <w:tcW w:w="946" w:type="dxa"/>
            <w:tcBorders>
              <w:top w:val="nil"/>
              <w:left w:val="nil"/>
              <w:bottom w:val="single" w:sz="4" w:space="0" w:color="000000"/>
              <w:right w:val="single" w:sz="4" w:space="0" w:color="000000"/>
            </w:tcBorders>
            <w:shd w:val="clear" w:color="auto" w:fill="auto"/>
            <w:noWrap/>
            <w:vAlign w:val="center"/>
            <w:hideMark/>
          </w:tcPr>
          <w:p w14:paraId="07D7DC0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-1.8%</w:t>
            </w:r>
          </w:p>
        </w:tc>
      </w:tr>
      <w:tr w:rsidR="00D3527F" w:rsidRPr="00CB5D81" w14:paraId="2F274C53"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437D41E"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2.Manufacturing</w:t>
            </w:r>
          </w:p>
        </w:tc>
        <w:tc>
          <w:tcPr>
            <w:tcW w:w="0" w:type="auto"/>
            <w:tcBorders>
              <w:top w:val="nil"/>
              <w:left w:val="nil"/>
              <w:bottom w:val="single" w:sz="4" w:space="0" w:color="000000"/>
              <w:right w:val="single" w:sz="4" w:space="0" w:color="000000"/>
            </w:tcBorders>
            <w:shd w:val="clear" w:color="auto" w:fill="auto"/>
            <w:noWrap/>
            <w:vAlign w:val="center"/>
            <w:hideMark/>
          </w:tcPr>
          <w:p w14:paraId="2CD14AC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707</w:t>
            </w:r>
          </w:p>
        </w:tc>
        <w:tc>
          <w:tcPr>
            <w:tcW w:w="0" w:type="auto"/>
            <w:tcBorders>
              <w:top w:val="nil"/>
              <w:left w:val="nil"/>
              <w:bottom w:val="single" w:sz="4" w:space="0" w:color="000000"/>
              <w:right w:val="single" w:sz="4" w:space="0" w:color="000000"/>
            </w:tcBorders>
            <w:shd w:val="clear" w:color="auto" w:fill="auto"/>
            <w:noWrap/>
            <w:vAlign w:val="center"/>
            <w:hideMark/>
          </w:tcPr>
          <w:p w14:paraId="742DAF5E"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29.6</w:t>
            </w:r>
          </w:p>
        </w:tc>
        <w:tc>
          <w:tcPr>
            <w:tcW w:w="0" w:type="auto"/>
            <w:tcBorders>
              <w:top w:val="nil"/>
              <w:left w:val="nil"/>
              <w:bottom w:val="single" w:sz="4" w:space="0" w:color="000000"/>
              <w:right w:val="single" w:sz="4" w:space="0" w:color="000000"/>
            </w:tcBorders>
            <w:shd w:val="clear" w:color="auto" w:fill="auto"/>
            <w:noWrap/>
            <w:vAlign w:val="center"/>
            <w:hideMark/>
          </w:tcPr>
          <w:p w14:paraId="17ADA08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28.8</w:t>
            </w:r>
          </w:p>
        </w:tc>
        <w:tc>
          <w:tcPr>
            <w:tcW w:w="0" w:type="auto"/>
            <w:tcBorders>
              <w:top w:val="nil"/>
              <w:left w:val="nil"/>
              <w:bottom w:val="single" w:sz="4" w:space="0" w:color="000000"/>
              <w:right w:val="single" w:sz="4" w:space="0" w:color="000000"/>
            </w:tcBorders>
            <w:shd w:val="clear" w:color="auto" w:fill="auto"/>
            <w:noWrap/>
            <w:vAlign w:val="center"/>
            <w:hideMark/>
          </w:tcPr>
          <w:p w14:paraId="7AF382B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0.74</w:t>
            </w:r>
          </w:p>
        </w:tc>
        <w:tc>
          <w:tcPr>
            <w:tcW w:w="946" w:type="dxa"/>
            <w:tcBorders>
              <w:top w:val="nil"/>
              <w:left w:val="nil"/>
              <w:bottom w:val="single" w:sz="4" w:space="0" w:color="000000"/>
              <w:right w:val="single" w:sz="4" w:space="0" w:color="000000"/>
            </w:tcBorders>
            <w:shd w:val="clear" w:color="auto" w:fill="auto"/>
            <w:noWrap/>
            <w:vAlign w:val="center"/>
            <w:hideMark/>
          </w:tcPr>
          <w:p w14:paraId="6AEA074F"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2.5%</w:t>
            </w:r>
          </w:p>
        </w:tc>
      </w:tr>
      <w:tr w:rsidR="00D3527F" w:rsidRPr="00CB5D81" w14:paraId="5EA004DB"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1A7D1EA"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3.Wholesale, Transportation, Utilities</w:t>
            </w:r>
          </w:p>
        </w:tc>
        <w:tc>
          <w:tcPr>
            <w:tcW w:w="0" w:type="auto"/>
            <w:tcBorders>
              <w:top w:val="nil"/>
              <w:left w:val="nil"/>
              <w:bottom w:val="single" w:sz="4" w:space="0" w:color="000000"/>
              <w:right w:val="single" w:sz="4" w:space="0" w:color="000000"/>
            </w:tcBorders>
            <w:shd w:val="clear" w:color="auto" w:fill="auto"/>
            <w:noWrap/>
            <w:vAlign w:val="center"/>
            <w:hideMark/>
          </w:tcPr>
          <w:p w14:paraId="6E2CB59A"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635</w:t>
            </w:r>
          </w:p>
        </w:tc>
        <w:tc>
          <w:tcPr>
            <w:tcW w:w="0" w:type="auto"/>
            <w:tcBorders>
              <w:top w:val="nil"/>
              <w:left w:val="nil"/>
              <w:bottom w:val="single" w:sz="4" w:space="0" w:color="000000"/>
              <w:right w:val="single" w:sz="4" w:space="0" w:color="000000"/>
            </w:tcBorders>
            <w:shd w:val="clear" w:color="auto" w:fill="auto"/>
            <w:noWrap/>
            <w:vAlign w:val="center"/>
            <w:hideMark/>
          </w:tcPr>
          <w:p w14:paraId="443FCC9B"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23.0</w:t>
            </w:r>
          </w:p>
        </w:tc>
        <w:tc>
          <w:tcPr>
            <w:tcW w:w="0" w:type="auto"/>
            <w:tcBorders>
              <w:top w:val="nil"/>
              <w:left w:val="nil"/>
              <w:bottom w:val="single" w:sz="4" w:space="0" w:color="000000"/>
              <w:right w:val="single" w:sz="4" w:space="0" w:color="000000"/>
            </w:tcBorders>
            <w:shd w:val="clear" w:color="auto" w:fill="auto"/>
            <w:noWrap/>
            <w:vAlign w:val="center"/>
            <w:hideMark/>
          </w:tcPr>
          <w:p w14:paraId="5E99334B"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22.8</w:t>
            </w:r>
          </w:p>
        </w:tc>
        <w:tc>
          <w:tcPr>
            <w:tcW w:w="0" w:type="auto"/>
            <w:tcBorders>
              <w:top w:val="nil"/>
              <w:left w:val="nil"/>
              <w:bottom w:val="single" w:sz="4" w:space="0" w:color="000000"/>
              <w:right w:val="single" w:sz="4" w:space="0" w:color="000000"/>
            </w:tcBorders>
            <w:shd w:val="clear" w:color="auto" w:fill="auto"/>
            <w:noWrap/>
            <w:vAlign w:val="center"/>
            <w:hideMark/>
          </w:tcPr>
          <w:p w14:paraId="3651AE0C"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0.16</w:t>
            </w:r>
          </w:p>
        </w:tc>
        <w:tc>
          <w:tcPr>
            <w:tcW w:w="946" w:type="dxa"/>
            <w:tcBorders>
              <w:top w:val="nil"/>
              <w:left w:val="nil"/>
              <w:bottom w:val="single" w:sz="4" w:space="0" w:color="000000"/>
              <w:right w:val="single" w:sz="4" w:space="0" w:color="000000"/>
            </w:tcBorders>
            <w:shd w:val="clear" w:color="auto" w:fill="auto"/>
            <w:noWrap/>
            <w:vAlign w:val="center"/>
            <w:hideMark/>
          </w:tcPr>
          <w:p w14:paraId="768EC81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0.7%</w:t>
            </w:r>
          </w:p>
        </w:tc>
      </w:tr>
      <w:tr w:rsidR="00D3527F" w:rsidRPr="00CB5D81" w14:paraId="375236FD"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BE73D5F"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4.Retail Stores</w:t>
            </w:r>
          </w:p>
        </w:tc>
        <w:tc>
          <w:tcPr>
            <w:tcW w:w="0" w:type="auto"/>
            <w:tcBorders>
              <w:top w:val="nil"/>
              <w:left w:val="nil"/>
              <w:bottom w:val="single" w:sz="4" w:space="0" w:color="000000"/>
              <w:right w:val="single" w:sz="4" w:space="0" w:color="000000"/>
            </w:tcBorders>
            <w:shd w:val="clear" w:color="auto" w:fill="auto"/>
            <w:noWrap/>
            <w:vAlign w:val="center"/>
            <w:hideMark/>
          </w:tcPr>
          <w:p w14:paraId="312A29FF"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1,933</w:t>
            </w:r>
          </w:p>
        </w:tc>
        <w:tc>
          <w:tcPr>
            <w:tcW w:w="0" w:type="auto"/>
            <w:tcBorders>
              <w:top w:val="nil"/>
              <w:left w:val="nil"/>
              <w:bottom w:val="single" w:sz="4" w:space="0" w:color="000000"/>
              <w:right w:val="single" w:sz="4" w:space="0" w:color="000000"/>
            </w:tcBorders>
            <w:shd w:val="clear" w:color="auto" w:fill="auto"/>
            <w:noWrap/>
            <w:vAlign w:val="center"/>
            <w:hideMark/>
          </w:tcPr>
          <w:p w14:paraId="3999F63A"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83.9</w:t>
            </w:r>
          </w:p>
        </w:tc>
        <w:tc>
          <w:tcPr>
            <w:tcW w:w="0" w:type="auto"/>
            <w:tcBorders>
              <w:top w:val="nil"/>
              <w:left w:val="nil"/>
              <w:bottom w:val="single" w:sz="4" w:space="0" w:color="000000"/>
              <w:right w:val="single" w:sz="4" w:space="0" w:color="000000"/>
            </w:tcBorders>
            <w:shd w:val="clear" w:color="auto" w:fill="auto"/>
            <w:noWrap/>
            <w:vAlign w:val="center"/>
            <w:hideMark/>
          </w:tcPr>
          <w:p w14:paraId="6287D9B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84.4</w:t>
            </w:r>
          </w:p>
        </w:tc>
        <w:tc>
          <w:tcPr>
            <w:tcW w:w="0" w:type="auto"/>
            <w:tcBorders>
              <w:top w:val="nil"/>
              <w:left w:val="nil"/>
              <w:bottom w:val="single" w:sz="4" w:space="0" w:color="000000"/>
              <w:right w:val="single" w:sz="4" w:space="0" w:color="000000"/>
            </w:tcBorders>
            <w:shd w:val="clear" w:color="auto" w:fill="auto"/>
            <w:noWrap/>
            <w:vAlign w:val="center"/>
            <w:hideMark/>
          </w:tcPr>
          <w:p w14:paraId="10B77E93"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-0.57</w:t>
            </w:r>
          </w:p>
        </w:tc>
        <w:tc>
          <w:tcPr>
            <w:tcW w:w="946" w:type="dxa"/>
            <w:tcBorders>
              <w:top w:val="nil"/>
              <w:left w:val="nil"/>
              <w:bottom w:val="single" w:sz="4" w:space="0" w:color="000000"/>
              <w:right w:val="single" w:sz="4" w:space="0" w:color="000000"/>
            </w:tcBorders>
            <w:shd w:val="clear" w:color="auto" w:fill="auto"/>
            <w:noWrap/>
            <w:vAlign w:val="center"/>
            <w:hideMark/>
          </w:tcPr>
          <w:p w14:paraId="6A7F7902"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-0.7%</w:t>
            </w:r>
          </w:p>
        </w:tc>
      </w:tr>
      <w:tr w:rsidR="00D3527F" w:rsidRPr="00CB5D81" w14:paraId="12B009A4"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8146C03"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5.Offices, Hotels, Health, Services</w:t>
            </w:r>
          </w:p>
        </w:tc>
        <w:tc>
          <w:tcPr>
            <w:tcW w:w="0" w:type="auto"/>
            <w:tcBorders>
              <w:top w:val="nil"/>
              <w:left w:val="nil"/>
              <w:bottom w:val="single" w:sz="4" w:space="0" w:color="000000"/>
              <w:right w:val="single" w:sz="4" w:space="0" w:color="000000"/>
            </w:tcBorders>
            <w:shd w:val="clear" w:color="auto" w:fill="auto"/>
            <w:noWrap/>
            <w:vAlign w:val="center"/>
            <w:hideMark/>
          </w:tcPr>
          <w:p w14:paraId="7280A2B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6,013</w:t>
            </w:r>
          </w:p>
        </w:tc>
        <w:tc>
          <w:tcPr>
            <w:tcW w:w="0" w:type="auto"/>
            <w:tcBorders>
              <w:top w:val="nil"/>
              <w:left w:val="nil"/>
              <w:bottom w:val="single" w:sz="4" w:space="0" w:color="000000"/>
              <w:right w:val="single" w:sz="4" w:space="0" w:color="000000"/>
            </w:tcBorders>
            <w:shd w:val="clear" w:color="auto" w:fill="auto"/>
            <w:noWrap/>
            <w:vAlign w:val="center"/>
            <w:hideMark/>
          </w:tcPr>
          <w:p w14:paraId="4BEEB7A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222.8</w:t>
            </w:r>
          </w:p>
        </w:tc>
        <w:tc>
          <w:tcPr>
            <w:tcW w:w="0" w:type="auto"/>
            <w:tcBorders>
              <w:top w:val="nil"/>
              <w:left w:val="nil"/>
              <w:bottom w:val="single" w:sz="4" w:space="0" w:color="000000"/>
              <w:right w:val="single" w:sz="4" w:space="0" w:color="000000"/>
            </w:tcBorders>
            <w:shd w:val="clear" w:color="auto" w:fill="auto"/>
            <w:noWrap/>
            <w:vAlign w:val="center"/>
            <w:hideMark/>
          </w:tcPr>
          <w:p w14:paraId="20081048"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222.7</w:t>
            </w:r>
          </w:p>
        </w:tc>
        <w:tc>
          <w:tcPr>
            <w:tcW w:w="0" w:type="auto"/>
            <w:tcBorders>
              <w:top w:val="nil"/>
              <w:left w:val="nil"/>
              <w:bottom w:val="single" w:sz="4" w:space="0" w:color="000000"/>
              <w:right w:val="single" w:sz="4" w:space="0" w:color="000000"/>
            </w:tcBorders>
            <w:shd w:val="clear" w:color="auto" w:fill="auto"/>
            <w:noWrap/>
            <w:vAlign w:val="center"/>
            <w:hideMark/>
          </w:tcPr>
          <w:p w14:paraId="70655DB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0.16</w:t>
            </w:r>
          </w:p>
        </w:tc>
        <w:tc>
          <w:tcPr>
            <w:tcW w:w="946" w:type="dxa"/>
            <w:tcBorders>
              <w:top w:val="nil"/>
              <w:left w:val="nil"/>
              <w:bottom w:val="single" w:sz="4" w:space="0" w:color="000000"/>
              <w:right w:val="single" w:sz="4" w:space="0" w:color="000000"/>
            </w:tcBorders>
            <w:shd w:val="clear" w:color="auto" w:fill="auto"/>
            <w:noWrap/>
            <w:vAlign w:val="center"/>
            <w:hideMark/>
          </w:tcPr>
          <w:p w14:paraId="7BCA15B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0.1%</w:t>
            </w:r>
          </w:p>
        </w:tc>
      </w:tr>
      <w:tr w:rsidR="00D3527F" w:rsidRPr="00CB5D81" w14:paraId="176D6801"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66E8B4F"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6.Schools</w:t>
            </w:r>
          </w:p>
        </w:tc>
        <w:tc>
          <w:tcPr>
            <w:tcW w:w="0" w:type="auto"/>
            <w:tcBorders>
              <w:top w:val="nil"/>
              <w:left w:val="nil"/>
              <w:bottom w:val="single" w:sz="4" w:space="0" w:color="000000"/>
              <w:right w:val="single" w:sz="4" w:space="0" w:color="000000"/>
            </w:tcBorders>
            <w:shd w:val="clear" w:color="auto" w:fill="auto"/>
            <w:noWrap/>
            <w:vAlign w:val="center"/>
            <w:hideMark/>
          </w:tcPr>
          <w:p w14:paraId="59E3080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523</w:t>
            </w:r>
          </w:p>
        </w:tc>
        <w:tc>
          <w:tcPr>
            <w:tcW w:w="0" w:type="auto"/>
            <w:tcBorders>
              <w:top w:val="nil"/>
              <w:left w:val="nil"/>
              <w:bottom w:val="single" w:sz="4" w:space="0" w:color="000000"/>
              <w:right w:val="single" w:sz="4" w:space="0" w:color="000000"/>
            </w:tcBorders>
            <w:shd w:val="clear" w:color="auto" w:fill="auto"/>
            <w:noWrap/>
            <w:vAlign w:val="center"/>
            <w:hideMark/>
          </w:tcPr>
          <w:p w14:paraId="75B8B6F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29.3</w:t>
            </w:r>
          </w:p>
        </w:tc>
        <w:tc>
          <w:tcPr>
            <w:tcW w:w="0" w:type="auto"/>
            <w:tcBorders>
              <w:top w:val="nil"/>
              <w:left w:val="nil"/>
              <w:bottom w:val="single" w:sz="4" w:space="0" w:color="000000"/>
              <w:right w:val="single" w:sz="4" w:space="0" w:color="000000"/>
            </w:tcBorders>
            <w:shd w:val="clear" w:color="auto" w:fill="auto"/>
            <w:noWrap/>
            <w:vAlign w:val="center"/>
            <w:hideMark/>
          </w:tcPr>
          <w:p w14:paraId="4A4FC5D8"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29.5</w:t>
            </w:r>
          </w:p>
        </w:tc>
        <w:tc>
          <w:tcPr>
            <w:tcW w:w="0" w:type="auto"/>
            <w:tcBorders>
              <w:top w:val="nil"/>
              <w:left w:val="nil"/>
              <w:bottom w:val="single" w:sz="4" w:space="0" w:color="000000"/>
              <w:right w:val="single" w:sz="4" w:space="0" w:color="000000"/>
            </w:tcBorders>
            <w:shd w:val="clear" w:color="auto" w:fill="auto"/>
            <w:noWrap/>
            <w:vAlign w:val="center"/>
            <w:hideMark/>
          </w:tcPr>
          <w:p w14:paraId="7165DE96"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-0.24</w:t>
            </w:r>
          </w:p>
        </w:tc>
        <w:tc>
          <w:tcPr>
            <w:tcW w:w="946" w:type="dxa"/>
            <w:tcBorders>
              <w:top w:val="nil"/>
              <w:left w:val="nil"/>
              <w:bottom w:val="single" w:sz="4" w:space="0" w:color="000000"/>
              <w:right w:val="single" w:sz="4" w:space="0" w:color="000000"/>
            </w:tcBorders>
            <w:shd w:val="clear" w:color="auto" w:fill="auto"/>
            <w:noWrap/>
            <w:vAlign w:val="center"/>
            <w:hideMark/>
          </w:tcPr>
          <w:p w14:paraId="6C1908A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-0.8%</w:t>
            </w:r>
          </w:p>
        </w:tc>
      </w:tr>
      <w:tr w:rsidR="00D3527F" w:rsidRPr="00CB5D81" w14:paraId="0E087945"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B3B9B8B"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7. Institutional/Government</w:t>
            </w:r>
          </w:p>
        </w:tc>
        <w:tc>
          <w:tcPr>
            <w:tcW w:w="0" w:type="auto"/>
            <w:tcBorders>
              <w:top w:val="nil"/>
              <w:left w:val="nil"/>
              <w:bottom w:val="single" w:sz="4" w:space="0" w:color="000000"/>
              <w:right w:val="single" w:sz="4" w:space="0" w:color="000000"/>
            </w:tcBorders>
            <w:shd w:val="clear" w:color="auto" w:fill="auto"/>
            <w:noWrap/>
            <w:vAlign w:val="center"/>
            <w:hideMark/>
          </w:tcPr>
          <w:p w14:paraId="18CB11A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1,544</w:t>
            </w:r>
          </w:p>
        </w:tc>
        <w:tc>
          <w:tcPr>
            <w:tcW w:w="0" w:type="auto"/>
            <w:tcBorders>
              <w:top w:val="nil"/>
              <w:left w:val="nil"/>
              <w:bottom w:val="single" w:sz="4" w:space="0" w:color="000000"/>
              <w:right w:val="single" w:sz="4" w:space="0" w:color="000000"/>
            </w:tcBorders>
            <w:shd w:val="clear" w:color="auto" w:fill="auto"/>
            <w:noWrap/>
            <w:vAlign w:val="center"/>
            <w:hideMark/>
          </w:tcPr>
          <w:p w14:paraId="41709ADE"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52.9</w:t>
            </w:r>
          </w:p>
        </w:tc>
        <w:tc>
          <w:tcPr>
            <w:tcW w:w="0" w:type="auto"/>
            <w:tcBorders>
              <w:top w:val="nil"/>
              <w:left w:val="nil"/>
              <w:bottom w:val="single" w:sz="4" w:space="0" w:color="000000"/>
              <w:right w:val="single" w:sz="4" w:space="0" w:color="000000"/>
            </w:tcBorders>
            <w:shd w:val="clear" w:color="auto" w:fill="auto"/>
            <w:noWrap/>
            <w:vAlign w:val="center"/>
            <w:hideMark/>
          </w:tcPr>
          <w:p w14:paraId="17F20BC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52.1</w:t>
            </w:r>
          </w:p>
        </w:tc>
        <w:tc>
          <w:tcPr>
            <w:tcW w:w="0" w:type="auto"/>
            <w:tcBorders>
              <w:top w:val="nil"/>
              <w:left w:val="nil"/>
              <w:bottom w:val="single" w:sz="4" w:space="0" w:color="000000"/>
              <w:right w:val="single" w:sz="4" w:space="0" w:color="000000"/>
            </w:tcBorders>
            <w:shd w:val="clear" w:color="auto" w:fill="auto"/>
            <w:noWrap/>
            <w:vAlign w:val="center"/>
            <w:hideMark/>
          </w:tcPr>
          <w:p w14:paraId="3BBA453B"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0.87</w:t>
            </w:r>
          </w:p>
        </w:tc>
        <w:tc>
          <w:tcPr>
            <w:tcW w:w="946" w:type="dxa"/>
            <w:tcBorders>
              <w:top w:val="nil"/>
              <w:left w:val="nil"/>
              <w:bottom w:val="single" w:sz="4" w:space="0" w:color="000000"/>
              <w:right w:val="single" w:sz="4" w:space="0" w:color="000000"/>
            </w:tcBorders>
            <w:shd w:val="clear" w:color="auto" w:fill="auto"/>
            <w:noWrap/>
            <w:vAlign w:val="center"/>
            <w:hideMark/>
          </w:tcPr>
          <w:p w14:paraId="73FEB8E7"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1.6%</w:t>
            </w:r>
          </w:p>
        </w:tc>
      </w:tr>
      <w:tr w:rsidR="00D3527F" w:rsidRPr="00CB5D81" w14:paraId="7440AA49" w14:textId="77777777" w:rsidTr="00D3527F">
        <w:trPr>
          <w:trHeight w:val="300"/>
          <w:jc w:val="center"/>
        </w:trPr>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6210F93" w14:textId="77777777" w:rsidR="00D3527F" w:rsidRPr="00CB5D81" w:rsidRDefault="00D3527F" w:rsidP="00D3527F">
            <w:pPr>
              <w:keepNext/>
              <w:rPr>
                <w:rFonts w:ascii="Arial" w:hAnsi="Arial" w:cs="Arial"/>
                <w:color w:val="000000"/>
                <w:sz w:val="20"/>
                <w:szCs w:val="20"/>
              </w:rPr>
            </w:pPr>
            <w:r w:rsidRPr="00CB5D81">
              <w:rPr>
                <w:rFonts w:ascii="Arial" w:hAnsi="Arial" w:cs="Arial"/>
                <w:color w:val="000000"/>
                <w:sz w:val="20"/>
                <w:szCs w:val="20"/>
              </w:rPr>
              <w:t>8.Other</w:t>
            </w:r>
          </w:p>
        </w:tc>
        <w:tc>
          <w:tcPr>
            <w:tcW w:w="0" w:type="auto"/>
            <w:tcBorders>
              <w:top w:val="nil"/>
              <w:left w:val="nil"/>
              <w:bottom w:val="single" w:sz="4" w:space="0" w:color="000000"/>
              <w:right w:val="single" w:sz="4" w:space="0" w:color="000000"/>
            </w:tcBorders>
            <w:shd w:val="clear" w:color="auto" w:fill="auto"/>
            <w:noWrap/>
            <w:vAlign w:val="center"/>
            <w:hideMark/>
          </w:tcPr>
          <w:p w14:paraId="6D5F6D7D"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176</w:t>
            </w:r>
          </w:p>
        </w:tc>
        <w:tc>
          <w:tcPr>
            <w:tcW w:w="0" w:type="auto"/>
            <w:tcBorders>
              <w:top w:val="nil"/>
              <w:left w:val="nil"/>
              <w:bottom w:val="single" w:sz="4" w:space="0" w:color="000000"/>
              <w:right w:val="single" w:sz="4" w:space="0" w:color="000000"/>
            </w:tcBorders>
            <w:shd w:val="clear" w:color="auto" w:fill="auto"/>
            <w:noWrap/>
            <w:vAlign w:val="center"/>
            <w:hideMark/>
          </w:tcPr>
          <w:p w14:paraId="00F8549E"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4.8</w:t>
            </w:r>
          </w:p>
        </w:tc>
        <w:tc>
          <w:tcPr>
            <w:tcW w:w="0" w:type="auto"/>
            <w:tcBorders>
              <w:top w:val="nil"/>
              <w:left w:val="nil"/>
              <w:bottom w:val="single" w:sz="4" w:space="0" w:color="000000"/>
              <w:right w:val="single" w:sz="4" w:space="0" w:color="000000"/>
            </w:tcBorders>
            <w:shd w:val="clear" w:color="auto" w:fill="auto"/>
            <w:noWrap/>
            <w:vAlign w:val="center"/>
            <w:hideMark/>
          </w:tcPr>
          <w:p w14:paraId="51D2DCC8"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4.7</w:t>
            </w:r>
          </w:p>
        </w:tc>
        <w:tc>
          <w:tcPr>
            <w:tcW w:w="0" w:type="auto"/>
            <w:tcBorders>
              <w:top w:val="nil"/>
              <w:left w:val="nil"/>
              <w:bottom w:val="single" w:sz="4" w:space="0" w:color="000000"/>
              <w:right w:val="single" w:sz="4" w:space="0" w:color="000000"/>
            </w:tcBorders>
            <w:shd w:val="clear" w:color="auto" w:fill="auto"/>
            <w:noWrap/>
            <w:vAlign w:val="center"/>
            <w:hideMark/>
          </w:tcPr>
          <w:p w14:paraId="216CC504"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0.08</w:t>
            </w:r>
          </w:p>
        </w:tc>
        <w:tc>
          <w:tcPr>
            <w:tcW w:w="946" w:type="dxa"/>
            <w:tcBorders>
              <w:top w:val="nil"/>
              <w:left w:val="nil"/>
              <w:bottom w:val="single" w:sz="4" w:space="0" w:color="000000"/>
              <w:right w:val="single" w:sz="4" w:space="0" w:color="000000"/>
            </w:tcBorders>
            <w:shd w:val="clear" w:color="auto" w:fill="auto"/>
            <w:noWrap/>
            <w:vAlign w:val="center"/>
            <w:hideMark/>
          </w:tcPr>
          <w:p w14:paraId="64CF0005" w14:textId="77777777" w:rsidR="00D3527F" w:rsidRPr="00CB5D81" w:rsidRDefault="00D3527F" w:rsidP="00D3527F">
            <w:pPr>
              <w:keepNext/>
              <w:jc w:val="center"/>
              <w:rPr>
                <w:rFonts w:cs="Calibri"/>
                <w:color w:val="000000"/>
                <w:sz w:val="22"/>
                <w:szCs w:val="22"/>
              </w:rPr>
            </w:pPr>
            <w:r w:rsidRPr="00CB5D81">
              <w:rPr>
                <w:rFonts w:cs="Calibri"/>
                <w:color w:val="000000"/>
                <w:sz w:val="22"/>
                <w:szCs w:val="22"/>
              </w:rPr>
              <w:t>1.7%</w:t>
            </w:r>
          </w:p>
        </w:tc>
      </w:tr>
    </w:tbl>
    <w:p w14:paraId="6FD1B6FD" w14:textId="77777777" w:rsidR="00D3527F" w:rsidRDefault="00D3527F" w:rsidP="00D3527F">
      <w:pPr>
        <w:spacing w:after="120"/>
        <w:rPr>
          <w:szCs w:val="32"/>
        </w:rPr>
      </w:pPr>
    </w:p>
    <w:p w14:paraId="5B660D82" w14:textId="36A9E411" w:rsidR="00D3527F" w:rsidRDefault="00D3527F" w:rsidP="00D3527F">
      <w:pPr>
        <w:spacing w:after="120"/>
        <w:rPr>
          <w:szCs w:val="32"/>
        </w:rPr>
      </w:pPr>
      <w:r>
        <w:rPr>
          <w:szCs w:val="32"/>
        </w:rPr>
        <w:fldChar w:fldCharType="begin"/>
      </w:r>
      <w:r>
        <w:rPr>
          <w:szCs w:val="32"/>
        </w:rPr>
        <w:instrText xml:space="preserve"> REF _Ref507436283 \h </w:instrText>
      </w:r>
      <w:r>
        <w:rPr>
          <w:szCs w:val="32"/>
        </w:rPr>
      </w:r>
      <w:r>
        <w:rPr>
          <w:szCs w:val="32"/>
        </w:rPr>
        <w:fldChar w:fldCharType="separate"/>
      </w:r>
      <w:r w:rsidR="005D5C7C">
        <w:t xml:space="preserve">Figure </w:t>
      </w:r>
      <w:r w:rsidR="005D5C7C">
        <w:rPr>
          <w:noProof/>
        </w:rPr>
        <w:t>5</w:t>
      </w:r>
      <w:r w:rsidR="005D5C7C">
        <w:t>.</w:t>
      </w:r>
      <w:r w:rsidR="005D5C7C">
        <w:rPr>
          <w:noProof/>
        </w:rPr>
        <w:t>6</w:t>
      </w:r>
      <w:r>
        <w:rPr>
          <w:szCs w:val="32"/>
        </w:rPr>
        <w:fldChar w:fldCharType="end"/>
      </w:r>
      <w:r>
        <w:rPr>
          <w:szCs w:val="32"/>
        </w:rPr>
        <w:t xml:space="preserve"> illustrates the shares of enrollments, reference loads, and load impacts by industry group.</w:t>
      </w:r>
      <w:r>
        <w:rPr>
          <w:rStyle w:val="FootnoteReference"/>
          <w:szCs w:val="32"/>
        </w:rPr>
        <w:footnoteReference w:id="20"/>
      </w:r>
      <w:r>
        <w:rPr>
          <w:szCs w:val="32"/>
        </w:rPr>
        <w:t xml:space="preserve"> The </w:t>
      </w:r>
      <w:r w:rsidR="00CC05C4">
        <w:rPr>
          <w:szCs w:val="32"/>
        </w:rPr>
        <w:t>Off</w:t>
      </w:r>
      <w:r>
        <w:rPr>
          <w:szCs w:val="32"/>
        </w:rPr>
        <w:t xml:space="preserve">ices, Hotels, Health, Services </w:t>
      </w:r>
      <w:r w:rsidR="00CC05C4">
        <w:rPr>
          <w:szCs w:val="32"/>
        </w:rPr>
        <w:t xml:space="preserve">group </w:t>
      </w:r>
      <w:r>
        <w:rPr>
          <w:szCs w:val="32"/>
        </w:rPr>
        <w:t xml:space="preserve">comprises the largest share of enrollments and reference loads. However, Institutional/Government </w:t>
      </w:r>
      <w:r w:rsidR="00CC05C4">
        <w:rPr>
          <w:szCs w:val="32"/>
        </w:rPr>
        <w:t xml:space="preserve">group </w:t>
      </w:r>
      <w:r>
        <w:rPr>
          <w:szCs w:val="32"/>
        </w:rPr>
        <w:t xml:space="preserve">provides the largest contribution to the load impact with a decrease in usage of 0.87 MWh/hour. Similarly, </w:t>
      </w:r>
      <w:r w:rsidR="00CC05C4">
        <w:rPr>
          <w:szCs w:val="32"/>
        </w:rPr>
        <w:t xml:space="preserve">the </w:t>
      </w:r>
      <w:r>
        <w:rPr>
          <w:szCs w:val="32"/>
        </w:rPr>
        <w:t xml:space="preserve">Manufacturing </w:t>
      </w:r>
      <w:r w:rsidR="00CC05C4">
        <w:rPr>
          <w:szCs w:val="32"/>
        </w:rPr>
        <w:t xml:space="preserve">group </w:t>
      </w:r>
      <w:r>
        <w:rPr>
          <w:szCs w:val="32"/>
        </w:rPr>
        <w:t xml:space="preserve">provides a greater contribution of load impact relative to their share of enrollments and reference loads. </w:t>
      </w:r>
    </w:p>
    <w:p w14:paraId="752108F8" w14:textId="77777777" w:rsidR="00D3527F" w:rsidRDefault="00D3527F" w:rsidP="00D3527F">
      <w:pPr>
        <w:spacing w:after="120"/>
        <w:rPr>
          <w:szCs w:val="32"/>
        </w:rPr>
      </w:pPr>
    </w:p>
    <w:p w14:paraId="0F61FCA5" w14:textId="0AB3CE2D" w:rsidR="00D3527F" w:rsidRPr="00A502F6" w:rsidRDefault="00D3527F" w:rsidP="00D3527F">
      <w:pPr>
        <w:pStyle w:val="FigureCaption"/>
      </w:pPr>
      <w:bookmarkStart w:id="458" w:name="_Ref507436283"/>
      <w:bookmarkStart w:id="459" w:name="_Toc509837511"/>
      <w:r>
        <w:t xml:space="preserve">Figure </w:t>
      </w:r>
      <w:fldSimple w:instr=" STYLEREF 1 \s ">
        <w:r w:rsidR="005D5C7C">
          <w:rPr>
            <w:noProof/>
          </w:rPr>
          <w:t>5</w:t>
        </w:r>
      </w:fldSimple>
      <w:r>
        <w:t>.</w:t>
      </w:r>
      <w:fldSimple w:instr=" SEQ Figure \* ARABIC \s 1 ">
        <w:r w:rsidR="005D5C7C">
          <w:rPr>
            <w:noProof/>
          </w:rPr>
          <w:t>6</w:t>
        </w:r>
      </w:fldSimple>
      <w:bookmarkEnd w:id="458"/>
      <w:r>
        <w:t xml:space="preserve">: </w:t>
      </w:r>
      <w:r w:rsidR="001958B4">
        <w:t>Average Weekday</w:t>
      </w:r>
      <w:r>
        <w:t xml:space="preserve"> Event-Hour Load Impacts by Industry Group, </w:t>
      </w:r>
      <w:r>
        <w:br/>
      </w:r>
      <w:r>
        <w:rPr>
          <w:i/>
        </w:rPr>
        <w:t>SDG&amp;E Medium</w:t>
      </w:r>
      <w:bookmarkEnd w:id="459"/>
    </w:p>
    <w:p w14:paraId="3D2604CF" w14:textId="2D91330E" w:rsidR="00D3527F" w:rsidRDefault="006D72A4" w:rsidP="00D3527F">
      <w:pPr>
        <w:spacing w:after="120"/>
        <w:jc w:val="center"/>
        <w:rPr>
          <w:szCs w:val="32"/>
        </w:rPr>
      </w:pPr>
      <w:r>
        <w:rPr>
          <w:noProof/>
          <w:szCs w:val="32"/>
        </w:rPr>
        <w:drawing>
          <wp:inline distT="0" distB="0" distL="0" distR="0" wp14:anchorId="40294E12" wp14:editId="366068C4">
            <wp:extent cx="4572635" cy="27432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76933BE2" w14:textId="77777777" w:rsidR="00D3527F" w:rsidRDefault="00D3527F" w:rsidP="00D3527F">
      <w:pPr>
        <w:pStyle w:val="Heading3"/>
        <w:numPr>
          <w:ilvl w:val="2"/>
          <w:numId w:val="43"/>
        </w:numPr>
      </w:pPr>
      <w:bookmarkStart w:id="460" w:name="_Toc507425154"/>
      <w:bookmarkStart w:id="461" w:name="_Ref507516602"/>
      <w:bookmarkStart w:id="462" w:name="_Toc509837341"/>
      <w:r>
        <w:lastRenderedPageBreak/>
        <w:t xml:space="preserve">Dually Enrolled and </w:t>
      </w:r>
      <w:proofErr w:type="spellStart"/>
      <w:r>
        <w:t>AutoDR</w:t>
      </w:r>
      <w:proofErr w:type="spellEnd"/>
      <w:r>
        <w:t xml:space="preserve"> Customers</w:t>
      </w:r>
      <w:bookmarkEnd w:id="460"/>
      <w:bookmarkEnd w:id="461"/>
      <w:bookmarkEnd w:id="462"/>
    </w:p>
    <w:p w14:paraId="096D4045" w14:textId="7A50D8A9" w:rsidR="00D3527F" w:rsidRDefault="00D3527F" w:rsidP="00D3527F">
      <w:pPr>
        <w:spacing w:after="120"/>
        <w:rPr>
          <w:szCs w:val="32"/>
        </w:rPr>
      </w:pPr>
      <w:r>
        <w:rPr>
          <w:szCs w:val="32"/>
        </w:rPr>
        <w:fldChar w:fldCharType="begin"/>
      </w:r>
      <w:r>
        <w:rPr>
          <w:szCs w:val="32"/>
        </w:rPr>
        <w:instrText xml:space="preserve"> REF _Ref507515017 \h </w:instrText>
      </w:r>
      <w:r>
        <w:rPr>
          <w:szCs w:val="32"/>
        </w:rPr>
      </w:r>
      <w:r>
        <w:rPr>
          <w:szCs w:val="32"/>
        </w:rPr>
        <w:fldChar w:fldCharType="separate"/>
      </w:r>
      <w:r w:rsidR="005D5C7C">
        <w:t xml:space="preserve">Table </w:t>
      </w:r>
      <w:r w:rsidR="005D5C7C">
        <w:rPr>
          <w:noProof/>
        </w:rPr>
        <w:t>5</w:t>
      </w:r>
      <w:r w:rsidR="005D5C7C">
        <w:t>.</w:t>
      </w:r>
      <w:r w:rsidR="005D5C7C">
        <w:rPr>
          <w:noProof/>
        </w:rPr>
        <w:t>7</w:t>
      </w:r>
      <w:r>
        <w:rPr>
          <w:szCs w:val="32"/>
        </w:rPr>
        <w:fldChar w:fldCharType="end"/>
      </w:r>
      <w:r>
        <w:rPr>
          <w:szCs w:val="32"/>
        </w:rPr>
        <w:t xml:space="preserve"> provides the aggregate event-hour load impacts for each event-day, for customers dually enrolled in demand response programs other than CPP. Customers enrolled in CPP during the </w:t>
      </w:r>
      <w:r>
        <w:rPr>
          <w:i/>
          <w:szCs w:val="32"/>
        </w:rPr>
        <w:t xml:space="preserve">ex-post </w:t>
      </w:r>
      <w:r>
        <w:rPr>
          <w:szCs w:val="32"/>
        </w:rPr>
        <w:t xml:space="preserve">analysis </w:t>
      </w:r>
      <w:proofErr w:type="gramStart"/>
      <w:r>
        <w:rPr>
          <w:szCs w:val="32"/>
        </w:rPr>
        <w:t xml:space="preserve">were </w:t>
      </w:r>
      <w:r w:rsidR="00E524A8">
        <w:rPr>
          <w:szCs w:val="32"/>
        </w:rPr>
        <w:t>allowed to</w:t>
      </w:r>
      <w:proofErr w:type="gramEnd"/>
      <w:r w:rsidR="00E524A8">
        <w:rPr>
          <w:szCs w:val="32"/>
        </w:rPr>
        <w:t xml:space="preserve"> </w:t>
      </w:r>
      <w:r>
        <w:rPr>
          <w:szCs w:val="32"/>
        </w:rPr>
        <w:t xml:space="preserve">be dually enrolled in the </w:t>
      </w:r>
      <w:r w:rsidR="00E524A8">
        <w:rPr>
          <w:szCs w:val="32"/>
        </w:rPr>
        <w:t>B</w:t>
      </w:r>
      <w:r>
        <w:rPr>
          <w:szCs w:val="32"/>
        </w:rPr>
        <w:t xml:space="preserve">ase </w:t>
      </w:r>
      <w:r w:rsidR="00E524A8">
        <w:rPr>
          <w:szCs w:val="32"/>
        </w:rPr>
        <w:t>I</w:t>
      </w:r>
      <w:r>
        <w:rPr>
          <w:szCs w:val="32"/>
        </w:rPr>
        <w:t xml:space="preserve">nterruptible </w:t>
      </w:r>
      <w:r w:rsidR="00E524A8">
        <w:rPr>
          <w:szCs w:val="32"/>
        </w:rPr>
        <w:t>P</w:t>
      </w:r>
      <w:r>
        <w:rPr>
          <w:szCs w:val="32"/>
        </w:rPr>
        <w:t xml:space="preserve">rogram (BIP), the </w:t>
      </w:r>
      <w:r w:rsidR="00E524A8">
        <w:rPr>
          <w:szCs w:val="32"/>
        </w:rPr>
        <w:t>C</w:t>
      </w:r>
      <w:r>
        <w:rPr>
          <w:szCs w:val="32"/>
        </w:rPr>
        <w:t xml:space="preserve">apacity </w:t>
      </w:r>
      <w:r w:rsidR="00E524A8">
        <w:rPr>
          <w:szCs w:val="32"/>
        </w:rPr>
        <w:t>B</w:t>
      </w:r>
      <w:r>
        <w:rPr>
          <w:szCs w:val="32"/>
        </w:rPr>
        <w:t xml:space="preserve">idding </w:t>
      </w:r>
      <w:r w:rsidR="00E524A8">
        <w:rPr>
          <w:szCs w:val="32"/>
        </w:rPr>
        <w:t>P</w:t>
      </w:r>
      <w:r>
        <w:rPr>
          <w:szCs w:val="32"/>
        </w:rPr>
        <w:t xml:space="preserve">rogram (CBP), </w:t>
      </w:r>
      <w:r w:rsidR="00E524A8">
        <w:rPr>
          <w:szCs w:val="32"/>
        </w:rPr>
        <w:t>S</w:t>
      </w:r>
      <w:r>
        <w:rPr>
          <w:szCs w:val="32"/>
        </w:rPr>
        <w:t xml:space="preserve">ummer </w:t>
      </w:r>
      <w:r w:rsidR="00E524A8">
        <w:rPr>
          <w:szCs w:val="32"/>
        </w:rPr>
        <w:t>S</w:t>
      </w:r>
      <w:r>
        <w:rPr>
          <w:szCs w:val="32"/>
        </w:rPr>
        <w:t xml:space="preserve">aver (SS), and </w:t>
      </w:r>
      <w:r w:rsidR="00E524A8">
        <w:rPr>
          <w:szCs w:val="32"/>
        </w:rPr>
        <w:t>S</w:t>
      </w:r>
      <w:r>
        <w:rPr>
          <w:szCs w:val="32"/>
        </w:rPr>
        <w:t xml:space="preserve">mall </w:t>
      </w:r>
      <w:r w:rsidR="00E524A8">
        <w:rPr>
          <w:szCs w:val="32"/>
        </w:rPr>
        <w:t>C</w:t>
      </w:r>
      <w:r>
        <w:rPr>
          <w:szCs w:val="32"/>
        </w:rPr>
        <w:t xml:space="preserve">ustomer </w:t>
      </w:r>
      <w:r w:rsidR="00E524A8">
        <w:rPr>
          <w:szCs w:val="32"/>
        </w:rPr>
        <w:t>T</w:t>
      </w:r>
      <w:r>
        <w:rPr>
          <w:szCs w:val="32"/>
        </w:rPr>
        <w:t xml:space="preserve">echnology </w:t>
      </w:r>
      <w:r w:rsidR="00E524A8">
        <w:rPr>
          <w:szCs w:val="32"/>
        </w:rPr>
        <w:t>D</w:t>
      </w:r>
      <w:r>
        <w:rPr>
          <w:szCs w:val="32"/>
        </w:rPr>
        <w:t>eployment (SCTD). The SCTD load impacts are analyzed in a different study; as a result, customer</w:t>
      </w:r>
      <w:r w:rsidR="00E524A8">
        <w:rPr>
          <w:szCs w:val="32"/>
        </w:rPr>
        <w:t>s</w:t>
      </w:r>
      <w:r>
        <w:rPr>
          <w:szCs w:val="32"/>
        </w:rPr>
        <w:t xml:space="preserve"> dually enrolled in SCTD were removed from this analysis to prevent any double counting of load impacts. There were only four customers dually enrolled in BIP </w:t>
      </w:r>
      <w:r w:rsidR="00E524A8">
        <w:rPr>
          <w:szCs w:val="32"/>
        </w:rPr>
        <w:t xml:space="preserve">that </w:t>
      </w:r>
      <w:r>
        <w:rPr>
          <w:szCs w:val="32"/>
        </w:rPr>
        <w:t xml:space="preserve">are not reported here. </w:t>
      </w:r>
    </w:p>
    <w:p w14:paraId="3F475196" w14:textId="77777777" w:rsidR="00D3527F" w:rsidRDefault="00D3527F" w:rsidP="00D3527F">
      <w:pPr>
        <w:spacing w:after="120"/>
        <w:rPr>
          <w:szCs w:val="32"/>
        </w:rPr>
      </w:pPr>
    </w:p>
    <w:p w14:paraId="2E11BC03" w14:textId="6E9EE202" w:rsidR="00D3527F" w:rsidRPr="006F686D" w:rsidRDefault="00D3527F" w:rsidP="00D3527F">
      <w:pPr>
        <w:pStyle w:val="TableCaption"/>
        <w:rPr>
          <w:i/>
        </w:rPr>
      </w:pPr>
      <w:bookmarkStart w:id="463" w:name="_Ref507515017"/>
      <w:bookmarkStart w:id="464" w:name="_Toc509837418"/>
      <w:r>
        <w:t xml:space="preserve">Table </w:t>
      </w:r>
      <w:fldSimple w:instr=" STYLEREF 1 \s ">
        <w:r w:rsidR="005D5C7C">
          <w:rPr>
            <w:noProof/>
          </w:rPr>
          <w:t>5</w:t>
        </w:r>
      </w:fldSimple>
      <w:r w:rsidR="0069714C">
        <w:t>.</w:t>
      </w:r>
      <w:fldSimple w:instr=" SEQ Table \* ARABIC \s 1 ">
        <w:r w:rsidR="005D5C7C">
          <w:rPr>
            <w:noProof/>
          </w:rPr>
          <w:t>7</w:t>
        </w:r>
      </w:fldSimple>
      <w:bookmarkEnd w:id="463"/>
      <w:r>
        <w:t xml:space="preserve">: Average Event-Hour Aggregate Load Impacts by Event, </w:t>
      </w:r>
      <w:r w:rsidRPr="00671819">
        <w:rPr>
          <w:i/>
        </w:rPr>
        <w:t>SDG&amp;E Dually Enrolled Customers</w:t>
      </w:r>
      <w:bookmarkEnd w:id="464"/>
    </w:p>
    <w:tbl>
      <w:tblPr>
        <w:tblW w:w="9930" w:type="dxa"/>
        <w:jc w:val="center"/>
        <w:tblLook w:val="04A0" w:firstRow="1" w:lastRow="0" w:firstColumn="1" w:lastColumn="0" w:noHBand="0" w:noVBand="1"/>
      </w:tblPr>
      <w:tblGrid>
        <w:gridCol w:w="975"/>
        <w:gridCol w:w="2615"/>
        <w:gridCol w:w="1440"/>
        <w:gridCol w:w="1600"/>
        <w:gridCol w:w="1390"/>
        <w:gridCol w:w="1390"/>
        <w:gridCol w:w="960"/>
      </w:tblGrid>
      <w:tr w:rsidR="00D3527F" w:rsidRPr="00E47059" w14:paraId="398BB46B" w14:textId="77777777" w:rsidTr="001958B4">
        <w:trPr>
          <w:trHeight w:val="300"/>
          <w:jc w:val="center"/>
        </w:trPr>
        <w:tc>
          <w:tcPr>
            <w:tcW w:w="535" w:type="dxa"/>
            <w:vMerge w:val="restart"/>
            <w:tcBorders>
              <w:top w:val="single" w:sz="4" w:space="0" w:color="auto"/>
              <w:left w:val="single" w:sz="4" w:space="0" w:color="auto"/>
              <w:bottom w:val="single" w:sz="4" w:space="0" w:color="auto"/>
              <w:right w:val="nil"/>
            </w:tcBorders>
            <w:shd w:val="clear" w:color="000000" w:fill="0C2577"/>
            <w:noWrap/>
            <w:vAlign w:val="center"/>
            <w:hideMark/>
          </w:tcPr>
          <w:p w14:paraId="796694BB"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Dually Enrolled</w:t>
            </w:r>
          </w:p>
        </w:tc>
        <w:tc>
          <w:tcPr>
            <w:tcW w:w="2615" w:type="dxa"/>
            <w:vMerge w:val="restart"/>
            <w:tcBorders>
              <w:top w:val="single" w:sz="4" w:space="0" w:color="auto"/>
              <w:left w:val="single" w:sz="4" w:space="0" w:color="FFFFFF"/>
              <w:bottom w:val="single" w:sz="4" w:space="0" w:color="auto"/>
              <w:right w:val="nil"/>
            </w:tcBorders>
            <w:shd w:val="clear" w:color="000000" w:fill="0C2577"/>
            <w:vAlign w:val="center"/>
            <w:hideMark/>
          </w:tcPr>
          <w:p w14:paraId="6F64BB5F"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Date</w:t>
            </w:r>
          </w:p>
        </w:tc>
        <w:tc>
          <w:tcPr>
            <w:tcW w:w="1440" w:type="dxa"/>
            <w:vMerge w:val="restart"/>
            <w:tcBorders>
              <w:top w:val="single" w:sz="4" w:space="0" w:color="auto"/>
              <w:left w:val="single" w:sz="4" w:space="0" w:color="FFFFFF"/>
              <w:bottom w:val="single" w:sz="4" w:space="0" w:color="000000"/>
              <w:right w:val="nil"/>
            </w:tcBorders>
            <w:shd w:val="clear" w:color="000000" w:fill="0C2577"/>
            <w:vAlign w:val="center"/>
            <w:hideMark/>
          </w:tcPr>
          <w:p w14:paraId="06752C05"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 of Service Accounts</w:t>
            </w:r>
          </w:p>
        </w:tc>
        <w:tc>
          <w:tcPr>
            <w:tcW w:w="1600" w:type="dxa"/>
            <w:vMerge w:val="restart"/>
            <w:tcBorders>
              <w:top w:val="single" w:sz="4" w:space="0" w:color="auto"/>
              <w:left w:val="single" w:sz="4" w:space="0" w:color="FFFFFF"/>
              <w:bottom w:val="single" w:sz="4" w:space="0" w:color="auto"/>
              <w:right w:val="nil"/>
            </w:tcBorders>
            <w:shd w:val="clear" w:color="000000" w:fill="0C2577"/>
            <w:vAlign w:val="center"/>
            <w:hideMark/>
          </w:tcPr>
          <w:p w14:paraId="58265CB5"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Estimated Reference Load (MWh/hour)</w:t>
            </w:r>
          </w:p>
        </w:tc>
        <w:tc>
          <w:tcPr>
            <w:tcW w:w="1390" w:type="dxa"/>
            <w:vMerge w:val="restart"/>
            <w:tcBorders>
              <w:top w:val="single" w:sz="4" w:space="0" w:color="auto"/>
              <w:left w:val="single" w:sz="4" w:space="0" w:color="FFFFFF"/>
              <w:bottom w:val="single" w:sz="4" w:space="0" w:color="auto"/>
              <w:right w:val="nil"/>
            </w:tcBorders>
            <w:shd w:val="clear" w:color="000000" w:fill="0C2577"/>
            <w:vAlign w:val="center"/>
            <w:hideMark/>
          </w:tcPr>
          <w:p w14:paraId="52BF81FD"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Observed Load (MWh/hour)</w:t>
            </w:r>
          </w:p>
        </w:tc>
        <w:tc>
          <w:tcPr>
            <w:tcW w:w="1390" w:type="dxa"/>
            <w:vMerge w:val="restart"/>
            <w:tcBorders>
              <w:top w:val="single" w:sz="4" w:space="0" w:color="auto"/>
              <w:left w:val="single" w:sz="4" w:space="0" w:color="FFFFFF"/>
              <w:bottom w:val="single" w:sz="4" w:space="0" w:color="auto"/>
              <w:right w:val="single" w:sz="4" w:space="0" w:color="FFFFFF"/>
            </w:tcBorders>
            <w:shd w:val="clear" w:color="000000" w:fill="0C2577"/>
            <w:vAlign w:val="center"/>
            <w:hideMark/>
          </w:tcPr>
          <w:p w14:paraId="17EAB8E1"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Estimated Load Impact (MWh/hour)</w:t>
            </w:r>
          </w:p>
        </w:tc>
        <w:tc>
          <w:tcPr>
            <w:tcW w:w="960" w:type="dxa"/>
            <w:vMerge w:val="restart"/>
            <w:tcBorders>
              <w:top w:val="single" w:sz="4" w:space="0" w:color="auto"/>
              <w:left w:val="nil"/>
              <w:bottom w:val="single" w:sz="4" w:space="0" w:color="auto"/>
              <w:right w:val="single" w:sz="4" w:space="0" w:color="auto"/>
            </w:tcBorders>
            <w:shd w:val="clear" w:color="000000" w:fill="0C2577"/>
            <w:vAlign w:val="center"/>
            <w:hideMark/>
          </w:tcPr>
          <w:p w14:paraId="22C34DC8" w14:textId="77777777" w:rsidR="00D3527F" w:rsidRPr="00E47059" w:rsidRDefault="00D3527F" w:rsidP="00D3527F">
            <w:pPr>
              <w:keepNext/>
              <w:jc w:val="center"/>
              <w:rPr>
                <w:rFonts w:cs="Calibri"/>
                <w:b/>
                <w:bCs/>
                <w:color w:val="FFFFFF"/>
                <w:sz w:val="22"/>
                <w:szCs w:val="22"/>
              </w:rPr>
            </w:pPr>
            <w:r w:rsidRPr="00E47059">
              <w:rPr>
                <w:rFonts w:cs="Calibri"/>
                <w:b/>
                <w:bCs/>
                <w:color w:val="FFFFFF"/>
                <w:sz w:val="22"/>
                <w:szCs w:val="22"/>
              </w:rPr>
              <w:t>% LI</w:t>
            </w:r>
          </w:p>
        </w:tc>
      </w:tr>
      <w:tr w:rsidR="00D3527F" w:rsidRPr="00E47059" w14:paraId="3F984159" w14:textId="77777777" w:rsidTr="001958B4">
        <w:trPr>
          <w:trHeight w:val="300"/>
          <w:jc w:val="center"/>
        </w:trPr>
        <w:tc>
          <w:tcPr>
            <w:tcW w:w="535" w:type="dxa"/>
            <w:vMerge/>
            <w:tcBorders>
              <w:top w:val="single" w:sz="4" w:space="0" w:color="auto"/>
              <w:left w:val="single" w:sz="4" w:space="0" w:color="auto"/>
              <w:bottom w:val="single" w:sz="4" w:space="0" w:color="auto"/>
              <w:right w:val="nil"/>
            </w:tcBorders>
            <w:vAlign w:val="center"/>
            <w:hideMark/>
          </w:tcPr>
          <w:p w14:paraId="3F9540A4" w14:textId="77777777" w:rsidR="00D3527F" w:rsidRPr="00E47059" w:rsidRDefault="00D3527F" w:rsidP="00D3527F">
            <w:pPr>
              <w:keepNext/>
              <w:rPr>
                <w:rFonts w:cs="Calibri"/>
                <w:b/>
                <w:bCs/>
                <w:color w:val="FFFFFF"/>
                <w:sz w:val="22"/>
                <w:szCs w:val="22"/>
              </w:rPr>
            </w:pPr>
          </w:p>
        </w:tc>
        <w:tc>
          <w:tcPr>
            <w:tcW w:w="2615" w:type="dxa"/>
            <w:vMerge/>
            <w:tcBorders>
              <w:top w:val="single" w:sz="4" w:space="0" w:color="auto"/>
              <w:left w:val="single" w:sz="4" w:space="0" w:color="FFFFFF"/>
              <w:bottom w:val="single" w:sz="4" w:space="0" w:color="auto"/>
              <w:right w:val="nil"/>
            </w:tcBorders>
            <w:vAlign w:val="center"/>
            <w:hideMark/>
          </w:tcPr>
          <w:p w14:paraId="5BDDB043" w14:textId="77777777" w:rsidR="00D3527F" w:rsidRPr="00E47059" w:rsidRDefault="00D3527F" w:rsidP="00D3527F">
            <w:pPr>
              <w:keepNext/>
              <w:rPr>
                <w:rFonts w:cs="Calibri"/>
                <w:b/>
                <w:bCs/>
                <w:color w:val="FFFFFF"/>
                <w:sz w:val="22"/>
                <w:szCs w:val="22"/>
              </w:rPr>
            </w:pPr>
          </w:p>
        </w:tc>
        <w:tc>
          <w:tcPr>
            <w:tcW w:w="1440" w:type="dxa"/>
            <w:vMerge/>
            <w:tcBorders>
              <w:top w:val="single" w:sz="4" w:space="0" w:color="auto"/>
              <w:left w:val="single" w:sz="4" w:space="0" w:color="FFFFFF"/>
              <w:bottom w:val="single" w:sz="4" w:space="0" w:color="000000"/>
              <w:right w:val="nil"/>
            </w:tcBorders>
            <w:vAlign w:val="center"/>
            <w:hideMark/>
          </w:tcPr>
          <w:p w14:paraId="62BFEEA0" w14:textId="77777777" w:rsidR="00D3527F" w:rsidRPr="00E47059" w:rsidRDefault="00D3527F" w:rsidP="00D3527F">
            <w:pPr>
              <w:keepNext/>
              <w:rPr>
                <w:rFonts w:cs="Calibri"/>
                <w:b/>
                <w:bCs/>
                <w:color w:val="FFFFFF"/>
                <w:sz w:val="22"/>
                <w:szCs w:val="22"/>
              </w:rPr>
            </w:pPr>
          </w:p>
        </w:tc>
        <w:tc>
          <w:tcPr>
            <w:tcW w:w="1600" w:type="dxa"/>
            <w:vMerge/>
            <w:tcBorders>
              <w:top w:val="single" w:sz="4" w:space="0" w:color="auto"/>
              <w:left w:val="single" w:sz="4" w:space="0" w:color="FFFFFF"/>
              <w:bottom w:val="single" w:sz="4" w:space="0" w:color="auto"/>
              <w:right w:val="nil"/>
            </w:tcBorders>
            <w:vAlign w:val="center"/>
            <w:hideMark/>
          </w:tcPr>
          <w:p w14:paraId="78326CBA" w14:textId="77777777" w:rsidR="00D3527F" w:rsidRPr="00E47059" w:rsidRDefault="00D3527F" w:rsidP="00D3527F">
            <w:pPr>
              <w:keepNext/>
              <w:rPr>
                <w:rFonts w:cs="Calibri"/>
                <w:b/>
                <w:bCs/>
                <w:color w:val="FFFFFF"/>
                <w:sz w:val="22"/>
                <w:szCs w:val="22"/>
              </w:rPr>
            </w:pPr>
          </w:p>
        </w:tc>
        <w:tc>
          <w:tcPr>
            <w:tcW w:w="1390" w:type="dxa"/>
            <w:vMerge/>
            <w:tcBorders>
              <w:top w:val="single" w:sz="4" w:space="0" w:color="auto"/>
              <w:left w:val="single" w:sz="4" w:space="0" w:color="FFFFFF"/>
              <w:bottom w:val="single" w:sz="4" w:space="0" w:color="auto"/>
              <w:right w:val="nil"/>
            </w:tcBorders>
            <w:vAlign w:val="center"/>
            <w:hideMark/>
          </w:tcPr>
          <w:p w14:paraId="41821E65" w14:textId="77777777" w:rsidR="00D3527F" w:rsidRPr="00E47059" w:rsidRDefault="00D3527F" w:rsidP="00D3527F">
            <w:pPr>
              <w:keepNext/>
              <w:rPr>
                <w:rFonts w:cs="Calibri"/>
                <w:b/>
                <w:bCs/>
                <w:color w:val="FFFFFF"/>
                <w:sz w:val="22"/>
                <w:szCs w:val="22"/>
              </w:rPr>
            </w:pPr>
          </w:p>
        </w:tc>
        <w:tc>
          <w:tcPr>
            <w:tcW w:w="1390" w:type="dxa"/>
            <w:vMerge/>
            <w:tcBorders>
              <w:top w:val="single" w:sz="4" w:space="0" w:color="auto"/>
              <w:left w:val="single" w:sz="4" w:space="0" w:color="FFFFFF"/>
              <w:bottom w:val="single" w:sz="4" w:space="0" w:color="auto"/>
              <w:right w:val="single" w:sz="4" w:space="0" w:color="FFFFFF"/>
            </w:tcBorders>
            <w:vAlign w:val="center"/>
            <w:hideMark/>
          </w:tcPr>
          <w:p w14:paraId="37D4E83A" w14:textId="77777777" w:rsidR="00D3527F" w:rsidRPr="00E47059" w:rsidRDefault="00D3527F" w:rsidP="00D3527F">
            <w:pPr>
              <w:keepNext/>
              <w:rPr>
                <w:rFonts w:cs="Calibri"/>
                <w:b/>
                <w:bCs/>
                <w:color w:val="FFFFFF"/>
                <w:sz w:val="22"/>
                <w:szCs w:val="22"/>
              </w:rPr>
            </w:pPr>
          </w:p>
        </w:tc>
        <w:tc>
          <w:tcPr>
            <w:tcW w:w="960" w:type="dxa"/>
            <w:vMerge/>
            <w:tcBorders>
              <w:top w:val="single" w:sz="4" w:space="0" w:color="auto"/>
              <w:left w:val="nil"/>
              <w:bottom w:val="single" w:sz="4" w:space="0" w:color="auto"/>
              <w:right w:val="single" w:sz="4" w:space="0" w:color="auto"/>
            </w:tcBorders>
            <w:vAlign w:val="center"/>
            <w:hideMark/>
          </w:tcPr>
          <w:p w14:paraId="7DDDC33F" w14:textId="77777777" w:rsidR="00D3527F" w:rsidRPr="00E47059" w:rsidRDefault="00D3527F" w:rsidP="00D3527F">
            <w:pPr>
              <w:keepNext/>
              <w:rPr>
                <w:rFonts w:cs="Calibri"/>
                <w:b/>
                <w:bCs/>
                <w:color w:val="FFFFFF"/>
                <w:sz w:val="22"/>
                <w:szCs w:val="22"/>
              </w:rPr>
            </w:pPr>
          </w:p>
        </w:tc>
      </w:tr>
      <w:tr w:rsidR="00D3527F" w:rsidRPr="00E47059" w14:paraId="7D096601" w14:textId="77777777" w:rsidTr="001958B4">
        <w:trPr>
          <w:trHeight w:val="300"/>
          <w:jc w:val="center"/>
        </w:trPr>
        <w:tc>
          <w:tcPr>
            <w:tcW w:w="53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0FB7BE"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CBP</w:t>
            </w:r>
          </w:p>
        </w:tc>
        <w:tc>
          <w:tcPr>
            <w:tcW w:w="2615" w:type="dxa"/>
            <w:tcBorders>
              <w:top w:val="nil"/>
              <w:left w:val="nil"/>
              <w:bottom w:val="single" w:sz="4" w:space="0" w:color="auto"/>
              <w:right w:val="single" w:sz="4" w:space="0" w:color="auto"/>
            </w:tcBorders>
            <w:shd w:val="clear" w:color="auto" w:fill="auto"/>
            <w:noWrap/>
            <w:vAlign w:val="center"/>
            <w:hideMark/>
          </w:tcPr>
          <w:p w14:paraId="2908C7A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8/31/2017</w:t>
            </w:r>
          </w:p>
        </w:tc>
        <w:tc>
          <w:tcPr>
            <w:tcW w:w="1440" w:type="dxa"/>
            <w:tcBorders>
              <w:top w:val="nil"/>
              <w:left w:val="nil"/>
              <w:bottom w:val="single" w:sz="4" w:space="0" w:color="auto"/>
              <w:right w:val="single" w:sz="4" w:space="0" w:color="auto"/>
            </w:tcBorders>
            <w:shd w:val="clear" w:color="auto" w:fill="auto"/>
            <w:noWrap/>
            <w:vAlign w:val="center"/>
            <w:hideMark/>
          </w:tcPr>
          <w:p w14:paraId="50DFD3B1"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44</w:t>
            </w:r>
          </w:p>
        </w:tc>
        <w:tc>
          <w:tcPr>
            <w:tcW w:w="1600" w:type="dxa"/>
            <w:tcBorders>
              <w:top w:val="nil"/>
              <w:left w:val="nil"/>
              <w:bottom w:val="single" w:sz="4" w:space="0" w:color="auto"/>
              <w:right w:val="single" w:sz="4" w:space="0" w:color="auto"/>
            </w:tcBorders>
            <w:shd w:val="clear" w:color="auto" w:fill="auto"/>
            <w:noWrap/>
            <w:vAlign w:val="center"/>
            <w:hideMark/>
          </w:tcPr>
          <w:p w14:paraId="35C90378"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6.9</w:t>
            </w:r>
          </w:p>
        </w:tc>
        <w:tc>
          <w:tcPr>
            <w:tcW w:w="1390" w:type="dxa"/>
            <w:tcBorders>
              <w:top w:val="nil"/>
              <w:left w:val="nil"/>
              <w:bottom w:val="single" w:sz="4" w:space="0" w:color="auto"/>
              <w:right w:val="single" w:sz="4" w:space="0" w:color="auto"/>
            </w:tcBorders>
            <w:shd w:val="clear" w:color="auto" w:fill="auto"/>
            <w:noWrap/>
            <w:vAlign w:val="center"/>
            <w:hideMark/>
          </w:tcPr>
          <w:p w14:paraId="7B96E81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6.0</w:t>
            </w:r>
          </w:p>
        </w:tc>
        <w:tc>
          <w:tcPr>
            <w:tcW w:w="1390" w:type="dxa"/>
            <w:tcBorders>
              <w:top w:val="nil"/>
              <w:left w:val="nil"/>
              <w:bottom w:val="single" w:sz="4" w:space="0" w:color="auto"/>
              <w:right w:val="single" w:sz="4" w:space="0" w:color="auto"/>
            </w:tcBorders>
            <w:shd w:val="clear" w:color="auto" w:fill="auto"/>
            <w:noWrap/>
            <w:vAlign w:val="center"/>
            <w:hideMark/>
          </w:tcPr>
          <w:p w14:paraId="6752777F"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0.83</w:t>
            </w:r>
          </w:p>
        </w:tc>
        <w:tc>
          <w:tcPr>
            <w:tcW w:w="960" w:type="dxa"/>
            <w:tcBorders>
              <w:top w:val="nil"/>
              <w:left w:val="nil"/>
              <w:bottom w:val="single" w:sz="4" w:space="0" w:color="auto"/>
              <w:right w:val="single" w:sz="4" w:space="0" w:color="auto"/>
            </w:tcBorders>
            <w:shd w:val="clear" w:color="auto" w:fill="auto"/>
            <w:noWrap/>
            <w:vAlign w:val="center"/>
            <w:hideMark/>
          </w:tcPr>
          <w:p w14:paraId="61BF255E"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12.1%</w:t>
            </w:r>
          </w:p>
        </w:tc>
      </w:tr>
      <w:tr w:rsidR="00D3527F" w:rsidRPr="00E47059" w14:paraId="67CCCCF1"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6C9B32EA"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18FD334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9/1/2017</w:t>
            </w:r>
          </w:p>
        </w:tc>
        <w:tc>
          <w:tcPr>
            <w:tcW w:w="1440" w:type="dxa"/>
            <w:tcBorders>
              <w:top w:val="nil"/>
              <w:left w:val="nil"/>
              <w:bottom w:val="single" w:sz="4" w:space="0" w:color="auto"/>
              <w:right w:val="single" w:sz="4" w:space="0" w:color="auto"/>
            </w:tcBorders>
            <w:shd w:val="clear" w:color="auto" w:fill="auto"/>
            <w:noWrap/>
            <w:vAlign w:val="center"/>
            <w:hideMark/>
          </w:tcPr>
          <w:p w14:paraId="44A4A613"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44</w:t>
            </w:r>
          </w:p>
        </w:tc>
        <w:tc>
          <w:tcPr>
            <w:tcW w:w="1600" w:type="dxa"/>
            <w:tcBorders>
              <w:top w:val="nil"/>
              <w:left w:val="nil"/>
              <w:bottom w:val="single" w:sz="4" w:space="0" w:color="auto"/>
              <w:right w:val="single" w:sz="4" w:space="0" w:color="auto"/>
            </w:tcBorders>
            <w:shd w:val="clear" w:color="auto" w:fill="auto"/>
            <w:noWrap/>
            <w:vAlign w:val="center"/>
            <w:hideMark/>
          </w:tcPr>
          <w:p w14:paraId="7B83EFB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7.1</w:t>
            </w:r>
          </w:p>
        </w:tc>
        <w:tc>
          <w:tcPr>
            <w:tcW w:w="1390" w:type="dxa"/>
            <w:tcBorders>
              <w:top w:val="nil"/>
              <w:left w:val="nil"/>
              <w:bottom w:val="single" w:sz="4" w:space="0" w:color="auto"/>
              <w:right w:val="single" w:sz="4" w:space="0" w:color="auto"/>
            </w:tcBorders>
            <w:shd w:val="clear" w:color="auto" w:fill="auto"/>
            <w:noWrap/>
            <w:vAlign w:val="center"/>
            <w:hideMark/>
          </w:tcPr>
          <w:p w14:paraId="0F90C80E"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7.0</w:t>
            </w:r>
          </w:p>
        </w:tc>
        <w:tc>
          <w:tcPr>
            <w:tcW w:w="1390" w:type="dxa"/>
            <w:tcBorders>
              <w:top w:val="nil"/>
              <w:left w:val="nil"/>
              <w:bottom w:val="single" w:sz="4" w:space="0" w:color="auto"/>
              <w:right w:val="single" w:sz="4" w:space="0" w:color="auto"/>
            </w:tcBorders>
            <w:shd w:val="clear" w:color="auto" w:fill="auto"/>
            <w:noWrap/>
            <w:vAlign w:val="center"/>
            <w:hideMark/>
          </w:tcPr>
          <w:p w14:paraId="405782F3"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0.09</w:t>
            </w:r>
          </w:p>
        </w:tc>
        <w:tc>
          <w:tcPr>
            <w:tcW w:w="960" w:type="dxa"/>
            <w:tcBorders>
              <w:top w:val="nil"/>
              <w:left w:val="nil"/>
              <w:bottom w:val="single" w:sz="4" w:space="0" w:color="auto"/>
              <w:right w:val="single" w:sz="4" w:space="0" w:color="auto"/>
            </w:tcBorders>
            <w:shd w:val="clear" w:color="auto" w:fill="auto"/>
            <w:noWrap/>
            <w:vAlign w:val="center"/>
            <w:hideMark/>
          </w:tcPr>
          <w:p w14:paraId="78477127"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1.3%</w:t>
            </w:r>
          </w:p>
        </w:tc>
      </w:tr>
      <w:tr w:rsidR="00D3527F" w:rsidRPr="00E47059" w14:paraId="1B393801"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36DF296B"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2A44CEF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9/2/2017</w:t>
            </w:r>
          </w:p>
        </w:tc>
        <w:tc>
          <w:tcPr>
            <w:tcW w:w="1440" w:type="dxa"/>
            <w:tcBorders>
              <w:top w:val="nil"/>
              <w:left w:val="nil"/>
              <w:bottom w:val="single" w:sz="4" w:space="0" w:color="auto"/>
              <w:right w:val="single" w:sz="4" w:space="0" w:color="auto"/>
            </w:tcBorders>
            <w:shd w:val="clear" w:color="auto" w:fill="auto"/>
            <w:noWrap/>
            <w:vAlign w:val="center"/>
            <w:hideMark/>
          </w:tcPr>
          <w:p w14:paraId="2CC5363F"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44</w:t>
            </w:r>
          </w:p>
        </w:tc>
        <w:tc>
          <w:tcPr>
            <w:tcW w:w="1600" w:type="dxa"/>
            <w:tcBorders>
              <w:top w:val="nil"/>
              <w:left w:val="nil"/>
              <w:bottom w:val="single" w:sz="4" w:space="0" w:color="auto"/>
              <w:right w:val="single" w:sz="4" w:space="0" w:color="auto"/>
            </w:tcBorders>
            <w:shd w:val="clear" w:color="auto" w:fill="auto"/>
            <w:noWrap/>
            <w:vAlign w:val="center"/>
            <w:hideMark/>
          </w:tcPr>
          <w:p w14:paraId="24BED82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5.8</w:t>
            </w:r>
          </w:p>
        </w:tc>
        <w:tc>
          <w:tcPr>
            <w:tcW w:w="1390" w:type="dxa"/>
            <w:tcBorders>
              <w:top w:val="nil"/>
              <w:left w:val="nil"/>
              <w:bottom w:val="single" w:sz="4" w:space="0" w:color="auto"/>
              <w:right w:val="single" w:sz="4" w:space="0" w:color="auto"/>
            </w:tcBorders>
            <w:shd w:val="clear" w:color="auto" w:fill="auto"/>
            <w:noWrap/>
            <w:vAlign w:val="center"/>
            <w:hideMark/>
          </w:tcPr>
          <w:p w14:paraId="4877B5D3"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7.1</w:t>
            </w:r>
          </w:p>
        </w:tc>
        <w:tc>
          <w:tcPr>
            <w:tcW w:w="1390" w:type="dxa"/>
            <w:tcBorders>
              <w:top w:val="nil"/>
              <w:left w:val="nil"/>
              <w:bottom w:val="single" w:sz="4" w:space="0" w:color="auto"/>
              <w:right w:val="single" w:sz="4" w:space="0" w:color="auto"/>
            </w:tcBorders>
            <w:shd w:val="clear" w:color="auto" w:fill="auto"/>
            <w:noWrap/>
            <w:vAlign w:val="center"/>
            <w:hideMark/>
          </w:tcPr>
          <w:p w14:paraId="33872F14"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6425DA6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-21.4%</w:t>
            </w:r>
          </w:p>
        </w:tc>
      </w:tr>
      <w:tr w:rsidR="00D3527F" w:rsidRPr="00E47059" w14:paraId="469B25BD"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7D263EE0"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3F470046" w14:textId="0961AE90" w:rsidR="00D3527F" w:rsidRPr="006D72A4" w:rsidRDefault="001958B4" w:rsidP="00D3527F">
            <w:pPr>
              <w:keepNext/>
              <w:jc w:val="center"/>
              <w:rPr>
                <w:rFonts w:ascii="Arial" w:hAnsi="Arial" w:cs="Arial"/>
                <w:b/>
                <w:color w:val="000000"/>
                <w:sz w:val="20"/>
                <w:szCs w:val="20"/>
              </w:rPr>
            </w:pPr>
            <w:r>
              <w:rPr>
                <w:rFonts w:ascii="Arial" w:hAnsi="Arial" w:cs="Arial"/>
                <w:b/>
                <w:color w:val="000000"/>
                <w:sz w:val="20"/>
                <w:szCs w:val="20"/>
              </w:rPr>
              <w:t>Average Weekday Event</w:t>
            </w:r>
          </w:p>
        </w:tc>
        <w:tc>
          <w:tcPr>
            <w:tcW w:w="1440" w:type="dxa"/>
            <w:tcBorders>
              <w:top w:val="nil"/>
              <w:left w:val="nil"/>
              <w:bottom w:val="single" w:sz="4" w:space="0" w:color="auto"/>
              <w:right w:val="single" w:sz="4" w:space="0" w:color="auto"/>
            </w:tcBorders>
            <w:shd w:val="clear" w:color="auto" w:fill="auto"/>
            <w:noWrap/>
            <w:vAlign w:val="center"/>
            <w:hideMark/>
          </w:tcPr>
          <w:p w14:paraId="21E262A9"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44</w:t>
            </w:r>
          </w:p>
        </w:tc>
        <w:tc>
          <w:tcPr>
            <w:tcW w:w="1600" w:type="dxa"/>
            <w:tcBorders>
              <w:top w:val="nil"/>
              <w:left w:val="nil"/>
              <w:bottom w:val="single" w:sz="4" w:space="0" w:color="auto"/>
              <w:right w:val="single" w:sz="4" w:space="0" w:color="auto"/>
            </w:tcBorders>
            <w:shd w:val="clear" w:color="auto" w:fill="auto"/>
            <w:noWrap/>
            <w:vAlign w:val="center"/>
            <w:hideMark/>
          </w:tcPr>
          <w:p w14:paraId="04EFB016"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7.0</w:t>
            </w:r>
          </w:p>
        </w:tc>
        <w:tc>
          <w:tcPr>
            <w:tcW w:w="1390" w:type="dxa"/>
            <w:tcBorders>
              <w:top w:val="nil"/>
              <w:left w:val="nil"/>
              <w:bottom w:val="single" w:sz="4" w:space="0" w:color="auto"/>
              <w:right w:val="single" w:sz="4" w:space="0" w:color="auto"/>
            </w:tcBorders>
            <w:shd w:val="clear" w:color="auto" w:fill="auto"/>
            <w:noWrap/>
            <w:vAlign w:val="center"/>
            <w:hideMark/>
          </w:tcPr>
          <w:p w14:paraId="7A42E26D"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6.5</w:t>
            </w:r>
          </w:p>
        </w:tc>
        <w:tc>
          <w:tcPr>
            <w:tcW w:w="1390" w:type="dxa"/>
            <w:tcBorders>
              <w:top w:val="nil"/>
              <w:left w:val="nil"/>
              <w:bottom w:val="single" w:sz="4" w:space="0" w:color="auto"/>
              <w:right w:val="single" w:sz="4" w:space="0" w:color="auto"/>
            </w:tcBorders>
            <w:shd w:val="clear" w:color="auto" w:fill="auto"/>
            <w:noWrap/>
            <w:vAlign w:val="center"/>
            <w:hideMark/>
          </w:tcPr>
          <w:p w14:paraId="72F576C4"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0.46</w:t>
            </w:r>
          </w:p>
        </w:tc>
        <w:tc>
          <w:tcPr>
            <w:tcW w:w="960" w:type="dxa"/>
            <w:tcBorders>
              <w:top w:val="nil"/>
              <w:left w:val="nil"/>
              <w:bottom w:val="single" w:sz="4" w:space="0" w:color="auto"/>
              <w:right w:val="single" w:sz="4" w:space="0" w:color="auto"/>
            </w:tcBorders>
            <w:shd w:val="clear" w:color="auto" w:fill="auto"/>
            <w:noWrap/>
            <w:vAlign w:val="center"/>
            <w:hideMark/>
          </w:tcPr>
          <w:p w14:paraId="4DDA311E"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6.6%</w:t>
            </w:r>
          </w:p>
        </w:tc>
      </w:tr>
      <w:tr w:rsidR="00D3527F" w:rsidRPr="00E47059" w14:paraId="1BB6CC12" w14:textId="77777777" w:rsidTr="001958B4">
        <w:trPr>
          <w:trHeight w:val="300"/>
          <w:jc w:val="center"/>
        </w:trPr>
        <w:tc>
          <w:tcPr>
            <w:tcW w:w="535" w:type="dxa"/>
            <w:vMerge w:val="restart"/>
            <w:tcBorders>
              <w:top w:val="nil"/>
              <w:left w:val="single" w:sz="4" w:space="0" w:color="auto"/>
              <w:bottom w:val="single" w:sz="4" w:space="0" w:color="auto"/>
              <w:right w:val="single" w:sz="4" w:space="0" w:color="auto"/>
            </w:tcBorders>
            <w:shd w:val="clear" w:color="auto" w:fill="auto"/>
            <w:vAlign w:val="center"/>
            <w:hideMark/>
          </w:tcPr>
          <w:p w14:paraId="4903955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Summer Saver</w:t>
            </w:r>
          </w:p>
        </w:tc>
        <w:tc>
          <w:tcPr>
            <w:tcW w:w="2615" w:type="dxa"/>
            <w:tcBorders>
              <w:top w:val="nil"/>
              <w:left w:val="nil"/>
              <w:bottom w:val="single" w:sz="4" w:space="0" w:color="auto"/>
              <w:right w:val="single" w:sz="4" w:space="0" w:color="auto"/>
            </w:tcBorders>
            <w:shd w:val="clear" w:color="auto" w:fill="auto"/>
            <w:noWrap/>
            <w:vAlign w:val="center"/>
            <w:hideMark/>
          </w:tcPr>
          <w:p w14:paraId="2984B74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8/31/2017</w:t>
            </w:r>
          </w:p>
        </w:tc>
        <w:tc>
          <w:tcPr>
            <w:tcW w:w="1440" w:type="dxa"/>
            <w:tcBorders>
              <w:top w:val="nil"/>
              <w:left w:val="nil"/>
              <w:bottom w:val="single" w:sz="4" w:space="0" w:color="auto"/>
              <w:right w:val="single" w:sz="4" w:space="0" w:color="auto"/>
            </w:tcBorders>
            <w:shd w:val="clear" w:color="auto" w:fill="auto"/>
            <w:noWrap/>
            <w:vAlign w:val="center"/>
            <w:hideMark/>
          </w:tcPr>
          <w:p w14:paraId="6377A04A"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463</w:t>
            </w:r>
          </w:p>
        </w:tc>
        <w:tc>
          <w:tcPr>
            <w:tcW w:w="1600" w:type="dxa"/>
            <w:tcBorders>
              <w:top w:val="nil"/>
              <w:left w:val="nil"/>
              <w:bottom w:val="single" w:sz="4" w:space="0" w:color="auto"/>
              <w:right w:val="single" w:sz="4" w:space="0" w:color="auto"/>
            </w:tcBorders>
            <w:shd w:val="clear" w:color="auto" w:fill="auto"/>
            <w:noWrap/>
            <w:vAlign w:val="center"/>
            <w:hideMark/>
          </w:tcPr>
          <w:p w14:paraId="7F4D28FF"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16.2</w:t>
            </w:r>
          </w:p>
        </w:tc>
        <w:tc>
          <w:tcPr>
            <w:tcW w:w="1390" w:type="dxa"/>
            <w:tcBorders>
              <w:top w:val="nil"/>
              <w:left w:val="nil"/>
              <w:bottom w:val="single" w:sz="4" w:space="0" w:color="auto"/>
              <w:right w:val="single" w:sz="4" w:space="0" w:color="auto"/>
            </w:tcBorders>
            <w:shd w:val="clear" w:color="auto" w:fill="auto"/>
            <w:noWrap/>
            <w:vAlign w:val="center"/>
            <w:hideMark/>
          </w:tcPr>
          <w:p w14:paraId="4E2AB0FA"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16.5</w:t>
            </w:r>
          </w:p>
        </w:tc>
        <w:tc>
          <w:tcPr>
            <w:tcW w:w="1390" w:type="dxa"/>
            <w:tcBorders>
              <w:top w:val="nil"/>
              <w:left w:val="nil"/>
              <w:bottom w:val="single" w:sz="4" w:space="0" w:color="auto"/>
              <w:right w:val="single" w:sz="4" w:space="0" w:color="auto"/>
            </w:tcBorders>
            <w:shd w:val="clear" w:color="auto" w:fill="auto"/>
            <w:noWrap/>
            <w:vAlign w:val="center"/>
            <w:hideMark/>
          </w:tcPr>
          <w:p w14:paraId="56D447DA"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-0.30</w:t>
            </w:r>
          </w:p>
        </w:tc>
        <w:tc>
          <w:tcPr>
            <w:tcW w:w="960" w:type="dxa"/>
            <w:tcBorders>
              <w:top w:val="nil"/>
              <w:left w:val="nil"/>
              <w:bottom w:val="single" w:sz="4" w:space="0" w:color="auto"/>
              <w:right w:val="single" w:sz="4" w:space="0" w:color="auto"/>
            </w:tcBorders>
            <w:shd w:val="clear" w:color="auto" w:fill="auto"/>
            <w:noWrap/>
            <w:vAlign w:val="center"/>
            <w:hideMark/>
          </w:tcPr>
          <w:p w14:paraId="28D558A7"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-1.9%</w:t>
            </w:r>
          </w:p>
        </w:tc>
      </w:tr>
      <w:tr w:rsidR="00D3527F" w:rsidRPr="00E47059" w14:paraId="59AB9BBE"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4EBF9A5E"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2791DB19"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9/1/2017</w:t>
            </w:r>
          </w:p>
        </w:tc>
        <w:tc>
          <w:tcPr>
            <w:tcW w:w="1440" w:type="dxa"/>
            <w:tcBorders>
              <w:top w:val="nil"/>
              <w:left w:val="nil"/>
              <w:bottom w:val="single" w:sz="4" w:space="0" w:color="auto"/>
              <w:right w:val="single" w:sz="4" w:space="0" w:color="auto"/>
            </w:tcBorders>
            <w:shd w:val="clear" w:color="auto" w:fill="auto"/>
            <w:noWrap/>
            <w:vAlign w:val="center"/>
            <w:hideMark/>
          </w:tcPr>
          <w:p w14:paraId="218F047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463</w:t>
            </w:r>
          </w:p>
        </w:tc>
        <w:tc>
          <w:tcPr>
            <w:tcW w:w="1600" w:type="dxa"/>
            <w:tcBorders>
              <w:top w:val="nil"/>
              <w:left w:val="nil"/>
              <w:bottom w:val="single" w:sz="4" w:space="0" w:color="auto"/>
              <w:right w:val="single" w:sz="4" w:space="0" w:color="auto"/>
            </w:tcBorders>
            <w:shd w:val="clear" w:color="auto" w:fill="auto"/>
            <w:noWrap/>
            <w:vAlign w:val="center"/>
            <w:hideMark/>
          </w:tcPr>
          <w:p w14:paraId="06ABB79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16.8</w:t>
            </w:r>
          </w:p>
        </w:tc>
        <w:tc>
          <w:tcPr>
            <w:tcW w:w="1390" w:type="dxa"/>
            <w:tcBorders>
              <w:top w:val="nil"/>
              <w:left w:val="nil"/>
              <w:bottom w:val="single" w:sz="4" w:space="0" w:color="auto"/>
              <w:right w:val="single" w:sz="4" w:space="0" w:color="auto"/>
            </w:tcBorders>
            <w:shd w:val="clear" w:color="auto" w:fill="auto"/>
            <w:noWrap/>
            <w:vAlign w:val="center"/>
            <w:hideMark/>
          </w:tcPr>
          <w:p w14:paraId="04AE7AE4"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17.2</w:t>
            </w:r>
          </w:p>
        </w:tc>
        <w:tc>
          <w:tcPr>
            <w:tcW w:w="1390" w:type="dxa"/>
            <w:tcBorders>
              <w:top w:val="nil"/>
              <w:left w:val="nil"/>
              <w:bottom w:val="single" w:sz="4" w:space="0" w:color="auto"/>
              <w:right w:val="single" w:sz="4" w:space="0" w:color="auto"/>
            </w:tcBorders>
            <w:shd w:val="clear" w:color="auto" w:fill="auto"/>
            <w:noWrap/>
            <w:vAlign w:val="center"/>
            <w:hideMark/>
          </w:tcPr>
          <w:p w14:paraId="34AD334D"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-0.40</w:t>
            </w:r>
          </w:p>
        </w:tc>
        <w:tc>
          <w:tcPr>
            <w:tcW w:w="960" w:type="dxa"/>
            <w:tcBorders>
              <w:top w:val="nil"/>
              <w:left w:val="nil"/>
              <w:bottom w:val="single" w:sz="4" w:space="0" w:color="auto"/>
              <w:right w:val="single" w:sz="4" w:space="0" w:color="auto"/>
            </w:tcBorders>
            <w:shd w:val="clear" w:color="auto" w:fill="auto"/>
            <w:noWrap/>
            <w:vAlign w:val="center"/>
            <w:hideMark/>
          </w:tcPr>
          <w:p w14:paraId="7395ECD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-2.4%</w:t>
            </w:r>
          </w:p>
        </w:tc>
      </w:tr>
      <w:tr w:rsidR="00D3527F" w:rsidRPr="00E47059" w14:paraId="37EBBA00"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2782A550"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5A0CA702"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9/2/2017</w:t>
            </w:r>
          </w:p>
        </w:tc>
        <w:tc>
          <w:tcPr>
            <w:tcW w:w="1440" w:type="dxa"/>
            <w:tcBorders>
              <w:top w:val="nil"/>
              <w:left w:val="nil"/>
              <w:bottom w:val="single" w:sz="4" w:space="0" w:color="auto"/>
              <w:right w:val="single" w:sz="4" w:space="0" w:color="auto"/>
            </w:tcBorders>
            <w:shd w:val="clear" w:color="auto" w:fill="auto"/>
            <w:noWrap/>
            <w:vAlign w:val="center"/>
            <w:hideMark/>
          </w:tcPr>
          <w:p w14:paraId="326FD35D"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463</w:t>
            </w:r>
          </w:p>
        </w:tc>
        <w:tc>
          <w:tcPr>
            <w:tcW w:w="1600" w:type="dxa"/>
            <w:tcBorders>
              <w:top w:val="nil"/>
              <w:left w:val="nil"/>
              <w:bottom w:val="single" w:sz="4" w:space="0" w:color="auto"/>
              <w:right w:val="single" w:sz="4" w:space="0" w:color="auto"/>
            </w:tcBorders>
            <w:shd w:val="clear" w:color="auto" w:fill="auto"/>
            <w:noWrap/>
            <w:vAlign w:val="center"/>
            <w:hideMark/>
          </w:tcPr>
          <w:p w14:paraId="070C763F"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13.3</w:t>
            </w:r>
          </w:p>
        </w:tc>
        <w:tc>
          <w:tcPr>
            <w:tcW w:w="1390" w:type="dxa"/>
            <w:tcBorders>
              <w:top w:val="nil"/>
              <w:left w:val="nil"/>
              <w:bottom w:val="single" w:sz="4" w:space="0" w:color="auto"/>
              <w:right w:val="single" w:sz="4" w:space="0" w:color="auto"/>
            </w:tcBorders>
            <w:shd w:val="clear" w:color="auto" w:fill="auto"/>
            <w:noWrap/>
            <w:vAlign w:val="center"/>
            <w:hideMark/>
          </w:tcPr>
          <w:p w14:paraId="0421121A"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13.5</w:t>
            </w:r>
          </w:p>
        </w:tc>
        <w:tc>
          <w:tcPr>
            <w:tcW w:w="1390" w:type="dxa"/>
            <w:tcBorders>
              <w:top w:val="nil"/>
              <w:left w:val="nil"/>
              <w:bottom w:val="single" w:sz="4" w:space="0" w:color="auto"/>
              <w:right w:val="single" w:sz="4" w:space="0" w:color="auto"/>
            </w:tcBorders>
            <w:shd w:val="clear" w:color="auto" w:fill="auto"/>
            <w:noWrap/>
            <w:vAlign w:val="center"/>
            <w:hideMark/>
          </w:tcPr>
          <w:p w14:paraId="03C0204D"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CA3EDEE"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-1.7%</w:t>
            </w:r>
          </w:p>
        </w:tc>
      </w:tr>
      <w:tr w:rsidR="00D3527F" w:rsidRPr="00E47059" w14:paraId="71D79001"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694B5343"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09C61333" w14:textId="0E38A522" w:rsidR="00D3527F" w:rsidRPr="006D72A4" w:rsidRDefault="001958B4" w:rsidP="00D3527F">
            <w:pPr>
              <w:keepNext/>
              <w:jc w:val="center"/>
              <w:rPr>
                <w:rFonts w:ascii="Arial" w:hAnsi="Arial" w:cs="Arial"/>
                <w:b/>
                <w:color w:val="000000"/>
                <w:sz w:val="20"/>
                <w:szCs w:val="20"/>
              </w:rPr>
            </w:pPr>
            <w:r>
              <w:rPr>
                <w:rFonts w:ascii="Arial" w:hAnsi="Arial" w:cs="Arial"/>
                <w:b/>
                <w:color w:val="000000"/>
                <w:sz w:val="20"/>
                <w:szCs w:val="20"/>
              </w:rPr>
              <w:t>Average Weekday Event</w:t>
            </w:r>
          </w:p>
        </w:tc>
        <w:tc>
          <w:tcPr>
            <w:tcW w:w="1440" w:type="dxa"/>
            <w:tcBorders>
              <w:top w:val="nil"/>
              <w:left w:val="nil"/>
              <w:bottom w:val="single" w:sz="4" w:space="0" w:color="auto"/>
              <w:right w:val="single" w:sz="4" w:space="0" w:color="auto"/>
            </w:tcBorders>
            <w:shd w:val="clear" w:color="auto" w:fill="auto"/>
            <w:noWrap/>
            <w:vAlign w:val="center"/>
            <w:hideMark/>
          </w:tcPr>
          <w:p w14:paraId="0EDB478C"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463</w:t>
            </w:r>
          </w:p>
        </w:tc>
        <w:tc>
          <w:tcPr>
            <w:tcW w:w="1600" w:type="dxa"/>
            <w:tcBorders>
              <w:top w:val="nil"/>
              <w:left w:val="nil"/>
              <w:bottom w:val="single" w:sz="4" w:space="0" w:color="auto"/>
              <w:right w:val="single" w:sz="4" w:space="0" w:color="auto"/>
            </w:tcBorders>
            <w:shd w:val="clear" w:color="auto" w:fill="auto"/>
            <w:noWrap/>
            <w:vAlign w:val="center"/>
            <w:hideMark/>
          </w:tcPr>
          <w:p w14:paraId="0D548C4C"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16.5</w:t>
            </w:r>
          </w:p>
        </w:tc>
        <w:tc>
          <w:tcPr>
            <w:tcW w:w="1390" w:type="dxa"/>
            <w:tcBorders>
              <w:top w:val="nil"/>
              <w:left w:val="nil"/>
              <w:bottom w:val="single" w:sz="4" w:space="0" w:color="auto"/>
              <w:right w:val="single" w:sz="4" w:space="0" w:color="auto"/>
            </w:tcBorders>
            <w:shd w:val="clear" w:color="auto" w:fill="auto"/>
            <w:noWrap/>
            <w:vAlign w:val="center"/>
            <w:hideMark/>
          </w:tcPr>
          <w:p w14:paraId="7F96E931"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16.8</w:t>
            </w:r>
          </w:p>
        </w:tc>
        <w:tc>
          <w:tcPr>
            <w:tcW w:w="1390" w:type="dxa"/>
            <w:tcBorders>
              <w:top w:val="nil"/>
              <w:left w:val="nil"/>
              <w:bottom w:val="single" w:sz="4" w:space="0" w:color="auto"/>
              <w:right w:val="single" w:sz="4" w:space="0" w:color="auto"/>
            </w:tcBorders>
            <w:shd w:val="clear" w:color="auto" w:fill="auto"/>
            <w:noWrap/>
            <w:vAlign w:val="center"/>
            <w:hideMark/>
          </w:tcPr>
          <w:p w14:paraId="5B7CF5BC"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-0.35</w:t>
            </w:r>
          </w:p>
        </w:tc>
        <w:tc>
          <w:tcPr>
            <w:tcW w:w="960" w:type="dxa"/>
            <w:tcBorders>
              <w:top w:val="nil"/>
              <w:left w:val="nil"/>
              <w:bottom w:val="single" w:sz="4" w:space="0" w:color="auto"/>
              <w:right w:val="single" w:sz="4" w:space="0" w:color="auto"/>
            </w:tcBorders>
            <w:shd w:val="clear" w:color="auto" w:fill="auto"/>
            <w:noWrap/>
            <w:vAlign w:val="center"/>
            <w:hideMark/>
          </w:tcPr>
          <w:p w14:paraId="63EC0DBA"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-2.1%</w:t>
            </w:r>
          </w:p>
        </w:tc>
      </w:tr>
      <w:tr w:rsidR="00D3527F" w:rsidRPr="00E47059" w14:paraId="2764E5AA" w14:textId="77777777" w:rsidTr="001958B4">
        <w:trPr>
          <w:trHeight w:val="300"/>
          <w:jc w:val="center"/>
        </w:trPr>
        <w:tc>
          <w:tcPr>
            <w:tcW w:w="535" w:type="dxa"/>
            <w:vMerge w:val="restart"/>
            <w:tcBorders>
              <w:top w:val="nil"/>
              <w:left w:val="single" w:sz="4" w:space="0" w:color="auto"/>
              <w:bottom w:val="single" w:sz="4" w:space="0" w:color="auto"/>
              <w:right w:val="single" w:sz="4" w:space="0" w:color="auto"/>
            </w:tcBorders>
            <w:shd w:val="clear" w:color="auto" w:fill="auto"/>
            <w:vAlign w:val="center"/>
            <w:hideMark/>
          </w:tcPr>
          <w:p w14:paraId="75BC64B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Not Dually Enrolled</w:t>
            </w:r>
          </w:p>
        </w:tc>
        <w:tc>
          <w:tcPr>
            <w:tcW w:w="2615" w:type="dxa"/>
            <w:tcBorders>
              <w:top w:val="nil"/>
              <w:left w:val="nil"/>
              <w:bottom w:val="single" w:sz="4" w:space="0" w:color="auto"/>
              <w:right w:val="single" w:sz="4" w:space="0" w:color="auto"/>
            </w:tcBorders>
            <w:shd w:val="clear" w:color="auto" w:fill="auto"/>
            <w:noWrap/>
            <w:vAlign w:val="center"/>
            <w:hideMark/>
          </w:tcPr>
          <w:p w14:paraId="57714933"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8/31/2017</w:t>
            </w:r>
          </w:p>
        </w:tc>
        <w:tc>
          <w:tcPr>
            <w:tcW w:w="1440" w:type="dxa"/>
            <w:tcBorders>
              <w:top w:val="nil"/>
              <w:left w:val="nil"/>
              <w:bottom w:val="single" w:sz="4" w:space="0" w:color="auto"/>
              <w:right w:val="single" w:sz="4" w:space="0" w:color="auto"/>
            </w:tcBorders>
            <w:shd w:val="clear" w:color="auto" w:fill="auto"/>
            <w:noWrap/>
            <w:vAlign w:val="center"/>
            <w:hideMark/>
          </w:tcPr>
          <w:p w14:paraId="30121FB1"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12,575</w:t>
            </w:r>
          </w:p>
        </w:tc>
        <w:tc>
          <w:tcPr>
            <w:tcW w:w="1600" w:type="dxa"/>
            <w:tcBorders>
              <w:top w:val="nil"/>
              <w:left w:val="nil"/>
              <w:bottom w:val="single" w:sz="4" w:space="0" w:color="auto"/>
              <w:right w:val="single" w:sz="4" w:space="0" w:color="auto"/>
            </w:tcBorders>
            <w:shd w:val="clear" w:color="auto" w:fill="auto"/>
            <w:noWrap/>
            <w:vAlign w:val="center"/>
            <w:hideMark/>
          </w:tcPr>
          <w:p w14:paraId="42568DEF"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848.4</w:t>
            </w:r>
          </w:p>
        </w:tc>
        <w:tc>
          <w:tcPr>
            <w:tcW w:w="1390" w:type="dxa"/>
            <w:tcBorders>
              <w:top w:val="nil"/>
              <w:left w:val="nil"/>
              <w:bottom w:val="single" w:sz="4" w:space="0" w:color="auto"/>
              <w:right w:val="single" w:sz="4" w:space="0" w:color="auto"/>
            </w:tcBorders>
            <w:shd w:val="clear" w:color="auto" w:fill="auto"/>
            <w:noWrap/>
            <w:vAlign w:val="center"/>
            <w:hideMark/>
          </w:tcPr>
          <w:p w14:paraId="0D8FF25A"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828.1</w:t>
            </w:r>
          </w:p>
        </w:tc>
        <w:tc>
          <w:tcPr>
            <w:tcW w:w="1390" w:type="dxa"/>
            <w:tcBorders>
              <w:top w:val="nil"/>
              <w:left w:val="nil"/>
              <w:bottom w:val="single" w:sz="4" w:space="0" w:color="auto"/>
              <w:right w:val="single" w:sz="4" w:space="0" w:color="auto"/>
            </w:tcBorders>
            <w:shd w:val="clear" w:color="auto" w:fill="auto"/>
            <w:noWrap/>
            <w:vAlign w:val="center"/>
            <w:hideMark/>
          </w:tcPr>
          <w:p w14:paraId="66512914"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20.32</w:t>
            </w:r>
          </w:p>
        </w:tc>
        <w:tc>
          <w:tcPr>
            <w:tcW w:w="960" w:type="dxa"/>
            <w:tcBorders>
              <w:top w:val="nil"/>
              <w:left w:val="nil"/>
              <w:bottom w:val="single" w:sz="4" w:space="0" w:color="auto"/>
              <w:right w:val="single" w:sz="4" w:space="0" w:color="auto"/>
            </w:tcBorders>
            <w:shd w:val="clear" w:color="auto" w:fill="auto"/>
            <w:noWrap/>
            <w:vAlign w:val="center"/>
            <w:hideMark/>
          </w:tcPr>
          <w:p w14:paraId="52A1E1EB"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2.4%</w:t>
            </w:r>
          </w:p>
        </w:tc>
      </w:tr>
      <w:tr w:rsidR="00D3527F" w:rsidRPr="00E47059" w14:paraId="4D69D27A"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64CB76CF"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6C99CB0C"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9/1/2017</w:t>
            </w:r>
          </w:p>
        </w:tc>
        <w:tc>
          <w:tcPr>
            <w:tcW w:w="1440" w:type="dxa"/>
            <w:tcBorders>
              <w:top w:val="nil"/>
              <w:left w:val="nil"/>
              <w:bottom w:val="single" w:sz="4" w:space="0" w:color="auto"/>
              <w:right w:val="single" w:sz="4" w:space="0" w:color="auto"/>
            </w:tcBorders>
            <w:shd w:val="clear" w:color="auto" w:fill="auto"/>
            <w:noWrap/>
            <w:vAlign w:val="center"/>
            <w:hideMark/>
          </w:tcPr>
          <w:p w14:paraId="630F821E"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12,575</w:t>
            </w:r>
          </w:p>
        </w:tc>
        <w:tc>
          <w:tcPr>
            <w:tcW w:w="1600" w:type="dxa"/>
            <w:tcBorders>
              <w:top w:val="nil"/>
              <w:left w:val="nil"/>
              <w:bottom w:val="single" w:sz="4" w:space="0" w:color="auto"/>
              <w:right w:val="single" w:sz="4" w:space="0" w:color="auto"/>
            </w:tcBorders>
            <w:shd w:val="clear" w:color="auto" w:fill="auto"/>
            <w:noWrap/>
            <w:vAlign w:val="center"/>
            <w:hideMark/>
          </w:tcPr>
          <w:p w14:paraId="64FFB55A"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854.0</w:t>
            </w:r>
          </w:p>
        </w:tc>
        <w:tc>
          <w:tcPr>
            <w:tcW w:w="1390" w:type="dxa"/>
            <w:tcBorders>
              <w:top w:val="nil"/>
              <w:left w:val="nil"/>
              <w:bottom w:val="single" w:sz="4" w:space="0" w:color="auto"/>
              <w:right w:val="single" w:sz="4" w:space="0" w:color="auto"/>
            </w:tcBorders>
            <w:shd w:val="clear" w:color="auto" w:fill="auto"/>
            <w:noWrap/>
            <w:vAlign w:val="center"/>
            <w:hideMark/>
          </w:tcPr>
          <w:p w14:paraId="40DD3295"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836.4</w:t>
            </w:r>
          </w:p>
        </w:tc>
        <w:tc>
          <w:tcPr>
            <w:tcW w:w="1390" w:type="dxa"/>
            <w:tcBorders>
              <w:top w:val="nil"/>
              <w:left w:val="nil"/>
              <w:bottom w:val="single" w:sz="4" w:space="0" w:color="auto"/>
              <w:right w:val="single" w:sz="4" w:space="0" w:color="auto"/>
            </w:tcBorders>
            <w:shd w:val="clear" w:color="auto" w:fill="auto"/>
            <w:noWrap/>
            <w:vAlign w:val="center"/>
            <w:hideMark/>
          </w:tcPr>
          <w:p w14:paraId="00EA65C2"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17.57</w:t>
            </w:r>
          </w:p>
        </w:tc>
        <w:tc>
          <w:tcPr>
            <w:tcW w:w="960" w:type="dxa"/>
            <w:tcBorders>
              <w:top w:val="nil"/>
              <w:left w:val="nil"/>
              <w:bottom w:val="single" w:sz="4" w:space="0" w:color="auto"/>
              <w:right w:val="single" w:sz="4" w:space="0" w:color="auto"/>
            </w:tcBorders>
            <w:shd w:val="clear" w:color="auto" w:fill="auto"/>
            <w:noWrap/>
            <w:vAlign w:val="center"/>
            <w:hideMark/>
          </w:tcPr>
          <w:p w14:paraId="3B4E7EF8"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2.1%</w:t>
            </w:r>
          </w:p>
        </w:tc>
      </w:tr>
      <w:tr w:rsidR="00D3527F" w:rsidRPr="00E47059" w14:paraId="7939165A"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6FBC6437"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295D8047"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9/2/2017</w:t>
            </w:r>
          </w:p>
        </w:tc>
        <w:tc>
          <w:tcPr>
            <w:tcW w:w="1440" w:type="dxa"/>
            <w:tcBorders>
              <w:top w:val="nil"/>
              <w:left w:val="nil"/>
              <w:bottom w:val="single" w:sz="4" w:space="0" w:color="auto"/>
              <w:right w:val="single" w:sz="4" w:space="0" w:color="auto"/>
            </w:tcBorders>
            <w:shd w:val="clear" w:color="auto" w:fill="auto"/>
            <w:noWrap/>
            <w:vAlign w:val="center"/>
            <w:hideMark/>
          </w:tcPr>
          <w:p w14:paraId="030EE5A9"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12,573</w:t>
            </w:r>
          </w:p>
        </w:tc>
        <w:tc>
          <w:tcPr>
            <w:tcW w:w="1600" w:type="dxa"/>
            <w:tcBorders>
              <w:top w:val="nil"/>
              <w:left w:val="nil"/>
              <w:bottom w:val="single" w:sz="4" w:space="0" w:color="auto"/>
              <w:right w:val="single" w:sz="4" w:space="0" w:color="auto"/>
            </w:tcBorders>
            <w:shd w:val="clear" w:color="auto" w:fill="auto"/>
            <w:noWrap/>
            <w:vAlign w:val="center"/>
            <w:hideMark/>
          </w:tcPr>
          <w:p w14:paraId="6D8D2AE8"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662.5</w:t>
            </w:r>
          </w:p>
        </w:tc>
        <w:tc>
          <w:tcPr>
            <w:tcW w:w="1390" w:type="dxa"/>
            <w:tcBorders>
              <w:top w:val="nil"/>
              <w:left w:val="nil"/>
              <w:bottom w:val="single" w:sz="4" w:space="0" w:color="auto"/>
              <w:right w:val="single" w:sz="4" w:space="0" w:color="auto"/>
            </w:tcBorders>
            <w:shd w:val="clear" w:color="auto" w:fill="auto"/>
            <w:noWrap/>
            <w:vAlign w:val="center"/>
            <w:hideMark/>
          </w:tcPr>
          <w:p w14:paraId="5BB3EE0F"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657.3</w:t>
            </w:r>
          </w:p>
        </w:tc>
        <w:tc>
          <w:tcPr>
            <w:tcW w:w="1390" w:type="dxa"/>
            <w:tcBorders>
              <w:top w:val="nil"/>
              <w:left w:val="nil"/>
              <w:bottom w:val="single" w:sz="4" w:space="0" w:color="auto"/>
              <w:right w:val="single" w:sz="4" w:space="0" w:color="auto"/>
            </w:tcBorders>
            <w:shd w:val="clear" w:color="auto" w:fill="auto"/>
            <w:noWrap/>
            <w:vAlign w:val="center"/>
            <w:hideMark/>
          </w:tcPr>
          <w:p w14:paraId="20C095E2"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5.18</w:t>
            </w:r>
          </w:p>
        </w:tc>
        <w:tc>
          <w:tcPr>
            <w:tcW w:w="960" w:type="dxa"/>
            <w:tcBorders>
              <w:top w:val="nil"/>
              <w:left w:val="nil"/>
              <w:bottom w:val="single" w:sz="4" w:space="0" w:color="auto"/>
              <w:right w:val="single" w:sz="4" w:space="0" w:color="auto"/>
            </w:tcBorders>
            <w:shd w:val="clear" w:color="auto" w:fill="auto"/>
            <w:noWrap/>
            <w:vAlign w:val="center"/>
            <w:hideMark/>
          </w:tcPr>
          <w:p w14:paraId="1742D02D" w14:textId="77777777" w:rsidR="00D3527F" w:rsidRPr="006D72A4" w:rsidRDefault="00D3527F" w:rsidP="00D3527F">
            <w:pPr>
              <w:keepNext/>
              <w:jc w:val="center"/>
              <w:rPr>
                <w:rFonts w:ascii="Arial" w:hAnsi="Arial" w:cs="Arial"/>
                <w:color w:val="000000"/>
                <w:sz w:val="20"/>
                <w:szCs w:val="20"/>
              </w:rPr>
            </w:pPr>
            <w:r w:rsidRPr="006D72A4">
              <w:rPr>
                <w:rFonts w:ascii="Arial" w:hAnsi="Arial" w:cs="Arial"/>
                <w:color w:val="000000"/>
                <w:sz w:val="20"/>
                <w:szCs w:val="20"/>
              </w:rPr>
              <w:t>0.8%</w:t>
            </w:r>
          </w:p>
        </w:tc>
      </w:tr>
      <w:tr w:rsidR="00D3527F" w:rsidRPr="00E47059" w14:paraId="0737E6BB" w14:textId="77777777" w:rsidTr="001958B4">
        <w:trPr>
          <w:trHeight w:val="300"/>
          <w:jc w:val="center"/>
        </w:trPr>
        <w:tc>
          <w:tcPr>
            <w:tcW w:w="535" w:type="dxa"/>
            <w:vMerge/>
            <w:tcBorders>
              <w:top w:val="nil"/>
              <w:left w:val="single" w:sz="4" w:space="0" w:color="auto"/>
              <w:bottom w:val="single" w:sz="4" w:space="0" w:color="auto"/>
              <w:right w:val="single" w:sz="4" w:space="0" w:color="auto"/>
            </w:tcBorders>
            <w:vAlign w:val="center"/>
            <w:hideMark/>
          </w:tcPr>
          <w:p w14:paraId="1E1B69E4" w14:textId="77777777" w:rsidR="00D3527F" w:rsidRPr="006D72A4" w:rsidRDefault="00D3527F" w:rsidP="00D3527F">
            <w:pPr>
              <w:keepNext/>
              <w:rPr>
                <w:rFonts w:ascii="Arial" w:hAnsi="Arial" w:cs="Arial"/>
                <w:color w:val="000000"/>
                <w:sz w:val="20"/>
                <w:szCs w:val="20"/>
              </w:rPr>
            </w:pPr>
          </w:p>
        </w:tc>
        <w:tc>
          <w:tcPr>
            <w:tcW w:w="2615" w:type="dxa"/>
            <w:tcBorders>
              <w:top w:val="nil"/>
              <w:left w:val="nil"/>
              <w:bottom w:val="single" w:sz="4" w:space="0" w:color="auto"/>
              <w:right w:val="single" w:sz="4" w:space="0" w:color="auto"/>
            </w:tcBorders>
            <w:shd w:val="clear" w:color="auto" w:fill="auto"/>
            <w:noWrap/>
            <w:vAlign w:val="center"/>
            <w:hideMark/>
          </w:tcPr>
          <w:p w14:paraId="1CBA1896" w14:textId="67D3D6F1" w:rsidR="00D3527F" w:rsidRPr="006D72A4" w:rsidRDefault="001958B4" w:rsidP="00D3527F">
            <w:pPr>
              <w:keepNext/>
              <w:jc w:val="center"/>
              <w:rPr>
                <w:rFonts w:ascii="Arial" w:hAnsi="Arial" w:cs="Arial"/>
                <w:b/>
                <w:color w:val="000000"/>
                <w:sz w:val="20"/>
                <w:szCs w:val="20"/>
              </w:rPr>
            </w:pPr>
            <w:r>
              <w:rPr>
                <w:rFonts w:ascii="Arial" w:hAnsi="Arial" w:cs="Arial"/>
                <w:b/>
                <w:color w:val="000000"/>
                <w:sz w:val="20"/>
                <w:szCs w:val="20"/>
              </w:rPr>
              <w:t>Average Weekday Event</w:t>
            </w:r>
          </w:p>
        </w:tc>
        <w:tc>
          <w:tcPr>
            <w:tcW w:w="1440" w:type="dxa"/>
            <w:tcBorders>
              <w:top w:val="nil"/>
              <w:left w:val="nil"/>
              <w:bottom w:val="single" w:sz="4" w:space="0" w:color="auto"/>
              <w:right w:val="single" w:sz="4" w:space="0" w:color="auto"/>
            </w:tcBorders>
            <w:shd w:val="clear" w:color="auto" w:fill="auto"/>
            <w:noWrap/>
            <w:vAlign w:val="center"/>
            <w:hideMark/>
          </w:tcPr>
          <w:p w14:paraId="2A4DF448"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12,575</w:t>
            </w:r>
          </w:p>
        </w:tc>
        <w:tc>
          <w:tcPr>
            <w:tcW w:w="1600" w:type="dxa"/>
            <w:tcBorders>
              <w:top w:val="nil"/>
              <w:left w:val="nil"/>
              <w:bottom w:val="single" w:sz="4" w:space="0" w:color="auto"/>
              <w:right w:val="single" w:sz="4" w:space="0" w:color="auto"/>
            </w:tcBorders>
            <w:shd w:val="clear" w:color="auto" w:fill="auto"/>
            <w:noWrap/>
            <w:vAlign w:val="center"/>
            <w:hideMark/>
          </w:tcPr>
          <w:p w14:paraId="0BA13411"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851.2</w:t>
            </w:r>
          </w:p>
        </w:tc>
        <w:tc>
          <w:tcPr>
            <w:tcW w:w="1390" w:type="dxa"/>
            <w:tcBorders>
              <w:top w:val="nil"/>
              <w:left w:val="nil"/>
              <w:bottom w:val="single" w:sz="4" w:space="0" w:color="auto"/>
              <w:right w:val="single" w:sz="4" w:space="0" w:color="auto"/>
            </w:tcBorders>
            <w:shd w:val="clear" w:color="auto" w:fill="auto"/>
            <w:noWrap/>
            <w:vAlign w:val="center"/>
            <w:hideMark/>
          </w:tcPr>
          <w:p w14:paraId="425735B6"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832.3</w:t>
            </w:r>
          </w:p>
        </w:tc>
        <w:tc>
          <w:tcPr>
            <w:tcW w:w="1390" w:type="dxa"/>
            <w:tcBorders>
              <w:top w:val="nil"/>
              <w:left w:val="nil"/>
              <w:bottom w:val="single" w:sz="4" w:space="0" w:color="auto"/>
              <w:right w:val="single" w:sz="4" w:space="0" w:color="auto"/>
            </w:tcBorders>
            <w:shd w:val="clear" w:color="auto" w:fill="auto"/>
            <w:noWrap/>
            <w:vAlign w:val="center"/>
            <w:hideMark/>
          </w:tcPr>
          <w:p w14:paraId="26B4502D"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18.94</w:t>
            </w:r>
          </w:p>
        </w:tc>
        <w:tc>
          <w:tcPr>
            <w:tcW w:w="960" w:type="dxa"/>
            <w:tcBorders>
              <w:top w:val="nil"/>
              <w:left w:val="nil"/>
              <w:bottom w:val="single" w:sz="4" w:space="0" w:color="auto"/>
              <w:right w:val="single" w:sz="4" w:space="0" w:color="auto"/>
            </w:tcBorders>
            <w:shd w:val="clear" w:color="auto" w:fill="auto"/>
            <w:noWrap/>
            <w:vAlign w:val="center"/>
            <w:hideMark/>
          </w:tcPr>
          <w:p w14:paraId="6E7485A4" w14:textId="77777777" w:rsidR="00D3527F" w:rsidRPr="006D72A4" w:rsidRDefault="00D3527F" w:rsidP="00D3527F">
            <w:pPr>
              <w:keepNext/>
              <w:jc w:val="center"/>
              <w:rPr>
                <w:rFonts w:ascii="Arial" w:hAnsi="Arial" w:cs="Arial"/>
                <w:b/>
                <w:color w:val="000000"/>
                <w:sz w:val="20"/>
                <w:szCs w:val="20"/>
              </w:rPr>
            </w:pPr>
            <w:r w:rsidRPr="006D72A4">
              <w:rPr>
                <w:rFonts w:ascii="Arial" w:hAnsi="Arial" w:cs="Arial"/>
                <w:b/>
                <w:color w:val="000000"/>
                <w:sz w:val="20"/>
                <w:szCs w:val="20"/>
              </w:rPr>
              <w:t>2.2%</w:t>
            </w:r>
          </w:p>
        </w:tc>
      </w:tr>
    </w:tbl>
    <w:p w14:paraId="069B5B0B" w14:textId="77777777" w:rsidR="00D3527F" w:rsidRDefault="00D3527F" w:rsidP="00D3527F">
      <w:pPr>
        <w:spacing w:after="120"/>
        <w:rPr>
          <w:szCs w:val="32"/>
        </w:rPr>
      </w:pPr>
    </w:p>
    <w:p w14:paraId="110076F0" w14:textId="12CF856A" w:rsidR="00D3527F" w:rsidRDefault="00A07B5F" w:rsidP="00D3527F">
      <w:pPr>
        <w:spacing w:after="120"/>
        <w:rPr>
          <w:szCs w:val="32"/>
        </w:rPr>
      </w:pPr>
      <w:r>
        <w:rPr>
          <w:noProof/>
          <w:szCs w:val="32"/>
        </w:rPr>
        <mc:AlternateContent>
          <mc:Choice Requires="wps">
            <w:drawing>
              <wp:anchor distT="0" distB="0" distL="114300" distR="114300" simplePos="0" relativeHeight="251715584" behindDoc="0" locked="0" layoutInCell="1" allowOverlap="1" wp14:anchorId="2A778B3C" wp14:editId="31DBE00A">
                <wp:simplePos x="0" y="0"/>
                <wp:positionH relativeFrom="margin">
                  <wp:align>right</wp:align>
                </wp:positionH>
                <wp:positionV relativeFrom="paragraph">
                  <wp:posOffset>2680363</wp:posOffset>
                </wp:positionV>
                <wp:extent cx="5422789" cy="397566"/>
                <wp:effectExtent l="0" t="0" r="26035" b="21590"/>
                <wp:wrapNone/>
                <wp:docPr id="101" name="Text Box 101"/>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4B3E8CA7" w14:textId="77777777" w:rsidR="006F4399" w:rsidRPr="00EB41EA" w:rsidRDefault="006F4399" w:rsidP="00A07B5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778B3C" id="Text Box 101" o:spid="_x0000_s1055" type="#_x0000_t202" style="position:absolute;margin-left:375.8pt;margin-top:211.05pt;width:427pt;height:31.3pt;z-index:2517155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" fillcolor="white [3201]" strokeweight=".5pt">
                <v:textbox>
                  <w:txbxContent>
                    <w:p w14:paraId="4B3E8CA7" w14:textId="77777777" w:rsidR="006F4399" w:rsidRPr="00EB41EA" w:rsidRDefault="006F4399" w:rsidP="00A07B5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r w:rsidR="00D3527F">
        <w:rPr>
          <w:szCs w:val="32"/>
        </w:rPr>
        <w:fldChar w:fldCharType="begin"/>
      </w:r>
      <w:r w:rsidR="00D3527F">
        <w:rPr>
          <w:szCs w:val="32"/>
        </w:rPr>
        <w:instrText xml:space="preserve"> REF _Ref507515641 \h </w:instrText>
      </w:r>
      <w:r w:rsidR="00D3527F">
        <w:rPr>
          <w:szCs w:val="32"/>
        </w:rPr>
      </w:r>
      <w:r w:rsidR="00D3527F">
        <w:rPr>
          <w:szCs w:val="32"/>
        </w:rPr>
        <w:fldChar w:fldCharType="separate"/>
      </w:r>
      <w:r w:rsidR="005D5C7C">
        <w:t xml:space="preserve">Table </w:t>
      </w:r>
      <w:r w:rsidR="005D5C7C">
        <w:rPr>
          <w:noProof/>
        </w:rPr>
        <w:t>5</w:t>
      </w:r>
      <w:r w:rsidR="005D5C7C">
        <w:t>.</w:t>
      </w:r>
      <w:r w:rsidR="005D5C7C">
        <w:rPr>
          <w:noProof/>
        </w:rPr>
        <w:t>8</w:t>
      </w:r>
      <w:r w:rsidR="00D3527F">
        <w:rPr>
          <w:szCs w:val="32"/>
        </w:rPr>
        <w:fldChar w:fldCharType="end"/>
      </w:r>
      <w:r w:rsidR="00D3527F" w:rsidRPr="007F03CF">
        <w:rPr>
          <w:szCs w:val="32"/>
        </w:rPr>
        <w:t xml:space="preserve"> </w:t>
      </w:r>
      <w:r w:rsidR="00D3527F">
        <w:rPr>
          <w:szCs w:val="32"/>
        </w:rPr>
        <w:t xml:space="preserve">provides the aggregate event-hour load impacts for each event-day for </w:t>
      </w:r>
      <w:proofErr w:type="spellStart"/>
      <w:r w:rsidR="00D3527F">
        <w:rPr>
          <w:szCs w:val="32"/>
        </w:rPr>
        <w:t>AutoDR</w:t>
      </w:r>
      <w:proofErr w:type="spellEnd"/>
      <w:r w:rsidR="00D3527F">
        <w:rPr>
          <w:szCs w:val="32"/>
        </w:rPr>
        <w:t xml:space="preserve">. </w:t>
      </w:r>
      <w:r w:rsidR="009E57B4" w:rsidRPr="009E57B4">
        <w:rPr>
          <w:szCs w:val="32"/>
          <w:highlight w:val="black"/>
        </w:rPr>
        <w:t>------------------------------------------------------------------------------------------------------------------------------------------------------------------------------------------------------------------------------------------------------------------------------------------------------------</w:t>
      </w:r>
      <w:r w:rsidR="00EF39E8">
        <w:rPr>
          <w:szCs w:val="32"/>
        </w:rPr>
        <w:t xml:space="preserve"> </w:t>
      </w:r>
    </w:p>
    <w:p w14:paraId="59DF82AB" w14:textId="3F2269D3" w:rsidR="00D3527F" w:rsidRDefault="00D3527F" w:rsidP="00D3527F">
      <w:pPr>
        <w:pStyle w:val="TableCaption"/>
      </w:pPr>
      <w:bookmarkStart w:id="465" w:name="_Ref507515641"/>
      <w:bookmarkStart w:id="466" w:name="_Toc509837419"/>
      <w:r>
        <w:lastRenderedPageBreak/>
        <w:t xml:space="preserve">Table </w:t>
      </w:r>
      <w:fldSimple w:instr=" STYLEREF 1 \s ">
        <w:r w:rsidR="005D5C7C">
          <w:rPr>
            <w:noProof/>
          </w:rPr>
          <w:t>5</w:t>
        </w:r>
      </w:fldSimple>
      <w:r w:rsidR="0069714C">
        <w:t>.</w:t>
      </w:r>
      <w:fldSimple w:instr=" SEQ Table \* ARABIC \s 1 ">
        <w:r w:rsidR="005D5C7C">
          <w:rPr>
            <w:noProof/>
          </w:rPr>
          <w:t>8</w:t>
        </w:r>
      </w:fldSimple>
      <w:bookmarkEnd w:id="465"/>
      <w:r>
        <w:t xml:space="preserve">: </w:t>
      </w:r>
      <w:r w:rsidRPr="001958B4">
        <w:rPr>
          <w:highlight w:val="lightGray"/>
        </w:rPr>
        <w:t xml:space="preserve">Average Event-Hour Aggregate Load Impacts by Event, </w:t>
      </w:r>
      <w:r w:rsidRPr="001958B4">
        <w:rPr>
          <w:i/>
          <w:highlight w:val="lightGray"/>
        </w:rPr>
        <w:t xml:space="preserve">SDG&amp;E </w:t>
      </w:r>
      <w:proofErr w:type="spellStart"/>
      <w:r w:rsidRPr="001958B4">
        <w:rPr>
          <w:i/>
          <w:highlight w:val="lightGray"/>
        </w:rPr>
        <w:t>AutoDR</w:t>
      </w:r>
      <w:proofErr w:type="spellEnd"/>
      <w:r w:rsidRPr="001958B4">
        <w:rPr>
          <w:i/>
          <w:highlight w:val="lightGray"/>
        </w:rPr>
        <w:t xml:space="preserve"> Customers</w:t>
      </w:r>
      <w:bookmarkEnd w:id="466"/>
    </w:p>
    <w:tbl>
      <w:tblPr>
        <w:tblW w:w="10550" w:type="dxa"/>
        <w:jc w:val="center"/>
        <w:tblLook w:val="04A0" w:firstRow="1" w:lastRow="0" w:firstColumn="1" w:lastColumn="0" w:noHBand="0" w:noVBand="1"/>
      </w:tblPr>
      <w:tblGrid>
        <w:gridCol w:w="2615"/>
        <w:gridCol w:w="1440"/>
        <w:gridCol w:w="1605"/>
        <w:gridCol w:w="1390"/>
        <w:gridCol w:w="1390"/>
        <w:gridCol w:w="960"/>
        <w:gridCol w:w="1150"/>
      </w:tblGrid>
      <w:tr w:rsidR="00EF39E8" w:rsidRPr="00671819" w14:paraId="53679A6B" w14:textId="29B052BD" w:rsidTr="001958B4">
        <w:trPr>
          <w:trHeight w:val="1074"/>
          <w:jc w:val="center"/>
        </w:trPr>
        <w:tc>
          <w:tcPr>
            <w:tcW w:w="2615" w:type="dxa"/>
            <w:tcBorders>
              <w:top w:val="single" w:sz="4" w:space="0" w:color="auto"/>
              <w:left w:val="single" w:sz="4" w:space="0" w:color="auto"/>
              <w:bottom w:val="single" w:sz="4" w:space="0" w:color="auto"/>
              <w:right w:val="single" w:sz="4" w:space="0" w:color="FFFFFF"/>
            </w:tcBorders>
            <w:shd w:val="clear" w:color="000000" w:fill="0C2577"/>
            <w:vAlign w:val="center"/>
            <w:hideMark/>
          </w:tcPr>
          <w:p w14:paraId="41114519" w14:textId="2FF32532" w:rsidR="00EF39E8" w:rsidRPr="00671819" w:rsidRDefault="00EF39E8" w:rsidP="00D3527F">
            <w:pPr>
              <w:keepNext/>
              <w:jc w:val="center"/>
              <w:rPr>
                <w:rFonts w:cs="Calibri"/>
                <w:b/>
                <w:bCs/>
                <w:color w:val="FFFFFF"/>
                <w:sz w:val="22"/>
                <w:szCs w:val="22"/>
              </w:rPr>
            </w:pPr>
            <w:r>
              <w:rPr>
                <w:rFonts w:cs="Calibri"/>
                <w:b/>
                <w:bCs/>
                <w:color w:val="FFFFFF"/>
                <w:sz w:val="22"/>
                <w:szCs w:val="22"/>
              </w:rPr>
              <w:t xml:space="preserve">Event </w:t>
            </w:r>
            <w:r w:rsidRPr="00671819">
              <w:rPr>
                <w:rFonts w:cs="Calibri"/>
                <w:b/>
                <w:bCs/>
                <w:color w:val="FFFFFF"/>
                <w:sz w:val="22"/>
                <w:szCs w:val="22"/>
              </w:rPr>
              <w:t>Date</w:t>
            </w:r>
          </w:p>
        </w:tc>
        <w:tc>
          <w:tcPr>
            <w:tcW w:w="1440" w:type="dxa"/>
            <w:tcBorders>
              <w:top w:val="single" w:sz="4" w:space="0" w:color="auto"/>
              <w:left w:val="single" w:sz="4" w:space="0" w:color="FFFFFF"/>
              <w:bottom w:val="single" w:sz="4" w:space="0" w:color="000000"/>
              <w:right w:val="single" w:sz="4" w:space="0" w:color="FFFFFF"/>
            </w:tcBorders>
            <w:shd w:val="clear" w:color="000000" w:fill="0C2577"/>
            <w:vAlign w:val="center"/>
            <w:hideMark/>
          </w:tcPr>
          <w:p w14:paraId="4E94A6C6" w14:textId="77777777" w:rsidR="00EF39E8" w:rsidRPr="00671819" w:rsidRDefault="00EF39E8" w:rsidP="00D3527F">
            <w:pPr>
              <w:keepNext/>
              <w:jc w:val="center"/>
              <w:rPr>
                <w:rFonts w:cs="Calibri"/>
                <w:b/>
                <w:bCs/>
                <w:color w:val="FFFFFF"/>
                <w:sz w:val="22"/>
                <w:szCs w:val="22"/>
              </w:rPr>
            </w:pPr>
            <w:r w:rsidRPr="00671819">
              <w:rPr>
                <w:rFonts w:cs="Calibri"/>
                <w:b/>
                <w:bCs/>
                <w:color w:val="FFFFFF"/>
                <w:sz w:val="22"/>
                <w:szCs w:val="22"/>
              </w:rPr>
              <w:t># of Service Accounts</w:t>
            </w:r>
          </w:p>
        </w:tc>
        <w:tc>
          <w:tcPr>
            <w:tcW w:w="1605" w:type="dxa"/>
            <w:tcBorders>
              <w:top w:val="single" w:sz="4" w:space="0" w:color="auto"/>
              <w:left w:val="single" w:sz="4" w:space="0" w:color="FFFFFF"/>
              <w:bottom w:val="single" w:sz="4" w:space="0" w:color="auto"/>
              <w:right w:val="single" w:sz="4" w:space="0" w:color="FFFFFF"/>
            </w:tcBorders>
            <w:shd w:val="clear" w:color="000000" w:fill="0C2577"/>
            <w:vAlign w:val="center"/>
            <w:hideMark/>
          </w:tcPr>
          <w:p w14:paraId="37CED9D7" w14:textId="77777777" w:rsidR="00EF39E8" w:rsidRPr="00671819" w:rsidRDefault="00EF39E8" w:rsidP="00D3527F">
            <w:pPr>
              <w:keepNext/>
              <w:jc w:val="center"/>
              <w:rPr>
                <w:rFonts w:cs="Calibri"/>
                <w:b/>
                <w:bCs/>
                <w:color w:val="FFFFFF"/>
                <w:sz w:val="22"/>
                <w:szCs w:val="22"/>
              </w:rPr>
            </w:pPr>
            <w:r w:rsidRPr="00671819">
              <w:rPr>
                <w:rFonts w:cs="Calibri"/>
                <w:b/>
                <w:bCs/>
                <w:color w:val="FFFFFF"/>
                <w:sz w:val="22"/>
                <w:szCs w:val="22"/>
              </w:rPr>
              <w:t>Estimated Reference Load (MWh/hour)</w:t>
            </w:r>
          </w:p>
        </w:tc>
        <w:tc>
          <w:tcPr>
            <w:tcW w:w="1390" w:type="dxa"/>
            <w:tcBorders>
              <w:top w:val="single" w:sz="4" w:space="0" w:color="auto"/>
              <w:left w:val="single" w:sz="4" w:space="0" w:color="FFFFFF"/>
              <w:bottom w:val="single" w:sz="4" w:space="0" w:color="auto"/>
              <w:right w:val="single" w:sz="4" w:space="0" w:color="FFFFFF"/>
            </w:tcBorders>
            <w:shd w:val="clear" w:color="000000" w:fill="0C2577"/>
            <w:vAlign w:val="center"/>
            <w:hideMark/>
          </w:tcPr>
          <w:p w14:paraId="1587D3C4" w14:textId="77777777" w:rsidR="00EF39E8" w:rsidRPr="00671819" w:rsidRDefault="00EF39E8" w:rsidP="00D3527F">
            <w:pPr>
              <w:keepNext/>
              <w:jc w:val="center"/>
              <w:rPr>
                <w:rFonts w:cs="Calibri"/>
                <w:b/>
                <w:bCs/>
                <w:color w:val="FFFFFF"/>
                <w:sz w:val="22"/>
                <w:szCs w:val="22"/>
              </w:rPr>
            </w:pPr>
            <w:r w:rsidRPr="00671819">
              <w:rPr>
                <w:rFonts w:cs="Calibri"/>
                <w:b/>
                <w:bCs/>
                <w:color w:val="FFFFFF"/>
                <w:sz w:val="22"/>
                <w:szCs w:val="22"/>
              </w:rPr>
              <w:t>Observed Load (MWh/hour)</w:t>
            </w:r>
          </w:p>
        </w:tc>
        <w:tc>
          <w:tcPr>
            <w:tcW w:w="1390" w:type="dxa"/>
            <w:tcBorders>
              <w:top w:val="single" w:sz="4" w:space="0" w:color="auto"/>
              <w:left w:val="single" w:sz="4" w:space="0" w:color="FFFFFF"/>
              <w:bottom w:val="single" w:sz="4" w:space="0" w:color="auto"/>
              <w:right w:val="single" w:sz="4" w:space="0" w:color="FFFFFF"/>
            </w:tcBorders>
            <w:shd w:val="clear" w:color="000000" w:fill="0C2577"/>
            <w:vAlign w:val="center"/>
            <w:hideMark/>
          </w:tcPr>
          <w:p w14:paraId="16D3C4B2" w14:textId="77777777" w:rsidR="00EF39E8" w:rsidRPr="00671819" w:rsidRDefault="00EF39E8" w:rsidP="00D3527F">
            <w:pPr>
              <w:keepNext/>
              <w:jc w:val="center"/>
              <w:rPr>
                <w:rFonts w:cs="Calibri"/>
                <w:b/>
                <w:bCs/>
                <w:color w:val="FFFFFF"/>
                <w:sz w:val="22"/>
                <w:szCs w:val="22"/>
              </w:rPr>
            </w:pPr>
            <w:r w:rsidRPr="00671819">
              <w:rPr>
                <w:rFonts w:cs="Calibri"/>
                <w:b/>
                <w:bCs/>
                <w:color w:val="FFFFFF"/>
                <w:sz w:val="22"/>
                <w:szCs w:val="22"/>
              </w:rPr>
              <w:t>Estimated Load Impact (MWh/hour)</w:t>
            </w:r>
          </w:p>
        </w:tc>
        <w:tc>
          <w:tcPr>
            <w:tcW w:w="960" w:type="dxa"/>
            <w:tcBorders>
              <w:top w:val="single" w:sz="4" w:space="0" w:color="auto"/>
              <w:left w:val="single" w:sz="4" w:space="0" w:color="FFFFFF"/>
              <w:bottom w:val="single" w:sz="4" w:space="0" w:color="auto"/>
              <w:right w:val="single" w:sz="4" w:space="0" w:color="FFFFFF" w:themeColor="background1"/>
            </w:tcBorders>
            <w:shd w:val="clear" w:color="000000" w:fill="0C2577"/>
            <w:vAlign w:val="center"/>
            <w:hideMark/>
          </w:tcPr>
          <w:p w14:paraId="552DA6DF" w14:textId="77777777" w:rsidR="00EF39E8" w:rsidRPr="00671819" w:rsidRDefault="00EF39E8" w:rsidP="00D3527F">
            <w:pPr>
              <w:keepNext/>
              <w:jc w:val="center"/>
              <w:rPr>
                <w:rFonts w:cs="Calibri"/>
                <w:b/>
                <w:bCs/>
                <w:color w:val="FFFFFF"/>
                <w:sz w:val="22"/>
                <w:szCs w:val="22"/>
              </w:rPr>
            </w:pPr>
            <w:r w:rsidRPr="00671819">
              <w:rPr>
                <w:rFonts w:cs="Calibri"/>
                <w:b/>
                <w:bCs/>
                <w:color w:val="FFFFFF"/>
                <w:sz w:val="22"/>
                <w:szCs w:val="22"/>
              </w:rPr>
              <w:t>% LI</w:t>
            </w:r>
          </w:p>
        </w:tc>
        <w:tc>
          <w:tcPr>
            <w:tcW w:w="1150" w:type="dxa"/>
            <w:tcBorders>
              <w:top w:val="single" w:sz="4" w:space="0" w:color="auto"/>
              <w:left w:val="single" w:sz="4" w:space="0" w:color="FFFFFF" w:themeColor="background1"/>
              <w:bottom w:val="single" w:sz="4" w:space="0" w:color="auto"/>
              <w:right w:val="single" w:sz="4" w:space="0" w:color="auto"/>
            </w:tcBorders>
            <w:shd w:val="clear" w:color="auto" w:fill="0C2577"/>
            <w:vAlign w:val="center"/>
          </w:tcPr>
          <w:p w14:paraId="6C62F7EC" w14:textId="2B29EBDC" w:rsidR="00EF39E8" w:rsidRPr="00671819" w:rsidRDefault="00EF39E8" w:rsidP="00EF39E8">
            <w:pPr>
              <w:keepNext/>
              <w:jc w:val="center"/>
              <w:rPr>
                <w:rFonts w:cs="Calibri"/>
                <w:b/>
                <w:bCs/>
                <w:color w:val="FFFFFF"/>
                <w:sz w:val="22"/>
                <w:szCs w:val="22"/>
              </w:rPr>
            </w:pPr>
            <w:r>
              <w:rPr>
                <w:rFonts w:ascii="Arial" w:hAnsi="Arial" w:cs="Arial"/>
                <w:b/>
                <w:bCs/>
                <w:color w:val="FFFFFF"/>
                <w:sz w:val="20"/>
                <w:szCs w:val="20"/>
              </w:rPr>
              <w:t>Approved MW</w:t>
            </w:r>
          </w:p>
        </w:tc>
      </w:tr>
      <w:tr w:rsidR="00EF39E8" w:rsidRPr="00671819" w14:paraId="26962842" w14:textId="2EDCDFD3" w:rsidTr="009E57B4">
        <w:trPr>
          <w:trHeight w:val="300"/>
          <w:jc w:val="center"/>
        </w:trPr>
        <w:tc>
          <w:tcPr>
            <w:tcW w:w="26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3591DF" w14:textId="77777777" w:rsidR="00EF39E8" w:rsidRPr="006D72A4" w:rsidRDefault="00EF39E8" w:rsidP="00D3527F">
            <w:pPr>
              <w:keepNext/>
              <w:jc w:val="center"/>
              <w:rPr>
                <w:rFonts w:ascii="Arial" w:hAnsi="Arial" w:cs="Arial"/>
                <w:color w:val="000000"/>
                <w:sz w:val="20"/>
                <w:szCs w:val="20"/>
              </w:rPr>
            </w:pPr>
            <w:r w:rsidRPr="006D72A4">
              <w:rPr>
                <w:rFonts w:ascii="Arial" w:hAnsi="Arial" w:cs="Arial"/>
                <w:color w:val="000000"/>
                <w:sz w:val="20"/>
                <w:szCs w:val="20"/>
              </w:rPr>
              <w:t>8/31/2017</w:t>
            </w:r>
          </w:p>
        </w:tc>
        <w:tc>
          <w:tcPr>
            <w:tcW w:w="1440" w:type="dxa"/>
            <w:tcBorders>
              <w:top w:val="nil"/>
              <w:left w:val="nil"/>
              <w:bottom w:val="single" w:sz="4" w:space="0" w:color="auto"/>
              <w:right w:val="single" w:sz="4" w:space="0" w:color="auto"/>
            </w:tcBorders>
            <w:shd w:val="clear" w:color="auto" w:fill="000000" w:themeFill="text1"/>
            <w:noWrap/>
            <w:vAlign w:val="center"/>
          </w:tcPr>
          <w:p w14:paraId="5F29EFE7" w14:textId="66883E6C" w:rsidR="00EF39E8" w:rsidRPr="006D72A4" w:rsidRDefault="00EF39E8" w:rsidP="006D72A4">
            <w:pPr>
              <w:keepNext/>
              <w:jc w:val="center"/>
              <w:rPr>
                <w:rFonts w:ascii="Arial" w:hAnsi="Arial" w:cs="Arial"/>
                <w:color w:val="000000"/>
                <w:sz w:val="20"/>
                <w:szCs w:val="20"/>
              </w:rPr>
            </w:pPr>
          </w:p>
        </w:tc>
        <w:tc>
          <w:tcPr>
            <w:tcW w:w="1605" w:type="dxa"/>
            <w:tcBorders>
              <w:top w:val="nil"/>
              <w:left w:val="nil"/>
              <w:bottom w:val="single" w:sz="4" w:space="0" w:color="auto"/>
              <w:right w:val="single" w:sz="4" w:space="0" w:color="auto"/>
            </w:tcBorders>
            <w:shd w:val="clear" w:color="auto" w:fill="000000" w:themeFill="text1"/>
            <w:noWrap/>
            <w:vAlign w:val="center"/>
          </w:tcPr>
          <w:p w14:paraId="66E54D3A" w14:textId="444357B3" w:rsidR="00EF39E8" w:rsidRPr="006D72A4" w:rsidRDefault="00EF39E8" w:rsidP="006D72A4">
            <w:pPr>
              <w:keepNext/>
              <w:jc w:val="center"/>
              <w:rPr>
                <w:rFonts w:ascii="Arial" w:hAnsi="Arial" w:cs="Arial"/>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05D0A1E2" w14:textId="75366EBE" w:rsidR="00EF39E8" w:rsidRPr="006D72A4" w:rsidRDefault="00EF39E8" w:rsidP="006D72A4">
            <w:pPr>
              <w:keepNext/>
              <w:jc w:val="center"/>
              <w:rPr>
                <w:rFonts w:ascii="Arial" w:hAnsi="Arial" w:cs="Arial"/>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2FDF1F96" w14:textId="7B7FE9BA" w:rsidR="00EF39E8" w:rsidRPr="006D72A4" w:rsidRDefault="00EF39E8" w:rsidP="006D72A4">
            <w:pPr>
              <w:keepNext/>
              <w:jc w:val="center"/>
              <w:rPr>
                <w:rFonts w:ascii="Arial" w:hAnsi="Arial" w:cs="Arial"/>
                <w:color w:val="000000"/>
                <w:sz w:val="20"/>
                <w:szCs w:val="20"/>
              </w:rPr>
            </w:pPr>
          </w:p>
        </w:tc>
        <w:tc>
          <w:tcPr>
            <w:tcW w:w="960" w:type="dxa"/>
            <w:tcBorders>
              <w:top w:val="nil"/>
              <w:left w:val="nil"/>
              <w:bottom w:val="single" w:sz="4" w:space="0" w:color="auto"/>
              <w:right w:val="single" w:sz="4" w:space="0" w:color="auto"/>
            </w:tcBorders>
            <w:shd w:val="clear" w:color="auto" w:fill="000000" w:themeFill="text1"/>
            <w:noWrap/>
            <w:vAlign w:val="center"/>
          </w:tcPr>
          <w:p w14:paraId="1DCB9815" w14:textId="1CEAEC82" w:rsidR="00EF39E8" w:rsidRPr="006D72A4" w:rsidRDefault="00EF39E8" w:rsidP="006D72A4">
            <w:pPr>
              <w:keepNext/>
              <w:jc w:val="center"/>
              <w:rPr>
                <w:rFonts w:ascii="Arial" w:hAnsi="Arial" w:cs="Arial"/>
                <w:color w:val="000000"/>
                <w:sz w:val="20"/>
                <w:szCs w:val="20"/>
              </w:rPr>
            </w:pPr>
          </w:p>
        </w:tc>
        <w:tc>
          <w:tcPr>
            <w:tcW w:w="1150" w:type="dxa"/>
            <w:tcBorders>
              <w:top w:val="single" w:sz="4" w:space="0" w:color="auto"/>
              <w:left w:val="nil"/>
              <w:bottom w:val="single" w:sz="4" w:space="0" w:color="auto"/>
              <w:right w:val="single" w:sz="4" w:space="0" w:color="auto"/>
            </w:tcBorders>
            <w:shd w:val="clear" w:color="auto" w:fill="000000" w:themeFill="text1"/>
            <w:vAlign w:val="center"/>
          </w:tcPr>
          <w:p w14:paraId="6A837319" w14:textId="34C8F850" w:rsidR="00EF39E8" w:rsidRPr="006D72A4" w:rsidRDefault="00EF39E8" w:rsidP="006D72A4">
            <w:pPr>
              <w:keepNext/>
              <w:jc w:val="center"/>
              <w:rPr>
                <w:rFonts w:ascii="Arial" w:hAnsi="Arial" w:cs="Arial"/>
                <w:color w:val="000000"/>
                <w:sz w:val="20"/>
                <w:szCs w:val="20"/>
              </w:rPr>
            </w:pPr>
          </w:p>
        </w:tc>
      </w:tr>
      <w:tr w:rsidR="00EF39E8" w:rsidRPr="00671819" w14:paraId="705EADEE" w14:textId="4FE370EE" w:rsidTr="009E57B4">
        <w:trPr>
          <w:trHeight w:val="300"/>
          <w:jc w:val="center"/>
        </w:trPr>
        <w:tc>
          <w:tcPr>
            <w:tcW w:w="26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6BBA4A" w14:textId="77777777" w:rsidR="00EF39E8" w:rsidRPr="006D72A4" w:rsidRDefault="00EF39E8" w:rsidP="00EF39E8">
            <w:pPr>
              <w:keepNext/>
              <w:jc w:val="center"/>
              <w:rPr>
                <w:rFonts w:ascii="Arial" w:hAnsi="Arial" w:cs="Arial"/>
                <w:color w:val="000000"/>
                <w:sz w:val="20"/>
                <w:szCs w:val="20"/>
              </w:rPr>
            </w:pPr>
            <w:r w:rsidRPr="006D72A4">
              <w:rPr>
                <w:rFonts w:ascii="Arial" w:hAnsi="Arial" w:cs="Arial"/>
                <w:color w:val="000000"/>
                <w:sz w:val="20"/>
                <w:szCs w:val="20"/>
              </w:rPr>
              <w:t>9/1/2017</w:t>
            </w:r>
          </w:p>
        </w:tc>
        <w:tc>
          <w:tcPr>
            <w:tcW w:w="1440" w:type="dxa"/>
            <w:tcBorders>
              <w:top w:val="nil"/>
              <w:left w:val="nil"/>
              <w:bottom w:val="single" w:sz="4" w:space="0" w:color="auto"/>
              <w:right w:val="single" w:sz="4" w:space="0" w:color="auto"/>
            </w:tcBorders>
            <w:shd w:val="clear" w:color="auto" w:fill="000000" w:themeFill="text1"/>
            <w:noWrap/>
            <w:vAlign w:val="center"/>
          </w:tcPr>
          <w:p w14:paraId="2CD677C9" w14:textId="13A5D977" w:rsidR="00EF39E8" w:rsidRPr="006D72A4" w:rsidRDefault="00EF39E8" w:rsidP="006D72A4">
            <w:pPr>
              <w:keepNext/>
              <w:jc w:val="center"/>
              <w:rPr>
                <w:rFonts w:ascii="Arial" w:hAnsi="Arial" w:cs="Arial"/>
                <w:color w:val="000000"/>
                <w:sz w:val="20"/>
                <w:szCs w:val="20"/>
              </w:rPr>
            </w:pPr>
          </w:p>
        </w:tc>
        <w:tc>
          <w:tcPr>
            <w:tcW w:w="1605" w:type="dxa"/>
            <w:tcBorders>
              <w:top w:val="nil"/>
              <w:left w:val="nil"/>
              <w:bottom w:val="single" w:sz="4" w:space="0" w:color="auto"/>
              <w:right w:val="single" w:sz="4" w:space="0" w:color="auto"/>
            </w:tcBorders>
            <w:shd w:val="clear" w:color="auto" w:fill="000000" w:themeFill="text1"/>
            <w:noWrap/>
            <w:vAlign w:val="center"/>
          </w:tcPr>
          <w:p w14:paraId="3ABE17C3" w14:textId="72DC9750" w:rsidR="00EF39E8" w:rsidRPr="006D72A4" w:rsidRDefault="00EF39E8" w:rsidP="006D72A4">
            <w:pPr>
              <w:keepNext/>
              <w:jc w:val="center"/>
              <w:rPr>
                <w:rFonts w:ascii="Arial" w:hAnsi="Arial" w:cs="Arial"/>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29A26118" w14:textId="22174C73" w:rsidR="00EF39E8" w:rsidRPr="006D72A4" w:rsidRDefault="00EF39E8" w:rsidP="006D72A4">
            <w:pPr>
              <w:keepNext/>
              <w:jc w:val="center"/>
              <w:rPr>
                <w:rFonts w:ascii="Arial" w:hAnsi="Arial" w:cs="Arial"/>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5573939C" w14:textId="53669963" w:rsidR="00EF39E8" w:rsidRPr="006D72A4" w:rsidRDefault="00EF39E8" w:rsidP="006D72A4">
            <w:pPr>
              <w:keepNext/>
              <w:jc w:val="center"/>
              <w:rPr>
                <w:rFonts w:ascii="Arial" w:hAnsi="Arial" w:cs="Arial"/>
                <w:color w:val="000000"/>
                <w:sz w:val="20"/>
                <w:szCs w:val="20"/>
              </w:rPr>
            </w:pPr>
          </w:p>
        </w:tc>
        <w:tc>
          <w:tcPr>
            <w:tcW w:w="960" w:type="dxa"/>
            <w:tcBorders>
              <w:top w:val="nil"/>
              <w:left w:val="nil"/>
              <w:bottom w:val="single" w:sz="4" w:space="0" w:color="auto"/>
              <w:right w:val="single" w:sz="4" w:space="0" w:color="auto"/>
            </w:tcBorders>
            <w:shd w:val="clear" w:color="auto" w:fill="000000" w:themeFill="text1"/>
            <w:noWrap/>
            <w:vAlign w:val="center"/>
          </w:tcPr>
          <w:p w14:paraId="4DF2A2DC" w14:textId="21DDC1F5" w:rsidR="00EF39E8" w:rsidRPr="006D72A4" w:rsidRDefault="00EF39E8" w:rsidP="006D72A4">
            <w:pPr>
              <w:keepNext/>
              <w:jc w:val="center"/>
              <w:rPr>
                <w:rFonts w:ascii="Arial" w:hAnsi="Arial" w:cs="Arial"/>
                <w:color w:val="000000"/>
                <w:sz w:val="20"/>
                <w:szCs w:val="20"/>
              </w:rPr>
            </w:pPr>
          </w:p>
        </w:tc>
        <w:tc>
          <w:tcPr>
            <w:tcW w:w="1150" w:type="dxa"/>
            <w:tcBorders>
              <w:top w:val="nil"/>
              <w:left w:val="nil"/>
              <w:bottom w:val="single" w:sz="4" w:space="0" w:color="auto"/>
              <w:right w:val="single" w:sz="4" w:space="0" w:color="auto"/>
            </w:tcBorders>
            <w:shd w:val="clear" w:color="auto" w:fill="000000" w:themeFill="text1"/>
            <w:vAlign w:val="center"/>
          </w:tcPr>
          <w:p w14:paraId="6370350C" w14:textId="13CFB19E" w:rsidR="00EF39E8" w:rsidRPr="006D72A4" w:rsidRDefault="00EF39E8" w:rsidP="006D72A4">
            <w:pPr>
              <w:keepNext/>
              <w:jc w:val="center"/>
              <w:rPr>
                <w:rFonts w:ascii="Arial" w:hAnsi="Arial" w:cs="Arial"/>
                <w:color w:val="000000"/>
                <w:sz w:val="20"/>
                <w:szCs w:val="20"/>
              </w:rPr>
            </w:pPr>
          </w:p>
        </w:tc>
      </w:tr>
      <w:tr w:rsidR="00EF39E8" w:rsidRPr="00671819" w14:paraId="544D5D42" w14:textId="62AFFE59" w:rsidTr="009E57B4">
        <w:trPr>
          <w:trHeight w:val="300"/>
          <w:jc w:val="center"/>
        </w:trPr>
        <w:tc>
          <w:tcPr>
            <w:tcW w:w="26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F5EE2" w14:textId="77777777" w:rsidR="00EF39E8" w:rsidRPr="006D72A4" w:rsidRDefault="00EF39E8" w:rsidP="00EF39E8">
            <w:pPr>
              <w:keepNext/>
              <w:jc w:val="center"/>
              <w:rPr>
                <w:rFonts w:ascii="Arial" w:hAnsi="Arial" w:cs="Arial"/>
                <w:color w:val="000000"/>
                <w:sz w:val="20"/>
                <w:szCs w:val="20"/>
              </w:rPr>
            </w:pPr>
            <w:r w:rsidRPr="006D72A4">
              <w:rPr>
                <w:rFonts w:ascii="Arial" w:hAnsi="Arial" w:cs="Arial"/>
                <w:color w:val="000000"/>
                <w:sz w:val="20"/>
                <w:szCs w:val="20"/>
              </w:rPr>
              <w:t>9/2/2017</w:t>
            </w:r>
          </w:p>
        </w:tc>
        <w:tc>
          <w:tcPr>
            <w:tcW w:w="1440" w:type="dxa"/>
            <w:tcBorders>
              <w:top w:val="nil"/>
              <w:left w:val="nil"/>
              <w:bottom w:val="single" w:sz="4" w:space="0" w:color="auto"/>
              <w:right w:val="single" w:sz="4" w:space="0" w:color="auto"/>
            </w:tcBorders>
            <w:shd w:val="clear" w:color="auto" w:fill="000000" w:themeFill="text1"/>
            <w:noWrap/>
            <w:vAlign w:val="center"/>
          </w:tcPr>
          <w:p w14:paraId="1397E43D" w14:textId="5BC2AC43" w:rsidR="00EF39E8" w:rsidRPr="006D72A4" w:rsidRDefault="00EF39E8" w:rsidP="006D72A4">
            <w:pPr>
              <w:keepNext/>
              <w:jc w:val="center"/>
              <w:rPr>
                <w:rFonts w:ascii="Arial" w:hAnsi="Arial" w:cs="Arial"/>
                <w:color w:val="000000"/>
                <w:sz w:val="20"/>
                <w:szCs w:val="20"/>
              </w:rPr>
            </w:pPr>
          </w:p>
        </w:tc>
        <w:tc>
          <w:tcPr>
            <w:tcW w:w="1605" w:type="dxa"/>
            <w:tcBorders>
              <w:top w:val="nil"/>
              <w:left w:val="nil"/>
              <w:bottom w:val="single" w:sz="4" w:space="0" w:color="auto"/>
              <w:right w:val="single" w:sz="4" w:space="0" w:color="auto"/>
            </w:tcBorders>
            <w:shd w:val="clear" w:color="auto" w:fill="000000" w:themeFill="text1"/>
            <w:noWrap/>
            <w:vAlign w:val="center"/>
          </w:tcPr>
          <w:p w14:paraId="451BAD5C" w14:textId="27F421D5" w:rsidR="00EF39E8" w:rsidRPr="006D72A4" w:rsidRDefault="00EF39E8" w:rsidP="006D72A4">
            <w:pPr>
              <w:keepNext/>
              <w:jc w:val="center"/>
              <w:rPr>
                <w:rFonts w:ascii="Arial" w:hAnsi="Arial" w:cs="Arial"/>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51D67AE9" w14:textId="5C970052" w:rsidR="00EF39E8" w:rsidRPr="006D72A4" w:rsidRDefault="00EF39E8" w:rsidP="006D72A4">
            <w:pPr>
              <w:keepNext/>
              <w:jc w:val="center"/>
              <w:rPr>
                <w:rFonts w:ascii="Arial" w:hAnsi="Arial" w:cs="Arial"/>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2C362A57" w14:textId="5C770210" w:rsidR="00EF39E8" w:rsidRPr="006D72A4" w:rsidRDefault="00EF39E8" w:rsidP="006D72A4">
            <w:pPr>
              <w:keepNext/>
              <w:jc w:val="center"/>
              <w:rPr>
                <w:rFonts w:ascii="Arial" w:hAnsi="Arial" w:cs="Arial"/>
                <w:color w:val="000000"/>
                <w:sz w:val="20"/>
                <w:szCs w:val="20"/>
              </w:rPr>
            </w:pPr>
          </w:p>
        </w:tc>
        <w:tc>
          <w:tcPr>
            <w:tcW w:w="960" w:type="dxa"/>
            <w:tcBorders>
              <w:top w:val="nil"/>
              <w:left w:val="nil"/>
              <w:bottom w:val="single" w:sz="4" w:space="0" w:color="auto"/>
              <w:right w:val="single" w:sz="4" w:space="0" w:color="auto"/>
            </w:tcBorders>
            <w:shd w:val="clear" w:color="auto" w:fill="000000" w:themeFill="text1"/>
            <w:noWrap/>
            <w:vAlign w:val="center"/>
          </w:tcPr>
          <w:p w14:paraId="35032273" w14:textId="46DB0C63" w:rsidR="00EF39E8" w:rsidRPr="006D72A4" w:rsidRDefault="00EF39E8" w:rsidP="006D72A4">
            <w:pPr>
              <w:keepNext/>
              <w:jc w:val="center"/>
              <w:rPr>
                <w:rFonts w:ascii="Arial" w:hAnsi="Arial" w:cs="Arial"/>
                <w:color w:val="000000"/>
                <w:sz w:val="20"/>
                <w:szCs w:val="20"/>
              </w:rPr>
            </w:pPr>
          </w:p>
        </w:tc>
        <w:tc>
          <w:tcPr>
            <w:tcW w:w="1150" w:type="dxa"/>
            <w:tcBorders>
              <w:top w:val="nil"/>
              <w:left w:val="nil"/>
              <w:bottom w:val="single" w:sz="4" w:space="0" w:color="auto"/>
              <w:right w:val="single" w:sz="4" w:space="0" w:color="auto"/>
            </w:tcBorders>
            <w:shd w:val="clear" w:color="auto" w:fill="000000" w:themeFill="text1"/>
            <w:vAlign w:val="center"/>
          </w:tcPr>
          <w:p w14:paraId="14BD993E" w14:textId="5C947861" w:rsidR="00EF39E8" w:rsidRPr="006D72A4" w:rsidRDefault="00EF39E8" w:rsidP="006D72A4">
            <w:pPr>
              <w:keepNext/>
              <w:jc w:val="center"/>
              <w:rPr>
                <w:rFonts w:ascii="Arial" w:hAnsi="Arial" w:cs="Arial"/>
                <w:color w:val="000000"/>
                <w:sz w:val="20"/>
                <w:szCs w:val="20"/>
              </w:rPr>
            </w:pPr>
          </w:p>
        </w:tc>
      </w:tr>
      <w:tr w:rsidR="00EF39E8" w:rsidRPr="00671819" w14:paraId="67F15A65" w14:textId="48AC8B22" w:rsidTr="009E57B4">
        <w:trPr>
          <w:trHeight w:val="300"/>
          <w:jc w:val="center"/>
        </w:trPr>
        <w:tc>
          <w:tcPr>
            <w:tcW w:w="26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877EB8" w14:textId="0112080C" w:rsidR="00EF39E8" w:rsidRPr="006D72A4" w:rsidRDefault="001958B4" w:rsidP="00EF39E8">
            <w:pPr>
              <w:keepNext/>
              <w:jc w:val="center"/>
              <w:rPr>
                <w:rFonts w:ascii="Arial" w:hAnsi="Arial" w:cs="Arial"/>
                <w:b/>
                <w:color w:val="000000"/>
                <w:sz w:val="20"/>
                <w:szCs w:val="20"/>
              </w:rPr>
            </w:pPr>
            <w:r>
              <w:rPr>
                <w:rFonts w:ascii="Arial" w:hAnsi="Arial" w:cs="Arial"/>
                <w:b/>
                <w:color w:val="000000"/>
                <w:sz w:val="20"/>
                <w:szCs w:val="20"/>
              </w:rPr>
              <w:t>Average Weekday Event</w:t>
            </w:r>
          </w:p>
        </w:tc>
        <w:tc>
          <w:tcPr>
            <w:tcW w:w="1440" w:type="dxa"/>
            <w:tcBorders>
              <w:top w:val="nil"/>
              <w:left w:val="nil"/>
              <w:bottom w:val="single" w:sz="4" w:space="0" w:color="auto"/>
              <w:right w:val="single" w:sz="4" w:space="0" w:color="auto"/>
            </w:tcBorders>
            <w:shd w:val="clear" w:color="auto" w:fill="000000" w:themeFill="text1"/>
            <w:noWrap/>
            <w:vAlign w:val="center"/>
          </w:tcPr>
          <w:p w14:paraId="3A151802" w14:textId="7643FC7F" w:rsidR="00EF39E8" w:rsidRPr="006D72A4" w:rsidRDefault="00EF39E8" w:rsidP="006D72A4">
            <w:pPr>
              <w:keepNext/>
              <w:jc w:val="center"/>
              <w:rPr>
                <w:rFonts w:ascii="Arial" w:hAnsi="Arial" w:cs="Arial"/>
                <w:b/>
                <w:color w:val="000000"/>
                <w:sz w:val="20"/>
                <w:szCs w:val="20"/>
              </w:rPr>
            </w:pPr>
          </w:p>
        </w:tc>
        <w:tc>
          <w:tcPr>
            <w:tcW w:w="1605" w:type="dxa"/>
            <w:tcBorders>
              <w:top w:val="nil"/>
              <w:left w:val="nil"/>
              <w:bottom w:val="single" w:sz="4" w:space="0" w:color="auto"/>
              <w:right w:val="single" w:sz="4" w:space="0" w:color="auto"/>
            </w:tcBorders>
            <w:shd w:val="clear" w:color="auto" w:fill="000000" w:themeFill="text1"/>
            <w:noWrap/>
            <w:vAlign w:val="center"/>
          </w:tcPr>
          <w:p w14:paraId="5646E349" w14:textId="34532F22" w:rsidR="00EF39E8" w:rsidRPr="006D72A4" w:rsidRDefault="00EF39E8" w:rsidP="006D72A4">
            <w:pPr>
              <w:keepNext/>
              <w:jc w:val="center"/>
              <w:rPr>
                <w:rFonts w:ascii="Arial" w:hAnsi="Arial" w:cs="Arial"/>
                <w:b/>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788A4A32" w14:textId="7362E75F" w:rsidR="00EF39E8" w:rsidRPr="006D72A4" w:rsidRDefault="00EF39E8" w:rsidP="006D72A4">
            <w:pPr>
              <w:keepNext/>
              <w:jc w:val="center"/>
              <w:rPr>
                <w:rFonts w:ascii="Arial" w:hAnsi="Arial" w:cs="Arial"/>
                <w:b/>
                <w:color w:val="000000"/>
                <w:sz w:val="20"/>
                <w:szCs w:val="20"/>
              </w:rPr>
            </w:pPr>
          </w:p>
        </w:tc>
        <w:tc>
          <w:tcPr>
            <w:tcW w:w="1390" w:type="dxa"/>
            <w:tcBorders>
              <w:top w:val="nil"/>
              <w:left w:val="nil"/>
              <w:bottom w:val="single" w:sz="4" w:space="0" w:color="auto"/>
              <w:right w:val="single" w:sz="4" w:space="0" w:color="auto"/>
            </w:tcBorders>
            <w:shd w:val="clear" w:color="auto" w:fill="000000" w:themeFill="text1"/>
            <w:noWrap/>
            <w:vAlign w:val="center"/>
          </w:tcPr>
          <w:p w14:paraId="6C4D68D5" w14:textId="3686FB49" w:rsidR="00EF39E8" w:rsidRPr="006D72A4" w:rsidRDefault="00EF39E8" w:rsidP="006D72A4">
            <w:pPr>
              <w:keepNext/>
              <w:jc w:val="center"/>
              <w:rPr>
                <w:rFonts w:ascii="Arial" w:hAnsi="Arial" w:cs="Arial"/>
                <w:b/>
                <w:color w:val="000000"/>
                <w:sz w:val="20"/>
                <w:szCs w:val="20"/>
              </w:rPr>
            </w:pPr>
          </w:p>
        </w:tc>
        <w:tc>
          <w:tcPr>
            <w:tcW w:w="960" w:type="dxa"/>
            <w:tcBorders>
              <w:top w:val="nil"/>
              <w:left w:val="nil"/>
              <w:bottom w:val="single" w:sz="4" w:space="0" w:color="auto"/>
              <w:right w:val="single" w:sz="4" w:space="0" w:color="auto"/>
            </w:tcBorders>
            <w:shd w:val="clear" w:color="auto" w:fill="000000" w:themeFill="text1"/>
            <w:noWrap/>
            <w:vAlign w:val="center"/>
          </w:tcPr>
          <w:p w14:paraId="70BB9934" w14:textId="745330E0" w:rsidR="00EF39E8" w:rsidRPr="006D72A4" w:rsidRDefault="00EF39E8" w:rsidP="006D72A4">
            <w:pPr>
              <w:keepNext/>
              <w:jc w:val="center"/>
              <w:rPr>
                <w:rFonts w:ascii="Arial" w:hAnsi="Arial" w:cs="Arial"/>
                <w:b/>
                <w:color w:val="000000"/>
                <w:sz w:val="20"/>
                <w:szCs w:val="20"/>
              </w:rPr>
            </w:pPr>
          </w:p>
        </w:tc>
        <w:tc>
          <w:tcPr>
            <w:tcW w:w="1150" w:type="dxa"/>
            <w:tcBorders>
              <w:top w:val="nil"/>
              <w:left w:val="nil"/>
              <w:bottom w:val="single" w:sz="4" w:space="0" w:color="auto"/>
              <w:right w:val="single" w:sz="4" w:space="0" w:color="auto"/>
            </w:tcBorders>
            <w:shd w:val="clear" w:color="auto" w:fill="000000" w:themeFill="text1"/>
            <w:vAlign w:val="center"/>
          </w:tcPr>
          <w:p w14:paraId="1E626641" w14:textId="565775E8" w:rsidR="00EF39E8" w:rsidRPr="006D72A4" w:rsidRDefault="00EF39E8" w:rsidP="006D72A4">
            <w:pPr>
              <w:keepNext/>
              <w:jc w:val="center"/>
              <w:rPr>
                <w:rFonts w:ascii="Arial" w:hAnsi="Arial" w:cs="Arial"/>
                <w:b/>
                <w:color w:val="000000"/>
                <w:sz w:val="20"/>
                <w:szCs w:val="20"/>
              </w:rPr>
            </w:pPr>
          </w:p>
        </w:tc>
      </w:tr>
    </w:tbl>
    <w:p w14:paraId="07D5CC04" w14:textId="77777777" w:rsidR="00D3527F" w:rsidRDefault="00D3527F" w:rsidP="00D3527F">
      <w:pPr>
        <w:spacing w:after="120"/>
        <w:rPr>
          <w:szCs w:val="32"/>
        </w:rPr>
      </w:pPr>
    </w:p>
    <w:p w14:paraId="242F83DF" w14:textId="77777777" w:rsidR="00D3527F" w:rsidRDefault="00D3527F" w:rsidP="00D3527F">
      <w:pPr>
        <w:pStyle w:val="Heading2"/>
        <w:numPr>
          <w:ilvl w:val="1"/>
          <w:numId w:val="43"/>
        </w:numPr>
      </w:pPr>
      <w:bookmarkStart w:id="467" w:name="_Toc507425155"/>
      <w:bookmarkStart w:id="468" w:name="_Toc509837342"/>
      <w:r>
        <w:t>SDG&amp;E Ex-Ante Load Impacts</w:t>
      </w:r>
      <w:bookmarkEnd w:id="467"/>
      <w:bookmarkEnd w:id="468"/>
    </w:p>
    <w:p w14:paraId="4DE2D5C8" w14:textId="04486B45" w:rsidR="00D3527F" w:rsidRDefault="00EF39E8" w:rsidP="00D3527F">
      <w:r>
        <w:t xml:space="preserve">This section provides the </w:t>
      </w:r>
      <w:r w:rsidRPr="00E6482F">
        <w:rPr>
          <w:i/>
        </w:rPr>
        <w:t>ex-</w:t>
      </w:r>
      <w:r>
        <w:rPr>
          <w:i/>
        </w:rPr>
        <w:t>ante</w:t>
      </w:r>
      <w:r>
        <w:t xml:space="preserve"> CPP load impact forecasts based on an enrollment forecast provided by SDG&amp;E. Results are presented by size group. </w:t>
      </w:r>
      <w:r w:rsidR="00D3527F">
        <w:t xml:space="preserve">First, the enrollment forecast provided by SDG&amp;E is summarized in figures on an annual basis. Second, results for all hours for the </w:t>
      </w:r>
      <w:r w:rsidR="00D100B0">
        <w:t>average weekday</w:t>
      </w:r>
      <w:r w:rsidR="00D3527F">
        <w:t xml:space="preserve"> event in 2022 are illustrate</w:t>
      </w:r>
      <w:bookmarkStart w:id="469" w:name="_GoBack"/>
      <w:bookmarkEnd w:id="469"/>
      <w:r w:rsidR="00D3527F">
        <w:t xml:space="preserve">d in figures to convey the shape of </w:t>
      </w:r>
      <w:r w:rsidR="00D3527F" w:rsidRPr="008632C4">
        <w:rPr>
          <w:i/>
        </w:rPr>
        <w:t>ex-ante</w:t>
      </w:r>
      <w:r w:rsidR="00D3527F">
        <w:t xml:space="preserve"> reference loads and compare </w:t>
      </w:r>
      <w:r w:rsidR="00D3527F" w:rsidRPr="008632C4">
        <w:rPr>
          <w:i/>
        </w:rPr>
        <w:t>ex-ante</w:t>
      </w:r>
      <w:r w:rsidR="00D3527F">
        <w:t xml:space="preserve"> results with </w:t>
      </w:r>
      <w:r w:rsidR="00D3527F" w:rsidRPr="008632C4">
        <w:rPr>
          <w:i/>
        </w:rPr>
        <w:t>ex-post</w:t>
      </w:r>
      <w:r w:rsidR="00D3527F">
        <w:t xml:space="preserve"> results presented in Section</w:t>
      </w:r>
      <w:r w:rsidR="00441449">
        <w:t xml:space="preserve"> </w:t>
      </w:r>
      <w:r w:rsidR="00441449">
        <w:fldChar w:fldCharType="begin"/>
      </w:r>
      <w:r w:rsidR="00441449">
        <w:instrText xml:space="preserve"> REF _Ref507599449 \r \h </w:instrText>
      </w:r>
      <w:r w:rsidR="00441449">
        <w:fldChar w:fldCharType="separate"/>
      </w:r>
      <w:r w:rsidR="005D5C7C">
        <w:t>5.1</w:t>
      </w:r>
      <w:r w:rsidR="00441449">
        <w:fldChar w:fldCharType="end"/>
      </w:r>
      <w:r w:rsidR="00D3527F">
        <w:t xml:space="preserve">. Finally, forecasted </w:t>
      </w:r>
      <w:r w:rsidR="00D3527F" w:rsidRPr="008632C4">
        <w:rPr>
          <w:i/>
        </w:rPr>
        <w:t>ex-ante</w:t>
      </w:r>
      <w:r w:rsidR="00D3527F">
        <w:t xml:space="preserve"> load impacts are summarized in figures by month and forecast year. </w:t>
      </w:r>
      <w:r w:rsidR="00D3527F" w:rsidRPr="00822514">
        <w:t>Detailed results for each hour</w:t>
      </w:r>
      <w:r w:rsidR="00D3527F">
        <w:t xml:space="preserve">, weather scenario, month, and forecast year are available </w:t>
      </w:r>
      <w:r w:rsidR="00D3527F" w:rsidRPr="00822514">
        <w:t>in electronic form in Protocol table generators provided along with this report.</w:t>
      </w:r>
    </w:p>
    <w:p w14:paraId="12303658" w14:textId="77777777" w:rsidR="00D3527F" w:rsidRDefault="00D3527F" w:rsidP="00D3527F"/>
    <w:p w14:paraId="7D7B6546" w14:textId="09937E15" w:rsidR="0069714C" w:rsidRDefault="00D3527F" w:rsidP="00D3527F">
      <w:r>
        <w:t xml:space="preserve">As described in Section </w:t>
      </w:r>
      <w:r>
        <w:fldChar w:fldCharType="begin"/>
      </w:r>
      <w:r>
        <w:instrText xml:space="preserve"> REF _Ref507242366 \r \h </w:instrText>
      </w:r>
      <w:r>
        <w:fldChar w:fldCharType="separate"/>
      </w:r>
      <w:r w:rsidR="005D5C7C">
        <w:t>2.2</w:t>
      </w:r>
      <w:r>
        <w:fldChar w:fldCharType="end"/>
      </w:r>
      <w:r>
        <w:t xml:space="preserve">, </w:t>
      </w:r>
      <w:r>
        <w:rPr>
          <w:rFonts w:asciiTheme="minorHAnsi" w:hAnsiTheme="minorHAnsi"/>
          <w:i/>
        </w:rPr>
        <w:t>per-customer l</w:t>
      </w:r>
      <w:r w:rsidRPr="009F1F3A">
        <w:rPr>
          <w:rFonts w:asciiTheme="minorHAnsi" w:hAnsiTheme="minorHAnsi"/>
          <w:i/>
        </w:rPr>
        <w:t>oad impacts</w:t>
      </w:r>
      <w:r>
        <w:t xml:space="preserve"> are derived from current </w:t>
      </w:r>
      <w:r w:rsidRPr="00FB6D9B">
        <w:rPr>
          <w:i/>
        </w:rPr>
        <w:t>ex-post</w:t>
      </w:r>
      <w:r>
        <w:t xml:space="preserve"> load impacts. The </w:t>
      </w:r>
      <w:r>
        <w:rPr>
          <w:i/>
        </w:rPr>
        <w:t>ex-post</w:t>
      </w:r>
      <w:r>
        <w:t xml:space="preserve"> </w:t>
      </w:r>
      <w:r w:rsidRPr="00463FA4">
        <w:t>percentage</w:t>
      </w:r>
      <w:r>
        <w:t xml:space="preserve"> load impacts for the two weekday events, August 31</w:t>
      </w:r>
      <w:r w:rsidRPr="00463FA4">
        <w:rPr>
          <w:vertAlign w:val="superscript"/>
        </w:rPr>
        <w:t>st</w:t>
      </w:r>
      <w:r>
        <w:t xml:space="preserve"> and September 1</w:t>
      </w:r>
      <w:r w:rsidRPr="00463FA4">
        <w:rPr>
          <w:vertAlign w:val="superscript"/>
        </w:rPr>
        <w:t>s</w:t>
      </w:r>
      <w:r>
        <w:rPr>
          <w:vertAlign w:val="superscript"/>
        </w:rPr>
        <w:t>t</w:t>
      </w:r>
      <w:r>
        <w:t xml:space="preserve">, are applied to the </w:t>
      </w:r>
      <w:r w:rsidRPr="00EF39E8">
        <w:rPr>
          <w:i/>
        </w:rPr>
        <w:t>ex-ante</w:t>
      </w:r>
      <w:r>
        <w:t xml:space="preserve"> reference loads to produce </w:t>
      </w:r>
      <w:r w:rsidRPr="00441449">
        <w:rPr>
          <w:i/>
        </w:rPr>
        <w:t>ex-ante</w:t>
      </w:r>
      <w:r>
        <w:t xml:space="preserve"> load impacts that vary by weather scenario and month.</w:t>
      </w:r>
      <w:r>
        <w:rPr>
          <w:rStyle w:val="FootnoteReference"/>
        </w:rPr>
        <w:footnoteReference w:id="21"/>
      </w:r>
      <w:r>
        <w:t xml:space="preserve"> </w:t>
      </w:r>
      <w:r w:rsidR="0069714C">
        <w:t xml:space="preserve">Beginning </w:t>
      </w:r>
      <w:r w:rsidR="00EF39E8">
        <w:t>o</w:t>
      </w:r>
      <w:r w:rsidR="0069714C">
        <w:t>n December 1, 2017, SDG&amp;E changed its CPP event hours, reducing the seven-hour event window of 11</w:t>
      </w:r>
      <w:r w:rsidR="0005693D">
        <w:t xml:space="preserve"> </w:t>
      </w:r>
      <w:r w:rsidR="0069714C">
        <w:t>a.m. to 6 p.m. (HE 12</w:t>
      </w:r>
      <w:r w:rsidR="00EF39E8">
        <w:t xml:space="preserve"> to 1</w:t>
      </w:r>
      <w:r w:rsidR="0069714C">
        <w:t xml:space="preserve">8) to </w:t>
      </w:r>
      <w:r w:rsidR="0005693D">
        <w:t xml:space="preserve">a four-hour event widow of 2 </w:t>
      </w:r>
      <w:r w:rsidR="0069714C">
        <w:t xml:space="preserve">to </w:t>
      </w:r>
      <w:r w:rsidR="0005693D">
        <w:t xml:space="preserve">6 </w:t>
      </w:r>
      <w:r w:rsidR="0069714C">
        <w:t>p.m. (HE 15</w:t>
      </w:r>
      <w:r w:rsidR="00EF39E8">
        <w:t xml:space="preserve"> to 1</w:t>
      </w:r>
      <w:r w:rsidR="0069714C">
        <w:t xml:space="preserve">8). </w:t>
      </w:r>
      <w:proofErr w:type="gramStart"/>
      <w:r w:rsidR="0069714C">
        <w:t>In order to</w:t>
      </w:r>
      <w:proofErr w:type="gramEnd"/>
      <w:r w:rsidR="0069714C">
        <w:t xml:space="preserve"> apply </w:t>
      </w:r>
      <w:r w:rsidR="0069714C">
        <w:rPr>
          <w:i/>
        </w:rPr>
        <w:t xml:space="preserve">ex-post </w:t>
      </w:r>
      <w:r w:rsidR="0069714C">
        <w:t xml:space="preserve">load impacts that correspond to the updated CPP event hours, we first categorize each hour of the day with respect to the old and updated CPP event hours. </w:t>
      </w:r>
      <w:r w:rsidR="0069714C">
        <w:fldChar w:fldCharType="begin"/>
      </w:r>
      <w:r w:rsidR="0069714C">
        <w:instrText xml:space="preserve"> REF _Ref507670711 \h </w:instrText>
      </w:r>
      <w:r w:rsidR="0069714C">
        <w:fldChar w:fldCharType="separate"/>
      </w:r>
      <w:r w:rsidR="005D5C7C">
        <w:t xml:space="preserve">Table </w:t>
      </w:r>
      <w:r w:rsidR="005D5C7C">
        <w:rPr>
          <w:noProof/>
        </w:rPr>
        <w:t>5</w:t>
      </w:r>
      <w:r w:rsidR="005D5C7C">
        <w:t>.</w:t>
      </w:r>
      <w:r w:rsidR="005D5C7C">
        <w:rPr>
          <w:noProof/>
        </w:rPr>
        <w:t>9</w:t>
      </w:r>
      <w:r w:rsidR="0069714C">
        <w:fldChar w:fldCharType="end"/>
      </w:r>
      <w:r w:rsidR="0069714C">
        <w:t xml:space="preserve"> summarizes our categorization of each hour, with the </w:t>
      </w:r>
      <w:r w:rsidR="0069714C">
        <w:rPr>
          <w:i/>
        </w:rPr>
        <w:t xml:space="preserve">ex-post </w:t>
      </w:r>
      <w:r w:rsidR="0069714C">
        <w:t xml:space="preserve">column representing the old event hours and the </w:t>
      </w:r>
      <w:r w:rsidR="0069714C">
        <w:rPr>
          <w:i/>
        </w:rPr>
        <w:t xml:space="preserve">ex-ante </w:t>
      </w:r>
      <w:r w:rsidR="0069714C">
        <w:t xml:space="preserve">column representing the new CPP event window. The </w:t>
      </w:r>
      <w:r w:rsidR="0069714C">
        <w:rPr>
          <w:i/>
        </w:rPr>
        <w:t xml:space="preserve">ex-post </w:t>
      </w:r>
      <w:r w:rsidR="0069714C">
        <w:t xml:space="preserve">reference loads and load impacts are averaged over these periods to obtain percentage load impacts, which are then applied to </w:t>
      </w:r>
      <w:r w:rsidR="0069714C">
        <w:rPr>
          <w:i/>
        </w:rPr>
        <w:t xml:space="preserve">ex-ante </w:t>
      </w:r>
      <w:r w:rsidR="0069714C">
        <w:t xml:space="preserve">reference loads during the corresponding categorized period to calculate the </w:t>
      </w:r>
      <w:r w:rsidR="0069714C">
        <w:rPr>
          <w:i/>
        </w:rPr>
        <w:t xml:space="preserve">ex-ante </w:t>
      </w:r>
      <w:r w:rsidR="0069714C">
        <w:t xml:space="preserve">load impacts. For example, the percentage load impact for the hour before the event in </w:t>
      </w:r>
      <w:r w:rsidR="0069714C">
        <w:rPr>
          <w:i/>
        </w:rPr>
        <w:t>ex-post</w:t>
      </w:r>
      <w:r w:rsidR="0069714C">
        <w:t xml:space="preserve"> (HE 11) is applied the </w:t>
      </w:r>
      <w:r w:rsidR="0069714C">
        <w:rPr>
          <w:i/>
        </w:rPr>
        <w:t xml:space="preserve">ex-ante </w:t>
      </w:r>
      <w:r w:rsidR="0069714C">
        <w:t xml:space="preserve">reference load for the hour before the event in </w:t>
      </w:r>
      <w:r w:rsidR="0069714C">
        <w:rPr>
          <w:i/>
        </w:rPr>
        <w:t xml:space="preserve">ex-ante </w:t>
      </w:r>
      <w:r w:rsidR="0069714C">
        <w:t>(HE 14).</w:t>
      </w:r>
      <w:r w:rsidR="00A07B5F" w:rsidRPr="00A07B5F">
        <w:rPr>
          <w:noProof/>
          <w:szCs w:val="32"/>
        </w:rPr>
        <w:t xml:space="preserve"> </w:t>
      </w:r>
    </w:p>
    <w:p w14:paraId="0568B611" w14:textId="1CA467D0" w:rsidR="0069714C" w:rsidRDefault="00A07B5F" w:rsidP="00D3527F">
      <w:r>
        <w:rPr>
          <w:noProof/>
          <w:szCs w:val="32"/>
        </w:rPr>
        <mc:AlternateContent>
          <mc:Choice Requires="wps">
            <w:drawing>
              <wp:anchor distT="0" distB="0" distL="114300" distR="114300" simplePos="0" relativeHeight="251717632" behindDoc="0" locked="0" layoutInCell="1" allowOverlap="1" wp14:anchorId="51B0DC1B" wp14:editId="31F189B1">
                <wp:simplePos x="0" y="0"/>
                <wp:positionH relativeFrom="margin">
                  <wp:align>right</wp:align>
                </wp:positionH>
                <wp:positionV relativeFrom="paragraph">
                  <wp:posOffset>1165280</wp:posOffset>
                </wp:positionV>
                <wp:extent cx="5422789" cy="397566"/>
                <wp:effectExtent l="0" t="0" r="26035" b="21590"/>
                <wp:wrapNone/>
                <wp:docPr id="102" name="Text Box 102"/>
                <wp:cNvGraphicFramePr/>
                <a:graphic xmlns:a="http://schemas.openxmlformats.org/drawingml/2006/main">
                  <a:graphicData uri="http://schemas.microsoft.com/office/word/2010/wordprocessingShape">
                    <wps:wsp>
                      <wps:cNvSpPr txBox="1"/>
                      <wps:spPr>
                        <a:xfrm>
                          <a:off x="0" y="0"/>
                          <a:ext cx="5422789" cy="397566"/>
                        </a:xfrm>
                        <a:prstGeom prst="rect">
                          <a:avLst/>
                        </a:prstGeom>
                        <a:solidFill>
                          <a:schemeClr val="lt1"/>
                        </a:solidFill>
                        <a:ln w="6350">
                          <a:solidFill>
                            <a:prstClr val="black"/>
                          </a:solidFill>
                        </a:ln>
                      </wps:spPr>
                      <wps:txbx>
                        <w:txbxContent>
                          <w:p w14:paraId="4B0F2FCB" w14:textId="77777777" w:rsidR="006F4399" w:rsidRPr="00EB41EA" w:rsidRDefault="006F4399" w:rsidP="00A07B5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B0DC1B" id="Text Box 102" o:spid="_x0000_s1056" type="#_x0000_t202" style="position:absolute;margin-left:375.8pt;margin-top:91.75pt;width:427pt;height:31.3pt;z-index:2517176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" fillcolor="white [3201]" strokeweight=".5pt">
                <v:textbox>
                  <w:txbxContent>
                    <w:p w14:paraId="4B0F2FCB" w14:textId="77777777" w:rsidR="006F4399" w:rsidRPr="00EB41EA" w:rsidRDefault="006F4399" w:rsidP="00A07B5F">
                      <w:pPr>
                        <w:rPr>
                          <w:color w:val="FF0000"/>
                          <w:sz w:val="20"/>
                          <w:szCs w:val="20"/>
                        </w:rPr>
                      </w:pPr>
                      <w:r w:rsidRPr="00EB41EA">
                        <w:rPr>
                          <w:color w:val="FF0000"/>
                          <w:sz w:val="20"/>
                          <w:szCs w:val="20"/>
                        </w:rPr>
                        <w:t>Marked Confidential in Accordance with California Law and Regulations – Basis for Confidentiality in Accompanying Confidentiality Declaration.</w:t>
                      </w:r>
                    </w:p>
                  </w:txbxContent>
                </v:textbox>
                <w10:wrap anchorx="margin"/>
              </v:shape>
            </w:pict>
          </mc:Fallback>
        </mc:AlternateContent>
      </w:r>
    </w:p>
    <w:p w14:paraId="3F6D3451" w14:textId="768716A4" w:rsidR="0069714C" w:rsidRDefault="0069714C" w:rsidP="00EF39E8">
      <w:pPr>
        <w:pStyle w:val="TableCaption"/>
      </w:pPr>
      <w:bookmarkStart w:id="470" w:name="_Ref507670711"/>
      <w:bookmarkStart w:id="471" w:name="_Toc509837420"/>
      <w:r>
        <w:lastRenderedPageBreak/>
        <w:t xml:space="preserve">Table </w:t>
      </w:r>
      <w:fldSimple w:instr=" STYLEREF 1 \s ">
        <w:r w:rsidR="005D5C7C">
          <w:rPr>
            <w:noProof/>
          </w:rPr>
          <w:t>5</w:t>
        </w:r>
      </w:fldSimple>
      <w:r>
        <w:t>.</w:t>
      </w:r>
      <w:fldSimple w:instr=" SEQ Table \* ARABIC \s 1 ">
        <w:r w:rsidR="005D5C7C">
          <w:rPr>
            <w:noProof/>
          </w:rPr>
          <w:t>9</w:t>
        </w:r>
      </w:fldSimple>
      <w:bookmarkEnd w:id="470"/>
      <w:r>
        <w:t xml:space="preserve">: SDG&amp;E Hourly Categorization of Periods Relating to Change </w:t>
      </w:r>
      <w:r>
        <w:br/>
        <w:t>in CPP Event Window</w:t>
      </w:r>
      <w:bookmarkEnd w:id="471"/>
    </w:p>
    <w:tbl>
      <w:tblPr>
        <w:tblW w:w="5000" w:type="dxa"/>
        <w:jc w:val="center"/>
        <w:tblLook w:val="04A0" w:firstRow="1" w:lastRow="0" w:firstColumn="1" w:lastColumn="0" w:noHBand="0" w:noVBand="1"/>
      </w:tblPr>
      <w:tblGrid>
        <w:gridCol w:w="960"/>
        <w:gridCol w:w="2020"/>
        <w:gridCol w:w="2020"/>
      </w:tblGrid>
      <w:tr w:rsidR="0069714C" w:rsidRPr="005808F4" w14:paraId="357DA22D" w14:textId="77777777" w:rsidTr="0069714C">
        <w:trPr>
          <w:trHeight w:val="255"/>
          <w:jc w:val="center"/>
        </w:trPr>
        <w:tc>
          <w:tcPr>
            <w:tcW w:w="960" w:type="dxa"/>
            <w:tcBorders>
              <w:top w:val="single" w:sz="4" w:space="0" w:color="000000"/>
              <w:left w:val="single" w:sz="4" w:space="0" w:color="000000"/>
              <w:bottom w:val="single" w:sz="4" w:space="0" w:color="000000"/>
              <w:right w:val="nil"/>
            </w:tcBorders>
            <w:shd w:val="clear" w:color="auto" w:fill="0C2577"/>
            <w:noWrap/>
            <w:vAlign w:val="center"/>
            <w:hideMark/>
          </w:tcPr>
          <w:p w14:paraId="0749487B" w14:textId="77777777" w:rsidR="0069714C" w:rsidRPr="005808F4" w:rsidRDefault="0069714C" w:rsidP="0069714C">
            <w:pPr>
              <w:keepNext/>
              <w:jc w:val="center"/>
              <w:rPr>
                <w:rFonts w:ascii="Arial" w:hAnsi="Arial" w:cs="Arial"/>
                <w:b/>
                <w:bCs/>
                <w:color w:val="FFFFFF"/>
                <w:sz w:val="20"/>
                <w:szCs w:val="20"/>
              </w:rPr>
            </w:pPr>
            <w:r w:rsidRPr="005808F4">
              <w:rPr>
                <w:rFonts w:ascii="Arial" w:hAnsi="Arial" w:cs="Arial"/>
                <w:b/>
                <w:bCs/>
                <w:color w:val="FFFFFF"/>
                <w:sz w:val="20"/>
                <w:szCs w:val="20"/>
              </w:rPr>
              <w:t>Hour</w:t>
            </w:r>
          </w:p>
        </w:tc>
        <w:tc>
          <w:tcPr>
            <w:tcW w:w="2020" w:type="dxa"/>
            <w:tcBorders>
              <w:top w:val="single" w:sz="4" w:space="0" w:color="000000"/>
              <w:left w:val="single" w:sz="4" w:space="0" w:color="FFFFFF"/>
              <w:bottom w:val="single" w:sz="4" w:space="0" w:color="000000"/>
              <w:right w:val="single" w:sz="4" w:space="0" w:color="FFFFFF"/>
            </w:tcBorders>
            <w:shd w:val="clear" w:color="auto" w:fill="0C2577"/>
            <w:noWrap/>
            <w:vAlign w:val="bottom"/>
            <w:hideMark/>
          </w:tcPr>
          <w:p w14:paraId="216E4A16" w14:textId="77777777" w:rsidR="0069714C" w:rsidRPr="00EF39E8" w:rsidRDefault="0069714C" w:rsidP="0069714C">
            <w:pPr>
              <w:keepNext/>
              <w:jc w:val="center"/>
              <w:rPr>
                <w:rFonts w:ascii="Arial" w:hAnsi="Arial" w:cs="Arial"/>
                <w:b/>
                <w:bCs/>
                <w:i/>
                <w:color w:val="FFFFFF"/>
                <w:sz w:val="20"/>
                <w:szCs w:val="20"/>
              </w:rPr>
            </w:pPr>
            <w:r w:rsidRPr="00EF39E8">
              <w:rPr>
                <w:rFonts w:ascii="Arial" w:hAnsi="Arial" w:cs="Arial"/>
                <w:b/>
                <w:bCs/>
                <w:i/>
                <w:color w:val="FFFFFF"/>
                <w:sz w:val="20"/>
                <w:szCs w:val="20"/>
              </w:rPr>
              <w:t>Ex-Post</w:t>
            </w:r>
          </w:p>
        </w:tc>
        <w:tc>
          <w:tcPr>
            <w:tcW w:w="2020" w:type="dxa"/>
            <w:tcBorders>
              <w:top w:val="single" w:sz="4" w:space="0" w:color="000000"/>
              <w:left w:val="nil"/>
              <w:bottom w:val="single" w:sz="4" w:space="0" w:color="000000"/>
              <w:right w:val="single" w:sz="4" w:space="0" w:color="000000"/>
            </w:tcBorders>
            <w:shd w:val="clear" w:color="auto" w:fill="0C2577"/>
            <w:noWrap/>
            <w:vAlign w:val="bottom"/>
            <w:hideMark/>
          </w:tcPr>
          <w:p w14:paraId="1F1CF8B3" w14:textId="77777777" w:rsidR="0069714C" w:rsidRPr="00EF39E8" w:rsidRDefault="0069714C" w:rsidP="0069714C">
            <w:pPr>
              <w:keepNext/>
              <w:jc w:val="center"/>
              <w:rPr>
                <w:rFonts w:ascii="Arial" w:hAnsi="Arial" w:cs="Arial"/>
                <w:b/>
                <w:bCs/>
                <w:i/>
                <w:color w:val="FFFFFF"/>
                <w:sz w:val="20"/>
                <w:szCs w:val="20"/>
              </w:rPr>
            </w:pPr>
            <w:r w:rsidRPr="00EF39E8">
              <w:rPr>
                <w:rFonts w:ascii="Arial" w:hAnsi="Arial" w:cs="Arial"/>
                <w:b/>
                <w:bCs/>
                <w:i/>
                <w:color w:val="FFFFFF"/>
                <w:sz w:val="20"/>
                <w:szCs w:val="20"/>
              </w:rPr>
              <w:t>Ex-Ante</w:t>
            </w:r>
          </w:p>
        </w:tc>
      </w:tr>
      <w:tr w:rsidR="0069714C" w:rsidRPr="005808F4" w14:paraId="4411D62C"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FC3663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w:t>
            </w:r>
          </w:p>
        </w:tc>
        <w:tc>
          <w:tcPr>
            <w:tcW w:w="2020" w:type="dxa"/>
            <w:vMerge w:val="restart"/>
            <w:tcBorders>
              <w:top w:val="nil"/>
              <w:left w:val="single" w:sz="4" w:space="0" w:color="auto"/>
              <w:bottom w:val="nil"/>
              <w:right w:val="single" w:sz="4" w:space="0" w:color="auto"/>
            </w:tcBorders>
            <w:shd w:val="clear" w:color="000000" w:fill="EDEDED"/>
            <w:vAlign w:val="center"/>
            <w:hideMark/>
          </w:tcPr>
          <w:p w14:paraId="763481CC" w14:textId="77777777" w:rsidR="0069714C" w:rsidRPr="005808F4" w:rsidRDefault="0069714C" w:rsidP="0069714C">
            <w:pPr>
              <w:keepNext/>
              <w:jc w:val="center"/>
              <w:rPr>
                <w:rFonts w:ascii="Arial" w:hAnsi="Arial" w:cs="Arial"/>
                <w:sz w:val="20"/>
                <w:szCs w:val="20"/>
              </w:rPr>
            </w:pPr>
            <w:r>
              <w:rPr>
                <w:rFonts w:ascii="Arial" w:hAnsi="Arial" w:cs="Arial"/>
                <w:sz w:val="20"/>
                <w:szCs w:val="20"/>
              </w:rPr>
              <w:t>beginning of event day</w:t>
            </w:r>
          </w:p>
        </w:tc>
        <w:tc>
          <w:tcPr>
            <w:tcW w:w="2020" w:type="dxa"/>
            <w:vMerge w:val="restart"/>
            <w:tcBorders>
              <w:top w:val="nil"/>
              <w:left w:val="single" w:sz="4" w:space="0" w:color="auto"/>
              <w:bottom w:val="nil"/>
              <w:right w:val="single" w:sz="4" w:space="0" w:color="auto"/>
            </w:tcBorders>
            <w:shd w:val="clear" w:color="000000" w:fill="EDEDED"/>
            <w:vAlign w:val="center"/>
            <w:hideMark/>
          </w:tcPr>
          <w:p w14:paraId="5764760E" w14:textId="77777777" w:rsidR="0069714C" w:rsidRPr="005808F4" w:rsidRDefault="0069714C" w:rsidP="0069714C">
            <w:pPr>
              <w:keepNext/>
              <w:jc w:val="center"/>
              <w:rPr>
                <w:rFonts w:ascii="Arial" w:hAnsi="Arial" w:cs="Arial"/>
                <w:sz w:val="20"/>
                <w:szCs w:val="20"/>
              </w:rPr>
            </w:pPr>
            <w:r>
              <w:rPr>
                <w:rFonts w:ascii="Arial" w:hAnsi="Arial" w:cs="Arial"/>
                <w:sz w:val="20"/>
                <w:szCs w:val="20"/>
              </w:rPr>
              <w:t>beginning of event day</w:t>
            </w:r>
          </w:p>
        </w:tc>
      </w:tr>
      <w:tr w:rsidR="0069714C" w:rsidRPr="005808F4" w14:paraId="7A0CFEE2"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B521CB7"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2</w:t>
            </w:r>
          </w:p>
        </w:tc>
        <w:tc>
          <w:tcPr>
            <w:tcW w:w="2020" w:type="dxa"/>
            <w:vMerge/>
            <w:tcBorders>
              <w:top w:val="nil"/>
              <w:left w:val="single" w:sz="4" w:space="0" w:color="auto"/>
              <w:bottom w:val="nil"/>
              <w:right w:val="single" w:sz="4" w:space="0" w:color="auto"/>
            </w:tcBorders>
            <w:vAlign w:val="center"/>
            <w:hideMark/>
          </w:tcPr>
          <w:p w14:paraId="1824844E"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4BF4667F" w14:textId="77777777" w:rsidR="0069714C" w:rsidRPr="005808F4" w:rsidRDefault="0069714C" w:rsidP="0069714C">
            <w:pPr>
              <w:keepNext/>
              <w:rPr>
                <w:rFonts w:ascii="Arial" w:hAnsi="Arial" w:cs="Arial"/>
                <w:sz w:val="20"/>
                <w:szCs w:val="20"/>
              </w:rPr>
            </w:pPr>
          </w:p>
        </w:tc>
      </w:tr>
      <w:tr w:rsidR="0069714C" w:rsidRPr="005808F4" w14:paraId="7AFFA41E"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9B21C1"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3</w:t>
            </w:r>
          </w:p>
        </w:tc>
        <w:tc>
          <w:tcPr>
            <w:tcW w:w="2020" w:type="dxa"/>
            <w:vMerge/>
            <w:tcBorders>
              <w:top w:val="nil"/>
              <w:left w:val="single" w:sz="4" w:space="0" w:color="auto"/>
              <w:bottom w:val="nil"/>
              <w:right w:val="single" w:sz="4" w:space="0" w:color="auto"/>
            </w:tcBorders>
            <w:vAlign w:val="center"/>
            <w:hideMark/>
          </w:tcPr>
          <w:p w14:paraId="5D6ADA7A"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674C73B4" w14:textId="77777777" w:rsidR="0069714C" w:rsidRPr="005808F4" w:rsidRDefault="0069714C" w:rsidP="0069714C">
            <w:pPr>
              <w:keepNext/>
              <w:rPr>
                <w:rFonts w:ascii="Arial" w:hAnsi="Arial" w:cs="Arial"/>
                <w:sz w:val="20"/>
                <w:szCs w:val="20"/>
              </w:rPr>
            </w:pPr>
          </w:p>
        </w:tc>
      </w:tr>
      <w:tr w:rsidR="0069714C" w:rsidRPr="005808F4" w14:paraId="166AD65B"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C480A09"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4</w:t>
            </w:r>
          </w:p>
        </w:tc>
        <w:tc>
          <w:tcPr>
            <w:tcW w:w="2020" w:type="dxa"/>
            <w:vMerge/>
            <w:tcBorders>
              <w:top w:val="nil"/>
              <w:left w:val="single" w:sz="4" w:space="0" w:color="auto"/>
              <w:bottom w:val="nil"/>
              <w:right w:val="single" w:sz="4" w:space="0" w:color="auto"/>
            </w:tcBorders>
            <w:vAlign w:val="center"/>
            <w:hideMark/>
          </w:tcPr>
          <w:p w14:paraId="32B5CDEB"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03A97143" w14:textId="77777777" w:rsidR="0069714C" w:rsidRPr="005808F4" w:rsidRDefault="0069714C" w:rsidP="0069714C">
            <w:pPr>
              <w:keepNext/>
              <w:rPr>
                <w:rFonts w:ascii="Arial" w:hAnsi="Arial" w:cs="Arial"/>
                <w:sz w:val="20"/>
                <w:szCs w:val="20"/>
              </w:rPr>
            </w:pPr>
          </w:p>
        </w:tc>
      </w:tr>
      <w:tr w:rsidR="0069714C" w:rsidRPr="005808F4" w14:paraId="3C7F8927"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AE31AF"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5</w:t>
            </w:r>
          </w:p>
        </w:tc>
        <w:tc>
          <w:tcPr>
            <w:tcW w:w="2020" w:type="dxa"/>
            <w:vMerge/>
            <w:tcBorders>
              <w:top w:val="nil"/>
              <w:left w:val="single" w:sz="4" w:space="0" w:color="auto"/>
              <w:bottom w:val="nil"/>
              <w:right w:val="single" w:sz="4" w:space="0" w:color="auto"/>
            </w:tcBorders>
            <w:vAlign w:val="center"/>
            <w:hideMark/>
          </w:tcPr>
          <w:p w14:paraId="04B4CB23"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26E1B8E9" w14:textId="77777777" w:rsidR="0069714C" w:rsidRPr="005808F4" w:rsidRDefault="0069714C" w:rsidP="0069714C">
            <w:pPr>
              <w:keepNext/>
              <w:rPr>
                <w:rFonts w:ascii="Arial" w:hAnsi="Arial" w:cs="Arial"/>
                <w:sz w:val="20"/>
                <w:szCs w:val="20"/>
              </w:rPr>
            </w:pPr>
          </w:p>
        </w:tc>
      </w:tr>
      <w:tr w:rsidR="0069714C" w:rsidRPr="005808F4" w14:paraId="1BDFE6BC"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3BD7417"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6</w:t>
            </w:r>
          </w:p>
        </w:tc>
        <w:tc>
          <w:tcPr>
            <w:tcW w:w="2020" w:type="dxa"/>
            <w:vMerge/>
            <w:tcBorders>
              <w:top w:val="nil"/>
              <w:left w:val="single" w:sz="4" w:space="0" w:color="auto"/>
              <w:bottom w:val="nil"/>
              <w:right w:val="single" w:sz="4" w:space="0" w:color="auto"/>
            </w:tcBorders>
            <w:vAlign w:val="center"/>
            <w:hideMark/>
          </w:tcPr>
          <w:p w14:paraId="161B3E72"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2E3755B6" w14:textId="77777777" w:rsidR="0069714C" w:rsidRPr="005808F4" w:rsidRDefault="0069714C" w:rsidP="0069714C">
            <w:pPr>
              <w:keepNext/>
              <w:rPr>
                <w:rFonts w:ascii="Arial" w:hAnsi="Arial" w:cs="Arial"/>
                <w:sz w:val="20"/>
                <w:szCs w:val="20"/>
              </w:rPr>
            </w:pPr>
          </w:p>
        </w:tc>
      </w:tr>
      <w:tr w:rsidR="0069714C" w:rsidRPr="005808F4" w14:paraId="03D41672"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7A375F0"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7</w:t>
            </w:r>
          </w:p>
        </w:tc>
        <w:tc>
          <w:tcPr>
            <w:tcW w:w="2020" w:type="dxa"/>
            <w:vMerge/>
            <w:tcBorders>
              <w:top w:val="nil"/>
              <w:left w:val="single" w:sz="4" w:space="0" w:color="auto"/>
              <w:bottom w:val="nil"/>
              <w:right w:val="single" w:sz="4" w:space="0" w:color="auto"/>
            </w:tcBorders>
            <w:vAlign w:val="center"/>
            <w:hideMark/>
          </w:tcPr>
          <w:p w14:paraId="54F06881"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25E6017E" w14:textId="77777777" w:rsidR="0069714C" w:rsidRPr="005808F4" w:rsidRDefault="0069714C" w:rsidP="0069714C">
            <w:pPr>
              <w:keepNext/>
              <w:rPr>
                <w:rFonts w:ascii="Arial" w:hAnsi="Arial" w:cs="Arial"/>
                <w:sz w:val="20"/>
                <w:szCs w:val="20"/>
              </w:rPr>
            </w:pPr>
          </w:p>
        </w:tc>
      </w:tr>
      <w:tr w:rsidR="0069714C" w:rsidRPr="005808F4" w14:paraId="704B2C2C"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6DB474"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8</w:t>
            </w:r>
          </w:p>
        </w:tc>
        <w:tc>
          <w:tcPr>
            <w:tcW w:w="2020" w:type="dxa"/>
            <w:vMerge/>
            <w:tcBorders>
              <w:top w:val="nil"/>
              <w:left w:val="single" w:sz="4" w:space="0" w:color="auto"/>
              <w:bottom w:val="nil"/>
              <w:right w:val="single" w:sz="4" w:space="0" w:color="auto"/>
            </w:tcBorders>
            <w:vAlign w:val="center"/>
            <w:hideMark/>
          </w:tcPr>
          <w:p w14:paraId="5DB0CA50"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624E48C9" w14:textId="77777777" w:rsidR="0069714C" w:rsidRPr="005808F4" w:rsidRDefault="0069714C" w:rsidP="0069714C">
            <w:pPr>
              <w:keepNext/>
              <w:rPr>
                <w:rFonts w:ascii="Arial" w:hAnsi="Arial" w:cs="Arial"/>
                <w:sz w:val="20"/>
                <w:szCs w:val="20"/>
              </w:rPr>
            </w:pPr>
          </w:p>
        </w:tc>
      </w:tr>
      <w:tr w:rsidR="0069714C" w:rsidRPr="005808F4" w14:paraId="088818EB"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EA7612"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9</w:t>
            </w:r>
          </w:p>
        </w:tc>
        <w:tc>
          <w:tcPr>
            <w:tcW w:w="2020" w:type="dxa"/>
            <w:vMerge/>
            <w:tcBorders>
              <w:top w:val="nil"/>
              <w:left w:val="single" w:sz="4" w:space="0" w:color="auto"/>
              <w:bottom w:val="nil"/>
              <w:right w:val="single" w:sz="4" w:space="0" w:color="auto"/>
            </w:tcBorders>
            <w:vAlign w:val="center"/>
            <w:hideMark/>
          </w:tcPr>
          <w:p w14:paraId="53C03B2C"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10AAEE63" w14:textId="77777777" w:rsidR="0069714C" w:rsidRPr="005808F4" w:rsidRDefault="0069714C" w:rsidP="0069714C">
            <w:pPr>
              <w:keepNext/>
              <w:rPr>
                <w:rFonts w:ascii="Arial" w:hAnsi="Arial" w:cs="Arial"/>
                <w:sz w:val="20"/>
                <w:szCs w:val="20"/>
              </w:rPr>
            </w:pPr>
          </w:p>
        </w:tc>
      </w:tr>
      <w:tr w:rsidR="0069714C" w:rsidRPr="005808F4" w14:paraId="5B605A69"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30B7C0"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10</w:t>
            </w:r>
          </w:p>
        </w:tc>
        <w:tc>
          <w:tcPr>
            <w:tcW w:w="2020" w:type="dxa"/>
            <w:vMerge/>
            <w:tcBorders>
              <w:top w:val="nil"/>
              <w:left w:val="single" w:sz="4" w:space="0" w:color="auto"/>
              <w:bottom w:val="nil"/>
              <w:right w:val="single" w:sz="4" w:space="0" w:color="auto"/>
            </w:tcBorders>
            <w:vAlign w:val="center"/>
            <w:hideMark/>
          </w:tcPr>
          <w:p w14:paraId="30062C6C"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77E305BF" w14:textId="77777777" w:rsidR="0069714C" w:rsidRPr="005808F4" w:rsidRDefault="0069714C" w:rsidP="0069714C">
            <w:pPr>
              <w:keepNext/>
              <w:rPr>
                <w:rFonts w:ascii="Arial" w:hAnsi="Arial" w:cs="Arial"/>
                <w:sz w:val="20"/>
                <w:szCs w:val="20"/>
              </w:rPr>
            </w:pPr>
          </w:p>
        </w:tc>
      </w:tr>
      <w:tr w:rsidR="0069714C" w:rsidRPr="005808F4" w14:paraId="671045F4"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A7948E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11</w:t>
            </w:r>
          </w:p>
        </w:tc>
        <w:tc>
          <w:tcPr>
            <w:tcW w:w="2020" w:type="dxa"/>
            <w:tcBorders>
              <w:top w:val="nil"/>
              <w:left w:val="nil"/>
              <w:bottom w:val="nil"/>
              <w:right w:val="single" w:sz="4" w:space="0" w:color="auto"/>
            </w:tcBorders>
            <w:shd w:val="clear" w:color="000000" w:fill="C9C9C9"/>
            <w:vAlign w:val="center"/>
            <w:hideMark/>
          </w:tcPr>
          <w:p w14:paraId="39EDDEAB"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pre-event hour</w:t>
            </w:r>
          </w:p>
        </w:tc>
        <w:tc>
          <w:tcPr>
            <w:tcW w:w="2020" w:type="dxa"/>
            <w:vMerge/>
            <w:tcBorders>
              <w:top w:val="nil"/>
              <w:left w:val="single" w:sz="4" w:space="0" w:color="auto"/>
              <w:bottom w:val="nil"/>
              <w:right w:val="single" w:sz="4" w:space="0" w:color="auto"/>
            </w:tcBorders>
            <w:vAlign w:val="center"/>
            <w:hideMark/>
          </w:tcPr>
          <w:p w14:paraId="7584146B" w14:textId="77777777" w:rsidR="0069714C" w:rsidRPr="005808F4" w:rsidRDefault="0069714C" w:rsidP="0069714C">
            <w:pPr>
              <w:keepNext/>
              <w:rPr>
                <w:rFonts w:ascii="Arial" w:hAnsi="Arial" w:cs="Arial"/>
                <w:sz w:val="20"/>
                <w:szCs w:val="20"/>
              </w:rPr>
            </w:pPr>
          </w:p>
        </w:tc>
      </w:tr>
      <w:tr w:rsidR="0069714C" w:rsidRPr="005808F4" w14:paraId="51DBB3E5"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588FDB"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12</w:t>
            </w:r>
          </w:p>
        </w:tc>
        <w:tc>
          <w:tcPr>
            <w:tcW w:w="2020" w:type="dxa"/>
            <w:vMerge w:val="restart"/>
            <w:tcBorders>
              <w:top w:val="nil"/>
              <w:left w:val="single" w:sz="4" w:space="0" w:color="auto"/>
              <w:bottom w:val="nil"/>
              <w:right w:val="single" w:sz="4" w:space="0" w:color="auto"/>
            </w:tcBorders>
            <w:shd w:val="clear" w:color="000000" w:fill="BDD7EE"/>
            <w:vAlign w:val="center"/>
            <w:hideMark/>
          </w:tcPr>
          <w:p w14:paraId="3E93CC2E"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beginning of event</w:t>
            </w:r>
          </w:p>
        </w:tc>
        <w:tc>
          <w:tcPr>
            <w:tcW w:w="2020" w:type="dxa"/>
            <w:vMerge/>
            <w:tcBorders>
              <w:top w:val="nil"/>
              <w:left w:val="single" w:sz="4" w:space="0" w:color="auto"/>
              <w:bottom w:val="nil"/>
              <w:right w:val="single" w:sz="4" w:space="0" w:color="auto"/>
            </w:tcBorders>
            <w:vAlign w:val="center"/>
            <w:hideMark/>
          </w:tcPr>
          <w:p w14:paraId="470CD1DC" w14:textId="77777777" w:rsidR="0069714C" w:rsidRPr="005808F4" w:rsidRDefault="0069714C" w:rsidP="0069714C">
            <w:pPr>
              <w:keepNext/>
              <w:rPr>
                <w:rFonts w:ascii="Arial" w:hAnsi="Arial" w:cs="Arial"/>
                <w:sz w:val="20"/>
                <w:szCs w:val="20"/>
              </w:rPr>
            </w:pPr>
          </w:p>
        </w:tc>
      </w:tr>
      <w:tr w:rsidR="0069714C" w:rsidRPr="005808F4" w14:paraId="1F418465"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491434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13</w:t>
            </w:r>
          </w:p>
        </w:tc>
        <w:tc>
          <w:tcPr>
            <w:tcW w:w="2020" w:type="dxa"/>
            <w:vMerge/>
            <w:tcBorders>
              <w:top w:val="nil"/>
              <w:left w:val="single" w:sz="4" w:space="0" w:color="auto"/>
              <w:bottom w:val="nil"/>
              <w:right w:val="single" w:sz="4" w:space="0" w:color="auto"/>
            </w:tcBorders>
            <w:vAlign w:val="center"/>
            <w:hideMark/>
          </w:tcPr>
          <w:p w14:paraId="03CE50D6" w14:textId="77777777" w:rsidR="0069714C" w:rsidRPr="005808F4" w:rsidRDefault="0069714C" w:rsidP="0069714C">
            <w:pPr>
              <w:keepNext/>
              <w:rPr>
                <w:rFonts w:ascii="Arial" w:hAnsi="Arial" w:cs="Arial"/>
                <w:sz w:val="20"/>
                <w:szCs w:val="20"/>
              </w:rPr>
            </w:pPr>
          </w:p>
        </w:tc>
        <w:tc>
          <w:tcPr>
            <w:tcW w:w="2020" w:type="dxa"/>
            <w:vMerge/>
            <w:tcBorders>
              <w:top w:val="nil"/>
              <w:left w:val="single" w:sz="4" w:space="0" w:color="auto"/>
              <w:bottom w:val="nil"/>
              <w:right w:val="single" w:sz="4" w:space="0" w:color="auto"/>
            </w:tcBorders>
            <w:vAlign w:val="center"/>
            <w:hideMark/>
          </w:tcPr>
          <w:p w14:paraId="1CFFE003" w14:textId="77777777" w:rsidR="0069714C" w:rsidRPr="005808F4" w:rsidRDefault="0069714C" w:rsidP="0069714C">
            <w:pPr>
              <w:keepNext/>
              <w:rPr>
                <w:rFonts w:ascii="Arial" w:hAnsi="Arial" w:cs="Arial"/>
                <w:sz w:val="20"/>
                <w:szCs w:val="20"/>
              </w:rPr>
            </w:pPr>
          </w:p>
        </w:tc>
      </w:tr>
      <w:tr w:rsidR="0069714C" w:rsidRPr="005808F4" w14:paraId="745F1C73"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F80DE19"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14</w:t>
            </w:r>
          </w:p>
        </w:tc>
        <w:tc>
          <w:tcPr>
            <w:tcW w:w="2020" w:type="dxa"/>
            <w:vMerge w:val="restart"/>
            <w:tcBorders>
              <w:top w:val="nil"/>
              <w:left w:val="single" w:sz="4" w:space="0" w:color="auto"/>
              <w:bottom w:val="nil"/>
              <w:right w:val="single" w:sz="4" w:space="0" w:color="auto"/>
            </w:tcBorders>
            <w:shd w:val="clear" w:color="000000" w:fill="9BC2E6"/>
            <w:vAlign w:val="center"/>
            <w:hideMark/>
          </w:tcPr>
          <w:p w14:paraId="7DD542E4"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middle of event</w:t>
            </w:r>
          </w:p>
        </w:tc>
        <w:tc>
          <w:tcPr>
            <w:tcW w:w="2020" w:type="dxa"/>
            <w:tcBorders>
              <w:top w:val="nil"/>
              <w:left w:val="nil"/>
              <w:bottom w:val="nil"/>
              <w:right w:val="single" w:sz="4" w:space="0" w:color="auto"/>
            </w:tcBorders>
            <w:shd w:val="clear" w:color="000000" w:fill="C9C9C9"/>
            <w:noWrap/>
            <w:vAlign w:val="center"/>
            <w:hideMark/>
          </w:tcPr>
          <w:p w14:paraId="79740E8C"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pre-event hour</w:t>
            </w:r>
          </w:p>
        </w:tc>
      </w:tr>
      <w:tr w:rsidR="0069714C" w:rsidRPr="005808F4" w14:paraId="6CE426CF"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D350E6"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15</w:t>
            </w:r>
          </w:p>
        </w:tc>
        <w:tc>
          <w:tcPr>
            <w:tcW w:w="2020" w:type="dxa"/>
            <w:vMerge/>
            <w:tcBorders>
              <w:top w:val="nil"/>
              <w:left w:val="single" w:sz="4" w:space="0" w:color="auto"/>
              <w:bottom w:val="nil"/>
              <w:right w:val="single" w:sz="4" w:space="0" w:color="auto"/>
            </w:tcBorders>
            <w:vAlign w:val="center"/>
            <w:hideMark/>
          </w:tcPr>
          <w:p w14:paraId="68D381C3" w14:textId="77777777" w:rsidR="0069714C" w:rsidRPr="005808F4" w:rsidRDefault="0069714C" w:rsidP="0069714C">
            <w:pPr>
              <w:keepNext/>
              <w:rPr>
                <w:rFonts w:ascii="Arial" w:hAnsi="Arial" w:cs="Arial"/>
                <w:sz w:val="20"/>
                <w:szCs w:val="20"/>
              </w:rPr>
            </w:pPr>
          </w:p>
        </w:tc>
        <w:tc>
          <w:tcPr>
            <w:tcW w:w="2020" w:type="dxa"/>
            <w:tcBorders>
              <w:top w:val="nil"/>
              <w:left w:val="nil"/>
              <w:bottom w:val="nil"/>
              <w:right w:val="single" w:sz="4" w:space="0" w:color="auto"/>
            </w:tcBorders>
            <w:shd w:val="clear" w:color="000000" w:fill="BDD7EE"/>
            <w:noWrap/>
            <w:vAlign w:val="center"/>
            <w:hideMark/>
          </w:tcPr>
          <w:p w14:paraId="1525F99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beginning of event</w:t>
            </w:r>
          </w:p>
        </w:tc>
      </w:tr>
      <w:tr w:rsidR="0069714C" w:rsidRPr="005808F4" w14:paraId="26C38AA2"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B1CC10"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16</w:t>
            </w:r>
          </w:p>
        </w:tc>
        <w:tc>
          <w:tcPr>
            <w:tcW w:w="2020" w:type="dxa"/>
            <w:vMerge/>
            <w:tcBorders>
              <w:top w:val="nil"/>
              <w:left w:val="single" w:sz="4" w:space="0" w:color="auto"/>
              <w:bottom w:val="nil"/>
              <w:right w:val="single" w:sz="4" w:space="0" w:color="auto"/>
            </w:tcBorders>
            <w:vAlign w:val="center"/>
            <w:hideMark/>
          </w:tcPr>
          <w:p w14:paraId="4AEE34D7" w14:textId="77777777" w:rsidR="0069714C" w:rsidRPr="005808F4" w:rsidRDefault="0069714C" w:rsidP="0069714C">
            <w:pPr>
              <w:keepNext/>
              <w:rPr>
                <w:rFonts w:ascii="Arial" w:hAnsi="Arial" w:cs="Arial"/>
                <w:sz w:val="20"/>
                <w:szCs w:val="20"/>
              </w:rPr>
            </w:pPr>
          </w:p>
        </w:tc>
        <w:tc>
          <w:tcPr>
            <w:tcW w:w="2020" w:type="dxa"/>
            <w:vMerge w:val="restart"/>
            <w:tcBorders>
              <w:top w:val="nil"/>
              <w:left w:val="single" w:sz="4" w:space="0" w:color="auto"/>
              <w:bottom w:val="nil"/>
              <w:right w:val="single" w:sz="4" w:space="0" w:color="auto"/>
            </w:tcBorders>
            <w:shd w:val="clear" w:color="000000" w:fill="9BC2E6"/>
            <w:noWrap/>
            <w:vAlign w:val="center"/>
            <w:hideMark/>
          </w:tcPr>
          <w:p w14:paraId="2F6DEA55"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middle of event</w:t>
            </w:r>
          </w:p>
        </w:tc>
      </w:tr>
      <w:tr w:rsidR="0069714C" w:rsidRPr="005808F4" w14:paraId="4D57DB8B"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6AA34D4"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17</w:t>
            </w:r>
          </w:p>
        </w:tc>
        <w:tc>
          <w:tcPr>
            <w:tcW w:w="2020" w:type="dxa"/>
            <w:vMerge w:val="restart"/>
            <w:tcBorders>
              <w:top w:val="nil"/>
              <w:left w:val="single" w:sz="4" w:space="0" w:color="auto"/>
              <w:bottom w:val="nil"/>
              <w:right w:val="single" w:sz="4" w:space="0" w:color="auto"/>
            </w:tcBorders>
            <w:shd w:val="clear" w:color="000000" w:fill="2F75B5"/>
            <w:vAlign w:val="center"/>
            <w:hideMark/>
          </w:tcPr>
          <w:p w14:paraId="3AB989E6"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end of event</w:t>
            </w:r>
          </w:p>
        </w:tc>
        <w:tc>
          <w:tcPr>
            <w:tcW w:w="2020" w:type="dxa"/>
            <w:vMerge/>
            <w:tcBorders>
              <w:top w:val="nil"/>
              <w:left w:val="single" w:sz="4" w:space="0" w:color="auto"/>
              <w:bottom w:val="nil"/>
              <w:right w:val="single" w:sz="4" w:space="0" w:color="auto"/>
            </w:tcBorders>
            <w:vAlign w:val="center"/>
            <w:hideMark/>
          </w:tcPr>
          <w:p w14:paraId="7AEC1112" w14:textId="77777777" w:rsidR="0069714C" w:rsidRPr="005808F4" w:rsidRDefault="0069714C" w:rsidP="0069714C">
            <w:pPr>
              <w:keepNext/>
              <w:rPr>
                <w:rFonts w:ascii="Arial" w:hAnsi="Arial" w:cs="Arial"/>
                <w:sz w:val="20"/>
                <w:szCs w:val="20"/>
              </w:rPr>
            </w:pPr>
          </w:p>
        </w:tc>
      </w:tr>
      <w:tr w:rsidR="0069714C" w:rsidRPr="005808F4" w14:paraId="56F49E6E"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8E550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18</w:t>
            </w:r>
          </w:p>
        </w:tc>
        <w:tc>
          <w:tcPr>
            <w:tcW w:w="2020" w:type="dxa"/>
            <w:vMerge/>
            <w:tcBorders>
              <w:top w:val="nil"/>
              <w:left w:val="single" w:sz="4" w:space="0" w:color="auto"/>
              <w:bottom w:val="nil"/>
              <w:right w:val="single" w:sz="4" w:space="0" w:color="auto"/>
            </w:tcBorders>
            <w:vAlign w:val="center"/>
            <w:hideMark/>
          </w:tcPr>
          <w:p w14:paraId="7560350B" w14:textId="77777777" w:rsidR="0069714C" w:rsidRPr="005808F4" w:rsidRDefault="0069714C" w:rsidP="0069714C">
            <w:pPr>
              <w:keepNext/>
              <w:rPr>
                <w:rFonts w:ascii="Arial" w:hAnsi="Arial" w:cs="Arial"/>
                <w:sz w:val="20"/>
                <w:szCs w:val="20"/>
              </w:rPr>
            </w:pPr>
          </w:p>
        </w:tc>
        <w:tc>
          <w:tcPr>
            <w:tcW w:w="2020" w:type="dxa"/>
            <w:tcBorders>
              <w:top w:val="nil"/>
              <w:left w:val="nil"/>
              <w:bottom w:val="nil"/>
              <w:right w:val="single" w:sz="4" w:space="0" w:color="auto"/>
            </w:tcBorders>
            <w:shd w:val="clear" w:color="000000" w:fill="2F75B5"/>
            <w:noWrap/>
            <w:vAlign w:val="center"/>
            <w:hideMark/>
          </w:tcPr>
          <w:p w14:paraId="06DFE8DA"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end of event</w:t>
            </w:r>
          </w:p>
        </w:tc>
      </w:tr>
      <w:tr w:rsidR="0069714C" w:rsidRPr="005808F4" w14:paraId="7F831607"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6EB46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19</w:t>
            </w:r>
          </w:p>
        </w:tc>
        <w:tc>
          <w:tcPr>
            <w:tcW w:w="2020" w:type="dxa"/>
            <w:tcBorders>
              <w:top w:val="nil"/>
              <w:left w:val="nil"/>
              <w:bottom w:val="nil"/>
              <w:right w:val="single" w:sz="4" w:space="0" w:color="auto"/>
            </w:tcBorders>
            <w:shd w:val="clear" w:color="000000" w:fill="A6A6A6"/>
            <w:vAlign w:val="center"/>
            <w:hideMark/>
          </w:tcPr>
          <w:p w14:paraId="0F0AE5F3"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19</w:t>
            </w:r>
          </w:p>
        </w:tc>
        <w:tc>
          <w:tcPr>
            <w:tcW w:w="2020" w:type="dxa"/>
            <w:tcBorders>
              <w:top w:val="nil"/>
              <w:left w:val="nil"/>
              <w:bottom w:val="nil"/>
              <w:right w:val="single" w:sz="4" w:space="0" w:color="auto"/>
            </w:tcBorders>
            <w:shd w:val="clear" w:color="000000" w:fill="A6A6A6"/>
            <w:vAlign w:val="center"/>
            <w:hideMark/>
          </w:tcPr>
          <w:p w14:paraId="302466A8"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19</w:t>
            </w:r>
          </w:p>
        </w:tc>
      </w:tr>
      <w:tr w:rsidR="0069714C" w:rsidRPr="005808F4" w14:paraId="08FE50ED"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2F10EAD"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20</w:t>
            </w:r>
          </w:p>
        </w:tc>
        <w:tc>
          <w:tcPr>
            <w:tcW w:w="2020" w:type="dxa"/>
            <w:tcBorders>
              <w:top w:val="nil"/>
              <w:left w:val="nil"/>
              <w:bottom w:val="nil"/>
              <w:right w:val="single" w:sz="4" w:space="0" w:color="auto"/>
            </w:tcBorders>
            <w:shd w:val="clear" w:color="000000" w:fill="A6A6A6"/>
            <w:vAlign w:val="center"/>
            <w:hideMark/>
          </w:tcPr>
          <w:p w14:paraId="54CCFC4E"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20</w:t>
            </w:r>
          </w:p>
        </w:tc>
        <w:tc>
          <w:tcPr>
            <w:tcW w:w="2020" w:type="dxa"/>
            <w:tcBorders>
              <w:top w:val="nil"/>
              <w:left w:val="nil"/>
              <w:bottom w:val="nil"/>
              <w:right w:val="single" w:sz="4" w:space="0" w:color="auto"/>
            </w:tcBorders>
            <w:shd w:val="clear" w:color="000000" w:fill="A6A6A6"/>
            <w:vAlign w:val="center"/>
            <w:hideMark/>
          </w:tcPr>
          <w:p w14:paraId="56F82708"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20</w:t>
            </w:r>
          </w:p>
        </w:tc>
      </w:tr>
      <w:tr w:rsidR="0069714C" w:rsidRPr="005808F4" w14:paraId="32C8569D"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73409B"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21</w:t>
            </w:r>
          </w:p>
        </w:tc>
        <w:tc>
          <w:tcPr>
            <w:tcW w:w="2020" w:type="dxa"/>
            <w:tcBorders>
              <w:top w:val="nil"/>
              <w:left w:val="nil"/>
              <w:bottom w:val="nil"/>
              <w:right w:val="single" w:sz="4" w:space="0" w:color="auto"/>
            </w:tcBorders>
            <w:shd w:val="clear" w:color="000000" w:fill="A6A6A6"/>
            <w:vAlign w:val="center"/>
            <w:hideMark/>
          </w:tcPr>
          <w:p w14:paraId="2382501B"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21</w:t>
            </w:r>
          </w:p>
        </w:tc>
        <w:tc>
          <w:tcPr>
            <w:tcW w:w="2020" w:type="dxa"/>
            <w:tcBorders>
              <w:top w:val="nil"/>
              <w:left w:val="nil"/>
              <w:bottom w:val="nil"/>
              <w:right w:val="single" w:sz="4" w:space="0" w:color="auto"/>
            </w:tcBorders>
            <w:shd w:val="clear" w:color="000000" w:fill="A6A6A6"/>
            <w:vAlign w:val="center"/>
            <w:hideMark/>
          </w:tcPr>
          <w:p w14:paraId="5947CE75"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21</w:t>
            </w:r>
          </w:p>
        </w:tc>
      </w:tr>
      <w:tr w:rsidR="0069714C" w:rsidRPr="005808F4" w14:paraId="1149979E"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AFA565"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22</w:t>
            </w:r>
          </w:p>
        </w:tc>
        <w:tc>
          <w:tcPr>
            <w:tcW w:w="2020" w:type="dxa"/>
            <w:tcBorders>
              <w:top w:val="nil"/>
              <w:left w:val="nil"/>
              <w:bottom w:val="nil"/>
              <w:right w:val="single" w:sz="4" w:space="0" w:color="auto"/>
            </w:tcBorders>
            <w:shd w:val="clear" w:color="000000" w:fill="A6A6A6"/>
            <w:vAlign w:val="center"/>
            <w:hideMark/>
          </w:tcPr>
          <w:p w14:paraId="4F68DDCB"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22</w:t>
            </w:r>
          </w:p>
        </w:tc>
        <w:tc>
          <w:tcPr>
            <w:tcW w:w="2020" w:type="dxa"/>
            <w:tcBorders>
              <w:top w:val="nil"/>
              <w:left w:val="nil"/>
              <w:bottom w:val="nil"/>
              <w:right w:val="single" w:sz="4" w:space="0" w:color="auto"/>
            </w:tcBorders>
            <w:shd w:val="clear" w:color="000000" w:fill="A6A6A6"/>
            <w:vAlign w:val="center"/>
            <w:hideMark/>
          </w:tcPr>
          <w:p w14:paraId="0511A73E"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22</w:t>
            </w:r>
          </w:p>
        </w:tc>
      </w:tr>
      <w:tr w:rsidR="0069714C" w:rsidRPr="005808F4" w14:paraId="7EB31A16"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4A54AD"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23</w:t>
            </w:r>
          </w:p>
        </w:tc>
        <w:tc>
          <w:tcPr>
            <w:tcW w:w="2020" w:type="dxa"/>
            <w:tcBorders>
              <w:top w:val="nil"/>
              <w:left w:val="nil"/>
              <w:bottom w:val="nil"/>
              <w:right w:val="single" w:sz="4" w:space="0" w:color="auto"/>
            </w:tcBorders>
            <w:shd w:val="clear" w:color="000000" w:fill="A6A6A6"/>
            <w:vAlign w:val="center"/>
            <w:hideMark/>
          </w:tcPr>
          <w:p w14:paraId="719F473D"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23</w:t>
            </w:r>
          </w:p>
        </w:tc>
        <w:tc>
          <w:tcPr>
            <w:tcW w:w="2020" w:type="dxa"/>
            <w:tcBorders>
              <w:top w:val="nil"/>
              <w:left w:val="nil"/>
              <w:bottom w:val="nil"/>
              <w:right w:val="single" w:sz="4" w:space="0" w:color="auto"/>
            </w:tcBorders>
            <w:shd w:val="clear" w:color="000000" w:fill="A6A6A6"/>
            <w:vAlign w:val="center"/>
            <w:hideMark/>
          </w:tcPr>
          <w:p w14:paraId="067CD990"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23</w:t>
            </w:r>
          </w:p>
        </w:tc>
      </w:tr>
      <w:tr w:rsidR="0069714C" w:rsidRPr="005808F4" w14:paraId="7D52A041" w14:textId="77777777" w:rsidTr="0069714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FCC7B6"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24</w:t>
            </w:r>
          </w:p>
        </w:tc>
        <w:tc>
          <w:tcPr>
            <w:tcW w:w="2020" w:type="dxa"/>
            <w:tcBorders>
              <w:top w:val="nil"/>
              <w:left w:val="nil"/>
              <w:bottom w:val="single" w:sz="4" w:space="0" w:color="auto"/>
              <w:right w:val="single" w:sz="4" w:space="0" w:color="auto"/>
            </w:tcBorders>
            <w:shd w:val="clear" w:color="000000" w:fill="A6A6A6"/>
            <w:vAlign w:val="center"/>
            <w:hideMark/>
          </w:tcPr>
          <w:p w14:paraId="7786658F"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24</w:t>
            </w:r>
          </w:p>
        </w:tc>
        <w:tc>
          <w:tcPr>
            <w:tcW w:w="2020" w:type="dxa"/>
            <w:tcBorders>
              <w:top w:val="nil"/>
              <w:left w:val="nil"/>
              <w:bottom w:val="single" w:sz="4" w:space="0" w:color="auto"/>
              <w:right w:val="single" w:sz="4" w:space="0" w:color="auto"/>
            </w:tcBorders>
            <w:shd w:val="clear" w:color="000000" w:fill="A6A6A6"/>
            <w:vAlign w:val="center"/>
            <w:hideMark/>
          </w:tcPr>
          <w:p w14:paraId="79F313FC" w14:textId="77777777" w:rsidR="0069714C" w:rsidRPr="005808F4" w:rsidRDefault="0069714C" w:rsidP="0069714C">
            <w:pPr>
              <w:keepNext/>
              <w:jc w:val="center"/>
              <w:rPr>
                <w:rFonts w:ascii="Arial" w:hAnsi="Arial" w:cs="Arial"/>
                <w:sz w:val="20"/>
                <w:szCs w:val="20"/>
              </w:rPr>
            </w:pPr>
            <w:r w:rsidRPr="005808F4">
              <w:rPr>
                <w:rFonts w:ascii="Arial" w:hAnsi="Arial" w:cs="Arial"/>
                <w:sz w:val="20"/>
                <w:szCs w:val="20"/>
              </w:rPr>
              <w:t>hour-ending 24</w:t>
            </w:r>
          </w:p>
        </w:tc>
      </w:tr>
    </w:tbl>
    <w:p w14:paraId="13AEF7F9" w14:textId="77777777" w:rsidR="0069714C" w:rsidRPr="00875EF4" w:rsidRDefault="0069714C" w:rsidP="00D3527F"/>
    <w:p w14:paraId="78E6766E" w14:textId="77777777" w:rsidR="00D3527F" w:rsidRDefault="00D3527F" w:rsidP="00D3527F">
      <w:pPr>
        <w:pStyle w:val="Heading3"/>
        <w:numPr>
          <w:ilvl w:val="2"/>
          <w:numId w:val="43"/>
        </w:numPr>
      </w:pPr>
      <w:bookmarkStart w:id="472" w:name="_Toc507425156"/>
      <w:bookmarkStart w:id="473" w:name="_Toc509837343"/>
      <w:r>
        <w:t>Large Customers</w:t>
      </w:r>
      <w:bookmarkEnd w:id="472"/>
      <w:bookmarkEnd w:id="473"/>
    </w:p>
    <w:p w14:paraId="3C5A5CC9" w14:textId="32F20DEA" w:rsidR="00D3527F" w:rsidRDefault="00D3527F" w:rsidP="00D3527F">
      <w:pPr>
        <w:spacing w:after="120"/>
        <w:rPr>
          <w:szCs w:val="32"/>
        </w:rPr>
      </w:pPr>
      <w:r>
        <w:rPr>
          <w:szCs w:val="32"/>
        </w:rPr>
        <w:fldChar w:fldCharType="begin"/>
      </w:r>
      <w:r>
        <w:rPr>
          <w:szCs w:val="32"/>
        </w:rPr>
        <w:instrText xml:space="preserve"> REF _Ref507485041 \h </w:instrText>
      </w:r>
      <w:r>
        <w:rPr>
          <w:szCs w:val="32"/>
        </w:rPr>
      </w:r>
      <w:r>
        <w:rPr>
          <w:szCs w:val="32"/>
        </w:rPr>
        <w:fldChar w:fldCharType="separate"/>
      </w:r>
      <w:r w:rsidR="005D5C7C">
        <w:t xml:space="preserve">Figure </w:t>
      </w:r>
      <w:r w:rsidR="005D5C7C">
        <w:rPr>
          <w:noProof/>
        </w:rPr>
        <w:t>5</w:t>
      </w:r>
      <w:r w:rsidR="005D5C7C">
        <w:t>.</w:t>
      </w:r>
      <w:r w:rsidR="005D5C7C">
        <w:rPr>
          <w:noProof/>
        </w:rPr>
        <w:t>7</w:t>
      </w:r>
      <w:r>
        <w:rPr>
          <w:szCs w:val="32"/>
        </w:rPr>
        <w:fldChar w:fldCharType="end"/>
      </w:r>
      <w:r>
        <w:rPr>
          <w:szCs w:val="32"/>
        </w:rPr>
        <w:t xml:space="preserve"> summarizes SDG&amp;E’s enrollment forecast for large customers. The enrollments exclude any customers dually enrolled in SCTD. SDG&amp;E anticipates an average increase in large customers of about 2% </w:t>
      </w:r>
      <w:r w:rsidR="0097467C">
        <w:rPr>
          <w:szCs w:val="32"/>
        </w:rPr>
        <w:t xml:space="preserve">per </w:t>
      </w:r>
      <w:r>
        <w:rPr>
          <w:szCs w:val="32"/>
        </w:rPr>
        <w:t xml:space="preserve">year after 2018. </w:t>
      </w:r>
    </w:p>
    <w:p w14:paraId="71A66A8D" w14:textId="28894859" w:rsidR="00D3527F" w:rsidRPr="00FD2638" w:rsidRDefault="00D3527F" w:rsidP="00D3527F">
      <w:pPr>
        <w:pStyle w:val="FigureCaption"/>
      </w:pPr>
      <w:bookmarkStart w:id="474" w:name="_Ref507485041"/>
      <w:bookmarkStart w:id="475" w:name="_Toc509837512"/>
      <w:r>
        <w:lastRenderedPageBreak/>
        <w:t xml:space="preserve">Figure </w:t>
      </w:r>
      <w:fldSimple w:instr=" STYLEREF 1 \s ">
        <w:r w:rsidR="005D5C7C">
          <w:rPr>
            <w:noProof/>
          </w:rPr>
          <w:t>5</w:t>
        </w:r>
      </w:fldSimple>
      <w:r>
        <w:t>.</w:t>
      </w:r>
      <w:fldSimple w:instr=" SEQ Figure \* ARABIC \s 1 ">
        <w:r w:rsidR="005D5C7C">
          <w:rPr>
            <w:noProof/>
          </w:rPr>
          <w:t>7</w:t>
        </w:r>
      </w:fldSimple>
      <w:bookmarkEnd w:id="474"/>
      <w:r>
        <w:t xml:space="preserve">: CPP Enrollments, </w:t>
      </w:r>
      <w:r>
        <w:rPr>
          <w:i/>
        </w:rPr>
        <w:t>SDG&amp;E Large</w:t>
      </w:r>
      <w:bookmarkEnd w:id="475"/>
    </w:p>
    <w:p w14:paraId="185293C5" w14:textId="77777777" w:rsidR="00D3527F" w:rsidRDefault="00D3527F" w:rsidP="00D3527F">
      <w:pPr>
        <w:spacing w:after="120"/>
        <w:jc w:val="center"/>
        <w:rPr>
          <w:szCs w:val="32"/>
        </w:rPr>
      </w:pPr>
      <w:r>
        <w:rPr>
          <w:noProof/>
          <w:szCs w:val="32"/>
        </w:rPr>
        <w:drawing>
          <wp:inline distT="0" distB="0" distL="0" distR="0" wp14:anchorId="3F4D4D05" wp14:editId="1390803A">
            <wp:extent cx="4572635" cy="27432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32FB9973" w14:textId="613AC0D0" w:rsidR="00D3527F" w:rsidRDefault="00D3527F" w:rsidP="00D3527F">
      <w:r>
        <w:fldChar w:fldCharType="begin"/>
      </w:r>
      <w:r>
        <w:instrText xml:space="preserve"> REF _Ref507485561 \h </w:instrText>
      </w:r>
      <w:r>
        <w:fldChar w:fldCharType="separate"/>
      </w:r>
      <w:r w:rsidR="005D5C7C">
        <w:t xml:space="preserve">Figure </w:t>
      </w:r>
      <w:r w:rsidR="005D5C7C">
        <w:rPr>
          <w:noProof/>
        </w:rPr>
        <w:t>5</w:t>
      </w:r>
      <w:r w:rsidR="005D5C7C">
        <w:t>.</w:t>
      </w:r>
      <w:r w:rsidR="005D5C7C">
        <w:rPr>
          <w:noProof/>
        </w:rPr>
        <w:t>8</w:t>
      </w:r>
      <w:r>
        <w:fldChar w:fldCharType="end"/>
      </w:r>
      <w:r>
        <w:t xml:space="preserve"> illustrates the aggregate reference loads, observed loads, and load impacts for large customers on the </w:t>
      </w:r>
      <w:r w:rsidR="009215C9">
        <w:t>average weekday</w:t>
      </w:r>
      <w:r>
        <w:t xml:space="preserve"> event in August in 2022 for the SDG&amp;E 1-in-2 weather scenario. The shape of the </w:t>
      </w:r>
      <w:r w:rsidRPr="003B39B5">
        <w:rPr>
          <w:i/>
        </w:rPr>
        <w:t>ex-ante</w:t>
      </w:r>
      <w:r>
        <w:t xml:space="preserve"> loads and load impacts is </w:t>
      </w:r>
      <w:proofErr w:type="gramStart"/>
      <w:r>
        <w:t>similar to</w:t>
      </w:r>
      <w:proofErr w:type="gramEnd"/>
      <w:r>
        <w:t xml:space="preserve"> the </w:t>
      </w:r>
      <w:r w:rsidRPr="003B39B5">
        <w:rPr>
          <w:i/>
        </w:rPr>
        <w:t>ex-post</w:t>
      </w:r>
      <w:r>
        <w:t xml:space="preserve"> results in </w:t>
      </w:r>
      <w:r>
        <w:fldChar w:fldCharType="begin"/>
      </w:r>
      <w:r>
        <w:instrText xml:space="preserve"> REF _Ref507430853 \h </w:instrText>
      </w:r>
      <w:r>
        <w:fldChar w:fldCharType="separate"/>
      </w:r>
      <w:r w:rsidR="005D5C7C">
        <w:t xml:space="preserve">Figure </w:t>
      </w:r>
      <w:r w:rsidR="005D5C7C">
        <w:rPr>
          <w:noProof/>
        </w:rPr>
        <w:t>5</w:t>
      </w:r>
      <w:r w:rsidR="005D5C7C">
        <w:t>.</w:t>
      </w:r>
      <w:r w:rsidR="005D5C7C">
        <w:rPr>
          <w:noProof/>
        </w:rPr>
        <w:t>2</w:t>
      </w:r>
      <w:r>
        <w:fldChar w:fldCharType="end"/>
      </w:r>
      <w:r>
        <w:t xml:space="preserve">, while the magnitudes are slightly larger because of the larger reference loads. The duration of the event-hours has also been reduced by three hours (from 11:00 a.m. to 6:00 p.m. in </w:t>
      </w:r>
      <w:r>
        <w:rPr>
          <w:i/>
        </w:rPr>
        <w:t>ex-post</w:t>
      </w:r>
      <w:r>
        <w:t xml:space="preserve"> to 2:00 p.m. to 6:00 p.m. in </w:t>
      </w:r>
      <w:r>
        <w:rPr>
          <w:i/>
        </w:rPr>
        <w:t>ex-ante</w:t>
      </w:r>
      <w:r>
        <w:t xml:space="preserve">). The forecast predicts an average load impact of 18.9 MWh/hour for large customers on the </w:t>
      </w:r>
      <w:r w:rsidR="001958B4">
        <w:t>average weekday event</w:t>
      </w:r>
      <w:r>
        <w:t xml:space="preserve"> in 2022 for the SDG&amp;E 1-in-2 weather scenario, which is a 4.3 percent reduction in reference loads.</w:t>
      </w:r>
    </w:p>
    <w:p w14:paraId="793AA30C" w14:textId="77777777" w:rsidR="00D3527F" w:rsidRDefault="00D3527F" w:rsidP="00D3527F">
      <w:pPr>
        <w:spacing w:after="120"/>
        <w:rPr>
          <w:szCs w:val="32"/>
        </w:rPr>
      </w:pPr>
    </w:p>
    <w:p w14:paraId="598DEE22" w14:textId="5269BFBB" w:rsidR="00D3527F" w:rsidRPr="00D66193" w:rsidRDefault="00D3527F" w:rsidP="00D3527F">
      <w:pPr>
        <w:pStyle w:val="FigureCaption"/>
        <w:rPr>
          <w:i/>
        </w:rPr>
      </w:pPr>
      <w:bookmarkStart w:id="476" w:name="_Ref507485561"/>
      <w:bookmarkStart w:id="477" w:name="_Toc509837513"/>
      <w:r>
        <w:t xml:space="preserve">Figure </w:t>
      </w:r>
      <w:fldSimple w:instr=" STYLEREF 1 \s ">
        <w:r w:rsidR="005D5C7C">
          <w:rPr>
            <w:noProof/>
          </w:rPr>
          <w:t>5</w:t>
        </w:r>
      </w:fldSimple>
      <w:r>
        <w:t>.</w:t>
      </w:r>
      <w:fldSimple w:instr=" SEQ Figure \* ARABIC \s 1 ">
        <w:r w:rsidR="005D5C7C">
          <w:rPr>
            <w:noProof/>
          </w:rPr>
          <w:t>8</w:t>
        </w:r>
      </w:fldSimple>
      <w:bookmarkEnd w:id="476"/>
      <w:r>
        <w:t xml:space="preserve">: Aggregate Hourly Loads and Load Impacts in 2022 for </w:t>
      </w:r>
      <w:r>
        <w:rPr>
          <w:i/>
        </w:rPr>
        <w:t>SDG&amp;E 1-in-2</w:t>
      </w:r>
      <w:r>
        <w:rPr>
          <w:i/>
        </w:rPr>
        <w:br/>
        <w:t xml:space="preserve"> </w:t>
      </w:r>
      <w:r w:rsidR="009215C9">
        <w:rPr>
          <w:i/>
        </w:rPr>
        <w:t>Average Weekday</w:t>
      </w:r>
      <w:r>
        <w:rPr>
          <w:i/>
        </w:rPr>
        <w:t xml:space="preserve"> Event, SDG&amp;E Large</w:t>
      </w:r>
      <w:bookmarkEnd w:id="477"/>
    </w:p>
    <w:p w14:paraId="34F5620C" w14:textId="77777777" w:rsidR="00D3527F" w:rsidRDefault="00D3527F" w:rsidP="00D3527F">
      <w:pPr>
        <w:spacing w:after="120"/>
        <w:jc w:val="center"/>
        <w:rPr>
          <w:szCs w:val="32"/>
        </w:rPr>
      </w:pPr>
      <w:r>
        <w:rPr>
          <w:noProof/>
          <w:szCs w:val="32"/>
        </w:rPr>
        <w:drawing>
          <wp:inline distT="0" distB="0" distL="0" distR="0" wp14:anchorId="2993E885" wp14:editId="2A4BF9AE">
            <wp:extent cx="4572635" cy="2743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0991F0D0" w14:textId="08F23C9D" w:rsidR="0097467C" w:rsidRDefault="00D3527F" w:rsidP="00D3527F">
      <w:pPr>
        <w:spacing w:after="120"/>
        <w:rPr>
          <w:szCs w:val="32"/>
        </w:rPr>
      </w:pPr>
      <w:r>
        <w:rPr>
          <w:szCs w:val="32"/>
        </w:rPr>
        <w:lastRenderedPageBreak/>
        <w:fldChar w:fldCharType="begin"/>
      </w:r>
      <w:r>
        <w:rPr>
          <w:szCs w:val="32"/>
        </w:rPr>
        <w:instrText xml:space="preserve"> REF _Ref507486145 \h </w:instrText>
      </w:r>
      <w:r>
        <w:rPr>
          <w:szCs w:val="32"/>
        </w:rPr>
      </w:r>
      <w:r>
        <w:rPr>
          <w:szCs w:val="32"/>
        </w:rPr>
        <w:fldChar w:fldCharType="separate"/>
      </w:r>
      <w:r w:rsidR="005D5C7C">
        <w:t xml:space="preserve">Figure </w:t>
      </w:r>
      <w:r w:rsidR="005D5C7C">
        <w:rPr>
          <w:noProof/>
        </w:rPr>
        <w:t>5</w:t>
      </w:r>
      <w:r w:rsidR="005D5C7C">
        <w:t>.</w:t>
      </w:r>
      <w:r w:rsidR="005D5C7C">
        <w:rPr>
          <w:noProof/>
        </w:rPr>
        <w:t>9</w:t>
      </w:r>
      <w:r>
        <w:rPr>
          <w:szCs w:val="32"/>
        </w:rPr>
        <w:fldChar w:fldCharType="end"/>
      </w:r>
      <w:r>
        <w:rPr>
          <w:szCs w:val="32"/>
        </w:rPr>
        <w:t xml:space="preserve"> </w:t>
      </w:r>
      <w:r w:rsidR="0097467C">
        <w:rPr>
          <w:szCs w:val="32"/>
        </w:rPr>
        <w:t>illustrates the seasonality in the forecasted</w:t>
      </w:r>
      <w:r w:rsidR="0097467C" w:rsidRPr="00703D32">
        <w:rPr>
          <w:i/>
          <w:szCs w:val="32"/>
        </w:rPr>
        <w:t xml:space="preserve"> </w:t>
      </w:r>
      <w:r w:rsidR="0097467C">
        <w:rPr>
          <w:szCs w:val="32"/>
        </w:rPr>
        <w:t xml:space="preserve">load impacts by comparing aggregate load impacts for the average hour in the Resource Adequacy (RA) window in 2022 across months for SDG&amp;E’s 1-in-2 peak day weather scenario. The RA window is 1 to 6 p.m. from April through October and 4 to 9 p.m. for the remainder of the year. The lower load impacts from November through March are largely </w:t>
      </w:r>
      <w:proofErr w:type="gramStart"/>
      <w:r w:rsidR="0097467C">
        <w:rPr>
          <w:szCs w:val="32"/>
        </w:rPr>
        <w:t>due to the fact that</w:t>
      </w:r>
      <w:proofErr w:type="gramEnd"/>
      <w:r w:rsidR="0097467C">
        <w:rPr>
          <w:szCs w:val="32"/>
        </w:rPr>
        <w:t xml:space="preserve"> the RA window in those months includes three hours that are not </w:t>
      </w:r>
      <w:r w:rsidR="00E5088D">
        <w:rPr>
          <w:szCs w:val="32"/>
        </w:rPr>
        <w:t>CPP</w:t>
      </w:r>
      <w:r w:rsidR="0097467C">
        <w:rPr>
          <w:szCs w:val="32"/>
        </w:rPr>
        <w:t xml:space="preserve"> event hours, where the summer RA window includes only one such hour. The load impact is highest in September (</w:t>
      </w:r>
      <w:r w:rsidR="00E5088D">
        <w:rPr>
          <w:szCs w:val="32"/>
        </w:rPr>
        <w:t>17.8</w:t>
      </w:r>
      <w:r w:rsidR="0097467C">
        <w:rPr>
          <w:szCs w:val="32"/>
        </w:rPr>
        <w:t xml:space="preserve"> MWh/hour) and lowest in </w:t>
      </w:r>
      <w:r w:rsidR="00E5088D">
        <w:rPr>
          <w:szCs w:val="32"/>
        </w:rPr>
        <w:t>December</w:t>
      </w:r>
      <w:r w:rsidR="0097467C">
        <w:rPr>
          <w:szCs w:val="32"/>
        </w:rPr>
        <w:t xml:space="preserve"> (</w:t>
      </w:r>
      <w:r w:rsidR="00E5088D">
        <w:rPr>
          <w:szCs w:val="32"/>
        </w:rPr>
        <w:t>7.8</w:t>
      </w:r>
      <w:r w:rsidR="0097467C">
        <w:rPr>
          <w:szCs w:val="32"/>
        </w:rPr>
        <w:t xml:space="preserve"> MWh/hour).</w:t>
      </w:r>
    </w:p>
    <w:p w14:paraId="77709D4F" w14:textId="77777777" w:rsidR="00D3527F" w:rsidRDefault="00D3527F" w:rsidP="00D3527F">
      <w:pPr>
        <w:spacing w:after="120"/>
        <w:rPr>
          <w:szCs w:val="32"/>
        </w:rPr>
      </w:pPr>
    </w:p>
    <w:p w14:paraId="364FDBEE" w14:textId="3248AECF" w:rsidR="00D3527F" w:rsidRPr="0016568D" w:rsidRDefault="00D3527F" w:rsidP="00D3527F">
      <w:pPr>
        <w:pStyle w:val="FigureCaption"/>
        <w:rPr>
          <w:i/>
        </w:rPr>
      </w:pPr>
      <w:bookmarkStart w:id="478" w:name="_Ref507486145"/>
      <w:bookmarkStart w:id="479" w:name="_Toc509837514"/>
      <w:r>
        <w:t xml:space="preserve">Figure </w:t>
      </w:r>
      <w:fldSimple w:instr=" STYLEREF 1 \s ">
        <w:r w:rsidR="005D5C7C">
          <w:rPr>
            <w:noProof/>
          </w:rPr>
          <w:t>5</w:t>
        </w:r>
      </w:fldSimple>
      <w:r>
        <w:t>.</w:t>
      </w:r>
      <w:fldSimple w:instr=" SEQ Figure \* ARABIC \s 1 ">
        <w:r w:rsidR="005D5C7C">
          <w:rPr>
            <w:noProof/>
          </w:rPr>
          <w:t>9</w:t>
        </w:r>
      </w:fldSimple>
      <w:bookmarkEnd w:id="478"/>
      <w:r>
        <w:t xml:space="preserve">: Aggregate Load Impacts by Month over RA Window in 2022 for </w:t>
      </w:r>
      <w:r>
        <w:br/>
      </w:r>
      <w:r>
        <w:rPr>
          <w:i/>
        </w:rPr>
        <w:t>SDG&amp;E 1-in-2 Peak Day, SDG&amp;E Large</w:t>
      </w:r>
      <w:bookmarkEnd w:id="479"/>
    </w:p>
    <w:p w14:paraId="30B51998" w14:textId="171A3E33" w:rsidR="00D3527F" w:rsidRDefault="006D72A4" w:rsidP="00D3527F">
      <w:pPr>
        <w:spacing w:after="120"/>
        <w:jc w:val="center"/>
        <w:rPr>
          <w:szCs w:val="32"/>
        </w:rPr>
      </w:pPr>
      <w:r>
        <w:rPr>
          <w:noProof/>
          <w:szCs w:val="32"/>
        </w:rPr>
        <w:drawing>
          <wp:inline distT="0" distB="0" distL="0" distR="0" wp14:anchorId="122D104A" wp14:editId="64D0DA41">
            <wp:extent cx="4572635" cy="27432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2EA3B7C8" w14:textId="77777777" w:rsidR="00D3527F" w:rsidRDefault="00D3527F" w:rsidP="00D3527F">
      <w:pPr>
        <w:spacing w:after="120"/>
        <w:jc w:val="center"/>
        <w:rPr>
          <w:szCs w:val="32"/>
        </w:rPr>
      </w:pPr>
    </w:p>
    <w:p w14:paraId="59CE4C25" w14:textId="4C5136A6" w:rsidR="00D3527F" w:rsidRDefault="00D3527F" w:rsidP="00D3527F">
      <w:pPr>
        <w:spacing w:after="120"/>
        <w:rPr>
          <w:szCs w:val="32"/>
        </w:rPr>
      </w:pPr>
      <w:r>
        <w:rPr>
          <w:szCs w:val="32"/>
        </w:rPr>
        <w:fldChar w:fldCharType="begin"/>
      </w:r>
      <w:r>
        <w:rPr>
          <w:szCs w:val="32"/>
        </w:rPr>
        <w:instrText xml:space="preserve"> REF _Ref507488142 \h </w:instrText>
      </w:r>
      <w:r>
        <w:rPr>
          <w:szCs w:val="32"/>
        </w:rPr>
      </w:r>
      <w:r>
        <w:rPr>
          <w:szCs w:val="32"/>
        </w:rPr>
        <w:fldChar w:fldCharType="separate"/>
      </w:r>
      <w:r w:rsidR="005D5C7C">
        <w:t xml:space="preserve">Figure </w:t>
      </w:r>
      <w:r w:rsidR="005D5C7C">
        <w:rPr>
          <w:noProof/>
        </w:rPr>
        <w:t>5</w:t>
      </w:r>
      <w:r w:rsidR="005D5C7C">
        <w:t>.</w:t>
      </w:r>
      <w:r w:rsidR="005D5C7C">
        <w:rPr>
          <w:noProof/>
        </w:rPr>
        <w:t>10</w:t>
      </w:r>
      <w:r>
        <w:rPr>
          <w:szCs w:val="32"/>
        </w:rPr>
        <w:fldChar w:fldCharType="end"/>
      </w:r>
      <w:r>
        <w:rPr>
          <w:szCs w:val="32"/>
        </w:rPr>
        <w:t xml:space="preserve"> </w:t>
      </w:r>
      <w:r w:rsidR="00667FBC">
        <w:rPr>
          <w:szCs w:val="32"/>
        </w:rPr>
        <w:t xml:space="preserve">shows the change in load impacts over time and across weather scenarios. Each value is the aggregate load impact during the RA window of the </w:t>
      </w:r>
      <w:r w:rsidR="009215C9">
        <w:rPr>
          <w:szCs w:val="32"/>
        </w:rPr>
        <w:t>average weekday</w:t>
      </w:r>
      <w:r w:rsidR="00667FBC">
        <w:rPr>
          <w:szCs w:val="32"/>
        </w:rPr>
        <w:t xml:space="preserve"> event. </w:t>
      </w:r>
      <w:r>
        <w:rPr>
          <w:szCs w:val="32"/>
        </w:rPr>
        <w:t>Load impacts increase over time because of increases in enrollments. As expected, the largest load impacts occur for the SDG&amp;E 1-in-10 weather year while the lowest load impacts occur during the CAISO 1-in-2 weather year. Nonetheless, the range of difference in load impacts between weather scenarios is about 1.1 MWh/hour.</w:t>
      </w:r>
    </w:p>
    <w:p w14:paraId="5A4C1523" w14:textId="77777777" w:rsidR="00D3527F" w:rsidRDefault="00D3527F" w:rsidP="00D3527F">
      <w:pPr>
        <w:spacing w:after="120"/>
        <w:rPr>
          <w:szCs w:val="32"/>
        </w:rPr>
      </w:pPr>
    </w:p>
    <w:p w14:paraId="33D3B68F" w14:textId="6DFD58D7" w:rsidR="00D3527F" w:rsidRPr="0029418E" w:rsidRDefault="00D3527F" w:rsidP="00D3527F">
      <w:pPr>
        <w:pStyle w:val="FigureCaption"/>
      </w:pPr>
      <w:bookmarkStart w:id="480" w:name="_Ref507488142"/>
      <w:bookmarkStart w:id="481" w:name="_Toc509837515"/>
      <w:r>
        <w:lastRenderedPageBreak/>
        <w:t xml:space="preserve">Figure </w:t>
      </w:r>
      <w:fldSimple w:instr=" STYLEREF 1 \s ">
        <w:r w:rsidR="005D5C7C">
          <w:rPr>
            <w:noProof/>
          </w:rPr>
          <w:t>5</w:t>
        </w:r>
      </w:fldSimple>
      <w:r>
        <w:t>.</w:t>
      </w:r>
      <w:fldSimple w:instr=" SEQ Figure \* ARABIC \s 1 ">
        <w:r w:rsidR="005D5C7C">
          <w:rPr>
            <w:noProof/>
          </w:rPr>
          <w:t>10</w:t>
        </w:r>
      </w:fldSimple>
      <w:bookmarkEnd w:id="480"/>
      <w:r>
        <w:t xml:space="preserve">: Aggregate Load Impacts for </w:t>
      </w:r>
      <w:r w:rsidR="009215C9">
        <w:t>Average Weekday</w:t>
      </w:r>
      <w:r w:rsidR="00515724">
        <w:t xml:space="preserve"> Event </w:t>
      </w:r>
      <w:r>
        <w:t xml:space="preserve">by Year and Weather Scenario over RA Window, </w:t>
      </w:r>
      <w:r>
        <w:rPr>
          <w:i/>
        </w:rPr>
        <w:t>SDG&amp;E Large</w:t>
      </w:r>
      <w:bookmarkEnd w:id="481"/>
    </w:p>
    <w:p w14:paraId="5C0F536E" w14:textId="77777777" w:rsidR="00D3527F" w:rsidRDefault="00D3527F" w:rsidP="00D3527F">
      <w:pPr>
        <w:spacing w:after="120"/>
        <w:jc w:val="center"/>
        <w:rPr>
          <w:szCs w:val="32"/>
        </w:rPr>
      </w:pPr>
      <w:r>
        <w:rPr>
          <w:noProof/>
          <w:szCs w:val="32"/>
        </w:rPr>
        <w:drawing>
          <wp:inline distT="0" distB="0" distL="0" distR="0" wp14:anchorId="69D2CF8D" wp14:editId="577134A7">
            <wp:extent cx="4572635" cy="2743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530087BD" w14:textId="77777777" w:rsidR="00D3527F" w:rsidRDefault="00D3527F" w:rsidP="00D3527F">
      <w:pPr>
        <w:spacing w:after="120"/>
        <w:rPr>
          <w:szCs w:val="32"/>
        </w:rPr>
      </w:pPr>
    </w:p>
    <w:p w14:paraId="56644343" w14:textId="77777777" w:rsidR="00D3527F" w:rsidRDefault="00D3527F" w:rsidP="00D3527F">
      <w:pPr>
        <w:pStyle w:val="Heading3"/>
        <w:numPr>
          <w:ilvl w:val="2"/>
          <w:numId w:val="43"/>
        </w:numPr>
      </w:pPr>
      <w:bookmarkStart w:id="482" w:name="_Toc507425157"/>
      <w:bookmarkStart w:id="483" w:name="_Toc509837344"/>
      <w:r>
        <w:t>Medium Customers</w:t>
      </w:r>
      <w:bookmarkEnd w:id="482"/>
      <w:bookmarkEnd w:id="483"/>
    </w:p>
    <w:p w14:paraId="5F7546DE" w14:textId="1922013F" w:rsidR="00D3527F" w:rsidRDefault="00D3527F" w:rsidP="00D3527F">
      <w:pPr>
        <w:spacing w:after="120"/>
        <w:rPr>
          <w:szCs w:val="32"/>
        </w:rPr>
      </w:pPr>
      <w:r>
        <w:rPr>
          <w:szCs w:val="32"/>
        </w:rPr>
        <w:fldChar w:fldCharType="begin"/>
      </w:r>
      <w:r>
        <w:rPr>
          <w:szCs w:val="32"/>
        </w:rPr>
        <w:instrText xml:space="preserve"> REF _Ref507488694 \h </w:instrText>
      </w:r>
      <w:r>
        <w:rPr>
          <w:szCs w:val="32"/>
        </w:rPr>
      </w:r>
      <w:r>
        <w:rPr>
          <w:szCs w:val="32"/>
        </w:rPr>
        <w:fldChar w:fldCharType="separate"/>
      </w:r>
      <w:r w:rsidR="005D5C7C">
        <w:t xml:space="preserve">Figure </w:t>
      </w:r>
      <w:r w:rsidR="005D5C7C">
        <w:rPr>
          <w:noProof/>
        </w:rPr>
        <w:t>5</w:t>
      </w:r>
      <w:r w:rsidR="005D5C7C">
        <w:t>.</w:t>
      </w:r>
      <w:r w:rsidR="005D5C7C">
        <w:rPr>
          <w:noProof/>
        </w:rPr>
        <w:t>11</w:t>
      </w:r>
      <w:r>
        <w:rPr>
          <w:szCs w:val="32"/>
        </w:rPr>
        <w:fldChar w:fldCharType="end"/>
      </w:r>
      <w:r>
        <w:rPr>
          <w:szCs w:val="32"/>
        </w:rPr>
        <w:t xml:space="preserve"> summarizes SDG&amp;E’s enrollment forecast for medium customers. The enrollments exclude any customers dually enrolled in SCTD. SDG&amp;E anticipates an average decrease in medium customers of 1% </w:t>
      </w:r>
      <w:r w:rsidR="00667FBC">
        <w:rPr>
          <w:szCs w:val="32"/>
        </w:rPr>
        <w:t>per</w:t>
      </w:r>
      <w:r>
        <w:rPr>
          <w:szCs w:val="32"/>
        </w:rPr>
        <w:t xml:space="preserve"> year after 2018. </w:t>
      </w:r>
    </w:p>
    <w:p w14:paraId="312C9136" w14:textId="77777777" w:rsidR="00D3527F" w:rsidRDefault="00D3527F" w:rsidP="00D3527F">
      <w:pPr>
        <w:spacing w:after="120"/>
        <w:rPr>
          <w:szCs w:val="32"/>
        </w:rPr>
      </w:pPr>
    </w:p>
    <w:p w14:paraId="15CB80F0" w14:textId="09EF0311" w:rsidR="00D3527F" w:rsidRPr="00191A9C" w:rsidRDefault="00D3527F" w:rsidP="00D3527F">
      <w:pPr>
        <w:pStyle w:val="FigureCaption"/>
      </w:pPr>
      <w:bookmarkStart w:id="484" w:name="_Ref507488694"/>
      <w:bookmarkStart w:id="485" w:name="_Toc509837516"/>
      <w:r>
        <w:t xml:space="preserve">Figure </w:t>
      </w:r>
      <w:fldSimple w:instr=" STYLEREF 1 \s ">
        <w:r w:rsidR="005D5C7C">
          <w:rPr>
            <w:noProof/>
          </w:rPr>
          <w:t>5</w:t>
        </w:r>
      </w:fldSimple>
      <w:r>
        <w:t>.</w:t>
      </w:r>
      <w:fldSimple w:instr=" SEQ Figure \* ARABIC \s 1 ">
        <w:r w:rsidR="005D5C7C">
          <w:rPr>
            <w:noProof/>
          </w:rPr>
          <w:t>11</w:t>
        </w:r>
      </w:fldSimple>
      <w:bookmarkEnd w:id="484"/>
      <w:r>
        <w:t xml:space="preserve">: CPP Enrollments, </w:t>
      </w:r>
      <w:r>
        <w:rPr>
          <w:i/>
        </w:rPr>
        <w:t>SDG&amp;E Medium</w:t>
      </w:r>
      <w:bookmarkEnd w:id="485"/>
    </w:p>
    <w:p w14:paraId="3B1E3321" w14:textId="77777777" w:rsidR="00D3527F" w:rsidRDefault="00D3527F" w:rsidP="00D3527F">
      <w:pPr>
        <w:spacing w:after="120"/>
        <w:jc w:val="center"/>
        <w:rPr>
          <w:szCs w:val="32"/>
        </w:rPr>
      </w:pPr>
      <w:r>
        <w:rPr>
          <w:noProof/>
          <w:szCs w:val="32"/>
        </w:rPr>
        <w:drawing>
          <wp:inline distT="0" distB="0" distL="0" distR="0" wp14:anchorId="2CFDE21B" wp14:editId="22D7EDD1">
            <wp:extent cx="4572635" cy="2743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109C5ED2" w14:textId="77777777" w:rsidR="00D3527F" w:rsidRDefault="00D3527F" w:rsidP="00D3527F">
      <w:pPr>
        <w:spacing w:after="120"/>
        <w:rPr>
          <w:szCs w:val="32"/>
        </w:rPr>
      </w:pPr>
    </w:p>
    <w:p w14:paraId="59EE4BFE" w14:textId="48C609BB" w:rsidR="00D3527F" w:rsidRDefault="00D3527F" w:rsidP="00D3527F">
      <w:r>
        <w:lastRenderedPageBreak/>
        <w:fldChar w:fldCharType="begin"/>
      </w:r>
      <w:r>
        <w:instrText xml:space="preserve"> REF _Ref507488973 \h </w:instrText>
      </w:r>
      <w:r>
        <w:fldChar w:fldCharType="separate"/>
      </w:r>
      <w:r w:rsidR="005D5C7C">
        <w:t xml:space="preserve">Figure </w:t>
      </w:r>
      <w:r w:rsidR="005D5C7C">
        <w:rPr>
          <w:noProof/>
        </w:rPr>
        <w:t>5</w:t>
      </w:r>
      <w:r w:rsidR="005D5C7C">
        <w:t>.</w:t>
      </w:r>
      <w:r w:rsidR="005D5C7C">
        <w:rPr>
          <w:noProof/>
        </w:rPr>
        <w:t>12</w:t>
      </w:r>
      <w:r>
        <w:fldChar w:fldCharType="end"/>
      </w:r>
      <w:r>
        <w:t xml:space="preserve"> illustrates the aggregate reference loads, observed loads, and load impacts for </w:t>
      </w:r>
      <w:r w:rsidR="00667FBC">
        <w:t>medium</w:t>
      </w:r>
      <w:r>
        <w:t xml:space="preserve"> customers on the </w:t>
      </w:r>
      <w:r w:rsidR="009215C9">
        <w:t>average weekday</w:t>
      </w:r>
      <w:r>
        <w:t xml:space="preserve"> event in August in 2022 for the SDG&amp;E 1-in-2 weather scenario. The shape of the </w:t>
      </w:r>
      <w:r w:rsidRPr="003B39B5">
        <w:rPr>
          <w:i/>
        </w:rPr>
        <w:t>ex-ante</w:t>
      </w:r>
      <w:r>
        <w:t xml:space="preserve"> loads and load impacts is </w:t>
      </w:r>
      <w:proofErr w:type="gramStart"/>
      <w:r>
        <w:t>similar to</w:t>
      </w:r>
      <w:proofErr w:type="gramEnd"/>
      <w:r>
        <w:t xml:space="preserve"> the </w:t>
      </w:r>
      <w:r w:rsidRPr="003B39B5">
        <w:rPr>
          <w:i/>
        </w:rPr>
        <w:t>ex-post</w:t>
      </w:r>
      <w:r>
        <w:t xml:space="preserve"> results in </w:t>
      </w:r>
      <w:r>
        <w:fldChar w:fldCharType="begin"/>
      </w:r>
      <w:r>
        <w:instrText xml:space="preserve"> REF _Ref507435270 \h </w:instrText>
      </w:r>
      <w:r>
        <w:fldChar w:fldCharType="separate"/>
      </w:r>
      <w:r w:rsidR="005D5C7C">
        <w:t xml:space="preserve">Figure </w:t>
      </w:r>
      <w:r w:rsidR="005D5C7C">
        <w:rPr>
          <w:noProof/>
        </w:rPr>
        <w:t>5</w:t>
      </w:r>
      <w:r w:rsidR="005D5C7C">
        <w:t>.</w:t>
      </w:r>
      <w:r w:rsidR="005D5C7C">
        <w:rPr>
          <w:noProof/>
        </w:rPr>
        <w:t>5</w:t>
      </w:r>
      <w:r>
        <w:fldChar w:fldCharType="end"/>
      </w:r>
      <w:r>
        <w:t xml:space="preserve">, while the magnitudes are smaller because of the decrease in enrollments. Additionally, the duration of the event-hours has been reduced by three hours (from 11:00 a.m. to 6:00 p.m. in </w:t>
      </w:r>
      <w:r>
        <w:rPr>
          <w:i/>
        </w:rPr>
        <w:t>ex-post</w:t>
      </w:r>
      <w:r>
        <w:t xml:space="preserve"> to 2:00 p.m. to 6:00 p.m. in </w:t>
      </w:r>
      <w:r>
        <w:rPr>
          <w:i/>
        </w:rPr>
        <w:t>ex-ante</w:t>
      </w:r>
      <w:r>
        <w:t xml:space="preserve">). The forecast predicts an average load impact of 0.8 MWh/hour, </w:t>
      </w:r>
      <w:r w:rsidR="00667FBC">
        <w:t xml:space="preserve">or </w:t>
      </w:r>
      <w:r>
        <w:t>0.2</w:t>
      </w:r>
      <w:r w:rsidR="00667FBC">
        <w:t xml:space="preserve"> percent of the </w:t>
      </w:r>
      <w:r>
        <w:t>reference load.</w:t>
      </w:r>
    </w:p>
    <w:p w14:paraId="25E647D6" w14:textId="77777777" w:rsidR="00D3527F" w:rsidRDefault="00D3527F" w:rsidP="00D3527F">
      <w:pPr>
        <w:spacing w:after="120"/>
        <w:rPr>
          <w:szCs w:val="32"/>
        </w:rPr>
      </w:pPr>
    </w:p>
    <w:p w14:paraId="0E5E9A30" w14:textId="43F82795" w:rsidR="00D3527F" w:rsidRPr="00191A9C" w:rsidRDefault="00D3527F" w:rsidP="00D3527F">
      <w:pPr>
        <w:pStyle w:val="FigureCaption"/>
        <w:rPr>
          <w:i/>
        </w:rPr>
      </w:pPr>
      <w:bookmarkStart w:id="486" w:name="_Ref507488973"/>
      <w:bookmarkStart w:id="487" w:name="_Toc509837517"/>
      <w:r>
        <w:t xml:space="preserve">Figure </w:t>
      </w:r>
      <w:fldSimple w:instr=" STYLEREF 1 \s ">
        <w:r w:rsidR="005D5C7C">
          <w:rPr>
            <w:noProof/>
          </w:rPr>
          <w:t>5</w:t>
        </w:r>
      </w:fldSimple>
      <w:r>
        <w:t>.</w:t>
      </w:r>
      <w:fldSimple w:instr=" SEQ Figure \* ARABIC \s 1 ">
        <w:r w:rsidR="005D5C7C">
          <w:rPr>
            <w:noProof/>
          </w:rPr>
          <w:t>12</w:t>
        </w:r>
      </w:fldSimple>
      <w:bookmarkEnd w:id="486"/>
      <w:r>
        <w:t xml:space="preserve">: Aggregate Hourly Loads and Load Impacts in 2022 for </w:t>
      </w:r>
      <w:r>
        <w:br/>
      </w:r>
      <w:r>
        <w:rPr>
          <w:i/>
        </w:rPr>
        <w:t xml:space="preserve">SDG&amp;E 1-in-2 </w:t>
      </w:r>
      <w:r w:rsidR="009215C9">
        <w:rPr>
          <w:i/>
        </w:rPr>
        <w:t>Average Weekday</w:t>
      </w:r>
      <w:r>
        <w:rPr>
          <w:i/>
        </w:rPr>
        <w:t xml:space="preserve"> Event, SDG&amp;E Medium</w:t>
      </w:r>
      <w:bookmarkEnd w:id="487"/>
    </w:p>
    <w:p w14:paraId="5E4DD4D0" w14:textId="77777777" w:rsidR="00D3527F" w:rsidRDefault="00D3527F" w:rsidP="00D3527F">
      <w:pPr>
        <w:spacing w:after="120"/>
        <w:jc w:val="center"/>
        <w:rPr>
          <w:szCs w:val="32"/>
        </w:rPr>
      </w:pPr>
      <w:r>
        <w:rPr>
          <w:noProof/>
          <w:szCs w:val="32"/>
        </w:rPr>
        <w:drawing>
          <wp:inline distT="0" distB="0" distL="0" distR="0" wp14:anchorId="50CB33C1" wp14:editId="1E8D623C">
            <wp:extent cx="4572635" cy="27432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6AEA244C" w14:textId="77777777" w:rsidR="00D3527F" w:rsidRDefault="00D3527F" w:rsidP="00D3527F">
      <w:pPr>
        <w:spacing w:after="120"/>
        <w:rPr>
          <w:szCs w:val="32"/>
        </w:rPr>
      </w:pPr>
    </w:p>
    <w:p w14:paraId="75F6A889" w14:textId="1C8FBE05" w:rsidR="00667FBC" w:rsidRDefault="00D3527F" w:rsidP="00D3527F">
      <w:pPr>
        <w:spacing w:after="120"/>
        <w:rPr>
          <w:szCs w:val="32"/>
        </w:rPr>
      </w:pPr>
      <w:r>
        <w:rPr>
          <w:szCs w:val="32"/>
        </w:rPr>
        <w:fldChar w:fldCharType="begin"/>
      </w:r>
      <w:r>
        <w:rPr>
          <w:szCs w:val="32"/>
        </w:rPr>
        <w:instrText xml:space="preserve"> REF _Ref507489530 \h </w:instrText>
      </w:r>
      <w:r>
        <w:rPr>
          <w:szCs w:val="32"/>
        </w:rPr>
      </w:r>
      <w:r>
        <w:rPr>
          <w:szCs w:val="32"/>
        </w:rPr>
        <w:fldChar w:fldCharType="separate"/>
      </w:r>
      <w:r w:rsidR="005D5C7C">
        <w:t xml:space="preserve">Figure </w:t>
      </w:r>
      <w:r w:rsidR="005D5C7C">
        <w:rPr>
          <w:noProof/>
        </w:rPr>
        <w:t>5</w:t>
      </w:r>
      <w:r w:rsidR="005D5C7C">
        <w:t>.</w:t>
      </w:r>
      <w:r w:rsidR="005D5C7C">
        <w:rPr>
          <w:noProof/>
        </w:rPr>
        <w:t>13</w:t>
      </w:r>
      <w:r>
        <w:rPr>
          <w:szCs w:val="32"/>
        </w:rPr>
        <w:fldChar w:fldCharType="end"/>
      </w:r>
      <w:r>
        <w:rPr>
          <w:szCs w:val="32"/>
        </w:rPr>
        <w:t xml:space="preserve"> </w:t>
      </w:r>
      <w:r w:rsidR="00667FBC">
        <w:rPr>
          <w:szCs w:val="32"/>
        </w:rPr>
        <w:t>shows the seasonality of the forecasted</w:t>
      </w:r>
      <w:r w:rsidR="00667FBC" w:rsidRPr="00703D32">
        <w:rPr>
          <w:i/>
          <w:szCs w:val="32"/>
        </w:rPr>
        <w:t xml:space="preserve"> </w:t>
      </w:r>
      <w:r w:rsidR="00667FBC">
        <w:rPr>
          <w:szCs w:val="32"/>
        </w:rPr>
        <w:t xml:space="preserve">load impacts for medium customers based on the 2022 aggregate load impacts for the average hour in the RA window for SDG&amp;E’s 1-in-2 weather scenario. As with the large customers, the seasonal pattern in load impacts is due to the changing RA window definition. Unlike the large customers, medium customer load impacts are higher from November through March. Recall that the percentage load impact during event hours is 0.2% and not statistically significant (see </w:t>
      </w:r>
      <w:r w:rsidR="00667FBC">
        <w:rPr>
          <w:szCs w:val="32"/>
        </w:rPr>
        <w:fldChar w:fldCharType="begin"/>
      </w:r>
      <w:r w:rsidR="00667FBC">
        <w:rPr>
          <w:szCs w:val="32"/>
        </w:rPr>
        <w:instrText xml:space="preserve"> REF _Ref507434909 \h </w:instrText>
      </w:r>
      <w:r w:rsidR="00667FBC">
        <w:rPr>
          <w:szCs w:val="32"/>
        </w:rPr>
      </w:r>
      <w:r w:rsidR="00667FBC">
        <w:rPr>
          <w:szCs w:val="32"/>
        </w:rPr>
        <w:fldChar w:fldCharType="separate"/>
      </w:r>
      <w:r w:rsidR="005D5C7C">
        <w:t xml:space="preserve">Table </w:t>
      </w:r>
      <w:r w:rsidR="005D5C7C">
        <w:rPr>
          <w:noProof/>
        </w:rPr>
        <w:t>5</w:t>
      </w:r>
      <w:r w:rsidR="005D5C7C">
        <w:t>.</w:t>
      </w:r>
      <w:r w:rsidR="005D5C7C">
        <w:rPr>
          <w:noProof/>
        </w:rPr>
        <w:t>4</w:t>
      </w:r>
      <w:r w:rsidR="00667FBC">
        <w:rPr>
          <w:szCs w:val="32"/>
        </w:rPr>
        <w:fldChar w:fldCharType="end"/>
      </w:r>
      <w:r w:rsidR="00667FBC">
        <w:rPr>
          <w:szCs w:val="32"/>
        </w:rPr>
        <w:t xml:space="preserve">). The increase in winter load impacts is caused by the later RA window which corresponds to the last hour of the event and post-event hours. As </w:t>
      </w:r>
      <w:r w:rsidR="00667FBC">
        <w:rPr>
          <w:szCs w:val="32"/>
        </w:rPr>
        <w:fldChar w:fldCharType="begin"/>
      </w:r>
      <w:r w:rsidR="00667FBC">
        <w:rPr>
          <w:szCs w:val="32"/>
        </w:rPr>
        <w:instrText xml:space="preserve"> REF _Ref507488973 \h </w:instrText>
      </w:r>
      <w:r w:rsidR="00667FBC">
        <w:rPr>
          <w:szCs w:val="32"/>
        </w:rPr>
      </w:r>
      <w:r w:rsidR="00667FBC">
        <w:rPr>
          <w:szCs w:val="32"/>
        </w:rPr>
        <w:fldChar w:fldCharType="separate"/>
      </w:r>
      <w:r w:rsidR="005D5C7C">
        <w:t xml:space="preserve">Figure </w:t>
      </w:r>
      <w:r w:rsidR="005D5C7C">
        <w:rPr>
          <w:noProof/>
        </w:rPr>
        <w:t>5</w:t>
      </w:r>
      <w:r w:rsidR="005D5C7C">
        <w:t>.</w:t>
      </w:r>
      <w:r w:rsidR="005D5C7C">
        <w:rPr>
          <w:noProof/>
        </w:rPr>
        <w:t>12</w:t>
      </w:r>
      <w:r w:rsidR="00667FBC">
        <w:rPr>
          <w:szCs w:val="32"/>
        </w:rPr>
        <w:fldChar w:fldCharType="end"/>
      </w:r>
      <w:r w:rsidR="00667FBC">
        <w:rPr>
          <w:szCs w:val="32"/>
        </w:rPr>
        <w:t xml:space="preserve"> illustrates, the hours following the event exhibit positive load impacts, the first of which is larger than the load impacts during the event hours.  </w:t>
      </w:r>
    </w:p>
    <w:p w14:paraId="6D04F89B" w14:textId="745F7F75" w:rsidR="00667FBC" w:rsidRDefault="00667FBC" w:rsidP="00D3527F">
      <w:pPr>
        <w:spacing w:after="120"/>
        <w:rPr>
          <w:szCs w:val="32"/>
        </w:rPr>
      </w:pPr>
      <w:r>
        <w:rPr>
          <w:szCs w:val="32"/>
        </w:rPr>
        <w:t>The load impact is highest in April (1.3 MWh/hour) and lowest in May and June (0.4 MWh/hour).</w:t>
      </w:r>
    </w:p>
    <w:p w14:paraId="3C1E7892" w14:textId="77777777" w:rsidR="00D3527F" w:rsidRDefault="00D3527F" w:rsidP="00D3527F">
      <w:pPr>
        <w:spacing w:after="120"/>
        <w:rPr>
          <w:szCs w:val="32"/>
        </w:rPr>
      </w:pPr>
    </w:p>
    <w:p w14:paraId="78043B46" w14:textId="6A63903A" w:rsidR="00D3527F" w:rsidRPr="000F52E4" w:rsidRDefault="00D3527F" w:rsidP="00D3527F">
      <w:pPr>
        <w:pStyle w:val="FigureCaption"/>
        <w:rPr>
          <w:i/>
        </w:rPr>
      </w:pPr>
      <w:bookmarkStart w:id="488" w:name="_Ref507489530"/>
      <w:bookmarkStart w:id="489" w:name="_Toc509837518"/>
      <w:r>
        <w:lastRenderedPageBreak/>
        <w:t xml:space="preserve">Figure </w:t>
      </w:r>
      <w:fldSimple w:instr=" STYLEREF 1 \s ">
        <w:r w:rsidR="005D5C7C">
          <w:rPr>
            <w:noProof/>
          </w:rPr>
          <w:t>5</w:t>
        </w:r>
      </w:fldSimple>
      <w:r>
        <w:t>.</w:t>
      </w:r>
      <w:fldSimple w:instr=" SEQ Figure \* ARABIC \s 1 ">
        <w:r w:rsidR="005D5C7C">
          <w:rPr>
            <w:noProof/>
          </w:rPr>
          <w:t>13</w:t>
        </w:r>
      </w:fldSimple>
      <w:bookmarkEnd w:id="488"/>
      <w:r>
        <w:t xml:space="preserve">: Aggregate Load Impacts by Month over RA Window in 2022 for </w:t>
      </w:r>
      <w:r>
        <w:br/>
      </w:r>
      <w:r>
        <w:rPr>
          <w:i/>
        </w:rPr>
        <w:t>SDG&amp;E 1-in-2 Peak Day, SDG&amp;E Medium</w:t>
      </w:r>
      <w:bookmarkEnd w:id="489"/>
    </w:p>
    <w:p w14:paraId="5562DC26" w14:textId="7E42309B" w:rsidR="00D3527F" w:rsidRDefault="006D72A4" w:rsidP="00D3527F">
      <w:pPr>
        <w:spacing w:after="120"/>
        <w:jc w:val="center"/>
        <w:rPr>
          <w:szCs w:val="32"/>
        </w:rPr>
      </w:pPr>
      <w:r>
        <w:rPr>
          <w:noProof/>
          <w:szCs w:val="32"/>
        </w:rPr>
        <w:drawing>
          <wp:inline distT="0" distB="0" distL="0" distR="0" wp14:anchorId="7B31E5F6" wp14:editId="4C4FB17B">
            <wp:extent cx="4572635" cy="27432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4CA4710D" w14:textId="77777777" w:rsidR="00D3527F" w:rsidRDefault="00D3527F" w:rsidP="00D3527F">
      <w:pPr>
        <w:spacing w:after="120"/>
        <w:rPr>
          <w:szCs w:val="32"/>
        </w:rPr>
      </w:pPr>
    </w:p>
    <w:p w14:paraId="5B91D1FE" w14:textId="16B52B05" w:rsidR="00D3527F" w:rsidRDefault="00D3527F" w:rsidP="00D3527F">
      <w:pPr>
        <w:spacing w:after="120"/>
        <w:rPr>
          <w:szCs w:val="32"/>
        </w:rPr>
      </w:pPr>
      <w:r>
        <w:rPr>
          <w:szCs w:val="32"/>
        </w:rPr>
        <w:fldChar w:fldCharType="begin"/>
      </w:r>
      <w:r>
        <w:rPr>
          <w:szCs w:val="32"/>
        </w:rPr>
        <w:instrText xml:space="preserve"> REF _Ref507490389 \h </w:instrText>
      </w:r>
      <w:r>
        <w:rPr>
          <w:szCs w:val="32"/>
        </w:rPr>
      </w:r>
      <w:r>
        <w:rPr>
          <w:szCs w:val="32"/>
        </w:rPr>
        <w:fldChar w:fldCharType="separate"/>
      </w:r>
      <w:r w:rsidR="005D5C7C">
        <w:t xml:space="preserve">Figure </w:t>
      </w:r>
      <w:r w:rsidR="005D5C7C">
        <w:rPr>
          <w:noProof/>
        </w:rPr>
        <w:t>5</w:t>
      </w:r>
      <w:r w:rsidR="005D5C7C">
        <w:t>.</w:t>
      </w:r>
      <w:r w:rsidR="005D5C7C">
        <w:rPr>
          <w:noProof/>
        </w:rPr>
        <w:t>14</w:t>
      </w:r>
      <w:r>
        <w:rPr>
          <w:szCs w:val="32"/>
        </w:rPr>
        <w:fldChar w:fldCharType="end"/>
      </w:r>
      <w:r>
        <w:rPr>
          <w:szCs w:val="32"/>
        </w:rPr>
        <w:t xml:space="preserve"> </w:t>
      </w:r>
      <w:r w:rsidR="00667FBC">
        <w:rPr>
          <w:szCs w:val="32"/>
        </w:rPr>
        <w:t xml:space="preserve">shows the change in load impacts over time and across weather scenarios. Each value is the aggregate load impact during the RA window of the </w:t>
      </w:r>
      <w:r w:rsidR="009215C9">
        <w:rPr>
          <w:szCs w:val="32"/>
        </w:rPr>
        <w:t>average weekday</w:t>
      </w:r>
      <w:r w:rsidR="00667FBC">
        <w:rPr>
          <w:szCs w:val="32"/>
        </w:rPr>
        <w:t xml:space="preserve"> event. </w:t>
      </w:r>
      <w:r>
        <w:rPr>
          <w:szCs w:val="32"/>
        </w:rPr>
        <w:t xml:space="preserve">Load impacts decrease over time because of the reduction in </w:t>
      </w:r>
      <w:r w:rsidR="00667FBC">
        <w:rPr>
          <w:szCs w:val="32"/>
        </w:rPr>
        <w:t xml:space="preserve">forecast </w:t>
      </w:r>
      <w:r>
        <w:rPr>
          <w:szCs w:val="32"/>
        </w:rPr>
        <w:t>enrollments. As expected, the largest load impacts occur for the SDG&amp;E 1-in-10 weather year while the lowest load impacts occur during the CAISO 1-in-2 weather year. Nonetheless, the range of difference in load impacts between weather scenarios is about 0.04 MWh/hour.</w:t>
      </w:r>
    </w:p>
    <w:p w14:paraId="0431E80D" w14:textId="77777777" w:rsidR="00D3527F" w:rsidRDefault="00D3527F" w:rsidP="00D3527F">
      <w:pPr>
        <w:spacing w:after="120"/>
        <w:rPr>
          <w:szCs w:val="32"/>
        </w:rPr>
      </w:pPr>
    </w:p>
    <w:p w14:paraId="099FE7FC" w14:textId="375E0D3A" w:rsidR="00D3527F" w:rsidRPr="005747BA" w:rsidRDefault="00D3527F" w:rsidP="00D3527F">
      <w:pPr>
        <w:pStyle w:val="FigureCaption"/>
      </w:pPr>
      <w:bookmarkStart w:id="490" w:name="_Ref507490389"/>
      <w:bookmarkStart w:id="491" w:name="_Toc509837519"/>
      <w:r>
        <w:lastRenderedPageBreak/>
        <w:t xml:space="preserve">Figure </w:t>
      </w:r>
      <w:fldSimple w:instr=" STYLEREF 1 \s ">
        <w:r w:rsidR="005D5C7C">
          <w:rPr>
            <w:noProof/>
          </w:rPr>
          <w:t>5</w:t>
        </w:r>
      </w:fldSimple>
      <w:r>
        <w:t>.</w:t>
      </w:r>
      <w:fldSimple w:instr=" SEQ Figure \* ARABIC \s 1 ">
        <w:r w:rsidR="005D5C7C">
          <w:rPr>
            <w:noProof/>
          </w:rPr>
          <w:t>14</w:t>
        </w:r>
      </w:fldSimple>
      <w:bookmarkEnd w:id="490"/>
      <w:r>
        <w:t xml:space="preserve">: Aggregate Load Impacts for </w:t>
      </w:r>
      <w:r w:rsidR="009215C9">
        <w:t>Average Weekday</w:t>
      </w:r>
      <w:r w:rsidR="00515724">
        <w:t xml:space="preserve"> Event </w:t>
      </w:r>
      <w:r>
        <w:t xml:space="preserve">by Year and Weather Scenario over RA Window, </w:t>
      </w:r>
      <w:r>
        <w:rPr>
          <w:i/>
        </w:rPr>
        <w:t>SDG&amp;E Medium</w:t>
      </w:r>
      <w:bookmarkEnd w:id="491"/>
    </w:p>
    <w:p w14:paraId="569356EF" w14:textId="77777777" w:rsidR="00D3527F" w:rsidRDefault="00D3527F" w:rsidP="00D3527F">
      <w:pPr>
        <w:spacing w:after="120"/>
        <w:jc w:val="center"/>
        <w:rPr>
          <w:szCs w:val="32"/>
        </w:rPr>
      </w:pPr>
      <w:r>
        <w:rPr>
          <w:noProof/>
          <w:szCs w:val="32"/>
        </w:rPr>
        <w:drawing>
          <wp:inline distT="0" distB="0" distL="0" distR="0" wp14:anchorId="58D355F3" wp14:editId="3E953AB2">
            <wp:extent cx="4572635" cy="27432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6D7AE4FD" w14:textId="77777777" w:rsidR="00D3527F" w:rsidRDefault="00D3527F" w:rsidP="00D3527F">
      <w:pPr>
        <w:pStyle w:val="Heading2"/>
        <w:numPr>
          <w:ilvl w:val="1"/>
          <w:numId w:val="43"/>
        </w:numPr>
      </w:pPr>
      <w:bookmarkStart w:id="492" w:name="_Toc507425158"/>
      <w:bookmarkStart w:id="493" w:name="_Toc509837345"/>
      <w:r>
        <w:t>SDG&amp;E Load Impact Reconciliations</w:t>
      </w:r>
      <w:bookmarkEnd w:id="492"/>
      <w:bookmarkEnd w:id="493"/>
    </w:p>
    <w:p w14:paraId="1EAFB9C5" w14:textId="77777777" w:rsidR="00D3527F" w:rsidRDefault="00D3527F" w:rsidP="00D3527F">
      <w:r>
        <w:t xml:space="preserve">In a continuing effort to clarify the relationships between </w:t>
      </w:r>
      <w:r>
        <w:rPr>
          <w:i/>
        </w:rPr>
        <w:t>ex-post</w:t>
      </w:r>
      <w:r>
        <w:t xml:space="preserve"> and </w:t>
      </w:r>
      <w:r>
        <w:rPr>
          <w:i/>
        </w:rPr>
        <w:t>ex-ante</w:t>
      </w:r>
      <w:r>
        <w:t xml:space="preserve"> results, this section compares several sets of estimated load impacts for CPP, including the following:</w:t>
      </w:r>
    </w:p>
    <w:p w14:paraId="567677C8" w14:textId="77777777" w:rsidR="00D3527F" w:rsidRDefault="00D3527F" w:rsidP="00D3527F">
      <w:pPr>
        <w:numPr>
          <w:ilvl w:val="0"/>
          <w:numId w:val="10"/>
        </w:numPr>
      </w:pPr>
      <w:r>
        <w:rPr>
          <w:i/>
        </w:rPr>
        <w:t>Ex-post</w:t>
      </w:r>
      <w:r>
        <w:t xml:space="preserve"> load impacts from the current and previous studies;</w:t>
      </w:r>
    </w:p>
    <w:p w14:paraId="19DE1CDC" w14:textId="77777777" w:rsidR="00D3527F" w:rsidRDefault="00D3527F" w:rsidP="00D3527F">
      <w:pPr>
        <w:numPr>
          <w:ilvl w:val="0"/>
          <w:numId w:val="10"/>
        </w:numPr>
      </w:pPr>
      <w:r>
        <w:rPr>
          <w:i/>
        </w:rPr>
        <w:t>Ex-ante</w:t>
      </w:r>
      <w:r>
        <w:t xml:space="preserve"> load impacts from the current and previous studies; </w:t>
      </w:r>
    </w:p>
    <w:p w14:paraId="7905D84B" w14:textId="77777777" w:rsidR="00D3527F" w:rsidRDefault="00D3527F" w:rsidP="00D3527F">
      <w:pPr>
        <w:numPr>
          <w:ilvl w:val="0"/>
          <w:numId w:val="10"/>
        </w:numPr>
      </w:pPr>
      <w:r>
        <w:t xml:space="preserve">Current </w:t>
      </w:r>
      <w:r>
        <w:rPr>
          <w:i/>
        </w:rPr>
        <w:t>ex-post</w:t>
      </w:r>
      <w:r>
        <w:t xml:space="preserve"> and previous </w:t>
      </w:r>
      <w:r>
        <w:rPr>
          <w:i/>
        </w:rPr>
        <w:t>ex-ante</w:t>
      </w:r>
      <w:r>
        <w:t xml:space="preserve"> load impacts; and </w:t>
      </w:r>
    </w:p>
    <w:p w14:paraId="7047B42C" w14:textId="77777777" w:rsidR="00D3527F" w:rsidRDefault="00D3527F" w:rsidP="00D3527F">
      <w:pPr>
        <w:numPr>
          <w:ilvl w:val="0"/>
          <w:numId w:val="10"/>
        </w:numPr>
      </w:pPr>
      <w:r>
        <w:t xml:space="preserve">Current </w:t>
      </w:r>
      <w:r w:rsidRPr="00095BA1">
        <w:rPr>
          <w:i/>
        </w:rPr>
        <w:t>ex-post</w:t>
      </w:r>
      <w:r>
        <w:t xml:space="preserve"> and </w:t>
      </w:r>
      <w:r w:rsidRPr="00095BA1">
        <w:rPr>
          <w:i/>
        </w:rPr>
        <w:t>ex-ante</w:t>
      </w:r>
      <w:r>
        <w:t xml:space="preserve"> load impacts.</w:t>
      </w:r>
    </w:p>
    <w:p w14:paraId="09D7F0CD" w14:textId="77777777" w:rsidR="00D3527F" w:rsidRDefault="00D3527F" w:rsidP="00D3527F"/>
    <w:p w14:paraId="3C3DA2D8" w14:textId="1181F28A" w:rsidR="00D3527F" w:rsidRPr="00E67E92" w:rsidRDefault="00D3527F" w:rsidP="00D3527F">
      <w:r>
        <w:t xml:space="preserve">The term “current” refers to the present study, which includes </w:t>
      </w:r>
      <w:r w:rsidRPr="00A102B2">
        <w:rPr>
          <w:i/>
        </w:rPr>
        <w:t>ex-post</w:t>
      </w:r>
      <w:r>
        <w:t xml:space="preserve"> and </w:t>
      </w:r>
      <w:r w:rsidRPr="00A102B2">
        <w:rPr>
          <w:i/>
        </w:rPr>
        <w:t>ex-ante</w:t>
      </w:r>
      <w:r>
        <w:t xml:space="preserve"> results for PY2017. The term “previous” refers to findings in reports for PY2016.</w:t>
      </w:r>
    </w:p>
    <w:p w14:paraId="239CFF0E" w14:textId="77777777" w:rsidR="00D3527F" w:rsidRDefault="00D3527F" w:rsidP="00D3527F">
      <w:pPr>
        <w:pStyle w:val="Heading3"/>
        <w:numPr>
          <w:ilvl w:val="2"/>
          <w:numId w:val="43"/>
        </w:numPr>
        <w:rPr>
          <w:sz w:val="24"/>
        </w:rPr>
      </w:pPr>
      <w:bookmarkStart w:id="494" w:name="_Toc507081169"/>
      <w:bookmarkStart w:id="495" w:name="_Toc507425159"/>
      <w:bookmarkStart w:id="496" w:name="_Toc509837346"/>
      <w:r>
        <w:rPr>
          <w:sz w:val="24"/>
        </w:rPr>
        <w:t>SDG&amp;E Large Customer Reconciliations</w:t>
      </w:r>
      <w:bookmarkEnd w:id="494"/>
      <w:bookmarkEnd w:id="495"/>
      <w:bookmarkEnd w:id="496"/>
    </w:p>
    <w:p w14:paraId="58F1739B" w14:textId="77777777" w:rsidR="00D3527F" w:rsidRPr="00823315" w:rsidRDefault="00D3527F" w:rsidP="00D3527F">
      <w:pPr>
        <w:rPr>
          <w:b/>
          <w:i/>
        </w:rPr>
      </w:pPr>
      <w:r w:rsidRPr="00823315">
        <w:rPr>
          <w:b/>
          <w:i/>
        </w:rPr>
        <w:t>Previous vs. Current Ex-Post</w:t>
      </w:r>
    </w:p>
    <w:p w14:paraId="41ECF200" w14:textId="30FA89AC" w:rsidR="00D3527F" w:rsidRDefault="00D3527F" w:rsidP="00D3527F">
      <w:r>
        <w:fldChar w:fldCharType="begin"/>
      </w:r>
      <w:r>
        <w:instrText xml:space="preserve"> REF _Ref507079479 \h </w:instrText>
      </w:r>
      <w:r>
        <w:fldChar w:fldCharType="separate"/>
      </w:r>
      <w:r w:rsidR="005D5C7C">
        <w:t xml:space="preserve">Table </w:t>
      </w:r>
      <w:r w:rsidR="005D5C7C">
        <w:rPr>
          <w:noProof/>
        </w:rPr>
        <w:t>5</w:t>
      </w:r>
      <w:r w:rsidR="005D5C7C">
        <w:t>.</w:t>
      </w:r>
      <w:r w:rsidR="005D5C7C">
        <w:rPr>
          <w:noProof/>
        </w:rPr>
        <w:t>10</w:t>
      </w:r>
      <w:r>
        <w:fldChar w:fldCharType="end"/>
      </w:r>
      <w:r>
        <w:t xml:space="preserve"> shows the average event-hour reference loads and load impacts for the average</w:t>
      </w:r>
      <w:r w:rsidR="009215C9">
        <w:t xml:space="preserve"> weekday</w:t>
      </w:r>
      <w:r>
        <w:t xml:space="preserve"> event during the current and previous program years. The number of enrolled customer decreased slightly from 1,299 in PY2016 to 1,281 in PY2017; however, all customer dually enrolled in CPP and SCTD are completely removed from the PY2017 analysis. The average per-customer reference load is larger in the PY2017 study, even with the average event-hour temperature being cooler. The PY2017 study exhibits a </w:t>
      </w:r>
      <w:r w:rsidR="00667FBC">
        <w:t>higher</w:t>
      </w:r>
      <w:r>
        <w:t xml:space="preserve"> percentage load impact of 4.3</w:t>
      </w:r>
      <w:r w:rsidR="00667FBC">
        <w:t xml:space="preserve"> percent </w:t>
      </w:r>
      <w:r>
        <w:t>compared to 2</w:t>
      </w:r>
      <w:r w:rsidR="00667FBC">
        <w:t>.0 percent</w:t>
      </w:r>
      <w:r>
        <w:t xml:space="preserve"> in PY2016.</w:t>
      </w:r>
    </w:p>
    <w:p w14:paraId="3A0CCB08" w14:textId="77777777" w:rsidR="00D3527F" w:rsidRDefault="00D3527F" w:rsidP="00D3527F"/>
    <w:p w14:paraId="17D5D45D" w14:textId="61B31C01" w:rsidR="00D3527F" w:rsidRPr="000062CF" w:rsidRDefault="00D3527F" w:rsidP="00D3527F">
      <w:pPr>
        <w:pStyle w:val="TableCaption"/>
        <w:rPr>
          <w:i/>
        </w:rPr>
      </w:pPr>
      <w:bookmarkStart w:id="497" w:name="_Ref507079479"/>
      <w:bookmarkStart w:id="498" w:name="_Toc507081246"/>
      <w:bookmarkStart w:id="499" w:name="_Toc507425223"/>
      <w:bookmarkStart w:id="500" w:name="_Toc509837421"/>
      <w:r>
        <w:lastRenderedPageBreak/>
        <w:t xml:space="preserve">Table </w:t>
      </w:r>
      <w:fldSimple w:instr=" STYLEREF 1 \s ">
        <w:r w:rsidR="005D5C7C">
          <w:rPr>
            <w:noProof/>
          </w:rPr>
          <w:t>5</w:t>
        </w:r>
      </w:fldSimple>
      <w:r w:rsidR="0069714C">
        <w:t>.</w:t>
      </w:r>
      <w:fldSimple w:instr=" SEQ Table \* ARABIC \s 1 ">
        <w:r w:rsidR="005D5C7C">
          <w:rPr>
            <w:noProof/>
          </w:rPr>
          <w:t>10</w:t>
        </w:r>
      </w:fldSimple>
      <w:bookmarkEnd w:id="497"/>
      <w:r w:rsidRPr="00376F46">
        <w:t xml:space="preserve">: </w:t>
      </w:r>
      <w:r>
        <w:t xml:space="preserve">Current vs. Previous </w:t>
      </w:r>
      <w:r w:rsidRPr="001634AA">
        <w:rPr>
          <w:i/>
        </w:rPr>
        <w:t>Ex-Post</w:t>
      </w:r>
      <w:r>
        <w:t xml:space="preserve"> Load Impacts for the Average </w:t>
      </w:r>
      <w:r w:rsidR="009215C9">
        <w:t xml:space="preserve">Weekday </w:t>
      </w:r>
      <w:r>
        <w:t>Event</w:t>
      </w:r>
      <w:bookmarkEnd w:id="498"/>
      <w:bookmarkEnd w:id="499"/>
      <w:r>
        <w:t xml:space="preserve">, </w:t>
      </w:r>
      <w:r>
        <w:br/>
      </w:r>
      <w:r>
        <w:rPr>
          <w:i/>
        </w:rPr>
        <w:t>SDG&amp;E Large</w:t>
      </w:r>
      <w:bookmarkEnd w:id="5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1951"/>
        <w:gridCol w:w="1512"/>
        <w:gridCol w:w="1512"/>
      </w:tblGrid>
      <w:tr w:rsidR="00D3527F" w14:paraId="72652337" w14:textId="77777777" w:rsidTr="00D3527F">
        <w:trPr>
          <w:trHeight w:val="728"/>
          <w:jc w:val="center"/>
        </w:trPr>
        <w:tc>
          <w:tcPr>
            <w:tcW w:w="1075" w:type="dxa"/>
            <w:tcBorders>
              <w:right w:val="single" w:sz="4" w:space="0" w:color="FFFFFF"/>
            </w:tcBorders>
            <w:shd w:val="clear" w:color="auto" w:fill="0C2577"/>
            <w:vAlign w:val="center"/>
          </w:tcPr>
          <w:p w14:paraId="0140C131"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51" w:type="dxa"/>
            <w:tcBorders>
              <w:left w:val="single" w:sz="4" w:space="0" w:color="FFFFFF"/>
              <w:right w:val="single" w:sz="4" w:space="0" w:color="FFFFFF"/>
            </w:tcBorders>
            <w:shd w:val="clear" w:color="auto" w:fill="0C2577"/>
            <w:vAlign w:val="center"/>
          </w:tcPr>
          <w:p w14:paraId="2C401A44"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512" w:type="dxa"/>
            <w:tcBorders>
              <w:left w:val="single" w:sz="4" w:space="0" w:color="FFFFFF"/>
              <w:right w:val="single" w:sz="4" w:space="0" w:color="FFFFFF"/>
            </w:tcBorders>
            <w:shd w:val="clear" w:color="auto" w:fill="0C2577"/>
            <w:vAlign w:val="center"/>
          </w:tcPr>
          <w:p w14:paraId="323C75A7"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6</w:t>
            </w:r>
          </w:p>
        </w:tc>
        <w:tc>
          <w:tcPr>
            <w:tcW w:w="1512" w:type="dxa"/>
            <w:tcBorders>
              <w:left w:val="single" w:sz="4" w:space="0" w:color="FFFFFF"/>
            </w:tcBorders>
            <w:shd w:val="clear" w:color="auto" w:fill="0C2577"/>
            <w:vAlign w:val="center"/>
          </w:tcPr>
          <w:p w14:paraId="547A4991"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7</w:t>
            </w:r>
          </w:p>
        </w:tc>
      </w:tr>
      <w:tr w:rsidR="00D3527F" w14:paraId="090D68AF" w14:textId="77777777" w:rsidTr="00D3527F">
        <w:trPr>
          <w:jc w:val="center"/>
        </w:trPr>
        <w:tc>
          <w:tcPr>
            <w:tcW w:w="1075" w:type="dxa"/>
            <w:vMerge w:val="restart"/>
            <w:shd w:val="clear" w:color="auto" w:fill="auto"/>
            <w:vAlign w:val="center"/>
          </w:tcPr>
          <w:p w14:paraId="2D04EDEB"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51" w:type="dxa"/>
            <w:shd w:val="clear" w:color="auto" w:fill="auto"/>
          </w:tcPr>
          <w:p w14:paraId="31280A7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512" w:type="dxa"/>
            <w:shd w:val="clear" w:color="auto" w:fill="auto"/>
            <w:vAlign w:val="center"/>
          </w:tcPr>
          <w:p w14:paraId="6825621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1,299</w:t>
            </w:r>
          </w:p>
        </w:tc>
        <w:tc>
          <w:tcPr>
            <w:tcW w:w="1512" w:type="dxa"/>
            <w:shd w:val="clear" w:color="auto" w:fill="auto"/>
            <w:vAlign w:val="center"/>
          </w:tcPr>
          <w:p w14:paraId="7D322DA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1,281</w:t>
            </w:r>
          </w:p>
        </w:tc>
      </w:tr>
      <w:tr w:rsidR="00D3527F" w14:paraId="18D4461C" w14:textId="77777777" w:rsidTr="00D3527F">
        <w:trPr>
          <w:trHeight w:val="242"/>
          <w:jc w:val="center"/>
        </w:trPr>
        <w:tc>
          <w:tcPr>
            <w:tcW w:w="1075" w:type="dxa"/>
            <w:vMerge/>
            <w:shd w:val="clear" w:color="auto" w:fill="auto"/>
            <w:vAlign w:val="center"/>
          </w:tcPr>
          <w:p w14:paraId="6275CA54" w14:textId="77777777" w:rsidR="00D3527F" w:rsidRPr="009C75E1" w:rsidRDefault="00D3527F" w:rsidP="00D3527F">
            <w:pPr>
              <w:keepNext/>
              <w:keepLines/>
              <w:rPr>
                <w:rFonts w:ascii="Arial" w:hAnsi="Arial" w:cs="Arial"/>
                <w:sz w:val="20"/>
                <w:szCs w:val="20"/>
              </w:rPr>
            </w:pPr>
          </w:p>
        </w:tc>
        <w:tc>
          <w:tcPr>
            <w:tcW w:w="1951" w:type="dxa"/>
            <w:shd w:val="clear" w:color="auto" w:fill="auto"/>
          </w:tcPr>
          <w:p w14:paraId="5BDFE0AA"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512" w:type="dxa"/>
            <w:shd w:val="clear" w:color="auto" w:fill="auto"/>
            <w:vAlign w:val="center"/>
          </w:tcPr>
          <w:p w14:paraId="36BAC608"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363</w:t>
            </w:r>
          </w:p>
        </w:tc>
        <w:tc>
          <w:tcPr>
            <w:tcW w:w="1512" w:type="dxa"/>
            <w:shd w:val="clear" w:color="auto" w:fill="auto"/>
            <w:vAlign w:val="center"/>
          </w:tcPr>
          <w:p w14:paraId="364BE67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415</w:t>
            </w:r>
          </w:p>
        </w:tc>
      </w:tr>
      <w:tr w:rsidR="00D3527F" w14:paraId="633D4B0A" w14:textId="77777777" w:rsidTr="00D3527F">
        <w:trPr>
          <w:jc w:val="center"/>
        </w:trPr>
        <w:tc>
          <w:tcPr>
            <w:tcW w:w="1075" w:type="dxa"/>
            <w:vMerge/>
            <w:shd w:val="clear" w:color="auto" w:fill="auto"/>
            <w:vAlign w:val="center"/>
          </w:tcPr>
          <w:p w14:paraId="22925779" w14:textId="77777777" w:rsidR="00D3527F" w:rsidRPr="009C75E1" w:rsidRDefault="00D3527F" w:rsidP="00D3527F">
            <w:pPr>
              <w:keepNext/>
              <w:keepLines/>
              <w:rPr>
                <w:rFonts w:ascii="Arial" w:hAnsi="Arial" w:cs="Arial"/>
                <w:sz w:val="20"/>
                <w:szCs w:val="20"/>
              </w:rPr>
            </w:pPr>
          </w:p>
        </w:tc>
        <w:tc>
          <w:tcPr>
            <w:tcW w:w="1951" w:type="dxa"/>
            <w:shd w:val="clear" w:color="auto" w:fill="auto"/>
          </w:tcPr>
          <w:p w14:paraId="6332726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512" w:type="dxa"/>
            <w:shd w:val="clear" w:color="auto" w:fill="auto"/>
            <w:vAlign w:val="center"/>
          </w:tcPr>
          <w:p w14:paraId="215AE0A3"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7.3</w:t>
            </w:r>
          </w:p>
        </w:tc>
        <w:tc>
          <w:tcPr>
            <w:tcW w:w="1512" w:type="dxa"/>
            <w:shd w:val="clear" w:color="auto" w:fill="auto"/>
            <w:vAlign w:val="center"/>
          </w:tcPr>
          <w:p w14:paraId="3668882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18.0</w:t>
            </w:r>
          </w:p>
        </w:tc>
      </w:tr>
      <w:tr w:rsidR="00D3527F" w14:paraId="60A778FA" w14:textId="77777777" w:rsidTr="00D3527F">
        <w:trPr>
          <w:jc w:val="center"/>
        </w:trPr>
        <w:tc>
          <w:tcPr>
            <w:tcW w:w="1075" w:type="dxa"/>
            <w:vMerge/>
            <w:shd w:val="clear" w:color="auto" w:fill="auto"/>
            <w:vAlign w:val="center"/>
          </w:tcPr>
          <w:p w14:paraId="4174A1EA" w14:textId="77777777" w:rsidR="00D3527F" w:rsidRPr="009C75E1" w:rsidRDefault="00D3527F" w:rsidP="00D3527F">
            <w:pPr>
              <w:keepNext/>
              <w:keepLines/>
              <w:rPr>
                <w:rFonts w:ascii="Arial" w:hAnsi="Arial" w:cs="Arial"/>
                <w:sz w:val="20"/>
                <w:szCs w:val="20"/>
              </w:rPr>
            </w:pPr>
          </w:p>
        </w:tc>
        <w:tc>
          <w:tcPr>
            <w:tcW w:w="1951" w:type="dxa"/>
            <w:shd w:val="clear" w:color="auto" w:fill="auto"/>
          </w:tcPr>
          <w:p w14:paraId="32745B56"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512" w:type="dxa"/>
            <w:shd w:val="clear" w:color="auto" w:fill="auto"/>
            <w:vAlign w:val="center"/>
          </w:tcPr>
          <w:p w14:paraId="34E0B71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97.8</w:t>
            </w:r>
          </w:p>
        </w:tc>
        <w:tc>
          <w:tcPr>
            <w:tcW w:w="1512" w:type="dxa"/>
            <w:shd w:val="clear" w:color="auto" w:fill="auto"/>
            <w:vAlign w:val="center"/>
          </w:tcPr>
          <w:p w14:paraId="2BDD3783"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91.9</w:t>
            </w:r>
          </w:p>
        </w:tc>
      </w:tr>
      <w:tr w:rsidR="00D3527F" w14:paraId="5DB65AA9" w14:textId="77777777" w:rsidTr="00D3527F">
        <w:trPr>
          <w:jc w:val="center"/>
        </w:trPr>
        <w:tc>
          <w:tcPr>
            <w:tcW w:w="1075" w:type="dxa"/>
            <w:vMerge w:val="restart"/>
            <w:shd w:val="clear" w:color="auto" w:fill="auto"/>
            <w:vAlign w:val="center"/>
          </w:tcPr>
          <w:p w14:paraId="13D8E73D"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51" w:type="dxa"/>
            <w:shd w:val="clear" w:color="auto" w:fill="auto"/>
          </w:tcPr>
          <w:p w14:paraId="032BCF87"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512" w:type="dxa"/>
            <w:shd w:val="clear" w:color="auto" w:fill="auto"/>
            <w:vAlign w:val="center"/>
          </w:tcPr>
          <w:p w14:paraId="42C522A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279</w:t>
            </w:r>
          </w:p>
        </w:tc>
        <w:tc>
          <w:tcPr>
            <w:tcW w:w="1512" w:type="dxa"/>
            <w:shd w:val="clear" w:color="auto" w:fill="auto"/>
            <w:vAlign w:val="center"/>
          </w:tcPr>
          <w:p w14:paraId="1FCEDB0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324</w:t>
            </w:r>
          </w:p>
        </w:tc>
      </w:tr>
      <w:tr w:rsidR="00D3527F" w14:paraId="718161F0" w14:textId="77777777" w:rsidTr="00D3527F">
        <w:trPr>
          <w:jc w:val="center"/>
        </w:trPr>
        <w:tc>
          <w:tcPr>
            <w:tcW w:w="1075" w:type="dxa"/>
            <w:vMerge/>
            <w:shd w:val="clear" w:color="auto" w:fill="auto"/>
          </w:tcPr>
          <w:p w14:paraId="37C0F689" w14:textId="77777777" w:rsidR="00D3527F" w:rsidRPr="009C75E1" w:rsidRDefault="00D3527F" w:rsidP="00D3527F">
            <w:pPr>
              <w:keepNext/>
              <w:keepLines/>
              <w:rPr>
                <w:rFonts w:ascii="Arial" w:hAnsi="Arial" w:cs="Arial"/>
                <w:sz w:val="20"/>
                <w:szCs w:val="20"/>
              </w:rPr>
            </w:pPr>
          </w:p>
        </w:tc>
        <w:tc>
          <w:tcPr>
            <w:tcW w:w="1951" w:type="dxa"/>
            <w:shd w:val="clear" w:color="auto" w:fill="auto"/>
          </w:tcPr>
          <w:p w14:paraId="00BECA4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512" w:type="dxa"/>
            <w:shd w:val="clear" w:color="auto" w:fill="auto"/>
            <w:vAlign w:val="center"/>
          </w:tcPr>
          <w:p w14:paraId="3261C2FB"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5.6</w:t>
            </w:r>
          </w:p>
        </w:tc>
        <w:tc>
          <w:tcPr>
            <w:tcW w:w="1512" w:type="dxa"/>
            <w:shd w:val="clear" w:color="auto" w:fill="auto"/>
            <w:vAlign w:val="center"/>
          </w:tcPr>
          <w:p w14:paraId="6B81E6D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14.1</w:t>
            </w:r>
          </w:p>
        </w:tc>
      </w:tr>
      <w:tr w:rsidR="00D3527F" w14:paraId="4C5E36DA" w14:textId="77777777" w:rsidTr="00D3527F">
        <w:trPr>
          <w:jc w:val="center"/>
        </w:trPr>
        <w:tc>
          <w:tcPr>
            <w:tcW w:w="1075" w:type="dxa"/>
            <w:vMerge/>
            <w:shd w:val="clear" w:color="auto" w:fill="auto"/>
          </w:tcPr>
          <w:p w14:paraId="0B9733A5" w14:textId="77777777" w:rsidR="00D3527F" w:rsidRPr="009C75E1" w:rsidRDefault="00D3527F" w:rsidP="00D3527F">
            <w:pPr>
              <w:keepNext/>
              <w:keepLines/>
              <w:rPr>
                <w:rFonts w:ascii="Arial" w:hAnsi="Arial" w:cs="Arial"/>
                <w:sz w:val="20"/>
                <w:szCs w:val="20"/>
              </w:rPr>
            </w:pPr>
          </w:p>
        </w:tc>
        <w:tc>
          <w:tcPr>
            <w:tcW w:w="1951" w:type="dxa"/>
            <w:shd w:val="clear" w:color="auto" w:fill="auto"/>
          </w:tcPr>
          <w:p w14:paraId="42A4F35E"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512" w:type="dxa"/>
            <w:shd w:val="clear" w:color="auto" w:fill="auto"/>
            <w:vAlign w:val="center"/>
          </w:tcPr>
          <w:p w14:paraId="4D19405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2.0%</w:t>
            </w:r>
          </w:p>
        </w:tc>
        <w:tc>
          <w:tcPr>
            <w:tcW w:w="1512" w:type="dxa"/>
            <w:shd w:val="clear" w:color="auto" w:fill="auto"/>
            <w:vAlign w:val="center"/>
          </w:tcPr>
          <w:p w14:paraId="5CC6A96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w:t>
            </w:r>
          </w:p>
        </w:tc>
      </w:tr>
    </w:tbl>
    <w:p w14:paraId="556B1FE3" w14:textId="77777777" w:rsidR="00D3527F" w:rsidRDefault="00D3527F" w:rsidP="00D3527F"/>
    <w:p w14:paraId="09B32760" w14:textId="77777777" w:rsidR="00D3527F" w:rsidRPr="00823315" w:rsidRDefault="00D3527F" w:rsidP="00D3527F">
      <w:pPr>
        <w:rPr>
          <w:b/>
          <w:i/>
        </w:rPr>
      </w:pPr>
      <w:r w:rsidRPr="00823315">
        <w:rPr>
          <w:b/>
          <w:i/>
        </w:rPr>
        <w:t>Previous versus current ex-ante</w:t>
      </w:r>
    </w:p>
    <w:p w14:paraId="38FA5488" w14:textId="6CC56DCA" w:rsidR="00D3527F" w:rsidRDefault="00D3527F" w:rsidP="00D3527F">
      <w:r>
        <w:t xml:space="preserve">In this sub-section, we compare the </w:t>
      </w:r>
      <w:r w:rsidRPr="00933F01">
        <w:rPr>
          <w:i/>
        </w:rPr>
        <w:t>ex-ante</w:t>
      </w:r>
      <w:r>
        <w:t xml:space="preserve"> forecast prepared following PY2016 (the “previous study”) to the </w:t>
      </w:r>
      <w:r w:rsidRPr="00933F01">
        <w:rPr>
          <w:i/>
        </w:rPr>
        <w:t>ex-ante</w:t>
      </w:r>
      <w:r>
        <w:t xml:space="preserve"> forecast contained in this study (the “current study”). </w:t>
      </w:r>
      <w:r>
        <w:fldChar w:fldCharType="begin"/>
      </w:r>
      <w:r>
        <w:instrText xml:space="preserve"> REF _Ref507079506 \h </w:instrText>
      </w:r>
      <w:r>
        <w:fldChar w:fldCharType="separate"/>
      </w:r>
      <w:r w:rsidR="005D5C7C">
        <w:t xml:space="preserve">Table </w:t>
      </w:r>
      <w:r w:rsidR="005D5C7C">
        <w:rPr>
          <w:noProof/>
        </w:rPr>
        <w:t>5</w:t>
      </w:r>
      <w:r w:rsidR="005D5C7C">
        <w:t>.</w:t>
      </w:r>
      <w:r w:rsidR="005D5C7C">
        <w:rPr>
          <w:noProof/>
        </w:rPr>
        <w:t>11</w:t>
      </w:r>
      <w:r>
        <w:fldChar w:fldCharType="end"/>
      </w:r>
      <w:r>
        <w:t xml:space="preserve"> reports the average </w:t>
      </w:r>
      <w:r w:rsidR="009215C9">
        <w:t xml:space="preserve">weekday </w:t>
      </w:r>
      <w:r>
        <w:t xml:space="preserve">event-hour load impacts for the August 2018 peak day under utility-specific 1-in-2 weather conditions. </w:t>
      </w:r>
      <w:r w:rsidR="00667FBC">
        <w:t>The total forecast load impact</w:t>
      </w:r>
      <w:r w:rsidR="005908F3">
        <w:t xml:space="preserve"> is higher in the current study, primarily due to the higher percentage load impact.</w:t>
      </w:r>
    </w:p>
    <w:p w14:paraId="7689CA42" w14:textId="77777777" w:rsidR="00D3527F" w:rsidRDefault="00D3527F" w:rsidP="00D3527F"/>
    <w:p w14:paraId="1F21328D" w14:textId="5F16AB9C" w:rsidR="00D3527F" w:rsidRDefault="00D3527F" w:rsidP="00D3527F">
      <w:pPr>
        <w:pStyle w:val="TableCaption"/>
      </w:pPr>
      <w:bookmarkStart w:id="501" w:name="_Ref507079506"/>
      <w:bookmarkStart w:id="502" w:name="_Toc507081247"/>
      <w:bookmarkStart w:id="503" w:name="_Toc507425224"/>
      <w:bookmarkStart w:id="504" w:name="_Toc509837422"/>
      <w:r>
        <w:t xml:space="preserve">Table </w:t>
      </w:r>
      <w:fldSimple w:instr=" STYLEREF 1 \s ">
        <w:r w:rsidR="005D5C7C">
          <w:rPr>
            <w:noProof/>
          </w:rPr>
          <w:t>5</w:t>
        </w:r>
      </w:fldSimple>
      <w:r w:rsidR="0069714C">
        <w:t>.</w:t>
      </w:r>
      <w:fldSimple w:instr=" SEQ Table \* ARABIC \s 1 ">
        <w:r w:rsidR="005D5C7C">
          <w:rPr>
            <w:noProof/>
          </w:rPr>
          <w:t>11</w:t>
        </w:r>
      </w:fldSimple>
      <w:bookmarkEnd w:id="501"/>
      <w:r w:rsidRPr="00376F46">
        <w:t xml:space="preserve">: </w:t>
      </w:r>
      <w:r>
        <w:t xml:space="preserve">Previous vs. Current </w:t>
      </w:r>
      <w:r w:rsidRPr="001634AA">
        <w:rPr>
          <w:i/>
        </w:rPr>
        <w:t>Ex-Ante</w:t>
      </w:r>
      <w:r>
        <w:t xml:space="preserve"> Load Impacts, </w:t>
      </w:r>
      <w:r w:rsidRPr="00D90369">
        <w:rPr>
          <w:i/>
        </w:rPr>
        <w:t>Utility</w:t>
      </w:r>
      <w:r>
        <w:t xml:space="preserve"> </w:t>
      </w:r>
      <w:r w:rsidRPr="001634AA">
        <w:rPr>
          <w:i/>
        </w:rPr>
        <w:t xml:space="preserve">1-in-2 </w:t>
      </w:r>
      <w:r>
        <w:rPr>
          <w:i/>
        </w:rPr>
        <w:br/>
      </w:r>
      <w:r w:rsidRPr="001634AA">
        <w:rPr>
          <w:i/>
        </w:rPr>
        <w:t>August 2018 Peak Day</w:t>
      </w:r>
      <w:bookmarkEnd w:id="502"/>
      <w:bookmarkEnd w:id="503"/>
      <w:r>
        <w:rPr>
          <w:i/>
        </w:rPr>
        <w:t>, SDG&amp;E Large</w:t>
      </w:r>
      <w:bookmarkEnd w:id="50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1916"/>
        <w:gridCol w:w="1445"/>
        <w:gridCol w:w="1369"/>
      </w:tblGrid>
      <w:tr w:rsidR="00D3527F" w14:paraId="26E9BB6A" w14:textId="77777777" w:rsidTr="00D3527F">
        <w:trPr>
          <w:jc w:val="center"/>
        </w:trPr>
        <w:tc>
          <w:tcPr>
            <w:tcW w:w="1153" w:type="dxa"/>
            <w:tcBorders>
              <w:right w:val="single" w:sz="4" w:space="0" w:color="FFFFFF"/>
            </w:tcBorders>
            <w:shd w:val="clear" w:color="auto" w:fill="0C2577"/>
            <w:vAlign w:val="center"/>
          </w:tcPr>
          <w:p w14:paraId="579D0657"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16" w:type="dxa"/>
            <w:tcBorders>
              <w:left w:val="single" w:sz="4" w:space="0" w:color="FFFFFF"/>
              <w:right w:val="single" w:sz="4" w:space="0" w:color="FFFFFF"/>
            </w:tcBorders>
            <w:shd w:val="clear" w:color="auto" w:fill="0C2577"/>
            <w:vAlign w:val="center"/>
          </w:tcPr>
          <w:p w14:paraId="3E091D82"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445" w:type="dxa"/>
            <w:tcBorders>
              <w:left w:val="single" w:sz="4" w:space="0" w:color="FFFFFF"/>
              <w:right w:val="single" w:sz="4" w:space="0" w:color="FFFFFF"/>
            </w:tcBorders>
            <w:shd w:val="clear" w:color="auto" w:fill="0C2577"/>
            <w:vAlign w:val="center"/>
          </w:tcPr>
          <w:p w14:paraId="7EBDDF43" w14:textId="77777777" w:rsidR="00D3527F" w:rsidRPr="009C75E1" w:rsidRDefault="00D3527F" w:rsidP="00D3527F">
            <w:pPr>
              <w:keepNext/>
              <w:keepLines/>
              <w:jc w:val="center"/>
              <w:rPr>
                <w:rFonts w:ascii="Arial" w:hAnsi="Arial" w:cs="Arial"/>
                <w:b/>
                <w:sz w:val="20"/>
                <w:szCs w:val="20"/>
              </w:rPr>
            </w:pPr>
          </w:p>
          <w:p w14:paraId="552B01C7"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Previous</w:t>
            </w:r>
            <w:r>
              <w:rPr>
                <w:rFonts w:ascii="Arial" w:hAnsi="Arial" w:cs="Arial"/>
                <w:b/>
                <w:sz w:val="20"/>
                <w:szCs w:val="20"/>
              </w:rPr>
              <w:t xml:space="preserve"> Study</w:t>
            </w:r>
          </w:p>
          <w:p w14:paraId="6DF0139F" w14:textId="77777777" w:rsidR="00D3527F" w:rsidRPr="009C75E1" w:rsidRDefault="00D3527F" w:rsidP="00D3527F">
            <w:pPr>
              <w:keepNext/>
              <w:keepLines/>
              <w:jc w:val="center"/>
              <w:rPr>
                <w:rFonts w:ascii="Arial" w:hAnsi="Arial" w:cs="Arial"/>
                <w:b/>
                <w:sz w:val="20"/>
                <w:szCs w:val="20"/>
              </w:rPr>
            </w:pPr>
          </w:p>
        </w:tc>
        <w:tc>
          <w:tcPr>
            <w:tcW w:w="1369" w:type="dxa"/>
            <w:tcBorders>
              <w:left w:val="single" w:sz="4" w:space="0" w:color="FFFFFF"/>
            </w:tcBorders>
            <w:shd w:val="clear" w:color="auto" w:fill="0C2577"/>
            <w:vAlign w:val="center"/>
          </w:tcPr>
          <w:p w14:paraId="2E2D9CEB"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Current</w:t>
            </w:r>
            <w:r>
              <w:rPr>
                <w:rFonts w:ascii="Arial" w:hAnsi="Arial" w:cs="Arial"/>
                <w:b/>
                <w:sz w:val="20"/>
                <w:szCs w:val="20"/>
              </w:rPr>
              <w:t xml:space="preserve"> Study</w:t>
            </w:r>
          </w:p>
        </w:tc>
      </w:tr>
      <w:tr w:rsidR="00D3527F" w14:paraId="0017EC23" w14:textId="77777777" w:rsidTr="00D3527F">
        <w:trPr>
          <w:jc w:val="center"/>
        </w:trPr>
        <w:tc>
          <w:tcPr>
            <w:tcW w:w="1153" w:type="dxa"/>
            <w:vMerge w:val="restart"/>
            <w:shd w:val="clear" w:color="auto" w:fill="auto"/>
            <w:vAlign w:val="center"/>
          </w:tcPr>
          <w:p w14:paraId="6FC79564"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16" w:type="dxa"/>
            <w:shd w:val="clear" w:color="auto" w:fill="auto"/>
          </w:tcPr>
          <w:p w14:paraId="56BB0CE5"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445" w:type="dxa"/>
            <w:shd w:val="clear" w:color="auto" w:fill="auto"/>
            <w:vAlign w:val="center"/>
          </w:tcPr>
          <w:p w14:paraId="60EA98D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1,437</w:t>
            </w:r>
          </w:p>
        </w:tc>
        <w:tc>
          <w:tcPr>
            <w:tcW w:w="1369" w:type="dxa"/>
            <w:shd w:val="clear" w:color="auto" w:fill="auto"/>
            <w:vAlign w:val="center"/>
          </w:tcPr>
          <w:p w14:paraId="22F730C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1,422</w:t>
            </w:r>
          </w:p>
        </w:tc>
      </w:tr>
      <w:tr w:rsidR="00D3527F" w14:paraId="277AC4F0" w14:textId="77777777" w:rsidTr="00D3527F">
        <w:trPr>
          <w:trHeight w:val="242"/>
          <w:jc w:val="center"/>
        </w:trPr>
        <w:tc>
          <w:tcPr>
            <w:tcW w:w="1153" w:type="dxa"/>
            <w:vMerge/>
            <w:shd w:val="clear" w:color="auto" w:fill="auto"/>
            <w:vAlign w:val="center"/>
          </w:tcPr>
          <w:p w14:paraId="30CAAF04"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6AA8FE0D"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445" w:type="dxa"/>
            <w:shd w:val="clear" w:color="auto" w:fill="auto"/>
            <w:vAlign w:val="center"/>
          </w:tcPr>
          <w:p w14:paraId="702718C7"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383</w:t>
            </w:r>
          </w:p>
        </w:tc>
        <w:tc>
          <w:tcPr>
            <w:tcW w:w="1369" w:type="dxa"/>
            <w:shd w:val="clear" w:color="auto" w:fill="auto"/>
            <w:vAlign w:val="center"/>
          </w:tcPr>
          <w:p w14:paraId="26EE854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430</w:t>
            </w:r>
          </w:p>
        </w:tc>
      </w:tr>
      <w:tr w:rsidR="00D3527F" w14:paraId="125A76BF" w14:textId="77777777" w:rsidTr="00D3527F">
        <w:trPr>
          <w:jc w:val="center"/>
        </w:trPr>
        <w:tc>
          <w:tcPr>
            <w:tcW w:w="1153" w:type="dxa"/>
            <w:vMerge/>
            <w:shd w:val="clear" w:color="auto" w:fill="auto"/>
            <w:vAlign w:val="center"/>
          </w:tcPr>
          <w:p w14:paraId="2BE1F91D"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171EA3C8"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445" w:type="dxa"/>
            <w:shd w:val="clear" w:color="auto" w:fill="auto"/>
            <w:vAlign w:val="center"/>
          </w:tcPr>
          <w:p w14:paraId="0D7DE5C2"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8.8</w:t>
            </w:r>
          </w:p>
        </w:tc>
        <w:tc>
          <w:tcPr>
            <w:tcW w:w="1369" w:type="dxa"/>
            <w:shd w:val="clear" w:color="auto" w:fill="auto"/>
            <w:vAlign w:val="center"/>
          </w:tcPr>
          <w:p w14:paraId="31E3FC80"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18.5</w:t>
            </w:r>
          </w:p>
        </w:tc>
      </w:tr>
      <w:tr w:rsidR="00D3527F" w14:paraId="147FF182" w14:textId="77777777" w:rsidTr="00D3527F">
        <w:trPr>
          <w:jc w:val="center"/>
        </w:trPr>
        <w:tc>
          <w:tcPr>
            <w:tcW w:w="1153" w:type="dxa"/>
            <w:vMerge/>
            <w:shd w:val="clear" w:color="auto" w:fill="auto"/>
            <w:vAlign w:val="center"/>
          </w:tcPr>
          <w:p w14:paraId="338A325D"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57BADD5F"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445" w:type="dxa"/>
            <w:shd w:val="clear" w:color="auto" w:fill="auto"/>
            <w:vAlign w:val="center"/>
          </w:tcPr>
          <w:p w14:paraId="36CB593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84.6</w:t>
            </w:r>
          </w:p>
        </w:tc>
        <w:tc>
          <w:tcPr>
            <w:tcW w:w="1369" w:type="dxa"/>
            <w:shd w:val="clear" w:color="auto" w:fill="auto"/>
            <w:vAlign w:val="center"/>
          </w:tcPr>
          <w:p w14:paraId="322A1BF9"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86.2</w:t>
            </w:r>
          </w:p>
        </w:tc>
      </w:tr>
      <w:tr w:rsidR="00D3527F" w14:paraId="27066219" w14:textId="77777777" w:rsidTr="00D3527F">
        <w:trPr>
          <w:jc w:val="center"/>
        </w:trPr>
        <w:tc>
          <w:tcPr>
            <w:tcW w:w="1153" w:type="dxa"/>
            <w:vMerge w:val="restart"/>
            <w:shd w:val="clear" w:color="auto" w:fill="auto"/>
            <w:vAlign w:val="center"/>
          </w:tcPr>
          <w:p w14:paraId="0B60B7BC"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16" w:type="dxa"/>
            <w:shd w:val="clear" w:color="auto" w:fill="auto"/>
          </w:tcPr>
          <w:p w14:paraId="187560E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445" w:type="dxa"/>
            <w:shd w:val="clear" w:color="auto" w:fill="auto"/>
            <w:vAlign w:val="center"/>
          </w:tcPr>
          <w:p w14:paraId="6A13E4F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267</w:t>
            </w:r>
          </w:p>
        </w:tc>
        <w:tc>
          <w:tcPr>
            <w:tcW w:w="1369" w:type="dxa"/>
            <w:shd w:val="clear" w:color="auto" w:fill="auto"/>
            <w:vAlign w:val="center"/>
          </w:tcPr>
          <w:p w14:paraId="1844EB5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302</w:t>
            </w:r>
          </w:p>
        </w:tc>
      </w:tr>
      <w:tr w:rsidR="00D3527F" w14:paraId="2B07865F" w14:textId="77777777" w:rsidTr="00D3527F">
        <w:trPr>
          <w:jc w:val="center"/>
        </w:trPr>
        <w:tc>
          <w:tcPr>
            <w:tcW w:w="1153" w:type="dxa"/>
            <w:vMerge/>
            <w:shd w:val="clear" w:color="auto" w:fill="auto"/>
          </w:tcPr>
          <w:p w14:paraId="3AEE109B"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59FFD4A3"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445" w:type="dxa"/>
            <w:shd w:val="clear" w:color="auto" w:fill="auto"/>
            <w:vAlign w:val="center"/>
          </w:tcPr>
          <w:p w14:paraId="468D523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6.1</w:t>
            </w:r>
          </w:p>
        </w:tc>
        <w:tc>
          <w:tcPr>
            <w:tcW w:w="1369" w:type="dxa"/>
            <w:shd w:val="clear" w:color="auto" w:fill="auto"/>
            <w:vAlign w:val="center"/>
          </w:tcPr>
          <w:p w14:paraId="36991D58"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13.0</w:t>
            </w:r>
          </w:p>
        </w:tc>
      </w:tr>
      <w:tr w:rsidR="00D3527F" w14:paraId="2891802D" w14:textId="77777777" w:rsidTr="00D3527F">
        <w:trPr>
          <w:jc w:val="center"/>
        </w:trPr>
        <w:tc>
          <w:tcPr>
            <w:tcW w:w="1153" w:type="dxa"/>
            <w:vMerge/>
            <w:shd w:val="clear" w:color="auto" w:fill="auto"/>
          </w:tcPr>
          <w:p w14:paraId="5ABAB656"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47F1FA8D"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445" w:type="dxa"/>
            <w:shd w:val="clear" w:color="auto" w:fill="auto"/>
            <w:vAlign w:val="center"/>
          </w:tcPr>
          <w:p w14:paraId="2925CFFC"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2.3%</w:t>
            </w:r>
          </w:p>
        </w:tc>
        <w:tc>
          <w:tcPr>
            <w:tcW w:w="1369" w:type="dxa"/>
            <w:shd w:val="clear" w:color="auto" w:fill="auto"/>
            <w:vAlign w:val="center"/>
          </w:tcPr>
          <w:p w14:paraId="2AA8CB7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w:t>
            </w:r>
          </w:p>
        </w:tc>
      </w:tr>
    </w:tbl>
    <w:p w14:paraId="70EEF4D1" w14:textId="77777777" w:rsidR="00D3527F" w:rsidRDefault="00D3527F" w:rsidP="00D3527F"/>
    <w:p w14:paraId="1A32F827" w14:textId="77777777" w:rsidR="00D3527F" w:rsidRPr="00823315" w:rsidRDefault="00D3527F" w:rsidP="00D3527F">
      <w:pPr>
        <w:rPr>
          <w:b/>
          <w:i/>
        </w:rPr>
      </w:pPr>
      <w:r w:rsidRPr="00823315">
        <w:rPr>
          <w:b/>
          <w:i/>
        </w:rPr>
        <w:t>Previous ex-ante versus current ex-post</w:t>
      </w:r>
    </w:p>
    <w:p w14:paraId="3066BE52" w14:textId="05F2218B" w:rsidR="00D3527F" w:rsidRDefault="00D3527F" w:rsidP="00D3527F">
      <w:r>
        <w:fldChar w:fldCharType="begin"/>
      </w:r>
      <w:r>
        <w:instrText xml:space="preserve"> REF _Ref507079537 \h </w:instrText>
      </w:r>
      <w:r>
        <w:fldChar w:fldCharType="separate"/>
      </w:r>
      <w:r w:rsidR="005D5C7C">
        <w:t xml:space="preserve">Table </w:t>
      </w:r>
      <w:r w:rsidR="005D5C7C">
        <w:rPr>
          <w:noProof/>
        </w:rPr>
        <w:t>5</w:t>
      </w:r>
      <w:r w:rsidR="005D5C7C">
        <w:t>.</w:t>
      </w:r>
      <w:r w:rsidR="005D5C7C">
        <w:rPr>
          <w:noProof/>
        </w:rPr>
        <w:t>12</w:t>
      </w:r>
      <w:r>
        <w:fldChar w:fldCharType="end"/>
      </w:r>
      <w:r>
        <w:t xml:space="preserve"> provides a comparison of the </w:t>
      </w:r>
      <w:r w:rsidRPr="005926F0">
        <w:rPr>
          <w:i/>
        </w:rPr>
        <w:t>ex-ante</w:t>
      </w:r>
      <w:r>
        <w:t xml:space="preserve"> forecast of 2017 load impacts prepared following PY2016 and the PY2017 load impacts estimated as part of this study. The </w:t>
      </w:r>
      <w:r w:rsidRPr="005926F0">
        <w:rPr>
          <w:i/>
        </w:rPr>
        <w:t>ex-ante</w:t>
      </w:r>
      <w:r>
        <w:t xml:space="preserve"> forecast shown in the table represents the August peak day during a utility-specific 1-in-2 weather year. The </w:t>
      </w:r>
      <w:r w:rsidRPr="005926F0">
        <w:rPr>
          <w:i/>
        </w:rPr>
        <w:t>ex-post</w:t>
      </w:r>
      <w:r>
        <w:t xml:space="preserve"> load impacts are based on the average event day. While the number of customers </w:t>
      </w:r>
      <w:r w:rsidR="005908F3">
        <w:t>in 2017 was below forecast levels</w:t>
      </w:r>
      <w:r>
        <w:t>, the average per-customer reference load</w:t>
      </w:r>
      <w:r w:rsidR="005908F3">
        <w:t xml:space="preserve"> was higher than forecast (324</w:t>
      </w:r>
      <w:r>
        <w:t xml:space="preserve"> kWh/hour to </w:t>
      </w:r>
      <w:r w:rsidR="005908F3">
        <w:t>267</w:t>
      </w:r>
      <w:r>
        <w:t xml:space="preserve"> kWh/hour</w:t>
      </w:r>
      <w:r w:rsidR="005908F3">
        <w:t xml:space="preserve">). The percentage load impact was also higher than expected (4.3 percent vs. </w:t>
      </w:r>
      <w:r>
        <w:t>2.3</w:t>
      </w:r>
      <w:r w:rsidR="005908F3">
        <w:t xml:space="preserve"> percent)</w:t>
      </w:r>
      <w:r>
        <w:t xml:space="preserve">. </w:t>
      </w:r>
    </w:p>
    <w:p w14:paraId="70A01492" w14:textId="77777777" w:rsidR="00D3527F" w:rsidRDefault="00D3527F" w:rsidP="00D3527F"/>
    <w:p w14:paraId="48421B80" w14:textId="1DD3F03C" w:rsidR="00D3527F" w:rsidRPr="009E4792" w:rsidRDefault="00D3527F" w:rsidP="00D3527F">
      <w:pPr>
        <w:pStyle w:val="TableCaption"/>
        <w:rPr>
          <w:i/>
        </w:rPr>
      </w:pPr>
      <w:bookmarkStart w:id="505" w:name="_Ref507079537"/>
      <w:bookmarkStart w:id="506" w:name="_Toc507081248"/>
      <w:bookmarkStart w:id="507" w:name="_Toc507425225"/>
      <w:bookmarkStart w:id="508" w:name="_Toc509837423"/>
      <w:r>
        <w:lastRenderedPageBreak/>
        <w:t xml:space="preserve">Table </w:t>
      </w:r>
      <w:fldSimple w:instr=" STYLEREF 1 \s ">
        <w:r w:rsidR="005D5C7C">
          <w:rPr>
            <w:noProof/>
          </w:rPr>
          <w:t>5</w:t>
        </w:r>
      </w:fldSimple>
      <w:r w:rsidR="0069714C">
        <w:t>.</w:t>
      </w:r>
      <w:fldSimple w:instr=" SEQ Table \* ARABIC \s 1 ">
        <w:r w:rsidR="005D5C7C">
          <w:rPr>
            <w:noProof/>
          </w:rPr>
          <w:t>12</w:t>
        </w:r>
      </w:fldSimple>
      <w:bookmarkEnd w:id="505"/>
      <w:r>
        <w:t>:</w:t>
      </w:r>
      <w:r w:rsidRPr="00827AFF">
        <w:t xml:space="preserve"> </w:t>
      </w:r>
      <w:r w:rsidRPr="00376F46">
        <w:t xml:space="preserve">Comparison of </w:t>
      </w:r>
      <w:r>
        <w:t xml:space="preserve">Previous </w:t>
      </w:r>
      <w:r>
        <w:rPr>
          <w:i/>
        </w:rPr>
        <w:t>Ex-Ante</w:t>
      </w:r>
      <w:r>
        <w:t xml:space="preserve"> and Current </w:t>
      </w:r>
      <w:r>
        <w:rPr>
          <w:i/>
        </w:rPr>
        <w:t>Ex-Post</w:t>
      </w:r>
      <w:r>
        <w:t xml:space="preserve"> </w:t>
      </w:r>
      <w:r w:rsidRPr="00376F46">
        <w:t>Impacts</w:t>
      </w:r>
      <w:bookmarkEnd w:id="506"/>
      <w:bookmarkEnd w:id="507"/>
      <w:r>
        <w:t xml:space="preserve">, </w:t>
      </w:r>
      <w:r>
        <w:rPr>
          <w:i/>
        </w:rPr>
        <w:t>SDG&amp;E Large</w:t>
      </w:r>
      <w:bookmarkEnd w:id="50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D3527F" w14:paraId="26C8D4F0" w14:textId="77777777" w:rsidTr="00D3527F">
        <w:trPr>
          <w:jc w:val="center"/>
        </w:trPr>
        <w:tc>
          <w:tcPr>
            <w:tcW w:w="1548" w:type="dxa"/>
            <w:tcBorders>
              <w:right w:val="single" w:sz="4" w:space="0" w:color="FFFFFF"/>
            </w:tcBorders>
            <w:shd w:val="clear" w:color="auto" w:fill="0C2577"/>
            <w:vAlign w:val="center"/>
          </w:tcPr>
          <w:p w14:paraId="2B25DE16"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66C5AAA3"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48301558" w14:textId="77777777"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2017 August Peak Day from PY2016 Study</w:t>
            </w:r>
          </w:p>
        </w:tc>
        <w:tc>
          <w:tcPr>
            <w:tcW w:w="1772" w:type="dxa"/>
            <w:tcBorders>
              <w:left w:val="single" w:sz="4" w:space="0" w:color="FFFFFF"/>
            </w:tcBorders>
            <w:shd w:val="clear" w:color="auto" w:fill="0C2577"/>
            <w:vAlign w:val="center"/>
          </w:tcPr>
          <w:p w14:paraId="77AF9A8C" w14:textId="44B418ED"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w:t>
            </w:r>
            <w:r w:rsidR="009215C9">
              <w:rPr>
                <w:rFonts w:ascii="Arial" w:hAnsi="Arial" w:cs="Arial"/>
                <w:b/>
                <w:sz w:val="20"/>
                <w:szCs w:val="20"/>
              </w:rPr>
              <w:t xml:space="preserve"> Weekday</w:t>
            </w:r>
            <w:r>
              <w:rPr>
                <w:rFonts w:ascii="Arial" w:hAnsi="Arial" w:cs="Arial"/>
                <w:b/>
                <w:sz w:val="20"/>
                <w:szCs w:val="20"/>
              </w:rPr>
              <w:t xml:space="preserve"> Event from PY2017 Study</w:t>
            </w:r>
          </w:p>
        </w:tc>
      </w:tr>
      <w:tr w:rsidR="00D3527F" w14:paraId="7C11187F" w14:textId="77777777" w:rsidTr="00D3527F">
        <w:trPr>
          <w:jc w:val="center"/>
        </w:trPr>
        <w:tc>
          <w:tcPr>
            <w:tcW w:w="1548" w:type="dxa"/>
            <w:vMerge w:val="restart"/>
            <w:shd w:val="clear" w:color="auto" w:fill="auto"/>
            <w:vAlign w:val="center"/>
          </w:tcPr>
          <w:p w14:paraId="019DBA35"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1AFD2D84"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7DC7E583"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1,425</w:t>
            </w:r>
          </w:p>
        </w:tc>
        <w:tc>
          <w:tcPr>
            <w:tcW w:w="1772" w:type="dxa"/>
            <w:shd w:val="clear" w:color="auto" w:fill="auto"/>
            <w:vAlign w:val="center"/>
          </w:tcPr>
          <w:p w14:paraId="78BCBFA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1,281</w:t>
            </w:r>
          </w:p>
        </w:tc>
      </w:tr>
      <w:tr w:rsidR="00D3527F" w14:paraId="7FEA0FA1" w14:textId="77777777" w:rsidTr="00D3527F">
        <w:trPr>
          <w:trHeight w:val="242"/>
          <w:jc w:val="center"/>
        </w:trPr>
        <w:tc>
          <w:tcPr>
            <w:tcW w:w="1548" w:type="dxa"/>
            <w:vMerge/>
            <w:shd w:val="clear" w:color="auto" w:fill="auto"/>
            <w:vAlign w:val="center"/>
          </w:tcPr>
          <w:p w14:paraId="36E5AE35"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2458FAA7"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0494928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380</w:t>
            </w:r>
          </w:p>
        </w:tc>
        <w:tc>
          <w:tcPr>
            <w:tcW w:w="1772" w:type="dxa"/>
            <w:shd w:val="clear" w:color="auto" w:fill="auto"/>
            <w:vAlign w:val="center"/>
          </w:tcPr>
          <w:p w14:paraId="52C58E1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415</w:t>
            </w:r>
          </w:p>
        </w:tc>
      </w:tr>
      <w:tr w:rsidR="00D3527F" w14:paraId="005FD21D" w14:textId="77777777" w:rsidTr="00D3527F">
        <w:trPr>
          <w:jc w:val="center"/>
        </w:trPr>
        <w:tc>
          <w:tcPr>
            <w:tcW w:w="1548" w:type="dxa"/>
            <w:vMerge/>
            <w:shd w:val="clear" w:color="auto" w:fill="auto"/>
            <w:vAlign w:val="center"/>
          </w:tcPr>
          <w:p w14:paraId="5166818F"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64851E58"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61E9F62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8.7</w:t>
            </w:r>
          </w:p>
        </w:tc>
        <w:tc>
          <w:tcPr>
            <w:tcW w:w="1772" w:type="dxa"/>
            <w:shd w:val="clear" w:color="auto" w:fill="auto"/>
            <w:vAlign w:val="center"/>
          </w:tcPr>
          <w:p w14:paraId="6795FEE0"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18.0</w:t>
            </w:r>
          </w:p>
        </w:tc>
      </w:tr>
      <w:tr w:rsidR="00D3527F" w14:paraId="42A58FDC" w14:textId="77777777" w:rsidTr="00D3527F">
        <w:trPr>
          <w:jc w:val="center"/>
        </w:trPr>
        <w:tc>
          <w:tcPr>
            <w:tcW w:w="1548" w:type="dxa"/>
            <w:vMerge/>
            <w:shd w:val="clear" w:color="auto" w:fill="auto"/>
            <w:vAlign w:val="center"/>
          </w:tcPr>
          <w:p w14:paraId="770C43E0"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2C94E210"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66B14113"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84.6</w:t>
            </w:r>
          </w:p>
        </w:tc>
        <w:tc>
          <w:tcPr>
            <w:tcW w:w="1772" w:type="dxa"/>
            <w:shd w:val="clear" w:color="auto" w:fill="auto"/>
            <w:vAlign w:val="center"/>
          </w:tcPr>
          <w:p w14:paraId="391A57C2"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91.9</w:t>
            </w:r>
          </w:p>
        </w:tc>
      </w:tr>
      <w:tr w:rsidR="00D3527F" w14:paraId="67918253" w14:textId="77777777" w:rsidTr="00D3527F">
        <w:trPr>
          <w:jc w:val="center"/>
        </w:trPr>
        <w:tc>
          <w:tcPr>
            <w:tcW w:w="1548" w:type="dxa"/>
            <w:vMerge w:val="restart"/>
            <w:shd w:val="clear" w:color="auto" w:fill="auto"/>
            <w:vAlign w:val="center"/>
          </w:tcPr>
          <w:p w14:paraId="648CB15A"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047CC003"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40DEDF4C"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267</w:t>
            </w:r>
          </w:p>
        </w:tc>
        <w:tc>
          <w:tcPr>
            <w:tcW w:w="1772" w:type="dxa"/>
            <w:shd w:val="clear" w:color="auto" w:fill="auto"/>
            <w:vAlign w:val="center"/>
          </w:tcPr>
          <w:p w14:paraId="412946E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324</w:t>
            </w:r>
          </w:p>
        </w:tc>
      </w:tr>
      <w:tr w:rsidR="00D3527F" w14:paraId="05F230A2" w14:textId="77777777" w:rsidTr="00D3527F">
        <w:trPr>
          <w:jc w:val="center"/>
        </w:trPr>
        <w:tc>
          <w:tcPr>
            <w:tcW w:w="1548" w:type="dxa"/>
            <w:vMerge/>
            <w:shd w:val="clear" w:color="auto" w:fill="auto"/>
          </w:tcPr>
          <w:p w14:paraId="5441A0C3"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74C14748"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35D88B52"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6.1</w:t>
            </w:r>
          </w:p>
        </w:tc>
        <w:tc>
          <w:tcPr>
            <w:tcW w:w="1772" w:type="dxa"/>
            <w:shd w:val="clear" w:color="auto" w:fill="auto"/>
            <w:vAlign w:val="center"/>
          </w:tcPr>
          <w:p w14:paraId="4F658D7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14.1</w:t>
            </w:r>
          </w:p>
        </w:tc>
      </w:tr>
      <w:tr w:rsidR="00D3527F" w14:paraId="35AC0E6A" w14:textId="77777777" w:rsidTr="00D3527F">
        <w:trPr>
          <w:jc w:val="center"/>
        </w:trPr>
        <w:tc>
          <w:tcPr>
            <w:tcW w:w="1548" w:type="dxa"/>
            <w:vMerge/>
            <w:shd w:val="clear" w:color="auto" w:fill="auto"/>
          </w:tcPr>
          <w:p w14:paraId="3740751E"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3ED9D79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462F9D1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2.3%</w:t>
            </w:r>
          </w:p>
        </w:tc>
        <w:tc>
          <w:tcPr>
            <w:tcW w:w="1772" w:type="dxa"/>
            <w:shd w:val="clear" w:color="auto" w:fill="auto"/>
            <w:vAlign w:val="center"/>
          </w:tcPr>
          <w:p w14:paraId="2BAA0C7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w:t>
            </w:r>
          </w:p>
        </w:tc>
      </w:tr>
    </w:tbl>
    <w:p w14:paraId="24B1B74D" w14:textId="77777777" w:rsidR="00D3527F" w:rsidRDefault="00D3527F" w:rsidP="00D3527F"/>
    <w:p w14:paraId="50D1C0B1" w14:textId="77777777" w:rsidR="00D3527F" w:rsidRPr="00823315" w:rsidRDefault="00D3527F" w:rsidP="00D3527F">
      <w:pPr>
        <w:rPr>
          <w:b/>
          <w:i/>
        </w:rPr>
      </w:pPr>
      <w:r w:rsidRPr="00823315">
        <w:rPr>
          <w:b/>
          <w:i/>
        </w:rPr>
        <w:t>Current ex-post versus current ex-ante</w:t>
      </w:r>
    </w:p>
    <w:p w14:paraId="19DA173A" w14:textId="04E75EF6" w:rsidR="00D3527F" w:rsidRPr="00B1617C" w:rsidRDefault="00D3527F" w:rsidP="00D3527F">
      <w:r>
        <w:fldChar w:fldCharType="begin"/>
      </w:r>
      <w:r>
        <w:instrText xml:space="preserve"> REF _Ref507079559 \h </w:instrText>
      </w:r>
      <w:r>
        <w:fldChar w:fldCharType="separate"/>
      </w:r>
      <w:r w:rsidR="005D5C7C">
        <w:t xml:space="preserve">Table </w:t>
      </w:r>
      <w:r w:rsidR="005D5C7C">
        <w:rPr>
          <w:noProof/>
        </w:rPr>
        <w:t>5</w:t>
      </w:r>
      <w:r w:rsidR="005D5C7C">
        <w:t>.</w:t>
      </w:r>
      <w:r w:rsidR="005D5C7C">
        <w:rPr>
          <w:noProof/>
        </w:rPr>
        <w:t>13</w:t>
      </w:r>
      <w:r>
        <w:fldChar w:fldCharType="end"/>
      </w:r>
      <w:r>
        <w:t xml:space="preserve"> compares the </w:t>
      </w:r>
      <w:r w:rsidRPr="005926F0">
        <w:rPr>
          <w:i/>
        </w:rPr>
        <w:t>ex-post</w:t>
      </w:r>
      <w:r>
        <w:t xml:space="preserve"> and </w:t>
      </w:r>
      <w:r w:rsidRPr="005926F0">
        <w:rPr>
          <w:i/>
        </w:rPr>
        <w:t>ex-ante</w:t>
      </w:r>
      <w:r>
        <w:t xml:space="preserve"> load impacts from this study. The </w:t>
      </w:r>
      <w:r w:rsidRPr="005926F0">
        <w:rPr>
          <w:i/>
        </w:rPr>
        <w:t>ex-ante</w:t>
      </w:r>
      <w:r>
        <w:t xml:space="preserve"> load impacts in the table represent the 2018 August peak day with utility-specific 1-in-2 weather conditions. The percentage load impact is equivalent between the current </w:t>
      </w:r>
      <w:r>
        <w:rPr>
          <w:i/>
        </w:rPr>
        <w:t xml:space="preserve">ex-post </w:t>
      </w:r>
      <w:r>
        <w:t xml:space="preserve">and </w:t>
      </w:r>
      <w:r>
        <w:rPr>
          <w:i/>
        </w:rPr>
        <w:t xml:space="preserve">ex-ante </w:t>
      </w:r>
      <w:r>
        <w:t>analysis b</w:t>
      </w:r>
      <w:r w:rsidR="005908F3">
        <w:t>y</w:t>
      </w:r>
      <w:r>
        <w:t xml:space="preserve"> design. The enrollment number </w:t>
      </w:r>
      <w:r w:rsidR="005908F3">
        <w:t>is</w:t>
      </w:r>
      <w:r>
        <w:t xml:space="preserve"> </w:t>
      </w:r>
      <w:r w:rsidR="005908F3">
        <w:t>higher</w:t>
      </w:r>
      <w:r>
        <w:t xml:space="preserve"> in the </w:t>
      </w:r>
      <w:r>
        <w:rPr>
          <w:i/>
        </w:rPr>
        <w:t>ex-ante</w:t>
      </w:r>
      <w:r>
        <w:t xml:space="preserve"> study which contributes to the </w:t>
      </w:r>
      <w:r w:rsidR="005908F3">
        <w:t xml:space="preserve">higher </w:t>
      </w:r>
      <w:r>
        <w:t xml:space="preserve">aggregate reference load and load impact. The per-customer load impact level is slightly </w:t>
      </w:r>
      <w:r w:rsidR="005908F3">
        <w:t xml:space="preserve">lower </w:t>
      </w:r>
      <w:r>
        <w:t xml:space="preserve">in the </w:t>
      </w:r>
      <w:r>
        <w:rPr>
          <w:i/>
        </w:rPr>
        <w:t>ex-ante</w:t>
      </w:r>
      <w:r>
        <w:rPr>
          <w:i/>
        </w:rPr>
        <w:softHyphen/>
        <w:t xml:space="preserve"> </w:t>
      </w:r>
      <w:r>
        <w:t xml:space="preserve">study due to the cooler August 2018 peak day temperature. </w:t>
      </w:r>
    </w:p>
    <w:p w14:paraId="5EB9C623" w14:textId="77777777" w:rsidR="00D3527F" w:rsidRDefault="00D3527F" w:rsidP="00D3527F"/>
    <w:p w14:paraId="17F32427" w14:textId="6DE3C871" w:rsidR="00D3527F" w:rsidRPr="00BB5B2C" w:rsidRDefault="00D3527F" w:rsidP="00D3527F">
      <w:pPr>
        <w:pStyle w:val="TableCaption"/>
        <w:rPr>
          <w:i/>
        </w:rPr>
      </w:pPr>
      <w:bookmarkStart w:id="509" w:name="_Ref507079559"/>
      <w:bookmarkStart w:id="510" w:name="_Toc507081249"/>
      <w:bookmarkStart w:id="511" w:name="_Toc507425226"/>
      <w:bookmarkStart w:id="512" w:name="_Toc509837424"/>
      <w:r>
        <w:t xml:space="preserve">Table </w:t>
      </w:r>
      <w:fldSimple w:instr=" STYLEREF 1 \s ">
        <w:r w:rsidR="005D5C7C">
          <w:rPr>
            <w:noProof/>
          </w:rPr>
          <w:t>5</w:t>
        </w:r>
      </w:fldSimple>
      <w:r w:rsidR="0069714C">
        <w:t>.</w:t>
      </w:r>
      <w:fldSimple w:instr=" SEQ Table \* ARABIC \s 1 ">
        <w:r w:rsidR="005D5C7C">
          <w:rPr>
            <w:noProof/>
          </w:rPr>
          <w:t>13</w:t>
        </w:r>
      </w:fldSimple>
      <w:bookmarkEnd w:id="509"/>
      <w:r>
        <w:t xml:space="preserve">: </w:t>
      </w:r>
      <w:r w:rsidRPr="00376F46">
        <w:t xml:space="preserve">Comparison of </w:t>
      </w:r>
      <w:r>
        <w:t xml:space="preserve">Current </w:t>
      </w:r>
      <w:r>
        <w:rPr>
          <w:i/>
        </w:rPr>
        <w:t>Ex-Post</w:t>
      </w:r>
      <w:r>
        <w:t xml:space="preserve"> and </w:t>
      </w:r>
      <w:r>
        <w:rPr>
          <w:i/>
        </w:rPr>
        <w:t>Ex-Ante</w:t>
      </w:r>
      <w:r>
        <w:t xml:space="preserve"> Load </w:t>
      </w:r>
      <w:r w:rsidRPr="00376F46">
        <w:t>Impacts</w:t>
      </w:r>
      <w:bookmarkEnd w:id="510"/>
      <w:bookmarkEnd w:id="511"/>
      <w:r>
        <w:t xml:space="preserve">, </w:t>
      </w:r>
      <w:r>
        <w:rPr>
          <w:i/>
        </w:rPr>
        <w:t>SDG&amp;E Large</w:t>
      </w:r>
      <w:bookmarkEnd w:id="5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D3527F" w14:paraId="3A768A83" w14:textId="77777777" w:rsidTr="00D3527F">
        <w:trPr>
          <w:jc w:val="center"/>
        </w:trPr>
        <w:tc>
          <w:tcPr>
            <w:tcW w:w="1548" w:type="dxa"/>
            <w:tcBorders>
              <w:right w:val="single" w:sz="4" w:space="0" w:color="FFFFFF"/>
            </w:tcBorders>
            <w:shd w:val="clear" w:color="auto" w:fill="0C2577"/>
            <w:vAlign w:val="center"/>
          </w:tcPr>
          <w:p w14:paraId="65BEB42C"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6012EB2D"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50D50C77" w14:textId="5341AC5E"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w:t>
            </w:r>
            <w:r w:rsidR="009215C9">
              <w:rPr>
                <w:rFonts w:ascii="Arial" w:hAnsi="Arial" w:cs="Arial"/>
                <w:b/>
                <w:sz w:val="20"/>
                <w:szCs w:val="20"/>
              </w:rPr>
              <w:t xml:space="preserve"> Weekday</w:t>
            </w:r>
            <w:r>
              <w:rPr>
                <w:rFonts w:ascii="Arial" w:hAnsi="Arial" w:cs="Arial"/>
                <w:b/>
                <w:sz w:val="20"/>
                <w:szCs w:val="20"/>
              </w:rPr>
              <w:t xml:space="preserve"> Event from PY2017 Study</w:t>
            </w:r>
          </w:p>
        </w:tc>
        <w:tc>
          <w:tcPr>
            <w:tcW w:w="1772" w:type="dxa"/>
            <w:tcBorders>
              <w:left w:val="single" w:sz="4" w:space="0" w:color="FFFFFF"/>
            </w:tcBorders>
            <w:shd w:val="clear" w:color="auto" w:fill="0C2577"/>
            <w:vAlign w:val="center"/>
          </w:tcPr>
          <w:p w14:paraId="184C1962" w14:textId="77777777"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2018 August Peak Day from PY2017 Study</w:t>
            </w:r>
          </w:p>
        </w:tc>
      </w:tr>
      <w:tr w:rsidR="00D3527F" w14:paraId="2F5A8466" w14:textId="77777777" w:rsidTr="00D3527F">
        <w:trPr>
          <w:jc w:val="center"/>
        </w:trPr>
        <w:tc>
          <w:tcPr>
            <w:tcW w:w="1548" w:type="dxa"/>
            <w:vMerge w:val="restart"/>
            <w:shd w:val="clear" w:color="auto" w:fill="auto"/>
            <w:vAlign w:val="center"/>
          </w:tcPr>
          <w:p w14:paraId="70AC891F"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261559AF"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1C1E45F3"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1,281</w:t>
            </w:r>
          </w:p>
        </w:tc>
        <w:tc>
          <w:tcPr>
            <w:tcW w:w="1772" w:type="dxa"/>
            <w:shd w:val="clear" w:color="auto" w:fill="auto"/>
            <w:vAlign w:val="center"/>
          </w:tcPr>
          <w:p w14:paraId="506E37AB"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1,422</w:t>
            </w:r>
          </w:p>
        </w:tc>
      </w:tr>
      <w:tr w:rsidR="00D3527F" w14:paraId="597CBB79" w14:textId="77777777" w:rsidTr="00D3527F">
        <w:trPr>
          <w:trHeight w:val="242"/>
          <w:jc w:val="center"/>
        </w:trPr>
        <w:tc>
          <w:tcPr>
            <w:tcW w:w="1548" w:type="dxa"/>
            <w:vMerge/>
            <w:shd w:val="clear" w:color="auto" w:fill="auto"/>
            <w:vAlign w:val="center"/>
          </w:tcPr>
          <w:p w14:paraId="3E95F866"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1A673580"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047C3E2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415</w:t>
            </w:r>
          </w:p>
        </w:tc>
        <w:tc>
          <w:tcPr>
            <w:tcW w:w="1772" w:type="dxa"/>
            <w:shd w:val="clear" w:color="auto" w:fill="auto"/>
            <w:vAlign w:val="center"/>
          </w:tcPr>
          <w:p w14:paraId="2D6A138C"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430</w:t>
            </w:r>
          </w:p>
        </w:tc>
      </w:tr>
      <w:tr w:rsidR="00D3527F" w14:paraId="7D2744DE" w14:textId="77777777" w:rsidTr="00D3527F">
        <w:trPr>
          <w:jc w:val="center"/>
        </w:trPr>
        <w:tc>
          <w:tcPr>
            <w:tcW w:w="1548" w:type="dxa"/>
            <w:vMerge/>
            <w:shd w:val="clear" w:color="auto" w:fill="auto"/>
            <w:vAlign w:val="center"/>
          </w:tcPr>
          <w:p w14:paraId="2130F417"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6E10D5BE"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16E4CD7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18.0</w:t>
            </w:r>
          </w:p>
        </w:tc>
        <w:tc>
          <w:tcPr>
            <w:tcW w:w="1772" w:type="dxa"/>
            <w:shd w:val="clear" w:color="auto" w:fill="auto"/>
            <w:vAlign w:val="center"/>
          </w:tcPr>
          <w:p w14:paraId="62AC0AC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18.5</w:t>
            </w:r>
          </w:p>
        </w:tc>
      </w:tr>
      <w:tr w:rsidR="00D3527F" w14:paraId="67063597" w14:textId="77777777" w:rsidTr="00D3527F">
        <w:trPr>
          <w:jc w:val="center"/>
        </w:trPr>
        <w:tc>
          <w:tcPr>
            <w:tcW w:w="1548" w:type="dxa"/>
            <w:vMerge/>
            <w:shd w:val="clear" w:color="auto" w:fill="auto"/>
            <w:vAlign w:val="center"/>
          </w:tcPr>
          <w:p w14:paraId="6689F627"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55B51999"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1FA3DDD9"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91.9</w:t>
            </w:r>
          </w:p>
        </w:tc>
        <w:tc>
          <w:tcPr>
            <w:tcW w:w="1772" w:type="dxa"/>
            <w:shd w:val="clear" w:color="auto" w:fill="auto"/>
            <w:vAlign w:val="center"/>
          </w:tcPr>
          <w:p w14:paraId="6C828A72"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86.2</w:t>
            </w:r>
          </w:p>
        </w:tc>
      </w:tr>
      <w:tr w:rsidR="00D3527F" w14:paraId="741D3F95" w14:textId="77777777" w:rsidTr="00D3527F">
        <w:trPr>
          <w:jc w:val="center"/>
        </w:trPr>
        <w:tc>
          <w:tcPr>
            <w:tcW w:w="1548" w:type="dxa"/>
            <w:vMerge w:val="restart"/>
            <w:shd w:val="clear" w:color="auto" w:fill="auto"/>
            <w:vAlign w:val="center"/>
          </w:tcPr>
          <w:p w14:paraId="7442DD8F"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443AB2E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1AED4C5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324</w:t>
            </w:r>
          </w:p>
        </w:tc>
        <w:tc>
          <w:tcPr>
            <w:tcW w:w="1772" w:type="dxa"/>
            <w:shd w:val="clear" w:color="auto" w:fill="auto"/>
            <w:vAlign w:val="center"/>
          </w:tcPr>
          <w:p w14:paraId="1C975179"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302</w:t>
            </w:r>
          </w:p>
        </w:tc>
      </w:tr>
      <w:tr w:rsidR="00D3527F" w14:paraId="7085CB23" w14:textId="77777777" w:rsidTr="00D3527F">
        <w:trPr>
          <w:jc w:val="center"/>
        </w:trPr>
        <w:tc>
          <w:tcPr>
            <w:tcW w:w="1548" w:type="dxa"/>
            <w:vMerge/>
            <w:shd w:val="clear" w:color="auto" w:fill="auto"/>
          </w:tcPr>
          <w:p w14:paraId="211D32EA"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7836F12E"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6ECF580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14.1</w:t>
            </w:r>
          </w:p>
        </w:tc>
        <w:tc>
          <w:tcPr>
            <w:tcW w:w="1772" w:type="dxa"/>
            <w:shd w:val="clear" w:color="auto" w:fill="auto"/>
            <w:vAlign w:val="center"/>
          </w:tcPr>
          <w:p w14:paraId="23723C73"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13.0</w:t>
            </w:r>
          </w:p>
        </w:tc>
      </w:tr>
      <w:tr w:rsidR="00D3527F" w14:paraId="012414C1" w14:textId="77777777" w:rsidTr="00D3527F">
        <w:trPr>
          <w:jc w:val="center"/>
        </w:trPr>
        <w:tc>
          <w:tcPr>
            <w:tcW w:w="1548" w:type="dxa"/>
            <w:vMerge/>
            <w:shd w:val="clear" w:color="auto" w:fill="auto"/>
          </w:tcPr>
          <w:p w14:paraId="57CEE2DE"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36E240E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20DFD69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w:t>
            </w:r>
          </w:p>
        </w:tc>
        <w:tc>
          <w:tcPr>
            <w:tcW w:w="1772" w:type="dxa"/>
            <w:shd w:val="clear" w:color="auto" w:fill="auto"/>
            <w:vAlign w:val="center"/>
          </w:tcPr>
          <w:p w14:paraId="463883C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w:t>
            </w:r>
          </w:p>
        </w:tc>
      </w:tr>
    </w:tbl>
    <w:p w14:paraId="603CF113" w14:textId="77777777" w:rsidR="00D3527F" w:rsidRDefault="00D3527F" w:rsidP="00D3527F"/>
    <w:p w14:paraId="1CF95241" w14:textId="5799995A" w:rsidR="00D3527F" w:rsidRDefault="00D3527F" w:rsidP="00D3527F">
      <w:r>
        <w:fldChar w:fldCharType="begin"/>
      </w:r>
      <w:r>
        <w:instrText xml:space="preserve"> REF _Ref507079585 \h </w:instrText>
      </w:r>
      <w:r>
        <w:fldChar w:fldCharType="separate"/>
      </w:r>
      <w:r w:rsidR="005D5C7C">
        <w:t xml:space="preserve">Table </w:t>
      </w:r>
      <w:r w:rsidR="005D5C7C">
        <w:rPr>
          <w:noProof/>
        </w:rPr>
        <w:t>5</w:t>
      </w:r>
      <w:r w:rsidR="005D5C7C">
        <w:t>.</w:t>
      </w:r>
      <w:r w:rsidR="005D5C7C">
        <w:rPr>
          <w:noProof/>
        </w:rPr>
        <w:t>14</w:t>
      </w:r>
      <w:r>
        <w:fldChar w:fldCharType="end"/>
      </w:r>
      <w:r>
        <w:t xml:space="preserve"> documents the various potential sources of differences between the </w:t>
      </w:r>
      <w:r w:rsidRPr="002A342D">
        <w:rPr>
          <w:i/>
        </w:rPr>
        <w:t>ex-post</w:t>
      </w:r>
      <w:r>
        <w:t xml:space="preserve"> and </w:t>
      </w:r>
      <w:r w:rsidRPr="002A342D">
        <w:rPr>
          <w:i/>
        </w:rPr>
        <w:t>ex-ante</w:t>
      </w:r>
      <w:r>
        <w:t xml:space="preserve"> load impacts. </w:t>
      </w:r>
    </w:p>
    <w:p w14:paraId="23D53938" w14:textId="77777777" w:rsidR="00D3527F" w:rsidRDefault="00D3527F" w:rsidP="00D3527F"/>
    <w:p w14:paraId="4600D643" w14:textId="5B63BCF5" w:rsidR="00D3527F" w:rsidRDefault="00D3527F" w:rsidP="00D3527F">
      <w:pPr>
        <w:pStyle w:val="TableCaption"/>
      </w:pPr>
      <w:bookmarkStart w:id="513" w:name="_Ref507079585"/>
      <w:bookmarkStart w:id="514" w:name="_Toc507081250"/>
      <w:bookmarkStart w:id="515" w:name="_Toc507425227"/>
      <w:bookmarkStart w:id="516" w:name="_Toc509837425"/>
      <w:r>
        <w:lastRenderedPageBreak/>
        <w:t xml:space="preserve">Table </w:t>
      </w:r>
      <w:fldSimple w:instr=" STYLEREF 1 \s ">
        <w:r w:rsidR="005D5C7C">
          <w:rPr>
            <w:noProof/>
          </w:rPr>
          <w:t>5</w:t>
        </w:r>
      </w:fldSimple>
      <w:r w:rsidR="0069714C">
        <w:t>.</w:t>
      </w:r>
      <w:fldSimple w:instr=" SEQ Table \* ARABIC \s 1 ">
        <w:r w:rsidR="005D5C7C">
          <w:rPr>
            <w:noProof/>
          </w:rPr>
          <w:t>14</w:t>
        </w:r>
      </w:fldSimple>
      <w:bookmarkEnd w:id="513"/>
      <w:r w:rsidRPr="00726438">
        <w:t>:</w:t>
      </w:r>
      <w:r>
        <w:t xml:space="preserve"> Comparison of </w:t>
      </w:r>
      <w:r>
        <w:rPr>
          <w:i/>
        </w:rPr>
        <w:t>Ex-Post</w:t>
      </w:r>
      <w:r w:rsidRPr="00726438">
        <w:t xml:space="preserve"> </w:t>
      </w:r>
      <w:r>
        <w:t xml:space="preserve">and </w:t>
      </w:r>
      <w:r>
        <w:rPr>
          <w:i/>
        </w:rPr>
        <w:t>Ex-Ante</w:t>
      </w:r>
      <w:r>
        <w:t xml:space="preserve"> Factors</w:t>
      </w:r>
      <w:bookmarkEnd w:id="514"/>
      <w:bookmarkEnd w:id="515"/>
      <w:bookmarkEnd w:id="516"/>
    </w:p>
    <w:tbl>
      <w:tblPr>
        <w:tblW w:w="9452" w:type="dxa"/>
        <w:jc w:val="center"/>
        <w:tblLook w:val="04A0" w:firstRow="1" w:lastRow="0" w:firstColumn="1" w:lastColumn="0" w:noHBand="0" w:noVBand="1"/>
      </w:tblPr>
      <w:tblGrid>
        <w:gridCol w:w="1518"/>
        <w:gridCol w:w="3028"/>
        <w:gridCol w:w="2340"/>
        <w:gridCol w:w="2566"/>
      </w:tblGrid>
      <w:tr w:rsidR="00D3527F" w:rsidRPr="008E5D4C" w14:paraId="6D94B9A1" w14:textId="77777777" w:rsidTr="00D3527F">
        <w:trPr>
          <w:trHeight w:val="510"/>
          <w:jc w:val="center"/>
        </w:trPr>
        <w:tc>
          <w:tcPr>
            <w:tcW w:w="1518" w:type="dxa"/>
            <w:tcBorders>
              <w:top w:val="single" w:sz="4" w:space="0" w:color="auto"/>
              <w:left w:val="single" w:sz="4" w:space="0" w:color="auto"/>
              <w:bottom w:val="single" w:sz="4" w:space="0" w:color="auto"/>
              <w:right w:val="single" w:sz="4" w:space="0" w:color="FFFFFF"/>
            </w:tcBorders>
            <w:shd w:val="clear" w:color="auto" w:fill="0C2577"/>
            <w:vAlign w:val="center"/>
            <w:hideMark/>
          </w:tcPr>
          <w:p w14:paraId="292895AB" w14:textId="77777777" w:rsidR="00D3527F" w:rsidRPr="008E5D4C" w:rsidRDefault="00D3527F" w:rsidP="00D3527F">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150285FC" w14:textId="77777777" w:rsidR="00D3527F" w:rsidRPr="008E5D4C" w:rsidRDefault="00D3527F" w:rsidP="00D3527F">
            <w:pPr>
              <w:pStyle w:val="TableHeader"/>
              <w:keepNext/>
              <w:keepLines/>
              <w:rPr>
                <w:color w:val="auto"/>
                <w:szCs w:val="20"/>
              </w:rPr>
            </w:pPr>
            <w:r>
              <w:rPr>
                <w:i/>
                <w:color w:val="auto"/>
                <w:szCs w:val="20"/>
              </w:rPr>
              <w:t>Ex-Post</w:t>
            </w:r>
          </w:p>
        </w:tc>
        <w:tc>
          <w:tcPr>
            <w:tcW w:w="2340"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1CDAC541" w14:textId="77777777" w:rsidR="00D3527F" w:rsidRPr="008E5D4C" w:rsidRDefault="00D3527F" w:rsidP="00D3527F">
            <w:pPr>
              <w:pStyle w:val="TableHeader"/>
              <w:keepNext/>
              <w:keepLines/>
              <w:rPr>
                <w:color w:val="auto"/>
                <w:szCs w:val="20"/>
              </w:rPr>
            </w:pPr>
            <w:r>
              <w:rPr>
                <w:i/>
                <w:color w:val="auto"/>
                <w:szCs w:val="20"/>
              </w:rPr>
              <w:t>Ex-Ante</w:t>
            </w:r>
          </w:p>
        </w:tc>
        <w:tc>
          <w:tcPr>
            <w:tcW w:w="2566" w:type="dxa"/>
            <w:tcBorders>
              <w:top w:val="single" w:sz="4" w:space="0" w:color="auto"/>
              <w:left w:val="single" w:sz="4" w:space="0" w:color="FFFFFF"/>
              <w:bottom w:val="single" w:sz="4" w:space="0" w:color="auto"/>
              <w:right w:val="single" w:sz="4" w:space="0" w:color="auto"/>
            </w:tcBorders>
            <w:shd w:val="clear" w:color="auto" w:fill="0C2577"/>
            <w:vAlign w:val="center"/>
            <w:hideMark/>
          </w:tcPr>
          <w:p w14:paraId="0FCE04A4" w14:textId="77777777" w:rsidR="00D3527F" w:rsidRPr="008E5D4C" w:rsidRDefault="00D3527F" w:rsidP="00D3527F">
            <w:pPr>
              <w:pStyle w:val="TableHeader"/>
              <w:keepNext/>
              <w:keepLines/>
              <w:rPr>
                <w:color w:val="auto"/>
                <w:szCs w:val="20"/>
              </w:rPr>
            </w:pPr>
            <w:r w:rsidRPr="008E5D4C">
              <w:rPr>
                <w:color w:val="auto"/>
                <w:szCs w:val="20"/>
              </w:rPr>
              <w:t>Expected Impact</w:t>
            </w:r>
          </w:p>
        </w:tc>
      </w:tr>
      <w:tr w:rsidR="00D3527F" w:rsidRPr="007F356D" w14:paraId="4CEB2BD6" w14:textId="77777777" w:rsidTr="00D3527F">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7DA23C36" w14:textId="77777777" w:rsidR="00D3527F" w:rsidRPr="008E5D4C" w:rsidRDefault="00D3527F" w:rsidP="00D3527F">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53ECE504" w14:textId="7E4105DC" w:rsidR="00D3527F" w:rsidRPr="008E5D4C" w:rsidRDefault="00D3527F" w:rsidP="00D3527F">
            <w:pPr>
              <w:pStyle w:val="TableText"/>
              <w:keepNext/>
              <w:keepLines/>
              <w:spacing w:after="120"/>
              <w:jc w:val="left"/>
              <w:rPr>
                <w:rFonts w:cs="Calibri"/>
                <w:sz w:val="20"/>
                <w:szCs w:val="20"/>
              </w:rPr>
            </w:pPr>
            <w:r>
              <w:rPr>
                <w:rFonts w:cs="Calibri"/>
                <w:sz w:val="20"/>
                <w:szCs w:val="20"/>
              </w:rPr>
              <w:t xml:space="preserve">Average event-hour temperature of 91.9 </w:t>
            </w:r>
            <w:r>
              <w:rPr>
                <w:rFonts w:cs="Arial"/>
                <w:sz w:val="20"/>
                <w:szCs w:val="20"/>
              </w:rPr>
              <w:t>°</w:t>
            </w:r>
            <w:r>
              <w:rPr>
                <w:rFonts w:cs="Calibri"/>
                <w:sz w:val="20"/>
                <w:szCs w:val="20"/>
              </w:rPr>
              <w:t xml:space="preserve">F during the average </w:t>
            </w:r>
            <w:r w:rsidR="009215C9">
              <w:rPr>
                <w:rFonts w:cs="Calibri"/>
                <w:sz w:val="20"/>
                <w:szCs w:val="20"/>
              </w:rPr>
              <w:t xml:space="preserve">weekday </w:t>
            </w:r>
            <w:r>
              <w:rPr>
                <w:rFonts w:cs="Calibri"/>
                <w:sz w:val="20"/>
                <w:szCs w:val="20"/>
              </w:rPr>
              <w:t>event.</w:t>
            </w:r>
          </w:p>
        </w:tc>
        <w:tc>
          <w:tcPr>
            <w:tcW w:w="2340" w:type="dxa"/>
            <w:tcBorders>
              <w:top w:val="single" w:sz="4" w:space="0" w:color="auto"/>
              <w:left w:val="nil"/>
              <w:bottom w:val="single" w:sz="4" w:space="0" w:color="auto"/>
              <w:right w:val="single" w:sz="4" w:space="0" w:color="auto"/>
            </w:tcBorders>
            <w:shd w:val="clear" w:color="000000" w:fill="FFFFFF"/>
          </w:tcPr>
          <w:p w14:paraId="421ABEF8" w14:textId="77777777" w:rsidR="00D3527F" w:rsidRPr="008E5D4C" w:rsidRDefault="00D3527F" w:rsidP="00D3527F">
            <w:pPr>
              <w:pStyle w:val="TableText"/>
              <w:keepNext/>
              <w:keepLines/>
              <w:jc w:val="left"/>
              <w:rPr>
                <w:sz w:val="20"/>
                <w:szCs w:val="20"/>
              </w:rPr>
            </w:pPr>
            <w:r>
              <w:rPr>
                <w:rFonts w:cs="Calibri"/>
                <w:sz w:val="20"/>
                <w:szCs w:val="20"/>
              </w:rPr>
              <w:t xml:space="preserve">Average event-hour temperature of 86.2 </w:t>
            </w:r>
            <w:r>
              <w:rPr>
                <w:rFonts w:cs="Arial"/>
                <w:sz w:val="20"/>
                <w:szCs w:val="20"/>
              </w:rPr>
              <w:t>°</w:t>
            </w:r>
            <w:r>
              <w:rPr>
                <w:rFonts w:cs="Calibri"/>
                <w:sz w:val="20"/>
                <w:szCs w:val="20"/>
              </w:rPr>
              <w:t>F during the SDG&amp;E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171CF4E1" w14:textId="77777777" w:rsidR="00D3527F" w:rsidRPr="008E5D4C" w:rsidRDefault="00D3527F" w:rsidP="00D3527F">
            <w:pPr>
              <w:pStyle w:val="TableText"/>
              <w:keepNext/>
              <w:keepLines/>
              <w:jc w:val="left"/>
              <w:rPr>
                <w:sz w:val="20"/>
                <w:szCs w:val="20"/>
              </w:rPr>
            </w:pPr>
            <w:r>
              <w:rPr>
                <w:sz w:val="20"/>
                <w:szCs w:val="20"/>
              </w:rPr>
              <w:t xml:space="preserve">Lower </w:t>
            </w:r>
            <w:r>
              <w:rPr>
                <w:i/>
                <w:sz w:val="20"/>
                <w:szCs w:val="20"/>
              </w:rPr>
              <w:t>ex-ante</w:t>
            </w:r>
            <w:r>
              <w:rPr>
                <w:sz w:val="20"/>
                <w:szCs w:val="20"/>
              </w:rPr>
              <w:t xml:space="preserve"> temperatures result in smaller reference load and load impacts.</w:t>
            </w:r>
          </w:p>
        </w:tc>
      </w:tr>
      <w:tr w:rsidR="00D3527F" w:rsidRPr="007F356D" w14:paraId="7765AF12"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74FD913F" w14:textId="77777777" w:rsidR="00D3527F" w:rsidRPr="008E5D4C" w:rsidRDefault="00D3527F" w:rsidP="00D3527F">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3EBA1C4B" w14:textId="77777777" w:rsidR="00D3527F" w:rsidRPr="008E5D4C" w:rsidRDefault="00D3527F" w:rsidP="00D3527F">
            <w:pPr>
              <w:pStyle w:val="TableText"/>
              <w:keepNext/>
              <w:keepLines/>
              <w:jc w:val="left"/>
              <w:rPr>
                <w:rFonts w:cs="Calibri"/>
                <w:sz w:val="20"/>
                <w:szCs w:val="20"/>
              </w:rPr>
            </w:pPr>
            <w:r>
              <w:rPr>
                <w:rFonts w:cs="Calibri"/>
                <w:sz w:val="20"/>
                <w:szCs w:val="20"/>
              </w:rPr>
              <w:t>Hours-ending 12 through 18.</w:t>
            </w:r>
          </w:p>
        </w:tc>
        <w:tc>
          <w:tcPr>
            <w:tcW w:w="2340" w:type="dxa"/>
            <w:tcBorders>
              <w:top w:val="nil"/>
              <w:left w:val="nil"/>
              <w:bottom w:val="single" w:sz="4" w:space="0" w:color="auto"/>
              <w:right w:val="single" w:sz="4" w:space="0" w:color="auto"/>
            </w:tcBorders>
            <w:shd w:val="clear" w:color="000000" w:fill="FFFFFF"/>
          </w:tcPr>
          <w:p w14:paraId="04DC2D36" w14:textId="77777777" w:rsidR="00D3527F" w:rsidRPr="008E5D4C" w:rsidRDefault="00D3527F" w:rsidP="00D3527F">
            <w:pPr>
              <w:pStyle w:val="TableText"/>
              <w:keepNext/>
              <w:keepLines/>
              <w:jc w:val="left"/>
              <w:rPr>
                <w:sz w:val="20"/>
                <w:szCs w:val="20"/>
              </w:rPr>
            </w:pPr>
            <w:r>
              <w:rPr>
                <w:rFonts w:cs="Calibri"/>
                <w:sz w:val="20"/>
                <w:szCs w:val="20"/>
              </w:rPr>
              <w:t>Hours-ending 15 through 18.</w:t>
            </w:r>
          </w:p>
        </w:tc>
        <w:tc>
          <w:tcPr>
            <w:tcW w:w="2566" w:type="dxa"/>
            <w:tcBorders>
              <w:top w:val="nil"/>
              <w:left w:val="nil"/>
              <w:bottom w:val="single" w:sz="4" w:space="0" w:color="auto"/>
              <w:right w:val="single" w:sz="4" w:space="0" w:color="auto"/>
            </w:tcBorders>
            <w:shd w:val="clear" w:color="000000" w:fill="FFFFFF"/>
          </w:tcPr>
          <w:p w14:paraId="0DBF1A6E" w14:textId="77777777" w:rsidR="00D3527F" w:rsidRPr="008E5D4C" w:rsidRDefault="00D3527F" w:rsidP="00D3527F">
            <w:pPr>
              <w:pStyle w:val="TableText"/>
              <w:keepNext/>
              <w:keepLines/>
              <w:jc w:val="left"/>
              <w:rPr>
                <w:sz w:val="20"/>
                <w:szCs w:val="20"/>
              </w:rPr>
            </w:pPr>
            <w:r>
              <w:rPr>
                <w:sz w:val="20"/>
                <w:szCs w:val="20"/>
              </w:rPr>
              <w:t>The shorter event window during the later period corresponds with higher average event hour temperatures and reference loads.</w:t>
            </w:r>
          </w:p>
        </w:tc>
      </w:tr>
      <w:tr w:rsidR="00D3527F" w:rsidRPr="007F356D" w14:paraId="2BD43AAA"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12FA3FD3" w14:textId="77777777" w:rsidR="00D3527F" w:rsidRPr="008E5D4C" w:rsidRDefault="00D3527F" w:rsidP="00D3527F">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256F45EA" w14:textId="0865EFA9" w:rsidR="00D3527F" w:rsidRPr="008E5D4C" w:rsidRDefault="005908F3" w:rsidP="00D3527F">
            <w:pPr>
              <w:pStyle w:val="TableText"/>
              <w:keepNext/>
              <w:keepLines/>
              <w:jc w:val="left"/>
              <w:rPr>
                <w:rFonts w:cs="Calibri"/>
                <w:sz w:val="20"/>
                <w:szCs w:val="20"/>
              </w:rPr>
            </w:pPr>
            <w:r>
              <w:rPr>
                <w:rFonts w:cs="Calibri"/>
                <w:sz w:val="20"/>
                <w:szCs w:val="20"/>
              </w:rPr>
              <w:t>100%</w:t>
            </w:r>
          </w:p>
        </w:tc>
        <w:tc>
          <w:tcPr>
            <w:tcW w:w="2340" w:type="dxa"/>
            <w:tcBorders>
              <w:top w:val="nil"/>
              <w:left w:val="nil"/>
              <w:bottom w:val="single" w:sz="4" w:space="0" w:color="auto"/>
              <w:right w:val="single" w:sz="4" w:space="0" w:color="auto"/>
            </w:tcBorders>
            <w:shd w:val="clear" w:color="000000" w:fill="FFFFFF"/>
          </w:tcPr>
          <w:p w14:paraId="38D9E7B1" w14:textId="28C6193C" w:rsidR="00D3527F" w:rsidRPr="008E5D4C" w:rsidRDefault="005908F3" w:rsidP="00D3527F">
            <w:pPr>
              <w:pStyle w:val="TableText"/>
              <w:keepNext/>
              <w:keepLines/>
              <w:jc w:val="left"/>
              <w:rPr>
                <w:sz w:val="20"/>
                <w:szCs w:val="20"/>
              </w:rPr>
            </w:pPr>
            <w:r>
              <w:rPr>
                <w:sz w:val="20"/>
                <w:szCs w:val="20"/>
              </w:rPr>
              <w:t>100%</w:t>
            </w:r>
          </w:p>
        </w:tc>
        <w:tc>
          <w:tcPr>
            <w:tcW w:w="2566" w:type="dxa"/>
            <w:tcBorders>
              <w:top w:val="nil"/>
              <w:left w:val="nil"/>
              <w:bottom w:val="single" w:sz="4" w:space="0" w:color="auto"/>
              <w:right w:val="single" w:sz="4" w:space="0" w:color="auto"/>
            </w:tcBorders>
            <w:shd w:val="clear" w:color="000000" w:fill="FFFFFF"/>
          </w:tcPr>
          <w:p w14:paraId="1A9A484C" w14:textId="133E29B5" w:rsidR="00D3527F" w:rsidRPr="008E5D4C" w:rsidRDefault="005908F3" w:rsidP="00D3527F">
            <w:pPr>
              <w:pStyle w:val="TableText"/>
              <w:keepNext/>
              <w:keepLines/>
              <w:jc w:val="left"/>
              <w:rPr>
                <w:sz w:val="20"/>
                <w:szCs w:val="20"/>
              </w:rPr>
            </w:pPr>
            <w:r>
              <w:rPr>
                <w:sz w:val="20"/>
                <w:szCs w:val="20"/>
              </w:rPr>
              <w:t>None. All customers are assumed to be called in both cases.</w:t>
            </w:r>
          </w:p>
        </w:tc>
      </w:tr>
      <w:tr w:rsidR="00D3527F" w:rsidRPr="007F356D" w14:paraId="169118E5"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07DB684C" w14:textId="77777777" w:rsidR="00D3527F" w:rsidRPr="008E5D4C" w:rsidRDefault="00D3527F" w:rsidP="00D3527F">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073CEB9A" w14:textId="77777777" w:rsidR="00D3527F" w:rsidRPr="008E5D4C" w:rsidRDefault="00D3527F" w:rsidP="00D3527F">
            <w:pPr>
              <w:pStyle w:val="TableText"/>
              <w:keepNext/>
              <w:keepLines/>
              <w:jc w:val="left"/>
              <w:rPr>
                <w:rFonts w:cs="Calibri"/>
                <w:sz w:val="20"/>
                <w:szCs w:val="20"/>
              </w:rPr>
            </w:pPr>
            <w:r>
              <w:rPr>
                <w:rFonts w:cs="Calibri"/>
                <w:sz w:val="20"/>
                <w:szCs w:val="20"/>
              </w:rPr>
              <w:t>1,281 service accounts.</w:t>
            </w:r>
          </w:p>
        </w:tc>
        <w:tc>
          <w:tcPr>
            <w:tcW w:w="2340" w:type="dxa"/>
            <w:tcBorders>
              <w:top w:val="nil"/>
              <w:left w:val="nil"/>
              <w:bottom w:val="single" w:sz="4" w:space="0" w:color="auto"/>
              <w:right w:val="single" w:sz="4" w:space="0" w:color="auto"/>
            </w:tcBorders>
            <w:shd w:val="clear" w:color="000000" w:fill="FFFFFF"/>
          </w:tcPr>
          <w:p w14:paraId="47272B11" w14:textId="77777777" w:rsidR="00D3527F" w:rsidRPr="008E5D4C" w:rsidRDefault="00D3527F" w:rsidP="00D3527F">
            <w:pPr>
              <w:pStyle w:val="TableText"/>
              <w:keepNext/>
              <w:keepLines/>
              <w:jc w:val="left"/>
              <w:rPr>
                <w:sz w:val="20"/>
                <w:szCs w:val="20"/>
              </w:rPr>
            </w:pPr>
            <w:r>
              <w:rPr>
                <w:sz w:val="20"/>
                <w:szCs w:val="20"/>
              </w:rPr>
              <w:t>1,422 service accounts.</w:t>
            </w:r>
          </w:p>
        </w:tc>
        <w:tc>
          <w:tcPr>
            <w:tcW w:w="2566" w:type="dxa"/>
            <w:tcBorders>
              <w:top w:val="nil"/>
              <w:left w:val="nil"/>
              <w:bottom w:val="single" w:sz="4" w:space="0" w:color="auto"/>
              <w:right w:val="single" w:sz="4" w:space="0" w:color="auto"/>
            </w:tcBorders>
            <w:shd w:val="clear" w:color="000000" w:fill="FFFFFF"/>
          </w:tcPr>
          <w:p w14:paraId="44AC06E3" w14:textId="77777777" w:rsidR="00D3527F" w:rsidRPr="00F32B18" w:rsidRDefault="00D3527F" w:rsidP="00D3527F">
            <w:pPr>
              <w:pStyle w:val="TableText"/>
              <w:keepNext/>
              <w:keepLines/>
              <w:jc w:val="left"/>
              <w:rPr>
                <w:sz w:val="20"/>
                <w:szCs w:val="20"/>
                <w:highlight w:val="yellow"/>
              </w:rPr>
            </w:pPr>
            <w:r w:rsidRPr="00F32B18">
              <w:rPr>
                <w:sz w:val="20"/>
                <w:szCs w:val="20"/>
              </w:rPr>
              <w:t>H</w:t>
            </w:r>
            <w:r>
              <w:rPr>
                <w:sz w:val="20"/>
                <w:szCs w:val="20"/>
              </w:rPr>
              <w:t xml:space="preserve">igher </w:t>
            </w:r>
            <w:r>
              <w:rPr>
                <w:i/>
                <w:sz w:val="20"/>
                <w:szCs w:val="20"/>
              </w:rPr>
              <w:t>ex-ante</w:t>
            </w:r>
            <w:r>
              <w:rPr>
                <w:sz w:val="20"/>
                <w:szCs w:val="20"/>
              </w:rPr>
              <w:t xml:space="preserve"> enrollment leads to higher aggregate reference loads and load impacts (</w:t>
            </w:r>
            <w:r>
              <w:rPr>
                <w:i/>
                <w:sz w:val="20"/>
                <w:szCs w:val="20"/>
              </w:rPr>
              <w:t>ceteris paribus)</w:t>
            </w:r>
            <w:r>
              <w:rPr>
                <w:sz w:val="20"/>
                <w:szCs w:val="20"/>
              </w:rPr>
              <w:t xml:space="preserve">. </w:t>
            </w:r>
          </w:p>
        </w:tc>
      </w:tr>
      <w:tr w:rsidR="00D3527F" w:rsidRPr="007F356D" w14:paraId="74CD897F"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5774C848" w14:textId="77777777" w:rsidR="00D3527F" w:rsidRPr="008E5D4C" w:rsidRDefault="00D3527F" w:rsidP="00D3527F">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363449C0" w14:textId="77777777" w:rsidR="00D3527F" w:rsidRPr="008E5D4C" w:rsidRDefault="00D3527F" w:rsidP="00D3527F">
            <w:pPr>
              <w:pStyle w:val="TableText"/>
              <w:keepNext/>
              <w:keepLines/>
              <w:spacing w:after="120"/>
              <w:jc w:val="left"/>
              <w:rPr>
                <w:rFonts w:cs="Calibri"/>
                <w:sz w:val="20"/>
                <w:szCs w:val="20"/>
              </w:rPr>
            </w:pPr>
            <w:r>
              <w:rPr>
                <w:rFonts w:cs="Calibri"/>
                <w:sz w:val="20"/>
                <w:szCs w:val="20"/>
              </w:rPr>
              <w:t>Panel models by industry group with customer and date fixed effects and a matched control-group of non-participants.</w:t>
            </w:r>
          </w:p>
        </w:tc>
        <w:tc>
          <w:tcPr>
            <w:tcW w:w="2340" w:type="dxa"/>
            <w:tcBorders>
              <w:top w:val="nil"/>
              <w:left w:val="nil"/>
              <w:bottom w:val="single" w:sz="4" w:space="0" w:color="auto"/>
              <w:right w:val="single" w:sz="4" w:space="0" w:color="auto"/>
            </w:tcBorders>
            <w:shd w:val="clear" w:color="000000" w:fill="FFFFFF"/>
          </w:tcPr>
          <w:p w14:paraId="0EFE0B31" w14:textId="77777777" w:rsidR="00D3527F" w:rsidRPr="008E5D4C" w:rsidRDefault="00D3527F" w:rsidP="00D3527F">
            <w:pPr>
              <w:pStyle w:val="TableText"/>
              <w:keepNext/>
              <w:keepLines/>
              <w:jc w:val="left"/>
              <w:rPr>
                <w:sz w:val="20"/>
                <w:szCs w:val="20"/>
              </w:rPr>
            </w:pPr>
            <w:r>
              <w:rPr>
                <w:sz w:val="20"/>
                <w:szCs w:val="20"/>
              </w:rPr>
              <w:t xml:space="preserve">Simulated reference loads using average program loads for large customers. Then applied percentage load impacts derived from the </w:t>
            </w:r>
            <w:r w:rsidRPr="000C58FA">
              <w:rPr>
                <w:i/>
                <w:sz w:val="20"/>
                <w:szCs w:val="20"/>
              </w:rPr>
              <w:t>ex-post</w:t>
            </w:r>
            <w:r>
              <w:rPr>
                <w:sz w:val="20"/>
                <w:szCs w:val="20"/>
              </w:rPr>
              <w:t xml:space="preserve"> analysis, excluding the weekend event day.</w:t>
            </w:r>
          </w:p>
        </w:tc>
        <w:tc>
          <w:tcPr>
            <w:tcW w:w="2566" w:type="dxa"/>
            <w:tcBorders>
              <w:top w:val="nil"/>
              <w:left w:val="nil"/>
              <w:bottom w:val="single" w:sz="4" w:space="0" w:color="auto"/>
              <w:right w:val="single" w:sz="4" w:space="0" w:color="auto"/>
            </w:tcBorders>
            <w:shd w:val="clear" w:color="000000" w:fill="FFFFFF"/>
          </w:tcPr>
          <w:p w14:paraId="4300125E" w14:textId="77777777" w:rsidR="00D3527F" w:rsidRPr="008E5D4C" w:rsidRDefault="00D3527F" w:rsidP="00D3527F">
            <w:pPr>
              <w:pStyle w:val="TableText"/>
              <w:keepNext/>
              <w:keepLines/>
              <w:jc w:val="left"/>
              <w:rPr>
                <w:sz w:val="20"/>
                <w:szCs w:val="20"/>
              </w:rPr>
            </w:pPr>
            <w:r>
              <w:rPr>
                <w:sz w:val="20"/>
                <w:szCs w:val="20"/>
              </w:rPr>
              <w:t xml:space="preserve">The method is not expected to consistently produce differences between the </w:t>
            </w:r>
            <w:r w:rsidRPr="000C58FA">
              <w:rPr>
                <w:i/>
                <w:sz w:val="20"/>
                <w:szCs w:val="20"/>
              </w:rPr>
              <w:t>ex-post</w:t>
            </w:r>
            <w:r>
              <w:rPr>
                <w:sz w:val="20"/>
                <w:szCs w:val="20"/>
              </w:rPr>
              <w:t xml:space="preserve"> and </w:t>
            </w:r>
            <w:r w:rsidRPr="000C58FA">
              <w:rPr>
                <w:i/>
                <w:sz w:val="20"/>
                <w:szCs w:val="20"/>
              </w:rPr>
              <w:t>ex-ante</w:t>
            </w:r>
            <w:r>
              <w:rPr>
                <w:sz w:val="20"/>
                <w:szCs w:val="20"/>
              </w:rPr>
              <w:t xml:space="preserve"> impacts.</w:t>
            </w:r>
          </w:p>
        </w:tc>
      </w:tr>
    </w:tbl>
    <w:p w14:paraId="0C20B5D1" w14:textId="77777777" w:rsidR="00D3527F" w:rsidRDefault="00D3527F" w:rsidP="00D3527F">
      <w:pPr>
        <w:pStyle w:val="Heading3"/>
        <w:numPr>
          <w:ilvl w:val="2"/>
          <w:numId w:val="43"/>
        </w:numPr>
        <w:rPr>
          <w:sz w:val="24"/>
        </w:rPr>
      </w:pPr>
      <w:bookmarkStart w:id="517" w:name="_Toc507081170"/>
      <w:bookmarkStart w:id="518" w:name="_Toc507425160"/>
      <w:bookmarkStart w:id="519" w:name="_Toc509837347"/>
      <w:r>
        <w:rPr>
          <w:sz w:val="24"/>
        </w:rPr>
        <w:t>SDG&amp;E Medium Customer Reconciliations</w:t>
      </w:r>
      <w:bookmarkEnd w:id="517"/>
      <w:bookmarkEnd w:id="518"/>
      <w:bookmarkEnd w:id="519"/>
    </w:p>
    <w:p w14:paraId="5DEBBCF6" w14:textId="77777777" w:rsidR="00D3527F" w:rsidRPr="00823315" w:rsidRDefault="00D3527F" w:rsidP="00D3527F">
      <w:pPr>
        <w:rPr>
          <w:b/>
          <w:i/>
        </w:rPr>
      </w:pPr>
      <w:r w:rsidRPr="00823315">
        <w:rPr>
          <w:b/>
          <w:i/>
        </w:rPr>
        <w:t>Previous vs. Current Ex-Post</w:t>
      </w:r>
    </w:p>
    <w:p w14:paraId="37BCFF63" w14:textId="6378BB7C" w:rsidR="00D3527F" w:rsidRDefault="00D3527F" w:rsidP="00D3527F">
      <w:r>
        <w:fldChar w:fldCharType="begin"/>
      </w:r>
      <w:r>
        <w:instrText xml:space="preserve"> REF _Ref507079602 \h </w:instrText>
      </w:r>
      <w:r>
        <w:fldChar w:fldCharType="separate"/>
      </w:r>
      <w:r w:rsidR="005D5C7C">
        <w:t xml:space="preserve">Table </w:t>
      </w:r>
      <w:r w:rsidR="005D5C7C">
        <w:rPr>
          <w:noProof/>
        </w:rPr>
        <w:t>5</w:t>
      </w:r>
      <w:r w:rsidR="005D5C7C">
        <w:t>.</w:t>
      </w:r>
      <w:r w:rsidR="005D5C7C">
        <w:rPr>
          <w:noProof/>
        </w:rPr>
        <w:t>15</w:t>
      </w:r>
      <w:r>
        <w:fldChar w:fldCharType="end"/>
      </w:r>
      <w:r>
        <w:t xml:space="preserve"> shows the average event-hour reference loads and load impacts for the average </w:t>
      </w:r>
      <w:r w:rsidR="009215C9">
        <w:t xml:space="preserve">weekday </w:t>
      </w:r>
      <w:r>
        <w:t xml:space="preserve">event day during the current and previous program years. The average per-customer reference loads are similar between years, </w:t>
      </w:r>
      <w:r w:rsidR="005908F3">
        <w:t xml:space="preserve">even </w:t>
      </w:r>
      <w:r>
        <w:t>though the average event-hour temperature decreased. The percentage load impact is directionally diffe</w:t>
      </w:r>
      <w:r w:rsidR="005908F3">
        <w:t>rent between PY2016 and PY2017. H</w:t>
      </w:r>
      <w:r>
        <w:t xml:space="preserve">owever, the load impacts are not statistically significant in </w:t>
      </w:r>
      <w:r w:rsidR="005908F3">
        <w:t>either</w:t>
      </w:r>
      <w:r>
        <w:t xml:space="preserve"> stud</w:t>
      </w:r>
      <w:r w:rsidR="005908F3">
        <w:t>y</w:t>
      </w:r>
      <w:r>
        <w:t xml:space="preserve">. </w:t>
      </w:r>
    </w:p>
    <w:p w14:paraId="689E4085" w14:textId="77777777" w:rsidR="00D3527F" w:rsidRDefault="00D3527F" w:rsidP="00D3527F"/>
    <w:p w14:paraId="1A1E1A11" w14:textId="43385638" w:rsidR="00D3527F" w:rsidRPr="0029646E" w:rsidRDefault="00D3527F" w:rsidP="00D3527F">
      <w:pPr>
        <w:pStyle w:val="TableCaption"/>
        <w:rPr>
          <w:i/>
        </w:rPr>
      </w:pPr>
      <w:bookmarkStart w:id="520" w:name="_Ref507079602"/>
      <w:bookmarkStart w:id="521" w:name="_Toc507081251"/>
      <w:bookmarkStart w:id="522" w:name="_Toc507425228"/>
      <w:bookmarkStart w:id="523" w:name="_Toc509837426"/>
      <w:r>
        <w:lastRenderedPageBreak/>
        <w:t xml:space="preserve">Table </w:t>
      </w:r>
      <w:fldSimple w:instr=" STYLEREF 1 \s ">
        <w:r w:rsidR="005D5C7C">
          <w:rPr>
            <w:noProof/>
          </w:rPr>
          <w:t>5</w:t>
        </w:r>
      </w:fldSimple>
      <w:r w:rsidR="0069714C">
        <w:t>.</w:t>
      </w:r>
      <w:fldSimple w:instr=" SEQ Table \* ARABIC \s 1 ">
        <w:r w:rsidR="005D5C7C">
          <w:rPr>
            <w:noProof/>
          </w:rPr>
          <w:t>15</w:t>
        </w:r>
      </w:fldSimple>
      <w:bookmarkEnd w:id="520"/>
      <w:r w:rsidRPr="00376F46">
        <w:t xml:space="preserve">: </w:t>
      </w:r>
      <w:r>
        <w:t xml:space="preserve">Current vs. Previous </w:t>
      </w:r>
      <w:r w:rsidRPr="001634AA">
        <w:rPr>
          <w:i/>
        </w:rPr>
        <w:t>Ex-Post</w:t>
      </w:r>
      <w:r>
        <w:t xml:space="preserve"> Load Impacts for the Average</w:t>
      </w:r>
      <w:r w:rsidR="009215C9">
        <w:t xml:space="preserve"> Weekday</w:t>
      </w:r>
      <w:r>
        <w:t xml:space="preserve"> Event</w:t>
      </w:r>
      <w:bookmarkEnd w:id="521"/>
      <w:bookmarkEnd w:id="522"/>
      <w:r>
        <w:t xml:space="preserve">, </w:t>
      </w:r>
      <w:r>
        <w:br/>
      </w:r>
      <w:r>
        <w:rPr>
          <w:i/>
        </w:rPr>
        <w:t>SDG&amp;E Medium</w:t>
      </w:r>
      <w:bookmarkEnd w:id="52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1861"/>
        <w:gridCol w:w="1512"/>
        <w:gridCol w:w="1512"/>
      </w:tblGrid>
      <w:tr w:rsidR="00D3527F" w14:paraId="63CF58D3" w14:textId="77777777" w:rsidTr="00D3527F">
        <w:trPr>
          <w:trHeight w:val="728"/>
          <w:jc w:val="center"/>
        </w:trPr>
        <w:tc>
          <w:tcPr>
            <w:tcW w:w="1165" w:type="dxa"/>
            <w:tcBorders>
              <w:right w:val="single" w:sz="4" w:space="0" w:color="FFFFFF"/>
            </w:tcBorders>
            <w:shd w:val="clear" w:color="auto" w:fill="0C2577"/>
            <w:vAlign w:val="center"/>
          </w:tcPr>
          <w:p w14:paraId="0FDAB94C"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861" w:type="dxa"/>
            <w:tcBorders>
              <w:left w:val="single" w:sz="4" w:space="0" w:color="FFFFFF"/>
              <w:right w:val="single" w:sz="4" w:space="0" w:color="FFFFFF"/>
            </w:tcBorders>
            <w:shd w:val="clear" w:color="auto" w:fill="0C2577"/>
            <w:vAlign w:val="center"/>
          </w:tcPr>
          <w:p w14:paraId="55035826"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512" w:type="dxa"/>
            <w:tcBorders>
              <w:left w:val="single" w:sz="4" w:space="0" w:color="FFFFFF"/>
              <w:right w:val="single" w:sz="4" w:space="0" w:color="FFFFFF"/>
            </w:tcBorders>
            <w:shd w:val="clear" w:color="auto" w:fill="0C2577"/>
            <w:vAlign w:val="center"/>
          </w:tcPr>
          <w:p w14:paraId="7C5984D7"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6</w:t>
            </w:r>
          </w:p>
        </w:tc>
        <w:tc>
          <w:tcPr>
            <w:tcW w:w="1512" w:type="dxa"/>
            <w:tcBorders>
              <w:left w:val="single" w:sz="4" w:space="0" w:color="FFFFFF"/>
            </w:tcBorders>
            <w:shd w:val="clear" w:color="auto" w:fill="0C2577"/>
            <w:vAlign w:val="center"/>
          </w:tcPr>
          <w:p w14:paraId="114A208C"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PY201</w:t>
            </w:r>
            <w:r>
              <w:rPr>
                <w:rFonts w:ascii="Arial" w:hAnsi="Arial" w:cs="Arial"/>
                <w:b/>
                <w:sz w:val="20"/>
                <w:szCs w:val="20"/>
              </w:rPr>
              <w:t>7</w:t>
            </w:r>
          </w:p>
        </w:tc>
      </w:tr>
      <w:tr w:rsidR="00D3527F" w14:paraId="2E2F3986" w14:textId="77777777" w:rsidTr="00D3527F">
        <w:trPr>
          <w:jc w:val="center"/>
        </w:trPr>
        <w:tc>
          <w:tcPr>
            <w:tcW w:w="1165" w:type="dxa"/>
            <w:vMerge w:val="restart"/>
            <w:shd w:val="clear" w:color="auto" w:fill="auto"/>
            <w:vAlign w:val="center"/>
          </w:tcPr>
          <w:p w14:paraId="248F78CF"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861" w:type="dxa"/>
            <w:shd w:val="clear" w:color="auto" w:fill="auto"/>
          </w:tcPr>
          <w:p w14:paraId="2F1A7517"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512" w:type="dxa"/>
            <w:shd w:val="clear" w:color="auto" w:fill="auto"/>
            <w:vAlign w:val="center"/>
          </w:tcPr>
          <w:p w14:paraId="250ACFAB"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11,002</w:t>
            </w:r>
          </w:p>
        </w:tc>
        <w:tc>
          <w:tcPr>
            <w:tcW w:w="1512" w:type="dxa"/>
            <w:shd w:val="clear" w:color="auto" w:fill="auto"/>
            <w:vAlign w:val="center"/>
          </w:tcPr>
          <w:p w14:paraId="2ACDA492"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11,808</w:t>
            </w:r>
          </w:p>
        </w:tc>
      </w:tr>
      <w:tr w:rsidR="00D3527F" w14:paraId="012AC67A" w14:textId="77777777" w:rsidTr="00D3527F">
        <w:trPr>
          <w:trHeight w:val="242"/>
          <w:jc w:val="center"/>
        </w:trPr>
        <w:tc>
          <w:tcPr>
            <w:tcW w:w="1165" w:type="dxa"/>
            <w:vMerge/>
            <w:shd w:val="clear" w:color="auto" w:fill="auto"/>
            <w:vAlign w:val="center"/>
          </w:tcPr>
          <w:p w14:paraId="64BEA444" w14:textId="77777777" w:rsidR="00D3527F" w:rsidRPr="009C75E1" w:rsidRDefault="00D3527F" w:rsidP="00D3527F">
            <w:pPr>
              <w:keepNext/>
              <w:keepLines/>
              <w:rPr>
                <w:rFonts w:ascii="Arial" w:hAnsi="Arial" w:cs="Arial"/>
                <w:sz w:val="20"/>
                <w:szCs w:val="20"/>
              </w:rPr>
            </w:pPr>
          </w:p>
        </w:tc>
        <w:tc>
          <w:tcPr>
            <w:tcW w:w="1861" w:type="dxa"/>
            <w:shd w:val="clear" w:color="auto" w:fill="auto"/>
          </w:tcPr>
          <w:p w14:paraId="00B0B5B3"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512" w:type="dxa"/>
            <w:shd w:val="clear" w:color="auto" w:fill="auto"/>
            <w:vAlign w:val="center"/>
          </w:tcPr>
          <w:p w14:paraId="1637443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438</w:t>
            </w:r>
          </w:p>
        </w:tc>
        <w:tc>
          <w:tcPr>
            <w:tcW w:w="1512" w:type="dxa"/>
            <w:shd w:val="clear" w:color="auto" w:fill="auto"/>
            <w:vAlign w:val="center"/>
          </w:tcPr>
          <w:p w14:paraId="6140773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455</w:t>
            </w:r>
          </w:p>
        </w:tc>
      </w:tr>
      <w:tr w:rsidR="00D3527F" w14:paraId="130EF478" w14:textId="77777777" w:rsidTr="00D3527F">
        <w:trPr>
          <w:jc w:val="center"/>
        </w:trPr>
        <w:tc>
          <w:tcPr>
            <w:tcW w:w="1165" w:type="dxa"/>
            <w:vMerge/>
            <w:shd w:val="clear" w:color="auto" w:fill="auto"/>
            <w:vAlign w:val="center"/>
          </w:tcPr>
          <w:p w14:paraId="610CDC62" w14:textId="77777777" w:rsidR="00D3527F" w:rsidRPr="009C75E1" w:rsidRDefault="00D3527F" w:rsidP="00D3527F">
            <w:pPr>
              <w:keepNext/>
              <w:keepLines/>
              <w:rPr>
                <w:rFonts w:ascii="Arial" w:hAnsi="Arial" w:cs="Arial"/>
                <w:sz w:val="20"/>
                <w:szCs w:val="20"/>
              </w:rPr>
            </w:pPr>
          </w:p>
        </w:tc>
        <w:tc>
          <w:tcPr>
            <w:tcW w:w="1861" w:type="dxa"/>
            <w:shd w:val="clear" w:color="auto" w:fill="auto"/>
          </w:tcPr>
          <w:p w14:paraId="456F7FEF"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512" w:type="dxa"/>
            <w:shd w:val="clear" w:color="auto" w:fill="auto"/>
            <w:vAlign w:val="center"/>
          </w:tcPr>
          <w:p w14:paraId="618BBB1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-3.0</w:t>
            </w:r>
          </w:p>
        </w:tc>
        <w:tc>
          <w:tcPr>
            <w:tcW w:w="1512" w:type="dxa"/>
            <w:shd w:val="clear" w:color="auto" w:fill="auto"/>
            <w:vAlign w:val="center"/>
          </w:tcPr>
          <w:p w14:paraId="4894E48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1.0</w:t>
            </w:r>
          </w:p>
        </w:tc>
      </w:tr>
      <w:tr w:rsidR="00D3527F" w14:paraId="56AFFD6C" w14:textId="77777777" w:rsidTr="00D3527F">
        <w:trPr>
          <w:jc w:val="center"/>
        </w:trPr>
        <w:tc>
          <w:tcPr>
            <w:tcW w:w="1165" w:type="dxa"/>
            <w:vMerge/>
            <w:shd w:val="clear" w:color="auto" w:fill="auto"/>
            <w:vAlign w:val="center"/>
          </w:tcPr>
          <w:p w14:paraId="3FC55DA2" w14:textId="77777777" w:rsidR="00D3527F" w:rsidRPr="009C75E1" w:rsidRDefault="00D3527F" w:rsidP="00D3527F">
            <w:pPr>
              <w:keepNext/>
              <w:keepLines/>
              <w:rPr>
                <w:rFonts w:ascii="Arial" w:hAnsi="Arial" w:cs="Arial"/>
                <w:sz w:val="20"/>
                <w:szCs w:val="20"/>
              </w:rPr>
            </w:pPr>
          </w:p>
        </w:tc>
        <w:tc>
          <w:tcPr>
            <w:tcW w:w="1861" w:type="dxa"/>
            <w:shd w:val="clear" w:color="auto" w:fill="auto"/>
          </w:tcPr>
          <w:p w14:paraId="11A5F8FB"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512" w:type="dxa"/>
            <w:shd w:val="clear" w:color="auto" w:fill="auto"/>
            <w:vAlign w:val="center"/>
          </w:tcPr>
          <w:p w14:paraId="274D6298"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97.5</w:t>
            </w:r>
          </w:p>
        </w:tc>
        <w:tc>
          <w:tcPr>
            <w:tcW w:w="1512" w:type="dxa"/>
            <w:shd w:val="clear" w:color="auto" w:fill="auto"/>
            <w:vAlign w:val="center"/>
          </w:tcPr>
          <w:p w14:paraId="5ECC178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91.4</w:t>
            </w:r>
          </w:p>
        </w:tc>
      </w:tr>
      <w:tr w:rsidR="00D3527F" w14:paraId="1C203380" w14:textId="77777777" w:rsidTr="00D3527F">
        <w:trPr>
          <w:jc w:val="center"/>
        </w:trPr>
        <w:tc>
          <w:tcPr>
            <w:tcW w:w="1165" w:type="dxa"/>
            <w:vMerge w:val="restart"/>
            <w:shd w:val="clear" w:color="auto" w:fill="auto"/>
            <w:vAlign w:val="center"/>
          </w:tcPr>
          <w:p w14:paraId="3899EE7A"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861" w:type="dxa"/>
            <w:shd w:val="clear" w:color="auto" w:fill="auto"/>
          </w:tcPr>
          <w:p w14:paraId="045E9AC9"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512" w:type="dxa"/>
            <w:shd w:val="clear" w:color="auto" w:fill="auto"/>
            <w:vAlign w:val="center"/>
          </w:tcPr>
          <w:p w14:paraId="3C64CA0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40</w:t>
            </w:r>
          </w:p>
        </w:tc>
        <w:tc>
          <w:tcPr>
            <w:tcW w:w="1512" w:type="dxa"/>
            <w:shd w:val="clear" w:color="auto" w:fill="auto"/>
            <w:vAlign w:val="center"/>
          </w:tcPr>
          <w:p w14:paraId="01A7C43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39</w:t>
            </w:r>
          </w:p>
        </w:tc>
      </w:tr>
      <w:tr w:rsidR="00D3527F" w14:paraId="6A219041" w14:textId="77777777" w:rsidTr="00D3527F">
        <w:trPr>
          <w:jc w:val="center"/>
        </w:trPr>
        <w:tc>
          <w:tcPr>
            <w:tcW w:w="1165" w:type="dxa"/>
            <w:vMerge/>
            <w:shd w:val="clear" w:color="auto" w:fill="auto"/>
          </w:tcPr>
          <w:p w14:paraId="1A647917" w14:textId="77777777" w:rsidR="00D3527F" w:rsidRPr="009C75E1" w:rsidRDefault="00D3527F" w:rsidP="00D3527F">
            <w:pPr>
              <w:keepNext/>
              <w:keepLines/>
              <w:rPr>
                <w:rFonts w:ascii="Arial" w:hAnsi="Arial" w:cs="Arial"/>
                <w:sz w:val="20"/>
                <w:szCs w:val="20"/>
              </w:rPr>
            </w:pPr>
          </w:p>
        </w:tc>
        <w:tc>
          <w:tcPr>
            <w:tcW w:w="1861" w:type="dxa"/>
            <w:shd w:val="clear" w:color="auto" w:fill="auto"/>
          </w:tcPr>
          <w:p w14:paraId="1B86203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512" w:type="dxa"/>
            <w:shd w:val="clear" w:color="auto" w:fill="auto"/>
            <w:vAlign w:val="center"/>
          </w:tcPr>
          <w:p w14:paraId="038DB5C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-0.3</w:t>
            </w:r>
          </w:p>
        </w:tc>
        <w:tc>
          <w:tcPr>
            <w:tcW w:w="1512" w:type="dxa"/>
            <w:shd w:val="clear" w:color="auto" w:fill="auto"/>
            <w:vAlign w:val="center"/>
          </w:tcPr>
          <w:p w14:paraId="6E84724B"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0.1</w:t>
            </w:r>
          </w:p>
        </w:tc>
      </w:tr>
      <w:tr w:rsidR="00D3527F" w14:paraId="5454F69C" w14:textId="77777777" w:rsidTr="00D3527F">
        <w:trPr>
          <w:jc w:val="center"/>
        </w:trPr>
        <w:tc>
          <w:tcPr>
            <w:tcW w:w="1165" w:type="dxa"/>
            <w:vMerge/>
            <w:shd w:val="clear" w:color="auto" w:fill="auto"/>
          </w:tcPr>
          <w:p w14:paraId="24A81084" w14:textId="77777777" w:rsidR="00D3527F" w:rsidRPr="009C75E1" w:rsidRDefault="00D3527F" w:rsidP="00D3527F">
            <w:pPr>
              <w:keepNext/>
              <w:keepLines/>
              <w:rPr>
                <w:rFonts w:ascii="Arial" w:hAnsi="Arial" w:cs="Arial"/>
                <w:sz w:val="20"/>
                <w:szCs w:val="20"/>
              </w:rPr>
            </w:pPr>
          </w:p>
        </w:tc>
        <w:tc>
          <w:tcPr>
            <w:tcW w:w="1861" w:type="dxa"/>
            <w:shd w:val="clear" w:color="auto" w:fill="auto"/>
          </w:tcPr>
          <w:p w14:paraId="5E8E57F1"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512" w:type="dxa"/>
            <w:shd w:val="clear" w:color="auto" w:fill="auto"/>
            <w:vAlign w:val="center"/>
          </w:tcPr>
          <w:p w14:paraId="15D0970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-0.7%</w:t>
            </w:r>
          </w:p>
        </w:tc>
        <w:tc>
          <w:tcPr>
            <w:tcW w:w="1512" w:type="dxa"/>
            <w:shd w:val="clear" w:color="auto" w:fill="auto"/>
            <w:vAlign w:val="center"/>
          </w:tcPr>
          <w:p w14:paraId="7E3F0FFA"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r>
    </w:tbl>
    <w:p w14:paraId="5A85A433" w14:textId="77777777" w:rsidR="00D3527F" w:rsidRDefault="00D3527F" w:rsidP="00D3527F"/>
    <w:p w14:paraId="53F91716" w14:textId="77777777" w:rsidR="00D3527F" w:rsidRPr="00823315" w:rsidRDefault="00D3527F" w:rsidP="00D3527F">
      <w:pPr>
        <w:rPr>
          <w:b/>
          <w:i/>
        </w:rPr>
      </w:pPr>
      <w:r w:rsidRPr="00823315">
        <w:rPr>
          <w:b/>
          <w:i/>
        </w:rPr>
        <w:t>Previous versus current ex-ante</w:t>
      </w:r>
    </w:p>
    <w:p w14:paraId="15F789AD" w14:textId="7A9B5D22" w:rsidR="00D3527F" w:rsidRDefault="00D3527F" w:rsidP="00D3527F">
      <w:r>
        <w:t xml:space="preserve">In this sub-section, we compare the </w:t>
      </w:r>
      <w:r w:rsidRPr="00933F01">
        <w:rPr>
          <w:i/>
        </w:rPr>
        <w:t>ex-ante</w:t>
      </w:r>
      <w:r>
        <w:t xml:space="preserve"> forecast prepared following PY2016 (the “previous study”) to the </w:t>
      </w:r>
      <w:r w:rsidRPr="00933F01">
        <w:rPr>
          <w:i/>
        </w:rPr>
        <w:t>ex-ante</w:t>
      </w:r>
      <w:r>
        <w:t xml:space="preserve"> forecast contained in this study (the “current study”). </w:t>
      </w:r>
      <w:r>
        <w:fldChar w:fldCharType="begin"/>
      </w:r>
      <w:r>
        <w:instrText xml:space="preserve"> REF _Ref507079625 \h </w:instrText>
      </w:r>
      <w:r>
        <w:fldChar w:fldCharType="separate"/>
      </w:r>
      <w:r w:rsidR="005D5C7C">
        <w:t xml:space="preserve">Table </w:t>
      </w:r>
      <w:r w:rsidR="005D5C7C">
        <w:rPr>
          <w:noProof/>
        </w:rPr>
        <w:t>5</w:t>
      </w:r>
      <w:r w:rsidR="005D5C7C">
        <w:t>.</w:t>
      </w:r>
      <w:r w:rsidR="005D5C7C">
        <w:rPr>
          <w:noProof/>
        </w:rPr>
        <w:t>16</w:t>
      </w:r>
      <w:r>
        <w:fldChar w:fldCharType="end"/>
      </w:r>
      <w:r>
        <w:t xml:space="preserve"> reports the average event-hour load impacts for the August 2018 peak day under utility-specific 1-in-2 weather conditions. </w:t>
      </w:r>
      <w:r w:rsidR="005908F3">
        <w:t>The total forecast load impact is lower in the current study (0.8 MWh/hour vs 2.7 MWh/hour), due to a combination of lower forecast enrollment and a lower percentage load impact.</w:t>
      </w:r>
      <w:r>
        <w:t xml:space="preserve"> </w:t>
      </w:r>
      <w:r w:rsidR="005908F3">
        <w:t>Note that t</w:t>
      </w:r>
      <w:r>
        <w:t>he different temperatures between the previous and current studies occurs from having different compositions of customers at varying weather stations.</w:t>
      </w:r>
    </w:p>
    <w:p w14:paraId="54696DCA" w14:textId="77777777" w:rsidR="00D3527F" w:rsidRDefault="00D3527F" w:rsidP="00D3527F"/>
    <w:p w14:paraId="6BA5C435" w14:textId="3C2724CA" w:rsidR="00D3527F" w:rsidRDefault="00D3527F" w:rsidP="00D3527F">
      <w:pPr>
        <w:pStyle w:val="TableCaption"/>
      </w:pPr>
      <w:bookmarkStart w:id="524" w:name="_Ref507079625"/>
      <w:bookmarkStart w:id="525" w:name="_Toc507081252"/>
      <w:bookmarkStart w:id="526" w:name="_Toc507425229"/>
      <w:bookmarkStart w:id="527" w:name="_Toc509837427"/>
      <w:r>
        <w:t xml:space="preserve">Table </w:t>
      </w:r>
      <w:fldSimple w:instr=" STYLEREF 1 \s ">
        <w:r w:rsidR="005D5C7C">
          <w:rPr>
            <w:noProof/>
          </w:rPr>
          <w:t>5</w:t>
        </w:r>
      </w:fldSimple>
      <w:r w:rsidR="0069714C">
        <w:t>.</w:t>
      </w:r>
      <w:fldSimple w:instr=" SEQ Table \* ARABIC \s 1 ">
        <w:r w:rsidR="005D5C7C">
          <w:rPr>
            <w:noProof/>
          </w:rPr>
          <w:t>16</w:t>
        </w:r>
      </w:fldSimple>
      <w:bookmarkEnd w:id="524"/>
      <w:r w:rsidRPr="00376F46">
        <w:t xml:space="preserve">: </w:t>
      </w:r>
      <w:r>
        <w:t xml:space="preserve">Previous vs. Current </w:t>
      </w:r>
      <w:r w:rsidRPr="001634AA">
        <w:rPr>
          <w:i/>
        </w:rPr>
        <w:t>Ex-Ante</w:t>
      </w:r>
      <w:r>
        <w:t xml:space="preserve"> Load Impacts, </w:t>
      </w:r>
      <w:r w:rsidRPr="00D90369">
        <w:rPr>
          <w:i/>
        </w:rPr>
        <w:t>Utility</w:t>
      </w:r>
      <w:r w:rsidRPr="001634AA">
        <w:rPr>
          <w:i/>
        </w:rPr>
        <w:t xml:space="preserve"> 1-in-2 </w:t>
      </w:r>
      <w:r>
        <w:rPr>
          <w:i/>
        </w:rPr>
        <w:br/>
      </w:r>
      <w:r w:rsidRPr="001634AA">
        <w:rPr>
          <w:i/>
        </w:rPr>
        <w:t>August 2018 Peak Day</w:t>
      </w:r>
      <w:bookmarkEnd w:id="525"/>
      <w:bookmarkEnd w:id="526"/>
      <w:r>
        <w:rPr>
          <w:i/>
        </w:rPr>
        <w:t>, SDG&amp;E Medium</w:t>
      </w:r>
      <w:bookmarkEnd w:id="5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1916"/>
        <w:gridCol w:w="1445"/>
        <w:gridCol w:w="1369"/>
      </w:tblGrid>
      <w:tr w:rsidR="00D3527F" w14:paraId="78C0E47B" w14:textId="77777777" w:rsidTr="00D3527F">
        <w:trPr>
          <w:jc w:val="center"/>
        </w:trPr>
        <w:tc>
          <w:tcPr>
            <w:tcW w:w="1153" w:type="dxa"/>
            <w:tcBorders>
              <w:right w:val="single" w:sz="4" w:space="0" w:color="FFFFFF"/>
            </w:tcBorders>
            <w:shd w:val="clear" w:color="auto" w:fill="0C2577"/>
            <w:vAlign w:val="center"/>
          </w:tcPr>
          <w:p w14:paraId="51651FB0"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16" w:type="dxa"/>
            <w:tcBorders>
              <w:left w:val="single" w:sz="4" w:space="0" w:color="FFFFFF"/>
              <w:right w:val="single" w:sz="4" w:space="0" w:color="FFFFFF"/>
            </w:tcBorders>
            <w:shd w:val="clear" w:color="auto" w:fill="0C2577"/>
            <w:vAlign w:val="center"/>
          </w:tcPr>
          <w:p w14:paraId="2F7D7549"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445" w:type="dxa"/>
            <w:tcBorders>
              <w:left w:val="single" w:sz="4" w:space="0" w:color="FFFFFF"/>
              <w:right w:val="single" w:sz="4" w:space="0" w:color="FFFFFF"/>
            </w:tcBorders>
            <w:shd w:val="clear" w:color="auto" w:fill="0C2577"/>
            <w:vAlign w:val="center"/>
          </w:tcPr>
          <w:p w14:paraId="7B093CE5" w14:textId="77777777" w:rsidR="00D3527F" w:rsidRPr="009C75E1" w:rsidRDefault="00D3527F" w:rsidP="00D3527F">
            <w:pPr>
              <w:keepNext/>
              <w:keepLines/>
              <w:jc w:val="center"/>
              <w:rPr>
                <w:rFonts w:ascii="Arial" w:hAnsi="Arial" w:cs="Arial"/>
                <w:b/>
                <w:sz w:val="20"/>
                <w:szCs w:val="20"/>
              </w:rPr>
            </w:pPr>
          </w:p>
          <w:p w14:paraId="2C72130E"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Previous</w:t>
            </w:r>
            <w:r>
              <w:rPr>
                <w:rFonts w:ascii="Arial" w:hAnsi="Arial" w:cs="Arial"/>
                <w:b/>
                <w:sz w:val="20"/>
                <w:szCs w:val="20"/>
              </w:rPr>
              <w:t xml:space="preserve"> Study</w:t>
            </w:r>
          </w:p>
          <w:p w14:paraId="2F51CF49" w14:textId="77777777" w:rsidR="00D3527F" w:rsidRPr="009C75E1" w:rsidRDefault="00D3527F" w:rsidP="00D3527F">
            <w:pPr>
              <w:keepNext/>
              <w:keepLines/>
              <w:jc w:val="center"/>
              <w:rPr>
                <w:rFonts w:ascii="Arial" w:hAnsi="Arial" w:cs="Arial"/>
                <w:b/>
                <w:sz w:val="20"/>
                <w:szCs w:val="20"/>
              </w:rPr>
            </w:pPr>
          </w:p>
        </w:tc>
        <w:tc>
          <w:tcPr>
            <w:tcW w:w="1369" w:type="dxa"/>
            <w:tcBorders>
              <w:left w:val="single" w:sz="4" w:space="0" w:color="FFFFFF"/>
            </w:tcBorders>
            <w:shd w:val="clear" w:color="auto" w:fill="0C2577"/>
            <w:vAlign w:val="center"/>
          </w:tcPr>
          <w:p w14:paraId="7089FD22"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Current</w:t>
            </w:r>
            <w:r>
              <w:rPr>
                <w:rFonts w:ascii="Arial" w:hAnsi="Arial" w:cs="Arial"/>
                <w:b/>
                <w:sz w:val="20"/>
                <w:szCs w:val="20"/>
              </w:rPr>
              <w:t xml:space="preserve"> Study</w:t>
            </w:r>
          </w:p>
        </w:tc>
      </w:tr>
      <w:tr w:rsidR="00D3527F" w14:paraId="50A82D14" w14:textId="77777777" w:rsidTr="00D3527F">
        <w:trPr>
          <w:jc w:val="center"/>
        </w:trPr>
        <w:tc>
          <w:tcPr>
            <w:tcW w:w="1153" w:type="dxa"/>
            <w:vMerge w:val="restart"/>
            <w:shd w:val="clear" w:color="auto" w:fill="auto"/>
            <w:vAlign w:val="center"/>
          </w:tcPr>
          <w:p w14:paraId="1B0A2884"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16" w:type="dxa"/>
            <w:shd w:val="clear" w:color="auto" w:fill="auto"/>
          </w:tcPr>
          <w:p w14:paraId="6FC0FDB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445" w:type="dxa"/>
            <w:shd w:val="clear" w:color="auto" w:fill="auto"/>
            <w:vAlign w:val="center"/>
          </w:tcPr>
          <w:p w14:paraId="59D2EE7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11,221</w:t>
            </w:r>
          </w:p>
        </w:tc>
        <w:tc>
          <w:tcPr>
            <w:tcW w:w="1369" w:type="dxa"/>
            <w:shd w:val="clear" w:color="auto" w:fill="auto"/>
            <w:vAlign w:val="center"/>
          </w:tcPr>
          <w:p w14:paraId="0C1304B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10,879</w:t>
            </w:r>
          </w:p>
        </w:tc>
      </w:tr>
      <w:tr w:rsidR="00D3527F" w14:paraId="4F260447" w14:textId="77777777" w:rsidTr="00D3527F">
        <w:trPr>
          <w:trHeight w:val="242"/>
          <w:jc w:val="center"/>
        </w:trPr>
        <w:tc>
          <w:tcPr>
            <w:tcW w:w="1153" w:type="dxa"/>
            <w:vMerge/>
            <w:shd w:val="clear" w:color="auto" w:fill="auto"/>
            <w:vAlign w:val="center"/>
          </w:tcPr>
          <w:p w14:paraId="5ED6413D"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5C91AD5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445" w:type="dxa"/>
            <w:shd w:val="clear" w:color="auto" w:fill="auto"/>
            <w:vAlign w:val="center"/>
          </w:tcPr>
          <w:p w14:paraId="5BB460FC"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444</w:t>
            </w:r>
          </w:p>
        </w:tc>
        <w:tc>
          <w:tcPr>
            <w:tcW w:w="1369" w:type="dxa"/>
            <w:shd w:val="clear" w:color="auto" w:fill="auto"/>
            <w:vAlign w:val="center"/>
          </w:tcPr>
          <w:p w14:paraId="31F9971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399</w:t>
            </w:r>
          </w:p>
        </w:tc>
      </w:tr>
      <w:tr w:rsidR="00D3527F" w14:paraId="36066814" w14:textId="77777777" w:rsidTr="00D3527F">
        <w:trPr>
          <w:jc w:val="center"/>
        </w:trPr>
        <w:tc>
          <w:tcPr>
            <w:tcW w:w="1153" w:type="dxa"/>
            <w:vMerge/>
            <w:shd w:val="clear" w:color="auto" w:fill="auto"/>
            <w:vAlign w:val="center"/>
          </w:tcPr>
          <w:p w14:paraId="007EF71B"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21DA7C16"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445" w:type="dxa"/>
            <w:shd w:val="clear" w:color="auto" w:fill="auto"/>
            <w:vAlign w:val="center"/>
          </w:tcPr>
          <w:p w14:paraId="55D7111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2.7</w:t>
            </w:r>
          </w:p>
        </w:tc>
        <w:tc>
          <w:tcPr>
            <w:tcW w:w="1369" w:type="dxa"/>
            <w:shd w:val="clear" w:color="auto" w:fill="auto"/>
            <w:vAlign w:val="center"/>
          </w:tcPr>
          <w:p w14:paraId="36B76E12"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0.8</w:t>
            </w:r>
          </w:p>
        </w:tc>
      </w:tr>
      <w:tr w:rsidR="00D3527F" w14:paraId="23DA28A6" w14:textId="77777777" w:rsidTr="00D3527F">
        <w:trPr>
          <w:jc w:val="center"/>
        </w:trPr>
        <w:tc>
          <w:tcPr>
            <w:tcW w:w="1153" w:type="dxa"/>
            <w:vMerge/>
            <w:shd w:val="clear" w:color="auto" w:fill="auto"/>
            <w:vAlign w:val="center"/>
          </w:tcPr>
          <w:p w14:paraId="2ED3A24E"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0806586A"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445" w:type="dxa"/>
            <w:shd w:val="clear" w:color="auto" w:fill="auto"/>
            <w:vAlign w:val="center"/>
          </w:tcPr>
          <w:p w14:paraId="767A9852"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84.7</w:t>
            </w:r>
          </w:p>
        </w:tc>
        <w:tc>
          <w:tcPr>
            <w:tcW w:w="1369" w:type="dxa"/>
            <w:shd w:val="clear" w:color="auto" w:fill="auto"/>
            <w:vAlign w:val="center"/>
          </w:tcPr>
          <w:p w14:paraId="58327C5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86.1</w:t>
            </w:r>
          </w:p>
        </w:tc>
      </w:tr>
      <w:tr w:rsidR="00D3527F" w14:paraId="3441CE78" w14:textId="77777777" w:rsidTr="00D3527F">
        <w:trPr>
          <w:jc w:val="center"/>
        </w:trPr>
        <w:tc>
          <w:tcPr>
            <w:tcW w:w="1153" w:type="dxa"/>
            <w:vMerge w:val="restart"/>
            <w:shd w:val="clear" w:color="auto" w:fill="auto"/>
            <w:vAlign w:val="center"/>
          </w:tcPr>
          <w:p w14:paraId="03561D82"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16" w:type="dxa"/>
            <w:shd w:val="clear" w:color="auto" w:fill="auto"/>
          </w:tcPr>
          <w:p w14:paraId="19B6B65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445" w:type="dxa"/>
            <w:shd w:val="clear" w:color="auto" w:fill="auto"/>
            <w:vAlign w:val="center"/>
          </w:tcPr>
          <w:p w14:paraId="117E886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40</w:t>
            </w:r>
          </w:p>
        </w:tc>
        <w:tc>
          <w:tcPr>
            <w:tcW w:w="1369" w:type="dxa"/>
            <w:shd w:val="clear" w:color="auto" w:fill="auto"/>
            <w:vAlign w:val="center"/>
          </w:tcPr>
          <w:p w14:paraId="3E433B2C"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37</w:t>
            </w:r>
          </w:p>
        </w:tc>
      </w:tr>
      <w:tr w:rsidR="00D3527F" w14:paraId="38000444" w14:textId="77777777" w:rsidTr="00D3527F">
        <w:trPr>
          <w:jc w:val="center"/>
        </w:trPr>
        <w:tc>
          <w:tcPr>
            <w:tcW w:w="1153" w:type="dxa"/>
            <w:vMerge/>
            <w:shd w:val="clear" w:color="auto" w:fill="auto"/>
          </w:tcPr>
          <w:p w14:paraId="5B9A9002"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53938254"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445" w:type="dxa"/>
            <w:shd w:val="clear" w:color="auto" w:fill="auto"/>
            <w:vAlign w:val="center"/>
          </w:tcPr>
          <w:p w14:paraId="5CFBB60B"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c>
          <w:tcPr>
            <w:tcW w:w="1369" w:type="dxa"/>
            <w:shd w:val="clear" w:color="auto" w:fill="auto"/>
            <w:vAlign w:val="center"/>
          </w:tcPr>
          <w:p w14:paraId="3F83A28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0.1</w:t>
            </w:r>
          </w:p>
        </w:tc>
      </w:tr>
      <w:tr w:rsidR="00D3527F" w14:paraId="107B05C5" w14:textId="77777777" w:rsidTr="00D3527F">
        <w:trPr>
          <w:jc w:val="center"/>
        </w:trPr>
        <w:tc>
          <w:tcPr>
            <w:tcW w:w="1153" w:type="dxa"/>
            <w:vMerge/>
            <w:shd w:val="clear" w:color="auto" w:fill="auto"/>
          </w:tcPr>
          <w:p w14:paraId="73B08702" w14:textId="77777777" w:rsidR="00D3527F" w:rsidRPr="009C75E1" w:rsidRDefault="00D3527F" w:rsidP="00D3527F">
            <w:pPr>
              <w:keepNext/>
              <w:keepLines/>
              <w:rPr>
                <w:rFonts w:ascii="Arial" w:hAnsi="Arial" w:cs="Arial"/>
                <w:sz w:val="20"/>
                <w:szCs w:val="20"/>
              </w:rPr>
            </w:pPr>
          </w:p>
        </w:tc>
        <w:tc>
          <w:tcPr>
            <w:tcW w:w="1916" w:type="dxa"/>
            <w:shd w:val="clear" w:color="auto" w:fill="auto"/>
          </w:tcPr>
          <w:p w14:paraId="56383D8E"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445" w:type="dxa"/>
            <w:shd w:val="clear" w:color="auto" w:fill="auto"/>
            <w:vAlign w:val="center"/>
          </w:tcPr>
          <w:p w14:paraId="469E44BB"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0.6%</w:t>
            </w:r>
          </w:p>
        </w:tc>
        <w:tc>
          <w:tcPr>
            <w:tcW w:w="1369" w:type="dxa"/>
            <w:shd w:val="clear" w:color="auto" w:fill="auto"/>
            <w:vAlign w:val="center"/>
          </w:tcPr>
          <w:p w14:paraId="40BF9319"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r>
    </w:tbl>
    <w:p w14:paraId="5A990851" w14:textId="77777777" w:rsidR="00D3527F" w:rsidRDefault="00D3527F" w:rsidP="00D3527F"/>
    <w:p w14:paraId="3BE0FCA5" w14:textId="77777777" w:rsidR="00D3527F" w:rsidRPr="00823315" w:rsidRDefault="00D3527F" w:rsidP="00D3527F">
      <w:pPr>
        <w:rPr>
          <w:b/>
          <w:i/>
        </w:rPr>
      </w:pPr>
      <w:r w:rsidRPr="00823315">
        <w:rPr>
          <w:b/>
          <w:i/>
        </w:rPr>
        <w:t>Previous ex-ante versus current ex-post</w:t>
      </w:r>
    </w:p>
    <w:p w14:paraId="2A70850C" w14:textId="6D9F89E3" w:rsidR="005908F3" w:rsidRDefault="00D3527F" w:rsidP="00D3527F">
      <w:r>
        <w:fldChar w:fldCharType="begin"/>
      </w:r>
      <w:r>
        <w:instrText xml:space="preserve"> REF _Ref507079643 \h </w:instrText>
      </w:r>
      <w:r>
        <w:fldChar w:fldCharType="separate"/>
      </w:r>
      <w:r w:rsidR="005D5C7C">
        <w:t xml:space="preserve">Table </w:t>
      </w:r>
      <w:r w:rsidR="005D5C7C">
        <w:rPr>
          <w:noProof/>
        </w:rPr>
        <w:t>5</w:t>
      </w:r>
      <w:r w:rsidR="005D5C7C">
        <w:t>.</w:t>
      </w:r>
      <w:r w:rsidR="005D5C7C">
        <w:rPr>
          <w:noProof/>
        </w:rPr>
        <w:t>17</w:t>
      </w:r>
      <w:r>
        <w:fldChar w:fldCharType="end"/>
      </w:r>
      <w:r>
        <w:t xml:space="preserve"> provides a comparison of the </w:t>
      </w:r>
      <w:r w:rsidRPr="005926F0">
        <w:rPr>
          <w:i/>
        </w:rPr>
        <w:t>ex-ante</w:t>
      </w:r>
      <w:r>
        <w:t xml:space="preserve"> forecast of 2017 load impacts prepared following PY2016 and the PY2017 load impacts estimated as part of this study. The </w:t>
      </w:r>
      <w:r w:rsidRPr="005926F0">
        <w:rPr>
          <w:i/>
        </w:rPr>
        <w:t>ex-ante</w:t>
      </w:r>
      <w:r>
        <w:t xml:space="preserve"> forecast shown in the table represents the August peak day during a utility-specific 1-in-2 weather year. The </w:t>
      </w:r>
      <w:r w:rsidRPr="005926F0">
        <w:rPr>
          <w:i/>
        </w:rPr>
        <w:t>ex-post</w:t>
      </w:r>
      <w:r>
        <w:t xml:space="preserve"> load impacts are based on the average</w:t>
      </w:r>
      <w:r w:rsidR="009215C9">
        <w:t xml:space="preserve"> weekday</w:t>
      </w:r>
      <w:r>
        <w:t xml:space="preserve"> event. </w:t>
      </w:r>
      <w:r w:rsidR="005908F3">
        <w:t xml:space="preserve">The forecast load impact was higher than the </w:t>
      </w:r>
      <w:r w:rsidR="005908F3" w:rsidRPr="005908F3">
        <w:rPr>
          <w:i/>
        </w:rPr>
        <w:t>ex-post</w:t>
      </w:r>
      <w:r w:rsidR="005908F3">
        <w:t xml:space="preserve"> load impact (2.7 MWh/hour vs. 1.0 MWh/hour) because of a lower-than-forecast percentage load impact. The reduction in the total load impact was mitigated by higher-than-forecast enrollments.</w:t>
      </w:r>
    </w:p>
    <w:p w14:paraId="2A38D127" w14:textId="77777777" w:rsidR="00D3527F" w:rsidRDefault="00D3527F" w:rsidP="00D3527F"/>
    <w:p w14:paraId="60BC9531" w14:textId="33D2E0CF" w:rsidR="00D3527F" w:rsidRPr="009E4792" w:rsidRDefault="00D3527F" w:rsidP="00D3527F">
      <w:pPr>
        <w:pStyle w:val="TableCaption"/>
        <w:rPr>
          <w:i/>
        </w:rPr>
      </w:pPr>
      <w:bookmarkStart w:id="528" w:name="_Ref507079643"/>
      <w:bookmarkStart w:id="529" w:name="_Toc507081253"/>
      <w:bookmarkStart w:id="530" w:name="_Toc507425230"/>
      <w:bookmarkStart w:id="531" w:name="_Toc509837428"/>
      <w:r>
        <w:lastRenderedPageBreak/>
        <w:t xml:space="preserve">Table </w:t>
      </w:r>
      <w:fldSimple w:instr=" STYLEREF 1 \s ">
        <w:r w:rsidR="005D5C7C">
          <w:rPr>
            <w:noProof/>
          </w:rPr>
          <w:t>5</w:t>
        </w:r>
      </w:fldSimple>
      <w:r w:rsidR="0069714C">
        <w:t>.</w:t>
      </w:r>
      <w:fldSimple w:instr=" SEQ Table \* ARABIC \s 1 ">
        <w:r w:rsidR="005D5C7C">
          <w:rPr>
            <w:noProof/>
          </w:rPr>
          <w:t>17</w:t>
        </w:r>
      </w:fldSimple>
      <w:bookmarkEnd w:id="528"/>
      <w:r>
        <w:t>:</w:t>
      </w:r>
      <w:r w:rsidRPr="00827AFF">
        <w:t xml:space="preserve"> </w:t>
      </w:r>
      <w:r w:rsidRPr="00376F46">
        <w:t xml:space="preserve">Comparison of </w:t>
      </w:r>
      <w:r>
        <w:t xml:space="preserve">Previous </w:t>
      </w:r>
      <w:r>
        <w:rPr>
          <w:i/>
        </w:rPr>
        <w:t>Ex-Ante</w:t>
      </w:r>
      <w:r>
        <w:t xml:space="preserve"> and Current </w:t>
      </w:r>
      <w:r>
        <w:rPr>
          <w:i/>
        </w:rPr>
        <w:t>Ex-Post</w:t>
      </w:r>
      <w:r>
        <w:t xml:space="preserve"> </w:t>
      </w:r>
      <w:r w:rsidRPr="00376F46">
        <w:t>Impacts</w:t>
      </w:r>
      <w:bookmarkEnd w:id="529"/>
      <w:bookmarkEnd w:id="530"/>
      <w:r>
        <w:t xml:space="preserve">, </w:t>
      </w:r>
      <w:r>
        <w:br/>
      </w:r>
      <w:r>
        <w:rPr>
          <w:i/>
        </w:rPr>
        <w:t>SDG&amp;E Medium</w:t>
      </w:r>
      <w:bookmarkEnd w:id="5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D3527F" w14:paraId="79C8651C" w14:textId="77777777" w:rsidTr="00D3527F">
        <w:trPr>
          <w:jc w:val="center"/>
        </w:trPr>
        <w:tc>
          <w:tcPr>
            <w:tcW w:w="1548" w:type="dxa"/>
            <w:tcBorders>
              <w:right w:val="single" w:sz="4" w:space="0" w:color="FFFFFF"/>
            </w:tcBorders>
            <w:shd w:val="clear" w:color="auto" w:fill="0C2577"/>
            <w:vAlign w:val="center"/>
          </w:tcPr>
          <w:p w14:paraId="3DB45257"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49C7AFC4"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0CAEDC15" w14:textId="77777777"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2017 August Peak Day from PY2016 Study</w:t>
            </w:r>
          </w:p>
        </w:tc>
        <w:tc>
          <w:tcPr>
            <w:tcW w:w="1772" w:type="dxa"/>
            <w:tcBorders>
              <w:left w:val="single" w:sz="4" w:space="0" w:color="FFFFFF"/>
            </w:tcBorders>
            <w:shd w:val="clear" w:color="auto" w:fill="0C2577"/>
            <w:vAlign w:val="center"/>
          </w:tcPr>
          <w:p w14:paraId="2B3DB7FE" w14:textId="03C11E7E"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w:t>
            </w:r>
            <w:r w:rsidR="009215C9">
              <w:rPr>
                <w:rFonts w:ascii="Arial" w:hAnsi="Arial" w:cs="Arial"/>
                <w:b/>
                <w:sz w:val="20"/>
                <w:szCs w:val="20"/>
              </w:rPr>
              <w:t xml:space="preserve">Weekday </w:t>
            </w:r>
            <w:r>
              <w:rPr>
                <w:rFonts w:ascii="Arial" w:hAnsi="Arial" w:cs="Arial"/>
                <w:b/>
                <w:sz w:val="20"/>
                <w:szCs w:val="20"/>
              </w:rPr>
              <w:t>Event from PY2017 Study</w:t>
            </w:r>
          </w:p>
        </w:tc>
      </w:tr>
      <w:tr w:rsidR="00D3527F" w14:paraId="63717D55" w14:textId="77777777" w:rsidTr="00D3527F">
        <w:trPr>
          <w:jc w:val="center"/>
        </w:trPr>
        <w:tc>
          <w:tcPr>
            <w:tcW w:w="1548" w:type="dxa"/>
            <w:vMerge w:val="restart"/>
            <w:shd w:val="clear" w:color="auto" w:fill="auto"/>
            <w:vAlign w:val="center"/>
          </w:tcPr>
          <w:p w14:paraId="17DBDB36"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687559C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79029CE8"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11,320</w:t>
            </w:r>
          </w:p>
        </w:tc>
        <w:tc>
          <w:tcPr>
            <w:tcW w:w="1772" w:type="dxa"/>
            <w:shd w:val="clear" w:color="auto" w:fill="auto"/>
            <w:vAlign w:val="center"/>
          </w:tcPr>
          <w:p w14:paraId="744A5A27"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11,808</w:t>
            </w:r>
          </w:p>
        </w:tc>
      </w:tr>
      <w:tr w:rsidR="00D3527F" w14:paraId="4BC8309A" w14:textId="77777777" w:rsidTr="00D3527F">
        <w:trPr>
          <w:trHeight w:val="242"/>
          <w:jc w:val="center"/>
        </w:trPr>
        <w:tc>
          <w:tcPr>
            <w:tcW w:w="1548" w:type="dxa"/>
            <w:vMerge/>
            <w:shd w:val="clear" w:color="auto" w:fill="auto"/>
            <w:vAlign w:val="center"/>
          </w:tcPr>
          <w:p w14:paraId="13E206C4"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612A3B5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2C340E1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448</w:t>
            </w:r>
          </w:p>
        </w:tc>
        <w:tc>
          <w:tcPr>
            <w:tcW w:w="1772" w:type="dxa"/>
            <w:shd w:val="clear" w:color="auto" w:fill="auto"/>
            <w:vAlign w:val="center"/>
          </w:tcPr>
          <w:p w14:paraId="640C6D4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455</w:t>
            </w:r>
          </w:p>
        </w:tc>
      </w:tr>
      <w:tr w:rsidR="00D3527F" w14:paraId="7CEA8634" w14:textId="77777777" w:rsidTr="00D3527F">
        <w:trPr>
          <w:jc w:val="center"/>
        </w:trPr>
        <w:tc>
          <w:tcPr>
            <w:tcW w:w="1548" w:type="dxa"/>
            <w:vMerge/>
            <w:shd w:val="clear" w:color="auto" w:fill="auto"/>
            <w:vAlign w:val="center"/>
          </w:tcPr>
          <w:p w14:paraId="59FD638D"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68E10FB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1D256E4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2.7</w:t>
            </w:r>
          </w:p>
        </w:tc>
        <w:tc>
          <w:tcPr>
            <w:tcW w:w="1772" w:type="dxa"/>
            <w:shd w:val="clear" w:color="auto" w:fill="auto"/>
            <w:vAlign w:val="center"/>
          </w:tcPr>
          <w:p w14:paraId="4004382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1.0</w:t>
            </w:r>
          </w:p>
        </w:tc>
      </w:tr>
      <w:tr w:rsidR="00D3527F" w14:paraId="7A5048A0" w14:textId="77777777" w:rsidTr="00D3527F">
        <w:trPr>
          <w:jc w:val="center"/>
        </w:trPr>
        <w:tc>
          <w:tcPr>
            <w:tcW w:w="1548" w:type="dxa"/>
            <w:vMerge/>
            <w:shd w:val="clear" w:color="auto" w:fill="auto"/>
            <w:vAlign w:val="center"/>
          </w:tcPr>
          <w:p w14:paraId="4C2B83E2"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3C6F4CD8"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14E3C8D9"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84.7</w:t>
            </w:r>
          </w:p>
        </w:tc>
        <w:tc>
          <w:tcPr>
            <w:tcW w:w="1772" w:type="dxa"/>
            <w:shd w:val="clear" w:color="auto" w:fill="auto"/>
            <w:vAlign w:val="center"/>
          </w:tcPr>
          <w:p w14:paraId="019CE029"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91.4</w:t>
            </w:r>
          </w:p>
        </w:tc>
      </w:tr>
      <w:tr w:rsidR="00D3527F" w14:paraId="3EC478D8" w14:textId="77777777" w:rsidTr="00D3527F">
        <w:trPr>
          <w:jc w:val="center"/>
        </w:trPr>
        <w:tc>
          <w:tcPr>
            <w:tcW w:w="1548" w:type="dxa"/>
            <w:vMerge w:val="restart"/>
            <w:shd w:val="clear" w:color="auto" w:fill="auto"/>
            <w:vAlign w:val="center"/>
          </w:tcPr>
          <w:p w14:paraId="74FF2A1E"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7BFFC059"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1D83157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40</w:t>
            </w:r>
          </w:p>
        </w:tc>
        <w:tc>
          <w:tcPr>
            <w:tcW w:w="1772" w:type="dxa"/>
            <w:shd w:val="clear" w:color="auto" w:fill="auto"/>
            <w:vAlign w:val="center"/>
          </w:tcPr>
          <w:p w14:paraId="48DC195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39</w:t>
            </w:r>
          </w:p>
        </w:tc>
      </w:tr>
      <w:tr w:rsidR="00D3527F" w14:paraId="4F5E98E0" w14:textId="77777777" w:rsidTr="00D3527F">
        <w:trPr>
          <w:jc w:val="center"/>
        </w:trPr>
        <w:tc>
          <w:tcPr>
            <w:tcW w:w="1548" w:type="dxa"/>
            <w:vMerge/>
            <w:shd w:val="clear" w:color="auto" w:fill="auto"/>
          </w:tcPr>
          <w:p w14:paraId="125CBB55"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0A8B5C96"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1F6B9C8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c>
          <w:tcPr>
            <w:tcW w:w="1772" w:type="dxa"/>
            <w:shd w:val="clear" w:color="auto" w:fill="auto"/>
            <w:vAlign w:val="center"/>
          </w:tcPr>
          <w:p w14:paraId="7E604C5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0.1</w:t>
            </w:r>
          </w:p>
        </w:tc>
      </w:tr>
      <w:tr w:rsidR="00D3527F" w14:paraId="318CD928" w14:textId="77777777" w:rsidTr="00D3527F">
        <w:trPr>
          <w:jc w:val="center"/>
        </w:trPr>
        <w:tc>
          <w:tcPr>
            <w:tcW w:w="1548" w:type="dxa"/>
            <w:vMerge/>
            <w:shd w:val="clear" w:color="auto" w:fill="auto"/>
          </w:tcPr>
          <w:p w14:paraId="7B1BA469"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6E7F4495"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2376EC76"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0.6%</w:t>
            </w:r>
          </w:p>
        </w:tc>
        <w:tc>
          <w:tcPr>
            <w:tcW w:w="1772" w:type="dxa"/>
            <w:shd w:val="clear" w:color="auto" w:fill="auto"/>
            <w:vAlign w:val="center"/>
          </w:tcPr>
          <w:p w14:paraId="245A26B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r>
    </w:tbl>
    <w:p w14:paraId="0373ABBA" w14:textId="77777777" w:rsidR="00D3527F" w:rsidRDefault="00D3527F" w:rsidP="00D3527F"/>
    <w:p w14:paraId="078FAA08" w14:textId="77777777" w:rsidR="00D3527F" w:rsidRPr="00823315" w:rsidRDefault="00D3527F" w:rsidP="00D3527F">
      <w:pPr>
        <w:rPr>
          <w:b/>
          <w:i/>
        </w:rPr>
      </w:pPr>
      <w:r w:rsidRPr="00823315">
        <w:rPr>
          <w:b/>
          <w:i/>
        </w:rPr>
        <w:t>Current ex-post versus current ex-ante</w:t>
      </w:r>
    </w:p>
    <w:p w14:paraId="2D7AB5DF" w14:textId="47865C5D" w:rsidR="00D3527F" w:rsidRDefault="00D3527F" w:rsidP="00D3527F">
      <w:r>
        <w:fldChar w:fldCharType="begin"/>
      </w:r>
      <w:r>
        <w:instrText xml:space="preserve"> REF _Ref507079661 \h </w:instrText>
      </w:r>
      <w:r>
        <w:fldChar w:fldCharType="separate"/>
      </w:r>
      <w:r w:rsidR="005D5C7C">
        <w:t xml:space="preserve">Table </w:t>
      </w:r>
      <w:r w:rsidR="005D5C7C">
        <w:rPr>
          <w:noProof/>
        </w:rPr>
        <w:t>5</w:t>
      </w:r>
      <w:r w:rsidR="005D5C7C">
        <w:t>.</w:t>
      </w:r>
      <w:r w:rsidR="005D5C7C">
        <w:rPr>
          <w:noProof/>
        </w:rPr>
        <w:t>18</w:t>
      </w:r>
      <w:r>
        <w:fldChar w:fldCharType="end"/>
      </w:r>
      <w:r>
        <w:t xml:space="preserve"> compares the </w:t>
      </w:r>
      <w:r w:rsidRPr="005926F0">
        <w:rPr>
          <w:i/>
        </w:rPr>
        <w:t>ex-post</w:t>
      </w:r>
      <w:r>
        <w:t xml:space="preserve"> and </w:t>
      </w:r>
      <w:r w:rsidRPr="005926F0">
        <w:rPr>
          <w:i/>
        </w:rPr>
        <w:t>ex-ante</w:t>
      </w:r>
      <w:r>
        <w:t xml:space="preserve"> load impacts from this study. The </w:t>
      </w:r>
      <w:r w:rsidRPr="005926F0">
        <w:rPr>
          <w:i/>
        </w:rPr>
        <w:t>ex-ante</w:t>
      </w:r>
      <w:r>
        <w:t xml:space="preserve"> load impacts in the table represent the 2018 August peak day with utility-specific 1-in-2 weather conditions. The percentage load impact is equivalent between the current </w:t>
      </w:r>
      <w:r>
        <w:rPr>
          <w:i/>
        </w:rPr>
        <w:t xml:space="preserve">ex-post </w:t>
      </w:r>
      <w:r>
        <w:t xml:space="preserve">and </w:t>
      </w:r>
      <w:r>
        <w:rPr>
          <w:i/>
        </w:rPr>
        <w:t xml:space="preserve">ex-ante </w:t>
      </w:r>
      <w:r>
        <w:t>analysis b</w:t>
      </w:r>
      <w:r w:rsidR="00EC1E0D">
        <w:t>y</w:t>
      </w:r>
      <w:r>
        <w:t xml:space="preserve"> design. </w:t>
      </w:r>
      <w:r w:rsidR="00EC1E0D" w:rsidRPr="00EC1E0D">
        <w:rPr>
          <w:i/>
        </w:rPr>
        <w:t>Ex-ante</w:t>
      </w:r>
      <w:r w:rsidR="00EC1E0D">
        <w:t xml:space="preserve"> </w:t>
      </w:r>
      <w:r>
        <w:t xml:space="preserve">enrollment </w:t>
      </w:r>
      <w:r w:rsidR="00EC1E0D">
        <w:t xml:space="preserve">is somewhat lower than </w:t>
      </w:r>
      <w:r w:rsidR="00EC1E0D" w:rsidRPr="00EC1E0D">
        <w:rPr>
          <w:i/>
        </w:rPr>
        <w:t>ex-post</w:t>
      </w:r>
      <w:r w:rsidR="00EC1E0D">
        <w:t xml:space="preserve"> enrollment, </w:t>
      </w:r>
      <w:r>
        <w:t xml:space="preserve">which results in </w:t>
      </w:r>
      <w:r w:rsidR="00EC1E0D">
        <w:t xml:space="preserve">lower total </w:t>
      </w:r>
      <w:r>
        <w:t>reference load</w:t>
      </w:r>
      <w:r w:rsidR="00EC1E0D">
        <w:t>s</w:t>
      </w:r>
      <w:r>
        <w:t xml:space="preserve"> and load impacts. The per-customer reference load is slightly lower in the </w:t>
      </w:r>
      <w:r>
        <w:rPr>
          <w:i/>
        </w:rPr>
        <w:t>ex-</w:t>
      </w:r>
      <w:r w:rsidRPr="00E5260F">
        <w:rPr>
          <w:i/>
        </w:rPr>
        <w:t>ante</w:t>
      </w:r>
      <w:r>
        <w:t xml:space="preserve"> study because of the cooler 86-degree temperature.</w:t>
      </w:r>
    </w:p>
    <w:p w14:paraId="579FF1FE" w14:textId="77777777" w:rsidR="00D3527F" w:rsidRDefault="00D3527F" w:rsidP="00D3527F"/>
    <w:p w14:paraId="2E139024" w14:textId="3945A50A" w:rsidR="00D3527F" w:rsidRPr="00BB5B2C" w:rsidRDefault="00D3527F" w:rsidP="00D3527F">
      <w:pPr>
        <w:pStyle w:val="TableCaption"/>
        <w:rPr>
          <w:i/>
        </w:rPr>
      </w:pPr>
      <w:bookmarkStart w:id="532" w:name="_Ref507079661"/>
      <w:bookmarkStart w:id="533" w:name="_Toc507081254"/>
      <w:bookmarkStart w:id="534" w:name="_Toc507425231"/>
      <w:bookmarkStart w:id="535" w:name="_Toc509837429"/>
      <w:r>
        <w:t xml:space="preserve">Table </w:t>
      </w:r>
      <w:fldSimple w:instr=" STYLEREF 1 \s ">
        <w:r w:rsidR="005D5C7C">
          <w:rPr>
            <w:noProof/>
          </w:rPr>
          <w:t>5</w:t>
        </w:r>
      </w:fldSimple>
      <w:r w:rsidR="0069714C">
        <w:t>.</w:t>
      </w:r>
      <w:fldSimple w:instr=" SEQ Table \* ARABIC \s 1 ">
        <w:r w:rsidR="005D5C7C">
          <w:rPr>
            <w:noProof/>
          </w:rPr>
          <w:t>18</w:t>
        </w:r>
      </w:fldSimple>
      <w:bookmarkEnd w:id="532"/>
      <w:r>
        <w:t xml:space="preserve">: </w:t>
      </w:r>
      <w:r w:rsidRPr="00376F46">
        <w:t xml:space="preserve">Comparison of </w:t>
      </w:r>
      <w:r>
        <w:t xml:space="preserve">Current </w:t>
      </w:r>
      <w:r>
        <w:rPr>
          <w:i/>
        </w:rPr>
        <w:t>Ex-Post</w:t>
      </w:r>
      <w:r>
        <w:t xml:space="preserve"> and </w:t>
      </w:r>
      <w:r>
        <w:rPr>
          <w:i/>
        </w:rPr>
        <w:t>Ex-Ante</w:t>
      </w:r>
      <w:r>
        <w:t xml:space="preserve"> Load </w:t>
      </w:r>
      <w:r w:rsidRPr="00376F46">
        <w:t>Impacts</w:t>
      </w:r>
      <w:bookmarkEnd w:id="533"/>
      <w:bookmarkEnd w:id="534"/>
      <w:r>
        <w:t xml:space="preserve">, </w:t>
      </w:r>
      <w:r>
        <w:rPr>
          <w:i/>
        </w:rPr>
        <w:t>SDG&amp;E Medium</w:t>
      </w:r>
      <w:bookmarkEnd w:id="5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994"/>
        <w:gridCol w:w="1771"/>
        <w:gridCol w:w="1772"/>
      </w:tblGrid>
      <w:tr w:rsidR="00D3527F" w14:paraId="18FBD19B" w14:textId="77777777" w:rsidTr="00D3527F">
        <w:trPr>
          <w:jc w:val="center"/>
        </w:trPr>
        <w:tc>
          <w:tcPr>
            <w:tcW w:w="1548" w:type="dxa"/>
            <w:tcBorders>
              <w:right w:val="single" w:sz="4" w:space="0" w:color="FFFFFF"/>
            </w:tcBorders>
            <w:shd w:val="clear" w:color="auto" w:fill="0C2577"/>
            <w:vAlign w:val="center"/>
          </w:tcPr>
          <w:p w14:paraId="3F8D7A03"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Level</w:t>
            </w:r>
          </w:p>
        </w:tc>
        <w:tc>
          <w:tcPr>
            <w:tcW w:w="1994" w:type="dxa"/>
            <w:tcBorders>
              <w:left w:val="single" w:sz="4" w:space="0" w:color="FFFFFF"/>
              <w:right w:val="single" w:sz="4" w:space="0" w:color="FFFFFF"/>
            </w:tcBorders>
            <w:shd w:val="clear" w:color="auto" w:fill="0C2577"/>
            <w:vAlign w:val="center"/>
          </w:tcPr>
          <w:p w14:paraId="318EA320" w14:textId="77777777" w:rsidR="00D3527F" w:rsidRPr="009C75E1" w:rsidRDefault="00D3527F" w:rsidP="00D3527F">
            <w:pPr>
              <w:keepNext/>
              <w:keepLines/>
              <w:jc w:val="center"/>
              <w:rPr>
                <w:rFonts w:ascii="Arial" w:hAnsi="Arial" w:cs="Arial"/>
                <w:b/>
                <w:sz w:val="20"/>
                <w:szCs w:val="20"/>
              </w:rPr>
            </w:pPr>
            <w:r w:rsidRPr="009C75E1">
              <w:rPr>
                <w:rFonts w:ascii="Arial" w:hAnsi="Arial" w:cs="Arial"/>
                <w:b/>
                <w:sz w:val="20"/>
                <w:szCs w:val="20"/>
              </w:rPr>
              <w:t>Outcome</w:t>
            </w:r>
          </w:p>
        </w:tc>
        <w:tc>
          <w:tcPr>
            <w:tcW w:w="1771" w:type="dxa"/>
            <w:tcBorders>
              <w:left w:val="single" w:sz="4" w:space="0" w:color="FFFFFF"/>
              <w:right w:val="single" w:sz="4" w:space="0" w:color="FFFFFF"/>
            </w:tcBorders>
            <w:shd w:val="clear" w:color="auto" w:fill="0C2577"/>
            <w:vAlign w:val="center"/>
          </w:tcPr>
          <w:p w14:paraId="4814DAE4" w14:textId="147624FA"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Ex-Post</w:t>
            </w:r>
            <w:r>
              <w:rPr>
                <w:rFonts w:ascii="Arial" w:hAnsi="Arial" w:cs="Arial"/>
                <w:b/>
                <w:sz w:val="20"/>
                <w:szCs w:val="20"/>
              </w:rPr>
              <w:t xml:space="preserve"> for Average </w:t>
            </w:r>
            <w:r w:rsidR="003E1512">
              <w:rPr>
                <w:rFonts w:ascii="Arial" w:hAnsi="Arial" w:cs="Arial"/>
                <w:b/>
                <w:sz w:val="20"/>
                <w:szCs w:val="20"/>
              </w:rPr>
              <w:t xml:space="preserve">Weekday </w:t>
            </w:r>
            <w:r>
              <w:rPr>
                <w:rFonts w:ascii="Arial" w:hAnsi="Arial" w:cs="Arial"/>
                <w:b/>
                <w:sz w:val="20"/>
                <w:szCs w:val="20"/>
              </w:rPr>
              <w:t>Event from PY2017 Study</w:t>
            </w:r>
          </w:p>
        </w:tc>
        <w:tc>
          <w:tcPr>
            <w:tcW w:w="1772" w:type="dxa"/>
            <w:tcBorders>
              <w:left w:val="single" w:sz="4" w:space="0" w:color="FFFFFF"/>
            </w:tcBorders>
            <w:shd w:val="clear" w:color="auto" w:fill="0C2577"/>
            <w:vAlign w:val="center"/>
          </w:tcPr>
          <w:p w14:paraId="631E359E" w14:textId="77777777" w:rsidR="00D3527F" w:rsidRPr="009C75E1" w:rsidRDefault="00D3527F" w:rsidP="00D3527F">
            <w:pPr>
              <w:keepNext/>
              <w:keepLines/>
              <w:jc w:val="center"/>
              <w:rPr>
                <w:rFonts w:ascii="Arial" w:hAnsi="Arial" w:cs="Arial"/>
                <w:b/>
                <w:sz w:val="20"/>
                <w:szCs w:val="20"/>
              </w:rPr>
            </w:pPr>
            <w:r>
              <w:rPr>
                <w:rFonts w:ascii="Arial" w:hAnsi="Arial" w:cs="Arial"/>
                <w:b/>
                <w:i/>
                <w:sz w:val="20"/>
                <w:szCs w:val="20"/>
              </w:rPr>
              <w:t>Ex-Ante</w:t>
            </w:r>
            <w:r>
              <w:rPr>
                <w:rFonts w:ascii="Arial" w:hAnsi="Arial" w:cs="Arial"/>
                <w:b/>
                <w:sz w:val="20"/>
                <w:szCs w:val="20"/>
              </w:rPr>
              <w:t xml:space="preserve"> for 2018 August Peak Day from PY2017 Study</w:t>
            </w:r>
          </w:p>
        </w:tc>
      </w:tr>
      <w:tr w:rsidR="00D3527F" w14:paraId="55E5CCC8" w14:textId="77777777" w:rsidTr="00D3527F">
        <w:trPr>
          <w:jc w:val="center"/>
        </w:trPr>
        <w:tc>
          <w:tcPr>
            <w:tcW w:w="1548" w:type="dxa"/>
            <w:vMerge w:val="restart"/>
            <w:shd w:val="clear" w:color="auto" w:fill="auto"/>
            <w:vAlign w:val="center"/>
          </w:tcPr>
          <w:p w14:paraId="0FA4EDAB"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Total</w:t>
            </w:r>
          </w:p>
        </w:tc>
        <w:tc>
          <w:tcPr>
            <w:tcW w:w="1994" w:type="dxa"/>
            <w:shd w:val="clear" w:color="auto" w:fill="auto"/>
          </w:tcPr>
          <w:p w14:paraId="453E821A"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SAIDs</w:t>
            </w:r>
          </w:p>
        </w:tc>
        <w:tc>
          <w:tcPr>
            <w:tcW w:w="1771" w:type="dxa"/>
            <w:shd w:val="clear" w:color="auto" w:fill="auto"/>
            <w:vAlign w:val="center"/>
          </w:tcPr>
          <w:p w14:paraId="0A11F624"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11,808</w:t>
            </w:r>
          </w:p>
        </w:tc>
        <w:tc>
          <w:tcPr>
            <w:tcW w:w="1772" w:type="dxa"/>
            <w:shd w:val="clear" w:color="auto" w:fill="auto"/>
            <w:vAlign w:val="center"/>
          </w:tcPr>
          <w:p w14:paraId="6E1C7C9F"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10,879</w:t>
            </w:r>
          </w:p>
        </w:tc>
      </w:tr>
      <w:tr w:rsidR="00D3527F" w14:paraId="217273C7" w14:textId="77777777" w:rsidTr="00D3527F">
        <w:trPr>
          <w:trHeight w:val="242"/>
          <w:jc w:val="center"/>
        </w:trPr>
        <w:tc>
          <w:tcPr>
            <w:tcW w:w="1548" w:type="dxa"/>
            <w:vMerge/>
            <w:shd w:val="clear" w:color="auto" w:fill="auto"/>
            <w:vAlign w:val="center"/>
          </w:tcPr>
          <w:p w14:paraId="6BEDF995"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238CBCAC"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(MW)</w:t>
            </w:r>
          </w:p>
        </w:tc>
        <w:tc>
          <w:tcPr>
            <w:tcW w:w="1771" w:type="dxa"/>
            <w:shd w:val="clear" w:color="auto" w:fill="auto"/>
            <w:vAlign w:val="center"/>
          </w:tcPr>
          <w:p w14:paraId="692EC98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455</w:t>
            </w:r>
          </w:p>
        </w:tc>
        <w:tc>
          <w:tcPr>
            <w:tcW w:w="1772" w:type="dxa"/>
            <w:shd w:val="clear" w:color="auto" w:fill="auto"/>
            <w:vAlign w:val="center"/>
          </w:tcPr>
          <w:p w14:paraId="42F739D5"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399</w:t>
            </w:r>
          </w:p>
        </w:tc>
      </w:tr>
      <w:tr w:rsidR="00D3527F" w14:paraId="5DCDC0E5" w14:textId="77777777" w:rsidTr="00D3527F">
        <w:trPr>
          <w:jc w:val="center"/>
        </w:trPr>
        <w:tc>
          <w:tcPr>
            <w:tcW w:w="1548" w:type="dxa"/>
            <w:vMerge/>
            <w:shd w:val="clear" w:color="auto" w:fill="auto"/>
            <w:vAlign w:val="center"/>
          </w:tcPr>
          <w:p w14:paraId="3ED05323"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5912483F"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(MW)</w:t>
            </w:r>
          </w:p>
        </w:tc>
        <w:tc>
          <w:tcPr>
            <w:tcW w:w="1771" w:type="dxa"/>
            <w:shd w:val="clear" w:color="auto" w:fill="auto"/>
            <w:vAlign w:val="center"/>
          </w:tcPr>
          <w:p w14:paraId="2D6A6D42"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1.0</w:t>
            </w:r>
          </w:p>
        </w:tc>
        <w:tc>
          <w:tcPr>
            <w:tcW w:w="1772" w:type="dxa"/>
            <w:shd w:val="clear" w:color="auto" w:fill="auto"/>
            <w:vAlign w:val="center"/>
          </w:tcPr>
          <w:p w14:paraId="66EE44AE"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0.8</w:t>
            </w:r>
          </w:p>
        </w:tc>
      </w:tr>
      <w:tr w:rsidR="00D3527F" w14:paraId="2C9AAD47" w14:textId="77777777" w:rsidTr="00D3527F">
        <w:trPr>
          <w:jc w:val="center"/>
        </w:trPr>
        <w:tc>
          <w:tcPr>
            <w:tcW w:w="1548" w:type="dxa"/>
            <w:vMerge/>
            <w:shd w:val="clear" w:color="auto" w:fill="auto"/>
            <w:vAlign w:val="center"/>
          </w:tcPr>
          <w:p w14:paraId="396DEA6F"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48C7649D" w14:textId="77777777" w:rsidR="00D3527F" w:rsidRPr="009C75E1" w:rsidRDefault="00D3527F" w:rsidP="00D3527F">
            <w:pPr>
              <w:keepNext/>
              <w:keepLines/>
              <w:rPr>
                <w:rFonts w:ascii="Arial" w:hAnsi="Arial" w:cs="Arial"/>
                <w:sz w:val="20"/>
                <w:szCs w:val="20"/>
              </w:rPr>
            </w:pPr>
            <w:r>
              <w:rPr>
                <w:rFonts w:ascii="Arial" w:hAnsi="Arial" w:cs="Arial"/>
                <w:sz w:val="20"/>
                <w:szCs w:val="20"/>
              </w:rPr>
              <w:t>Avg. Temp.</w:t>
            </w:r>
          </w:p>
        </w:tc>
        <w:tc>
          <w:tcPr>
            <w:tcW w:w="1771" w:type="dxa"/>
            <w:shd w:val="clear" w:color="auto" w:fill="auto"/>
            <w:vAlign w:val="center"/>
          </w:tcPr>
          <w:p w14:paraId="246BAF08"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91.4</w:t>
            </w:r>
          </w:p>
        </w:tc>
        <w:tc>
          <w:tcPr>
            <w:tcW w:w="1772" w:type="dxa"/>
            <w:shd w:val="clear" w:color="auto" w:fill="auto"/>
            <w:vAlign w:val="center"/>
          </w:tcPr>
          <w:p w14:paraId="52269122" w14:textId="77777777" w:rsidR="00D3527F" w:rsidRDefault="00D3527F" w:rsidP="00D3527F">
            <w:pPr>
              <w:keepNext/>
              <w:keepLines/>
              <w:jc w:val="center"/>
              <w:rPr>
                <w:rFonts w:ascii="Arial" w:hAnsi="Arial" w:cs="Arial"/>
                <w:sz w:val="20"/>
                <w:szCs w:val="20"/>
              </w:rPr>
            </w:pPr>
            <w:r>
              <w:rPr>
                <w:rFonts w:ascii="Arial" w:hAnsi="Arial" w:cs="Arial"/>
                <w:color w:val="000000"/>
                <w:sz w:val="20"/>
                <w:szCs w:val="20"/>
              </w:rPr>
              <w:t>86.1</w:t>
            </w:r>
          </w:p>
        </w:tc>
      </w:tr>
      <w:tr w:rsidR="00D3527F" w14:paraId="04D073DC" w14:textId="77777777" w:rsidTr="00D3527F">
        <w:trPr>
          <w:jc w:val="center"/>
        </w:trPr>
        <w:tc>
          <w:tcPr>
            <w:tcW w:w="1548" w:type="dxa"/>
            <w:vMerge w:val="restart"/>
            <w:shd w:val="clear" w:color="auto" w:fill="auto"/>
            <w:vAlign w:val="center"/>
          </w:tcPr>
          <w:p w14:paraId="44F65429" w14:textId="77777777" w:rsidR="00D3527F" w:rsidRPr="009C75E1" w:rsidRDefault="00D3527F" w:rsidP="00D3527F">
            <w:pPr>
              <w:keepNext/>
              <w:keepLines/>
              <w:rPr>
                <w:rFonts w:ascii="Arial" w:hAnsi="Arial" w:cs="Arial"/>
                <w:b/>
                <w:sz w:val="20"/>
                <w:szCs w:val="20"/>
              </w:rPr>
            </w:pPr>
            <w:r w:rsidRPr="009C75E1">
              <w:rPr>
                <w:rFonts w:ascii="Arial" w:hAnsi="Arial" w:cs="Arial"/>
                <w:b/>
                <w:sz w:val="20"/>
                <w:szCs w:val="20"/>
              </w:rPr>
              <w:t>Per SAID</w:t>
            </w:r>
          </w:p>
        </w:tc>
        <w:tc>
          <w:tcPr>
            <w:tcW w:w="1994" w:type="dxa"/>
            <w:shd w:val="clear" w:color="auto" w:fill="auto"/>
          </w:tcPr>
          <w:p w14:paraId="39077ACB"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Reference (kW)</w:t>
            </w:r>
          </w:p>
        </w:tc>
        <w:tc>
          <w:tcPr>
            <w:tcW w:w="1771" w:type="dxa"/>
            <w:shd w:val="clear" w:color="auto" w:fill="auto"/>
            <w:vAlign w:val="center"/>
          </w:tcPr>
          <w:p w14:paraId="6EFE85AD"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39</w:t>
            </w:r>
          </w:p>
        </w:tc>
        <w:tc>
          <w:tcPr>
            <w:tcW w:w="1772" w:type="dxa"/>
            <w:shd w:val="clear" w:color="auto" w:fill="auto"/>
            <w:vAlign w:val="center"/>
          </w:tcPr>
          <w:p w14:paraId="355B2613"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37</w:t>
            </w:r>
          </w:p>
        </w:tc>
      </w:tr>
      <w:tr w:rsidR="00D3527F" w14:paraId="0B5DB900" w14:textId="77777777" w:rsidTr="00D3527F">
        <w:trPr>
          <w:jc w:val="center"/>
        </w:trPr>
        <w:tc>
          <w:tcPr>
            <w:tcW w:w="1548" w:type="dxa"/>
            <w:vMerge/>
            <w:shd w:val="clear" w:color="auto" w:fill="auto"/>
          </w:tcPr>
          <w:p w14:paraId="4BF960F0"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3908C2DC"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Load Impact (kW)</w:t>
            </w:r>
          </w:p>
        </w:tc>
        <w:tc>
          <w:tcPr>
            <w:tcW w:w="1771" w:type="dxa"/>
            <w:shd w:val="clear" w:color="auto" w:fill="auto"/>
            <w:vAlign w:val="center"/>
          </w:tcPr>
          <w:p w14:paraId="20284C70"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0.1</w:t>
            </w:r>
          </w:p>
        </w:tc>
        <w:tc>
          <w:tcPr>
            <w:tcW w:w="1772" w:type="dxa"/>
            <w:shd w:val="clear" w:color="auto" w:fill="auto"/>
            <w:vAlign w:val="center"/>
          </w:tcPr>
          <w:p w14:paraId="45092859"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0.1</w:t>
            </w:r>
          </w:p>
        </w:tc>
      </w:tr>
      <w:tr w:rsidR="00D3527F" w14:paraId="2CAF8595" w14:textId="77777777" w:rsidTr="00D3527F">
        <w:trPr>
          <w:jc w:val="center"/>
        </w:trPr>
        <w:tc>
          <w:tcPr>
            <w:tcW w:w="1548" w:type="dxa"/>
            <w:vMerge/>
            <w:shd w:val="clear" w:color="auto" w:fill="auto"/>
          </w:tcPr>
          <w:p w14:paraId="258EE03C" w14:textId="77777777" w:rsidR="00D3527F" w:rsidRPr="009C75E1" w:rsidRDefault="00D3527F" w:rsidP="00D3527F">
            <w:pPr>
              <w:keepNext/>
              <w:keepLines/>
              <w:rPr>
                <w:rFonts w:ascii="Arial" w:hAnsi="Arial" w:cs="Arial"/>
                <w:sz w:val="20"/>
                <w:szCs w:val="20"/>
              </w:rPr>
            </w:pPr>
          </w:p>
        </w:tc>
        <w:tc>
          <w:tcPr>
            <w:tcW w:w="1994" w:type="dxa"/>
            <w:shd w:val="clear" w:color="auto" w:fill="auto"/>
          </w:tcPr>
          <w:p w14:paraId="753D3037" w14:textId="77777777" w:rsidR="00D3527F" w:rsidRPr="009C75E1" w:rsidRDefault="00D3527F" w:rsidP="00D3527F">
            <w:pPr>
              <w:keepNext/>
              <w:keepLines/>
              <w:rPr>
                <w:rFonts w:ascii="Arial" w:hAnsi="Arial" w:cs="Arial"/>
                <w:sz w:val="20"/>
                <w:szCs w:val="20"/>
              </w:rPr>
            </w:pPr>
            <w:r w:rsidRPr="009C75E1">
              <w:rPr>
                <w:rFonts w:ascii="Arial" w:hAnsi="Arial" w:cs="Arial"/>
                <w:sz w:val="20"/>
                <w:szCs w:val="20"/>
              </w:rPr>
              <w:t>% Load Impact</w:t>
            </w:r>
          </w:p>
        </w:tc>
        <w:tc>
          <w:tcPr>
            <w:tcW w:w="1771" w:type="dxa"/>
            <w:shd w:val="clear" w:color="auto" w:fill="auto"/>
            <w:vAlign w:val="center"/>
          </w:tcPr>
          <w:p w14:paraId="476FA6B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c>
          <w:tcPr>
            <w:tcW w:w="1772" w:type="dxa"/>
            <w:shd w:val="clear" w:color="auto" w:fill="auto"/>
            <w:vAlign w:val="center"/>
          </w:tcPr>
          <w:p w14:paraId="215A9FC1" w14:textId="77777777" w:rsidR="00D3527F" w:rsidRPr="009C75E1" w:rsidRDefault="00D3527F" w:rsidP="00D3527F">
            <w:pPr>
              <w:keepNext/>
              <w:keepLines/>
              <w:jc w:val="center"/>
              <w:rPr>
                <w:rFonts w:ascii="Arial" w:hAnsi="Arial" w:cs="Arial"/>
                <w:sz w:val="20"/>
                <w:szCs w:val="20"/>
              </w:rPr>
            </w:pPr>
            <w:r>
              <w:rPr>
                <w:rFonts w:ascii="Arial" w:hAnsi="Arial" w:cs="Arial"/>
                <w:color w:val="000000"/>
                <w:sz w:val="20"/>
                <w:szCs w:val="20"/>
              </w:rPr>
              <w:t>0.2%</w:t>
            </w:r>
          </w:p>
        </w:tc>
      </w:tr>
    </w:tbl>
    <w:p w14:paraId="64A47021" w14:textId="77777777" w:rsidR="00D3527F" w:rsidRDefault="00D3527F" w:rsidP="00D3527F"/>
    <w:p w14:paraId="136E9B60" w14:textId="4256AD93" w:rsidR="00D3527F" w:rsidRDefault="00D3527F" w:rsidP="00D3527F">
      <w:r>
        <w:fldChar w:fldCharType="begin"/>
      </w:r>
      <w:r>
        <w:instrText xml:space="preserve"> REF _Ref507079681 \h </w:instrText>
      </w:r>
      <w:r>
        <w:fldChar w:fldCharType="separate"/>
      </w:r>
      <w:r w:rsidR="005D5C7C">
        <w:t xml:space="preserve">Table </w:t>
      </w:r>
      <w:r w:rsidR="005D5C7C">
        <w:rPr>
          <w:noProof/>
        </w:rPr>
        <w:t>5</w:t>
      </w:r>
      <w:r w:rsidR="005D5C7C">
        <w:t>.</w:t>
      </w:r>
      <w:r w:rsidR="005D5C7C">
        <w:rPr>
          <w:noProof/>
        </w:rPr>
        <w:t>19</w:t>
      </w:r>
      <w:r>
        <w:fldChar w:fldCharType="end"/>
      </w:r>
      <w:r>
        <w:t xml:space="preserve"> documents the various potential sources of differences between the </w:t>
      </w:r>
      <w:r w:rsidRPr="002A342D">
        <w:rPr>
          <w:i/>
        </w:rPr>
        <w:t>ex-post</w:t>
      </w:r>
      <w:r>
        <w:t xml:space="preserve"> and </w:t>
      </w:r>
      <w:r w:rsidRPr="002A342D">
        <w:rPr>
          <w:i/>
        </w:rPr>
        <w:t>ex-ante</w:t>
      </w:r>
      <w:r>
        <w:t xml:space="preserve"> load impacts. </w:t>
      </w:r>
    </w:p>
    <w:p w14:paraId="154B6F3F" w14:textId="77777777" w:rsidR="00D3527F" w:rsidRDefault="00D3527F" w:rsidP="00D3527F"/>
    <w:p w14:paraId="09F76E4D" w14:textId="26E2F475" w:rsidR="00D3527F" w:rsidRDefault="00D3527F" w:rsidP="00D3527F">
      <w:pPr>
        <w:pStyle w:val="TableCaption"/>
      </w:pPr>
      <w:bookmarkStart w:id="536" w:name="_Ref507079681"/>
      <w:bookmarkStart w:id="537" w:name="_Toc507081255"/>
      <w:bookmarkStart w:id="538" w:name="_Toc507425232"/>
      <w:bookmarkStart w:id="539" w:name="_Toc509837430"/>
      <w:r>
        <w:lastRenderedPageBreak/>
        <w:t xml:space="preserve">Table </w:t>
      </w:r>
      <w:fldSimple w:instr=" STYLEREF 1 \s ">
        <w:r w:rsidR="005D5C7C">
          <w:rPr>
            <w:noProof/>
          </w:rPr>
          <w:t>5</w:t>
        </w:r>
      </w:fldSimple>
      <w:r w:rsidR="0069714C">
        <w:t>.</w:t>
      </w:r>
      <w:fldSimple w:instr=" SEQ Table \* ARABIC \s 1 ">
        <w:r w:rsidR="005D5C7C">
          <w:rPr>
            <w:noProof/>
          </w:rPr>
          <w:t>19</w:t>
        </w:r>
      </w:fldSimple>
      <w:bookmarkEnd w:id="536"/>
      <w:r w:rsidRPr="00726438">
        <w:t>:</w:t>
      </w:r>
      <w:r>
        <w:t xml:space="preserve"> Comparison of </w:t>
      </w:r>
      <w:r>
        <w:rPr>
          <w:i/>
        </w:rPr>
        <w:t>Ex-Post</w:t>
      </w:r>
      <w:r w:rsidRPr="00726438">
        <w:t xml:space="preserve"> </w:t>
      </w:r>
      <w:r>
        <w:t xml:space="preserve">and </w:t>
      </w:r>
      <w:r>
        <w:rPr>
          <w:i/>
        </w:rPr>
        <w:t>Ex-Ante</w:t>
      </w:r>
      <w:r>
        <w:t xml:space="preserve"> Factors</w:t>
      </w:r>
      <w:bookmarkEnd w:id="537"/>
      <w:bookmarkEnd w:id="538"/>
      <w:bookmarkEnd w:id="539"/>
    </w:p>
    <w:tbl>
      <w:tblPr>
        <w:tblW w:w="9452" w:type="dxa"/>
        <w:jc w:val="center"/>
        <w:tblLook w:val="04A0" w:firstRow="1" w:lastRow="0" w:firstColumn="1" w:lastColumn="0" w:noHBand="0" w:noVBand="1"/>
      </w:tblPr>
      <w:tblGrid>
        <w:gridCol w:w="1518"/>
        <w:gridCol w:w="3028"/>
        <w:gridCol w:w="2340"/>
        <w:gridCol w:w="2566"/>
      </w:tblGrid>
      <w:tr w:rsidR="00D3527F" w:rsidRPr="008E5D4C" w14:paraId="58FE226C" w14:textId="77777777" w:rsidTr="00D3527F">
        <w:trPr>
          <w:trHeight w:val="510"/>
          <w:jc w:val="center"/>
        </w:trPr>
        <w:tc>
          <w:tcPr>
            <w:tcW w:w="1518" w:type="dxa"/>
            <w:tcBorders>
              <w:top w:val="single" w:sz="4" w:space="0" w:color="auto"/>
              <w:left w:val="single" w:sz="4" w:space="0" w:color="auto"/>
              <w:bottom w:val="single" w:sz="4" w:space="0" w:color="auto"/>
              <w:right w:val="single" w:sz="4" w:space="0" w:color="FFFFFF"/>
            </w:tcBorders>
            <w:shd w:val="clear" w:color="auto" w:fill="0C2577"/>
            <w:vAlign w:val="center"/>
            <w:hideMark/>
          </w:tcPr>
          <w:p w14:paraId="744F2C1A" w14:textId="77777777" w:rsidR="00D3527F" w:rsidRPr="008E5D4C" w:rsidRDefault="00D3527F" w:rsidP="00D3527F">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1C5BE120" w14:textId="77777777" w:rsidR="00D3527F" w:rsidRPr="008E5D4C" w:rsidRDefault="00D3527F" w:rsidP="00D3527F">
            <w:pPr>
              <w:pStyle w:val="TableHeader"/>
              <w:keepNext/>
              <w:keepLines/>
              <w:rPr>
                <w:color w:val="auto"/>
                <w:szCs w:val="20"/>
              </w:rPr>
            </w:pPr>
            <w:r>
              <w:rPr>
                <w:i/>
                <w:color w:val="auto"/>
                <w:szCs w:val="20"/>
              </w:rPr>
              <w:t>Ex-Post</w:t>
            </w:r>
          </w:p>
        </w:tc>
        <w:tc>
          <w:tcPr>
            <w:tcW w:w="2340" w:type="dxa"/>
            <w:tcBorders>
              <w:top w:val="single" w:sz="4" w:space="0" w:color="auto"/>
              <w:left w:val="single" w:sz="4" w:space="0" w:color="FFFFFF"/>
              <w:bottom w:val="single" w:sz="4" w:space="0" w:color="auto"/>
              <w:right w:val="single" w:sz="4" w:space="0" w:color="FFFFFF"/>
            </w:tcBorders>
            <w:shd w:val="clear" w:color="auto" w:fill="0C2577"/>
            <w:vAlign w:val="center"/>
            <w:hideMark/>
          </w:tcPr>
          <w:p w14:paraId="0BD84FE3" w14:textId="77777777" w:rsidR="00D3527F" w:rsidRPr="008E5D4C" w:rsidRDefault="00D3527F" w:rsidP="00D3527F">
            <w:pPr>
              <w:pStyle w:val="TableHeader"/>
              <w:keepNext/>
              <w:keepLines/>
              <w:rPr>
                <w:color w:val="auto"/>
                <w:szCs w:val="20"/>
              </w:rPr>
            </w:pPr>
            <w:r>
              <w:rPr>
                <w:i/>
                <w:color w:val="auto"/>
                <w:szCs w:val="20"/>
              </w:rPr>
              <w:t>Ex-Ante</w:t>
            </w:r>
          </w:p>
        </w:tc>
        <w:tc>
          <w:tcPr>
            <w:tcW w:w="2566" w:type="dxa"/>
            <w:tcBorders>
              <w:top w:val="single" w:sz="4" w:space="0" w:color="auto"/>
              <w:left w:val="single" w:sz="4" w:space="0" w:color="FFFFFF"/>
              <w:bottom w:val="single" w:sz="4" w:space="0" w:color="auto"/>
              <w:right w:val="single" w:sz="4" w:space="0" w:color="auto"/>
            </w:tcBorders>
            <w:shd w:val="clear" w:color="auto" w:fill="0C2577"/>
            <w:vAlign w:val="center"/>
            <w:hideMark/>
          </w:tcPr>
          <w:p w14:paraId="047D60FB" w14:textId="77777777" w:rsidR="00D3527F" w:rsidRPr="008E5D4C" w:rsidRDefault="00D3527F" w:rsidP="00D3527F">
            <w:pPr>
              <w:pStyle w:val="TableHeader"/>
              <w:keepNext/>
              <w:keepLines/>
              <w:rPr>
                <w:color w:val="auto"/>
                <w:szCs w:val="20"/>
              </w:rPr>
            </w:pPr>
            <w:r w:rsidRPr="008E5D4C">
              <w:rPr>
                <w:color w:val="auto"/>
                <w:szCs w:val="20"/>
              </w:rPr>
              <w:t>Expected Impact</w:t>
            </w:r>
          </w:p>
        </w:tc>
      </w:tr>
      <w:tr w:rsidR="00D3527F" w:rsidRPr="007F356D" w14:paraId="2C63753D" w14:textId="77777777" w:rsidTr="00D3527F">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287B6DA4" w14:textId="77777777" w:rsidR="00D3527F" w:rsidRPr="008E5D4C" w:rsidRDefault="00D3527F" w:rsidP="00D3527F">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2229EF57" w14:textId="1D3437E8" w:rsidR="00D3527F" w:rsidRPr="008E5D4C" w:rsidRDefault="00D3527F" w:rsidP="00D3527F">
            <w:pPr>
              <w:pStyle w:val="TableText"/>
              <w:keepNext/>
              <w:keepLines/>
              <w:spacing w:after="120"/>
              <w:jc w:val="left"/>
              <w:rPr>
                <w:rFonts w:cs="Calibri"/>
                <w:sz w:val="20"/>
                <w:szCs w:val="20"/>
              </w:rPr>
            </w:pPr>
            <w:r>
              <w:rPr>
                <w:rFonts w:cs="Calibri"/>
                <w:sz w:val="20"/>
                <w:szCs w:val="20"/>
              </w:rPr>
              <w:t xml:space="preserve">Average event-hour temperature of 91.4 </w:t>
            </w:r>
            <w:r>
              <w:rPr>
                <w:rFonts w:cs="Arial"/>
                <w:sz w:val="20"/>
                <w:szCs w:val="20"/>
              </w:rPr>
              <w:t>°</w:t>
            </w:r>
            <w:r>
              <w:rPr>
                <w:rFonts w:cs="Calibri"/>
                <w:sz w:val="20"/>
                <w:szCs w:val="20"/>
              </w:rPr>
              <w:t xml:space="preserve">F during the average </w:t>
            </w:r>
            <w:r w:rsidR="003E1512">
              <w:rPr>
                <w:rFonts w:cs="Calibri"/>
                <w:sz w:val="20"/>
                <w:szCs w:val="20"/>
              </w:rPr>
              <w:t xml:space="preserve">weekday </w:t>
            </w:r>
            <w:r>
              <w:rPr>
                <w:rFonts w:cs="Calibri"/>
                <w:sz w:val="20"/>
                <w:szCs w:val="20"/>
              </w:rPr>
              <w:t>event.</w:t>
            </w:r>
          </w:p>
        </w:tc>
        <w:tc>
          <w:tcPr>
            <w:tcW w:w="2340" w:type="dxa"/>
            <w:tcBorders>
              <w:top w:val="single" w:sz="4" w:space="0" w:color="auto"/>
              <w:left w:val="nil"/>
              <w:bottom w:val="single" w:sz="4" w:space="0" w:color="auto"/>
              <w:right w:val="single" w:sz="4" w:space="0" w:color="auto"/>
            </w:tcBorders>
            <w:shd w:val="clear" w:color="000000" w:fill="FFFFFF"/>
          </w:tcPr>
          <w:p w14:paraId="3DCFB060" w14:textId="77777777" w:rsidR="00D3527F" w:rsidRPr="008E5D4C" w:rsidRDefault="00D3527F" w:rsidP="00D3527F">
            <w:pPr>
              <w:pStyle w:val="TableText"/>
              <w:keepNext/>
              <w:keepLines/>
              <w:jc w:val="left"/>
              <w:rPr>
                <w:sz w:val="20"/>
                <w:szCs w:val="20"/>
              </w:rPr>
            </w:pPr>
            <w:r>
              <w:rPr>
                <w:rFonts w:cs="Calibri"/>
                <w:sz w:val="20"/>
                <w:szCs w:val="20"/>
              </w:rPr>
              <w:t xml:space="preserve">Average event-hour temperature of 86.1 </w:t>
            </w:r>
            <w:r>
              <w:rPr>
                <w:rFonts w:cs="Arial"/>
                <w:sz w:val="20"/>
                <w:szCs w:val="20"/>
              </w:rPr>
              <w:t>°</w:t>
            </w:r>
            <w:r>
              <w:rPr>
                <w:rFonts w:cs="Calibri"/>
                <w:sz w:val="20"/>
                <w:szCs w:val="20"/>
              </w:rPr>
              <w:t>F during the SDG&amp;E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63AE2F8F" w14:textId="77777777" w:rsidR="00D3527F" w:rsidRPr="008E5D4C" w:rsidRDefault="00D3527F" w:rsidP="00D3527F">
            <w:pPr>
              <w:pStyle w:val="TableText"/>
              <w:keepNext/>
              <w:keepLines/>
              <w:jc w:val="left"/>
              <w:rPr>
                <w:sz w:val="20"/>
                <w:szCs w:val="20"/>
              </w:rPr>
            </w:pPr>
            <w:r>
              <w:rPr>
                <w:sz w:val="20"/>
                <w:szCs w:val="20"/>
              </w:rPr>
              <w:t xml:space="preserve">Lower </w:t>
            </w:r>
            <w:r>
              <w:rPr>
                <w:i/>
                <w:sz w:val="20"/>
                <w:szCs w:val="20"/>
              </w:rPr>
              <w:t>ex-ante</w:t>
            </w:r>
            <w:r>
              <w:rPr>
                <w:sz w:val="20"/>
                <w:szCs w:val="20"/>
              </w:rPr>
              <w:t xml:space="preserve"> temperatures result in smaller reference load and load impacts.</w:t>
            </w:r>
          </w:p>
        </w:tc>
      </w:tr>
      <w:tr w:rsidR="00D3527F" w:rsidRPr="007F356D" w14:paraId="1CDE6FC5"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7E957B66" w14:textId="77777777" w:rsidR="00D3527F" w:rsidRPr="008E5D4C" w:rsidRDefault="00D3527F" w:rsidP="00D3527F">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47ABFAE1" w14:textId="77777777" w:rsidR="00D3527F" w:rsidRPr="008E5D4C" w:rsidRDefault="00D3527F" w:rsidP="00D3527F">
            <w:pPr>
              <w:pStyle w:val="TableText"/>
              <w:keepNext/>
              <w:keepLines/>
              <w:jc w:val="left"/>
              <w:rPr>
                <w:rFonts w:cs="Calibri"/>
                <w:sz w:val="20"/>
                <w:szCs w:val="20"/>
              </w:rPr>
            </w:pPr>
            <w:r>
              <w:rPr>
                <w:rFonts w:cs="Calibri"/>
                <w:sz w:val="20"/>
                <w:szCs w:val="20"/>
              </w:rPr>
              <w:t>Hours-ending 12 through 18.</w:t>
            </w:r>
          </w:p>
        </w:tc>
        <w:tc>
          <w:tcPr>
            <w:tcW w:w="2340" w:type="dxa"/>
            <w:tcBorders>
              <w:top w:val="nil"/>
              <w:left w:val="nil"/>
              <w:bottom w:val="single" w:sz="4" w:space="0" w:color="auto"/>
              <w:right w:val="single" w:sz="4" w:space="0" w:color="auto"/>
            </w:tcBorders>
            <w:shd w:val="clear" w:color="000000" w:fill="FFFFFF"/>
          </w:tcPr>
          <w:p w14:paraId="2BC46946" w14:textId="77777777" w:rsidR="00D3527F" w:rsidRPr="008E5D4C" w:rsidRDefault="00D3527F" w:rsidP="00D3527F">
            <w:pPr>
              <w:pStyle w:val="TableText"/>
              <w:keepNext/>
              <w:keepLines/>
              <w:jc w:val="left"/>
              <w:rPr>
                <w:sz w:val="20"/>
                <w:szCs w:val="20"/>
              </w:rPr>
            </w:pPr>
            <w:r>
              <w:rPr>
                <w:rFonts w:cs="Calibri"/>
                <w:sz w:val="20"/>
                <w:szCs w:val="20"/>
              </w:rPr>
              <w:t>Hours-ending 15 through 18.</w:t>
            </w:r>
          </w:p>
        </w:tc>
        <w:tc>
          <w:tcPr>
            <w:tcW w:w="2566" w:type="dxa"/>
            <w:tcBorders>
              <w:top w:val="nil"/>
              <w:left w:val="nil"/>
              <w:bottom w:val="single" w:sz="4" w:space="0" w:color="auto"/>
              <w:right w:val="single" w:sz="4" w:space="0" w:color="auto"/>
            </w:tcBorders>
            <w:shd w:val="clear" w:color="000000" w:fill="FFFFFF"/>
          </w:tcPr>
          <w:p w14:paraId="29076C9C" w14:textId="77777777" w:rsidR="00D3527F" w:rsidRPr="008E5D4C" w:rsidRDefault="00D3527F" w:rsidP="00D3527F">
            <w:pPr>
              <w:pStyle w:val="TableText"/>
              <w:keepNext/>
              <w:keepLines/>
              <w:jc w:val="left"/>
              <w:rPr>
                <w:sz w:val="20"/>
                <w:szCs w:val="20"/>
              </w:rPr>
            </w:pPr>
            <w:r>
              <w:rPr>
                <w:sz w:val="20"/>
                <w:szCs w:val="20"/>
              </w:rPr>
              <w:t>The shorter event window during the later period corresponds with higher average event hour temperatures and reference loads.</w:t>
            </w:r>
          </w:p>
        </w:tc>
      </w:tr>
      <w:tr w:rsidR="00EC1E0D" w:rsidRPr="007F356D" w14:paraId="52741A71"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1C729CE7" w14:textId="77777777" w:rsidR="00EC1E0D" w:rsidRPr="008E5D4C" w:rsidRDefault="00EC1E0D" w:rsidP="00EC1E0D">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73FA1691" w14:textId="1EAF3865" w:rsidR="00EC1E0D" w:rsidRPr="008E5D4C" w:rsidRDefault="00EC1E0D" w:rsidP="00EC1E0D">
            <w:pPr>
              <w:pStyle w:val="TableText"/>
              <w:keepNext/>
              <w:keepLines/>
              <w:jc w:val="left"/>
              <w:rPr>
                <w:rFonts w:cs="Calibri"/>
                <w:sz w:val="20"/>
                <w:szCs w:val="20"/>
              </w:rPr>
            </w:pPr>
            <w:r>
              <w:rPr>
                <w:rFonts w:cs="Calibri"/>
                <w:sz w:val="20"/>
                <w:szCs w:val="20"/>
              </w:rPr>
              <w:t>100%</w:t>
            </w:r>
          </w:p>
        </w:tc>
        <w:tc>
          <w:tcPr>
            <w:tcW w:w="2340" w:type="dxa"/>
            <w:tcBorders>
              <w:top w:val="nil"/>
              <w:left w:val="nil"/>
              <w:bottom w:val="single" w:sz="4" w:space="0" w:color="auto"/>
              <w:right w:val="single" w:sz="4" w:space="0" w:color="auto"/>
            </w:tcBorders>
            <w:shd w:val="clear" w:color="000000" w:fill="FFFFFF"/>
          </w:tcPr>
          <w:p w14:paraId="5C40B1E9" w14:textId="53716730" w:rsidR="00EC1E0D" w:rsidRPr="008E5D4C" w:rsidRDefault="00EC1E0D" w:rsidP="00EC1E0D">
            <w:pPr>
              <w:pStyle w:val="TableText"/>
              <w:keepNext/>
              <w:keepLines/>
              <w:jc w:val="left"/>
              <w:rPr>
                <w:sz w:val="20"/>
                <w:szCs w:val="20"/>
              </w:rPr>
            </w:pPr>
            <w:r>
              <w:rPr>
                <w:sz w:val="20"/>
                <w:szCs w:val="20"/>
              </w:rPr>
              <w:t>100%</w:t>
            </w:r>
          </w:p>
        </w:tc>
        <w:tc>
          <w:tcPr>
            <w:tcW w:w="2566" w:type="dxa"/>
            <w:tcBorders>
              <w:top w:val="nil"/>
              <w:left w:val="nil"/>
              <w:bottom w:val="single" w:sz="4" w:space="0" w:color="auto"/>
              <w:right w:val="single" w:sz="4" w:space="0" w:color="auto"/>
            </w:tcBorders>
            <w:shd w:val="clear" w:color="000000" w:fill="FFFFFF"/>
          </w:tcPr>
          <w:p w14:paraId="38F60D97" w14:textId="40907454" w:rsidR="00EC1E0D" w:rsidRPr="008E5D4C" w:rsidRDefault="00EC1E0D" w:rsidP="00EC1E0D">
            <w:pPr>
              <w:pStyle w:val="TableText"/>
              <w:keepNext/>
              <w:keepLines/>
              <w:jc w:val="left"/>
              <w:rPr>
                <w:sz w:val="20"/>
                <w:szCs w:val="20"/>
              </w:rPr>
            </w:pPr>
            <w:r>
              <w:rPr>
                <w:sz w:val="20"/>
                <w:szCs w:val="20"/>
              </w:rPr>
              <w:t>None. All customers are assumed to be called in both cases.</w:t>
            </w:r>
          </w:p>
        </w:tc>
      </w:tr>
      <w:tr w:rsidR="00D3527F" w:rsidRPr="007F356D" w14:paraId="0F447554"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4B2750EB" w14:textId="77777777" w:rsidR="00D3527F" w:rsidRPr="008E5D4C" w:rsidRDefault="00D3527F" w:rsidP="00D3527F">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3E58287B" w14:textId="77777777" w:rsidR="00D3527F" w:rsidRPr="008E5D4C" w:rsidRDefault="00D3527F" w:rsidP="00D3527F">
            <w:pPr>
              <w:pStyle w:val="TableText"/>
              <w:keepNext/>
              <w:keepLines/>
              <w:jc w:val="left"/>
              <w:rPr>
                <w:rFonts w:cs="Calibri"/>
                <w:sz w:val="20"/>
                <w:szCs w:val="20"/>
              </w:rPr>
            </w:pPr>
            <w:r>
              <w:rPr>
                <w:rFonts w:cs="Calibri"/>
                <w:sz w:val="20"/>
                <w:szCs w:val="20"/>
              </w:rPr>
              <w:t>11,808 service accounts.</w:t>
            </w:r>
          </w:p>
        </w:tc>
        <w:tc>
          <w:tcPr>
            <w:tcW w:w="2340" w:type="dxa"/>
            <w:tcBorders>
              <w:top w:val="nil"/>
              <w:left w:val="nil"/>
              <w:bottom w:val="single" w:sz="4" w:space="0" w:color="auto"/>
              <w:right w:val="single" w:sz="4" w:space="0" w:color="auto"/>
            </w:tcBorders>
            <w:shd w:val="clear" w:color="000000" w:fill="FFFFFF"/>
          </w:tcPr>
          <w:p w14:paraId="5715B9BE" w14:textId="77777777" w:rsidR="00D3527F" w:rsidRPr="008E5D4C" w:rsidRDefault="00D3527F" w:rsidP="00D3527F">
            <w:pPr>
              <w:pStyle w:val="TableText"/>
              <w:keepNext/>
              <w:keepLines/>
              <w:jc w:val="left"/>
              <w:rPr>
                <w:sz w:val="20"/>
                <w:szCs w:val="20"/>
              </w:rPr>
            </w:pPr>
            <w:r>
              <w:rPr>
                <w:sz w:val="20"/>
                <w:szCs w:val="20"/>
              </w:rPr>
              <w:t>10,879 service accounts.</w:t>
            </w:r>
          </w:p>
        </w:tc>
        <w:tc>
          <w:tcPr>
            <w:tcW w:w="2566" w:type="dxa"/>
            <w:tcBorders>
              <w:top w:val="nil"/>
              <w:left w:val="nil"/>
              <w:bottom w:val="single" w:sz="4" w:space="0" w:color="auto"/>
              <w:right w:val="single" w:sz="4" w:space="0" w:color="auto"/>
            </w:tcBorders>
            <w:shd w:val="clear" w:color="000000" w:fill="FFFFFF"/>
          </w:tcPr>
          <w:p w14:paraId="77839DAA" w14:textId="77777777" w:rsidR="00D3527F" w:rsidRPr="00866CCC" w:rsidRDefault="00D3527F" w:rsidP="00D3527F">
            <w:pPr>
              <w:pStyle w:val="TableText"/>
              <w:keepNext/>
              <w:keepLines/>
              <w:jc w:val="left"/>
              <w:rPr>
                <w:sz w:val="20"/>
                <w:szCs w:val="20"/>
                <w:highlight w:val="yellow"/>
              </w:rPr>
            </w:pPr>
            <w:r>
              <w:rPr>
                <w:sz w:val="20"/>
                <w:szCs w:val="20"/>
              </w:rPr>
              <w:t xml:space="preserve">Lower </w:t>
            </w:r>
            <w:r>
              <w:rPr>
                <w:i/>
                <w:sz w:val="20"/>
                <w:szCs w:val="20"/>
              </w:rPr>
              <w:t>ex-ante</w:t>
            </w:r>
            <w:r>
              <w:rPr>
                <w:sz w:val="20"/>
                <w:szCs w:val="20"/>
              </w:rPr>
              <w:t xml:space="preserve"> enrollment leads to lower aggregate reference loads and load impacts (</w:t>
            </w:r>
            <w:r>
              <w:rPr>
                <w:i/>
                <w:sz w:val="20"/>
                <w:szCs w:val="20"/>
              </w:rPr>
              <w:t>ceteris paribus)</w:t>
            </w:r>
            <w:r>
              <w:rPr>
                <w:sz w:val="20"/>
                <w:szCs w:val="20"/>
              </w:rPr>
              <w:t xml:space="preserve">. </w:t>
            </w:r>
          </w:p>
        </w:tc>
      </w:tr>
      <w:tr w:rsidR="00D3527F" w:rsidRPr="007F356D" w14:paraId="57172124" w14:textId="77777777" w:rsidTr="00D3527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5055C0A7" w14:textId="77777777" w:rsidR="00D3527F" w:rsidRPr="008E5D4C" w:rsidRDefault="00D3527F" w:rsidP="00D3527F">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04CC95CC" w14:textId="77777777" w:rsidR="00D3527F" w:rsidRPr="008E5D4C" w:rsidRDefault="00D3527F" w:rsidP="00D3527F">
            <w:pPr>
              <w:pStyle w:val="TableText"/>
              <w:keepNext/>
              <w:keepLines/>
              <w:spacing w:after="120"/>
              <w:jc w:val="left"/>
              <w:rPr>
                <w:rFonts w:cs="Calibri"/>
                <w:sz w:val="20"/>
                <w:szCs w:val="20"/>
              </w:rPr>
            </w:pPr>
            <w:r>
              <w:rPr>
                <w:rFonts w:cs="Calibri"/>
                <w:sz w:val="20"/>
                <w:szCs w:val="20"/>
              </w:rPr>
              <w:t>Panel models by industry group with customer and date fixed effects and a matched control-group of non-participants.</w:t>
            </w:r>
          </w:p>
        </w:tc>
        <w:tc>
          <w:tcPr>
            <w:tcW w:w="2340" w:type="dxa"/>
            <w:tcBorders>
              <w:top w:val="nil"/>
              <w:left w:val="nil"/>
              <w:bottom w:val="single" w:sz="4" w:space="0" w:color="auto"/>
              <w:right w:val="single" w:sz="4" w:space="0" w:color="auto"/>
            </w:tcBorders>
            <w:shd w:val="clear" w:color="000000" w:fill="FFFFFF"/>
          </w:tcPr>
          <w:p w14:paraId="379B5F65" w14:textId="77777777" w:rsidR="00D3527F" w:rsidRPr="008E5D4C" w:rsidRDefault="00D3527F" w:rsidP="00D3527F">
            <w:pPr>
              <w:pStyle w:val="TableText"/>
              <w:keepNext/>
              <w:keepLines/>
              <w:jc w:val="left"/>
              <w:rPr>
                <w:sz w:val="20"/>
                <w:szCs w:val="20"/>
              </w:rPr>
            </w:pPr>
            <w:r>
              <w:rPr>
                <w:sz w:val="20"/>
                <w:szCs w:val="20"/>
              </w:rPr>
              <w:t xml:space="preserve">Simulated reference loads using average program loads for medium customers. Then applied percentage load impacts derived from the </w:t>
            </w:r>
            <w:r w:rsidRPr="000C58FA">
              <w:rPr>
                <w:i/>
                <w:sz w:val="20"/>
                <w:szCs w:val="20"/>
              </w:rPr>
              <w:t>ex-post</w:t>
            </w:r>
            <w:r>
              <w:rPr>
                <w:sz w:val="20"/>
                <w:szCs w:val="20"/>
              </w:rPr>
              <w:t xml:space="preserve"> analysis, excluding the weekend event day.</w:t>
            </w:r>
          </w:p>
        </w:tc>
        <w:tc>
          <w:tcPr>
            <w:tcW w:w="2566" w:type="dxa"/>
            <w:tcBorders>
              <w:top w:val="nil"/>
              <w:left w:val="nil"/>
              <w:bottom w:val="single" w:sz="4" w:space="0" w:color="auto"/>
              <w:right w:val="single" w:sz="4" w:space="0" w:color="auto"/>
            </w:tcBorders>
            <w:shd w:val="clear" w:color="000000" w:fill="FFFFFF"/>
          </w:tcPr>
          <w:p w14:paraId="5EA76694" w14:textId="77777777" w:rsidR="00D3527F" w:rsidRPr="008E5D4C" w:rsidRDefault="00D3527F" w:rsidP="00D3527F">
            <w:pPr>
              <w:pStyle w:val="TableText"/>
              <w:keepNext/>
              <w:keepLines/>
              <w:jc w:val="left"/>
              <w:rPr>
                <w:sz w:val="20"/>
                <w:szCs w:val="20"/>
              </w:rPr>
            </w:pPr>
            <w:r>
              <w:rPr>
                <w:sz w:val="20"/>
                <w:szCs w:val="20"/>
              </w:rPr>
              <w:t xml:space="preserve">The method is not expected to consistently produce differences between the </w:t>
            </w:r>
            <w:r w:rsidRPr="000C58FA">
              <w:rPr>
                <w:i/>
                <w:sz w:val="20"/>
                <w:szCs w:val="20"/>
              </w:rPr>
              <w:t>ex-post</w:t>
            </w:r>
            <w:r>
              <w:rPr>
                <w:sz w:val="20"/>
                <w:szCs w:val="20"/>
              </w:rPr>
              <w:t xml:space="preserve"> and </w:t>
            </w:r>
            <w:r w:rsidRPr="000C58FA">
              <w:rPr>
                <w:i/>
                <w:sz w:val="20"/>
                <w:szCs w:val="20"/>
              </w:rPr>
              <w:t>ex-ante</w:t>
            </w:r>
            <w:r>
              <w:rPr>
                <w:sz w:val="20"/>
                <w:szCs w:val="20"/>
              </w:rPr>
              <w:t xml:space="preserve"> impacts.</w:t>
            </w:r>
          </w:p>
        </w:tc>
      </w:tr>
    </w:tbl>
    <w:p w14:paraId="56D7829D" w14:textId="43E855BE" w:rsidR="00CB13E9" w:rsidRDefault="00CB13E9" w:rsidP="00CB13E9">
      <w:pPr>
        <w:spacing w:after="120"/>
        <w:rPr>
          <w:szCs w:val="32"/>
        </w:rPr>
      </w:pPr>
    </w:p>
    <w:p w14:paraId="27418D2D" w14:textId="16F420E4" w:rsidR="00132CE7" w:rsidRDefault="00132CE7" w:rsidP="00132CE7">
      <w:pPr>
        <w:pStyle w:val="Heading1"/>
        <w:spacing w:before="480" w:after="120"/>
      </w:pPr>
      <w:bookmarkStart w:id="540" w:name="_Ref506974928"/>
      <w:bookmarkStart w:id="541" w:name="_Toc509837348"/>
      <w:r>
        <w:t>Recommendations</w:t>
      </w:r>
      <w:bookmarkEnd w:id="540"/>
      <w:bookmarkEnd w:id="541"/>
    </w:p>
    <w:p w14:paraId="459092E8" w14:textId="77777777" w:rsidR="00BD63E8" w:rsidRDefault="00BD63E8" w:rsidP="00BD63E8">
      <w:pPr>
        <w:spacing w:after="120"/>
        <w:rPr>
          <w:szCs w:val="32"/>
        </w:rPr>
      </w:pPr>
      <w:r>
        <w:rPr>
          <w:szCs w:val="32"/>
        </w:rPr>
        <w:t>In 2017, SDG&amp;E called few events relative to SCE and PG&amp;E. Furthermore, those events were clustered together prior to and including a holiday weekend (the Thursday through Saturday preceding Labor Day). Calling events on a more diverse set of days may improve the understanding of customer response to the program.</w:t>
      </w:r>
    </w:p>
    <w:p w14:paraId="566096D0" w14:textId="77777777" w:rsidR="00BD63E8" w:rsidRPr="00207193" w:rsidRDefault="00BD63E8" w:rsidP="00BD63E8">
      <w:pPr>
        <w:spacing w:after="120"/>
        <w:rPr>
          <w:szCs w:val="32"/>
        </w:rPr>
      </w:pPr>
      <w:r w:rsidRPr="00207193">
        <w:rPr>
          <w:szCs w:val="32"/>
        </w:rPr>
        <w:t xml:space="preserve">PG&amp;E called 15 events in 2017 compared to 12 in 2016. </w:t>
      </w:r>
      <w:r>
        <w:rPr>
          <w:szCs w:val="32"/>
        </w:rPr>
        <w:t>While the percentage load impact for large customers decreased somewhat across years (from 4.9 to 4.2 percent), the SMB percentage load impact exhibited a</w:t>
      </w:r>
      <w:r w:rsidRPr="00207193">
        <w:rPr>
          <w:szCs w:val="32"/>
        </w:rPr>
        <w:t xml:space="preserve"> more </w:t>
      </w:r>
      <w:r>
        <w:rPr>
          <w:szCs w:val="32"/>
        </w:rPr>
        <w:t>substantial drop (from 2.5 to 1.1 percent)</w:t>
      </w:r>
      <w:r w:rsidRPr="00207193">
        <w:rPr>
          <w:szCs w:val="32"/>
        </w:rPr>
        <w:t xml:space="preserve">. </w:t>
      </w:r>
    </w:p>
    <w:p w14:paraId="142CE1EA" w14:textId="52867CCF" w:rsidR="002A561C" w:rsidRDefault="00BD63E8" w:rsidP="00BD63E8">
      <w:pPr>
        <w:spacing w:after="120"/>
        <w:rPr>
          <w:szCs w:val="32"/>
        </w:rPr>
      </w:pPr>
      <w:r>
        <w:rPr>
          <w:szCs w:val="32"/>
        </w:rPr>
        <w:t xml:space="preserve">Because SMB load impacts are </w:t>
      </w:r>
      <w:r w:rsidRPr="00207193">
        <w:rPr>
          <w:szCs w:val="32"/>
        </w:rPr>
        <w:t xml:space="preserve">very low in percentage terms, </w:t>
      </w:r>
      <w:r>
        <w:rPr>
          <w:szCs w:val="32"/>
        </w:rPr>
        <w:t>the estimated load impacts may be prone to capturing “noise” in the data. That is, variations in SMB usage that are not explained by included variables (</w:t>
      </w:r>
      <w:r w:rsidRPr="00207193">
        <w:rPr>
          <w:i/>
          <w:szCs w:val="32"/>
        </w:rPr>
        <w:t>e.g.</w:t>
      </w:r>
      <w:r>
        <w:rPr>
          <w:szCs w:val="32"/>
        </w:rPr>
        <w:t xml:space="preserve">, weather or day of week) will be attributed to load impacts. The inability of the models to fully explain customer usage </w:t>
      </w:r>
      <w:r>
        <w:rPr>
          <w:szCs w:val="32"/>
        </w:rPr>
        <w:lastRenderedPageBreak/>
        <w:t xml:space="preserve">may be the cause of the variability of the estimated SMB load impacts, which ranged from 0.3 to 2.1 percent across event days. </w:t>
      </w:r>
      <w:r w:rsidRPr="00207193">
        <w:rPr>
          <w:szCs w:val="32"/>
        </w:rPr>
        <w:t xml:space="preserve">Accordingly, careful consideration should be taken to assess the contribution, benefits and continued participation of SMB in PDP, and caution is encouraged while </w:t>
      </w:r>
      <w:r>
        <w:rPr>
          <w:szCs w:val="32"/>
        </w:rPr>
        <w:t>forecasting their load impacts.</w:t>
      </w:r>
    </w:p>
    <w:p w14:paraId="462397FF" w14:textId="77777777" w:rsidR="009F2964" w:rsidRDefault="009F2964">
      <w:pPr>
        <w:rPr>
          <w:rFonts w:ascii="Arial" w:hAnsi="Arial" w:cs="Arial"/>
          <w:b/>
          <w:bCs/>
          <w:kern w:val="32"/>
          <w:sz w:val="32"/>
          <w:szCs w:val="32"/>
        </w:rPr>
      </w:pPr>
      <w:bookmarkStart w:id="542" w:name="_Ref506899158"/>
      <w:bookmarkStart w:id="543" w:name="_Ref506899170"/>
      <w:bookmarkStart w:id="544" w:name="_Ref506899191"/>
      <w:r>
        <w:br w:type="page"/>
      </w:r>
    </w:p>
    <w:p w14:paraId="4AB30ED9" w14:textId="296FEEA9" w:rsidR="002A561C" w:rsidRDefault="002A561C" w:rsidP="00812AB6">
      <w:pPr>
        <w:pStyle w:val="Heading1"/>
        <w:numPr>
          <w:ilvl w:val="0"/>
          <w:numId w:val="0"/>
        </w:numPr>
        <w:spacing w:after="120"/>
        <w:ind w:left="360" w:hanging="360"/>
      </w:pPr>
      <w:bookmarkStart w:id="545" w:name="_Toc509837349"/>
      <w:r>
        <w:lastRenderedPageBreak/>
        <w:t>Appendices</w:t>
      </w:r>
      <w:bookmarkEnd w:id="542"/>
      <w:bookmarkEnd w:id="543"/>
      <w:bookmarkEnd w:id="544"/>
      <w:bookmarkEnd w:id="545"/>
    </w:p>
    <w:p w14:paraId="56C8025C" w14:textId="458AF9E3" w:rsidR="00F42180" w:rsidRDefault="00F42180" w:rsidP="00F42180">
      <w:bookmarkStart w:id="546" w:name="_Hlk507670431"/>
      <w:r>
        <w:t xml:space="preserve">The following Appendices accompany this report. Appendix A </w:t>
      </w:r>
      <w:r w:rsidR="00563B0F">
        <w:t>presents</w:t>
      </w:r>
      <w:r>
        <w:t xml:space="preserve"> the matching quality associated with our </w:t>
      </w:r>
      <w:r w:rsidRPr="002E033B">
        <w:rPr>
          <w:i/>
        </w:rPr>
        <w:t>ex-post</w:t>
      </w:r>
      <w:r>
        <w:t xml:space="preserve"> load impact evaluation. The additional appendices </w:t>
      </w:r>
      <w:r w:rsidR="00563B0F">
        <w:t xml:space="preserve">consist of </w:t>
      </w:r>
      <w:r>
        <w:t>Excel files that can produce the tables required by the Protocols.</w:t>
      </w:r>
    </w:p>
    <w:bookmarkEnd w:id="546"/>
    <w:p w14:paraId="520F6F65" w14:textId="77777777" w:rsidR="00F42180" w:rsidRDefault="00F42180" w:rsidP="00F42180"/>
    <w:p w14:paraId="353145B7" w14:textId="4C70D8BE" w:rsidR="00F42180" w:rsidRDefault="00F42180" w:rsidP="00F42180">
      <w:r>
        <w:t xml:space="preserve">Appendix B </w:t>
      </w:r>
      <w:r>
        <w:tab/>
      </w:r>
      <w:r w:rsidR="00393776">
        <w:t xml:space="preserve">PDP </w:t>
      </w:r>
      <w:r>
        <w:t xml:space="preserve">PG&amp;E </w:t>
      </w:r>
      <w:r w:rsidRPr="000F1678">
        <w:rPr>
          <w:i/>
        </w:rPr>
        <w:t>Ex-post</w:t>
      </w:r>
      <w:r>
        <w:t xml:space="preserve"> Load Impact Tables</w:t>
      </w:r>
    </w:p>
    <w:p w14:paraId="3E4C5705" w14:textId="5C599B17" w:rsidR="00F42180" w:rsidRDefault="00F42180" w:rsidP="00F42180">
      <w:r>
        <w:t xml:space="preserve">Appendix C </w:t>
      </w:r>
      <w:r>
        <w:tab/>
      </w:r>
      <w:r w:rsidR="00393776">
        <w:t xml:space="preserve">PDP </w:t>
      </w:r>
      <w:r>
        <w:t xml:space="preserve">PG&amp;E </w:t>
      </w:r>
      <w:r>
        <w:rPr>
          <w:i/>
        </w:rPr>
        <w:t>Ex-ante</w:t>
      </w:r>
      <w:r>
        <w:t xml:space="preserve"> Load Impact Tables</w:t>
      </w:r>
    </w:p>
    <w:p w14:paraId="11B336FB" w14:textId="07710A46" w:rsidR="00F42180" w:rsidRDefault="00F42180" w:rsidP="00F42180">
      <w:r>
        <w:t xml:space="preserve">Appendix </w:t>
      </w:r>
      <w:r w:rsidR="003B278F">
        <w:t>D</w:t>
      </w:r>
      <w:r>
        <w:t xml:space="preserve"> </w:t>
      </w:r>
      <w:r>
        <w:tab/>
      </w:r>
      <w:r w:rsidR="00393776">
        <w:t>CPP SCE</w:t>
      </w:r>
      <w:r>
        <w:t xml:space="preserve"> </w:t>
      </w:r>
      <w:r w:rsidRPr="000F1678">
        <w:rPr>
          <w:i/>
        </w:rPr>
        <w:t>Ex-post</w:t>
      </w:r>
      <w:r>
        <w:t xml:space="preserve"> Load Impact Tables</w:t>
      </w:r>
    </w:p>
    <w:p w14:paraId="2350FEB2" w14:textId="5F6DA9A0" w:rsidR="00F42180" w:rsidRDefault="003B278F" w:rsidP="00F42180">
      <w:r>
        <w:t>Appendix E</w:t>
      </w:r>
      <w:r w:rsidR="00F42180">
        <w:t xml:space="preserve"> </w:t>
      </w:r>
      <w:r w:rsidR="00F42180">
        <w:tab/>
      </w:r>
      <w:r w:rsidR="00393776">
        <w:t>CPP SCE</w:t>
      </w:r>
      <w:r w:rsidR="00F42180">
        <w:t xml:space="preserve"> </w:t>
      </w:r>
      <w:r w:rsidR="00F42180" w:rsidRPr="000F1678">
        <w:rPr>
          <w:i/>
        </w:rPr>
        <w:t>Ex-ante</w:t>
      </w:r>
      <w:r w:rsidR="00F42180">
        <w:t xml:space="preserve"> Load Impact Tables</w:t>
      </w:r>
    </w:p>
    <w:p w14:paraId="7547BF63" w14:textId="2BA377FB" w:rsidR="00F42180" w:rsidRDefault="003B278F" w:rsidP="00F42180">
      <w:r>
        <w:t>Appendix F</w:t>
      </w:r>
      <w:r w:rsidR="00F42180">
        <w:t xml:space="preserve"> </w:t>
      </w:r>
      <w:r w:rsidR="00F42180">
        <w:tab/>
      </w:r>
      <w:r w:rsidR="00393776">
        <w:t xml:space="preserve">CPP SDG&amp;E </w:t>
      </w:r>
      <w:r w:rsidR="00393776">
        <w:rPr>
          <w:i/>
        </w:rPr>
        <w:t>Ex-post</w:t>
      </w:r>
      <w:r w:rsidR="00F42180">
        <w:t xml:space="preserve"> Load Impact Tables</w:t>
      </w:r>
    </w:p>
    <w:p w14:paraId="524D6649" w14:textId="00B7D17E" w:rsidR="002A561C" w:rsidRDefault="003B278F" w:rsidP="00563B0F">
      <w:r>
        <w:t>Appendix G</w:t>
      </w:r>
      <w:r w:rsidR="00F42180">
        <w:t xml:space="preserve"> </w:t>
      </w:r>
      <w:r w:rsidR="00F42180">
        <w:tab/>
      </w:r>
      <w:r w:rsidR="00393776">
        <w:t xml:space="preserve">CPP </w:t>
      </w:r>
      <w:r w:rsidR="00F42180">
        <w:t xml:space="preserve">SDG&amp;E </w:t>
      </w:r>
      <w:r w:rsidR="00F42180" w:rsidRPr="000F1678">
        <w:rPr>
          <w:i/>
        </w:rPr>
        <w:t>Ex-ante</w:t>
      </w:r>
      <w:r w:rsidR="00F42180">
        <w:t xml:space="preserve"> Load Impact Tables</w:t>
      </w:r>
    </w:p>
    <w:p w14:paraId="411E1E9C" w14:textId="2AE67AFE" w:rsidR="00B638FC" w:rsidRDefault="00B638FC" w:rsidP="00563B0F">
      <w:pPr>
        <w:pStyle w:val="Heading2"/>
        <w:numPr>
          <w:ilvl w:val="0"/>
          <w:numId w:val="0"/>
        </w:numPr>
      </w:pPr>
      <w:bookmarkStart w:id="547" w:name="_Toc509837350"/>
      <w:r>
        <w:t>Appendix A</w:t>
      </w:r>
      <w:r w:rsidR="00F42180">
        <w:t xml:space="preserve">. </w:t>
      </w:r>
      <w:r w:rsidR="00857A98">
        <w:t xml:space="preserve">Matching </w:t>
      </w:r>
      <w:r w:rsidR="00F42180">
        <w:t>Quality</w:t>
      </w:r>
      <w:bookmarkEnd w:id="547"/>
    </w:p>
    <w:p w14:paraId="00AE654E" w14:textId="336EB9D4" w:rsidR="00625F00" w:rsidRDefault="00CA1757" w:rsidP="00E84DD2">
      <w:pPr>
        <w:spacing w:after="120"/>
      </w:pPr>
      <w:r>
        <w:rPr>
          <w:szCs w:val="32"/>
        </w:rPr>
        <w:t xml:space="preserve">This appendix presents summaries of our control-group matching process. </w:t>
      </w:r>
      <w:r w:rsidR="0069714C" w:rsidRPr="004132DB">
        <w:rPr>
          <w:szCs w:val="32"/>
        </w:rPr>
        <w:t>Because we are employing a control-group approach, our validity assessment focus</w:t>
      </w:r>
      <w:r w:rsidR="0069714C">
        <w:rPr>
          <w:szCs w:val="32"/>
        </w:rPr>
        <w:t>es</w:t>
      </w:r>
      <w:r w:rsidR="0069714C" w:rsidRPr="004132DB">
        <w:rPr>
          <w:szCs w:val="32"/>
        </w:rPr>
        <w:t xml:space="preserve"> on comparisons of treatment and control-group loads for selected</w:t>
      </w:r>
      <w:r>
        <w:rPr>
          <w:szCs w:val="32"/>
        </w:rPr>
        <w:t xml:space="preserve"> </w:t>
      </w:r>
      <w:r w:rsidR="00AA2FC8">
        <w:rPr>
          <w:szCs w:val="32"/>
        </w:rPr>
        <w:t xml:space="preserve">event-like non-event </w:t>
      </w:r>
      <w:r>
        <w:rPr>
          <w:szCs w:val="32"/>
        </w:rPr>
        <w:t>days</w:t>
      </w:r>
      <w:r w:rsidR="0069714C" w:rsidRPr="004132DB">
        <w:rPr>
          <w:szCs w:val="32"/>
        </w:rPr>
        <w:t>.</w:t>
      </w:r>
      <w:r w:rsidR="00AA2FC8">
        <w:rPr>
          <w:szCs w:val="32"/>
        </w:rPr>
        <w:t xml:space="preserve"> </w:t>
      </w:r>
      <w:r w:rsidR="00393776" w:rsidRPr="004132DB">
        <w:rPr>
          <w:szCs w:val="32"/>
        </w:rPr>
        <w:t xml:space="preserve">We </w:t>
      </w:r>
      <w:r w:rsidR="00393776">
        <w:rPr>
          <w:szCs w:val="32"/>
        </w:rPr>
        <w:t xml:space="preserve">also </w:t>
      </w:r>
      <w:r w:rsidR="00393776" w:rsidRPr="004132DB">
        <w:rPr>
          <w:szCs w:val="32"/>
        </w:rPr>
        <w:t xml:space="preserve">report statistics </w:t>
      </w:r>
      <w:r w:rsidR="00393776">
        <w:rPr>
          <w:szCs w:val="32"/>
        </w:rPr>
        <w:t>such as the</w:t>
      </w:r>
      <w:r w:rsidR="00393776" w:rsidRPr="004132DB">
        <w:rPr>
          <w:szCs w:val="32"/>
        </w:rPr>
        <w:t xml:space="preserve"> </w:t>
      </w:r>
      <w:r w:rsidR="00393776">
        <w:rPr>
          <w:szCs w:val="32"/>
        </w:rPr>
        <w:t>mean absolute percentage error (MAPE)</w:t>
      </w:r>
      <w:r w:rsidR="00393776" w:rsidRPr="004132DB">
        <w:rPr>
          <w:szCs w:val="32"/>
        </w:rPr>
        <w:t xml:space="preserve"> and me</w:t>
      </w:r>
      <w:r w:rsidR="00393776">
        <w:rPr>
          <w:szCs w:val="32"/>
        </w:rPr>
        <w:t>an</w:t>
      </w:r>
      <w:r w:rsidR="00393776" w:rsidRPr="004132DB">
        <w:rPr>
          <w:szCs w:val="32"/>
        </w:rPr>
        <w:t xml:space="preserve"> percent error</w:t>
      </w:r>
      <w:r w:rsidR="00393776">
        <w:rPr>
          <w:szCs w:val="32"/>
        </w:rPr>
        <w:t xml:space="preserve"> (MPE)</w:t>
      </w:r>
      <w:r w:rsidR="00393776" w:rsidRPr="004132DB">
        <w:rPr>
          <w:szCs w:val="32"/>
        </w:rPr>
        <w:t xml:space="preserve">, which provide </w:t>
      </w:r>
      <w:r w:rsidR="00393776">
        <w:rPr>
          <w:szCs w:val="32"/>
        </w:rPr>
        <w:t>measure</w:t>
      </w:r>
      <w:r w:rsidR="00A5498F">
        <w:rPr>
          <w:szCs w:val="32"/>
        </w:rPr>
        <w:t>s</w:t>
      </w:r>
      <w:r w:rsidR="00393776">
        <w:rPr>
          <w:szCs w:val="32"/>
        </w:rPr>
        <w:t xml:space="preserve"> of accuracy </w:t>
      </w:r>
      <w:r w:rsidR="00A5498F">
        <w:rPr>
          <w:szCs w:val="32"/>
        </w:rPr>
        <w:t>and</w:t>
      </w:r>
      <w:r w:rsidR="00393776">
        <w:rPr>
          <w:szCs w:val="32"/>
        </w:rPr>
        <w:t xml:space="preserve"> bias</w:t>
      </w:r>
      <w:r w:rsidR="00A5498F">
        <w:rPr>
          <w:szCs w:val="32"/>
        </w:rPr>
        <w:t xml:space="preserve"> in the matches, respectively</w:t>
      </w:r>
      <w:r w:rsidR="00393776">
        <w:rPr>
          <w:szCs w:val="32"/>
        </w:rPr>
        <w:t>.</w:t>
      </w:r>
      <w:r w:rsidR="00A5498F">
        <w:rPr>
          <w:rStyle w:val="FootnoteReference"/>
          <w:szCs w:val="32"/>
        </w:rPr>
        <w:footnoteReference w:id="22"/>
      </w:r>
    </w:p>
    <w:p w14:paraId="1840D9EB" w14:textId="503AE8B8" w:rsidR="00625F00" w:rsidRDefault="00625F00" w:rsidP="00563B0F">
      <w:pPr>
        <w:pStyle w:val="Heading3"/>
        <w:numPr>
          <w:ilvl w:val="0"/>
          <w:numId w:val="0"/>
        </w:numPr>
      </w:pPr>
      <w:bookmarkStart w:id="548" w:name="_Toc509837351"/>
      <w:r>
        <w:t>PG&amp;E</w:t>
      </w:r>
      <w:bookmarkEnd w:id="548"/>
    </w:p>
    <w:p w14:paraId="519ABF66" w14:textId="222E08FC" w:rsidR="00EF074B" w:rsidRDefault="00EF074B" w:rsidP="00E84DD2">
      <w:pPr>
        <w:spacing w:after="120"/>
        <w:rPr>
          <w:rFonts w:ascii="Times New Roman" w:hAnsi="Times New Roman"/>
          <w:sz w:val="20"/>
          <w:szCs w:val="20"/>
        </w:rPr>
      </w:pPr>
      <w:r>
        <w:t>Table A.1 provides, by size group</w:t>
      </w:r>
      <w:r w:rsidR="00F45CAF">
        <w:t xml:space="preserve"> for PG&amp;E</w:t>
      </w:r>
      <w:r>
        <w:t>, the mean percentage error (MPE) and mean absolute percentage error (MAPE) calculated across the average 24-hour load profile as well over the event-hour window.</w:t>
      </w:r>
    </w:p>
    <w:p w14:paraId="3EE6596A" w14:textId="6F3E404A" w:rsidR="00AA2FC8" w:rsidRPr="00563B0F" w:rsidRDefault="00AA2FC8" w:rsidP="00563B0F">
      <w:pPr>
        <w:pStyle w:val="TableCaption"/>
        <w:rPr>
          <w:i/>
        </w:rPr>
      </w:pPr>
      <w:bookmarkStart w:id="549" w:name="_Toc509837431"/>
      <w:r>
        <w:t xml:space="preserve">Table A.1: </w:t>
      </w:r>
      <w:r w:rsidR="00EF074B">
        <w:t xml:space="preserve">Match Quality Statistics, </w:t>
      </w:r>
      <w:r w:rsidR="00EF074B">
        <w:rPr>
          <w:i/>
        </w:rPr>
        <w:t>PG&amp;E</w:t>
      </w:r>
      <w:bookmarkEnd w:id="549"/>
    </w:p>
    <w:tbl>
      <w:tblPr>
        <w:tblW w:w="7020" w:type="dxa"/>
        <w:jc w:val="center"/>
        <w:tblLook w:val="04A0" w:firstRow="1" w:lastRow="0" w:firstColumn="1" w:lastColumn="0" w:noHBand="0" w:noVBand="1"/>
      </w:tblPr>
      <w:tblGrid>
        <w:gridCol w:w="2070"/>
        <w:gridCol w:w="1260"/>
        <w:gridCol w:w="810"/>
        <w:gridCol w:w="810"/>
        <w:gridCol w:w="990"/>
        <w:gridCol w:w="1080"/>
      </w:tblGrid>
      <w:tr w:rsidR="00071500" w:rsidRPr="00071500" w14:paraId="7A66EE72" w14:textId="77777777" w:rsidTr="00563B0F">
        <w:trPr>
          <w:divId w:val="2133131470"/>
          <w:trHeight w:val="765"/>
          <w:jc w:val="center"/>
        </w:trPr>
        <w:tc>
          <w:tcPr>
            <w:tcW w:w="2070" w:type="dxa"/>
            <w:tcBorders>
              <w:top w:val="single" w:sz="4" w:space="0" w:color="auto"/>
              <w:left w:val="single" w:sz="4" w:space="0" w:color="auto"/>
              <w:bottom w:val="single" w:sz="4" w:space="0" w:color="auto"/>
              <w:right w:val="single" w:sz="4" w:space="0" w:color="FFFFFF"/>
            </w:tcBorders>
            <w:shd w:val="clear" w:color="000000" w:fill="0C2577"/>
            <w:noWrap/>
            <w:vAlign w:val="center"/>
            <w:hideMark/>
          </w:tcPr>
          <w:p w14:paraId="6A9A14F7" w14:textId="58758C8C" w:rsidR="00071500" w:rsidRPr="00071500" w:rsidRDefault="00071500" w:rsidP="00071500">
            <w:pPr>
              <w:jc w:val="center"/>
              <w:rPr>
                <w:rFonts w:ascii="Arial" w:hAnsi="Arial" w:cs="Arial"/>
                <w:b/>
                <w:bCs/>
                <w:color w:val="FFFFFF"/>
                <w:sz w:val="20"/>
                <w:szCs w:val="20"/>
              </w:rPr>
            </w:pPr>
            <w:r w:rsidRPr="00071500">
              <w:rPr>
                <w:rFonts w:ascii="Arial" w:hAnsi="Arial" w:cs="Arial"/>
                <w:b/>
                <w:bCs/>
                <w:color w:val="FFFFFF"/>
                <w:sz w:val="20"/>
                <w:szCs w:val="20"/>
              </w:rPr>
              <w:t>Size</w:t>
            </w:r>
          </w:p>
        </w:tc>
        <w:tc>
          <w:tcPr>
            <w:tcW w:w="1260" w:type="dxa"/>
            <w:tcBorders>
              <w:top w:val="single" w:sz="4" w:space="0" w:color="auto"/>
              <w:left w:val="nil"/>
              <w:bottom w:val="single" w:sz="4" w:space="0" w:color="auto"/>
              <w:right w:val="single" w:sz="4" w:space="0" w:color="FFFFFF"/>
            </w:tcBorders>
            <w:shd w:val="clear" w:color="000000" w:fill="0C2577"/>
            <w:vAlign w:val="center"/>
            <w:hideMark/>
          </w:tcPr>
          <w:p w14:paraId="34234A8F" w14:textId="77777777" w:rsidR="00071500" w:rsidRPr="00071500" w:rsidRDefault="00071500" w:rsidP="00071500">
            <w:pPr>
              <w:jc w:val="center"/>
              <w:rPr>
                <w:rFonts w:ascii="Arial" w:hAnsi="Arial" w:cs="Arial"/>
                <w:b/>
                <w:bCs/>
                <w:color w:val="FFFFFF"/>
                <w:sz w:val="20"/>
                <w:szCs w:val="20"/>
              </w:rPr>
            </w:pPr>
            <w:r w:rsidRPr="00071500">
              <w:rPr>
                <w:rFonts w:ascii="Arial" w:hAnsi="Arial" w:cs="Arial"/>
                <w:b/>
                <w:bCs/>
                <w:color w:val="FFFFFF"/>
                <w:sz w:val="20"/>
                <w:szCs w:val="20"/>
              </w:rPr>
              <w:t># of Service Accounts</w:t>
            </w:r>
          </w:p>
        </w:tc>
        <w:tc>
          <w:tcPr>
            <w:tcW w:w="810" w:type="dxa"/>
            <w:tcBorders>
              <w:top w:val="single" w:sz="4" w:space="0" w:color="auto"/>
              <w:left w:val="nil"/>
              <w:bottom w:val="single" w:sz="4" w:space="0" w:color="auto"/>
              <w:right w:val="single" w:sz="4" w:space="0" w:color="FFFFFF"/>
            </w:tcBorders>
            <w:shd w:val="clear" w:color="000000" w:fill="0C2577"/>
            <w:noWrap/>
            <w:vAlign w:val="center"/>
            <w:hideMark/>
          </w:tcPr>
          <w:p w14:paraId="48F0146F" w14:textId="77777777" w:rsidR="00071500" w:rsidRPr="00071500" w:rsidRDefault="00071500" w:rsidP="00071500">
            <w:pPr>
              <w:jc w:val="center"/>
              <w:rPr>
                <w:rFonts w:ascii="Arial" w:hAnsi="Arial" w:cs="Arial"/>
                <w:b/>
                <w:bCs/>
                <w:color w:val="FFFFFF"/>
                <w:sz w:val="20"/>
                <w:szCs w:val="20"/>
              </w:rPr>
            </w:pPr>
            <w:r w:rsidRPr="00071500">
              <w:rPr>
                <w:rFonts w:ascii="Arial" w:hAnsi="Arial" w:cs="Arial"/>
                <w:b/>
                <w:bCs/>
                <w:color w:val="FFFFFF"/>
                <w:sz w:val="20"/>
                <w:szCs w:val="20"/>
              </w:rPr>
              <w:t>MPE</w:t>
            </w:r>
          </w:p>
        </w:tc>
        <w:tc>
          <w:tcPr>
            <w:tcW w:w="810" w:type="dxa"/>
            <w:tcBorders>
              <w:top w:val="single" w:sz="4" w:space="0" w:color="auto"/>
              <w:left w:val="nil"/>
              <w:bottom w:val="single" w:sz="4" w:space="0" w:color="auto"/>
              <w:right w:val="single" w:sz="4" w:space="0" w:color="FFFFFF"/>
            </w:tcBorders>
            <w:shd w:val="clear" w:color="000000" w:fill="0C2577"/>
            <w:noWrap/>
            <w:vAlign w:val="center"/>
            <w:hideMark/>
          </w:tcPr>
          <w:p w14:paraId="3D4CC0EA" w14:textId="77777777" w:rsidR="00071500" w:rsidRPr="00071500" w:rsidRDefault="00071500" w:rsidP="00071500">
            <w:pPr>
              <w:jc w:val="center"/>
              <w:rPr>
                <w:rFonts w:ascii="Arial" w:hAnsi="Arial" w:cs="Arial"/>
                <w:b/>
                <w:bCs/>
                <w:color w:val="FFFFFF"/>
                <w:sz w:val="20"/>
                <w:szCs w:val="20"/>
              </w:rPr>
            </w:pPr>
            <w:r w:rsidRPr="00071500">
              <w:rPr>
                <w:rFonts w:ascii="Arial" w:hAnsi="Arial" w:cs="Arial"/>
                <w:b/>
                <w:bCs/>
                <w:color w:val="FFFFFF"/>
                <w:sz w:val="20"/>
                <w:szCs w:val="20"/>
              </w:rPr>
              <w:t>MAPE</w:t>
            </w:r>
          </w:p>
        </w:tc>
        <w:tc>
          <w:tcPr>
            <w:tcW w:w="990" w:type="dxa"/>
            <w:tcBorders>
              <w:top w:val="single" w:sz="4" w:space="0" w:color="auto"/>
              <w:left w:val="nil"/>
              <w:bottom w:val="single" w:sz="4" w:space="0" w:color="auto"/>
              <w:right w:val="single" w:sz="4" w:space="0" w:color="FFFFFF"/>
            </w:tcBorders>
            <w:shd w:val="clear" w:color="000000" w:fill="0C2577"/>
            <w:vAlign w:val="center"/>
            <w:hideMark/>
          </w:tcPr>
          <w:p w14:paraId="44919BA3" w14:textId="77777777" w:rsidR="00071500" w:rsidRPr="00071500" w:rsidRDefault="00071500" w:rsidP="00071500">
            <w:pPr>
              <w:jc w:val="center"/>
              <w:rPr>
                <w:rFonts w:ascii="Arial" w:hAnsi="Arial" w:cs="Arial"/>
                <w:b/>
                <w:bCs/>
                <w:color w:val="FFFFFF"/>
                <w:sz w:val="20"/>
                <w:szCs w:val="20"/>
              </w:rPr>
            </w:pPr>
            <w:r w:rsidRPr="00071500">
              <w:rPr>
                <w:rFonts w:ascii="Arial" w:hAnsi="Arial" w:cs="Arial"/>
                <w:b/>
                <w:bCs/>
                <w:color w:val="FFFFFF"/>
                <w:sz w:val="20"/>
                <w:szCs w:val="20"/>
              </w:rPr>
              <w:t>MPE Event Window</w:t>
            </w:r>
          </w:p>
        </w:tc>
        <w:tc>
          <w:tcPr>
            <w:tcW w:w="1080" w:type="dxa"/>
            <w:tcBorders>
              <w:top w:val="single" w:sz="4" w:space="0" w:color="auto"/>
              <w:left w:val="nil"/>
              <w:bottom w:val="nil"/>
              <w:right w:val="single" w:sz="4" w:space="0" w:color="auto"/>
            </w:tcBorders>
            <w:shd w:val="clear" w:color="000000" w:fill="0C2577"/>
            <w:vAlign w:val="center"/>
            <w:hideMark/>
          </w:tcPr>
          <w:p w14:paraId="210C92C2" w14:textId="77777777" w:rsidR="00071500" w:rsidRPr="00071500" w:rsidRDefault="00071500" w:rsidP="00071500">
            <w:pPr>
              <w:jc w:val="center"/>
              <w:rPr>
                <w:rFonts w:ascii="Arial" w:hAnsi="Arial" w:cs="Arial"/>
                <w:b/>
                <w:bCs/>
                <w:color w:val="FFFFFF"/>
                <w:sz w:val="20"/>
                <w:szCs w:val="20"/>
              </w:rPr>
            </w:pPr>
            <w:r w:rsidRPr="00071500">
              <w:rPr>
                <w:rFonts w:ascii="Arial" w:hAnsi="Arial" w:cs="Arial"/>
                <w:b/>
                <w:bCs/>
                <w:color w:val="FFFFFF"/>
                <w:sz w:val="20"/>
                <w:szCs w:val="20"/>
              </w:rPr>
              <w:t>MAPE Event Window</w:t>
            </w:r>
          </w:p>
        </w:tc>
      </w:tr>
      <w:tr w:rsidR="00071500" w:rsidRPr="00071500" w14:paraId="4ADDB708" w14:textId="77777777" w:rsidTr="00563B0F">
        <w:trPr>
          <w:divId w:val="2133131470"/>
          <w:trHeight w:val="255"/>
          <w:jc w:val="center"/>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D680AD" w14:textId="77777777" w:rsidR="00071500" w:rsidRPr="00071500" w:rsidRDefault="00071500" w:rsidP="00071500">
            <w:pPr>
              <w:rPr>
                <w:rFonts w:ascii="Arial" w:hAnsi="Arial" w:cs="Arial"/>
                <w:color w:val="000000"/>
                <w:sz w:val="20"/>
                <w:szCs w:val="20"/>
              </w:rPr>
            </w:pPr>
            <w:r w:rsidRPr="00071500">
              <w:rPr>
                <w:rFonts w:ascii="Arial" w:hAnsi="Arial" w:cs="Arial"/>
                <w:color w:val="000000"/>
                <w:sz w:val="20"/>
                <w:szCs w:val="20"/>
              </w:rPr>
              <w:t>Below 20 kW</w:t>
            </w:r>
          </w:p>
        </w:tc>
        <w:tc>
          <w:tcPr>
            <w:tcW w:w="1260" w:type="dxa"/>
            <w:tcBorders>
              <w:top w:val="nil"/>
              <w:left w:val="nil"/>
              <w:bottom w:val="single" w:sz="4" w:space="0" w:color="auto"/>
              <w:right w:val="single" w:sz="4" w:space="0" w:color="auto"/>
            </w:tcBorders>
            <w:shd w:val="clear" w:color="auto" w:fill="auto"/>
            <w:noWrap/>
            <w:vAlign w:val="bottom"/>
            <w:hideMark/>
          </w:tcPr>
          <w:p w14:paraId="15135108" w14:textId="77777777" w:rsidR="00071500" w:rsidRPr="00071500" w:rsidRDefault="00071500" w:rsidP="00071500">
            <w:pPr>
              <w:rPr>
                <w:rFonts w:ascii="Arial" w:hAnsi="Arial" w:cs="Arial"/>
                <w:color w:val="000000"/>
                <w:sz w:val="20"/>
                <w:szCs w:val="20"/>
              </w:rPr>
            </w:pPr>
            <w:r w:rsidRPr="00071500">
              <w:rPr>
                <w:rFonts w:ascii="Arial" w:hAnsi="Arial" w:cs="Arial"/>
                <w:color w:val="000000"/>
                <w:sz w:val="20"/>
                <w:szCs w:val="20"/>
              </w:rPr>
              <w:t xml:space="preserve">     152,814 </w:t>
            </w:r>
          </w:p>
        </w:tc>
        <w:tc>
          <w:tcPr>
            <w:tcW w:w="810" w:type="dxa"/>
            <w:tcBorders>
              <w:top w:val="nil"/>
              <w:left w:val="nil"/>
              <w:bottom w:val="single" w:sz="4" w:space="0" w:color="auto"/>
              <w:right w:val="single" w:sz="4" w:space="0" w:color="auto"/>
            </w:tcBorders>
            <w:shd w:val="clear" w:color="auto" w:fill="auto"/>
            <w:noWrap/>
            <w:vAlign w:val="bottom"/>
            <w:hideMark/>
          </w:tcPr>
          <w:p w14:paraId="21184DC4"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-2.6%</w:t>
            </w:r>
          </w:p>
        </w:tc>
        <w:tc>
          <w:tcPr>
            <w:tcW w:w="810" w:type="dxa"/>
            <w:tcBorders>
              <w:top w:val="nil"/>
              <w:left w:val="nil"/>
              <w:bottom w:val="single" w:sz="4" w:space="0" w:color="auto"/>
              <w:right w:val="single" w:sz="4" w:space="0" w:color="auto"/>
            </w:tcBorders>
            <w:shd w:val="clear" w:color="auto" w:fill="auto"/>
            <w:noWrap/>
            <w:vAlign w:val="bottom"/>
            <w:hideMark/>
          </w:tcPr>
          <w:p w14:paraId="3C6C11F9"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2.6%</w:t>
            </w:r>
          </w:p>
        </w:tc>
        <w:tc>
          <w:tcPr>
            <w:tcW w:w="990" w:type="dxa"/>
            <w:tcBorders>
              <w:top w:val="nil"/>
              <w:left w:val="nil"/>
              <w:bottom w:val="single" w:sz="4" w:space="0" w:color="auto"/>
              <w:right w:val="single" w:sz="4" w:space="0" w:color="auto"/>
            </w:tcBorders>
            <w:shd w:val="clear" w:color="auto" w:fill="auto"/>
            <w:noWrap/>
            <w:vAlign w:val="bottom"/>
            <w:hideMark/>
          </w:tcPr>
          <w:p w14:paraId="18FA5906"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-0.7%</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5735ED4E"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0.8%</w:t>
            </w:r>
          </w:p>
        </w:tc>
      </w:tr>
      <w:tr w:rsidR="00071500" w:rsidRPr="00071500" w14:paraId="62365397" w14:textId="77777777" w:rsidTr="00563B0F">
        <w:trPr>
          <w:divId w:val="2133131470"/>
          <w:trHeight w:val="255"/>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36C384C0" w14:textId="77777777" w:rsidR="00071500" w:rsidRPr="00071500" w:rsidRDefault="00071500" w:rsidP="00071500">
            <w:pPr>
              <w:rPr>
                <w:rFonts w:ascii="Arial" w:hAnsi="Arial" w:cs="Arial"/>
                <w:color w:val="000000"/>
                <w:sz w:val="20"/>
                <w:szCs w:val="20"/>
              </w:rPr>
            </w:pPr>
            <w:r w:rsidRPr="00071500">
              <w:rPr>
                <w:rFonts w:ascii="Arial" w:hAnsi="Arial" w:cs="Arial"/>
                <w:color w:val="000000"/>
                <w:sz w:val="20"/>
                <w:szCs w:val="20"/>
              </w:rPr>
              <w:t>20 to 199.99 kW</w:t>
            </w:r>
          </w:p>
        </w:tc>
        <w:tc>
          <w:tcPr>
            <w:tcW w:w="1260" w:type="dxa"/>
            <w:tcBorders>
              <w:top w:val="nil"/>
              <w:left w:val="nil"/>
              <w:bottom w:val="single" w:sz="4" w:space="0" w:color="auto"/>
              <w:right w:val="single" w:sz="4" w:space="0" w:color="auto"/>
            </w:tcBorders>
            <w:shd w:val="clear" w:color="auto" w:fill="auto"/>
            <w:noWrap/>
            <w:vAlign w:val="bottom"/>
            <w:hideMark/>
          </w:tcPr>
          <w:p w14:paraId="05C8813C" w14:textId="77777777" w:rsidR="00071500" w:rsidRPr="00071500" w:rsidRDefault="00071500" w:rsidP="00071500">
            <w:pPr>
              <w:rPr>
                <w:rFonts w:ascii="Arial" w:hAnsi="Arial" w:cs="Arial"/>
                <w:color w:val="000000"/>
                <w:sz w:val="20"/>
                <w:szCs w:val="20"/>
              </w:rPr>
            </w:pPr>
            <w:r w:rsidRPr="00071500">
              <w:rPr>
                <w:rFonts w:ascii="Arial" w:hAnsi="Arial" w:cs="Arial"/>
                <w:color w:val="000000"/>
                <w:sz w:val="20"/>
                <w:szCs w:val="20"/>
              </w:rPr>
              <w:t xml:space="preserve">      45,623 </w:t>
            </w:r>
          </w:p>
        </w:tc>
        <w:tc>
          <w:tcPr>
            <w:tcW w:w="810" w:type="dxa"/>
            <w:tcBorders>
              <w:top w:val="nil"/>
              <w:left w:val="nil"/>
              <w:bottom w:val="single" w:sz="4" w:space="0" w:color="auto"/>
              <w:right w:val="single" w:sz="4" w:space="0" w:color="auto"/>
            </w:tcBorders>
            <w:shd w:val="clear" w:color="auto" w:fill="auto"/>
            <w:noWrap/>
            <w:vAlign w:val="bottom"/>
            <w:hideMark/>
          </w:tcPr>
          <w:p w14:paraId="78129936"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-1.9%</w:t>
            </w:r>
          </w:p>
        </w:tc>
        <w:tc>
          <w:tcPr>
            <w:tcW w:w="810" w:type="dxa"/>
            <w:tcBorders>
              <w:top w:val="nil"/>
              <w:left w:val="nil"/>
              <w:bottom w:val="single" w:sz="4" w:space="0" w:color="auto"/>
              <w:right w:val="single" w:sz="4" w:space="0" w:color="auto"/>
            </w:tcBorders>
            <w:shd w:val="clear" w:color="auto" w:fill="auto"/>
            <w:noWrap/>
            <w:vAlign w:val="bottom"/>
            <w:hideMark/>
          </w:tcPr>
          <w:p w14:paraId="7C8C9237"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2.0%</w:t>
            </w:r>
          </w:p>
        </w:tc>
        <w:tc>
          <w:tcPr>
            <w:tcW w:w="990" w:type="dxa"/>
            <w:tcBorders>
              <w:top w:val="nil"/>
              <w:left w:val="nil"/>
              <w:bottom w:val="single" w:sz="4" w:space="0" w:color="auto"/>
              <w:right w:val="single" w:sz="4" w:space="0" w:color="auto"/>
            </w:tcBorders>
            <w:shd w:val="clear" w:color="auto" w:fill="auto"/>
            <w:noWrap/>
            <w:vAlign w:val="bottom"/>
            <w:hideMark/>
          </w:tcPr>
          <w:p w14:paraId="37D253DF"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-0.1%</w:t>
            </w:r>
          </w:p>
        </w:tc>
        <w:tc>
          <w:tcPr>
            <w:tcW w:w="1080" w:type="dxa"/>
            <w:tcBorders>
              <w:top w:val="nil"/>
              <w:left w:val="nil"/>
              <w:bottom w:val="single" w:sz="4" w:space="0" w:color="auto"/>
              <w:right w:val="single" w:sz="4" w:space="0" w:color="auto"/>
            </w:tcBorders>
            <w:shd w:val="clear" w:color="auto" w:fill="auto"/>
            <w:noWrap/>
            <w:vAlign w:val="bottom"/>
            <w:hideMark/>
          </w:tcPr>
          <w:p w14:paraId="1AE870A6"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0.6%</w:t>
            </w:r>
          </w:p>
        </w:tc>
      </w:tr>
      <w:tr w:rsidR="00071500" w:rsidRPr="00071500" w14:paraId="7139FB96" w14:textId="77777777" w:rsidTr="00563B0F">
        <w:trPr>
          <w:divId w:val="2133131470"/>
          <w:trHeight w:val="255"/>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5931A60A" w14:textId="10B555CB" w:rsidR="00071500" w:rsidRPr="00071500" w:rsidRDefault="00071500" w:rsidP="00071500">
            <w:pPr>
              <w:rPr>
                <w:rFonts w:ascii="Arial" w:hAnsi="Arial" w:cs="Arial"/>
                <w:color w:val="000000"/>
                <w:sz w:val="20"/>
                <w:szCs w:val="20"/>
              </w:rPr>
            </w:pPr>
            <w:r w:rsidRPr="00071500">
              <w:rPr>
                <w:rFonts w:ascii="Arial" w:hAnsi="Arial" w:cs="Arial"/>
                <w:color w:val="000000"/>
                <w:sz w:val="20"/>
                <w:szCs w:val="20"/>
              </w:rPr>
              <w:t>2</w:t>
            </w:r>
            <w:r w:rsidR="00A5498F">
              <w:rPr>
                <w:rFonts w:ascii="Arial" w:hAnsi="Arial" w:cs="Arial"/>
                <w:color w:val="000000"/>
                <w:sz w:val="20"/>
                <w:szCs w:val="20"/>
              </w:rPr>
              <w:t>0</w:t>
            </w:r>
            <w:r w:rsidRPr="00071500">
              <w:rPr>
                <w:rFonts w:ascii="Arial" w:hAnsi="Arial" w:cs="Arial"/>
                <w:color w:val="000000"/>
                <w:sz w:val="20"/>
                <w:szCs w:val="20"/>
              </w:rPr>
              <w:t>0 kW and Above</w:t>
            </w:r>
          </w:p>
        </w:tc>
        <w:tc>
          <w:tcPr>
            <w:tcW w:w="1260" w:type="dxa"/>
            <w:tcBorders>
              <w:top w:val="nil"/>
              <w:left w:val="nil"/>
              <w:bottom w:val="single" w:sz="4" w:space="0" w:color="auto"/>
              <w:right w:val="single" w:sz="4" w:space="0" w:color="auto"/>
            </w:tcBorders>
            <w:shd w:val="clear" w:color="auto" w:fill="auto"/>
            <w:noWrap/>
            <w:vAlign w:val="bottom"/>
            <w:hideMark/>
          </w:tcPr>
          <w:p w14:paraId="60BBB3D5" w14:textId="77777777" w:rsidR="00071500" w:rsidRPr="00071500" w:rsidRDefault="00071500" w:rsidP="00071500">
            <w:pPr>
              <w:rPr>
                <w:rFonts w:ascii="Arial" w:hAnsi="Arial" w:cs="Arial"/>
                <w:color w:val="000000"/>
                <w:sz w:val="20"/>
                <w:szCs w:val="20"/>
              </w:rPr>
            </w:pPr>
            <w:r w:rsidRPr="00071500">
              <w:rPr>
                <w:rFonts w:ascii="Arial" w:hAnsi="Arial" w:cs="Arial"/>
                <w:color w:val="000000"/>
                <w:sz w:val="20"/>
                <w:szCs w:val="20"/>
              </w:rPr>
              <w:t xml:space="preserve">        2,094 </w:t>
            </w:r>
          </w:p>
        </w:tc>
        <w:tc>
          <w:tcPr>
            <w:tcW w:w="810" w:type="dxa"/>
            <w:tcBorders>
              <w:top w:val="nil"/>
              <w:left w:val="nil"/>
              <w:bottom w:val="single" w:sz="4" w:space="0" w:color="auto"/>
              <w:right w:val="single" w:sz="4" w:space="0" w:color="auto"/>
            </w:tcBorders>
            <w:shd w:val="clear" w:color="auto" w:fill="auto"/>
            <w:noWrap/>
            <w:vAlign w:val="bottom"/>
            <w:hideMark/>
          </w:tcPr>
          <w:p w14:paraId="1BEEE94B"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-5.0%</w:t>
            </w:r>
          </w:p>
        </w:tc>
        <w:tc>
          <w:tcPr>
            <w:tcW w:w="810" w:type="dxa"/>
            <w:tcBorders>
              <w:top w:val="nil"/>
              <w:left w:val="nil"/>
              <w:bottom w:val="single" w:sz="4" w:space="0" w:color="auto"/>
              <w:right w:val="single" w:sz="4" w:space="0" w:color="auto"/>
            </w:tcBorders>
            <w:shd w:val="clear" w:color="auto" w:fill="auto"/>
            <w:noWrap/>
            <w:vAlign w:val="bottom"/>
            <w:hideMark/>
          </w:tcPr>
          <w:p w14:paraId="37789FD7"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5.3%</w:t>
            </w:r>
          </w:p>
        </w:tc>
        <w:tc>
          <w:tcPr>
            <w:tcW w:w="990" w:type="dxa"/>
            <w:tcBorders>
              <w:top w:val="nil"/>
              <w:left w:val="nil"/>
              <w:bottom w:val="single" w:sz="4" w:space="0" w:color="auto"/>
              <w:right w:val="single" w:sz="4" w:space="0" w:color="auto"/>
            </w:tcBorders>
            <w:shd w:val="clear" w:color="auto" w:fill="auto"/>
            <w:noWrap/>
            <w:vAlign w:val="bottom"/>
            <w:hideMark/>
          </w:tcPr>
          <w:p w14:paraId="2998BA6C"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0.7%</w:t>
            </w:r>
          </w:p>
        </w:tc>
        <w:tc>
          <w:tcPr>
            <w:tcW w:w="1080" w:type="dxa"/>
            <w:tcBorders>
              <w:top w:val="nil"/>
              <w:left w:val="nil"/>
              <w:bottom w:val="single" w:sz="4" w:space="0" w:color="auto"/>
              <w:right w:val="single" w:sz="4" w:space="0" w:color="auto"/>
            </w:tcBorders>
            <w:shd w:val="clear" w:color="auto" w:fill="auto"/>
            <w:noWrap/>
            <w:vAlign w:val="bottom"/>
            <w:hideMark/>
          </w:tcPr>
          <w:p w14:paraId="6334875E" w14:textId="77777777" w:rsidR="00071500" w:rsidRPr="00071500" w:rsidRDefault="00071500" w:rsidP="00071500">
            <w:pPr>
              <w:jc w:val="right"/>
              <w:rPr>
                <w:rFonts w:ascii="Arial" w:hAnsi="Arial" w:cs="Arial"/>
                <w:color w:val="000000"/>
                <w:sz w:val="20"/>
                <w:szCs w:val="20"/>
              </w:rPr>
            </w:pPr>
            <w:r w:rsidRPr="00071500">
              <w:rPr>
                <w:rFonts w:ascii="Arial" w:hAnsi="Arial" w:cs="Arial"/>
                <w:color w:val="000000"/>
                <w:sz w:val="20"/>
                <w:szCs w:val="20"/>
              </w:rPr>
              <w:t>1.0%</w:t>
            </w:r>
          </w:p>
        </w:tc>
      </w:tr>
    </w:tbl>
    <w:p w14:paraId="5C678E89" w14:textId="01FE98A7" w:rsidR="005A10EC" w:rsidRDefault="005A10EC" w:rsidP="00E84DD2">
      <w:pPr>
        <w:spacing w:after="120"/>
      </w:pPr>
    </w:p>
    <w:p w14:paraId="7A6A9495" w14:textId="7302B5B1" w:rsidR="005A10EC" w:rsidRDefault="00EF074B" w:rsidP="00E84DD2">
      <w:pPr>
        <w:spacing w:after="120"/>
      </w:pPr>
      <w:r>
        <w:t>Figure</w:t>
      </w:r>
      <w:r w:rsidR="00A5498F">
        <w:t>s</w:t>
      </w:r>
      <w:r>
        <w:t xml:space="preserve"> A.1 through A.3 illustrate the</w:t>
      </w:r>
      <w:r w:rsidR="00096A37">
        <w:t xml:space="preserve"> matched load profiles for</w:t>
      </w:r>
      <w:r w:rsidR="00515103">
        <w:t xml:space="preserve"> selected event-like days</w:t>
      </w:r>
      <w:r w:rsidR="00096A37">
        <w:t xml:space="preserve">. </w:t>
      </w:r>
      <w:r>
        <w:t>Each figure contains the average hourly profiles for the treatment and matched contr</w:t>
      </w:r>
      <w:r w:rsidR="00096A37">
        <w:t>ol-group customers by day type</w:t>
      </w:r>
      <w:r w:rsidR="00515103">
        <w:t xml:space="preserve"> (</w:t>
      </w:r>
      <w:r w:rsidR="00515103">
        <w:rPr>
          <w:i/>
        </w:rPr>
        <w:t xml:space="preserve">i.e., </w:t>
      </w:r>
      <w:r w:rsidR="00515103">
        <w:t>hot days and all other days)</w:t>
      </w:r>
      <w:r w:rsidR="00096A37">
        <w:t xml:space="preserve">. The solid lines represent the average usage of treatment customers on hot days (red) and all other days (blue). Similarly, the dashed lines represent the average usage of the matched control </w:t>
      </w:r>
      <w:r w:rsidR="00096A37">
        <w:lastRenderedPageBreak/>
        <w:t>customers on hot days (yellow) and all other days (</w:t>
      </w:r>
      <w:r w:rsidR="00515103">
        <w:t xml:space="preserve">gray). The shaded region illustrates the PG&amp;E PDP event hours. </w:t>
      </w:r>
    </w:p>
    <w:p w14:paraId="2F6E44B3" w14:textId="03F25A33" w:rsidR="005A10EC" w:rsidRPr="005A10EC" w:rsidRDefault="00AA2FC8" w:rsidP="005A10EC">
      <w:pPr>
        <w:pStyle w:val="FigureCaption"/>
        <w:rPr>
          <w:i/>
        </w:rPr>
      </w:pPr>
      <w:bookmarkStart w:id="550" w:name="_Toc509837520"/>
      <w:r>
        <w:t xml:space="preserve">Figure A.1: </w:t>
      </w:r>
      <w:r w:rsidR="005A10EC">
        <w:t xml:space="preserve">Treatment and Control Non-Event Day Load Profiles, </w:t>
      </w:r>
      <w:r w:rsidR="005A10EC">
        <w:rPr>
          <w:i/>
        </w:rPr>
        <w:t>PG&amp;E Small</w:t>
      </w:r>
      <w:bookmarkEnd w:id="550"/>
    </w:p>
    <w:p w14:paraId="001DD726" w14:textId="53BDB142" w:rsidR="005A10EC" w:rsidRDefault="00EE25A2" w:rsidP="00563B0F">
      <w:pPr>
        <w:spacing w:after="120"/>
        <w:jc w:val="center"/>
      </w:pPr>
      <w:r>
        <w:rPr>
          <w:noProof/>
        </w:rPr>
        <w:drawing>
          <wp:inline distT="0" distB="0" distL="0" distR="0" wp14:anchorId="21E7B3E4" wp14:editId="6EC949FF">
            <wp:extent cx="5029835" cy="32004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25DF5DFB" w14:textId="7447349F" w:rsidR="00217FB8" w:rsidRDefault="00217FB8" w:rsidP="00563B0F">
      <w:pPr>
        <w:spacing w:after="120"/>
        <w:jc w:val="center"/>
      </w:pPr>
    </w:p>
    <w:p w14:paraId="128B0003" w14:textId="369C2AB2" w:rsidR="005A10EC" w:rsidRDefault="005A10EC" w:rsidP="00E84DD2">
      <w:pPr>
        <w:spacing w:after="120"/>
      </w:pPr>
    </w:p>
    <w:p w14:paraId="786F6804" w14:textId="19240015" w:rsidR="005A10EC" w:rsidRPr="005A10EC" w:rsidRDefault="00AA2FC8" w:rsidP="005A10EC">
      <w:pPr>
        <w:pStyle w:val="FigureCaption"/>
        <w:rPr>
          <w:i/>
        </w:rPr>
      </w:pPr>
      <w:bookmarkStart w:id="551" w:name="_Toc509837521"/>
      <w:r>
        <w:t xml:space="preserve">Figure A.2: </w:t>
      </w:r>
      <w:r w:rsidR="005A10EC">
        <w:t xml:space="preserve">Treatment and Control Non-Event Day Load Profiles, </w:t>
      </w:r>
      <w:r w:rsidR="005A10EC">
        <w:rPr>
          <w:i/>
        </w:rPr>
        <w:t>PG&amp;E Medium</w:t>
      </w:r>
      <w:bookmarkEnd w:id="551"/>
    </w:p>
    <w:p w14:paraId="024988AE" w14:textId="0AEC3A54" w:rsidR="00824BD9" w:rsidRDefault="00824BD9" w:rsidP="00563B0F">
      <w:pPr>
        <w:spacing w:after="120"/>
        <w:jc w:val="center"/>
      </w:pPr>
      <w:r>
        <w:rPr>
          <w:noProof/>
        </w:rPr>
        <w:drawing>
          <wp:inline distT="0" distB="0" distL="0" distR="0" wp14:anchorId="086D65C9" wp14:editId="74DEF588">
            <wp:extent cx="5029835" cy="32004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3608317C" w14:textId="77777777" w:rsidR="005A10EC" w:rsidRDefault="005A10EC" w:rsidP="00E84DD2">
      <w:pPr>
        <w:spacing w:after="120"/>
      </w:pPr>
    </w:p>
    <w:p w14:paraId="70EC64EF" w14:textId="58933BDE" w:rsidR="005A10EC" w:rsidRDefault="00AA2FC8" w:rsidP="005A10EC">
      <w:pPr>
        <w:pStyle w:val="FigureCaption"/>
      </w:pPr>
      <w:bookmarkStart w:id="552" w:name="_Toc509837522"/>
      <w:r>
        <w:t>Figure A.3:</w:t>
      </w:r>
      <w:r w:rsidR="005A10EC">
        <w:t xml:space="preserve"> Treatment and Control Non-Event Day Load Profiles, </w:t>
      </w:r>
      <w:r w:rsidR="005A10EC">
        <w:rPr>
          <w:i/>
        </w:rPr>
        <w:t>PG&amp;E Large</w:t>
      </w:r>
      <w:bookmarkEnd w:id="552"/>
    </w:p>
    <w:p w14:paraId="099279E0" w14:textId="57253DD8" w:rsidR="009D14A9" w:rsidRDefault="00824BD9" w:rsidP="009D14A9">
      <w:pPr>
        <w:spacing w:after="120"/>
        <w:jc w:val="center"/>
      </w:pPr>
      <w:r>
        <w:rPr>
          <w:noProof/>
        </w:rPr>
        <w:drawing>
          <wp:inline distT="0" distB="0" distL="0" distR="0" wp14:anchorId="5F2E80CB" wp14:editId="4BD4E41E">
            <wp:extent cx="5029835" cy="32004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3DDBE0AC" w14:textId="77777777" w:rsidR="005A10EC" w:rsidRDefault="005A10EC" w:rsidP="00E84DD2">
      <w:pPr>
        <w:spacing w:after="120"/>
      </w:pPr>
    </w:p>
    <w:p w14:paraId="11BF7CFD" w14:textId="5CCC90F4" w:rsidR="009D14A9" w:rsidRDefault="00FC0444" w:rsidP="00563B0F">
      <w:pPr>
        <w:pStyle w:val="Heading3"/>
        <w:numPr>
          <w:ilvl w:val="0"/>
          <w:numId w:val="0"/>
        </w:numPr>
      </w:pPr>
      <w:bookmarkStart w:id="553" w:name="_Toc509837352"/>
      <w:r>
        <w:t>SCE</w:t>
      </w:r>
      <w:bookmarkEnd w:id="553"/>
    </w:p>
    <w:p w14:paraId="2EE1D874" w14:textId="04DFC109" w:rsidR="00F45CAF" w:rsidRPr="003B278F" w:rsidRDefault="00F45CAF" w:rsidP="00563B0F">
      <w:r>
        <w:t>Table A.2 provides, by size group for SCE, the mean percentage error (MPE) and mean absolute percentage error (MAPE) calculated across the average 24-hour load profile as well over the event-hour window.</w:t>
      </w:r>
    </w:p>
    <w:p w14:paraId="61647B6D" w14:textId="77777777" w:rsidR="00AA2FC8" w:rsidRPr="00DB50C7" w:rsidRDefault="00AA2FC8" w:rsidP="00563B0F"/>
    <w:p w14:paraId="4EB5C645" w14:textId="24DEF259" w:rsidR="00AA2FC8" w:rsidRPr="00DB50C7" w:rsidRDefault="00AA2FC8" w:rsidP="00563B0F">
      <w:pPr>
        <w:pStyle w:val="TableCaption"/>
      </w:pPr>
      <w:bookmarkStart w:id="554" w:name="_Toc509837432"/>
      <w:r>
        <w:t>Table A.2:</w:t>
      </w:r>
      <w:r w:rsidR="00EF074B" w:rsidRPr="00EF074B">
        <w:t xml:space="preserve"> </w:t>
      </w:r>
      <w:r w:rsidR="00EF074B">
        <w:t xml:space="preserve">Match Quality Statistics, </w:t>
      </w:r>
      <w:r w:rsidR="00EF074B">
        <w:rPr>
          <w:i/>
        </w:rPr>
        <w:t>SCE</w:t>
      </w:r>
      <w:bookmarkEnd w:id="554"/>
    </w:p>
    <w:tbl>
      <w:tblPr>
        <w:tblW w:w="6774" w:type="dxa"/>
        <w:jc w:val="center"/>
        <w:tblLayout w:type="fixed"/>
        <w:tblLook w:val="04A0" w:firstRow="1" w:lastRow="0" w:firstColumn="1" w:lastColumn="0" w:noHBand="0" w:noVBand="1"/>
      </w:tblPr>
      <w:tblGrid>
        <w:gridCol w:w="1975"/>
        <w:gridCol w:w="1170"/>
        <w:gridCol w:w="810"/>
        <w:gridCol w:w="853"/>
        <w:gridCol w:w="983"/>
        <w:gridCol w:w="983"/>
      </w:tblGrid>
      <w:tr w:rsidR="00FC0444" w:rsidRPr="005A10EC" w14:paraId="251D7DCE" w14:textId="77777777" w:rsidTr="00563B0F">
        <w:trPr>
          <w:trHeight w:val="765"/>
          <w:jc w:val="center"/>
        </w:trPr>
        <w:tc>
          <w:tcPr>
            <w:tcW w:w="1975" w:type="dxa"/>
            <w:tcBorders>
              <w:top w:val="single" w:sz="4" w:space="0" w:color="auto"/>
              <w:left w:val="single" w:sz="4" w:space="0" w:color="auto"/>
              <w:bottom w:val="single" w:sz="4" w:space="0" w:color="auto"/>
              <w:right w:val="single" w:sz="4" w:space="0" w:color="FFFFFF" w:themeColor="background1"/>
            </w:tcBorders>
            <w:shd w:val="clear" w:color="000000" w:fill="0C2577"/>
            <w:noWrap/>
            <w:vAlign w:val="center"/>
            <w:hideMark/>
          </w:tcPr>
          <w:p w14:paraId="5147A67E" w14:textId="77777777" w:rsidR="00FC0444" w:rsidRPr="005A10EC" w:rsidRDefault="00FC0444" w:rsidP="00C05373">
            <w:pPr>
              <w:jc w:val="center"/>
              <w:rPr>
                <w:rFonts w:ascii="Arial" w:hAnsi="Arial" w:cs="Arial"/>
                <w:b/>
                <w:bCs/>
                <w:color w:val="FFFFFF"/>
                <w:sz w:val="20"/>
                <w:szCs w:val="20"/>
              </w:rPr>
            </w:pPr>
            <w:r w:rsidRPr="005A10EC">
              <w:rPr>
                <w:rFonts w:ascii="Arial" w:hAnsi="Arial" w:cs="Arial"/>
                <w:b/>
                <w:bCs/>
                <w:color w:val="FFFFFF"/>
                <w:sz w:val="20"/>
                <w:szCs w:val="20"/>
              </w:rPr>
              <w:t>Size</w:t>
            </w:r>
          </w:p>
        </w:tc>
        <w:tc>
          <w:tcPr>
            <w:tcW w:w="117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44CB22F0" w14:textId="77777777" w:rsidR="00FC0444" w:rsidRPr="005A10EC" w:rsidRDefault="00FC0444" w:rsidP="00C05373">
            <w:pPr>
              <w:jc w:val="center"/>
              <w:rPr>
                <w:rFonts w:ascii="Arial" w:hAnsi="Arial" w:cs="Arial"/>
                <w:b/>
                <w:bCs/>
                <w:color w:val="FFFFFF"/>
                <w:sz w:val="20"/>
                <w:szCs w:val="20"/>
              </w:rPr>
            </w:pPr>
            <w:r w:rsidRPr="005A10EC">
              <w:rPr>
                <w:rFonts w:ascii="Arial" w:hAnsi="Arial" w:cs="Arial"/>
                <w:b/>
                <w:bCs/>
                <w:color w:val="FFFFFF"/>
                <w:sz w:val="20"/>
                <w:szCs w:val="20"/>
              </w:rPr>
              <w:t># of Service Accounts</w:t>
            </w:r>
          </w:p>
        </w:tc>
        <w:tc>
          <w:tcPr>
            <w:tcW w:w="81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400831FF" w14:textId="77777777" w:rsidR="00FC0444" w:rsidRPr="005A10EC" w:rsidRDefault="00FC0444" w:rsidP="00C05373">
            <w:pPr>
              <w:jc w:val="center"/>
              <w:rPr>
                <w:rFonts w:ascii="Arial" w:hAnsi="Arial" w:cs="Arial"/>
                <w:b/>
                <w:bCs/>
                <w:color w:val="FFFFFF"/>
                <w:sz w:val="20"/>
                <w:szCs w:val="20"/>
              </w:rPr>
            </w:pPr>
            <w:r w:rsidRPr="005A10EC">
              <w:rPr>
                <w:rFonts w:ascii="Arial" w:hAnsi="Arial" w:cs="Arial"/>
                <w:b/>
                <w:bCs/>
                <w:color w:val="FFFFFF"/>
                <w:sz w:val="20"/>
                <w:szCs w:val="20"/>
              </w:rPr>
              <w:t>MPE</w:t>
            </w:r>
          </w:p>
        </w:tc>
        <w:tc>
          <w:tcPr>
            <w:tcW w:w="853"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1572D131" w14:textId="77777777" w:rsidR="00FC0444" w:rsidRPr="005A10EC" w:rsidRDefault="00FC0444" w:rsidP="00C05373">
            <w:pPr>
              <w:jc w:val="center"/>
              <w:rPr>
                <w:rFonts w:ascii="Arial" w:hAnsi="Arial" w:cs="Arial"/>
                <w:b/>
                <w:bCs/>
                <w:color w:val="FFFFFF"/>
                <w:sz w:val="20"/>
                <w:szCs w:val="20"/>
              </w:rPr>
            </w:pPr>
            <w:r w:rsidRPr="005A10EC">
              <w:rPr>
                <w:rFonts w:ascii="Arial" w:hAnsi="Arial" w:cs="Arial"/>
                <w:b/>
                <w:bCs/>
                <w:color w:val="FFFFFF"/>
                <w:sz w:val="20"/>
                <w:szCs w:val="20"/>
              </w:rPr>
              <w:t>MAPE</w:t>
            </w:r>
          </w:p>
        </w:tc>
        <w:tc>
          <w:tcPr>
            <w:tcW w:w="983"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70CFF833" w14:textId="77777777" w:rsidR="00FC0444" w:rsidRPr="005A10EC" w:rsidRDefault="00FC0444" w:rsidP="00C05373">
            <w:pPr>
              <w:jc w:val="center"/>
              <w:rPr>
                <w:rFonts w:ascii="Arial" w:hAnsi="Arial" w:cs="Arial"/>
                <w:b/>
                <w:bCs/>
                <w:color w:val="FFFFFF"/>
                <w:sz w:val="20"/>
                <w:szCs w:val="20"/>
              </w:rPr>
            </w:pPr>
            <w:r w:rsidRPr="005A10EC">
              <w:rPr>
                <w:rFonts w:ascii="Arial" w:hAnsi="Arial" w:cs="Arial"/>
                <w:b/>
                <w:bCs/>
                <w:color w:val="FFFFFF"/>
                <w:sz w:val="20"/>
                <w:szCs w:val="20"/>
              </w:rPr>
              <w:t>MPE Event Window</w:t>
            </w:r>
          </w:p>
        </w:tc>
        <w:tc>
          <w:tcPr>
            <w:tcW w:w="983" w:type="dxa"/>
            <w:tcBorders>
              <w:top w:val="single" w:sz="4" w:space="0" w:color="auto"/>
              <w:left w:val="single" w:sz="4" w:space="0" w:color="FFFFFF" w:themeColor="background1"/>
              <w:bottom w:val="single" w:sz="4" w:space="0" w:color="auto"/>
              <w:right w:val="single" w:sz="4" w:space="0" w:color="auto"/>
            </w:tcBorders>
            <w:shd w:val="clear" w:color="000000" w:fill="0C2577"/>
            <w:vAlign w:val="center"/>
            <w:hideMark/>
          </w:tcPr>
          <w:p w14:paraId="7571AD97" w14:textId="77777777" w:rsidR="00FC0444" w:rsidRPr="005A10EC" w:rsidRDefault="00FC0444" w:rsidP="00C05373">
            <w:pPr>
              <w:jc w:val="center"/>
              <w:rPr>
                <w:rFonts w:ascii="Arial" w:hAnsi="Arial" w:cs="Arial"/>
                <w:b/>
                <w:bCs/>
                <w:color w:val="FFFFFF"/>
                <w:sz w:val="20"/>
                <w:szCs w:val="20"/>
              </w:rPr>
            </w:pPr>
            <w:r w:rsidRPr="005A10EC">
              <w:rPr>
                <w:rFonts w:ascii="Arial" w:hAnsi="Arial" w:cs="Arial"/>
                <w:b/>
                <w:bCs/>
                <w:color w:val="FFFFFF"/>
                <w:sz w:val="20"/>
                <w:szCs w:val="20"/>
              </w:rPr>
              <w:t>MAPE Event Window</w:t>
            </w:r>
          </w:p>
        </w:tc>
      </w:tr>
      <w:tr w:rsidR="00FC0444" w:rsidRPr="005A10EC" w14:paraId="6D372BBA" w14:textId="77777777" w:rsidTr="00563B0F">
        <w:trPr>
          <w:trHeight w:val="255"/>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77701CBA"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Below 20 kW</w:t>
            </w:r>
          </w:p>
        </w:tc>
        <w:tc>
          <w:tcPr>
            <w:tcW w:w="1170" w:type="dxa"/>
            <w:tcBorders>
              <w:top w:val="nil"/>
              <w:left w:val="nil"/>
              <w:bottom w:val="single" w:sz="4" w:space="0" w:color="auto"/>
              <w:right w:val="single" w:sz="4" w:space="0" w:color="auto"/>
            </w:tcBorders>
            <w:shd w:val="clear" w:color="auto" w:fill="auto"/>
            <w:noWrap/>
            <w:vAlign w:val="bottom"/>
            <w:hideMark/>
          </w:tcPr>
          <w:p w14:paraId="230B040F"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 xml:space="preserve">        475 </w:t>
            </w:r>
          </w:p>
        </w:tc>
        <w:tc>
          <w:tcPr>
            <w:tcW w:w="810" w:type="dxa"/>
            <w:tcBorders>
              <w:top w:val="nil"/>
              <w:left w:val="nil"/>
              <w:bottom w:val="single" w:sz="4" w:space="0" w:color="auto"/>
              <w:right w:val="single" w:sz="4" w:space="0" w:color="auto"/>
            </w:tcBorders>
            <w:shd w:val="clear" w:color="auto" w:fill="auto"/>
            <w:noWrap/>
            <w:vAlign w:val="bottom"/>
            <w:hideMark/>
          </w:tcPr>
          <w:p w14:paraId="78A769EB"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-2.1%</w:t>
            </w:r>
          </w:p>
        </w:tc>
        <w:tc>
          <w:tcPr>
            <w:tcW w:w="853" w:type="dxa"/>
            <w:tcBorders>
              <w:top w:val="nil"/>
              <w:left w:val="nil"/>
              <w:bottom w:val="single" w:sz="4" w:space="0" w:color="auto"/>
              <w:right w:val="single" w:sz="4" w:space="0" w:color="auto"/>
            </w:tcBorders>
            <w:shd w:val="clear" w:color="auto" w:fill="auto"/>
            <w:noWrap/>
            <w:vAlign w:val="bottom"/>
            <w:hideMark/>
          </w:tcPr>
          <w:p w14:paraId="49975E99"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2.6%</w:t>
            </w:r>
          </w:p>
        </w:tc>
        <w:tc>
          <w:tcPr>
            <w:tcW w:w="983" w:type="dxa"/>
            <w:tcBorders>
              <w:top w:val="nil"/>
              <w:left w:val="nil"/>
              <w:bottom w:val="single" w:sz="4" w:space="0" w:color="auto"/>
              <w:right w:val="single" w:sz="4" w:space="0" w:color="auto"/>
            </w:tcBorders>
            <w:shd w:val="clear" w:color="auto" w:fill="auto"/>
            <w:noWrap/>
            <w:vAlign w:val="bottom"/>
            <w:hideMark/>
          </w:tcPr>
          <w:p w14:paraId="4F14E1BB"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1.0%</w:t>
            </w:r>
          </w:p>
        </w:tc>
        <w:tc>
          <w:tcPr>
            <w:tcW w:w="983" w:type="dxa"/>
            <w:tcBorders>
              <w:top w:val="nil"/>
              <w:left w:val="nil"/>
              <w:bottom w:val="single" w:sz="4" w:space="0" w:color="auto"/>
              <w:right w:val="single" w:sz="4" w:space="0" w:color="auto"/>
            </w:tcBorders>
            <w:shd w:val="clear" w:color="auto" w:fill="auto"/>
            <w:noWrap/>
            <w:vAlign w:val="bottom"/>
            <w:hideMark/>
          </w:tcPr>
          <w:p w14:paraId="6F24AE14"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1.4%</w:t>
            </w:r>
          </w:p>
        </w:tc>
      </w:tr>
      <w:tr w:rsidR="00FC0444" w:rsidRPr="005A10EC" w14:paraId="791DA2AC" w14:textId="77777777" w:rsidTr="00563B0F">
        <w:trPr>
          <w:trHeight w:val="255"/>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78955F26"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20 to 199.99 kW</w:t>
            </w:r>
          </w:p>
        </w:tc>
        <w:tc>
          <w:tcPr>
            <w:tcW w:w="1170" w:type="dxa"/>
            <w:tcBorders>
              <w:top w:val="nil"/>
              <w:left w:val="nil"/>
              <w:bottom w:val="single" w:sz="4" w:space="0" w:color="auto"/>
              <w:right w:val="single" w:sz="4" w:space="0" w:color="auto"/>
            </w:tcBorders>
            <w:shd w:val="clear" w:color="auto" w:fill="auto"/>
            <w:noWrap/>
            <w:vAlign w:val="bottom"/>
            <w:hideMark/>
          </w:tcPr>
          <w:p w14:paraId="15703A41"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 xml:space="preserve">        756 </w:t>
            </w:r>
          </w:p>
        </w:tc>
        <w:tc>
          <w:tcPr>
            <w:tcW w:w="810" w:type="dxa"/>
            <w:tcBorders>
              <w:top w:val="nil"/>
              <w:left w:val="nil"/>
              <w:bottom w:val="single" w:sz="4" w:space="0" w:color="auto"/>
              <w:right w:val="single" w:sz="4" w:space="0" w:color="auto"/>
            </w:tcBorders>
            <w:shd w:val="clear" w:color="auto" w:fill="auto"/>
            <w:noWrap/>
            <w:vAlign w:val="bottom"/>
            <w:hideMark/>
          </w:tcPr>
          <w:p w14:paraId="0D77966D"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-0.6%</w:t>
            </w:r>
          </w:p>
        </w:tc>
        <w:tc>
          <w:tcPr>
            <w:tcW w:w="853" w:type="dxa"/>
            <w:tcBorders>
              <w:top w:val="nil"/>
              <w:left w:val="nil"/>
              <w:bottom w:val="single" w:sz="4" w:space="0" w:color="auto"/>
              <w:right w:val="single" w:sz="4" w:space="0" w:color="auto"/>
            </w:tcBorders>
            <w:shd w:val="clear" w:color="auto" w:fill="auto"/>
            <w:noWrap/>
            <w:vAlign w:val="bottom"/>
            <w:hideMark/>
          </w:tcPr>
          <w:p w14:paraId="3FD279A9"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1.3%</w:t>
            </w:r>
          </w:p>
        </w:tc>
        <w:tc>
          <w:tcPr>
            <w:tcW w:w="983" w:type="dxa"/>
            <w:tcBorders>
              <w:top w:val="nil"/>
              <w:left w:val="nil"/>
              <w:bottom w:val="single" w:sz="4" w:space="0" w:color="auto"/>
              <w:right w:val="single" w:sz="4" w:space="0" w:color="auto"/>
            </w:tcBorders>
            <w:shd w:val="clear" w:color="auto" w:fill="auto"/>
            <w:noWrap/>
            <w:vAlign w:val="bottom"/>
            <w:hideMark/>
          </w:tcPr>
          <w:p w14:paraId="08922CBA"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0.0%</w:t>
            </w:r>
          </w:p>
        </w:tc>
        <w:tc>
          <w:tcPr>
            <w:tcW w:w="983" w:type="dxa"/>
            <w:tcBorders>
              <w:top w:val="nil"/>
              <w:left w:val="nil"/>
              <w:bottom w:val="single" w:sz="4" w:space="0" w:color="auto"/>
              <w:right w:val="single" w:sz="4" w:space="0" w:color="auto"/>
            </w:tcBorders>
            <w:shd w:val="clear" w:color="auto" w:fill="auto"/>
            <w:noWrap/>
            <w:vAlign w:val="bottom"/>
            <w:hideMark/>
          </w:tcPr>
          <w:p w14:paraId="6ACA975C"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0.2%</w:t>
            </w:r>
          </w:p>
        </w:tc>
      </w:tr>
      <w:tr w:rsidR="00FC0444" w:rsidRPr="005A10EC" w14:paraId="3D5198D4" w14:textId="77777777" w:rsidTr="00563B0F">
        <w:trPr>
          <w:trHeight w:val="255"/>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00F6A33D"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200 kW and Above</w:t>
            </w:r>
          </w:p>
        </w:tc>
        <w:tc>
          <w:tcPr>
            <w:tcW w:w="1170" w:type="dxa"/>
            <w:tcBorders>
              <w:top w:val="nil"/>
              <w:left w:val="nil"/>
              <w:bottom w:val="single" w:sz="4" w:space="0" w:color="auto"/>
              <w:right w:val="single" w:sz="4" w:space="0" w:color="auto"/>
            </w:tcBorders>
            <w:shd w:val="clear" w:color="auto" w:fill="auto"/>
            <w:noWrap/>
            <w:vAlign w:val="bottom"/>
            <w:hideMark/>
          </w:tcPr>
          <w:p w14:paraId="10E10D4A"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 xml:space="preserve">     2,330 </w:t>
            </w:r>
          </w:p>
        </w:tc>
        <w:tc>
          <w:tcPr>
            <w:tcW w:w="810" w:type="dxa"/>
            <w:tcBorders>
              <w:top w:val="nil"/>
              <w:left w:val="nil"/>
              <w:bottom w:val="single" w:sz="4" w:space="0" w:color="auto"/>
              <w:right w:val="single" w:sz="4" w:space="0" w:color="auto"/>
            </w:tcBorders>
            <w:shd w:val="clear" w:color="auto" w:fill="auto"/>
            <w:noWrap/>
            <w:vAlign w:val="bottom"/>
            <w:hideMark/>
          </w:tcPr>
          <w:p w14:paraId="24C79738"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-0.8%</w:t>
            </w:r>
          </w:p>
        </w:tc>
        <w:tc>
          <w:tcPr>
            <w:tcW w:w="853" w:type="dxa"/>
            <w:tcBorders>
              <w:top w:val="nil"/>
              <w:left w:val="nil"/>
              <w:bottom w:val="single" w:sz="4" w:space="0" w:color="auto"/>
              <w:right w:val="single" w:sz="4" w:space="0" w:color="auto"/>
            </w:tcBorders>
            <w:shd w:val="clear" w:color="auto" w:fill="auto"/>
            <w:noWrap/>
            <w:vAlign w:val="bottom"/>
            <w:hideMark/>
          </w:tcPr>
          <w:p w14:paraId="1800FB54"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1.5%</w:t>
            </w:r>
          </w:p>
        </w:tc>
        <w:tc>
          <w:tcPr>
            <w:tcW w:w="983" w:type="dxa"/>
            <w:tcBorders>
              <w:top w:val="nil"/>
              <w:left w:val="nil"/>
              <w:bottom w:val="single" w:sz="4" w:space="0" w:color="auto"/>
              <w:right w:val="single" w:sz="4" w:space="0" w:color="auto"/>
            </w:tcBorders>
            <w:shd w:val="clear" w:color="auto" w:fill="auto"/>
            <w:noWrap/>
            <w:vAlign w:val="bottom"/>
            <w:hideMark/>
          </w:tcPr>
          <w:p w14:paraId="78B67547"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1.5%</w:t>
            </w:r>
          </w:p>
        </w:tc>
        <w:tc>
          <w:tcPr>
            <w:tcW w:w="983" w:type="dxa"/>
            <w:tcBorders>
              <w:top w:val="nil"/>
              <w:left w:val="nil"/>
              <w:bottom w:val="single" w:sz="4" w:space="0" w:color="auto"/>
              <w:right w:val="single" w:sz="4" w:space="0" w:color="auto"/>
            </w:tcBorders>
            <w:shd w:val="clear" w:color="auto" w:fill="auto"/>
            <w:noWrap/>
            <w:vAlign w:val="bottom"/>
            <w:hideMark/>
          </w:tcPr>
          <w:p w14:paraId="0ABE305A"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1.5%</w:t>
            </w:r>
          </w:p>
        </w:tc>
      </w:tr>
      <w:tr w:rsidR="00FC0444" w:rsidRPr="005A10EC" w14:paraId="7EB089EB" w14:textId="77777777" w:rsidTr="00563B0F">
        <w:trPr>
          <w:trHeight w:val="255"/>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7E60D654"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NEM</w:t>
            </w:r>
          </w:p>
        </w:tc>
        <w:tc>
          <w:tcPr>
            <w:tcW w:w="1170" w:type="dxa"/>
            <w:tcBorders>
              <w:top w:val="nil"/>
              <w:left w:val="nil"/>
              <w:bottom w:val="single" w:sz="4" w:space="0" w:color="auto"/>
              <w:right w:val="single" w:sz="4" w:space="0" w:color="auto"/>
            </w:tcBorders>
            <w:shd w:val="clear" w:color="auto" w:fill="auto"/>
            <w:noWrap/>
            <w:vAlign w:val="bottom"/>
            <w:hideMark/>
          </w:tcPr>
          <w:p w14:paraId="640B4222" w14:textId="77777777" w:rsidR="00FC0444" w:rsidRPr="005A10EC" w:rsidRDefault="00FC0444" w:rsidP="00C05373">
            <w:pPr>
              <w:rPr>
                <w:rFonts w:ascii="Arial" w:hAnsi="Arial" w:cs="Arial"/>
                <w:color w:val="000000"/>
                <w:sz w:val="20"/>
                <w:szCs w:val="20"/>
              </w:rPr>
            </w:pPr>
            <w:r w:rsidRPr="005A10EC">
              <w:rPr>
                <w:rFonts w:ascii="Arial" w:hAnsi="Arial" w:cs="Arial"/>
                <w:color w:val="000000"/>
                <w:sz w:val="20"/>
                <w:szCs w:val="20"/>
              </w:rPr>
              <w:t xml:space="preserve">        139 </w:t>
            </w:r>
          </w:p>
        </w:tc>
        <w:tc>
          <w:tcPr>
            <w:tcW w:w="810" w:type="dxa"/>
            <w:tcBorders>
              <w:top w:val="nil"/>
              <w:left w:val="nil"/>
              <w:bottom w:val="single" w:sz="4" w:space="0" w:color="auto"/>
              <w:right w:val="single" w:sz="4" w:space="0" w:color="auto"/>
            </w:tcBorders>
            <w:shd w:val="clear" w:color="auto" w:fill="auto"/>
            <w:noWrap/>
            <w:vAlign w:val="bottom"/>
            <w:hideMark/>
          </w:tcPr>
          <w:p w14:paraId="1EF508AA"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-7.6%</w:t>
            </w:r>
          </w:p>
        </w:tc>
        <w:tc>
          <w:tcPr>
            <w:tcW w:w="853" w:type="dxa"/>
            <w:tcBorders>
              <w:top w:val="nil"/>
              <w:left w:val="nil"/>
              <w:bottom w:val="single" w:sz="4" w:space="0" w:color="auto"/>
              <w:right w:val="single" w:sz="4" w:space="0" w:color="auto"/>
            </w:tcBorders>
            <w:shd w:val="clear" w:color="auto" w:fill="auto"/>
            <w:noWrap/>
            <w:vAlign w:val="bottom"/>
            <w:hideMark/>
          </w:tcPr>
          <w:p w14:paraId="395A3454"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8.0%</w:t>
            </w:r>
          </w:p>
        </w:tc>
        <w:tc>
          <w:tcPr>
            <w:tcW w:w="983" w:type="dxa"/>
            <w:tcBorders>
              <w:top w:val="nil"/>
              <w:left w:val="nil"/>
              <w:bottom w:val="single" w:sz="4" w:space="0" w:color="auto"/>
              <w:right w:val="single" w:sz="4" w:space="0" w:color="auto"/>
            </w:tcBorders>
            <w:shd w:val="clear" w:color="auto" w:fill="auto"/>
            <w:noWrap/>
            <w:vAlign w:val="bottom"/>
            <w:hideMark/>
          </w:tcPr>
          <w:p w14:paraId="54965ACC"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-4.9%</w:t>
            </w:r>
          </w:p>
        </w:tc>
        <w:tc>
          <w:tcPr>
            <w:tcW w:w="983" w:type="dxa"/>
            <w:tcBorders>
              <w:top w:val="nil"/>
              <w:left w:val="nil"/>
              <w:bottom w:val="single" w:sz="4" w:space="0" w:color="auto"/>
              <w:right w:val="single" w:sz="4" w:space="0" w:color="auto"/>
            </w:tcBorders>
            <w:shd w:val="clear" w:color="auto" w:fill="auto"/>
            <w:noWrap/>
            <w:vAlign w:val="bottom"/>
            <w:hideMark/>
          </w:tcPr>
          <w:p w14:paraId="27262D9C" w14:textId="77777777" w:rsidR="00FC0444" w:rsidRPr="005A10EC" w:rsidRDefault="00FC0444" w:rsidP="00C05373">
            <w:pPr>
              <w:jc w:val="right"/>
              <w:rPr>
                <w:rFonts w:ascii="Arial" w:hAnsi="Arial" w:cs="Arial"/>
                <w:color w:val="000000"/>
                <w:sz w:val="20"/>
                <w:szCs w:val="20"/>
              </w:rPr>
            </w:pPr>
            <w:r w:rsidRPr="005A10EC">
              <w:rPr>
                <w:rFonts w:ascii="Arial" w:hAnsi="Arial" w:cs="Arial"/>
                <w:color w:val="000000"/>
                <w:sz w:val="20"/>
                <w:szCs w:val="20"/>
              </w:rPr>
              <w:t>6.9%</w:t>
            </w:r>
          </w:p>
        </w:tc>
      </w:tr>
    </w:tbl>
    <w:p w14:paraId="3D95A679" w14:textId="77777777" w:rsidR="00515103" w:rsidRDefault="00515103" w:rsidP="00515103">
      <w:pPr>
        <w:spacing w:after="120"/>
      </w:pPr>
    </w:p>
    <w:p w14:paraId="7E6E8229" w14:textId="0EE96E79" w:rsidR="00515103" w:rsidRDefault="00515103" w:rsidP="00515103">
      <w:pPr>
        <w:spacing w:after="120"/>
      </w:pPr>
      <w:r>
        <w:t>Figure</w:t>
      </w:r>
      <w:r w:rsidR="00A5498F">
        <w:t>s</w:t>
      </w:r>
      <w:r>
        <w:t xml:space="preserve"> A.4 </w:t>
      </w:r>
      <w:r w:rsidR="00A5498F">
        <w:t xml:space="preserve">through </w:t>
      </w:r>
      <w:r>
        <w:t>A.7 illustrate the matched load profiles for selected event-like days. Each figure contains the average hourly profiles for the treatment and matched control-group customers by day type (</w:t>
      </w:r>
      <w:r>
        <w:rPr>
          <w:i/>
        </w:rPr>
        <w:t xml:space="preserve">i.e., </w:t>
      </w:r>
      <w:r>
        <w:t>hot days and all other days). The solid lines represent the average usage of treatment customers on hot days (red) and all other days (blue). Similarly, the dashed lines represent the average usage of the matched control customers on hot days (yellow) and all other days (gray). The shaded region illustrates the SCE CPP event hours.</w:t>
      </w:r>
    </w:p>
    <w:p w14:paraId="38E15B8E" w14:textId="77777777" w:rsidR="00FC0444" w:rsidRDefault="00FC0444" w:rsidP="00FC0444">
      <w:pPr>
        <w:spacing w:after="120"/>
      </w:pPr>
    </w:p>
    <w:p w14:paraId="3DA4CFD2" w14:textId="0565B865" w:rsidR="00AD7F15" w:rsidRDefault="00AA2FC8" w:rsidP="00AD7F15">
      <w:pPr>
        <w:pStyle w:val="FigureCaption"/>
      </w:pPr>
      <w:bookmarkStart w:id="555" w:name="_Toc509837523"/>
      <w:r>
        <w:t xml:space="preserve">Figure A.4: </w:t>
      </w:r>
      <w:r w:rsidR="00AD7F15">
        <w:t xml:space="preserve">Treatment and Control Non-Event Day Load Profiles, </w:t>
      </w:r>
      <w:r w:rsidR="00AD7F15">
        <w:rPr>
          <w:i/>
        </w:rPr>
        <w:t>SCE Small</w:t>
      </w:r>
      <w:bookmarkEnd w:id="555"/>
    </w:p>
    <w:p w14:paraId="0EE409E5" w14:textId="12CCF7EF" w:rsidR="0089558A" w:rsidRDefault="00C24A67" w:rsidP="009D14A9">
      <w:pPr>
        <w:spacing w:after="120"/>
        <w:jc w:val="center"/>
      </w:pPr>
      <w:r>
        <w:rPr>
          <w:noProof/>
        </w:rPr>
        <w:drawing>
          <wp:inline distT="0" distB="0" distL="0" distR="0" wp14:anchorId="20721F9E" wp14:editId="7B2E82D4">
            <wp:extent cx="5029835" cy="32067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029835" cy="3206750"/>
                    </a:xfrm>
                    <a:prstGeom prst="rect">
                      <a:avLst/>
                    </a:prstGeom>
                    <a:noFill/>
                  </pic:spPr>
                </pic:pic>
              </a:graphicData>
            </a:graphic>
          </wp:inline>
        </w:drawing>
      </w:r>
    </w:p>
    <w:p w14:paraId="5A1F8EC9" w14:textId="77777777" w:rsidR="0089558A" w:rsidRDefault="0089558A" w:rsidP="009D14A9">
      <w:pPr>
        <w:spacing w:after="120"/>
        <w:jc w:val="center"/>
      </w:pPr>
    </w:p>
    <w:p w14:paraId="721B0303" w14:textId="1421DDC0" w:rsidR="00625F00" w:rsidRDefault="00625F00" w:rsidP="00E84DD2">
      <w:pPr>
        <w:spacing w:after="120"/>
      </w:pPr>
    </w:p>
    <w:p w14:paraId="67677FB6" w14:textId="34F14606" w:rsidR="009D14A9" w:rsidRDefault="009D14A9" w:rsidP="00E84DD2">
      <w:pPr>
        <w:spacing w:after="120"/>
      </w:pPr>
    </w:p>
    <w:p w14:paraId="5DFE69DD" w14:textId="49F74C93" w:rsidR="00AD7F15" w:rsidRDefault="00AD7F15" w:rsidP="00E84DD2">
      <w:pPr>
        <w:spacing w:after="120"/>
      </w:pPr>
    </w:p>
    <w:p w14:paraId="1F2B3DF8" w14:textId="2F750C4D" w:rsidR="00AD7F15" w:rsidRDefault="00AD7F15" w:rsidP="00E84DD2">
      <w:pPr>
        <w:spacing w:after="120"/>
      </w:pPr>
    </w:p>
    <w:p w14:paraId="05927916" w14:textId="1B334428" w:rsidR="00AD7F15" w:rsidRDefault="00AD7F15" w:rsidP="00E84DD2">
      <w:pPr>
        <w:spacing w:after="120"/>
      </w:pPr>
    </w:p>
    <w:p w14:paraId="71F52987" w14:textId="4AD16333" w:rsidR="00AD7F15" w:rsidRDefault="00AD7F15" w:rsidP="00E84DD2">
      <w:pPr>
        <w:spacing w:after="120"/>
      </w:pPr>
    </w:p>
    <w:p w14:paraId="1C0B21BE" w14:textId="4CEF4D2B" w:rsidR="00AD7F15" w:rsidRDefault="00AA2FC8" w:rsidP="00AD7F15">
      <w:pPr>
        <w:pStyle w:val="FigureCaption"/>
      </w:pPr>
      <w:bookmarkStart w:id="556" w:name="_Toc509837524"/>
      <w:r>
        <w:lastRenderedPageBreak/>
        <w:t>Figure A.5:</w:t>
      </w:r>
      <w:r w:rsidR="00AD7F15">
        <w:t xml:space="preserve"> Treatment and Control Non-Event Day Load Profiles, </w:t>
      </w:r>
      <w:r w:rsidR="00AD7F15">
        <w:rPr>
          <w:i/>
        </w:rPr>
        <w:t>SCE Medium</w:t>
      </w:r>
      <w:bookmarkEnd w:id="556"/>
    </w:p>
    <w:p w14:paraId="5DD7669B" w14:textId="35AA3870" w:rsidR="00AD7F15" w:rsidRDefault="00C24A67" w:rsidP="00563B0F">
      <w:pPr>
        <w:spacing w:after="120"/>
        <w:jc w:val="center"/>
      </w:pPr>
      <w:r>
        <w:rPr>
          <w:noProof/>
        </w:rPr>
        <w:drawing>
          <wp:inline distT="0" distB="0" distL="0" distR="0" wp14:anchorId="5AB28FFE" wp14:editId="658CF3F3">
            <wp:extent cx="5029835" cy="3200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5EEA76F8" w14:textId="5889FCAB" w:rsidR="00AD7F15" w:rsidRDefault="00AD7F15" w:rsidP="00E84DD2">
      <w:pPr>
        <w:spacing w:after="120"/>
      </w:pPr>
    </w:p>
    <w:p w14:paraId="737DBA50" w14:textId="2B675858" w:rsidR="00AD7F15" w:rsidRDefault="00AA2FC8" w:rsidP="00AD7F15">
      <w:pPr>
        <w:pStyle w:val="FigureCaption"/>
      </w:pPr>
      <w:bookmarkStart w:id="557" w:name="_Toc509837525"/>
      <w:r>
        <w:t>Figure A.6:</w:t>
      </w:r>
      <w:r w:rsidR="00AD7F15">
        <w:t xml:space="preserve"> Treatment and Control Non-Event Day Load Profiles, </w:t>
      </w:r>
      <w:r w:rsidR="00AD7F15">
        <w:rPr>
          <w:i/>
        </w:rPr>
        <w:t>SCE Large</w:t>
      </w:r>
      <w:bookmarkEnd w:id="557"/>
    </w:p>
    <w:p w14:paraId="40AEFEB1" w14:textId="60AF6286" w:rsidR="00AD7F15" w:rsidRDefault="00C24A67" w:rsidP="00563B0F">
      <w:pPr>
        <w:spacing w:after="120"/>
        <w:jc w:val="center"/>
      </w:pPr>
      <w:r>
        <w:rPr>
          <w:noProof/>
        </w:rPr>
        <w:drawing>
          <wp:inline distT="0" distB="0" distL="0" distR="0" wp14:anchorId="6F382A7F" wp14:editId="67C4E378">
            <wp:extent cx="5029835" cy="32004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6D97BD37" w14:textId="7017E9FC" w:rsidR="00C24A67" w:rsidRDefault="00C24A67" w:rsidP="00E84DD2">
      <w:pPr>
        <w:spacing w:after="120"/>
      </w:pPr>
    </w:p>
    <w:p w14:paraId="30DCDCEC" w14:textId="71C220C7" w:rsidR="00AD7F15" w:rsidRDefault="00AD7F15" w:rsidP="00E84DD2">
      <w:pPr>
        <w:spacing w:after="120"/>
      </w:pPr>
    </w:p>
    <w:p w14:paraId="30949FA2" w14:textId="48FE0E79" w:rsidR="00E841FA" w:rsidRPr="00E841FA" w:rsidRDefault="00AA2FC8" w:rsidP="00E841FA">
      <w:pPr>
        <w:pStyle w:val="FigureCaption"/>
        <w:rPr>
          <w:i/>
        </w:rPr>
      </w:pPr>
      <w:bookmarkStart w:id="558" w:name="_Toc509837526"/>
      <w:r>
        <w:lastRenderedPageBreak/>
        <w:t>Figure A.7:</w:t>
      </w:r>
      <w:r w:rsidR="00AD7F15">
        <w:t xml:space="preserve"> Treatment and Control Non-Event Day Load Profiles, </w:t>
      </w:r>
      <w:r w:rsidR="00AD7F15">
        <w:rPr>
          <w:i/>
        </w:rPr>
        <w:t>SCE NEM</w:t>
      </w:r>
      <w:bookmarkEnd w:id="558"/>
    </w:p>
    <w:p w14:paraId="14E31712" w14:textId="6ACFB633" w:rsidR="00AD7F15" w:rsidRDefault="00217FB8" w:rsidP="00563B0F">
      <w:pPr>
        <w:jc w:val="center"/>
      </w:pPr>
      <w:r>
        <w:rPr>
          <w:noProof/>
        </w:rPr>
        <w:drawing>
          <wp:inline distT="0" distB="0" distL="0" distR="0" wp14:anchorId="223AEFF1" wp14:editId="6C94AEF8">
            <wp:extent cx="5029835"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19C0593B" w14:textId="77777777" w:rsidR="00393776" w:rsidRDefault="00393776" w:rsidP="00E841FA"/>
    <w:p w14:paraId="4E3A4D31" w14:textId="2592A72D" w:rsidR="00393776" w:rsidRDefault="00393776" w:rsidP="00563B0F">
      <w:pPr>
        <w:pStyle w:val="Heading3"/>
        <w:numPr>
          <w:ilvl w:val="0"/>
          <w:numId w:val="0"/>
        </w:numPr>
      </w:pPr>
      <w:bookmarkStart w:id="559" w:name="_Toc509837353"/>
      <w:r>
        <w:t>SDG&amp;E</w:t>
      </w:r>
      <w:bookmarkEnd w:id="559"/>
    </w:p>
    <w:p w14:paraId="0624273E" w14:textId="307A179C" w:rsidR="00F45CAF" w:rsidRPr="003B278F" w:rsidRDefault="00F45CAF">
      <w:r>
        <w:t>Table A.</w:t>
      </w:r>
      <w:r w:rsidR="00A5498F">
        <w:t>3</w:t>
      </w:r>
      <w:r>
        <w:t xml:space="preserve"> provides, by size group for SDG&amp;E, the mean percentage error (MPE) and mean absolute percentage error (MAPE) calculated across the average 24-hour load profile as well over the event-hour window.</w:t>
      </w:r>
    </w:p>
    <w:p w14:paraId="572E34DA" w14:textId="6EC9061C" w:rsidR="00DB50C7" w:rsidRDefault="00DB50C7"/>
    <w:p w14:paraId="30FC63F9" w14:textId="5960BA97" w:rsidR="00C24A67" w:rsidRPr="00217FB8" w:rsidRDefault="00C24A67" w:rsidP="00563B0F">
      <w:pPr>
        <w:pStyle w:val="TableCaption"/>
      </w:pPr>
      <w:bookmarkStart w:id="560" w:name="_Toc509837433"/>
      <w:r>
        <w:t>Table A.</w:t>
      </w:r>
      <w:r w:rsidR="00EF074B">
        <w:t>3</w:t>
      </w:r>
      <w:r>
        <w:t xml:space="preserve"> </w:t>
      </w:r>
      <w:r w:rsidR="00EF074B">
        <w:t xml:space="preserve">Match Quality Statistics, </w:t>
      </w:r>
      <w:r w:rsidR="00EF074B" w:rsidRPr="00563B0F">
        <w:rPr>
          <w:i/>
        </w:rPr>
        <w:t>SD</w:t>
      </w:r>
      <w:r w:rsidR="00EF074B">
        <w:rPr>
          <w:i/>
        </w:rPr>
        <w:t>G&amp;E</w:t>
      </w:r>
      <w:bookmarkEnd w:id="560"/>
    </w:p>
    <w:tbl>
      <w:tblPr>
        <w:tblW w:w="6774" w:type="dxa"/>
        <w:jc w:val="center"/>
        <w:tblLayout w:type="fixed"/>
        <w:tblLook w:val="04A0" w:firstRow="1" w:lastRow="0" w:firstColumn="1" w:lastColumn="0" w:noHBand="0" w:noVBand="1"/>
      </w:tblPr>
      <w:tblGrid>
        <w:gridCol w:w="1975"/>
        <w:gridCol w:w="1170"/>
        <w:gridCol w:w="810"/>
        <w:gridCol w:w="853"/>
        <w:gridCol w:w="983"/>
        <w:gridCol w:w="983"/>
      </w:tblGrid>
      <w:tr w:rsidR="00DB50C7" w:rsidRPr="005A10EC" w14:paraId="0F26710D" w14:textId="77777777" w:rsidTr="00153348">
        <w:trPr>
          <w:trHeight w:val="765"/>
          <w:jc w:val="center"/>
        </w:trPr>
        <w:tc>
          <w:tcPr>
            <w:tcW w:w="1975" w:type="dxa"/>
            <w:tcBorders>
              <w:top w:val="single" w:sz="4" w:space="0" w:color="auto"/>
              <w:left w:val="single" w:sz="4" w:space="0" w:color="auto"/>
              <w:bottom w:val="single" w:sz="4" w:space="0" w:color="auto"/>
              <w:right w:val="single" w:sz="4" w:space="0" w:color="FFFFFF" w:themeColor="background1"/>
            </w:tcBorders>
            <w:shd w:val="clear" w:color="000000" w:fill="0C2577"/>
            <w:noWrap/>
            <w:vAlign w:val="center"/>
            <w:hideMark/>
          </w:tcPr>
          <w:p w14:paraId="001F8366" w14:textId="77777777" w:rsidR="00DB50C7" w:rsidRPr="005A10EC" w:rsidRDefault="00DB50C7" w:rsidP="00153348">
            <w:pPr>
              <w:jc w:val="center"/>
              <w:rPr>
                <w:rFonts w:ascii="Arial" w:hAnsi="Arial" w:cs="Arial"/>
                <w:b/>
                <w:bCs/>
                <w:color w:val="FFFFFF"/>
                <w:sz w:val="20"/>
                <w:szCs w:val="20"/>
              </w:rPr>
            </w:pPr>
            <w:r w:rsidRPr="005A10EC">
              <w:rPr>
                <w:rFonts w:ascii="Arial" w:hAnsi="Arial" w:cs="Arial"/>
                <w:b/>
                <w:bCs/>
                <w:color w:val="FFFFFF"/>
                <w:sz w:val="20"/>
                <w:szCs w:val="20"/>
              </w:rPr>
              <w:t>Size</w:t>
            </w:r>
          </w:p>
        </w:tc>
        <w:tc>
          <w:tcPr>
            <w:tcW w:w="117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54008DC3" w14:textId="77777777" w:rsidR="00DB50C7" w:rsidRPr="005A10EC" w:rsidRDefault="00DB50C7" w:rsidP="00153348">
            <w:pPr>
              <w:jc w:val="center"/>
              <w:rPr>
                <w:rFonts w:ascii="Arial" w:hAnsi="Arial" w:cs="Arial"/>
                <w:b/>
                <w:bCs/>
                <w:color w:val="FFFFFF"/>
                <w:sz w:val="20"/>
                <w:szCs w:val="20"/>
              </w:rPr>
            </w:pPr>
            <w:r w:rsidRPr="005A10EC">
              <w:rPr>
                <w:rFonts w:ascii="Arial" w:hAnsi="Arial" w:cs="Arial"/>
                <w:b/>
                <w:bCs/>
                <w:color w:val="FFFFFF"/>
                <w:sz w:val="20"/>
                <w:szCs w:val="20"/>
              </w:rPr>
              <w:t># of Service Accounts</w:t>
            </w:r>
          </w:p>
        </w:tc>
        <w:tc>
          <w:tcPr>
            <w:tcW w:w="81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344B440A" w14:textId="77777777" w:rsidR="00DB50C7" w:rsidRPr="005A10EC" w:rsidRDefault="00DB50C7" w:rsidP="00153348">
            <w:pPr>
              <w:jc w:val="center"/>
              <w:rPr>
                <w:rFonts w:ascii="Arial" w:hAnsi="Arial" w:cs="Arial"/>
                <w:b/>
                <w:bCs/>
                <w:color w:val="FFFFFF"/>
                <w:sz w:val="20"/>
                <w:szCs w:val="20"/>
              </w:rPr>
            </w:pPr>
            <w:r w:rsidRPr="005A10EC">
              <w:rPr>
                <w:rFonts w:ascii="Arial" w:hAnsi="Arial" w:cs="Arial"/>
                <w:b/>
                <w:bCs/>
                <w:color w:val="FFFFFF"/>
                <w:sz w:val="20"/>
                <w:szCs w:val="20"/>
              </w:rPr>
              <w:t>MPE</w:t>
            </w:r>
          </w:p>
        </w:tc>
        <w:tc>
          <w:tcPr>
            <w:tcW w:w="853"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467DFF76" w14:textId="77777777" w:rsidR="00DB50C7" w:rsidRPr="005A10EC" w:rsidRDefault="00DB50C7" w:rsidP="00153348">
            <w:pPr>
              <w:jc w:val="center"/>
              <w:rPr>
                <w:rFonts w:ascii="Arial" w:hAnsi="Arial" w:cs="Arial"/>
                <w:b/>
                <w:bCs/>
                <w:color w:val="FFFFFF"/>
                <w:sz w:val="20"/>
                <w:szCs w:val="20"/>
              </w:rPr>
            </w:pPr>
            <w:r w:rsidRPr="005A10EC">
              <w:rPr>
                <w:rFonts w:ascii="Arial" w:hAnsi="Arial" w:cs="Arial"/>
                <w:b/>
                <w:bCs/>
                <w:color w:val="FFFFFF"/>
                <w:sz w:val="20"/>
                <w:szCs w:val="20"/>
              </w:rPr>
              <w:t>MAPE</w:t>
            </w:r>
          </w:p>
        </w:tc>
        <w:tc>
          <w:tcPr>
            <w:tcW w:w="983"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0C2577"/>
            <w:vAlign w:val="center"/>
            <w:hideMark/>
          </w:tcPr>
          <w:p w14:paraId="6ABE24CF" w14:textId="77777777" w:rsidR="00DB50C7" w:rsidRPr="005A10EC" w:rsidRDefault="00DB50C7" w:rsidP="00153348">
            <w:pPr>
              <w:jc w:val="center"/>
              <w:rPr>
                <w:rFonts w:ascii="Arial" w:hAnsi="Arial" w:cs="Arial"/>
                <w:b/>
                <w:bCs/>
                <w:color w:val="FFFFFF"/>
                <w:sz w:val="20"/>
                <w:szCs w:val="20"/>
              </w:rPr>
            </w:pPr>
            <w:r w:rsidRPr="005A10EC">
              <w:rPr>
                <w:rFonts w:ascii="Arial" w:hAnsi="Arial" w:cs="Arial"/>
                <w:b/>
                <w:bCs/>
                <w:color w:val="FFFFFF"/>
                <w:sz w:val="20"/>
                <w:szCs w:val="20"/>
              </w:rPr>
              <w:t>MPE Event Window</w:t>
            </w:r>
          </w:p>
        </w:tc>
        <w:tc>
          <w:tcPr>
            <w:tcW w:w="983" w:type="dxa"/>
            <w:tcBorders>
              <w:top w:val="single" w:sz="4" w:space="0" w:color="auto"/>
              <w:left w:val="single" w:sz="4" w:space="0" w:color="FFFFFF" w:themeColor="background1"/>
              <w:bottom w:val="single" w:sz="4" w:space="0" w:color="auto"/>
              <w:right w:val="single" w:sz="4" w:space="0" w:color="auto"/>
            </w:tcBorders>
            <w:shd w:val="clear" w:color="000000" w:fill="0C2577"/>
            <w:vAlign w:val="center"/>
            <w:hideMark/>
          </w:tcPr>
          <w:p w14:paraId="1B971C54" w14:textId="77777777" w:rsidR="00DB50C7" w:rsidRPr="005A10EC" w:rsidRDefault="00DB50C7" w:rsidP="00153348">
            <w:pPr>
              <w:jc w:val="center"/>
              <w:rPr>
                <w:rFonts w:ascii="Arial" w:hAnsi="Arial" w:cs="Arial"/>
                <w:b/>
                <w:bCs/>
                <w:color w:val="FFFFFF"/>
                <w:sz w:val="20"/>
                <w:szCs w:val="20"/>
              </w:rPr>
            </w:pPr>
            <w:r w:rsidRPr="005A10EC">
              <w:rPr>
                <w:rFonts w:ascii="Arial" w:hAnsi="Arial" w:cs="Arial"/>
                <w:b/>
                <w:bCs/>
                <w:color w:val="FFFFFF"/>
                <w:sz w:val="20"/>
                <w:szCs w:val="20"/>
              </w:rPr>
              <w:t>MAPE Event Window</w:t>
            </w:r>
          </w:p>
        </w:tc>
      </w:tr>
      <w:tr w:rsidR="00217FB8" w:rsidRPr="005A10EC" w14:paraId="5A1EDA69" w14:textId="77777777" w:rsidTr="00153348">
        <w:trPr>
          <w:trHeight w:val="255"/>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6B705AB6" w14:textId="77777777" w:rsidR="00217FB8" w:rsidRPr="005A10EC" w:rsidRDefault="00217FB8" w:rsidP="00217FB8">
            <w:pPr>
              <w:rPr>
                <w:rFonts w:ascii="Arial" w:hAnsi="Arial" w:cs="Arial"/>
                <w:color w:val="000000"/>
                <w:sz w:val="20"/>
                <w:szCs w:val="20"/>
              </w:rPr>
            </w:pPr>
            <w:r w:rsidRPr="005A10EC">
              <w:rPr>
                <w:rFonts w:ascii="Arial" w:hAnsi="Arial" w:cs="Arial"/>
                <w:color w:val="000000"/>
                <w:sz w:val="20"/>
                <w:szCs w:val="20"/>
              </w:rPr>
              <w:t>20 to 199.99 kW</w:t>
            </w:r>
          </w:p>
        </w:tc>
        <w:tc>
          <w:tcPr>
            <w:tcW w:w="1170" w:type="dxa"/>
            <w:tcBorders>
              <w:top w:val="nil"/>
              <w:left w:val="nil"/>
              <w:bottom w:val="single" w:sz="4" w:space="0" w:color="auto"/>
              <w:right w:val="single" w:sz="4" w:space="0" w:color="auto"/>
            </w:tcBorders>
            <w:shd w:val="clear" w:color="auto" w:fill="auto"/>
            <w:noWrap/>
            <w:vAlign w:val="bottom"/>
            <w:hideMark/>
          </w:tcPr>
          <w:p w14:paraId="5054E1B1" w14:textId="08E0BF57" w:rsidR="00217FB8" w:rsidRPr="005A10EC" w:rsidRDefault="00217FB8" w:rsidP="00563B0F">
            <w:pPr>
              <w:jc w:val="center"/>
              <w:rPr>
                <w:rFonts w:ascii="Arial" w:hAnsi="Arial" w:cs="Arial"/>
                <w:color w:val="000000"/>
                <w:sz w:val="20"/>
                <w:szCs w:val="20"/>
              </w:rPr>
            </w:pPr>
            <w:r>
              <w:rPr>
                <w:rFonts w:cs="Calibri"/>
                <w:color w:val="000000"/>
                <w:sz w:val="22"/>
                <w:szCs w:val="22"/>
              </w:rPr>
              <w:t>11,809</w:t>
            </w:r>
          </w:p>
        </w:tc>
        <w:tc>
          <w:tcPr>
            <w:tcW w:w="810" w:type="dxa"/>
            <w:tcBorders>
              <w:top w:val="nil"/>
              <w:left w:val="nil"/>
              <w:bottom w:val="single" w:sz="4" w:space="0" w:color="auto"/>
              <w:right w:val="single" w:sz="4" w:space="0" w:color="auto"/>
            </w:tcBorders>
            <w:shd w:val="clear" w:color="auto" w:fill="auto"/>
            <w:noWrap/>
            <w:vAlign w:val="bottom"/>
            <w:hideMark/>
          </w:tcPr>
          <w:p w14:paraId="63631A97" w14:textId="2C91900F" w:rsidR="00217FB8" w:rsidRPr="005A10EC" w:rsidRDefault="00217FB8" w:rsidP="00563B0F">
            <w:pPr>
              <w:jc w:val="center"/>
              <w:rPr>
                <w:rFonts w:ascii="Arial" w:hAnsi="Arial" w:cs="Arial"/>
                <w:color w:val="000000"/>
                <w:sz w:val="20"/>
                <w:szCs w:val="20"/>
              </w:rPr>
            </w:pPr>
            <w:r>
              <w:rPr>
                <w:rFonts w:cs="Calibri"/>
                <w:color w:val="000000"/>
                <w:sz w:val="22"/>
                <w:szCs w:val="22"/>
              </w:rPr>
              <w:t>0.4%</w:t>
            </w:r>
          </w:p>
        </w:tc>
        <w:tc>
          <w:tcPr>
            <w:tcW w:w="853" w:type="dxa"/>
            <w:tcBorders>
              <w:top w:val="nil"/>
              <w:left w:val="nil"/>
              <w:bottom w:val="single" w:sz="4" w:space="0" w:color="auto"/>
              <w:right w:val="single" w:sz="4" w:space="0" w:color="auto"/>
            </w:tcBorders>
            <w:shd w:val="clear" w:color="auto" w:fill="auto"/>
            <w:noWrap/>
            <w:vAlign w:val="bottom"/>
            <w:hideMark/>
          </w:tcPr>
          <w:p w14:paraId="6C000425" w14:textId="12BBCF5E" w:rsidR="00217FB8" w:rsidRPr="005A10EC" w:rsidRDefault="00217FB8" w:rsidP="00563B0F">
            <w:pPr>
              <w:jc w:val="center"/>
              <w:rPr>
                <w:rFonts w:ascii="Arial" w:hAnsi="Arial" w:cs="Arial"/>
                <w:color w:val="000000"/>
                <w:sz w:val="20"/>
                <w:szCs w:val="20"/>
              </w:rPr>
            </w:pPr>
            <w:r>
              <w:rPr>
                <w:rFonts w:cs="Calibri"/>
                <w:color w:val="000000"/>
                <w:sz w:val="22"/>
                <w:szCs w:val="22"/>
              </w:rPr>
              <w:t>1.4%</w:t>
            </w:r>
          </w:p>
        </w:tc>
        <w:tc>
          <w:tcPr>
            <w:tcW w:w="983" w:type="dxa"/>
            <w:tcBorders>
              <w:top w:val="nil"/>
              <w:left w:val="nil"/>
              <w:bottom w:val="single" w:sz="4" w:space="0" w:color="auto"/>
              <w:right w:val="single" w:sz="4" w:space="0" w:color="auto"/>
            </w:tcBorders>
            <w:shd w:val="clear" w:color="auto" w:fill="auto"/>
            <w:noWrap/>
            <w:vAlign w:val="bottom"/>
            <w:hideMark/>
          </w:tcPr>
          <w:p w14:paraId="57ABF1DB" w14:textId="3ED2B735" w:rsidR="00217FB8" w:rsidRPr="005A10EC" w:rsidRDefault="00217FB8" w:rsidP="00563B0F">
            <w:pPr>
              <w:jc w:val="center"/>
              <w:rPr>
                <w:rFonts w:ascii="Arial" w:hAnsi="Arial" w:cs="Arial"/>
                <w:color w:val="000000"/>
                <w:sz w:val="20"/>
                <w:szCs w:val="20"/>
              </w:rPr>
            </w:pPr>
            <w:r>
              <w:rPr>
                <w:rFonts w:cs="Calibri"/>
                <w:color w:val="000000"/>
                <w:sz w:val="22"/>
                <w:szCs w:val="22"/>
              </w:rPr>
              <w:t>1.0%</w:t>
            </w:r>
          </w:p>
        </w:tc>
        <w:tc>
          <w:tcPr>
            <w:tcW w:w="983" w:type="dxa"/>
            <w:tcBorders>
              <w:top w:val="nil"/>
              <w:left w:val="nil"/>
              <w:bottom w:val="single" w:sz="4" w:space="0" w:color="auto"/>
              <w:right w:val="single" w:sz="4" w:space="0" w:color="auto"/>
            </w:tcBorders>
            <w:shd w:val="clear" w:color="auto" w:fill="auto"/>
            <w:noWrap/>
            <w:vAlign w:val="bottom"/>
            <w:hideMark/>
          </w:tcPr>
          <w:p w14:paraId="7A6A467B" w14:textId="74D41DD2" w:rsidR="00217FB8" w:rsidRPr="005A10EC" w:rsidRDefault="00217FB8" w:rsidP="00563B0F">
            <w:pPr>
              <w:jc w:val="center"/>
              <w:rPr>
                <w:rFonts w:ascii="Arial" w:hAnsi="Arial" w:cs="Arial"/>
                <w:color w:val="000000"/>
                <w:sz w:val="20"/>
                <w:szCs w:val="20"/>
              </w:rPr>
            </w:pPr>
            <w:r>
              <w:rPr>
                <w:rFonts w:cs="Calibri"/>
                <w:color w:val="000000"/>
                <w:sz w:val="22"/>
                <w:szCs w:val="22"/>
              </w:rPr>
              <w:t>1.0%</w:t>
            </w:r>
          </w:p>
        </w:tc>
      </w:tr>
      <w:tr w:rsidR="00217FB8" w:rsidRPr="005A10EC" w14:paraId="67883D9C" w14:textId="77777777" w:rsidTr="00153348">
        <w:trPr>
          <w:trHeight w:val="255"/>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6CADE68D" w14:textId="77777777" w:rsidR="00217FB8" w:rsidRPr="005A10EC" w:rsidRDefault="00217FB8" w:rsidP="00217FB8">
            <w:pPr>
              <w:rPr>
                <w:rFonts w:ascii="Arial" w:hAnsi="Arial" w:cs="Arial"/>
                <w:color w:val="000000"/>
                <w:sz w:val="20"/>
                <w:szCs w:val="20"/>
              </w:rPr>
            </w:pPr>
            <w:r w:rsidRPr="005A10EC">
              <w:rPr>
                <w:rFonts w:ascii="Arial" w:hAnsi="Arial" w:cs="Arial"/>
                <w:color w:val="000000"/>
                <w:sz w:val="20"/>
                <w:szCs w:val="20"/>
              </w:rPr>
              <w:t>200 kW and Above</w:t>
            </w:r>
          </w:p>
        </w:tc>
        <w:tc>
          <w:tcPr>
            <w:tcW w:w="1170" w:type="dxa"/>
            <w:tcBorders>
              <w:top w:val="nil"/>
              <w:left w:val="nil"/>
              <w:bottom w:val="single" w:sz="4" w:space="0" w:color="auto"/>
              <w:right w:val="single" w:sz="4" w:space="0" w:color="auto"/>
            </w:tcBorders>
            <w:shd w:val="clear" w:color="auto" w:fill="auto"/>
            <w:noWrap/>
            <w:vAlign w:val="bottom"/>
            <w:hideMark/>
          </w:tcPr>
          <w:p w14:paraId="6672AB74" w14:textId="082B31A2" w:rsidR="00217FB8" w:rsidRPr="005A10EC" w:rsidRDefault="00217FB8" w:rsidP="00563B0F">
            <w:pPr>
              <w:jc w:val="center"/>
              <w:rPr>
                <w:rFonts w:ascii="Arial" w:hAnsi="Arial" w:cs="Arial"/>
                <w:color w:val="000000"/>
                <w:sz w:val="20"/>
                <w:szCs w:val="20"/>
              </w:rPr>
            </w:pPr>
            <w:r>
              <w:rPr>
                <w:rFonts w:cs="Calibri"/>
                <w:color w:val="000000"/>
                <w:sz w:val="22"/>
                <w:szCs w:val="22"/>
              </w:rPr>
              <w:t>1,281</w:t>
            </w:r>
          </w:p>
        </w:tc>
        <w:tc>
          <w:tcPr>
            <w:tcW w:w="810" w:type="dxa"/>
            <w:tcBorders>
              <w:top w:val="nil"/>
              <w:left w:val="nil"/>
              <w:bottom w:val="single" w:sz="4" w:space="0" w:color="auto"/>
              <w:right w:val="single" w:sz="4" w:space="0" w:color="auto"/>
            </w:tcBorders>
            <w:shd w:val="clear" w:color="auto" w:fill="auto"/>
            <w:noWrap/>
            <w:vAlign w:val="bottom"/>
            <w:hideMark/>
          </w:tcPr>
          <w:p w14:paraId="58286146" w14:textId="4ED4E90B" w:rsidR="00217FB8" w:rsidRPr="005A10EC" w:rsidRDefault="00217FB8" w:rsidP="00563B0F">
            <w:pPr>
              <w:jc w:val="center"/>
              <w:rPr>
                <w:rFonts w:ascii="Arial" w:hAnsi="Arial" w:cs="Arial"/>
                <w:color w:val="000000"/>
                <w:sz w:val="20"/>
                <w:szCs w:val="20"/>
              </w:rPr>
            </w:pPr>
            <w:r>
              <w:rPr>
                <w:rFonts w:cs="Calibri"/>
                <w:color w:val="000000"/>
                <w:sz w:val="22"/>
                <w:szCs w:val="22"/>
              </w:rPr>
              <w:t>1.3%</w:t>
            </w:r>
          </w:p>
        </w:tc>
        <w:tc>
          <w:tcPr>
            <w:tcW w:w="853" w:type="dxa"/>
            <w:tcBorders>
              <w:top w:val="nil"/>
              <w:left w:val="nil"/>
              <w:bottom w:val="single" w:sz="4" w:space="0" w:color="auto"/>
              <w:right w:val="single" w:sz="4" w:space="0" w:color="auto"/>
            </w:tcBorders>
            <w:shd w:val="clear" w:color="auto" w:fill="auto"/>
            <w:noWrap/>
            <w:vAlign w:val="bottom"/>
            <w:hideMark/>
          </w:tcPr>
          <w:p w14:paraId="202895FF" w14:textId="034FADD9" w:rsidR="00217FB8" w:rsidRPr="005A10EC" w:rsidRDefault="00217FB8" w:rsidP="00563B0F">
            <w:pPr>
              <w:jc w:val="center"/>
              <w:rPr>
                <w:rFonts w:ascii="Arial" w:hAnsi="Arial" w:cs="Arial"/>
                <w:color w:val="000000"/>
                <w:sz w:val="20"/>
                <w:szCs w:val="20"/>
              </w:rPr>
            </w:pPr>
            <w:r>
              <w:rPr>
                <w:rFonts w:cs="Calibri"/>
                <w:color w:val="000000"/>
                <w:sz w:val="22"/>
                <w:szCs w:val="22"/>
              </w:rPr>
              <w:t>2.3%</w:t>
            </w:r>
          </w:p>
        </w:tc>
        <w:tc>
          <w:tcPr>
            <w:tcW w:w="983" w:type="dxa"/>
            <w:tcBorders>
              <w:top w:val="nil"/>
              <w:left w:val="nil"/>
              <w:bottom w:val="single" w:sz="4" w:space="0" w:color="auto"/>
              <w:right w:val="single" w:sz="4" w:space="0" w:color="auto"/>
            </w:tcBorders>
            <w:shd w:val="clear" w:color="auto" w:fill="auto"/>
            <w:noWrap/>
            <w:vAlign w:val="bottom"/>
            <w:hideMark/>
          </w:tcPr>
          <w:p w14:paraId="500F09C3" w14:textId="305752CA" w:rsidR="00217FB8" w:rsidRPr="005A10EC" w:rsidRDefault="00217FB8" w:rsidP="00563B0F">
            <w:pPr>
              <w:jc w:val="center"/>
              <w:rPr>
                <w:rFonts w:ascii="Arial" w:hAnsi="Arial" w:cs="Arial"/>
                <w:color w:val="000000"/>
                <w:sz w:val="20"/>
                <w:szCs w:val="20"/>
              </w:rPr>
            </w:pPr>
            <w:r>
              <w:rPr>
                <w:rFonts w:cs="Calibri"/>
                <w:color w:val="000000"/>
                <w:sz w:val="22"/>
                <w:szCs w:val="22"/>
              </w:rPr>
              <w:t>1.0%</w:t>
            </w:r>
          </w:p>
        </w:tc>
        <w:tc>
          <w:tcPr>
            <w:tcW w:w="983" w:type="dxa"/>
            <w:tcBorders>
              <w:top w:val="nil"/>
              <w:left w:val="nil"/>
              <w:bottom w:val="single" w:sz="4" w:space="0" w:color="auto"/>
              <w:right w:val="single" w:sz="4" w:space="0" w:color="auto"/>
            </w:tcBorders>
            <w:shd w:val="clear" w:color="auto" w:fill="auto"/>
            <w:noWrap/>
            <w:vAlign w:val="bottom"/>
            <w:hideMark/>
          </w:tcPr>
          <w:p w14:paraId="6BF66B88" w14:textId="773A067E" w:rsidR="00217FB8" w:rsidRPr="005A10EC" w:rsidRDefault="00217FB8" w:rsidP="00563B0F">
            <w:pPr>
              <w:jc w:val="center"/>
              <w:rPr>
                <w:rFonts w:ascii="Arial" w:hAnsi="Arial" w:cs="Arial"/>
                <w:color w:val="000000"/>
                <w:sz w:val="20"/>
                <w:szCs w:val="20"/>
              </w:rPr>
            </w:pPr>
            <w:r>
              <w:rPr>
                <w:rFonts w:cs="Calibri"/>
                <w:color w:val="000000"/>
                <w:sz w:val="22"/>
                <w:szCs w:val="22"/>
              </w:rPr>
              <w:t>2.0%</w:t>
            </w:r>
          </w:p>
        </w:tc>
      </w:tr>
    </w:tbl>
    <w:p w14:paraId="7660BAC7" w14:textId="554071F9" w:rsidR="00217FB8" w:rsidRDefault="00217FB8" w:rsidP="00563B0F">
      <w:pPr>
        <w:spacing w:after="120"/>
        <w:jc w:val="center"/>
      </w:pPr>
    </w:p>
    <w:p w14:paraId="24614A7B" w14:textId="078BCC4B" w:rsidR="00515103" w:rsidRDefault="00515103" w:rsidP="003B278F">
      <w:pPr>
        <w:spacing w:after="120"/>
      </w:pPr>
      <w:r>
        <w:t>Figure</w:t>
      </w:r>
      <w:r w:rsidR="00A5498F">
        <w:t>s</w:t>
      </w:r>
      <w:r>
        <w:t xml:space="preserve"> A.8 </w:t>
      </w:r>
      <w:r w:rsidR="00A5498F">
        <w:t xml:space="preserve">and </w:t>
      </w:r>
      <w:r>
        <w:t>A.9 illustrate the matched load profiles for selected event-like days. Each figure contains the average hourly profiles for the treatment and matched control-group customers by day type (</w:t>
      </w:r>
      <w:r>
        <w:rPr>
          <w:i/>
        </w:rPr>
        <w:t xml:space="preserve">i.e., </w:t>
      </w:r>
      <w:r>
        <w:t>weekdays and weekends). The solid lines represent the average usage of treatment customers on weekdays (red) and weekends (blue). Similarly, the dashed lines represent the average usage of the matched control customers on weekday (yellow) and all weekends (gray). The shaded region illustrates the SDG&amp;E CPP event hours. The average profile representing differences for weekday and weekends are shown because SDG&amp;E matches were done separately for weekday and weekends. In other words, treatment customers can have different matched control customers for week</w:t>
      </w:r>
      <w:r w:rsidR="00A915D3">
        <w:t xml:space="preserve">day and for the weekend. This is done because customers that match particularly well on weekday profiles does not necessarily indicate similar usage </w:t>
      </w:r>
      <w:r w:rsidR="00A915D3">
        <w:lastRenderedPageBreak/>
        <w:t>patterns on the weekend (</w:t>
      </w:r>
      <w:r w:rsidR="00A915D3">
        <w:rPr>
          <w:i/>
        </w:rPr>
        <w:t>e.g.,</w:t>
      </w:r>
      <w:r w:rsidR="00A915D3">
        <w:t xml:space="preserve"> manufacturers that shut down for the weekend while others that do</w:t>
      </w:r>
      <w:r w:rsidR="00A5498F">
        <w:t xml:space="preserve"> </w:t>
      </w:r>
      <w:r w:rsidR="00A915D3">
        <w:t>n</w:t>
      </w:r>
      <w:r w:rsidR="00A5498F">
        <w:t>o</w:t>
      </w:r>
      <w:r w:rsidR="00A915D3">
        <w:t>t). Separating weekend and weekday matching provides closer matched pairs in terms of usage, which potentially reduces any unobserved bias in the estimation of CPP load impacts for weekday and weekend events.</w:t>
      </w:r>
    </w:p>
    <w:p w14:paraId="0D4BF2C6" w14:textId="77777777" w:rsidR="00AE28D7" w:rsidRDefault="00AE28D7">
      <w:pPr>
        <w:spacing w:after="120"/>
      </w:pPr>
    </w:p>
    <w:p w14:paraId="489E5C46" w14:textId="1CA86963" w:rsidR="00217FB8" w:rsidRDefault="00217FB8" w:rsidP="00563B0F">
      <w:pPr>
        <w:pStyle w:val="FigureCaption"/>
      </w:pPr>
      <w:bookmarkStart w:id="561" w:name="_Toc509837527"/>
      <w:r>
        <w:t xml:space="preserve">Figure A.8: Treatment and Control Non-Event Day Load Profiles, </w:t>
      </w:r>
      <w:r>
        <w:rPr>
          <w:i/>
        </w:rPr>
        <w:t>SDG&amp;E Large</w:t>
      </w:r>
      <w:bookmarkEnd w:id="561"/>
    </w:p>
    <w:p w14:paraId="48DC5209" w14:textId="2DFFCAA6" w:rsidR="00625F00" w:rsidRDefault="00217FB8" w:rsidP="00563B0F">
      <w:pPr>
        <w:spacing w:after="120"/>
        <w:jc w:val="center"/>
      </w:pPr>
      <w:r>
        <w:rPr>
          <w:noProof/>
        </w:rPr>
        <w:drawing>
          <wp:inline distT="0" distB="0" distL="0" distR="0" wp14:anchorId="1E8E8E88" wp14:editId="2ECD1356">
            <wp:extent cx="5029835" cy="32004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5F5CEDD7" w14:textId="77777777" w:rsidR="00217FB8" w:rsidRDefault="00217FB8" w:rsidP="00563B0F">
      <w:pPr>
        <w:spacing w:after="120"/>
        <w:jc w:val="center"/>
      </w:pPr>
    </w:p>
    <w:p w14:paraId="415837DD" w14:textId="05BAC238" w:rsidR="00217FB8" w:rsidRDefault="00217FB8" w:rsidP="00217FB8">
      <w:pPr>
        <w:pStyle w:val="FigureCaption"/>
      </w:pPr>
      <w:bookmarkStart w:id="562" w:name="_Toc509837528"/>
      <w:r>
        <w:lastRenderedPageBreak/>
        <w:t xml:space="preserve">Figure A.9: Treatment and Control Non-Event Day Load Profiles, </w:t>
      </w:r>
      <w:r>
        <w:rPr>
          <w:i/>
        </w:rPr>
        <w:t>SDG&amp;E Medium</w:t>
      </w:r>
      <w:bookmarkEnd w:id="562"/>
    </w:p>
    <w:p w14:paraId="5B9982CD" w14:textId="02F2DA75" w:rsidR="00217FB8" w:rsidRDefault="00217FB8" w:rsidP="00563B0F">
      <w:pPr>
        <w:spacing w:after="120"/>
        <w:jc w:val="center"/>
      </w:pPr>
      <w:r>
        <w:rPr>
          <w:noProof/>
        </w:rPr>
        <w:drawing>
          <wp:inline distT="0" distB="0" distL="0" distR="0" wp14:anchorId="6350FB67" wp14:editId="3C1B6B5E">
            <wp:extent cx="5029835" cy="3200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029835" cy="3200400"/>
                    </a:xfrm>
                    <a:prstGeom prst="rect">
                      <a:avLst/>
                    </a:prstGeom>
                    <a:noFill/>
                  </pic:spPr>
                </pic:pic>
              </a:graphicData>
            </a:graphic>
          </wp:inline>
        </w:drawing>
      </w:r>
    </w:p>
    <w:p w14:paraId="4FD64C7D" w14:textId="77777777" w:rsidR="00217FB8" w:rsidRDefault="00217FB8" w:rsidP="00E84DD2">
      <w:pPr>
        <w:spacing w:after="120"/>
      </w:pPr>
    </w:p>
    <w:p w14:paraId="54D871D1" w14:textId="48F41F90" w:rsidR="00857A98" w:rsidRDefault="00857A98" w:rsidP="00E84DD2">
      <w:pPr>
        <w:spacing w:after="120"/>
      </w:pPr>
    </w:p>
    <w:sectPr w:rsidR="00857A98" w:rsidSect="00806460">
      <w:footerReference w:type="default" r:id="rId113"/>
      <w:type w:val="continuous"/>
      <w:pgSz w:w="12240" w:h="15840"/>
      <w:pgMar w:top="1440" w:right="1800" w:bottom="1440" w:left="1800" w:header="720" w:footer="720"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141B9C" w14:textId="77777777" w:rsidR="006F4399" w:rsidRDefault="006F4399">
      <w:r>
        <w:separator/>
      </w:r>
    </w:p>
  </w:endnote>
  <w:endnote w:type="continuationSeparator" w:id="0">
    <w:p w14:paraId="23214446" w14:textId="77777777" w:rsidR="006F4399" w:rsidRDefault="006F4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92F77" w14:textId="77777777" w:rsidR="006F4399" w:rsidRDefault="006F4399" w:rsidP="000B5A5D">
    <w:pPr>
      <w:pStyle w:val="FootnoteText"/>
      <w:framePr w:wrap="around" w:vAnchor="text" w:hAnchor="margin" w:xAlign="center" w:y="1"/>
      <w:rPr>
        <w:rStyle w:val="FootnoteReference"/>
      </w:rPr>
    </w:pPr>
    <w:r>
      <w:rPr>
        <w:rStyle w:val="FootnoteReference"/>
      </w:rPr>
      <w:fldChar w:fldCharType="begin"/>
    </w:r>
    <w:r>
      <w:rPr>
        <w:rStyle w:val="FootnoteReference"/>
      </w:rPr>
      <w:instrText xml:space="preserve">PAGE  </w:instrText>
    </w:r>
    <w:r>
      <w:rPr>
        <w:rStyle w:val="FootnoteReference"/>
      </w:rPr>
      <w:fldChar w:fldCharType="end"/>
    </w:r>
  </w:p>
  <w:p w14:paraId="6CEEAD03" w14:textId="77777777" w:rsidR="006F4399" w:rsidRDefault="006F4399">
    <w:pPr>
      <w:pStyle w:val="FootnoteTex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B5FBCE" w14:textId="77777777" w:rsidR="006F4399" w:rsidRPr="003601DE" w:rsidRDefault="006F4399" w:rsidP="003601DE">
    <w:pPr>
      <w:pStyle w:val="Footer"/>
      <w:rPr>
        <w:rFonts w:ascii="AvantGarde" w:hAnsi="AvantGarde"/>
        <w:sz w:val="20"/>
        <w:szCs w:val="20"/>
      </w:rPr>
    </w:pPr>
    <w:r w:rsidRPr="003601DE">
      <w:rPr>
        <w:rFonts w:ascii="AvantGarde" w:hAnsi="AvantGarde"/>
        <w:sz w:val="20"/>
        <w:szCs w:val="20"/>
      </w:rPr>
      <w:t>Christensen Associates Energy Consulting, LLC</w:t>
    </w:r>
  </w:p>
  <w:p w14:paraId="2C89ECD9" w14:textId="77777777" w:rsidR="006F4399" w:rsidRPr="003C0234" w:rsidRDefault="006F4399" w:rsidP="003601DE">
    <w:pPr>
      <w:pStyle w:val="Footer"/>
      <w:rPr>
        <w:rFonts w:ascii="AvantGarde" w:hAnsi="AvantGarde"/>
        <w:sz w:val="20"/>
        <w:szCs w:val="20"/>
      </w:rPr>
    </w:pPr>
    <w:smartTag w:uri="urn:schemas-microsoft-com:office:smarttags" w:element="Street">
      <w:smartTag w:uri="urn:schemas-microsoft-com:office:smarttags" w:element="address">
        <w:r w:rsidRPr="003C0234">
          <w:rPr>
            <w:rFonts w:ascii="AvantGarde" w:hAnsi="AvantGarde"/>
            <w:sz w:val="20"/>
            <w:szCs w:val="20"/>
          </w:rPr>
          <w:t>800 University Bay Drive, Suite 400</w:t>
        </w:r>
      </w:smartTag>
    </w:smartTag>
  </w:p>
  <w:p w14:paraId="42500099" w14:textId="77777777" w:rsidR="006F4399" w:rsidRPr="003C0234" w:rsidRDefault="006F4399" w:rsidP="003601DE">
    <w:pPr>
      <w:pStyle w:val="Footer"/>
      <w:rPr>
        <w:rFonts w:ascii="AvantGarde" w:hAnsi="AvantGarde"/>
        <w:sz w:val="20"/>
        <w:szCs w:val="20"/>
      </w:rPr>
    </w:pPr>
    <w:smartTag w:uri="urn:schemas-microsoft-com:office:smarttags" w:element="place">
      <w:smartTag w:uri="urn:schemas-microsoft-com:office:smarttags" w:element="City">
        <w:r>
          <w:rPr>
            <w:rFonts w:ascii="AvantGarde" w:hAnsi="AvantGarde"/>
            <w:sz w:val="20"/>
            <w:szCs w:val="20"/>
          </w:rPr>
          <w:t>Madison</w:t>
        </w:r>
      </w:smartTag>
      <w:r>
        <w:rPr>
          <w:rFonts w:ascii="AvantGarde" w:hAnsi="AvantGarde"/>
          <w:sz w:val="20"/>
          <w:szCs w:val="20"/>
        </w:rPr>
        <w:t xml:space="preserve">, </w:t>
      </w:r>
      <w:smartTag w:uri="urn:schemas-microsoft-com:office:smarttags" w:element="State">
        <w:r>
          <w:rPr>
            <w:rFonts w:ascii="AvantGarde" w:hAnsi="AvantGarde"/>
            <w:sz w:val="20"/>
            <w:szCs w:val="20"/>
          </w:rPr>
          <w:t>WI</w:t>
        </w:r>
      </w:smartTag>
      <w:r>
        <w:rPr>
          <w:rFonts w:ascii="AvantGarde" w:hAnsi="AvantGarde"/>
          <w:sz w:val="20"/>
          <w:szCs w:val="20"/>
        </w:rPr>
        <w:t xml:space="preserve">  </w:t>
      </w:r>
      <w:smartTag w:uri="urn:schemas-microsoft-com:office:smarttags" w:element="PostalCode">
        <w:r>
          <w:rPr>
            <w:rFonts w:ascii="AvantGarde" w:hAnsi="AvantGarde"/>
            <w:sz w:val="20"/>
            <w:szCs w:val="20"/>
          </w:rPr>
          <w:t>53705-2299</w:t>
        </w:r>
      </w:smartTag>
    </w:smartTag>
  </w:p>
  <w:p w14:paraId="1233B72A" w14:textId="77777777" w:rsidR="006F4399" w:rsidRPr="003C0234" w:rsidRDefault="006F4399" w:rsidP="003601DE">
    <w:pPr>
      <w:pStyle w:val="Footer"/>
      <w:rPr>
        <w:rFonts w:ascii="AvantGarde" w:hAnsi="AvantGarde"/>
        <w:sz w:val="20"/>
        <w:szCs w:val="20"/>
      </w:rPr>
    </w:pPr>
  </w:p>
  <w:p w14:paraId="650687F8" w14:textId="77777777" w:rsidR="006F4399" w:rsidRPr="003601DE" w:rsidRDefault="006F4399">
    <w:pPr>
      <w:pStyle w:val="Footer"/>
      <w:rPr>
        <w:rFonts w:ascii="AvantGarde" w:hAnsi="AvantGarde"/>
        <w:sz w:val="20"/>
        <w:szCs w:val="20"/>
      </w:rPr>
    </w:pPr>
    <w:r w:rsidRPr="003C0234">
      <w:rPr>
        <w:rFonts w:ascii="AvantGarde" w:hAnsi="AvantGarde"/>
        <w:sz w:val="20"/>
        <w:szCs w:val="20"/>
      </w:rPr>
      <w:t>Voice</w:t>
    </w:r>
    <w:r>
      <w:rPr>
        <w:rFonts w:ascii="AvantGarde" w:hAnsi="AvantGarde"/>
        <w:sz w:val="20"/>
        <w:szCs w:val="20"/>
      </w:rPr>
      <w:t xml:space="preserve"> </w:t>
    </w:r>
    <w:proofErr w:type="gramStart"/>
    <w:r>
      <w:rPr>
        <w:rFonts w:ascii="AvantGarde" w:hAnsi="AvantGarde"/>
        <w:sz w:val="20"/>
        <w:szCs w:val="20"/>
      </w:rPr>
      <w:t>608.231.2266  Fax</w:t>
    </w:r>
    <w:proofErr w:type="gramEnd"/>
    <w:r>
      <w:rPr>
        <w:rFonts w:ascii="AvantGarde" w:hAnsi="AvantGarde"/>
        <w:sz w:val="20"/>
        <w:szCs w:val="20"/>
      </w:rPr>
      <w:t xml:space="preserve"> 608.231.2108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782D4A" w14:textId="4EE1BAD5" w:rsidR="006F4399" w:rsidRDefault="006F4399" w:rsidP="00CD37BE">
    <w:pPr>
      <w:pStyle w:val="Footer"/>
      <w:pBdr>
        <w:top w:val="single" w:sz="4" w:space="1" w:color="auto"/>
      </w:pBdr>
      <w:tabs>
        <w:tab w:val="clear" w:pos="8640"/>
        <w:tab w:val="right" w:pos="9360"/>
      </w:tabs>
    </w:pPr>
    <w:r w:rsidRPr="009B66F6">
      <w:tab/>
    </w:r>
    <w:r>
      <w:rPr>
        <w:rStyle w:val="FootnoteReference"/>
        <w:vertAlign w:val="baseline"/>
      </w:rPr>
      <w:fldChar w:fldCharType="begin"/>
    </w:r>
    <w:r>
      <w:rPr>
        <w:rStyle w:val="FootnoteReference"/>
        <w:vertAlign w:val="baseline"/>
      </w:rPr>
      <w:instrText xml:space="preserve"> PAGE </w:instrText>
    </w:r>
    <w:r>
      <w:rPr>
        <w:rStyle w:val="FootnoteReference"/>
        <w:vertAlign w:val="baseline"/>
      </w:rPr>
      <w:fldChar w:fldCharType="separate"/>
    </w:r>
    <w:r w:rsidR="009E57B4">
      <w:rPr>
        <w:rStyle w:val="FootnoteReference"/>
        <w:noProof/>
        <w:vertAlign w:val="baseline"/>
      </w:rPr>
      <w:t>ii</w:t>
    </w:r>
    <w:r>
      <w:rPr>
        <w:rStyle w:val="FootnoteReference"/>
        <w:vertAlign w:val="baseline"/>
      </w:rPr>
      <w:fldChar w:fldCharType="end"/>
    </w:r>
    <w:r w:rsidRPr="009B66F6">
      <w:tab/>
    </w:r>
    <w:r w:rsidRPr="00376A3F">
      <w:rPr>
        <w:i/>
      </w:rPr>
      <w:t>CA Energy Consulting</w:t>
    </w:r>
  </w:p>
  <w:p w14:paraId="36A44FB4" w14:textId="4DA77109" w:rsidR="006F4399" w:rsidRDefault="006F4399" w:rsidP="00CD37BE">
    <w:pPr>
      <w:pStyle w:val="Footer"/>
      <w:pBdr>
        <w:top w:val="single" w:sz="4" w:space="1" w:color="auto"/>
      </w:pBdr>
      <w:tabs>
        <w:tab w:val="clear" w:pos="8640"/>
        <w:tab w:val="right" w:pos="9360"/>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D4DEDF" w14:textId="1B40F5E6" w:rsidR="006F4399" w:rsidRDefault="006F4399" w:rsidP="003D3D4C">
    <w:pPr>
      <w:pStyle w:val="Footer"/>
      <w:pBdr>
        <w:top w:val="single" w:sz="4" w:space="1" w:color="auto"/>
      </w:pBdr>
      <w:rPr>
        <w:i/>
      </w:rPr>
    </w:pPr>
    <w:r>
      <w:tab/>
    </w:r>
    <w:r>
      <w:rPr>
        <w:rStyle w:val="FootnoteReference"/>
        <w:vertAlign w:val="baseline"/>
      </w:rPr>
      <w:fldChar w:fldCharType="begin"/>
    </w:r>
    <w:r>
      <w:rPr>
        <w:rStyle w:val="FootnoteReference"/>
        <w:vertAlign w:val="baseline"/>
      </w:rPr>
      <w:instrText xml:space="preserve"> PAGE </w:instrText>
    </w:r>
    <w:r>
      <w:rPr>
        <w:rStyle w:val="FootnoteReference"/>
        <w:vertAlign w:val="baseline"/>
      </w:rPr>
      <w:fldChar w:fldCharType="separate"/>
    </w:r>
    <w:r w:rsidR="009E57B4">
      <w:rPr>
        <w:rStyle w:val="FootnoteReference"/>
        <w:noProof/>
        <w:vertAlign w:val="baseline"/>
      </w:rPr>
      <w:t>ix</w:t>
    </w:r>
    <w:r>
      <w:rPr>
        <w:rStyle w:val="FootnoteReference"/>
        <w:vertAlign w:val="baseline"/>
      </w:rPr>
      <w:fldChar w:fldCharType="end"/>
    </w:r>
    <w:r>
      <w:rPr>
        <w:rStyle w:val="FootnoteReference"/>
        <w:vertAlign w:val="baseline"/>
      </w:rPr>
      <w:tab/>
    </w:r>
    <w:r w:rsidRPr="003D3D4C">
      <w:rPr>
        <w:rStyle w:val="FootnoteReference"/>
        <w:i/>
        <w:vertAlign w:val="baseline"/>
      </w:rPr>
      <w:t>CA Energy Consulting</w:t>
    </w:r>
  </w:p>
  <w:p w14:paraId="3C3202CD" w14:textId="77777777" w:rsidR="006F4399" w:rsidRDefault="006F4399" w:rsidP="003D3D4C">
    <w:pPr>
      <w:pStyle w:val="Footer"/>
      <w:pBdr>
        <w:top w:val="single" w:sz="4" w:space="1" w:color="auto"/>
      </w:pBdr>
      <w:rPr>
        <w:i/>
      </w:rPr>
    </w:pPr>
  </w:p>
  <w:p w14:paraId="0FBC44A2" w14:textId="7255B78F" w:rsidR="006F4399" w:rsidRPr="003D3D4C" w:rsidRDefault="006F4399" w:rsidP="003D3D4C">
    <w:pPr>
      <w:pStyle w:val="Footer"/>
      <w:pBdr>
        <w:top w:val="single" w:sz="4" w:space="1" w:color="auto"/>
      </w:pBdr>
      <w:rPr>
        <w:i/>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465451" w14:textId="1CEC9E3F" w:rsidR="006F4399" w:rsidRDefault="006F4399" w:rsidP="003D3D4C">
    <w:pPr>
      <w:pStyle w:val="Footer"/>
      <w:pBdr>
        <w:top w:val="single" w:sz="4" w:space="1" w:color="auto"/>
      </w:pBdr>
      <w:rPr>
        <w:rStyle w:val="FootnoteReference"/>
        <w:i/>
        <w:vertAlign w:val="baseline"/>
      </w:rPr>
    </w:pPr>
    <w:r>
      <w:tab/>
    </w:r>
    <w:r>
      <w:rPr>
        <w:rStyle w:val="FootnoteReference"/>
        <w:vertAlign w:val="baseline"/>
      </w:rPr>
      <w:fldChar w:fldCharType="begin"/>
    </w:r>
    <w:r>
      <w:rPr>
        <w:rStyle w:val="FootnoteReference"/>
        <w:vertAlign w:val="baseline"/>
      </w:rPr>
      <w:instrText xml:space="preserve"> PAGE </w:instrText>
    </w:r>
    <w:r>
      <w:rPr>
        <w:rStyle w:val="FootnoteReference"/>
        <w:vertAlign w:val="baseline"/>
      </w:rPr>
      <w:fldChar w:fldCharType="separate"/>
    </w:r>
    <w:r w:rsidR="009E57B4">
      <w:rPr>
        <w:rStyle w:val="FootnoteReference"/>
        <w:noProof/>
        <w:vertAlign w:val="baseline"/>
      </w:rPr>
      <w:t>147</w:t>
    </w:r>
    <w:r>
      <w:rPr>
        <w:rStyle w:val="FootnoteReference"/>
        <w:vertAlign w:val="baseline"/>
      </w:rPr>
      <w:fldChar w:fldCharType="end"/>
    </w:r>
    <w:r>
      <w:rPr>
        <w:rStyle w:val="FootnoteReference"/>
        <w:vertAlign w:val="baseline"/>
      </w:rPr>
      <w:tab/>
    </w:r>
    <w:r w:rsidRPr="003D3D4C">
      <w:rPr>
        <w:rStyle w:val="FootnoteReference"/>
        <w:i/>
        <w:vertAlign w:val="baseline"/>
      </w:rPr>
      <w:t>CA Energy Consulting</w:t>
    </w:r>
  </w:p>
  <w:p w14:paraId="64E16110" w14:textId="3F98E597" w:rsidR="006F4399" w:rsidRDefault="006F4399" w:rsidP="003D3D4C">
    <w:pPr>
      <w:pStyle w:val="Footer"/>
      <w:pBdr>
        <w:top w:val="single" w:sz="4" w:space="1" w:color="auto"/>
      </w:pBdr>
      <w:rPr>
        <w: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F03F2E" w14:textId="77777777" w:rsidR="006F4399" w:rsidRDefault="006F4399">
      <w:r>
        <w:separator/>
      </w:r>
    </w:p>
  </w:footnote>
  <w:footnote w:type="continuationSeparator" w:id="0">
    <w:p w14:paraId="5D52911D" w14:textId="77777777" w:rsidR="006F4399" w:rsidRDefault="006F4399">
      <w:r>
        <w:continuationSeparator/>
      </w:r>
    </w:p>
  </w:footnote>
  <w:footnote w:id="1">
    <w:p w14:paraId="19FB2658" w14:textId="77777777" w:rsidR="006F4399" w:rsidRPr="006B1255" w:rsidRDefault="006F4399" w:rsidP="0039653F">
      <w:pPr>
        <w:pStyle w:val="FootnoteText"/>
        <w:rPr>
          <w:rFonts w:asciiTheme="minorHAnsi" w:hAnsiTheme="minorHAnsi" w:cstheme="minorHAnsi"/>
        </w:rPr>
      </w:pPr>
      <w:r w:rsidRPr="006B1255">
        <w:rPr>
          <w:rStyle w:val="FootnoteReference"/>
          <w:rFonts w:asciiTheme="minorHAnsi" w:hAnsiTheme="minorHAnsi" w:cstheme="minorHAnsi"/>
        </w:rPr>
        <w:footnoteRef/>
      </w:r>
      <w:r w:rsidRPr="006B1255">
        <w:rPr>
          <w:rFonts w:asciiTheme="minorHAnsi" w:hAnsiTheme="minorHAnsi" w:cstheme="minorHAnsi"/>
        </w:rPr>
        <w:t xml:space="preserve"> Most of the defaulted customers were previously served under tariffs with TOU energy and/or demand charges, such that they already had varying incentives to reduce load during peak periods on all summer weekdays.</w:t>
      </w:r>
    </w:p>
  </w:footnote>
  <w:footnote w:id="2">
    <w:p w14:paraId="3DA7EB0A" w14:textId="5A771F96" w:rsidR="006F4399" w:rsidRDefault="006F4399" w:rsidP="00CE28FA">
      <w:pPr>
        <w:pStyle w:val="FootnoteText"/>
        <w:rPr>
          <w:rFonts w:ascii="Calibri" w:hAnsi="Calibri" w:cs="Calibri"/>
        </w:rPr>
      </w:pPr>
      <w:r>
        <w:rPr>
          <w:rStyle w:val="FootnoteReference"/>
          <w:rFonts w:ascii="Calibri" w:hAnsi="Calibri" w:cs="Calibri"/>
        </w:rPr>
        <w:footnoteRef/>
      </w:r>
      <w:r>
        <w:rPr>
          <w:rFonts w:ascii="Calibri" w:hAnsi="Calibri" w:cs="Calibri"/>
        </w:rPr>
        <w:t xml:space="preserve"> For SDG&amp;E, the forecast period covers 2017-2028, with the values for 2017 serving as weather-normalized versions of the 2017 </w:t>
      </w:r>
      <w:r>
        <w:rPr>
          <w:rFonts w:ascii="Calibri" w:hAnsi="Calibri" w:cs="Calibri"/>
          <w:i/>
        </w:rPr>
        <w:t>ex-post</w:t>
      </w:r>
      <w:r>
        <w:rPr>
          <w:rFonts w:ascii="Calibri" w:hAnsi="Calibri" w:cs="Calibri"/>
        </w:rPr>
        <w:t xml:space="preserve"> load impacts.</w:t>
      </w:r>
    </w:p>
  </w:footnote>
  <w:footnote w:id="3">
    <w:p w14:paraId="387F459A" w14:textId="6F0271DA" w:rsidR="006F4399" w:rsidRPr="00C93AC2" w:rsidRDefault="006F4399">
      <w:pPr>
        <w:pStyle w:val="FootnoteText"/>
        <w:rPr>
          <w:rFonts w:asciiTheme="minorHAnsi" w:hAnsiTheme="minorHAnsi" w:cstheme="minorHAnsi"/>
        </w:rPr>
      </w:pPr>
      <w:r w:rsidRPr="00C93AC2">
        <w:rPr>
          <w:rStyle w:val="FootnoteReference"/>
          <w:rFonts w:asciiTheme="minorHAnsi" w:hAnsiTheme="minorHAnsi" w:cstheme="minorHAnsi"/>
        </w:rPr>
        <w:footnoteRef/>
      </w:r>
      <w:r w:rsidRPr="00C93AC2">
        <w:rPr>
          <w:rFonts w:asciiTheme="minorHAnsi" w:hAnsiTheme="minorHAnsi" w:cstheme="minorHAnsi"/>
        </w:rPr>
        <w:t xml:space="preserve"> For large customers who did not have a close match in the eligible control group, we tested the difference between including them in the panel model and excluding them from the panel model and estimating their load impact using a customer-specific regression. We found that the total load impact estimate (across all treatment customers) did not differ much across methods. We therefore included all customers in the panel models.</w:t>
      </w:r>
    </w:p>
  </w:footnote>
  <w:footnote w:id="4">
    <w:p w14:paraId="00FEE7A0" w14:textId="55102ACE" w:rsidR="006F4399" w:rsidRPr="00DF3357" w:rsidRDefault="006F4399" w:rsidP="000A688F">
      <w:pPr>
        <w:pStyle w:val="FootnoteText"/>
        <w:rPr>
          <w:rFonts w:asciiTheme="minorHAnsi" w:hAnsiTheme="minorHAnsi" w:cstheme="minorHAnsi"/>
        </w:rPr>
      </w:pPr>
      <w:r w:rsidRPr="00DF3357">
        <w:rPr>
          <w:rStyle w:val="FootnoteReference"/>
          <w:rFonts w:asciiTheme="minorHAnsi" w:hAnsiTheme="minorHAnsi" w:cstheme="minorHAnsi"/>
        </w:rPr>
        <w:footnoteRef/>
      </w:r>
      <w:r w:rsidRPr="00DF3357">
        <w:rPr>
          <w:rFonts w:asciiTheme="minorHAnsi" w:hAnsiTheme="minorHAnsi" w:cstheme="minorHAnsi"/>
        </w:rPr>
        <w:t xml:space="preserve"> This within-year analysis focuses on incremental event-day load impacts, but does not allow for the estimation of non-event day load impacts.</w:t>
      </w:r>
      <w:r>
        <w:rPr>
          <w:rFonts w:asciiTheme="minorHAnsi" w:hAnsiTheme="minorHAnsi" w:cstheme="minorHAnsi"/>
        </w:rPr>
        <w:t xml:space="preserve"> We also estimate non-event-day load impacts for the PG&amp;E CPP customers who were defaulted in November 2016, which requires matching customers on pre-enrollment data and estimating models using two years of data (from the summers of 2016 and 2017).</w:t>
      </w:r>
    </w:p>
  </w:footnote>
  <w:footnote w:id="5">
    <w:p w14:paraId="59272770" w14:textId="0DA3984E" w:rsidR="006F4399" w:rsidRPr="00313A94" w:rsidRDefault="006F4399">
      <w:pPr>
        <w:pStyle w:val="FootnoteText"/>
        <w:rPr>
          <w:rFonts w:asciiTheme="minorHAnsi" w:hAnsiTheme="minorHAnsi" w:cstheme="minorHAnsi"/>
        </w:rPr>
      </w:pPr>
      <w:r w:rsidRPr="00313A94">
        <w:rPr>
          <w:rStyle w:val="FootnoteReference"/>
          <w:rFonts w:asciiTheme="minorHAnsi" w:hAnsiTheme="minorHAnsi" w:cstheme="minorHAnsi"/>
        </w:rPr>
        <w:footnoteRef/>
      </w:r>
      <w:r w:rsidRPr="00313A94">
        <w:rPr>
          <w:rFonts w:asciiTheme="minorHAnsi" w:hAnsiTheme="minorHAnsi" w:cstheme="minorHAnsi"/>
        </w:rPr>
        <w:t xml:space="preserve"> SDG&amp;E used separate weekday and weekend load profiles instead, because one of the three event days took place on a weekend. (Only one of PG&amp;E’s fifteen event days was on a weekend and none of SCE’s were.)</w:t>
      </w:r>
    </w:p>
  </w:footnote>
  <w:footnote w:id="6">
    <w:p w14:paraId="72E9B8F2" w14:textId="19828355" w:rsidR="006F4399" w:rsidRPr="00313485" w:rsidRDefault="006F4399">
      <w:pPr>
        <w:pStyle w:val="FootnoteText"/>
        <w:rPr>
          <w:rFonts w:asciiTheme="minorHAnsi" w:hAnsiTheme="minorHAnsi" w:cstheme="minorHAnsi"/>
        </w:rPr>
      </w:pPr>
      <w:r w:rsidRPr="00313485">
        <w:rPr>
          <w:rStyle w:val="FootnoteReference"/>
          <w:rFonts w:asciiTheme="minorHAnsi" w:hAnsiTheme="minorHAnsi" w:cstheme="minorHAnsi"/>
        </w:rPr>
        <w:footnoteRef/>
      </w:r>
      <w:r w:rsidRPr="00313485">
        <w:rPr>
          <w:rFonts w:asciiTheme="minorHAnsi" w:hAnsiTheme="minorHAnsi" w:cstheme="minorHAnsi"/>
        </w:rPr>
        <w:t xml:space="preserve"> Some industry groups were combined to increase </w:t>
      </w:r>
      <w:r>
        <w:rPr>
          <w:rFonts w:asciiTheme="minorHAnsi" w:hAnsiTheme="minorHAnsi" w:cstheme="minorHAnsi"/>
        </w:rPr>
        <w:t xml:space="preserve">within-group </w:t>
      </w:r>
      <w:r w:rsidRPr="00313485">
        <w:rPr>
          <w:rFonts w:asciiTheme="minorHAnsi" w:hAnsiTheme="minorHAnsi" w:cstheme="minorHAnsi"/>
        </w:rPr>
        <w:t>sample size</w:t>
      </w:r>
      <w:r>
        <w:rPr>
          <w:rFonts w:asciiTheme="minorHAnsi" w:hAnsiTheme="minorHAnsi" w:cstheme="minorHAnsi"/>
        </w:rPr>
        <w:t>s</w:t>
      </w:r>
      <w:r w:rsidRPr="00313485">
        <w:rPr>
          <w:rFonts w:asciiTheme="minorHAnsi" w:hAnsiTheme="minorHAnsi" w:cstheme="minorHAnsi"/>
        </w:rPr>
        <w:t xml:space="preserve">. PG&amp;E matched by manufacturing, schools, and all other industry groups. SCE matched by manufacturing vs. non-manufacturing. SDG&amp;E used all eight industry groups in its matching. </w:t>
      </w:r>
    </w:p>
  </w:footnote>
  <w:footnote w:id="7">
    <w:p w14:paraId="0CDFB55B" w14:textId="77777777" w:rsidR="006F4399" w:rsidRPr="00E6482F" w:rsidRDefault="006F4399" w:rsidP="00025EDD">
      <w:pPr>
        <w:pStyle w:val="FootnoteText"/>
        <w:rPr>
          <w:rFonts w:asciiTheme="minorHAnsi" w:hAnsiTheme="minorHAnsi" w:cstheme="minorHAnsi"/>
        </w:rPr>
      </w:pPr>
      <w:r w:rsidRPr="00E6482F">
        <w:rPr>
          <w:rStyle w:val="FootnoteReference"/>
          <w:rFonts w:asciiTheme="minorHAnsi" w:hAnsiTheme="minorHAnsi" w:cstheme="minorHAnsi"/>
        </w:rPr>
        <w:footnoteRef/>
      </w:r>
      <w:r w:rsidRPr="00E6482F">
        <w:rPr>
          <w:rFonts w:asciiTheme="minorHAnsi" w:hAnsiTheme="minorHAnsi" w:cstheme="minorHAnsi"/>
        </w:rPr>
        <w:t xml:space="preserve"> The inclusion of weather variables may improve the effectiveness of the date fixed effects, particularly in models that include customers in different weather regions (</w:t>
      </w:r>
      <w:r w:rsidRPr="00E6482F">
        <w:rPr>
          <w:rFonts w:asciiTheme="minorHAnsi" w:hAnsiTheme="minorHAnsi" w:cstheme="minorHAnsi"/>
          <w:i/>
        </w:rPr>
        <w:t>e.g.</w:t>
      </w:r>
      <w:r w:rsidRPr="00E6482F">
        <w:rPr>
          <w:rFonts w:asciiTheme="minorHAnsi" w:hAnsiTheme="minorHAnsi" w:cstheme="minorHAnsi"/>
        </w:rPr>
        <w:t>, models by size and industry group that include customers in all LCAs).</w:t>
      </w:r>
    </w:p>
  </w:footnote>
  <w:footnote w:id="8">
    <w:p w14:paraId="7D3D0F10" w14:textId="77777777" w:rsidR="006F4399" w:rsidRPr="00E6482F" w:rsidRDefault="006F4399" w:rsidP="00025EDD">
      <w:pPr>
        <w:pStyle w:val="FootnoteText"/>
        <w:rPr>
          <w:rFonts w:asciiTheme="minorHAnsi" w:hAnsiTheme="minorHAnsi" w:cstheme="minorHAnsi"/>
        </w:rPr>
      </w:pPr>
      <w:r w:rsidRPr="00E6482F">
        <w:rPr>
          <w:rStyle w:val="FootnoteReference"/>
          <w:rFonts w:asciiTheme="minorHAnsi" w:hAnsiTheme="minorHAnsi" w:cstheme="minorHAnsi"/>
        </w:rPr>
        <w:footnoteRef/>
      </w:r>
      <w:r w:rsidRPr="00E6482F">
        <w:rPr>
          <w:rFonts w:asciiTheme="minorHAnsi" w:hAnsiTheme="minorHAnsi" w:cstheme="minorHAnsi"/>
        </w:rPr>
        <w:t xml:space="preserve"> The morning load variable can help the model identify days on which the customer is operating (</w:t>
      </w:r>
      <w:r w:rsidRPr="00E6482F">
        <w:rPr>
          <w:rFonts w:asciiTheme="minorHAnsi" w:hAnsiTheme="minorHAnsi" w:cstheme="minorHAnsi"/>
          <w:i/>
        </w:rPr>
        <w:t>e.g.</w:t>
      </w:r>
      <w:r w:rsidRPr="00E6482F">
        <w:rPr>
          <w:rFonts w:asciiTheme="minorHAnsi" w:hAnsiTheme="minorHAnsi" w:cstheme="minorHAnsi"/>
        </w:rPr>
        <w:t>, a manufacturing customer in production vs. not in production) or open for business (</w:t>
      </w:r>
      <w:r w:rsidRPr="00E6482F">
        <w:rPr>
          <w:rFonts w:asciiTheme="minorHAnsi" w:hAnsiTheme="minorHAnsi" w:cstheme="minorHAnsi"/>
          <w:i/>
        </w:rPr>
        <w:t>e.g.</w:t>
      </w:r>
      <w:r w:rsidRPr="00E6482F">
        <w:rPr>
          <w:rFonts w:asciiTheme="minorHAnsi" w:hAnsiTheme="minorHAnsi" w:cstheme="minorHAnsi"/>
        </w:rPr>
        <w:t xml:space="preserve">, for commercial customers). </w:t>
      </w:r>
    </w:p>
  </w:footnote>
  <w:footnote w:id="9">
    <w:p w14:paraId="76F93B38" w14:textId="455A5ACC" w:rsidR="006F4399" w:rsidRPr="00702DFA" w:rsidRDefault="006F4399">
      <w:pPr>
        <w:pStyle w:val="FootnoteText"/>
        <w:rPr>
          <w:rFonts w:asciiTheme="minorHAnsi" w:hAnsiTheme="minorHAnsi" w:cstheme="minorHAnsi"/>
        </w:rPr>
      </w:pPr>
      <w:r w:rsidRPr="00702DFA">
        <w:rPr>
          <w:rStyle w:val="FootnoteReference"/>
          <w:rFonts w:asciiTheme="minorHAnsi" w:hAnsiTheme="minorHAnsi" w:cstheme="minorHAnsi"/>
        </w:rPr>
        <w:footnoteRef/>
      </w:r>
      <w:r w:rsidRPr="00702DFA">
        <w:rPr>
          <w:rFonts w:asciiTheme="minorHAnsi" w:hAnsiTheme="minorHAnsi" w:cstheme="minorHAnsi"/>
        </w:rPr>
        <w:t xml:space="preserve"> SDG&amp;E’s forecast begins in 2017.</w:t>
      </w:r>
    </w:p>
  </w:footnote>
  <w:footnote w:id="10">
    <w:p w14:paraId="152F0836" w14:textId="460680F3" w:rsidR="006F4399" w:rsidRPr="006A4925" w:rsidRDefault="006F4399" w:rsidP="00BD57B0">
      <w:pPr>
        <w:pStyle w:val="FootnoteText"/>
        <w:rPr>
          <w:rFonts w:asciiTheme="minorHAnsi" w:hAnsiTheme="minorHAnsi" w:cstheme="minorHAnsi"/>
        </w:rPr>
      </w:pPr>
      <w:r w:rsidRPr="006A4925">
        <w:rPr>
          <w:rStyle w:val="FootnoteReference"/>
          <w:rFonts w:asciiTheme="minorHAnsi" w:hAnsiTheme="minorHAnsi" w:cstheme="minorHAnsi"/>
        </w:rPr>
        <w:footnoteRef/>
      </w:r>
      <w:r w:rsidRPr="006A4925">
        <w:rPr>
          <w:rFonts w:asciiTheme="minorHAnsi" w:hAnsiTheme="minorHAnsi" w:cstheme="minorHAnsi"/>
        </w:rPr>
        <w:t xml:space="preserve"> Small customers are defined as customers with maximum demand under 20 kW. Medium customers have maximum demand from 20 to </w:t>
      </w:r>
      <w:r>
        <w:rPr>
          <w:rFonts w:asciiTheme="minorHAnsi" w:hAnsiTheme="minorHAnsi" w:cstheme="minorHAnsi"/>
        </w:rPr>
        <w:t>199.99</w:t>
      </w:r>
      <w:r w:rsidRPr="006A4925">
        <w:rPr>
          <w:rFonts w:asciiTheme="minorHAnsi" w:hAnsiTheme="minorHAnsi" w:cstheme="minorHAnsi"/>
        </w:rPr>
        <w:t xml:space="preserve"> kW. </w:t>
      </w:r>
    </w:p>
  </w:footnote>
  <w:footnote w:id="11">
    <w:p w14:paraId="457FB77E" w14:textId="6F7E55C8" w:rsidR="006F4399" w:rsidRPr="00627028" w:rsidRDefault="006F4399">
      <w:pPr>
        <w:pStyle w:val="FootnoteText"/>
        <w:rPr>
          <w:rFonts w:asciiTheme="minorHAnsi" w:hAnsiTheme="minorHAnsi" w:cstheme="minorHAnsi"/>
        </w:rPr>
      </w:pPr>
      <w:r w:rsidRPr="00627028">
        <w:rPr>
          <w:rStyle w:val="FootnoteReference"/>
          <w:rFonts w:asciiTheme="minorHAnsi" w:hAnsiTheme="minorHAnsi" w:cstheme="minorHAnsi"/>
        </w:rPr>
        <w:footnoteRef/>
      </w:r>
      <w:r w:rsidRPr="00627028">
        <w:rPr>
          <w:rFonts w:asciiTheme="minorHAnsi" w:hAnsiTheme="minorHAnsi" w:cstheme="minorHAnsi"/>
        </w:rPr>
        <w:t xml:space="preserve"> See the appendices for more details of our matching approach and how we evaluate match quality.</w:t>
      </w:r>
    </w:p>
  </w:footnote>
  <w:footnote w:id="12">
    <w:p w14:paraId="18FEA182" w14:textId="77777777" w:rsidR="006F4399" w:rsidRPr="00BE1AD6" w:rsidRDefault="006F4399" w:rsidP="009577F5">
      <w:pPr>
        <w:pStyle w:val="FootnoteText"/>
        <w:rPr>
          <w:rFonts w:asciiTheme="minorHAnsi" w:hAnsiTheme="minorHAnsi" w:cstheme="minorHAnsi"/>
        </w:rPr>
      </w:pPr>
      <w:r w:rsidRPr="00BE1AD6">
        <w:rPr>
          <w:rStyle w:val="FootnoteReference"/>
          <w:rFonts w:asciiTheme="minorHAnsi" w:hAnsiTheme="minorHAnsi" w:cstheme="minorHAnsi"/>
        </w:rPr>
        <w:footnoteRef/>
      </w:r>
      <w:r w:rsidRPr="00BE1AD6">
        <w:rPr>
          <w:rFonts w:asciiTheme="minorHAnsi" w:hAnsiTheme="minorHAnsi" w:cstheme="minorHAnsi"/>
        </w:rPr>
        <w:t xml:space="preserve"> This was done by examining customer-specific load impact estimates for the members of this group.</w:t>
      </w:r>
    </w:p>
  </w:footnote>
  <w:footnote w:id="13">
    <w:p w14:paraId="443CB4F2" w14:textId="77777777" w:rsidR="006F4399" w:rsidRPr="00BE1AD6" w:rsidRDefault="006F4399" w:rsidP="00BD63E8">
      <w:pPr>
        <w:pStyle w:val="FootnoteText"/>
        <w:rPr>
          <w:rFonts w:asciiTheme="minorHAnsi" w:hAnsiTheme="minorHAnsi" w:cstheme="minorHAnsi"/>
        </w:rPr>
      </w:pPr>
      <w:r w:rsidRPr="00BE1AD6">
        <w:rPr>
          <w:rStyle w:val="FootnoteReference"/>
          <w:rFonts w:asciiTheme="minorHAnsi" w:hAnsiTheme="minorHAnsi" w:cstheme="minorHAnsi"/>
        </w:rPr>
        <w:footnoteRef/>
      </w:r>
      <w:r w:rsidRPr="00BE1AD6">
        <w:rPr>
          <w:rFonts w:asciiTheme="minorHAnsi" w:hAnsiTheme="minorHAnsi" w:cstheme="minorHAnsi"/>
        </w:rPr>
        <w:t xml:space="preserve"> The “2016 Default” category also includes customers who were early enrollees in PDP from October 2016 through September 2017. However, </w:t>
      </w:r>
      <w:proofErr w:type="gramStart"/>
      <w:r w:rsidRPr="00BE1AD6">
        <w:rPr>
          <w:rFonts w:asciiTheme="minorHAnsi" w:hAnsiTheme="minorHAnsi" w:cstheme="minorHAnsi"/>
        </w:rPr>
        <w:t>the majority of</w:t>
      </w:r>
      <w:proofErr w:type="gramEnd"/>
      <w:r w:rsidRPr="00BE1AD6">
        <w:rPr>
          <w:rFonts w:asciiTheme="minorHAnsi" w:hAnsiTheme="minorHAnsi" w:cstheme="minorHAnsi"/>
        </w:rPr>
        <w:t xml:space="preserve"> the customers in this category joined PDP in November or December 2016, the timing of which indicates they were defaulted onto the rate.</w:t>
      </w:r>
    </w:p>
  </w:footnote>
  <w:footnote w:id="14">
    <w:p w14:paraId="67F67DDB" w14:textId="77777777" w:rsidR="006F4399" w:rsidRPr="006F200B" w:rsidRDefault="006F4399" w:rsidP="00BD63E8">
      <w:pPr>
        <w:pStyle w:val="FootnoteText"/>
        <w:rPr>
          <w:rFonts w:asciiTheme="minorHAnsi" w:hAnsiTheme="minorHAnsi" w:cstheme="minorHAnsi"/>
        </w:rPr>
      </w:pPr>
      <w:r w:rsidRPr="006F200B">
        <w:rPr>
          <w:rStyle w:val="FootnoteReference"/>
          <w:rFonts w:asciiTheme="minorHAnsi" w:hAnsiTheme="minorHAnsi" w:cstheme="minorHAnsi"/>
        </w:rPr>
        <w:footnoteRef/>
      </w:r>
      <w:r w:rsidRPr="006F200B">
        <w:rPr>
          <w:rFonts w:asciiTheme="minorHAnsi" w:hAnsiTheme="minorHAnsi" w:cstheme="minorHAnsi"/>
        </w:rPr>
        <w:t xml:space="preserve"> This difference is the cause of a similarly counter-intuitive comparison between items 3 and 5</w:t>
      </w:r>
      <w:r>
        <w:rPr>
          <w:rFonts w:asciiTheme="minorHAnsi" w:hAnsiTheme="minorHAnsi" w:cstheme="minorHAnsi"/>
        </w:rPr>
        <w:t xml:space="preserve"> for large customers</w:t>
      </w:r>
      <w:r w:rsidRPr="006F200B">
        <w:rPr>
          <w:rFonts w:asciiTheme="minorHAnsi" w:hAnsiTheme="minorHAnsi" w:cstheme="minorHAnsi"/>
        </w:rPr>
        <w:t>.</w:t>
      </w:r>
    </w:p>
  </w:footnote>
  <w:footnote w:id="15">
    <w:p w14:paraId="7FEE1DBF" w14:textId="62E4878A" w:rsidR="006F4399" w:rsidRPr="00AB43B8" w:rsidRDefault="006F4399">
      <w:pPr>
        <w:pStyle w:val="FootnoteText"/>
        <w:rPr>
          <w:rFonts w:asciiTheme="minorHAnsi" w:hAnsiTheme="minorHAnsi" w:cstheme="minorHAnsi"/>
        </w:rPr>
      </w:pPr>
      <w:r w:rsidRPr="00AB43B8">
        <w:rPr>
          <w:rStyle w:val="FootnoteReference"/>
          <w:rFonts w:asciiTheme="minorHAnsi" w:hAnsiTheme="minorHAnsi" w:cstheme="minorHAnsi"/>
        </w:rPr>
        <w:footnoteRef/>
      </w:r>
      <w:r w:rsidRPr="00AB43B8">
        <w:rPr>
          <w:rFonts w:asciiTheme="minorHAnsi" w:hAnsiTheme="minorHAnsi" w:cstheme="minorHAnsi"/>
        </w:rPr>
        <w:t xml:space="preserve"> This group includes all customers that meet these criteria r</w:t>
      </w:r>
      <w:r>
        <w:rPr>
          <w:rFonts w:asciiTheme="minorHAnsi" w:hAnsiTheme="minorHAnsi" w:cstheme="minorHAnsi"/>
        </w:rPr>
        <w:t>egardless of the size of demand (or how negative the load is)</w:t>
      </w:r>
      <w:r w:rsidRPr="00AB43B8">
        <w:rPr>
          <w:rFonts w:asciiTheme="minorHAnsi" w:hAnsiTheme="minorHAnsi" w:cstheme="minorHAnsi"/>
        </w:rPr>
        <w:t>.</w:t>
      </w:r>
    </w:p>
  </w:footnote>
  <w:footnote w:id="16">
    <w:p w14:paraId="60C3D4E7" w14:textId="7E6A521A" w:rsidR="006F4399" w:rsidRPr="00B87398" w:rsidRDefault="006F4399">
      <w:pPr>
        <w:pStyle w:val="FootnoteText"/>
        <w:rPr>
          <w:rFonts w:asciiTheme="minorHAnsi" w:hAnsiTheme="minorHAnsi" w:cstheme="minorHAnsi"/>
        </w:rPr>
      </w:pPr>
      <w:r w:rsidRPr="00B87398">
        <w:rPr>
          <w:rStyle w:val="FootnoteReference"/>
          <w:rFonts w:asciiTheme="minorHAnsi" w:hAnsiTheme="minorHAnsi" w:cstheme="minorHAnsi"/>
        </w:rPr>
        <w:footnoteRef/>
      </w:r>
      <w:r w:rsidRPr="00B87398">
        <w:rPr>
          <w:rFonts w:asciiTheme="minorHAnsi" w:hAnsiTheme="minorHAnsi" w:cstheme="minorHAnsi"/>
        </w:rPr>
        <w:t xml:space="preserve"> </w:t>
      </w:r>
      <w:r w:rsidRPr="00B87398">
        <w:rPr>
          <w:rFonts w:asciiTheme="minorHAnsi" w:hAnsiTheme="minorHAnsi" w:cstheme="minorHAnsi"/>
          <w:szCs w:val="32"/>
        </w:rPr>
        <w:t xml:space="preserve">Two industry groups </w:t>
      </w:r>
      <w:r>
        <w:rPr>
          <w:rFonts w:asciiTheme="minorHAnsi" w:hAnsiTheme="minorHAnsi" w:cstheme="minorHAnsi"/>
          <w:szCs w:val="32"/>
        </w:rPr>
        <w:t xml:space="preserve">have no NEM customers: </w:t>
      </w:r>
      <w:r w:rsidRPr="00B87398">
        <w:rPr>
          <w:rFonts w:asciiTheme="minorHAnsi" w:hAnsiTheme="minorHAnsi" w:cstheme="minorHAnsi"/>
          <w:szCs w:val="32"/>
        </w:rPr>
        <w:t>Agriculture, Mining &amp; Construction</w:t>
      </w:r>
      <w:r>
        <w:rPr>
          <w:rFonts w:asciiTheme="minorHAnsi" w:hAnsiTheme="minorHAnsi" w:cstheme="minorHAnsi"/>
          <w:szCs w:val="32"/>
        </w:rPr>
        <w:t>;</w:t>
      </w:r>
      <w:r w:rsidRPr="00B87398">
        <w:rPr>
          <w:rFonts w:asciiTheme="minorHAnsi" w:hAnsiTheme="minorHAnsi" w:cstheme="minorHAnsi"/>
          <w:szCs w:val="32"/>
        </w:rPr>
        <w:t xml:space="preserve"> and Other or Unknown.</w:t>
      </w:r>
    </w:p>
  </w:footnote>
  <w:footnote w:id="17">
    <w:p w14:paraId="0527A493" w14:textId="457CE42B" w:rsidR="006F4399" w:rsidRPr="00F13EDC" w:rsidRDefault="006F4399">
      <w:pPr>
        <w:pStyle w:val="FootnoteText"/>
        <w:rPr>
          <w:rFonts w:asciiTheme="minorHAnsi" w:hAnsiTheme="minorHAnsi" w:cstheme="minorHAnsi"/>
        </w:rPr>
      </w:pPr>
      <w:r w:rsidRPr="00F13EDC">
        <w:rPr>
          <w:rStyle w:val="FootnoteReference"/>
          <w:rFonts w:asciiTheme="minorHAnsi" w:hAnsiTheme="minorHAnsi" w:cstheme="minorHAnsi"/>
        </w:rPr>
        <w:footnoteRef/>
      </w:r>
      <w:r w:rsidRPr="00F13EDC">
        <w:rPr>
          <w:rFonts w:asciiTheme="minorHAnsi" w:hAnsiTheme="minorHAnsi" w:cstheme="minorHAnsi"/>
        </w:rPr>
        <w:t xml:space="preserve"> Based on SCE’s </w:t>
      </w:r>
      <w:r w:rsidRPr="00F13EDC">
        <w:rPr>
          <w:rFonts w:asciiTheme="minorHAnsi" w:hAnsiTheme="minorHAnsi" w:cstheme="minorHAnsi"/>
          <w:i/>
        </w:rPr>
        <w:t>ex-ante</w:t>
      </w:r>
      <w:r w:rsidRPr="00F13EDC">
        <w:rPr>
          <w:rFonts w:asciiTheme="minorHAnsi" w:hAnsiTheme="minorHAnsi" w:cstheme="minorHAnsi"/>
        </w:rPr>
        <w:t xml:space="preserve"> enrollment forecast, the Aggregator Managed Program is ending in 2017. </w:t>
      </w:r>
    </w:p>
  </w:footnote>
  <w:footnote w:id="18">
    <w:p w14:paraId="1CBC050C" w14:textId="2C69DC2D" w:rsidR="006F4399" w:rsidRPr="0020289F" w:rsidRDefault="006F4399">
      <w:pPr>
        <w:pStyle w:val="FootnoteText"/>
        <w:rPr>
          <w:rFonts w:asciiTheme="minorHAnsi" w:hAnsiTheme="minorHAnsi" w:cstheme="minorHAnsi"/>
        </w:rPr>
      </w:pPr>
      <w:r w:rsidRPr="0020289F">
        <w:rPr>
          <w:rStyle w:val="FootnoteReference"/>
          <w:rFonts w:asciiTheme="minorHAnsi" w:hAnsiTheme="minorHAnsi" w:cstheme="minorHAnsi"/>
        </w:rPr>
        <w:footnoteRef/>
      </w:r>
      <w:r w:rsidRPr="0020289F">
        <w:rPr>
          <w:rFonts w:asciiTheme="minorHAnsi" w:hAnsiTheme="minorHAnsi" w:cstheme="minorHAnsi"/>
        </w:rPr>
        <w:t xml:space="preserve"> Nexant’s study applied a lower percentage load impacts in the first year following customer default than it did for the subsequent years. In this evaluation, we have uniformly used the “steady state” percentage load impacts from the 2020+ years of their evaluation.</w:t>
      </w:r>
    </w:p>
  </w:footnote>
  <w:footnote w:id="19">
    <w:p w14:paraId="0286504F" w14:textId="68D7115C" w:rsidR="006F4399" w:rsidRPr="00441449" w:rsidRDefault="006F4399" w:rsidP="00D3527F">
      <w:pPr>
        <w:pStyle w:val="FootnoteText"/>
        <w:rPr>
          <w:rFonts w:asciiTheme="minorHAnsi" w:hAnsiTheme="minorHAnsi" w:cstheme="minorHAnsi"/>
        </w:rPr>
      </w:pPr>
      <w:r w:rsidRPr="00441449">
        <w:rPr>
          <w:rStyle w:val="FootnoteReference"/>
          <w:rFonts w:asciiTheme="minorHAnsi" w:hAnsiTheme="minorHAnsi" w:cstheme="minorHAnsi"/>
        </w:rPr>
        <w:footnoteRef/>
      </w:r>
      <w:r w:rsidRPr="00441449">
        <w:rPr>
          <w:rFonts w:asciiTheme="minorHAnsi" w:hAnsiTheme="minorHAnsi" w:cstheme="minorHAnsi"/>
        </w:rPr>
        <w:t xml:space="preserve"> The contribution of load impacts by industry group is </w:t>
      </w:r>
      <w:r>
        <w:rPr>
          <w:rFonts w:asciiTheme="minorHAnsi" w:hAnsiTheme="minorHAnsi" w:cstheme="minorHAnsi"/>
        </w:rPr>
        <w:t>after setting negative load impacts to zero</w:t>
      </w:r>
      <w:r w:rsidRPr="00441449">
        <w:rPr>
          <w:rFonts w:asciiTheme="minorHAnsi" w:hAnsiTheme="minorHAnsi" w:cstheme="minorHAnsi"/>
        </w:rPr>
        <w:t>.</w:t>
      </w:r>
    </w:p>
  </w:footnote>
  <w:footnote w:id="20">
    <w:p w14:paraId="75C38CFC" w14:textId="4011BD08" w:rsidR="006F4399" w:rsidRPr="00441449" w:rsidRDefault="006F4399" w:rsidP="00D3527F">
      <w:pPr>
        <w:pStyle w:val="FootnoteText"/>
        <w:rPr>
          <w:rFonts w:asciiTheme="minorHAnsi" w:hAnsiTheme="minorHAnsi" w:cstheme="minorHAnsi"/>
        </w:rPr>
      </w:pPr>
      <w:r w:rsidRPr="00441449">
        <w:rPr>
          <w:rStyle w:val="FootnoteReference"/>
          <w:rFonts w:asciiTheme="minorHAnsi" w:hAnsiTheme="minorHAnsi" w:cstheme="minorHAnsi"/>
        </w:rPr>
        <w:footnoteRef/>
      </w:r>
      <w:r w:rsidRPr="00441449">
        <w:rPr>
          <w:rFonts w:asciiTheme="minorHAnsi" w:hAnsiTheme="minorHAnsi" w:cstheme="minorHAnsi"/>
        </w:rPr>
        <w:t xml:space="preserve"> The contribution of load impacts by industry group is </w:t>
      </w:r>
      <w:r>
        <w:rPr>
          <w:rFonts w:asciiTheme="minorHAnsi" w:hAnsiTheme="minorHAnsi" w:cstheme="minorHAnsi"/>
        </w:rPr>
        <w:t>after setting negative load impacts to zero</w:t>
      </w:r>
      <w:r w:rsidRPr="00441449">
        <w:rPr>
          <w:rFonts w:asciiTheme="minorHAnsi" w:hAnsiTheme="minorHAnsi" w:cstheme="minorHAnsi"/>
        </w:rPr>
        <w:t>.</w:t>
      </w:r>
    </w:p>
  </w:footnote>
  <w:footnote w:id="21">
    <w:p w14:paraId="6A0498C8" w14:textId="77777777" w:rsidR="006F4399" w:rsidRPr="00441449" w:rsidRDefault="006F4399" w:rsidP="00D3527F">
      <w:pPr>
        <w:pStyle w:val="FootnoteText"/>
        <w:rPr>
          <w:rFonts w:asciiTheme="minorHAnsi" w:hAnsiTheme="minorHAnsi" w:cstheme="minorHAnsi"/>
        </w:rPr>
      </w:pPr>
      <w:r w:rsidRPr="00441449">
        <w:rPr>
          <w:rStyle w:val="FootnoteReference"/>
          <w:rFonts w:asciiTheme="minorHAnsi" w:hAnsiTheme="minorHAnsi" w:cstheme="minorHAnsi"/>
        </w:rPr>
        <w:footnoteRef/>
      </w:r>
      <w:r w:rsidRPr="00441449">
        <w:rPr>
          <w:rFonts w:asciiTheme="minorHAnsi" w:hAnsiTheme="minorHAnsi" w:cstheme="minorHAnsi"/>
        </w:rPr>
        <w:t xml:space="preserve"> The </w:t>
      </w:r>
      <w:r w:rsidRPr="00441449">
        <w:rPr>
          <w:rFonts w:asciiTheme="minorHAnsi" w:hAnsiTheme="minorHAnsi" w:cstheme="minorHAnsi"/>
          <w:i/>
        </w:rPr>
        <w:t>ex-post</w:t>
      </w:r>
      <w:r w:rsidRPr="00441449">
        <w:rPr>
          <w:rFonts w:asciiTheme="minorHAnsi" w:hAnsiTheme="minorHAnsi" w:cstheme="minorHAnsi"/>
        </w:rPr>
        <w:t xml:space="preserve"> percentage load impacts for the weekday events are used because the small sample size of events reduces the variation that can be used to identify an adequate relationship between load impacts and weather.</w:t>
      </w:r>
    </w:p>
  </w:footnote>
  <w:footnote w:id="22">
    <w:p w14:paraId="39DBBD4D" w14:textId="5C18E894" w:rsidR="006F4399" w:rsidRPr="00A5498F" w:rsidRDefault="006F4399">
      <w:pPr>
        <w:pStyle w:val="FootnoteText"/>
        <w:rPr>
          <w:rFonts w:asciiTheme="minorHAnsi" w:hAnsiTheme="minorHAnsi" w:cstheme="minorHAnsi"/>
        </w:rPr>
      </w:pPr>
      <w:r w:rsidRPr="00A5498F">
        <w:rPr>
          <w:rStyle w:val="FootnoteReference"/>
          <w:rFonts w:asciiTheme="minorHAnsi" w:hAnsiTheme="minorHAnsi" w:cstheme="minorHAnsi"/>
        </w:rPr>
        <w:footnoteRef/>
      </w:r>
      <w:r w:rsidRPr="00A5498F">
        <w:rPr>
          <w:rFonts w:asciiTheme="minorHAnsi" w:hAnsiTheme="minorHAnsi" w:cstheme="minorHAnsi"/>
        </w:rPr>
        <w:t xml:space="preserve"> Note that “biased” matches do not necessarily adversely affect the estimated load impacts, as we employ a difference-in-differences estimation methodology that accounts for load differences during the matching (pre-treatment) period.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9A6D2D" w14:textId="77777777" w:rsidR="006F4399" w:rsidRDefault="006F4399">
    <w:pPr>
      <w:pStyle w:val="Header"/>
    </w:pPr>
    <w:r>
      <w:rPr>
        <w:noProof/>
      </w:rPr>
      <w:drawing>
        <wp:inline distT="0" distB="0" distL="0" distR="0" wp14:anchorId="6265FF2B" wp14:editId="7DFAFF04">
          <wp:extent cx="3267075" cy="1009650"/>
          <wp:effectExtent l="0" t="0" r="9525" b="0"/>
          <wp:docPr id="1" name="Picture 10" descr="CA Energy Consul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 Energy Consulting"/>
                  <pic:cNvPicPr>
                    <a:picLocks noChangeAspect="1" noChangeArrowheads="1"/>
                  </pic:cNvPicPr>
                </pic:nvPicPr>
                <pic:blipFill>
                  <a:blip r:embed="rId1">
                    <a:extLst>
                      <a:ext uri="{28A0092B-C50C-407E-A947-70E740481C1C}">
                        <a14:useLocalDpi xmlns:a14="http://schemas.microsoft.com/office/drawing/2010/main" val="0"/>
                      </a:ext>
                    </a:extLst>
                  </a:blip>
                  <a:srcRect l="12318"/>
                  <a:stretch>
                    <a:fillRect/>
                  </a:stretch>
                </pic:blipFill>
                <pic:spPr bwMode="auto">
                  <a:xfrm>
                    <a:off x="0" y="0"/>
                    <a:ext cx="3267075" cy="100965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5084B6" w14:textId="6C01B2BA" w:rsidR="006F4399" w:rsidRPr="00BF5CF6" w:rsidRDefault="006F4399">
    <w:pPr>
      <w:pStyle w:val="Header"/>
      <w:rPr>
        <w:sz w:val="16"/>
        <w:szCs w:val="16"/>
      </w:rPr>
    </w:pPr>
    <w:r w:rsidRPr="00BF5CF6">
      <w:rPr>
        <w:i/>
        <w:sz w:val="16"/>
        <w:szCs w:val="16"/>
      </w:rPr>
      <w:t>This document contains Pacific Gas and Electric Company’s CONFIDENTIAL information described in declaration of Franklin Fuchs dated March 30, 2018.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C1335"/>
    <w:multiLevelType w:val="hybridMultilevel"/>
    <w:tmpl w:val="FD1834BE"/>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4154202"/>
    <w:multiLevelType w:val="hybridMultilevel"/>
    <w:tmpl w:val="085E45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573676"/>
    <w:multiLevelType w:val="hybridMultilevel"/>
    <w:tmpl w:val="F1C81C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2253B0"/>
    <w:multiLevelType w:val="hybridMultilevel"/>
    <w:tmpl w:val="A54E2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C868DA"/>
    <w:multiLevelType w:val="hybridMultilevel"/>
    <w:tmpl w:val="856AA9F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E934BEB"/>
    <w:multiLevelType w:val="hybridMultilevel"/>
    <w:tmpl w:val="5B124B2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11260E08"/>
    <w:multiLevelType w:val="hybridMultilevel"/>
    <w:tmpl w:val="0C7EA56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1B50B68"/>
    <w:multiLevelType w:val="hybridMultilevel"/>
    <w:tmpl w:val="D85CBD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2CD695A"/>
    <w:multiLevelType w:val="hybridMultilevel"/>
    <w:tmpl w:val="BB1E1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0E3ECB"/>
    <w:multiLevelType w:val="multilevel"/>
    <w:tmpl w:val="CEC6FF22"/>
    <w:lvl w:ilvl="0">
      <w:start w:val="1"/>
      <w:numFmt w:val="decimal"/>
      <w:lvlText w:val="%1."/>
      <w:lvlJc w:val="left"/>
      <w:pPr>
        <w:ind w:left="360" w:hanging="360"/>
      </w:pPr>
      <w:rPr>
        <w:rFonts w:hint="default"/>
      </w:rPr>
    </w:lvl>
    <w:lvl w:ilvl="1">
      <w:start w:val="1"/>
      <w:numFmt w:val="decimal"/>
      <w:lvlText w:val="%2.%1"/>
      <w:lvlJc w:val="left"/>
      <w:pPr>
        <w:ind w:left="720" w:hanging="360"/>
      </w:pPr>
      <w:rPr>
        <w:rFonts w:hint="default"/>
      </w:rPr>
    </w:lvl>
    <w:lvl w:ilvl="2">
      <w:start w:val="1"/>
      <w:numFmt w:val="decimal"/>
      <w:lvlText w:val="%3.%1.%2"/>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6253888"/>
    <w:multiLevelType w:val="hybridMultilevel"/>
    <w:tmpl w:val="ED043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3A00FA"/>
    <w:multiLevelType w:val="hybridMultilevel"/>
    <w:tmpl w:val="67B614A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9830AC"/>
    <w:multiLevelType w:val="hybridMultilevel"/>
    <w:tmpl w:val="D85CBD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E07ADC"/>
    <w:multiLevelType w:val="hybridMultilevel"/>
    <w:tmpl w:val="25D25D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00523B1"/>
    <w:multiLevelType w:val="hybridMultilevel"/>
    <w:tmpl w:val="3BAC8910"/>
    <w:lvl w:ilvl="0" w:tplc="77800714">
      <w:start w:val="1"/>
      <w:numFmt w:val="decimal"/>
      <w:lvlText w:val="%1."/>
      <w:lvlJc w:val="left"/>
      <w:pPr>
        <w:ind w:left="360" w:hanging="360"/>
      </w:pPr>
      <w:rPr>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21E752C9"/>
    <w:multiLevelType w:val="hybridMultilevel"/>
    <w:tmpl w:val="7BCE216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3C1669E1"/>
    <w:multiLevelType w:val="hybridMultilevel"/>
    <w:tmpl w:val="3FFE5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D576E7E"/>
    <w:multiLevelType w:val="hybridMultilevel"/>
    <w:tmpl w:val="60C62208"/>
    <w:lvl w:ilvl="0" w:tplc="F19CA70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3F707791"/>
    <w:multiLevelType w:val="multilevel"/>
    <w:tmpl w:val="2A08E924"/>
    <w:lvl w:ilvl="0">
      <w:start w:val="1"/>
      <w:numFmt w:val="decimal"/>
      <w:pStyle w:val="Heading1"/>
      <w:suff w:val="space"/>
      <w:lvlText w:val="%1."/>
      <w:lvlJc w:val="left"/>
      <w:pPr>
        <w:ind w:left="360" w:hanging="360"/>
      </w:pPr>
      <w:rPr>
        <w:rFonts w:ascii="Arial" w:hAnsi="Arial" w:hint="default"/>
        <w:b/>
        <w:i w:val="0"/>
        <w:sz w:val="32"/>
      </w:rPr>
    </w:lvl>
    <w:lvl w:ilvl="1">
      <w:start w:val="1"/>
      <w:numFmt w:val="decimal"/>
      <w:pStyle w:val="Heading2"/>
      <w:suff w:val="space"/>
      <w:lvlText w:val="%1.%2"/>
      <w:lvlJc w:val="left"/>
      <w:pPr>
        <w:ind w:left="0" w:firstLine="0"/>
      </w:pPr>
      <w:rPr>
        <w:rFonts w:ascii="Arial" w:hAnsi="Arial" w:hint="default"/>
        <w:b/>
        <w:i/>
        <w:sz w:val="28"/>
      </w:rPr>
    </w:lvl>
    <w:lvl w:ilvl="2">
      <w:start w:val="1"/>
      <w:numFmt w:val="decimal"/>
      <w:pStyle w:val="Heading3"/>
      <w:suff w:val="space"/>
      <w:lvlText w:val="%1.%2.%3"/>
      <w:lvlJc w:val="left"/>
      <w:pPr>
        <w:ind w:left="0" w:firstLine="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471A7A8B"/>
    <w:multiLevelType w:val="hybridMultilevel"/>
    <w:tmpl w:val="BA049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8B2B9E"/>
    <w:multiLevelType w:val="multilevel"/>
    <w:tmpl w:val="F5844DC8"/>
    <w:lvl w:ilvl="0">
      <w:start w:val="1"/>
      <w:numFmt w:val="decimal"/>
      <w:lvlText w:val="%1."/>
      <w:lvlJc w:val="left"/>
      <w:pPr>
        <w:tabs>
          <w:tab w:val="num" w:pos="720"/>
        </w:tabs>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DB143AD"/>
    <w:multiLevelType w:val="hybridMultilevel"/>
    <w:tmpl w:val="28F24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0C434AA"/>
    <w:multiLevelType w:val="hybridMultilevel"/>
    <w:tmpl w:val="507C1C2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3" w15:restartNumberingAfterBreak="0">
    <w:nsid w:val="529036A5"/>
    <w:multiLevelType w:val="hybridMultilevel"/>
    <w:tmpl w:val="2220AF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2C51BAF"/>
    <w:multiLevelType w:val="hybridMultilevel"/>
    <w:tmpl w:val="5FE06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4CA09F6"/>
    <w:multiLevelType w:val="hybridMultilevel"/>
    <w:tmpl w:val="BD76D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757DCE"/>
    <w:multiLevelType w:val="hybridMultilevel"/>
    <w:tmpl w:val="3AB82136"/>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98D2DD6"/>
    <w:multiLevelType w:val="hybridMultilevel"/>
    <w:tmpl w:val="3A5C2B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A3030CA"/>
    <w:multiLevelType w:val="hybridMultilevel"/>
    <w:tmpl w:val="04FA4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B563CB4"/>
    <w:multiLevelType w:val="hybridMultilevel"/>
    <w:tmpl w:val="09FC4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C991E06"/>
    <w:multiLevelType w:val="hybridMultilevel"/>
    <w:tmpl w:val="E4F8BC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5A7E60"/>
    <w:multiLevelType w:val="hybridMultilevel"/>
    <w:tmpl w:val="0F1E4E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8E60537"/>
    <w:multiLevelType w:val="hybridMultilevel"/>
    <w:tmpl w:val="653C40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8F01073"/>
    <w:multiLevelType w:val="hybridMultilevel"/>
    <w:tmpl w:val="5B08D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BF6119A"/>
    <w:multiLevelType w:val="hybridMultilevel"/>
    <w:tmpl w:val="3FFE5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DEC489F"/>
    <w:multiLevelType w:val="hybridMultilevel"/>
    <w:tmpl w:val="5EB6EFA0"/>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6" w15:restartNumberingAfterBreak="0">
    <w:nsid w:val="70467CAB"/>
    <w:multiLevelType w:val="hybridMultilevel"/>
    <w:tmpl w:val="0B563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3A14720"/>
    <w:multiLevelType w:val="hybridMultilevel"/>
    <w:tmpl w:val="A11E8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6E21CF0"/>
    <w:multiLevelType w:val="hybridMultilevel"/>
    <w:tmpl w:val="9B28C80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78355E45"/>
    <w:multiLevelType w:val="hybridMultilevel"/>
    <w:tmpl w:val="9F1437A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8687BE6"/>
    <w:multiLevelType w:val="hybridMultilevel"/>
    <w:tmpl w:val="01A68C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BD033DD"/>
    <w:multiLevelType w:val="hybridMultilevel"/>
    <w:tmpl w:val="D2AA5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C5E6AA9"/>
    <w:multiLevelType w:val="hybridMultilevel"/>
    <w:tmpl w:val="34C84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EE14889"/>
    <w:multiLevelType w:val="hybridMultilevel"/>
    <w:tmpl w:val="75AE3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5"/>
  </w:num>
  <w:num w:numId="3">
    <w:abstractNumId w:val="1"/>
  </w:num>
  <w:num w:numId="4">
    <w:abstractNumId w:val="39"/>
  </w:num>
  <w:num w:numId="5">
    <w:abstractNumId w:val="31"/>
  </w:num>
  <w:num w:numId="6">
    <w:abstractNumId w:val="0"/>
  </w:num>
  <w:num w:numId="7">
    <w:abstractNumId w:val="15"/>
  </w:num>
  <w:num w:numId="8">
    <w:abstractNumId w:val="4"/>
  </w:num>
  <w:num w:numId="9">
    <w:abstractNumId w:val="20"/>
  </w:num>
  <w:num w:numId="10">
    <w:abstractNumId w:val="28"/>
  </w:num>
  <w:num w:numId="11">
    <w:abstractNumId w:val="14"/>
  </w:num>
  <w:num w:numId="12">
    <w:abstractNumId w:val="19"/>
  </w:num>
  <w:num w:numId="13">
    <w:abstractNumId w:val="43"/>
  </w:num>
  <w:num w:numId="14">
    <w:abstractNumId w:val="13"/>
  </w:num>
  <w:num w:numId="15">
    <w:abstractNumId w:val="36"/>
  </w:num>
  <w:num w:numId="16">
    <w:abstractNumId w:val="41"/>
  </w:num>
  <w:num w:numId="17">
    <w:abstractNumId w:val="2"/>
  </w:num>
  <w:num w:numId="18">
    <w:abstractNumId w:val="37"/>
  </w:num>
  <w:num w:numId="19">
    <w:abstractNumId w:val="8"/>
  </w:num>
  <w:num w:numId="20">
    <w:abstractNumId w:val="33"/>
  </w:num>
  <w:num w:numId="21">
    <w:abstractNumId w:val="6"/>
  </w:num>
  <w:num w:numId="22">
    <w:abstractNumId w:val="11"/>
  </w:num>
  <w:num w:numId="23">
    <w:abstractNumId w:val="38"/>
  </w:num>
  <w:num w:numId="24">
    <w:abstractNumId w:val="16"/>
  </w:num>
  <w:num w:numId="25">
    <w:abstractNumId w:val="34"/>
  </w:num>
  <w:num w:numId="26">
    <w:abstractNumId w:val="12"/>
  </w:num>
  <w:num w:numId="27">
    <w:abstractNumId w:val="24"/>
  </w:num>
  <w:num w:numId="28">
    <w:abstractNumId w:val="7"/>
  </w:num>
  <w:num w:numId="29">
    <w:abstractNumId w:val="32"/>
  </w:num>
  <w:num w:numId="30">
    <w:abstractNumId w:val="42"/>
  </w:num>
  <w:num w:numId="31">
    <w:abstractNumId w:val="29"/>
  </w:num>
  <w:num w:numId="32">
    <w:abstractNumId w:val="3"/>
  </w:num>
  <w:num w:numId="33">
    <w:abstractNumId w:val="25"/>
  </w:num>
  <w:num w:numId="34">
    <w:abstractNumId w:val="17"/>
  </w:num>
  <w:num w:numId="35">
    <w:abstractNumId w:val="40"/>
  </w:num>
  <w:num w:numId="36">
    <w:abstractNumId w:val="30"/>
  </w:num>
  <w:num w:numId="37">
    <w:abstractNumId w:val="3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0"/>
  </w:num>
  <w:num w:numId="3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7"/>
  </w:num>
  <w:num w:numId="41">
    <w:abstractNumId w:val="21"/>
  </w:num>
  <w:num w:numId="42">
    <w:abstractNumId w:val="26"/>
  </w:num>
  <w:num w:numId="43">
    <w:abstractNumId w:val="18"/>
  </w:num>
  <w:num w:numId="44">
    <w:abstractNumId w:val="9"/>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8"/>
  </w:num>
  <w:num w:numId="47">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720"/>
  <w:characterSpacingControl w:val="doNotCompress"/>
  <w:hdrShapeDefaults>
    <o:shapedefaults v:ext="edit" spidmax="435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152"/>
    <w:rsid w:val="0000036B"/>
    <w:rsid w:val="000003F4"/>
    <w:rsid w:val="00000ABC"/>
    <w:rsid w:val="00000F64"/>
    <w:rsid w:val="00000FFA"/>
    <w:rsid w:val="00001114"/>
    <w:rsid w:val="0000185B"/>
    <w:rsid w:val="000020F2"/>
    <w:rsid w:val="00002343"/>
    <w:rsid w:val="0000252B"/>
    <w:rsid w:val="00002762"/>
    <w:rsid w:val="00002D6C"/>
    <w:rsid w:val="0000300C"/>
    <w:rsid w:val="00003581"/>
    <w:rsid w:val="00003F3D"/>
    <w:rsid w:val="000050F0"/>
    <w:rsid w:val="0000535B"/>
    <w:rsid w:val="00005543"/>
    <w:rsid w:val="00005BFB"/>
    <w:rsid w:val="00006D75"/>
    <w:rsid w:val="00006EAE"/>
    <w:rsid w:val="00007D62"/>
    <w:rsid w:val="00007DFA"/>
    <w:rsid w:val="000108F5"/>
    <w:rsid w:val="00010ABB"/>
    <w:rsid w:val="0001220B"/>
    <w:rsid w:val="000123D1"/>
    <w:rsid w:val="000126F6"/>
    <w:rsid w:val="00012890"/>
    <w:rsid w:val="00012EAE"/>
    <w:rsid w:val="00013CF1"/>
    <w:rsid w:val="0001406F"/>
    <w:rsid w:val="0001525A"/>
    <w:rsid w:val="0001546C"/>
    <w:rsid w:val="00015EA5"/>
    <w:rsid w:val="00015F7C"/>
    <w:rsid w:val="00016113"/>
    <w:rsid w:val="00016547"/>
    <w:rsid w:val="000166D4"/>
    <w:rsid w:val="00016871"/>
    <w:rsid w:val="0001729D"/>
    <w:rsid w:val="00017A5A"/>
    <w:rsid w:val="00017E85"/>
    <w:rsid w:val="000203BC"/>
    <w:rsid w:val="00020A68"/>
    <w:rsid w:val="00020B08"/>
    <w:rsid w:val="00020B85"/>
    <w:rsid w:val="000228FB"/>
    <w:rsid w:val="00022FE3"/>
    <w:rsid w:val="000236E4"/>
    <w:rsid w:val="00023781"/>
    <w:rsid w:val="00023B81"/>
    <w:rsid w:val="00024FF4"/>
    <w:rsid w:val="000258C5"/>
    <w:rsid w:val="00025EDD"/>
    <w:rsid w:val="000266B6"/>
    <w:rsid w:val="000268D5"/>
    <w:rsid w:val="00026948"/>
    <w:rsid w:val="00026AA0"/>
    <w:rsid w:val="00027555"/>
    <w:rsid w:val="0002766D"/>
    <w:rsid w:val="00027862"/>
    <w:rsid w:val="000278A7"/>
    <w:rsid w:val="0002790C"/>
    <w:rsid w:val="00027D93"/>
    <w:rsid w:val="00030E4E"/>
    <w:rsid w:val="00030F74"/>
    <w:rsid w:val="0003244D"/>
    <w:rsid w:val="000334AA"/>
    <w:rsid w:val="00033523"/>
    <w:rsid w:val="00033939"/>
    <w:rsid w:val="00033B2D"/>
    <w:rsid w:val="00033BE8"/>
    <w:rsid w:val="00033EBC"/>
    <w:rsid w:val="00034D36"/>
    <w:rsid w:val="00034D45"/>
    <w:rsid w:val="00034DD7"/>
    <w:rsid w:val="00036433"/>
    <w:rsid w:val="00036580"/>
    <w:rsid w:val="000367FE"/>
    <w:rsid w:val="00036912"/>
    <w:rsid w:val="00037539"/>
    <w:rsid w:val="000402E2"/>
    <w:rsid w:val="000409E9"/>
    <w:rsid w:val="00040B1B"/>
    <w:rsid w:val="00040CDD"/>
    <w:rsid w:val="00041055"/>
    <w:rsid w:val="00041630"/>
    <w:rsid w:val="00042286"/>
    <w:rsid w:val="00044F79"/>
    <w:rsid w:val="000452FA"/>
    <w:rsid w:val="000466CE"/>
    <w:rsid w:val="0004679B"/>
    <w:rsid w:val="00047A89"/>
    <w:rsid w:val="00047B5B"/>
    <w:rsid w:val="00050370"/>
    <w:rsid w:val="000507BD"/>
    <w:rsid w:val="00050B8A"/>
    <w:rsid w:val="00050C0C"/>
    <w:rsid w:val="0005199B"/>
    <w:rsid w:val="00053A94"/>
    <w:rsid w:val="00053AAD"/>
    <w:rsid w:val="00053DF3"/>
    <w:rsid w:val="00053E81"/>
    <w:rsid w:val="0005405B"/>
    <w:rsid w:val="00054A32"/>
    <w:rsid w:val="00054B50"/>
    <w:rsid w:val="00055129"/>
    <w:rsid w:val="00055160"/>
    <w:rsid w:val="0005535F"/>
    <w:rsid w:val="000564F2"/>
    <w:rsid w:val="00056855"/>
    <w:rsid w:val="0005693D"/>
    <w:rsid w:val="00060B4B"/>
    <w:rsid w:val="00061320"/>
    <w:rsid w:val="00061547"/>
    <w:rsid w:val="000617A8"/>
    <w:rsid w:val="000619F5"/>
    <w:rsid w:val="00061C89"/>
    <w:rsid w:val="00061E03"/>
    <w:rsid w:val="00061FC5"/>
    <w:rsid w:val="00062078"/>
    <w:rsid w:val="00062D9B"/>
    <w:rsid w:val="0006376B"/>
    <w:rsid w:val="0006471C"/>
    <w:rsid w:val="000651C0"/>
    <w:rsid w:val="000652FF"/>
    <w:rsid w:val="0006560A"/>
    <w:rsid w:val="0006701E"/>
    <w:rsid w:val="00067329"/>
    <w:rsid w:val="000700BB"/>
    <w:rsid w:val="00070607"/>
    <w:rsid w:val="00070D46"/>
    <w:rsid w:val="00071339"/>
    <w:rsid w:val="00071500"/>
    <w:rsid w:val="00071849"/>
    <w:rsid w:val="00071910"/>
    <w:rsid w:val="00071C54"/>
    <w:rsid w:val="0007241B"/>
    <w:rsid w:val="00072751"/>
    <w:rsid w:val="0007282E"/>
    <w:rsid w:val="00072937"/>
    <w:rsid w:val="00072F42"/>
    <w:rsid w:val="000731CE"/>
    <w:rsid w:val="000735C7"/>
    <w:rsid w:val="00074291"/>
    <w:rsid w:val="00074828"/>
    <w:rsid w:val="00074E99"/>
    <w:rsid w:val="00075203"/>
    <w:rsid w:val="000752DD"/>
    <w:rsid w:val="000755D3"/>
    <w:rsid w:val="000758C4"/>
    <w:rsid w:val="0007646E"/>
    <w:rsid w:val="00076CA1"/>
    <w:rsid w:val="00077BB9"/>
    <w:rsid w:val="00077D21"/>
    <w:rsid w:val="00080278"/>
    <w:rsid w:val="000808AB"/>
    <w:rsid w:val="0008198D"/>
    <w:rsid w:val="0008298F"/>
    <w:rsid w:val="00082E39"/>
    <w:rsid w:val="00083537"/>
    <w:rsid w:val="0008397B"/>
    <w:rsid w:val="00083A7E"/>
    <w:rsid w:val="00083F91"/>
    <w:rsid w:val="00084100"/>
    <w:rsid w:val="00084917"/>
    <w:rsid w:val="000854B4"/>
    <w:rsid w:val="00085A1E"/>
    <w:rsid w:val="00086149"/>
    <w:rsid w:val="00086C15"/>
    <w:rsid w:val="000871BA"/>
    <w:rsid w:val="000875F2"/>
    <w:rsid w:val="000877C4"/>
    <w:rsid w:val="00087B03"/>
    <w:rsid w:val="00090823"/>
    <w:rsid w:val="00090F29"/>
    <w:rsid w:val="000913F8"/>
    <w:rsid w:val="00092448"/>
    <w:rsid w:val="0009359B"/>
    <w:rsid w:val="0009420B"/>
    <w:rsid w:val="00094ED8"/>
    <w:rsid w:val="000953AB"/>
    <w:rsid w:val="00095BA1"/>
    <w:rsid w:val="00096A37"/>
    <w:rsid w:val="00097524"/>
    <w:rsid w:val="000978C2"/>
    <w:rsid w:val="000A159F"/>
    <w:rsid w:val="000A1B9B"/>
    <w:rsid w:val="000A20E4"/>
    <w:rsid w:val="000A24BE"/>
    <w:rsid w:val="000A271C"/>
    <w:rsid w:val="000A2934"/>
    <w:rsid w:val="000A30CE"/>
    <w:rsid w:val="000A3F28"/>
    <w:rsid w:val="000A52D9"/>
    <w:rsid w:val="000A5415"/>
    <w:rsid w:val="000A5C9F"/>
    <w:rsid w:val="000A62B0"/>
    <w:rsid w:val="000A688F"/>
    <w:rsid w:val="000A6F11"/>
    <w:rsid w:val="000A709E"/>
    <w:rsid w:val="000A774B"/>
    <w:rsid w:val="000B0C9B"/>
    <w:rsid w:val="000B246D"/>
    <w:rsid w:val="000B35D6"/>
    <w:rsid w:val="000B3892"/>
    <w:rsid w:val="000B3C39"/>
    <w:rsid w:val="000B3E40"/>
    <w:rsid w:val="000B49DE"/>
    <w:rsid w:val="000B4FFE"/>
    <w:rsid w:val="000B5063"/>
    <w:rsid w:val="000B548C"/>
    <w:rsid w:val="000B5A5D"/>
    <w:rsid w:val="000B5F71"/>
    <w:rsid w:val="000B680C"/>
    <w:rsid w:val="000C0012"/>
    <w:rsid w:val="000C0049"/>
    <w:rsid w:val="000C0369"/>
    <w:rsid w:val="000C05A8"/>
    <w:rsid w:val="000C14C7"/>
    <w:rsid w:val="000C1FB1"/>
    <w:rsid w:val="000C269B"/>
    <w:rsid w:val="000C2DD5"/>
    <w:rsid w:val="000C33F6"/>
    <w:rsid w:val="000C3E81"/>
    <w:rsid w:val="000C4500"/>
    <w:rsid w:val="000C6887"/>
    <w:rsid w:val="000C72E7"/>
    <w:rsid w:val="000C7BA3"/>
    <w:rsid w:val="000C7E92"/>
    <w:rsid w:val="000D03E3"/>
    <w:rsid w:val="000D0681"/>
    <w:rsid w:val="000D06FE"/>
    <w:rsid w:val="000D0F27"/>
    <w:rsid w:val="000D1BFC"/>
    <w:rsid w:val="000D1C75"/>
    <w:rsid w:val="000D3801"/>
    <w:rsid w:val="000D389C"/>
    <w:rsid w:val="000D3C60"/>
    <w:rsid w:val="000D4772"/>
    <w:rsid w:val="000D4B4C"/>
    <w:rsid w:val="000D4C10"/>
    <w:rsid w:val="000D5055"/>
    <w:rsid w:val="000D557D"/>
    <w:rsid w:val="000D65CE"/>
    <w:rsid w:val="000D77A1"/>
    <w:rsid w:val="000D7BCA"/>
    <w:rsid w:val="000D7FE3"/>
    <w:rsid w:val="000E0BF1"/>
    <w:rsid w:val="000E113A"/>
    <w:rsid w:val="000E177C"/>
    <w:rsid w:val="000E17CF"/>
    <w:rsid w:val="000E20AC"/>
    <w:rsid w:val="000E211A"/>
    <w:rsid w:val="000E21EC"/>
    <w:rsid w:val="000E2230"/>
    <w:rsid w:val="000E22F3"/>
    <w:rsid w:val="000E3091"/>
    <w:rsid w:val="000E35C3"/>
    <w:rsid w:val="000E364C"/>
    <w:rsid w:val="000E38E8"/>
    <w:rsid w:val="000E4A6F"/>
    <w:rsid w:val="000E54AC"/>
    <w:rsid w:val="000E553B"/>
    <w:rsid w:val="000E5ADF"/>
    <w:rsid w:val="000E6034"/>
    <w:rsid w:val="000E6094"/>
    <w:rsid w:val="000E751D"/>
    <w:rsid w:val="000E76C7"/>
    <w:rsid w:val="000F0BD6"/>
    <w:rsid w:val="000F0BFA"/>
    <w:rsid w:val="000F1539"/>
    <w:rsid w:val="000F1D9A"/>
    <w:rsid w:val="000F223A"/>
    <w:rsid w:val="000F2649"/>
    <w:rsid w:val="000F2EAB"/>
    <w:rsid w:val="000F2F8E"/>
    <w:rsid w:val="000F3A8C"/>
    <w:rsid w:val="000F3BD9"/>
    <w:rsid w:val="000F4111"/>
    <w:rsid w:val="000F5552"/>
    <w:rsid w:val="000F5952"/>
    <w:rsid w:val="000F6635"/>
    <w:rsid w:val="000F694E"/>
    <w:rsid w:val="000F6E31"/>
    <w:rsid w:val="000F75A8"/>
    <w:rsid w:val="000F77A4"/>
    <w:rsid w:val="000F7C62"/>
    <w:rsid w:val="00101116"/>
    <w:rsid w:val="0010166C"/>
    <w:rsid w:val="0010173B"/>
    <w:rsid w:val="00101808"/>
    <w:rsid w:val="00102FCC"/>
    <w:rsid w:val="00103591"/>
    <w:rsid w:val="001047CE"/>
    <w:rsid w:val="00104977"/>
    <w:rsid w:val="00105D44"/>
    <w:rsid w:val="00107507"/>
    <w:rsid w:val="001078BE"/>
    <w:rsid w:val="001101A4"/>
    <w:rsid w:val="001107D1"/>
    <w:rsid w:val="00111784"/>
    <w:rsid w:val="001117C2"/>
    <w:rsid w:val="001119D0"/>
    <w:rsid w:val="00111A6E"/>
    <w:rsid w:val="00111A73"/>
    <w:rsid w:val="00111E69"/>
    <w:rsid w:val="00111FB1"/>
    <w:rsid w:val="00112F67"/>
    <w:rsid w:val="001140E5"/>
    <w:rsid w:val="001143E8"/>
    <w:rsid w:val="00114823"/>
    <w:rsid w:val="00114FE1"/>
    <w:rsid w:val="0011560E"/>
    <w:rsid w:val="00116D31"/>
    <w:rsid w:val="00117B0D"/>
    <w:rsid w:val="00117F6C"/>
    <w:rsid w:val="00120F3A"/>
    <w:rsid w:val="001210AD"/>
    <w:rsid w:val="00121166"/>
    <w:rsid w:val="00122B24"/>
    <w:rsid w:val="00123E7E"/>
    <w:rsid w:val="001249A4"/>
    <w:rsid w:val="00125195"/>
    <w:rsid w:val="001253E3"/>
    <w:rsid w:val="0012548E"/>
    <w:rsid w:val="00125A72"/>
    <w:rsid w:val="001267BF"/>
    <w:rsid w:val="00127A10"/>
    <w:rsid w:val="00130284"/>
    <w:rsid w:val="0013054B"/>
    <w:rsid w:val="00130EA2"/>
    <w:rsid w:val="00131108"/>
    <w:rsid w:val="00131131"/>
    <w:rsid w:val="00131574"/>
    <w:rsid w:val="00131683"/>
    <w:rsid w:val="0013181E"/>
    <w:rsid w:val="00131A27"/>
    <w:rsid w:val="00132CE7"/>
    <w:rsid w:val="00133091"/>
    <w:rsid w:val="00133730"/>
    <w:rsid w:val="00135C08"/>
    <w:rsid w:val="00135E8D"/>
    <w:rsid w:val="00136040"/>
    <w:rsid w:val="0013628E"/>
    <w:rsid w:val="00136593"/>
    <w:rsid w:val="00137D19"/>
    <w:rsid w:val="001401B3"/>
    <w:rsid w:val="001408A6"/>
    <w:rsid w:val="00140939"/>
    <w:rsid w:val="00141AD8"/>
    <w:rsid w:val="00142887"/>
    <w:rsid w:val="00142E2B"/>
    <w:rsid w:val="00142FAC"/>
    <w:rsid w:val="00142FB1"/>
    <w:rsid w:val="00143366"/>
    <w:rsid w:val="001441CB"/>
    <w:rsid w:val="00145B33"/>
    <w:rsid w:val="0014645D"/>
    <w:rsid w:val="00146B5B"/>
    <w:rsid w:val="00146E50"/>
    <w:rsid w:val="00146FDB"/>
    <w:rsid w:val="00147188"/>
    <w:rsid w:val="001473A3"/>
    <w:rsid w:val="00147504"/>
    <w:rsid w:val="001501B5"/>
    <w:rsid w:val="00150451"/>
    <w:rsid w:val="00151450"/>
    <w:rsid w:val="0015173F"/>
    <w:rsid w:val="00152B65"/>
    <w:rsid w:val="00152D63"/>
    <w:rsid w:val="00152F96"/>
    <w:rsid w:val="001530A9"/>
    <w:rsid w:val="001531FF"/>
    <w:rsid w:val="00153203"/>
    <w:rsid w:val="00153348"/>
    <w:rsid w:val="00153D58"/>
    <w:rsid w:val="0015489E"/>
    <w:rsid w:val="00154C99"/>
    <w:rsid w:val="00154E17"/>
    <w:rsid w:val="001557DB"/>
    <w:rsid w:val="0015637E"/>
    <w:rsid w:val="00156FAB"/>
    <w:rsid w:val="0015715C"/>
    <w:rsid w:val="0016236F"/>
    <w:rsid w:val="001629ED"/>
    <w:rsid w:val="00162E24"/>
    <w:rsid w:val="00163580"/>
    <w:rsid w:val="0016376A"/>
    <w:rsid w:val="00163A47"/>
    <w:rsid w:val="00163BDF"/>
    <w:rsid w:val="0016489A"/>
    <w:rsid w:val="00164A14"/>
    <w:rsid w:val="001651D7"/>
    <w:rsid w:val="00165413"/>
    <w:rsid w:val="00165F61"/>
    <w:rsid w:val="0016643B"/>
    <w:rsid w:val="001669CA"/>
    <w:rsid w:val="00166CD4"/>
    <w:rsid w:val="00166F7C"/>
    <w:rsid w:val="001670CE"/>
    <w:rsid w:val="00167140"/>
    <w:rsid w:val="00167853"/>
    <w:rsid w:val="00170658"/>
    <w:rsid w:val="00170996"/>
    <w:rsid w:val="001709C4"/>
    <w:rsid w:val="001710A9"/>
    <w:rsid w:val="00171887"/>
    <w:rsid w:val="001718A7"/>
    <w:rsid w:val="00171B9B"/>
    <w:rsid w:val="001729A0"/>
    <w:rsid w:val="00172AAB"/>
    <w:rsid w:val="00172E38"/>
    <w:rsid w:val="00173469"/>
    <w:rsid w:val="001744E6"/>
    <w:rsid w:val="001746CA"/>
    <w:rsid w:val="00174CFD"/>
    <w:rsid w:val="00175010"/>
    <w:rsid w:val="001753F1"/>
    <w:rsid w:val="00175EEA"/>
    <w:rsid w:val="00175FA8"/>
    <w:rsid w:val="00176626"/>
    <w:rsid w:val="00176C49"/>
    <w:rsid w:val="00176D95"/>
    <w:rsid w:val="001771A0"/>
    <w:rsid w:val="00180EC6"/>
    <w:rsid w:val="00181404"/>
    <w:rsid w:val="00182CD6"/>
    <w:rsid w:val="00182D5F"/>
    <w:rsid w:val="00182FFD"/>
    <w:rsid w:val="001832DE"/>
    <w:rsid w:val="00183BAE"/>
    <w:rsid w:val="00183C04"/>
    <w:rsid w:val="00183E71"/>
    <w:rsid w:val="001845CE"/>
    <w:rsid w:val="00184634"/>
    <w:rsid w:val="00185ED9"/>
    <w:rsid w:val="00186058"/>
    <w:rsid w:val="0018656A"/>
    <w:rsid w:val="00186635"/>
    <w:rsid w:val="00186A8C"/>
    <w:rsid w:val="00187991"/>
    <w:rsid w:val="00187C3A"/>
    <w:rsid w:val="00187D14"/>
    <w:rsid w:val="00187DB3"/>
    <w:rsid w:val="00190015"/>
    <w:rsid w:val="001903D2"/>
    <w:rsid w:val="0019097C"/>
    <w:rsid w:val="00191E4D"/>
    <w:rsid w:val="00191EC6"/>
    <w:rsid w:val="0019201F"/>
    <w:rsid w:val="001921B3"/>
    <w:rsid w:val="00193BBF"/>
    <w:rsid w:val="00193EF2"/>
    <w:rsid w:val="00194793"/>
    <w:rsid w:val="00194B30"/>
    <w:rsid w:val="00194CA7"/>
    <w:rsid w:val="001956B7"/>
    <w:rsid w:val="001958B4"/>
    <w:rsid w:val="0019591D"/>
    <w:rsid w:val="00195A83"/>
    <w:rsid w:val="00195C3E"/>
    <w:rsid w:val="00197099"/>
    <w:rsid w:val="001973DB"/>
    <w:rsid w:val="001A0377"/>
    <w:rsid w:val="001A04EA"/>
    <w:rsid w:val="001A0B8C"/>
    <w:rsid w:val="001A207D"/>
    <w:rsid w:val="001A21C5"/>
    <w:rsid w:val="001A32D8"/>
    <w:rsid w:val="001A4911"/>
    <w:rsid w:val="001A4F47"/>
    <w:rsid w:val="001A561F"/>
    <w:rsid w:val="001A65FB"/>
    <w:rsid w:val="001A6AAB"/>
    <w:rsid w:val="001A713B"/>
    <w:rsid w:val="001B05F4"/>
    <w:rsid w:val="001B3142"/>
    <w:rsid w:val="001B32EE"/>
    <w:rsid w:val="001B3B4F"/>
    <w:rsid w:val="001B4196"/>
    <w:rsid w:val="001B48E0"/>
    <w:rsid w:val="001B4F37"/>
    <w:rsid w:val="001B53F1"/>
    <w:rsid w:val="001B5C74"/>
    <w:rsid w:val="001B611F"/>
    <w:rsid w:val="001B68E7"/>
    <w:rsid w:val="001B697C"/>
    <w:rsid w:val="001B7BBB"/>
    <w:rsid w:val="001C0903"/>
    <w:rsid w:val="001C0C48"/>
    <w:rsid w:val="001C0C98"/>
    <w:rsid w:val="001C1578"/>
    <w:rsid w:val="001C17B6"/>
    <w:rsid w:val="001C3116"/>
    <w:rsid w:val="001C3AF5"/>
    <w:rsid w:val="001C3EDC"/>
    <w:rsid w:val="001C4C5B"/>
    <w:rsid w:val="001C5048"/>
    <w:rsid w:val="001C63DA"/>
    <w:rsid w:val="001C66E9"/>
    <w:rsid w:val="001C6908"/>
    <w:rsid w:val="001C6A3B"/>
    <w:rsid w:val="001C6B35"/>
    <w:rsid w:val="001C7388"/>
    <w:rsid w:val="001C74C8"/>
    <w:rsid w:val="001C75E0"/>
    <w:rsid w:val="001C7D45"/>
    <w:rsid w:val="001D0A56"/>
    <w:rsid w:val="001D0ABA"/>
    <w:rsid w:val="001D0D94"/>
    <w:rsid w:val="001D2423"/>
    <w:rsid w:val="001D29E0"/>
    <w:rsid w:val="001D29F7"/>
    <w:rsid w:val="001D2A58"/>
    <w:rsid w:val="001D2BA7"/>
    <w:rsid w:val="001D3348"/>
    <w:rsid w:val="001D3D48"/>
    <w:rsid w:val="001D41D4"/>
    <w:rsid w:val="001D4ED4"/>
    <w:rsid w:val="001D4F2E"/>
    <w:rsid w:val="001D5951"/>
    <w:rsid w:val="001D611A"/>
    <w:rsid w:val="001D6450"/>
    <w:rsid w:val="001D6C47"/>
    <w:rsid w:val="001D6FA1"/>
    <w:rsid w:val="001E0054"/>
    <w:rsid w:val="001E060E"/>
    <w:rsid w:val="001E0AF8"/>
    <w:rsid w:val="001E1B3C"/>
    <w:rsid w:val="001E1E8C"/>
    <w:rsid w:val="001E272B"/>
    <w:rsid w:val="001E2E50"/>
    <w:rsid w:val="001E312F"/>
    <w:rsid w:val="001E35BB"/>
    <w:rsid w:val="001E35CE"/>
    <w:rsid w:val="001E36C6"/>
    <w:rsid w:val="001E3C21"/>
    <w:rsid w:val="001E4A1D"/>
    <w:rsid w:val="001E535C"/>
    <w:rsid w:val="001E54C2"/>
    <w:rsid w:val="001E58CE"/>
    <w:rsid w:val="001E6247"/>
    <w:rsid w:val="001E6647"/>
    <w:rsid w:val="001E75B6"/>
    <w:rsid w:val="001F00B0"/>
    <w:rsid w:val="001F04B9"/>
    <w:rsid w:val="001F0D7D"/>
    <w:rsid w:val="001F161A"/>
    <w:rsid w:val="001F1E58"/>
    <w:rsid w:val="001F2F5D"/>
    <w:rsid w:val="001F334D"/>
    <w:rsid w:val="001F4B60"/>
    <w:rsid w:val="001F51BA"/>
    <w:rsid w:val="001F603C"/>
    <w:rsid w:val="001F625B"/>
    <w:rsid w:val="001F65E7"/>
    <w:rsid w:val="001F7B26"/>
    <w:rsid w:val="0020029B"/>
    <w:rsid w:val="00200840"/>
    <w:rsid w:val="0020289F"/>
    <w:rsid w:val="00202DFD"/>
    <w:rsid w:val="0020484C"/>
    <w:rsid w:val="00204881"/>
    <w:rsid w:val="0020493B"/>
    <w:rsid w:val="002056C9"/>
    <w:rsid w:val="00205876"/>
    <w:rsid w:val="00205D5C"/>
    <w:rsid w:val="0020601E"/>
    <w:rsid w:val="002069A9"/>
    <w:rsid w:val="00206BE1"/>
    <w:rsid w:val="00207080"/>
    <w:rsid w:val="002070F1"/>
    <w:rsid w:val="00207601"/>
    <w:rsid w:val="00207799"/>
    <w:rsid w:val="00207825"/>
    <w:rsid w:val="00207F2E"/>
    <w:rsid w:val="002106E1"/>
    <w:rsid w:val="00210F87"/>
    <w:rsid w:val="002114B4"/>
    <w:rsid w:val="002119BC"/>
    <w:rsid w:val="00211FB2"/>
    <w:rsid w:val="00211FD9"/>
    <w:rsid w:val="00212CB2"/>
    <w:rsid w:val="00213223"/>
    <w:rsid w:val="002137FF"/>
    <w:rsid w:val="00213D89"/>
    <w:rsid w:val="002142D4"/>
    <w:rsid w:val="00214534"/>
    <w:rsid w:val="002149D8"/>
    <w:rsid w:val="00214BF0"/>
    <w:rsid w:val="00215918"/>
    <w:rsid w:val="00215EC1"/>
    <w:rsid w:val="002164E1"/>
    <w:rsid w:val="002177EE"/>
    <w:rsid w:val="00217EF8"/>
    <w:rsid w:val="00217FB8"/>
    <w:rsid w:val="00220128"/>
    <w:rsid w:val="002211F2"/>
    <w:rsid w:val="0022120D"/>
    <w:rsid w:val="0022247E"/>
    <w:rsid w:val="002225A8"/>
    <w:rsid w:val="00222B7F"/>
    <w:rsid w:val="002234C5"/>
    <w:rsid w:val="002238F6"/>
    <w:rsid w:val="00224183"/>
    <w:rsid w:val="002242B5"/>
    <w:rsid w:val="002242DC"/>
    <w:rsid w:val="00224D7F"/>
    <w:rsid w:val="00225179"/>
    <w:rsid w:val="00225C2F"/>
    <w:rsid w:val="00226605"/>
    <w:rsid w:val="002272E1"/>
    <w:rsid w:val="002276DB"/>
    <w:rsid w:val="0023114D"/>
    <w:rsid w:val="00231284"/>
    <w:rsid w:val="00231947"/>
    <w:rsid w:val="00231E46"/>
    <w:rsid w:val="00232B2B"/>
    <w:rsid w:val="002332B4"/>
    <w:rsid w:val="00233748"/>
    <w:rsid w:val="00233D04"/>
    <w:rsid w:val="00234324"/>
    <w:rsid w:val="0023436F"/>
    <w:rsid w:val="002345EA"/>
    <w:rsid w:val="00234A5F"/>
    <w:rsid w:val="00234E9F"/>
    <w:rsid w:val="0023506A"/>
    <w:rsid w:val="00235F32"/>
    <w:rsid w:val="0023640D"/>
    <w:rsid w:val="002366EC"/>
    <w:rsid w:val="002367AB"/>
    <w:rsid w:val="00236B9C"/>
    <w:rsid w:val="0023738E"/>
    <w:rsid w:val="0023754E"/>
    <w:rsid w:val="00237700"/>
    <w:rsid w:val="002402D6"/>
    <w:rsid w:val="00241599"/>
    <w:rsid w:val="002423D3"/>
    <w:rsid w:val="00242996"/>
    <w:rsid w:val="002433D9"/>
    <w:rsid w:val="0024365E"/>
    <w:rsid w:val="0024498E"/>
    <w:rsid w:val="002459F5"/>
    <w:rsid w:val="002462FB"/>
    <w:rsid w:val="002463DB"/>
    <w:rsid w:val="00246E6D"/>
    <w:rsid w:val="002475D9"/>
    <w:rsid w:val="00247C06"/>
    <w:rsid w:val="0025105F"/>
    <w:rsid w:val="00252015"/>
    <w:rsid w:val="00252042"/>
    <w:rsid w:val="00252228"/>
    <w:rsid w:val="0025275F"/>
    <w:rsid w:val="0025350D"/>
    <w:rsid w:val="002537DC"/>
    <w:rsid w:val="0025461A"/>
    <w:rsid w:val="00254E79"/>
    <w:rsid w:val="00255594"/>
    <w:rsid w:val="00255626"/>
    <w:rsid w:val="00256AB4"/>
    <w:rsid w:val="0025748C"/>
    <w:rsid w:val="00257B5A"/>
    <w:rsid w:val="00257CC1"/>
    <w:rsid w:val="00260150"/>
    <w:rsid w:val="00260BC0"/>
    <w:rsid w:val="0026124D"/>
    <w:rsid w:val="002613A6"/>
    <w:rsid w:val="002613E9"/>
    <w:rsid w:val="00261AB5"/>
    <w:rsid w:val="00261E0A"/>
    <w:rsid w:val="00261EBC"/>
    <w:rsid w:val="00262D55"/>
    <w:rsid w:val="00262E23"/>
    <w:rsid w:val="0026316C"/>
    <w:rsid w:val="002645C6"/>
    <w:rsid w:val="00264A3C"/>
    <w:rsid w:val="00264B54"/>
    <w:rsid w:val="00264DAB"/>
    <w:rsid w:val="00264DF1"/>
    <w:rsid w:val="00264FB1"/>
    <w:rsid w:val="002657A9"/>
    <w:rsid w:val="00265B5B"/>
    <w:rsid w:val="00265B9F"/>
    <w:rsid w:val="002664B4"/>
    <w:rsid w:val="00266866"/>
    <w:rsid w:val="00266A92"/>
    <w:rsid w:val="00266F40"/>
    <w:rsid w:val="0026715F"/>
    <w:rsid w:val="0026739A"/>
    <w:rsid w:val="002673CF"/>
    <w:rsid w:val="0026770D"/>
    <w:rsid w:val="00267A04"/>
    <w:rsid w:val="00267CEA"/>
    <w:rsid w:val="00270EDD"/>
    <w:rsid w:val="00271F06"/>
    <w:rsid w:val="00272348"/>
    <w:rsid w:val="00272565"/>
    <w:rsid w:val="00272630"/>
    <w:rsid w:val="002754FD"/>
    <w:rsid w:val="0027601F"/>
    <w:rsid w:val="002761E9"/>
    <w:rsid w:val="002767BD"/>
    <w:rsid w:val="00277061"/>
    <w:rsid w:val="0027718A"/>
    <w:rsid w:val="00277675"/>
    <w:rsid w:val="00277A1F"/>
    <w:rsid w:val="00277B06"/>
    <w:rsid w:val="00281C71"/>
    <w:rsid w:val="00283592"/>
    <w:rsid w:val="00283F52"/>
    <w:rsid w:val="0028484B"/>
    <w:rsid w:val="00284BBD"/>
    <w:rsid w:val="00285AB1"/>
    <w:rsid w:val="0028624B"/>
    <w:rsid w:val="00286388"/>
    <w:rsid w:val="00286530"/>
    <w:rsid w:val="00286570"/>
    <w:rsid w:val="00286960"/>
    <w:rsid w:val="00286B5E"/>
    <w:rsid w:val="002870B7"/>
    <w:rsid w:val="0028741C"/>
    <w:rsid w:val="0029004A"/>
    <w:rsid w:val="00290B5F"/>
    <w:rsid w:val="00290B6A"/>
    <w:rsid w:val="00290F08"/>
    <w:rsid w:val="0029118D"/>
    <w:rsid w:val="0029118F"/>
    <w:rsid w:val="00291D0E"/>
    <w:rsid w:val="002921BB"/>
    <w:rsid w:val="0029259B"/>
    <w:rsid w:val="00292968"/>
    <w:rsid w:val="00292F35"/>
    <w:rsid w:val="00293B4B"/>
    <w:rsid w:val="00294095"/>
    <w:rsid w:val="00294490"/>
    <w:rsid w:val="00294E44"/>
    <w:rsid w:val="00294F97"/>
    <w:rsid w:val="002955B5"/>
    <w:rsid w:val="00295E9B"/>
    <w:rsid w:val="00296733"/>
    <w:rsid w:val="002968B0"/>
    <w:rsid w:val="0029729B"/>
    <w:rsid w:val="00297B1B"/>
    <w:rsid w:val="00297F25"/>
    <w:rsid w:val="002A07A9"/>
    <w:rsid w:val="002A17C1"/>
    <w:rsid w:val="002A19F1"/>
    <w:rsid w:val="002A29DD"/>
    <w:rsid w:val="002A2AF0"/>
    <w:rsid w:val="002A2ED5"/>
    <w:rsid w:val="002A2FD4"/>
    <w:rsid w:val="002A436F"/>
    <w:rsid w:val="002A4A62"/>
    <w:rsid w:val="002A561C"/>
    <w:rsid w:val="002A69BC"/>
    <w:rsid w:val="002A6ECF"/>
    <w:rsid w:val="002A72E7"/>
    <w:rsid w:val="002A7556"/>
    <w:rsid w:val="002B0174"/>
    <w:rsid w:val="002B0E14"/>
    <w:rsid w:val="002B153C"/>
    <w:rsid w:val="002B25B5"/>
    <w:rsid w:val="002B3851"/>
    <w:rsid w:val="002B400B"/>
    <w:rsid w:val="002B5065"/>
    <w:rsid w:val="002B673A"/>
    <w:rsid w:val="002B74D3"/>
    <w:rsid w:val="002C0327"/>
    <w:rsid w:val="002C1A9D"/>
    <w:rsid w:val="002C1B6B"/>
    <w:rsid w:val="002C1E33"/>
    <w:rsid w:val="002C259A"/>
    <w:rsid w:val="002C2664"/>
    <w:rsid w:val="002C2984"/>
    <w:rsid w:val="002C2B44"/>
    <w:rsid w:val="002C2B90"/>
    <w:rsid w:val="002C2FB2"/>
    <w:rsid w:val="002C31CE"/>
    <w:rsid w:val="002C3446"/>
    <w:rsid w:val="002C3882"/>
    <w:rsid w:val="002C3B3B"/>
    <w:rsid w:val="002C3BB1"/>
    <w:rsid w:val="002C417F"/>
    <w:rsid w:val="002C48D8"/>
    <w:rsid w:val="002C51D7"/>
    <w:rsid w:val="002C599C"/>
    <w:rsid w:val="002C5EF2"/>
    <w:rsid w:val="002C5FCB"/>
    <w:rsid w:val="002C62BF"/>
    <w:rsid w:val="002C6B1B"/>
    <w:rsid w:val="002C760E"/>
    <w:rsid w:val="002C7F8A"/>
    <w:rsid w:val="002D0A81"/>
    <w:rsid w:val="002D2A36"/>
    <w:rsid w:val="002D2FD9"/>
    <w:rsid w:val="002D3035"/>
    <w:rsid w:val="002D3452"/>
    <w:rsid w:val="002D34CD"/>
    <w:rsid w:val="002D39E4"/>
    <w:rsid w:val="002D50DA"/>
    <w:rsid w:val="002D5672"/>
    <w:rsid w:val="002D66CA"/>
    <w:rsid w:val="002D66D6"/>
    <w:rsid w:val="002D6E39"/>
    <w:rsid w:val="002D74EE"/>
    <w:rsid w:val="002D7DBB"/>
    <w:rsid w:val="002E0161"/>
    <w:rsid w:val="002E06B8"/>
    <w:rsid w:val="002E1403"/>
    <w:rsid w:val="002E1733"/>
    <w:rsid w:val="002E2F5A"/>
    <w:rsid w:val="002E3452"/>
    <w:rsid w:val="002E37CC"/>
    <w:rsid w:val="002E38E6"/>
    <w:rsid w:val="002E3A46"/>
    <w:rsid w:val="002E44A1"/>
    <w:rsid w:val="002E44CC"/>
    <w:rsid w:val="002E5323"/>
    <w:rsid w:val="002E5431"/>
    <w:rsid w:val="002E5631"/>
    <w:rsid w:val="002E58E9"/>
    <w:rsid w:val="002E59FE"/>
    <w:rsid w:val="002E5ED3"/>
    <w:rsid w:val="002E666F"/>
    <w:rsid w:val="002E6901"/>
    <w:rsid w:val="002E6E0B"/>
    <w:rsid w:val="002E70D4"/>
    <w:rsid w:val="002E7385"/>
    <w:rsid w:val="002E73E3"/>
    <w:rsid w:val="002F0762"/>
    <w:rsid w:val="002F0A89"/>
    <w:rsid w:val="002F0EE6"/>
    <w:rsid w:val="002F16B5"/>
    <w:rsid w:val="002F1A73"/>
    <w:rsid w:val="002F206E"/>
    <w:rsid w:val="002F20EB"/>
    <w:rsid w:val="002F29FA"/>
    <w:rsid w:val="002F3349"/>
    <w:rsid w:val="002F43D3"/>
    <w:rsid w:val="002F4B17"/>
    <w:rsid w:val="002F4F77"/>
    <w:rsid w:val="002F58C0"/>
    <w:rsid w:val="002F5C6C"/>
    <w:rsid w:val="002F5CE4"/>
    <w:rsid w:val="002F6168"/>
    <w:rsid w:val="002F62E4"/>
    <w:rsid w:val="002F6A10"/>
    <w:rsid w:val="002F744C"/>
    <w:rsid w:val="002F7583"/>
    <w:rsid w:val="002F791E"/>
    <w:rsid w:val="002F79C3"/>
    <w:rsid w:val="00300871"/>
    <w:rsid w:val="0030162C"/>
    <w:rsid w:val="00301CA0"/>
    <w:rsid w:val="00301E6B"/>
    <w:rsid w:val="00302E41"/>
    <w:rsid w:val="003031D1"/>
    <w:rsid w:val="003037F1"/>
    <w:rsid w:val="00303891"/>
    <w:rsid w:val="0030549A"/>
    <w:rsid w:val="0030595A"/>
    <w:rsid w:val="00306499"/>
    <w:rsid w:val="00306580"/>
    <w:rsid w:val="003067A8"/>
    <w:rsid w:val="00306976"/>
    <w:rsid w:val="00307FDD"/>
    <w:rsid w:val="00311267"/>
    <w:rsid w:val="00311378"/>
    <w:rsid w:val="00311E20"/>
    <w:rsid w:val="00312499"/>
    <w:rsid w:val="003126A4"/>
    <w:rsid w:val="003127BD"/>
    <w:rsid w:val="00313485"/>
    <w:rsid w:val="00313A94"/>
    <w:rsid w:val="00313AAF"/>
    <w:rsid w:val="0031484F"/>
    <w:rsid w:val="00315582"/>
    <w:rsid w:val="00315762"/>
    <w:rsid w:val="00315F13"/>
    <w:rsid w:val="0031666C"/>
    <w:rsid w:val="003166C0"/>
    <w:rsid w:val="00316851"/>
    <w:rsid w:val="00316AA4"/>
    <w:rsid w:val="0031778A"/>
    <w:rsid w:val="00317DA9"/>
    <w:rsid w:val="00317EA6"/>
    <w:rsid w:val="00317F16"/>
    <w:rsid w:val="003200A8"/>
    <w:rsid w:val="003208ED"/>
    <w:rsid w:val="0032096C"/>
    <w:rsid w:val="00321051"/>
    <w:rsid w:val="00321E09"/>
    <w:rsid w:val="00322173"/>
    <w:rsid w:val="00322DFF"/>
    <w:rsid w:val="00323494"/>
    <w:rsid w:val="00323E2C"/>
    <w:rsid w:val="00324088"/>
    <w:rsid w:val="00324D94"/>
    <w:rsid w:val="003257F7"/>
    <w:rsid w:val="00325864"/>
    <w:rsid w:val="003258BC"/>
    <w:rsid w:val="00326344"/>
    <w:rsid w:val="0032688D"/>
    <w:rsid w:val="00327240"/>
    <w:rsid w:val="00327A22"/>
    <w:rsid w:val="00327B12"/>
    <w:rsid w:val="00331FF4"/>
    <w:rsid w:val="003321E8"/>
    <w:rsid w:val="003324B3"/>
    <w:rsid w:val="00332D79"/>
    <w:rsid w:val="00332D84"/>
    <w:rsid w:val="00333282"/>
    <w:rsid w:val="00333379"/>
    <w:rsid w:val="00334A94"/>
    <w:rsid w:val="003353D9"/>
    <w:rsid w:val="00335C46"/>
    <w:rsid w:val="00337326"/>
    <w:rsid w:val="003403C0"/>
    <w:rsid w:val="00340989"/>
    <w:rsid w:val="00340D70"/>
    <w:rsid w:val="003436A8"/>
    <w:rsid w:val="003438FF"/>
    <w:rsid w:val="00343ACC"/>
    <w:rsid w:val="00343E08"/>
    <w:rsid w:val="0034415F"/>
    <w:rsid w:val="00344267"/>
    <w:rsid w:val="0034461D"/>
    <w:rsid w:val="003447FB"/>
    <w:rsid w:val="003457BF"/>
    <w:rsid w:val="003464A8"/>
    <w:rsid w:val="003464EF"/>
    <w:rsid w:val="00346A12"/>
    <w:rsid w:val="00346DF7"/>
    <w:rsid w:val="00346E79"/>
    <w:rsid w:val="003472C6"/>
    <w:rsid w:val="00347DA7"/>
    <w:rsid w:val="00347EF7"/>
    <w:rsid w:val="0035050B"/>
    <w:rsid w:val="0035077D"/>
    <w:rsid w:val="003509DB"/>
    <w:rsid w:val="003514CF"/>
    <w:rsid w:val="00351B11"/>
    <w:rsid w:val="00354AD4"/>
    <w:rsid w:val="00355BAF"/>
    <w:rsid w:val="0035606C"/>
    <w:rsid w:val="003566BE"/>
    <w:rsid w:val="00357044"/>
    <w:rsid w:val="003576B2"/>
    <w:rsid w:val="003601DE"/>
    <w:rsid w:val="0036048B"/>
    <w:rsid w:val="003617D4"/>
    <w:rsid w:val="00361B4B"/>
    <w:rsid w:val="00361CA8"/>
    <w:rsid w:val="0036226C"/>
    <w:rsid w:val="00362444"/>
    <w:rsid w:val="00362870"/>
    <w:rsid w:val="00363778"/>
    <w:rsid w:val="00363B84"/>
    <w:rsid w:val="00363F94"/>
    <w:rsid w:val="00364BF7"/>
    <w:rsid w:val="00364C49"/>
    <w:rsid w:val="00365214"/>
    <w:rsid w:val="0036546C"/>
    <w:rsid w:val="00365779"/>
    <w:rsid w:val="00365B1F"/>
    <w:rsid w:val="00365BBA"/>
    <w:rsid w:val="00365CF2"/>
    <w:rsid w:val="00366591"/>
    <w:rsid w:val="003706B0"/>
    <w:rsid w:val="00371F2D"/>
    <w:rsid w:val="0037214D"/>
    <w:rsid w:val="003722B3"/>
    <w:rsid w:val="00373105"/>
    <w:rsid w:val="0037380B"/>
    <w:rsid w:val="00373E7C"/>
    <w:rsid w:val="00374398"/>
    <w:rsid w:val="00374406"/>
    <w:rsid w:val="00374479"/>
    <w:rsid w:val="00374900"/>
    <w:rsid w:val="00374B92"/>
    <w:rsid w:val="00374BF6"/>
    <w:rsid w:val="0037665A"/>
    <w:rsid w:val="00376A3F"/>
    <w:rsid w:val="00376A41"/>
    <w:rsid w:val="00376F46"/>
    <w:rsid w:val="00377DF7"/>
    <w:rsid w:val="00377FC0"/>
    <w:rsid w:val="0038058B"/>
    <w:rsid w:val="00380730"/>
    <w:rsid w:val="00382333"/>
    <w:rsid w:val="00383581"/>
    <w:rsid w:val="00383F4F"/>
    <w:rsid w:val="00384084"/>
    <w:rsid w:val="00384698"/>
    <w:rsid w:val="00384EC2"/>
    <w:rsid w:val="00385A50"/>
    <w:rsid w:val="00386440"/>
    <w:rsid w:val="0038652B"/>
    <w:rsid w:val="0038682C"/>
    <w:rsid w:val="00390205"/>
    <w:rsid w:val="003904EC"/>
    <w:rsid w:val="00390F8D"/>
    <w:rsid w:val="003915B7"/>
    <w:rsid w:val="00391C6E"/>
    <w:rsid w:val="00391D31"/>
    <w:rsid w:val="00392955"/>
    <w:rsid w:val="00392CD5"/>
    <w:rsid w:val="0039374C"/>
    <w:rsid w:val="00393776"/>
    <w:rsid w:val="00393D28"/>
    <w:rsid w:val="00393EF6"/>
    <w:rsid w:val="003941A4"/>
    <w:rsid w:val="0039454F"/>
    <w:rsid w:val="00394DEA"/>
    <w:rsid w:val="00395EC2"/>
    <w:rsid w:val="00396230"/>
    <w:rsid w:val="0039653F"/>
    <w:rsid w:val="00397023"/>
    <w:rsid w:val="003A045C"/>
    <w:rsid w:val="003A0590"/>
    <w:rsid w:val="003A20DB"/>
    <w:rsid w:val="003A21B0"/>
    <w:rsid w:val="003A29C4"/>
    <w:rsid w:val="003A31FC"/>
    <w:rsid w:val="003A3AC6"/>
    <w:rsid w:val="003A42D6"/>
    <w:rsid w:val="003A492F"/>
    <w:rsid w:val="003A5800"/>
    <w:rsid w:val="003A5E92"/>
    <w:rsid w:val="003A6203"/>
    <w:rsid w:val="003A6A99"/>
    <w:rsid w:val="003A7103"/>
    <w:rsid w:val="003A76AD"/>
    <w:rsid w:val="003A7F7E"/>
    <w:rsid w:val="003B01C3"/>
    <w:rsid w:val="003B08D0"/>
    <w:rsid w:val="003B0C84"/>
    <w:rsid w:val="003B1B34"/>
    <w:rsid w:val="003B278F"/>
    <w:rsid w:val="003B360A"/>
    <w:rsid w:val="003B39B5"/>
    <w:rsid w:val="003B3BB7"/>
    <w:rsid w:val="003B4578"/>
    <w:rsid w:val="003B45BC"/>
    <w:rsid w:val="003B4FAC"/>
    <w:rsid w:val="003B6BE9"/>
    <w:rsid w:val="003B739B"/>
    <w:rsid w:val="003B7602"/>
    <w:rsid w:val="003B78F6"/>
    <w:rsid w:val="003B7A38"/>
    <w:rsid w:val="003B7E0D"/>
    <w:rsid w:val="003C0234"/>
    <w:rsid w:val="003C105C"/>
    <w:rsid w:val="003C1088"/>
    <w:rsid w:val="003C23C9"/>
    <w:rsid w:val="003C262F"/>
    <w:rsid w:val="003C30AC"/>
    <w:rsid w:val="003C333C"/>
    <w:rsid w:val="003C3858"/>
    <w:rsid w:val="003C39C0"/>
    <w:rsid w:val="003C3AAB"/>
    <w:rsid w:val="003C4BC1"/>
    <w:rsid w:val="003C4CC8"/>
    <w:rsid w:val="003C4D36"/>
    <w:rsid w:val="003C5070"/>
    <w:rsid w:val="003C65DA"/>
    <w:rsid w:val="003C675C"/>
    <w:rsid w:val="003C67C8"/>
    <w:rsid w:val="003C6CBB"/>
    <w:rsid w:val="003C7443"/>
    <w:rsid w:val="003C78C4"/>
    <w:rsid w:val="003C79CA"/>
    <w:rsid w:val="003D0014"/>
    <w:rsid w:val="003D04C5"/>
    <w:rsid w:val="003D063B"/>
    <w:rsid w:val="003D071A"/>
    <w:rsid w:val="003D0BEA"/>
    <w:rsid w:val="003D1D4C"/>
    <w:rsid w:val="003D1FFD"/>
    <w:rsid w:val="003D2210"/>
    <w:rsid w:val="003D27AE"/>
    <w:rsid w:val="003D2DE7"/>
    <w:rsid w:val="003D2FF8"/>
    <w:rsid w:val="003D35F9"/>
    <w:rsid w:val="003D365D"/>
    <w:rsid w:val="003D36CB"/>
    <w:rsid w:val="003D3BE0"/>
    <w:rsid w:val="003D3D4C"/>
    <w:rsid w:val="003D41E1"/>
    <w:rsid w:val="003D4E7C"/>
    <w:rsid w:val="003E01D7"/>
    <w:rsid w:val="003E0368"/>
    <w:rsid w:val="003E09DC"/>
    <w:rsid w:val="003E0BC0"/>
    <w:rsid w:val="003E1414"/>
    <w:rsid w:val="003E1512"/>
    <w:rsid w:val="003E1856"/>
    <w:rsid w:val="003E2934"/>
    <w:rsid w:val="003E36F9"/>
    <w:rsid w:val="003E379F"/>
    <w:rsid w:val="003E3CFE"/>
    <w:rsid w:val="003E4188"/>
    <w:rsid w:val="003E430D"/>
    <w:rsid w:val="003E485E"/>
    <w:rsid w:val="003E4D82"/>
    <w:rsid w:val="003E541C"/>
    <w:rsid w:val="003E579F"/>
    <w:rsid w:val="003E5A7D"/>
    <w:rsid w:val="003E6C40"/>
    <w:rsid w:val="003F0715"/>
    <w:rsid w:val="003F2391"/>
    <w:rsid w:val="003F287A"/>
    <w:rsid w:val="003F35EC"/>
    <w:rsid w:val="003F3668"/>
    <w:rsid w:val="003F442E"/>
    <w:rsid w:val="003F4DA0"/>
    <w:rsid w:val="003F55A7"/>
    <w:rsid w:val="003F5A8F"/>
    <w:rsid w:val="003F5B71"/>
    <w:rsid w:val="003F6CC6"/>
    <w:rsid w:val="003F72B2"/>
    <w:rsid w:val="00400A19"/>
    <w:rsid w:val="00400FFE"/>
    <w:rsid w:val="004019D0"/>
    <w:rsid w:val="00402BFC"/>
    <w:rsid w:val="0040307B"/>
    <w:rsid w:val="00403535"/>
    <w:rsid w:val="00403824"/>
    <w:rsid w:val="00403F9B"/>
    <w:rsid w:val="004043B2"/>
    <w:rsid w:val="00404DEF"/>
    <w:rsid w:val="00404F89"/>
    <w:rsid w:val="00405685"/>
    <w:rsid w:val="00405802"/>
    <w:rsid w:val="00405E82"/>
    <w:rsid w:val="004069E7"/>
    <w:rsid w:val="004073ED"/>
    <w:rsid w:val="004073F7"/>
    <w:rsid w:val="00407E74"/>
    <w:rsid w:val="0041047B"/>
    <w:rsid w:val="00410A9A"/>
    <w:rsid w:val="00411FC1"/>
    <w:rsid w:val="00412D1E"/>
    <w:rsid w:val="00412DD3"/>
    <w:rsid w:val="004138E1"/>
    <w:rsid w:val="0041396A"/>
    <w:rsid w:val="00413A71"/>
    <w:rsid w:val="00413DA6"/>
    <w:rsid w:val="00413FAA"/>
    <w:rsid w:val="00414097"/>
    <w:rsid w:val="00414206"/>
    <w:rsid w:val="00414515"/>
    <w:rsid w:val="00414B31"/>
    <w:rsid w:val="0041532A"/>
    <w:rsid w:val="00415857"/>
    <w:rsid w:val="00415B48"/>
    <w:rsid w:val="00416098"/>
    <w:rsid w:val="00417387"/>
    <w:rsid w:val="00417E80"/>
    <w:rsid w:val="00420F94"/>
    <w:rsid w:val="00421141"/>
    <w:rsid w:val="004215B8"/>
    <w:rsid w:val="00421999"/>
    <w:rsid w:val="00421E09"/>
    <w:rsid w:val="00423754"/>
    <w:rsid w:val="004239E2"/>
    <w:rsid w:val="00423EB6"/>
    <w:rsid w:val="0042428D"/>
    <w:rsid w:val="004251A8"/>
    <w:rsid w:val="00425989"/>
    <w:rsid w:val="004267F5"/>
    <w:rsid w:val="00426B4D"/>
    <w:rsid w:val="0042776C"/>
    <w:rsid w:val="00427C68"/>
    <w:rsid w:val="00430E9F"/>
    <w:rsid w:val="004318D4"/>
    <w:rsid w:val="004319C2"/>
    <w:rsid w:val="004327B6"/>
    <w:rsid w:val="004332F3"/>
    <w:rsid w:val="0043336D"/>
    <w:rsid w:val="00433724"/>
    <w:rsid w:val="00433EA6"/>
    <w:rsid w:val="004350AB"/>
    <w:rsid w:val="004353B5"/>
    <w:rsid w:val="00435763"/>
    <w:rsid w:val="00435BE7"/>
    <w:rsid w:val="0043606A"/>
    <w:rsid w:val="00437B52"/>
    <w:rsid w:val="00437D06"/>
    <w:rsid w:val="00440573"/>
    <w:rsid w:val="00440A18"/>
    <w:rsid w:val="00440AD4"/>
    <w:rsid w:val="00440DAD"/>
    <w:rsid w:val="00440EA5"/>
    <w:rsid w:val="00441052"/>
    <w:rsid w:val="004413D8"/>
    <w:rsid w:val="00441449"/>
    <w:rsid w:val="00441D81"/>
    <w:rsid w:val="0044242D"/>
    <w:rsid w:val="00443127"/>
    <w:rsid w:val="00443EE0"/>
    <w:rsid w:val="0044448B"/>
    <w:rsid w:val="004449F7"/>
    <w:rsid w:val="00444B32"/>
    <w:rsid w:val="00444F7D"/>
    <w:rsid w:val="00450B62"/>
    <w:rsid w:val="004529EC"/>
    <w:rsid w:val="0045320D"/>
    <w:rsid w:val="0045345C"/>
    <w:rsid w:val="00453579"/>
    <w:rsid w:val="004538BF"/>
    <w:rsid w:val="00454234"/>
    <w:rsid w:val="0045495C"/>
    <w:rsid w:val="004553C8"/>
    <w:rsid w:val="004557DD"/>
    <w:rsid w:val="004558E5"/>
    <w:rsid w:val="0045626B"/>
    <w:rsid w:val="004563B0"/>
    <w:rsid w:val="0045649E"/>
    <w:rsid w:val="00456884"/>
    <w:rsid w:val="004569F7"/>
    <w:rsid w:val="0045763F"/>
    <w:rsid w:val="004577D2"/>
    <w:rsid w:val="00461295"/>
    <w:rsid w:val="00461302"/>
    <w:rsid w:val="004618A8"/>
    <w:rsid w:val="00463A88"/>
    <w:rsid w:val="00463D55"/>
    <w:rsid w:val="00463DCB"/>
    <w:rsid w:val="00465203"/>
    <w:rsid w:val="004652AA"/>
    <w:rsid w:val="00465456"/>
    <w:rsid w:val="004655C0"/>
    <w:rsid w:val="00465F49"/>
    <w:rsid w:val="00467BD7"/>
    <w:rsid w:val="00467C13"/>
    <w:rsid w:val="00467F2A"/>
    <w:rsid w:val="00467FA8"/>
    <w:rsid w:val="00470F93"/>
    <w:rsid w:val="00471843"/>
    <w:rsid w:val="00471E1F"/>
    <w:rsid w:val="00472920"/>
    <w:rsid w:val="00472B28"/>
    <w:rsid w:val="004746D6"/>
    <w:rsid w:val="0047486A"/>
    <w:rsid w:val="004749FD"/>
    <w:rsid w:val="00474DB4"/>
    <w:rsid w:val="004756C2"/>
    <w:rsid w:val="00475DD0"/>
    <w:rsid w:val="0047605A"/>
    <w:rsid w:val="00476DF1"/>
    <w:rsid w:val="004771BB"/>
    <w:rsid w:val="00477222"/>
    <w:rsid w:val="00480222"/>
    <w:rsid w:val="00480675"/>
    <w:rsid w:val="00480F24"/>
    <w:rsid w:val="00482132"/>
    <w:rsid w:val="00484164"/>
    <w:rsid w:val="00484365"/>
    <w:rsid w:val="00484E2A"/>
    <w:rsid w:val="00486045"/>
    <w:rsid w:val="00486ACE"/>
    <w:rsid w:val="004873CE"/>
    <w:rsid w:val="00487430"/>
    <w:rsid w:val="00487AAF"/>
    <w:rsid w:val="00487CDB"/>
    <w:rsid w:val="00487EF7"/>
    <w:rsid w:val="00487F7D"/>
    <w:rsid w:val="004900FD"/>
    <w:rsid w:val="0049317A"/>
    <w:rsid w:val="00493E2D"/>
    <w:rsid w:val="004941FB"/>
    <w:rsid w:val="0049467F"/>
    <w:rsid w:val="00494D73"/>
    <w:rsid w:val="00494EC8"/>
    <w:rsid w:val="00495A2D"/>
    <w:rsid w:val="00495DA9"/>
    <w:rsid w:val="004968C7"/>
    <w:rsid w:val="00496D63"/>
    <w:rsid w:val="00496FE2"/>
    <w:rsid w:val="004972F9"/>
    <w:rsid w:val="004A028C"/>
    <w:rsid w:val="004A0683"/>
    <w:rsid w:val="004A0722"/>
    <w:rsid w:val="004A190E"/>
    <w:rsid w:val="004A1A65"/>
    <w:rsid w:val="004A2298"/>
    <w:rsid w:val="004A2A67"/>
    <w:rsid w:val="004A2E77"/>
    <w:rsid w:val="004A330A"/>
    <w:rsid w:val="004A3454"/>
    <w:rsid w:val="004A3911"/>
    <w:rsid w:val="004A3953"/>
    <w:rsid w:val="004A398C"/>
    <w:rsid w:val="004A403E"/>
    <w:rsid w:val="004A444C"/>
    <w:rsid w:val="004A4590"/>
    <w:rsid w:val="004A7168"/>
    <w:rsid w:val="004A777F"/>
    <w:rsid w:val="004B0941"/>
    <w:rsid w:val="004B1941"/>
    <w:rsid w:val="004B1F67"/>
    <w:rsid w:val="004B2368"/>
    <w:rsid w:val="004B26A0"/>
    <w:rsid w:val="004B37D4"/>
    <w:rsid w:val="004B419A"/>
    <w:rsid w:val="004B49BA"/>
    <w:rsid w:val="004B4F31"/>
    <w:rsid w:val="004B50F0"/>
    <w:rsid w:val="004B53F8"/>
    <w:rsid w:val="004B5C22"/>
    <w:rsid w:val="004B66D6"/>
    <w:rsid w:val="004C00D6"/>
    <w:rsid w:val="004C12B9"/>
    <w:rsid w:val="004C14FF"/>
    <w:rsid w:val="004C1BC9"/>
    <w:rsid w:val="004C20A0"/>
    <w:rsid w:val="004C217E"/>
    <w:rsid w:val="004C2509"/>
    <w:rsid w:val="004C2641"/>
    <w:rsid w:val="004C26D3"/>
    <w:rsid w:val="004C2D19"/>
    <w:rsid w:val="004C2FE0"/>
    <w:rsid w:val="004C3EB8"/>
    <w:rsid w:val="004C3EC5"/>
    <w:rsid w:val="004C40FA"/>
    <w:rsid w:val="004C5304"/>
    <w:rsid w:val="004C5712"/>
    <w:rsid w:val="004C60FB"/>
    <w:rsid w:val="004C6632"/>
    <w:rsid w:val="004C6700"/>
    <w:rsid w:val="004C6878"/>
    <w:rsid w:val="004C6895"/>
    <w:rsid w:val="004C7577"/>
    <w:rsid w:val="004C7E57"/>
    <w:rsid w:val="004D0776"/>
    <w:rsid w:val="004D0905"/>
    <w:rsid w:val="004D0D9F"/>
    <w:rsid w:val="004D10E8"/>
    <w:rsid w:val="004D1997"/>
    <w:rsid w:val="004D227E"/>
    <w:rsid w:val="004D2284"/>
    <w:rsid w:val="004D27D5"/>
    <w:rsid w:val="004D316F"/>
    <w:rsid w:val="004D3236"/>
    <w:rsid w:val="004D3937"/>
    <w:rsid w:val="004D3C9C"/>
    <w:rsid w:val="004D47FD"/>
    <w:rsid w:val="004D4C93"/>
    <w:rsid w:val="004D6023"/>
    <w:rsid w:val="004D629C"/>
    <w:rsid w:val="004D63DF"/>
    <w:rsid w:val="004D65F6"/>
    <w:rsid w:val="004D664F"/>
    <w:rsid w:val="004D706B"/>
    <w:rsid w:val="004D7354"/>
    <w:rsid w:val="004E0459"/>
    <w:rsid w:val="004E045A"/>
    <w:rsid w:val="004E07C7"/>
    <w:rsid w:val="004E0BA4"/>
    <w:rsid w:val="004E0BE6"/>
    <w:rsid w:val="004E1050"/>
    <w:rsid w:val="004E124A"/>
    <w:rsid w:val="004E146B"/>
    <w:rsid w:val="004E1771"/>
    <w:rsid w:val="004E1870"/>
    <w:rsid w:val="004E1A0D"/>
    <w:rsid w:val="004E1A9E"/>
    <w:rsid w:val="004E1CBC"/>
    <w:rsid w:val="004E1DA9"/>
    <w:rsid w:val="004E350F"/>
    <w:rsid w:val="004E3C47"/>
    <w:rsid w:val="004E4669"/>
    <w:rsid w:val="004E4BCD"/>
    <w:rsid w:val="004E4EB5"/>
    <w:rsid w:val="004E55D3"/>
    <w:rsid w:val="004E5CC3"/>
    <w:rsid w:val="004E5E01"/>
    <w:rsid w:val="004E64E4"/>
    <w:rsid w:val="004E6640"/>
    <w:rsid w:val="004E7953"/>
    <w:rsid w:val="004E7BDB"/>
    <w:rsid w:val="004E7E8B"/>
    <w:rsid w:val="004F02C6"/>
    <w:rsid w:val="004F03DD"/>
    <w:rsid w:val="004F09A7"/>
    <w:rsid w:val="004F133A"/>
    <w:rsid w:val="004F1A4D"/>
    <w:rsid w:val="004F1BFB"/>
    <w:rsid w:val="004F1CAC"/>
    <w:rsid w:val="004F1E55"/>
    <w:rsid w:val="004F2380"/>
    <w:rsid w:val="004F2F9D"/>
    <w:rsid w:val="004F33D7"/>
    <w:rsid w:val="004F6104"/>
    <w:rsid w:val="004F6FF9"/>
    <w:rsid w:val="004F7053"/>
    <w:rsid w:val="004F71D7"/>
    <w:rsid w:val="004F7ADE"/>
    <w:rsid w:val="004F7CDA"/>
    <w:rsid w:val="004F7D98"/>
    <w:rsid w:val="00500126"/>
    <w:rsid w:val="00500806"/>
    <w:rsid w:val="0050088E"/>
    <w:rsid w:val="005009D2"/>
    <w:rsid w:val="00500CE0"/>
    <w:rsid w:val="00500FB1"/>
    <w:rsid w:val="00501287"/>
    <w:rsid w:val="005013F5"/>
    <w:rsid w:val="00501635"/>
    <w:rsid w:val="00502D5B"/>
    <w:rsid w:val="00504436"/>
    <w:rsid w:val="00504CC5"/>
    <w:rsid w:val="00505A22"/>
    <w:rsid w:val="00505FC6"/>
    <w:rsid w:val="005061E0"/>
    <w:rsid w:val="0050734B"/>
    <w:rsid w:val="0051029C"/>
    <w:rsid w:val="005115B9"/>
    <w:rsid w:val="0051181F"/>
    <w:rsid w:val="00511A52"/>
    <w:rsid w:val="00511AEF"/>
    <w:rsid w:val="00512FA4"/>
    <w:rsid w:val="0051406B"/>
    <w:rsid w:val="00514D45"/>
    <w:rsid w:val="00514D48"/>
    <w:rsid w:val="00515103"/>
    <w:rsid w:val="0051510D"/>
    <w:rsid w:val="00515724"/>
    <w:rsid w:val="005157E6"/>
    <w:rsid w:val="005162AF"/>
    <w:rsid w:val="00516550"/>
    <w:rsid w:val="005165C4"/>
    <w:rsid w:val="00516E88"/>
    <w:rsid w:val="00517856"/>
    <w:rsid w:val="0051786A"/>
    <w:rsid w:val="00520449"/>
    <w:rsid w:val="005205E8"/>
    <w:rsid w:val="00520A67"/>
    <w:rsid w:val="00520D50"/>
    <w:rsid w:val="00520D5D"/>
    <w:rsid w:val="0052185A"/>
    <w:rsid w:val="00521C1B"/>
    <w:rsid w:val="00521D3E"/>
    <w:rsid w:val="00521E7A"/>
    <w:rsid w:val="00522543"/>
    <w:rsid w:val="0052255A"/>
    <w:rsid w:val="00523822"/>
    <w:rsid w:val="00523ACB"/>
    <w:rsid w:val="0052454D"/>
    <w:rsid w:val="0052501C"/>
    <w:rsid w:val="005250BE"/>
    <w:rsid w:val="0052584F"/>
    <w:rsid w:val="005258B9"/>
    <w:rsid w:val="00526A24"/>
    <w:rsid w:val="00526A5E"/>
    <w:rsid w:val="0052731E"/>
    <w:rsid w:val="005300A6"/>
    <w:rsid w:val="00530476"/>
    <w:rsid w:val="00530AED"/>
    <w:rsid w:val="00530CCC"/>
    <w:rsid w:val="005314AC"/>
    <w:rsid w:val="0053165C"/>
    <w:rsid w:val="00531723"/>
    <w:rsid w:val="00531940"/>
    <w:rsid w:val="00531E04"/>
    <w:rsid w:val="0053268C"/>
    <w:rsid w:val="005327EB"/>
    <w:rsid w:val="00532CCA"/>
    <w:rsid w:val="00532D2D"/>
    <w:rsid w:val="00533155"/>
    <w:rsid w:val="00534B96"/>
    <w:rsid w:val="00534E72"/>
    <w:rsid w:val="00535535"/>
    <w:rsid w:val="00535690"/>
    <w:rsid w:val="00535F08"/>
    <w:rsid w:val="00536A95"/>
    <w:rsid w:val="00537B90"/>
    <w:rsid w:val="00540995"/>
    <w:rsid w:val="00540C38"/>
    <w:rsid w:val="00541433"/>
    <w:rsid w:val="00541742"/>
    <w:rsid w:val="00541EB7"/>
    <w:rsid w:val="00541FA5"/>
    <w:rsid w:val="0054288B"/>
    <w:rsid w:val="00542CD6"/>
    <w:rsid w:val="00543131"/>
    <w:rsid w:val="00543455"/>
    <w:rsid w:val="005436C2"/>
    <w:rsid w:val="00543A2D"/>
    <w:rsid w:val="00544584"/>
    <w:rsid w:val="0054538A"/>
    <w:rsid w:val="0054560A"/>
    <w:rsid w:val="005459B6"/>
    <w:rsid w:val="00546574"/>
    <w:rsid w:val="00546AA7"/>
    <w:rsid w:val="0054713A"/>
    <w:rsid w:val="00547720"/>
    <w:rsid w:val="005508EA"/>
    <w:rsid w:val="00550E7D"/>
    <w:rsid w:val="0055216D"/>
    <w:rsid w:val="00552803"/>
    <w:rsid w:val="005530CA"/>
    <w:rsid w:val="00553411"/>
    <w:rsid w:val="00553B68"/>
    <w:rsid w:val="00554501"/>
    <w:rsid w:val="0055473F"/>
    <w:rsid w:val="0055489A"/>
    <w:rsid w:val="00555419"/>
    <w:rsid w:val="00555F15"/>
    <w:rsid w:val="00556007"/>
    <w:rsid w:val="00556DEE"/>
    <w:rsid w:val="005574DC"/>
    <w:rsid w:val="0055791E"/>
    <w:rsid w:val="00557D1E"/>
    <w:rsid w:val="00557F18"/>
    <w:rsid w:val="0056000D"/>
    <w:rsid w:val="005602A7"/>
    <w:rsid w:val="0056062E"/>
    <w:rsid w:val="00560AD9"/>
    <w:rsid w:val="00560DCC"/>
    <w:rsid w:val="00560F47"/>
    <w:rsid w:val="00562D70"/>
    <w:rsid w:val="00563152"/>
    <w:rsid w:val="00563167"/>
    <w:rsid w:val="00563B0F"/>
    <w:rsid w:val="00563CA9"/>
    <w:rsid w:val="00564419"/>
    <w:rsid w:val="0056464C"/>
    <w:rsid w:val="005651D3"/>
    <w:rsid w:val="005659FA"/>
    <w:rsid w:val="00565A22"/>
    <w:rsid w:val="005661F2"/>
    <w:rsid w:val="00566743"/>
    <w:rsid w:val="005668B9"/>
    <w:rsid w:val="00566B64"/>
    <w:rsid w:val="0056752E"/>
    <w:rsid w:val="0057062D"/>
    <w:rsid w:val="00570E72"/>
    <w:rsid w:val="0057344A"/>
    <w:rsid w:val="00573478"/>
    <w:rsid w:val="00574901"/>
    <w:rsid w:val="00574CC4"/>
    <w:rsid w:val="00574EC7"/>
    <w:rsid w:val="00575D38"/>
    <w:rsid w:val="00575DCC"/>
    <w:rsid w:val="005766EA"/>
    <w:rsid w:val="0057689E"/>
    <w:rsid w:val="005769CB"/>
    <w:rsid w:val="00576C77"/>
    <w:rsid w:val="00577317"/>
    <w:rsid w:val="005774C3"/>
    <w:rsid w:val="005778BF"/>
    <w:rsid w:val="00577E0E"/>
    <w:rsid w:val="00577F26"/>
    <w:rsid w:val="00580636"/>
    <w:rsid w:val="005808DD"/>
    <w:rsid w:val="00580D21"/>
    <w:rsid w:val="005811F6"/>
    <w:rsid w:val="005812AA"/>
    <w:rsid w:val="005817E2"/>
    <w:rsid w:val="00581DC7"/>
    <w:rsid w:val="00582DD4"/>
    <w:rsid w:val="00583741"/>
    <w:rsid w:val="0058386F"/>
    <w:rsid w:val="005839AE"/>
    <w:rsid w:val="00583AFD"/>
    <w:rsid w:val="00583E68"/>
    <w:rsid w:val="00584265"/>
    <w:rsid w:val="005852C0"/>
    <w:rsid w:val="005852F0"/>
    <w:rsid w:val="005854C2"/>
    <w:rsid w:val="00585BBF"/>
    <w:rsid w:val="00585C6D"/>
    <w:rsid w:val="00587180"/>
    <w:rsid w:val="00587CC6"/>
    <w:rsid w:val="00590563"/>
    <w:rsid w:val="005908F3"/>
    <w:rsid w:val="005915D4"/>
    <w:rsid w:val="0059184B"/>
    <w:rsid w:val="00591F29"/>
    <w:rsid w:val="0059342F"/>
    <w:rsid w:val="00593990"/>
    <w:rsid w:val="00593D24"/>
    <w:rsid w:val="00593D2F"/>
    <w:rsid w:val="005949BC"/>
    <w:rsid w:val="005966B5"/>
    <w:rsid w:val="0059760E"/>
    <w:rsid w:val="005A0640"/>
    <w:rsid w:val="005A095B"/>
    <w:rsid w:val="005A0ABF"/>
    <w:rsid w:val="005A0C35"/>
    <w:rsid w:val="005A10EC"/>
    <w:rsid w:val="005A1241"/>
    <w:rsid w:val="005A13A1"/>
    <w:rsid w:val="005A15FD"/>
    <w:rsid w:val="005A1B06"/>
    <w:rsid w:val="005A2564"/>
    <w:rsid w:val="005A3000"/>
    <w:rsid w:val="005A34C4"/>
    <w:rsid w:val="005A3B1E"/>
    <w:rsid w:val="005A5724"/>
    <w:rsid w:val="005A5919"/>
    <w:rsid w:val="005A5C7A"/>
    <w:rsid w:val="005A5CB2"/>
    <w:rsid w:val="005A611A"/>
    <w:rsid w:val="005A6298"/>
    <w:rsid w:val="005A67A9"/>
    <w:rsid w:val="005A701F"/>
    <w:rsid w:val="005A743F"/>
    <w:rsid w:val="005A7A98"/>
    <w:rsid w:val="005A7F10"/>
    <w:rsid w:val="005B049F"/>
    <w:rsid w:val="005B07AB"/>
    <w:rsid w:val="005B0B10"/>
    <w:rsid w:val="005B0E0F"/>
    <w:rsid w:val="005B206D"/>
    <w:rsid w:val="005B22A1"/>
    <w:rsid w:val="005B265C"/>
    <w:rsid w:val="005B2671"/>
    <w:rsid w:val="005B2E98"/>
    <w:rsid w:val="005B3640"/>
    <w:rsid w:val="005B434A"/>
    <w:rsid w:val="005B4971"/>
    <w:rsid w:val="005B52EF"/>
    <w:rsid w:val="005B53E2"/>
    <w:rsid w:val="005B5596"/>
    <w:rsid w:val="005B5C13"/>
    <w:rsid w:val="005B5E6E"/>
    <w:rsid w:val="005B6749"/>
    <w:rsid w:val="005B6B49"/>
    <w:rsid w:val="005B6D3B"/>
    <w:rsid w:val="005B6F94"/>
    <w:rsid w:val="005B7133"/>
    <w:rsid w:val="005B75A2"/>
    <w:rsid w:val="005B778B"/>
    <w:rsid w:val="005B7F75"/>
    <w:rsid w:val="005C05A1"/>
    <w:rsid w:val="005C0A84"/>
    <w:rsid w:val="005C0C87"/>
    <w:rsid w:val="005C0FAA"/>
    <w:rsid w:val="005C1219"/>
    <w:rsid w:val="005C3704"/>
    <w:rsid w:val="005C3A27"/>
    <w:rsid w:val="005C3B15"/>
    <w:rsid w:val="005C4A84"/>
    <w:rsid w:val="005C540B"/>
    <w:rsid w:val="005C5ABF"/>
    <w:rsid w:val="005C61C2"/>
    <w:rsid w:val="005C6264"/>
    <w:rsid w:val="005C6328"/>
    <w:rsid w:val="005C64B7"/>
    <w:rsid w:val="005C65A4"/>
    <w:rsid w:val="005C6777"/>
    <w:rsid w:val="005C6F80"/>
    <w:rsid w:val="005C7266"/>
    <w:rsid w:val="005D0D35"/>
    <w:rsid w:val="005D0F8C"/>
    <w:rsid w:val="005D1822"/>
    <w:rsid w:val="005D19B0"/>
    <w:rsid w:val="005D1A37"/>
    <w:rsid w:val="005D1DF6"/>
    <w:rsid w:val="005D1ED0"/>
    <w:rsid w:val="005D2F3D"/>
    <w:rsid w:val="005D3168"/>
    <w:rsid w:val="005D3995"/>
    <w:rsid w:val="005D3A63"/>
    <w:rsid w:val="005D3E87"/>
    <w:rsid w:val="005D41C6"/>
    <w:rsid w:val="005D51B9"/>
    <w:rsid w:val="005D5C7C"/>
    <w:rsid w:val="005D61C2"/>
    <w:rsid w:val="005D7287"/>
    <w:rsid w:val="005D7DE1"/>
    <w:rsid w:val="005E007C"/>
    <w:rsid w:val="005E0287"/>
    <w:rsid w:val="005E0345"/>
    <w:rsid w:val="005E0771"/>
    <w:rsid w:val="005E0E70"/>
    <w:rsid w:val="005E12D0"/>
    <w:rsid w:val="005E136D"/>
    <w:rsid w:val="005E2D9B"/>
    <w:rsid w:val="005E2E06"/>
    <w:rsid w:val="005E3A2A"/>
    <w:rsid w:val="005E4349"/>
    <w:rsid w:val="005E455F"/>
    <w:rsid w:val="005E4933"/>
    <w:rsid w:val="005E5D58"/>
    <w:rsid w:val="005E68AA"/>
    <w:rsid w:val="005E6A5F"/>
    <w:rsid w:val="005E715C"/>
    <w:rsid w:val="005E72D1"/>
    <w:rsid w:val="005E78F6"/>
    <w:rsid w:val="005E7AA0"/>
    <w:rsid w:val="005F0BA8"/>
    <w:rsid w:val="005F0D27"/>
    <w:rsid w:val="005F1AAD"/>
    <w:rsid w:val="005F1C79"/>
    <w:rsid w:val="005F1D8B"/>
    <w:rsid w:val="005F27E8"/>
    <w:rsid w:val="005F2BA0"/>
    <w:rsid w:val="005F3468"/>
    <w:rsid w:val="005F3593"/>
    <w:rsid w:val="005F3677"/>
    <w:rsid w:val="005F387F"/>
    <w:rsid w:val="005F4230"/>
    <w:rsid w:val="005F4863"/>
    <w:rsid w:val="005F4AA0"/>
    <w:rsid w:val="005F4F6A"/>
    <w:rsid w:val="005F5317"/>
    <w:rsid w:val="005F5494"/>
    <w:rsid w:val="005F55AF"/>
    <w:rsid w:val="005F6B51"/>
    <w:rsid w:val="0060012E"/>
    <w:rsid w:val="00600D83"/>
    <w:rsid w:val="0060218F"/>
    <w:rsid w:val="0060221F"/>
    <w:rsid w:val="00602995"/>
    <w:rsid w:val="00602AB9"/>
    <w:rsid w:val="0060340B"/>
    <w:rsid w:val="006039F5"/>
    <w:rsid w:val="00604A99"/>
    <w:rsid w:val="00604D90"/>
    <w:rsid w:val="00604F1A"/>
    <w:rsid w:val="006052F9"/>
    <w:rsid w:val="0060582C"/>
    <w:rsid w:val="00605A46"/>
    <w:rsid w:val="00605D1D"/>
    <w:rsid w:val="00605D3A"/>
    <w:rsid w:val="00605E64"/>
    <w:rsid w:val="006060A1"/>
    <w:rsid w:val="0060632D"/>
    <w:rsid w:val="0060689E"/>
    <w:rsid w:val="00606B04"/>
    <w:rsid w:val="00606B83"/>
    <w:rsid w:val="0060747B"/>
    <w:rsid w:val="00607F01"/>
    <w:rsid w:val="006104EE"/>
    <w:rsid w:val="0061065A"/>
    <w:rsid w:val="00610765"/>
    <w:rsid w:val="00610790"/>
    <w:rsid w:val="00612698"/>
    <w:rsid w:val="00612D24"/>
    <w:rsid w:val="00613154"/>
    <w:rsid w:val="006139EC"/>
    <w:rsid w:val="00614112"/>
    <w:rsid w:val="0061419F"/>
    <w:rsid w:val="00614931"/>
    <w:rsid w:val="00614BDF"/>
    <w:rsid w:val="00614FEE"/>
    <w:rsid w:val="0061584A"/>
    <w:rsid w:val="00615D11"/>
    <w:rsid w:val="006169CA"/>
    <w:rsid w:val="00616A7B"/>
    <w:rsid w:val="00617124"/>
    <w:rsid w:val="0061729E"/>
    <w:rsid w:val="00617376"/>
    <w:rsid w:val="006178A2"/>
    <w:rsid w:val="006209CD"/>
    <w:rsid w:val="00620E54"/>
    <w:rsid w:val="0062146F"/>
    <w:rsid w:val="00621595"/>
    <w:rsid w:val="00621BD8"/>
    <w:rsid w:val="00621E3E"/>
    <w:rsid w:val="00622050"/>
    <w:rsid w:val="00622339"/>
    <w:rsid w:val="00622BF5"/>
    <w:rsid w:val="0062315B"/>
    <w:rsid w:val="006233BC"/>
    <w:rsid w:val="00623459"/>
    <w:rsid w:val="006236D9"/>
    <w:rsid w:val="00623A38"/>
    <w:rsid w:val="00623EDA"/>
    <w:rsid w:val="00624938"/>
    <w:rsid w:val="00624A65"/>
    <w:rsid w:val="00624FDE"/>
    <w:rsid w:val="0062597E"/>
    <w:rsid w:val="00625F00"/>
    <w:rsid w:val="00626525"/>
    <w:rsid w:val="006268D2"/>
    <w:rsid w:val="006269DF"/>
    <w:rsid w:val="00626A01"/>
    <w:rsid w:val="00627028"/>
    <w:rsid w:val="00627412"/>
    <w:rsid w:val="006275AB"/>
    <w:rsid w:val="0062768B"/>
    <w:rsid w:val="00627B10"/>
    <w:rsid w:val="006305FC"/>
    <w:rsid w:val="0063082C"/>
    <w:rsid w:val="00630F1F"/>
    <w:rsid w:val="0063123D"/>
    <w:rsid w:val="006312A9"/>
    <w:rsid w:val="0063262F"/>
    <w:rsid w:val="00632819"/>
    <w:rsid w:val="00632C52"/>
    <w:rsid w:val="00633C54"/>
    <w:rsid w:val="00634641"/>
    <w:rsid w:val="00634AFD"/>
    <w:rsid w:val="00635BD0"/>
    <w:rsid w:val="00636614"/>
    <w:rsid w:val="006367F4"/>
    <w:rsid w:val="00636DFE"/>
    <w:rsid w:val="00636F57"/>
    <w:rsid w:val="006370CC"/>
    <w:rsid w:val="0063779E"/>
    <w:rsid w:val="00637BDE"/>
    <w:rsid w:val="00637D1B"/>
    <w:rsid w:val="00640CA8"/>
    <w:rsid w:val="00641356"/>
    <w:rsid w:val="006423FB"/>
    <w:rsid w:val="00642410"/>
    <w:rsid w:val="006427B8"/>
    <w:rsid w:val="0064289B"/>
    <w:rsid w:val="006432B4"/>
    <w:rsid w:val="00644050"/>
    <w:rsid w:val="00644147"/>
    <w:rsid w:val="006443DA"/>
    <w:rsid w:val="006444D9"/>
    <w:rsid w:val="00644746"/>
    <w:rsid w:val="006448B2"/>
    <w:rsid w:val="006450A4"/>
    <w:rsid w:val="00645180"/>
    <w:rsid w:val="00645288"/>
    <w:rsid w:val="00646912"/>
    <w:rsid w:val="00647072"/>
    <w:rsid w:val="00647824"/>
    <w:rsid w:val="006502C3"/>
    <w:rsid w:val="0065043F"/>
    <w:rsid w:val="00650818"/>
    <w:rsid w:val="00650DA9"/>
    <w:rsid w:val="0065145C"/>
    <w:rsid w:val="0065215B"/>
    <w:rsid w:val="00652B07"/>
    <w:rsid w:val="006537DB"/>
    <w:rsid w:val="00654097"/>
    <w:rsid w:val="0065499A"/>
    <w:rsid w:val="00654DD2"/>
    <w:rsid w:val="00654E60"/>
    <w:rsid w:val="0065579E"/>
    <w:rsid w:val="00655C85"/>
    <w:rsid w:val="0065617D"/>
    <w:rsid w:val="00656BC0"/>
    <w:rsid w:val="00656C04"/>
    <w:rsid w:val="006602B2"/>
    <w:rsid w:val="006607F7"/>
    <w:rsid w:val="00660AD8"/>
    <w:rsid w:val="00660FD4"/>
    <w:rsid w:val="00661076"/>
    <w:rsid w:val="006611E3"/>
    <w:rsid w:val="0066133E"/>
    <w:rsid w:val="00663E26"/>
    <w:rsid w:val="006643B3"/>
    <w:rsid w:val="00664E4F"/>
    <w:rsid w:val="006651AD"/>
    <w:rsid w:val="006651E7"/>
    <w:rsid w:val="00665EC6"/>
    <w:rsid w:val="00666C85"/>
    <w:rsid w:val="0066778D"/>
    <w:rsid w:val="006679C1"/>
    <w:rsid w:val="00667B8C"/>
    <w:rsid w:val="00667E9B"/>
    <w:rsid w:val="00667FBC"/>
    <w:rsid w:val="00670145"/>
    <w:rsid w:val="006701CB"/>
    <w:rsid w:val="0067075C"/>
    <w:rsid w:val="00670A76"/>
    <w:rsid w:val="00670FE7"/>
    <w:rsid w:val="00671ED0"/>
    <w:rsid w:val="00672F73"/>
    <w:rsid w:val="00673C4F"/>
    <w:rsid w:val="0067419C"/>
    <w:rsid w:val="00674265"/>
    <w:rsid w:val="00674784"/>
    <w:rsid w:val="006747C5"/>
    <w:rsid w:val="0067520C"/>
    <w:rsid w:val="0067532C"/>
    <w:rsid w:val="00675506"/>
    <w:rsid w:val="00675B05"/>
    <w:rsid w:val="0067622A"/>
    <w:rsid w:val="00676817"/>
    <w:rsid w:val="00676B75"/>
    <w:rsid w:val="00677599"/>
    <w:rsid w:val="0068099C"/>
    <w:rsid w:val="00681798"/>
    <w:rsid w:val="00681C96"/>
    <w:rsid w:val="006829DC"/>
    <w:rsid w:val="0068305E"/>
    <w:rsid w:val="006831A9"/>
    <w:rsid w:val="006834DC"/>
    <w:rsid w:val="00683580"/>
    <w:rsid w:val="006837E8"/>
    <w:rsid w:val="00683B1E"/>
    <w:rsid w:val="006840D6"/>
    <w:rsid w:val="00684207"/>
    <w:rsid w:val="00684423"/>
    <w:rsid w:val="00684C15"/>
    <w:rsid w:val="00685706"/>
    <w:rsid w:val="0068693F"/>
    <w:rsid w:val="00686B6A"/>
    <w:rsid w:val="00686D67"/>
    <w:rsid w:val="00686F12"/>
    <w:rsid w:val="00687052"/>
    <w:rsid w:val="00687176"/>
    <w:rsid w:val="00687376"/>
    <w:rsid w:val="00687A4F"/>
    <w:rsid w:val="00687BF1"/>
    <w:rsid w:val="00690746"/>
    <w:rsid w:val="00690FA1"/>
    <w:rsid w:val="0069107D"/>
    <w:rsid w:val="00692488"/>
    <w:rsid w:val="006924AF"/>
    <w:rsid w:val="00692D80"/>
    <w:rsid w:val="006936CA"/>
    <w:rsid w:val="00693A6A"/>
    <w:rsid w:val="0069491D"/>
    <w:rsid w:val="00694A7A"/>
    <w:rsid w:val="00695299"/>
    <w:rsid w:val="00695356"/>
    <w:rsid w:val="006955AE"/>
    <w:rsid w:val="00696A1B"/>
    <w:rsid w:val="00696DA4"/>
    <w:rsid w:val="0069714C"/>
    <w:rsid w:val="00697C02"/>
    <w:rsid w:val="00697C91"/>
    <w:rsid w:val="00697D52"/>
    <w:rsid w:val="006A00FD"/>
    <w:rsid w:val="006A0C67"/>
    <w:rsid w:val="006A1A85"/>
    <w:rsid w:val="006A1EFB"/>
    <w:rsid w:val="006A34B7"/>
    <w:rsid w:val="006A406F"/>
    <w:rsid w:val="006A4488"/>
    <w:rsid w:val="006A4925"/>
    <w:rsid w:val="006A5398"/>
    <w:rsid w:val="006A554F"/>
    <w:rsid w:val="006A75B3"/>
    <w:rsid w:val="006A791B"/>
    <w:rsid w:val="006A7927"/>
    <w:rsid w:val="006A7E52"/>
    <w:rsid w:val="006A7F87"/>
    <w:rsid w:val="006B067E"/>
    <w:rsid w:val="006B1255"/>
    <w:rsid w:val="006B1313"/>
    <w:rsid w:val="006B18A8"/>
    <w:rsid w:val="006B2224"/>
    <w:rsid w:val="006B2ECC"/>
    <w:rsid w:val="006B3188"/>
    <w:rsid w:val="006B3C1D"/>
    <w:rsid w:val="006B3E11"/>
    <w:rsid w:val="006B47C4"/>
    <w:rsid w:val="006B4B4D"/>
    <w:rsid w:val="006B4BD3"/>
    <w:rsid w:val="006B53FE"/>
    <w:rsid w:val="006B6187"/>
    <w:rsid w:val="006B6213"/>
    <w:rsid w:val="006B63BC"/>
    <w:rsid w:val="006B644C"/>
    <w:rsid w:val="006B6BF7"/>
    <w:rsid w:val="006B7E93"/>
    <w:rsid w:val="006B7F07"/>
    <w:rsid w:val="006B7F68"/>
    <w:rsid w:val="006C064E"/>
    <w:rsid w:val="006C069E"/>
    <w:rsid w:val="006C0996"/>
    <w:rsid w:val="006C0BBF"/>
    <w:rsid w:val="006C2445"/>
    <w:rsid w:val="006C30AA"/>
    <w:rsid w:val="006C367E"/>
    <w:rsid w:val="006C3ECA"/>
    <w:rsid w:val="006C5484"/>
    <w:rsid w:val="006C58E0"/>
    <w:rsid w:val="006C5A0D"/>
    <w:rsid w:val="006C662B"/>
    <w:rsid w:val="006C673C"/>
    <w:rsid w:val="006C7761"/>
    <w:rsid w:val="006C7836"/>
    <w:rsid w:val="006C78C3"/>
    <w:rsid w:val="006C7E7C"/>
    <w:rsid w:val="006D0215"/>
    <w:rsid w:val="006D0370"/>
    <w:rsid w:val="006D207D"/>
    <w:rsid w:val="006D250D"/>
    <w:rsid w:val="006D3A77"/>
    <w:rsid w:val="006D3B25"/>
    <w:rsid w:val="006D3DA6"/>
    <w:rsid w:val="006D42C7"/>
    <w:rsid w:val="006D46F2"/>
    <w:rsid w:val="006D4A5F"/>
    <w:rsid w:val="006D4EEC"/>
    <w:rsid w:val="006D62C4"/>
    <w:rsid w:val="006D68FB"/>
    <w:rsid w:val="006D6B26"/>
    <w:rsid w:val="006D6C3A"/>
    <w:rsid w:val="006D72A4"/>
    <w:rsid w:val="006E08EC"/>
    <w:rsid w:val="006E120D"/>
    <w:rsid w:val="006E2DB3"/>
    <w:rsid w:val="006E2F31"/>
    <w:rsid w:val="006E34D1"/>
    <w:rsid w:val="006E367D"/>
    <w:rsid w:val="006E4CBB"/>
    <w:rsid w:val="006E64FA"/>
    <w:rsid w:val="006E6895"/>
    <w:rsid w:val="006E6E2B"/>
    <w:rsid w:val="006E7471"/>
    <w:rsid w:val="006E79D3"/>
    <w:rsid w:val="006E7EEF"/>
    <w:rsid w:val="006F0561"/>
    <w:rsid w:val="006F0673"/>
    <w:rsid w:val="006F09E4"/>
    <w:rsid w:val="006F1688"/>
    <w:rsid w:val="006F1EEB"/>
    <w:rsid w:val="006F2071"/>
    <w:rsid w:val="006F24DA"/>
    <w:rsid w:val="006F40D3"/>
    <w:rsid w:val="006F4399"/>
    <w:rsid w:val="006F621C"/>
    <w:rsid w:val="006F73FA"/>
    <w:rsid w:val="00700751"/>
    <w:rsid w:val="00700C3D"/>
    <w:rsid w:val="00701781"/>
    <w:rsid w:val="00702DFA"/>
    <w:rsid w:val="00702F46"/>
    <w:rsid w:val="00703473"/>
    <w:rsid w:val="0070359D"/>
    <w:rsid w:val="007035FF"/>
    <w:rsid w:val="00703876"/>
    <w:rsid w:val="00703C83"/>
    <w:rsid w:val="00703D32"/>
    <w:rsid w:val="007043A7"/>
    <w:rsid w:val="0070443A"/>
    <w:rsid w:val="00704470"/>
    <w:rsid w:val="00704BA0"/>
    <w:rsid w:val="00704E54"/>
    <w:rsid w:val="007058F0"/>
    <w:rsid w:val="0070591A"/>
    <w:rsid w:val="0070662B"/>
    <w:rsid w:val="007068DF"/>
    <w:rsid w:val="007071B8"/>
    <w:rsid w:val="0070770E"/>
    <w:rsid w:val="0071029C"/>
    <w:rsid w:val="00710A35"/>
    <w:rsid w:val="00710D2E"/>
    <w:rsid w:val="00711475"/>
    <w:rsid w:val="007129E8"/>
    <w:rsid w:val="00712BEE"/>
    <w:rsid w:val="0071343E"/>
    <w:rsid w:val="00713786"/>
    <w:rsid w:val="00713DDC"/>
    <w:rsid w:val="007151CF"/>
    <w:rsid w:val="007152F2"/>
    <w:rsid w:val="007155F7"/>
    <w:rsid w:val="007157D6"/>
    <w:rsid w:val="00715CAA"/>
    <w:rsid w:val="007163F1"/>
    <w:rsid w:val="00716A19"/>
    <w:rsid w:val="00716EF7"/>
    <w:rsid w:val="00716F9F"/>
    <w:rsid w:val="00717B33"/>
    <w:rsid w:val="0072025D"/>
    <w:rsid w:val="00721962"/>
    <w:rsid w:val="00721C6B"/>
    <w:rsid w:val="00722253"/>
    <w:rsid w:val="0072247E"/>
    <w:rsid w:val="00722A90"/>
    <w:rsid w:val="00723880"/>
    <w:rsid w:val="00723A93"/>
    <w:rsid w:val="00723D2A"/>
    <w:rsid w:val="0072421D"/>
    <w:rsid w:val="00725ACA"/>
    <w:rsid w:val="00726438"/>
    <w:rsid w:val="0072660C"/>
    <w:rsid w:val="00726660"/>
    <w:rsid w:val="00727973"/>
    <w:rsid w:val="00727B15"/>
    <w:rsid w:val="00727B5C"/>
    <w:rsid w:val="00730E14"/>
    <w:rsid w:val="00730FB1"/>
    <w:rsid w:val="007314F0"/>
    <w:rsid w:val="00731555"/>
    <w:rsid w:val="00731CA9"/>
    <w:rsid w:val="00731FAA"/>
    <w:rsid w:val="00732632"/>
    <w:rsid w:val="00732D63"/>
    <w:rsid w:val="007339CE"/>
    <w:rsid w:val="00734BF3"/>
    <w:rsid w:val="00735204"/>
    <w:rsid w:val="00736AA7"/>
    <w:rsid w:val="00736BCF"/>
    <w:rsid w:val="007370D6"/>
    <w:rsid w:val="007402D7"/>
    <w:rsid w:val="0074112D"/>
    <w:rsid w:val="007411E5"/>
    <w:rsid w:val="00741970"/>
    <w:rsid w:val="00741FCF"/>
    <w:rsid w:val="00742A4F"/>
    <w:rsid w:val="00742C1B"/>
    <w:rsid w:val="00742E10"/>
    <w:rsid w:val="00742ED8"/>
    <w:rsid w:val="00743B10"/>
    <w:rsid w:val="0074499A"/>
    <w:rsid w:val="00744B25"/>
    <w:rsid w:val="007453E3"/>
    <w:rsid w:val="007459DB"/>
    <w:rsid w:val="00745C3F"/>
    <w:rsid w:val="007466E1"/>
    <w:rsid w:val="007469E5"/>
    <w:rsid w:val="00746CAA"/>
    <w:rsid w:val="00747186"/>
    <w:rsid w:val="0074725D"/>
    <w:rsid w:val="00747803"/>
    <w:rsid w:val="00747BEF"/>
    <w:rsid w:val="00747E89"/>
    <w:rsid w:val="00750215"/>
    <w:rsid w:val="007504A0"/>
    <w:rsid w:val="00750B6E"/>
    <w:rsid w:val="00750C1D"/>
    <w:rsid w:val="00750E01"/>
    <w:rsid w:val="00751406"/>
    <w:rsid w:val="00751A8A"/>
    <w:rsid w:val="0075241B"/>
    <w:rsid w:val="0075321F"/>
    <w:rsid w:val="00754356"/>
    <w:rsid w:val="007552A7"/>
    <w:rsid w:val="00755667"/>
    <w:rsid w:val="0075594D"/>
    <w:rsid w:val="00756095"/>
    <w:rsid w:val="00756121"/>
    <w:rsid w:val="0075645F"/>
    <w:rsid w:val="007576E5"/>
    <w:rsid w:val="0075778D"/>
    <w:rsid w:val="007613F9"/>
    <w:rsid w:val="00761B4D"/>
    <w:rsid w:val="00761C5E"/>
    <w:rsid w:val="00761F9E"/>
    <w:rsid w:val="00763154"/>
    <w:rsid w:val="00763357"/>
    <w:rsid w:val="007639EB"/>
    <w:rsid w:val="00763F4F"/>
    <w:rsid w:val="007640ED"/>
    <w:rsid w:val="007641FF"/>
    <w:rsid w:val="007645AD"/>
    <w:rsid w:val="00764BD3"/>
    <w:rsid w:val="0076533C"/>
    <w:rsid w:val="007654A2"/>
    <w:rsid w:val="007656A6"/>
    <w:rsid w:val="00765A39"/>
    <w:rsid w:val="00766F38"/>
    <w:rsid w:val="00767136"/>
    <w:rsid w:val="00770269"/>
    <w:rsid w:val="00770A8C"/>
    <w:rsid w:val="00770AD0"/>
    <w:rsid w:val="0077130D"/>
    <w:rsid w:val="0077185C"/>
    <w:rsid w:val="007723A1"/>
    <w:rsid w:val="007725CA"/>
    <w:rsid w:val="00772AF9"/>
    <w:rsid w:val="007731CF"/>
    <w:rsid w:val="00773BB4"/>
    <w:rsid w:val="00773FF3"/>
    <w:rsid w:val="007740C2"/>
    <w:rsid w:val="007747B5"/>
    <w:rsid w:val="0077490A"/>
    <w:rsid w:val="00774912"/>
    <w:rsid w:val="00776EDD"/>
    <w:rsid w:val="007772B0"/>
    <w:rsid w:val="00780711"/>
    <w:rsid w:val="00780AAB"/>
    <w:rsid w:val="00780E44"/>
    <w:rsid w:val="00780E6E"/>
    <w:rsid w:val="007812C5"/>
    <w:rsid w:val="00782249"/>
    <w:rsid w:val="00782295"/>
    <w:rsid w:val="007822B8"/>
    <w:rsid w:val="00782ABA"/>
    <w:rsid w:val="00785982"/>
    <w:rsid w:val="00786108"/>
    <w:rsid w:val="0078642D"/>
    <w:rsid w:val="0078684A"/>
    <w:rsid w:val="007905BB"/>
    <w:rsid w:val="0079277E"/>
    <w:rsid w:val="00792D09"/>
    <w:rsid w:val="007933BB"/>
    <w:rsid w:val="007933F8"/>
    <w:rsid w:val="0079449C"/>
    <w:rsid w:val="007949DE"/>
    <w:rsid w:val="00794AF3"/>
    <w:rsid w:val="00795C36"/>
    <w:rsid w:val="007960E2"/>
    <w:rsid w:val="00796F7D"/>
    <w:rsid w:val="00797BA5"/>
    <w:rsid w:val="007A02B6"/>
    <w:rsid w:val="007A0383"/>
    <w:rsid w:val="007A04E3"/>
    <w:rsid w:val="007A0912"/>
    <w:rsid w:val="007A1166"/>
    <w:rsid w:val="007A136F"/>
    <w:rsid w:val="007A1865"/>
    <w:rsid w:val="007A1A67"/>
    <w:rsid w:val="007A269D"/>
    <w:rsid w:val="007A3259"/>
    <w:rsid w:val="007A36E4"/>
    <w:rsid w:val="007A5C34"/>
    <w:rsid w:val="007A6069"/>
    <w:rsid w:val="007A6456"/>
    <w:rsid w:val="007A68CF"/>
    <w:rsid w:val="007A6906"/>
    <w:rsid w:val="007A6B09"/>
    <w:rsid w:val="007A7258"/>
    <w:rsid w:val="007A7306"/>
    <w:rsid w:val="007B0488"/>
    <w:rsid w:val="007B05B9"/>
    <w:rsid w:val="007B0E42"/>
    <w:rsid w:val="007B0FE2"/>
    <w:rsid w:val="007B106B"/>
    <w:rsid w:val="007B1633"/>
    <w:rsid w:val="007B1F27"/>
    <w:rsid w:val="007B36F7"/>
    <w:rsid w:val="007B458E"/>
    <w:rsid w:val="007B4CCB"/>
    <w:rsid w:val="007B4D03"/>
    <w:rsid w:val="007B522F"/>
    <w:rsid w:val="007B5601"/>
    <w:rsid w:val="007B64A7"/>
    <w:rsid w:val="007B65A8"/>
    <w:rsid w:val="007B7101"/>
    <w:rsid w:val="007B71CC"/>
    <w:rsid w:val="007C0106"/>
    <w:rsid w:val="007C019C"/>
    <w:rsid w:val="007C032B"/>
    <w:rsid w:val="007C03CE"/>
    <w:rsid w:val="007C03D3"/>
    <w:rsid w:val="007C0F0B"/>
    <w:rsid w:val="007C1AC7"/>
    <w:rsid w:val="007C28F4"/>
    <w:rsid w:val="007C31C0"/>
    <w:rsid w:val="007C31F5"/>
    <w:rsid w:val="007C3DF5"/>
    <w:rsid w:val="007C48E0"/>
    <w:rsid w:val="007C4A84"/>
    <w:rsid w:val="007C5EAD"/>
    <w:rsid w:val="007C6367"/>
    <w:rsid w:val="007D0174"/>
    <w:rsid w:val="007D0365"/>
    <w:rsid w:val="007D08D0"/>
    <w:rsid w:val="007D0D32"/>
    <w:rsid w:val="007D1462"/>
    <w:rsid w:val="007D18BE"/>
    <w:rsid w:val="007D3566"/>
    <w:rsid w:val="007D3A85"/>
    <w:rsid w:val="007D3F96"/>
    <w:rsid w:val="007D4138"/>
    <w:rsid w:val="007D4B1D"/>
    <w:rsid w:val="007D51B3"/>
    <w:rsid w:val="007D5381"/>
    <w:rsid w:val="007D583D"/>
    <w:rsid w:val="007D5AB3"/>
    <w:rsid w:val="007D5CEC"/>
    <w:rsid w:val="007D5F7C"/>
    <w:rsid w:val="007D61F1"/>
    <w:rsid w:val="007D62E0"/>
    <w:rsid w:val="007D691E"/>
    <w:rsid w:val="007D6AC0"/>
    <w:rsid w:val="007D6BED"/>
    <w:rsid w:val="007D77A8"/>
    <w:rsid w:val="007D7B78"/>
    <w:rsid w:val="007D7C3C"/>
    <w:rsid w:val="007E09B1"/>
    <w:rsid w:val="007E0A27"/>
    <w:rsid w:val="007E152B"/>
    <w:rsid w:val="007E1559"/>
    <w:rsid w:val="007E1682"/>
    <w:rsid w:val="007E3124"/>
    <w:rsid w:val="007E3EDE"/>
    <w:rsid w:val="007E41E6"/>
    <w:rsid w:val="007E42BF"/>
    <w:rsid w:val="007E433A"/>
    <w:rsid w:val="007E50BB"/>
    <w:rsid w:val="007E5320"/>
    <w:rsid w:val="007E6667"/>
    <w:rsid w:val="007E6F0C"/>
    <w:rsid w:val="007E75A0"/>
    <w:rsid w:val="007E798A"/>
    <w:rsid w:val="007E7BD4"/>
    <w:rsid w:val="007E7D6A"/>
    <w:rsid w:val="007F05C3"/>
    <w:rsid w:val="007F0851"/>
    <w:rsid w:val="007F09A9"/>
    <w:rsid w:val="007F0DA2"/>
    <w:rsid w:val="007F0E00"/>
    <w:rsid w:val="007F1070"/>
    <w:rsid w:val="007F12FE"/>
    <w:rsid w:val="007F1520"/>
    <w:rsid w:val="007F1993"/>
    <w:rsid w:val="007F2912"/>
    <w:rsid w:val="007F2975"/>
    <w:rsid w:val="007F2A36"/>
    <w:rsid w:val="007F33F5"/>
    <w:rsid w:val="007F3A05"/>
    <w:rsid w:val="007F40C9"/>
    <w:rsid w:val="007F5313"/>
    <w:rsid w:val="007F5A2B"/>
    <w:rsid w:val="007F6877"/>
    <w:rsid w:val="007F7059"/>
    <w:rsid w:val="007F7061"/>
    <w:rsid w:val="007F72EC"/>
    <w:rsid w:val="0080043F"/>
    <w:rsid w:val="0080183A"/>
    <w:rsid w:val="00801DD9"/>
    <w:rsid w:val="00802048"/>
    <w:rsid w:val="00802233"/>
    <w:rsid w:val="008028E8"/>
    <w:rsid w:val="00803376"/>
    <w:rsid w:val="00805B0D"/>
    <w:rsid w:val="00805C89"/>
    <w:rsid w:val="00806460"/>
    <w:rsid w:val="00806551"/>
    <w:rsid w:val="0080706F"/>
    <w:rsid w:val="008106DE"/>
    <w:rsid w:val="00810A4C"/>
    <w:rsid w:val="008117BB"/>
    <w:rsid w:val="00811B53"/>
    <w:rsid w:val="0081206A"/>
    <w:rsid w:val="008127FE"/>
    <w:rsid w:val="00812AB6"/>
    <w:rsid w:val="008131D7"/>
    <w:rsid w:val="00813682"/>
    <w:rsid w:val="00813DDB"/>
    <w:rsid w:val="008144C4"/>
    <w:rsid w:val="00814A91"/>
    <w:rsid w:val="0081516C"/>
    <w:rsid w:val="0081521B"/>
    <w:rsid w:val="0081598E"/>
    <w:rsid w:val="0081653C"/>
    <w:rsid w:val="0081673F"/>
    <w:rsid w:val="00816895"/>
    <w:rsid w:val="008170AC"/>
    <w:rsid w:val="00817733"/>
    <w:rsid w:val="00817C2B"/>
    <w:rsid w:val="0082039A"/>
    <w:rsid w:val="0082042D"/>
    <w:rsid w:val="008204BD"/>
    <w:rsid w:val="00820BB8"/>
    <w:rsid w:val="00821032"/>
    <w:rsid w:val="0082104D"/>
    <w:rsid w:val="00821EEC"/>
    <w:rsid w:val="00821FE2"/>
    <w:rsid w:val="008223C4"/>
    <w:rsid w:val="008223DA"/>
    <w:rsid w:val="00822514"/>
    <w:rsid w:val="008225AA"/>
    <w:rsid w:val="00822ECB"/>
    <w:rsid w:val="008235C4"/>
    <w:rsid w:val="00824BD9"/>
    <w:rsid w:val="00825C10"/>
    <w:rsid w:val="008261C8"/>
    <w:rsid w:val="0082621A"/>
    <w:rsid w:val="008272DC"/>
    <w:rsid w:val="00827958"/>
    <w:rsid w:val="00827DD7"/>
    <w:rsid w:val="00830152"/>
    <w:rsid w:val="00830D03"/>
    <w:rsid w:val="00831E4C"/>
    <w:rsid w:val="00832E57"/>
    <w:rsid w:val="00834007"/>
    <w:rsid w:val="00834557"/>
    <w:rsid w:val="008345D0"/>
    <w:rsid w:val="00834E8D"/>
    <w:rsid w:val="00835394"/>
    <w:rsid w:val="008358EF"/>
    <w:rsid w:val="008360E3"/>
    <w:rsid w:val="008369EB"/>
    <w:rsid w:val="00837458"/>
    <w:rsid w:val="00837F78"/>
    <w:rsid w:val="008403C2"/>
    <w:rsid w:val="00840D7A"/>
    <w:rsid w:val="00841477"/>
    <w:rsid w:val="008415A9"/>
    <w:rsid w:val="008418C5"/>
    <w:rsid w:val="0084249A"/>
    <w:rsid w:val="008424F8"/>
    <w:rsid w:val="00844E20"/>
    <w:rsid w:val="00845515"/>
    <w:rsid w:val="0084563D"/>
    <w:rsid w:val="00846569"/>
    <w:rsid w:val="00846DAC"/>
    <w:rsid w:val="00850423"/>
    <w:rsid w:val="00850929"/>
    <w:rsid w:val="0085106F"/>
    <w:rsid w:val="008510CC"/>
    <w:rsid w:val="00851A91"/>
    <w:rsid w:val="00851FAE"/>
    <w:rsid w:val="0085208B"/>
    <w:rsid w:val="008521F1"/>
    <w:rsid w:val="00852320"/>
    <w:rsid w:val="008526D5"/>
    <w:rsid w:val="00852B38"/>
    <w:rsid w:val="00853273"/>
    <w:rsid w:val="00853733"/>
    <w:rsid w:val="00854394"/>
    <w:rsid w:val="008549BC"/>
    <w:rsid w:val="00854D8C"/>
    <w:rsid w:val="00854F41"/>
    <w:rsid w:val="00854F47"/>
    <w:rsid w:val="008560B0"/>
    <w:rsid w:val="00856243"/>
    <w:rsid w:val="0085626C"/>
    <w:rsid w:val="008570DD"/>
    <w:rsid w:val="008571DF"/>
    <w:rsid w:val="008579BA"/>
    <w:rsid w:val="00857A98"/>
    <w:rsid w:val="00861019"/>
    <w:rsid w:val="00861CD0"/>
    <w:rsid w:val="008632C4"/>
    <w:rsid w:val="008632E6"/>
    <w:rsid w:val="008644AE"/>
    <w:rsid w:val="00864652"/>
    <w:rsid w:val="00864DA5"/>
    <w:rsid w:val="00865204"/>
    <w:rsid w:val="00865A60"/>
    <w:rsid w:val="008672D7"/>
    <w:rsid w:val="0087088E"/>
    <w:rsid w:val="00870B4F"/>
    <w:rsid w:val="00870B91"/>
    <w:rsid w:val="008711BE"/>
    <w:rsid w:val="00871568"/>
    <w:rsid w:val="00871C73"/>
    <w:rsid w:val="008720F9"/>
    <w:rsid w:val="00872740"/>
    <w:rsid w:val="008740AB"/>
    <w:rsid w:val="00874F4D"/>
    <w:rsid w:val="00875725"/>
    <w:rsid w:val="00875BA7"/>
    <w:rsid w:val="0087600F"/>
    <w:rsid w:val="0087609C"/>
    <w:rsid w:val="008762DB"/>
    <w:rsid w:val="00876999"/>
    <w:rsid w:val="008771A7"/>
    <w:rsid w:val="00877296"/>
    <w:rsid w:val="008778A1"/>
    <w:rsid w:val="00877B31"/>
    <w:rsid w:val="00877CB4"/>
    <w:rsid w:val="008821C0"/>
    <w:rsid w:val="0088257E"/>
    <w:rsid w:val="008834C2"/>
    <w:rsid w:val="008835B3"/>
    <w:rsid w:val="00883982"/>
    <w:rsid w:val="0088428D"/>
    <w:rsid w:val="00884686"/>
    <w:rsid w:val="00884B12"/>
    <w:rsid w:val="00884F94"/>
    <w:rsid w:val="00884FC9"/>
    <w:rsid w:val="0088530C"/>
    <w:rsid w:val="00885DCE"/>
    <w:rsid w:val="00885DF9"/>
    <w:rsid w:val="008863D3"/>
    <w:rsid w:val="00886DE6"/>
    <w:rsid w:val="008874EF"/>
    <w:rsid w:val="008903AA"/>
    <w:rsid w:val="008904E5"/>
    <w:rsid w:val="00890C77"/>
    <w:rsid w:val="0089126A"/>
    <w:rsid w:val="00891C8D"/>
    <w:rsid w:val="00891F31"/>
    <w:rsid w:val="0089201A"/>
    <w:rsid w:val="0089282B"/>
    <w:rsid w:val="0089298A"/>
    <w:rsid w:val="00892F03"/>
    <w:rsid w:val="00893572"/>
    <w:rsid w:val="008943AD"/>
    <w:rsid w:val="008946F3"/>
    <w:rsid w:val="008948AA"/>
    <w:rsid w:val="00895150"/>
    <w:rsid w:val="0089558A"/>
    <w:rsid w:val="00895896"/>
    <w:rsid w:val="00895B2E"/>
    <w:rsid w:val="00896A40"/>
    <w:rsid w:val="00896C9A"/>
    <w:rsid w:val="00896D46"/>
    <w:rsid w:val="00897298"/>
    <w:rsid w:val="00897748"/>
    <w:rsid w:val="008A0CB5"/>
    <w:rsid w:val="008A0DD6"/>
    <w:rsid w:val="008A0EFD"/>
    <w:rsid w:val="008A1120"/>
    <w:rsid w:val="008A16C9"/>
    <w:rsid w:val="008A1964"/>
    <w:rsid w:val="008A1F27"/>
    <w:rsid w:val="008A2BEB"/>
    <w:rsid w:val="008A32DE"/>
    <w:rsid w:val="008A3E42"/>
    <w:rsid w:val="008A403F"/>
    <w:rsid w:val="008A4E09"/>
    <w:rsid w:val="008A4F55"/>
    <w:rsid w:val="008A5189"/>
    <w:rsid w:val="008A59FE"/>
    <w:rsid w:val="008A6064"/>
    <w:rsid w:val="008A696C"/>
    <w:rsid w:val="008A6AC6"/>
    <w:rsid w:val="008A6E80"/>
    <w:rsid w:val="008A6F7C"/>
    <w:rsid w:val="008A7438"/>
    <w:rsid w:val="008B0603"/>
    <w:rsid w:val="008B12BA"/>
    <w:rsid w:val="008B12ED"/>
    <w:rsid w:val="008B181A"/>
    <w:rsid w:val="008B18AD"/>
    <w:rsid w:val="008B19CB"/>
    <w:rsid w:val="008B1C7B"/>
    <w:rsid w:val="008B2D3B"/>
    <w:rsid w:val="008B398D"/>
    <w:rsid w:val="008B3A6B"/>
    <w:rsid w:val="008B486E"/>
    <w:rsid w:val="008B5431"/>
    <w:rsid w:val="008B54A6"/>
    <w:rsid w:val="008B552C"/>
    <w:rsid w:val="008B5965"/>
    <w:rsid w:val="008B5BAF"/>
    <w:rsid w:val="008B5F96"/>
    <w:rsid w:val="008B6097"/>
    <w:rsid w:val="008B68A0"/>
    <w:rsid w:val="008B6E1E"/>
    <w:rsid w:val="008B7A7C"/>
    <w:rsid w:val="008B7E4C"/>
    <w:rsid w:val="008C00AC"/>
    <w:rsid w:val="008C0FD9"/>
    <w:rsid w:val="008C1C4A"/>
    <w:rsid w:val="008C206F"/>
    <w:rsid w:val="008C34A0"/>
    <w:rsid w:val="008C3673"/>
    <w:rsid w:val="008C38DD"/>
    <w:rsid w:val="008C3FDB"/>
    <w:rsid w:val="008C49C6"/>
    <w:rsid w:val="008C4C93"/>
    <w:rsid w:val="008C4F13"/>
    <w:rsid w:val="008C53F9"/>
    <w:rsid w:val="008C5596"/>
    <w:rsid w:val="008C5709"/>
    <w:rsid w:val="008C5DE3"/>
    <w:rsid w:val="008C5F95"/>
    <w:rsid w:val="008C7C70"/>
    <w:rsid w:val="008D0863"/>
    <w:rsid w:val="008D0896"/>
    <w:rsid w:val="008D1E2F"/>
    <w:rsid w:val="008D1F64"/>
    <w:rsid w:val="008D227F"/>
    <w:rsid w:val="008D26DD"/>
    <w:rsid w:val="008D320C"/>
    <w:rsid w:val="008D3862"/>
    <w:rsid w:val="008D3DB1"/>
    <w:rsid w:val="008D3FAF"/>
    <w:rsid w:val="008D400A"/>
    <w:rsid w:val="008D4952"/>
    <w:rsid w:val="008D4A3E"/>
    <w:rsid w:val="008D4F83"/>
    <w:rsid w:val="008D7FF9"/>
    <w:rsid w:val="008E1BD8"/>
    <w:rsid w:val="008E2421"/>
    <w:rsid w:val="008E28C1"/>
    <w:rsid w:val="008E30F6"/>
    <w:rsid w:val="008E3B93"/>
    <w:rsid w:val="008E3D8C"/>
    <w:rsid w:val="008E3E13"/>
    <w:rsid w:val="008E5D4C"/>
    <w:rsid w:val="008E5E82"/>
    <w:rsid w:val="008E7634"/>
    <w:rsid w:val="008E778D"/>
    <w:rsid w:val="008E79C9"/>
    <w:rsid w:val="008E7CF1"/>
    <w:rsid w:val="008F07ED"/>
    <w:rsid w:val="008F0971"/>
    <w:rsid w:val="008F13C6"/>
    <w:rsid w:val="008F19E3"/>
    <w:rsid w:val="008F1A9C"/>
    <w:rsid w:val="008F2150"/>
    <w:rsid w:val="008F255B"/>
    <w:rsid w:val="008F2B89"/>
    <w:rsid w:val="008F3591"/>
    <w:rsid w:val="008F40CE"/>
    <w:rsid w:val="008F428B"/>
    <w:rsid w:val="008F437E"/>
    <w:rsid w:val="008F465E"/>
    <w:rsid w:val="008F49A4"/>
    <w:rsid w:val="008F49B7"/>
    <w:rsid w:val="008F4FCF"/>
    <w:rsid w:val="008F52A8"/>
    <w:rsid w:val="008F5397"/>
    <w:rsid w:val="008F5A97"/>
    <w:rsid w:val="008F5AAB"/>
    <w:rsid w:val="008F5C97"/>
    <w:rsid w:val="008F630B"/>
    <w:rsid w:val="008F69C8"/>
    <w:rsid w:val="008F6ABE"/>
    <w:rsid w:val="008F6DD2"/>
    <w:rsid w:val="008F6EA7"/>
    <w:rsid w:val="008F7470"/>
    <w:rsid w:val="008F7F8E"/>
    <w:rsid w:val="00900B27"/>
    <w:rsid w:val="00901019"/>
    <w:rsid w:val="009012D7"/>
    <w:rsid w:val="00901A3F"/>
    <w:rsid w:val="00902091"/>
    <w:rsid w:val="009020BE"/>
    <w:rsid w:val="00902294"/>
    <w:rsid w:val="009023B5"/>
    <w:rsid w:val="00902408"/>
    <w:rsid w:val="00902A6F"/>
    <w:rsid w:val="009031CF"/>
    <w:rsid w:val="009037EA"/>
    <w:rsid w:val="00903E1F"/>
    <w:rsid w:val="00904440"/>
    <w:rsid w:val="009048CF"/>
    <w:rsid w:val="00904DA2"/>
    <w:rsid w:val="0090587B"/>
    <w:rsid w:val="009061DE"/>
    <w:rsid w:val="009068D9"/>
    <w:rsid w:val="00910BA7"/>
    <w:rsid w:val="00910D21"/>
    <w:rsid w:val="00911076"/>
    <w:rsid w:val="009112BF"/>
    <w:rsid w:val="0091198D"/>
    <w:rsid w:val="00911D68"/>
    <w:rsid w:val="00912F46"/>
    <w:rsid w:val="0091305E"/>
    <w:rsid w:val="009133C2"/>
    <w:rsid w:val="009133DD"/>
    <w:rsid w:val="009143F7"/>
    <w:rsid w:val="009149A1"/>
    <w:rsid w:val="00914CE2"/>
    <w:rsid w:val="00914E4F"/>
    <w:rsid w:val="00915B6E"/>
    <w:rsid w:val="009170AE"/>
    <w:rsid w:val="009171BE"/>
    <w:rsid w:val="0092019C"/>
    <w:rsid w:val="009202E3"/>
    <w:rsid w:val="0092030A"/>
    <w:rsid w:val="00920641"/>
    <w:rsid w:val="0092092B"/>
    <w:rsid w:val="00920E5F"/>
    <w:rsid w:val="00920FF1"/>
    <w:rsid w:val="009215C9"/>
    <w:rsid w:val="009215F4"/>
    <w:rsid w:val="00921752"/>
    <w:rsid w:val="00921A7A"/>
    <w:rsid w:val="00921C5B"/>
    <w:rsid w:val="00921C5F"/>
    <w:rsid w:val="0092216D"/>
    <w:rsid w:val="00923F0B"/>
    <w:rsid w:val="009246B0"/>
    <w:rsid w:val="00924EDB"/>
    <w:rsid w:val="0092554F"/>
    <w:rsid w:val="009259B1"/>
    <w:rsid w:val="00926089"/>
    <w:rsid w:val="0092697E"/>
    <w:rsid w:val="0092779C"/>
    <w:rsid w:val="009277C0"/>
    <w:rsid w:val="00927893"/>
    <w:rsid w:val="00927E55"/>
    <w:rsid w:val="009300C9"/>
    <w:rsid w:val="0093024E"/>
    <w:rsid w:val="00930261"/>
    <w:rsid w:val="009305EE"/>
    <w:rsid w:val="009309E1"/>
    <w:rsid w:val="00931423"/>
    <w:rsid w:val="0093144C"/>
    <w:rsid w:val="00931672"/>
    <w:rsid w:val="0093331C"/>
    <w:rsid w:val="00933F59"/>
    <w:rsid w:val="00933F64"/>
    <w:rsid w:val="00933FFF"/>
    <w:rsid w:val="00934179"/>
    <w:rsid w:val="009348E0"/>
    <w:rsid w:val="009355AA"/>
    <w:rsid w:val="009355F4"/>
    <w:rsid w:val="009359FB"/>
    <w:rsid w:val="00936372"/>
    <w:rsid w:val="00936993"/>
    <w:rsid w:val="00937E69"/>
    <w:rsid w:val="00937EEB"/>
    <w:rsid w:val="009405D2"/>
    <w:rsid w:val="009412AA"/>
    <w:rsid w:val="0094159F"/>
    <w:rsid w:val="009417E1"/>
    <w:rsid w:val="00941CE5"/>
    <w:rsid w:val="00941DAE"/>
    <w:rsid w:val="00941E9E"/>
    <w:rsid w:val="00943F78"/>
    <w:rsid w:val="0094443D"/>
    <w:rsid w:val="0094538D"/>
    <w:rsid w:val="00945BED"/>
    <w:rsid w:val="00945E37"/>
    <w:rsid w:val="009460E0"/>
    <w:rsid w:val="00946A8E"/>
    <w:rsid w:val="00947632"/>
    <w:rsid w:val="009478F1"/>
    <w:rsid w:val="00947A95"/>
    <w:rsid w:val="00950F67"/>
    <w:rsid w:val="00951964"/>
    <w:rsid w:val="00951C29"/>
    <w:rsid w:val="00951DCF"/>
    <w:rsid w:val="009537A9"/>
    <w:rsid w:val="00954240"/>
    <w:rsid w:val="009554E5"/>
    <w:rsid w:val="00955C52"/>
    <w:rsid w:val="00955E20"/>
    <w:rsid w:val="009577F5"/>
    <w:rsid w:val="00960978"/>
    <w:rsid w:val="00961196"/>
    <w:rsid w:val="00961BF5"/>
    <w:rsid w:val="00961CC5"/>
    <w:rsid w:val="00961D95"/>
    <w:rsid w:val="00961DCE"/>
    <w:rsid w:val="009629B0"/>
    <w:rsid w:val="009633FC"/>
    <w:rsid w:val="009636D2"/>
    <w:rsid w:val="009638FD"/>
    <w:rsid w:val="00963A0F"/>
    <w:rsid w:val="00963C1A"/>
    <w:rsid w:val="00964D8B"/>
    <w:rsid w:val="00965501"/>
    <w:rsid w:val="00965D24"/>
    <w:rsid w:val="00966AB1"/>
    <w:rsid w:val="00966BB9"/>
    <w:rsid w:val="00967030"/>
    <w:rsid w:val="0096724E"/>
    <w:rsid w:val="00970808"/>
    <w:rsid w:val="00970927"/>
    <w:rsid w:val="0097115E"/>
    <w:rsid w:val="00971329"/>
    <w:rsid w:val="0097148D"/>
    <w:rsid w:val="00971EDF"/>
    <w:rsid w:val="0097205E"/>
    <w:rsid w:val="009727F1"/>
    <w:rsid w:val="00972B03"/>
    <w:rsid w:val="00973A0E"/>
    <w:rsid w:val="009740D0"/>
    <w:rsid w:val="00974148"/>
    <w:rsid w:val="0097467C"/>
    <w:rsid w:val="00974C61"/>
    <w:rsid w:val="00974CC2"/>
    <w:rsid w:val="00975276"/>
    <w:rsid w:val="009755D4"/>
    <w:rsid w:val="0097629B"/>
    <w:rsid w:val="00976434"/>
    <w:rsid w:val="0097648F"/>
    <w:rsid w:val="00976EE9"/>
    <w:rsid w:val="009771F8"/>
    <w:rsid w:val="00977371"/>
    <w:rsid w:val="009774A8"/>
    <w:rsid w:val="0098068D"/>
    <w:rsid w:val="00980E6F"/>
    <w:rsid w:val="0098102F"/>
    <w:rsid w:val="0098104E"/>
    <w:rsid w:val="00982A0C"/>
    <w:rsid w:val="00983A1D"/>
    <w:rsid w:val="00983EEB"/>
    <w:rsid w:val="0098466E"/>
    <w:rsid w:val="00985398"/>
    <w:rsid w:val="00985A7E"/>
    <w:rsid w:val="00986F5D"/>
    <w:rsid w:val="00987C82"/>
    <w:rsid w:val="009904F8"/>
    <w:rsid w:val="00990AA2"/>
    <w:rsid w:val="00990D41"/>
    <w:rsid w:val="00991B51"/>
    <w:rsid w:val="009920A0"/>
    <w:rsid w:val="009927BB"/>
    <w:rsid w:val="009929D3"/>
    <w:rsid w:val="00992C93"/>
    <w:rsid w:val="00993951"/>
    <w:rsid w:val="00994E1D"/>
    <w:rsid w:val="00995AD1"/>
    <w:rsid w:val="00995EE9"/>
    <w:rsid w:val="00996085"/>
    <w:rsid w:val="009965CF"/>
    <w:rsid w:val="00996848"/>
    <w:rsid w:val="0099718F"/>
    <w:rsid w:val="00997355"/>
    <w:rsid w:val="0099738C"/>
    <w:rsid w:val="0099749B"/>
    <w:rsid w:val="00997C53"/>
    <w:rsid w:val="00997D73"/>
    <w:rsid w:val="009A04B8"/>
    <w:rsid w:val="009A085E"/>
    <w:rsid w:val="009A0B68"/>
    <w:rsid w:val="009A1807"/>
    <w:rsid w:val="009A1A7B"/>
    <w:rsid w:val="009A1C27"/>
    <w:rsid w:val="009A1FD3"/>
    <w:rsid w:val="009A24B2"/>
    <w:rsid w:val="009A2A40"/>
    <w:rsid w:val="009A32A4"/>
    <w:rsid w:val="009A38D7"/>
    <w:rsid w:val="009A4B53"/>
    <w:rsid w:val="009A4FA9"/>
    <w:rsid w:val="009A5619"/>
    <w:rsid w:val="009A56BC"/>
    <w:rsid w:val="009A5A36"/>
    <w:rsid w:val="009A5B39"/>
    <w:rsid w:val="009A5DB0"/>
    <w:rsid w:val="009A6F07"/>
    <w:rsid w:val="009A77DE"/>
    <w:rsid w:val="009B057C"/>
    <w:rsid w:val="009B17AD"/>
    <w:rsid w:val="009B1877"/>
    <w:rsid w:val="009B1EBC"/>
    <w:rsid w:val="009B33C3"/>
    <w:rsid w:val="009B3624"/>
    <w:rsid w:val="009B3FE6"/>
    <w:rsid w:val="009B4CF1"/>
    <w:rsid w:val="009B4FA1"/>
    <w:rsid w:val="009B5153"/>
    <w:rsid w:val="009B5157"/>
    <w:rsid w:val="009B5ABF"/>
    <w:rsid w:val="009B5B11"/>
    <w:rsid w:val="009B6321"/>
    <w:rsid w:val="009B66F6"/>
    <w:rsid w:val="009B6DB4"/>
    <w:rsid w:val="009B7830"/>
    <w:rsid w:val="009C07BD"/>
    <w:rsid w:val="009C08A8"/>
    <w:rsid w:val="009C0C8D"/>
    <w:rsid w:val="009C1130"/>
    <w:rsid w:val="009C1512"/>
    <w:rsid w:val="009C18F6"/>
    <w:rsid w:val="009C222C"/>
    <w:rsid w:val="009C23E2"/>
    <w:rsid w:val="009C248C"/>
    <w:rsid w:val="009C24CB"/>
    <w:rsid w:val="009C2731"/>
    <w:rsid w:val="009C2E1F"/>
    <w:rsid w:val="009C3073"/>
    <w:rsid w:val="009C31B0"/>
    <w:rsid w:val="009C3CE7"/>
    <w:rsid w:val="009C4B42"/>
    <w:rsid w:val="009C53A2"/>
    <w:rsid w:val="009C6ADF"/>
    <w:rsid w:val="009C72C0"/>
    <w:rsid w:val="009C75C1"/>
    <w:rsid w:val="009C75E1"/>
    <w:rsid w:val="009C79E0"/>
    <w:rsid w:val="009C7CA3"/>
    <w:rsid w:val="009C7EFB"/>
    <w:rsid w:val="009D0510"/>
    <w:rsid w:val="009D06AF"/>
    <w:rsid w:val="009D06C7"/>
    <w:rsid w:val="009D09F5"/>
    <w:rsid w:val="009D0D73"/>
    <w:rsid w:val="009D0DB0"/>
    <w:rsid w:val="009D0E99"/>
    <w:rsid w:val="009D0F72"/>
    <w:rsid w:val="009D14A9"/>
    <w:rsid w:val="009D1511"/>
    <w:rsid w:val="009D1AB4"/>
    <w:rsid w:val="009D27F3"/>
    <w:rsid w:val="009D2FCA"/>
    <w:rsid w:val="009D3344"/>
    <w:rsid w:val="009D37CF"/>
    <w:rsid w:val="009D3E11"/>
    <w:rsid w:val="009D4649"/>
    <w:rsid w:val="009D46D2"/>
    <w:rsid w:val="009D488A"/>
    <w:rsid w:val="009D53B5"/>
    <w:rsid w:val="009D57A8"/>
    <w:rsid w:val="009E006A"/>
    <w:rsid w:val="009E006F"/>
    <w:rsid w:val="009E04B1"/>
    <w:rsid w:val="009E0794"/>
    <w:rsid w:val="009E0DAE"/>
    <w:rsid w:val="009E195A"/>
    <w:rsid w:val="009E1E4E"/>
    <w:rsid w:val="009E1EF4"/>
    <w:rsid w:val="009E23AB"/>
    <w:rsid w:val="009E3F0D"/>
    <w:rsid w:val="009E44A8"/>
    <w:rsid w:val="009E4D09"/>
    <w:rsid w:val="009E57B4"/>
    <w:rsid w:val="009E5C4E"/>
    <w:rsid w:val="009E64E3"/>
    <w:rsid w:val="009E6592"/>
    <w:rsid w:val="009E692D"/>
    <w:rsid w:val="009E70F3"/>
    <w:rsid w:val="009E7F4A"/>
    <w:rsid w:val="009F09BF"/>
    <w:rsid w:val="009F0B00"/>
    <w:rsid w:val="009F0CF3"/>
    <w:rsid w:val="009F1717"/>
    <w:rsid w:val="009F280A"/>
    <w:rsid w:val="009F2964"/>
    <w:rsid w:val="009F34E8"/>
    <w:rsid w:val="009F45F4"/>
    <w:rsid w:val="009F4B87"/>
    <w:rsid w:val="009F594B"/>
    <w:rsid w:val="009F5A33"/>
    <w:rsid w:val="009F6B4D"/>
    <w:rsid w:val="009F6CB5"/>
    <w:rsid w:val="009F6E3C"/>
    <w:rsid w:val="009F7341"/>
    <w:rsid w:val="009F7820"/>
    <w:rsid w:val="009F7CB1"/>
    <w:rsid w:val="009F7FB9"/>
    <w:rsid w:val="00A000BC"/>
    <w:rsid w:val="00A00402"/>
    <w:rsid w:val="00A00579"/>
    <w:rsid w:val="00A00653"/>
    <w:rsid w:val="00A00775"/>
    <w:rsid w:val="00A00FD6"/>
    <w:rsid w:val="00A01FAF"/>
    <w:rsid w:val="00A0250B"/>
    <w:rsid w:val="00A02B78"/>
    <w:rsid w:val="00A03265"/>
    <w:rsid w:val="00A03F59"/>
    <w:rsid w:val="00A04BF1"/>
    <w:rsid w:val="00A0594A"/>
    <w:rsid w:val="00A06196"/>
    <w:rsid w:val="00A064B6"/>
    <w:rsid w:val="00A0701C"/>
    <w:rsid w:val="00A07606"/>
    <w:rsid w:val="00A07A9D"/>
    <w:rsid w:val="00A07B5F"/>
    <w:rsid w:val="00A07B7F"/>
    <w:rsid w:val="00A10DD2"/>
    <w:rsid w:val="00A10FAC"/>
    <w:rsid w:val="00A11421"/>
    <w:rsid w:val="00A11E78"/>
    <w:rsid w:val="00A12BCA"/>
    <w:rsid w:val="00A137D5"/>
    <w:rsid w:val="00A13859"/>
    <w:rsid w:val="00A13B66"/>
    <w:rsid w:val="00A13E4A"/>
    <w:rsid w:val="00A13F47"/>
    <w:rsid w:val="00A13F60"/>
    <w:rsid w:val="00A143E8"/>
    <w:rsid w:val="00A1614E"/>
    <w:rsid w:val="00A16541"/>
    <w:rsid w:val="00A16EED"/>
    <w:rsid w:val="00A20B58"/>
    <w:rsid w:val="00A21694"/>
    <w:rsid w:val="00A21698"/>
    <w:rsid w:val="00A21A04"/>
    <w:rsid w:val="00A22636"/>
    <w:rsid w:val="00A23FEA"/>
    <w:rsid w:val="00A24342"/>
    <w:rsid w:val="00A24C5F"/>
    <w:rsid w:val="00A25407"/>
    <w:rsid w:val="00A26DDB"/>
    <w:rsid w:val="00A26F7C"/>
    <w:rsid w:val="00A27595"/>
    <w:rsid w:val="00A27712"/>
    <w:rsid w:val="00A32974"/>
    <w:rsid w:val="00A32A9E"/>
    <w:rsid w:val="00A32FA2"/>
    <w:rsid w:val="00A3442A"/>
    <w:rsid w:val="00A34670"/>
    <w:rsid w:val="00A34C85"/>
    <w:rsid w:val="00A36365"/>
    <w:rsid w:val="00A368AF"/>
    <w:rsid w:val="00A36B23"/>
    <w:rsid w:val="00A36EFB"/>
    <w:rsid w:val="00A3734C"/>
    <w:rsid w:val="00A37C61"/>
    <w:rsid w:val="00A37D5A"/>
    <w:rsid w:val="00A400B8"/>
    <w:rsid w:val="00A4025E"/>
    <w:rsid w:val="00A404E7"/>
    <w:rsid w:val="00A40978"/>
    <w:rsid w:val="00A4107B"/>
    <w:rsid w:val="00A41A2D"/>
    <w:rsid w:val="00A41F69"/>
    <w:rsid w:val="00A42159"/>
    <w:rsid w:val="00A42747"/>
    <w:rsid w:val="00A42B19"/>
    <w:rsid w:val="00A43B16"/>
    <w:rsid w:val="00A43DF6"/>
    <w:rsid w:val="00A441BF"/>
    <w:rsid w:val="00A448E2"/>
    <w:rsid w:val="00A44982"/>
    <w:rsid w:val="00A4661D"/>
    <w:rsid w:val="00A46C9C"/>
    <w:rsid w:val="00A47196"/>
    <w:rsid w:val="00A4725F"/>
    <w:rsid w:val="00A5031A"/>
    <w:rsid w:val="00A5069C"/>
    <w:rsid w:val="00A5096C"/>
    <w:rsid w:val="00A50EEB"/>
    <w:rsid w:val="00A53727"/>
    <w:rsid w:val="00A5498F"/>
    <w:rsid w:val="00A56B35"/>
    <w:rsid w:val="00A57A90"/>
    <w:rsid w:val="00A57BE6"/>
    <w:rsid w:val="00A60B15"/>
    <w:rsid w:val="00A60FA4"/>
    <w:rsid w:val="00A61481"/>
    <w:rsid w:val="00A61498"/>
    <w:rsid w:val="00A6159D"/>
    <w:rsid w:val="00A62003"/>
    <w:rsid w:val="00A633BA"/>
    <w:rsid w:val="00A639B1"/>
    <w:rsid w:val="00A639BA"/>
    <w:rsid w:val="00A64095"/>
    <w:rsid w:val="00A64199"/>
    <w:rsid w:val="00A647F2"/>
    <w:rsid w:val="00A64991"/>
    <w:rsid w:val="00A650AE"/>
    <w:rsid w:val="00A65114"/>
    <w:rsid w:val="00A65B0E"/>
    <w:rsid w:val="00A65DE4"/>
    <w:rsid w:val="00A65E6D"/>
    <w:rsid w:val="00A6689C"/>
    <w:rsid w:val="00A668A8"/>
    <w:rsid w:val="00A66A0B"/>
    <w:rsid w:val="00A66A92"/>
    <w:rsid w:val="00A66B39"/>
    <w:rsid w:val="00A66DF4"/>
    <w:rsid w:val="00A67DF0"/>
    <w:rsid w:val="00A700C0"/>
    <w:rsid w:val="00A702E9"/>
    <w:rsid w:val="00A7040D"/>
    <w:rsid w:val="00A705BB"/>
    <w:rsid w:val="00A70C04"/>
    <w:rsid w:val="00A70C4B"/>
    <w:rsid w:val="00A70D98"/>
    <w:rsid w:val="00A710F3"/>
    <w:rsid w:val="00A71789"/>
    <w:rsid w:val="00A7180C"/>
    <w:rsid w:val="00A7201F"/>
    <w:rsid w:val="00A72049"/>
    <w:rsid w:val="00A72057"/>
    <w:rsid w:val="00A72591"/>
    <w:rsid w:val="00A7286E"/>
    <w:rsid w:val="00A72BC4"/>
    <w:rsid w:val="00A72CC4"/>
    <w:rsid w:val="00A73CCD"/>
    <w:rsid w:val="00A751EE"/>
    <w:rsid w:val="00A75354"/>
    <w:rsid w:val="00A760E8"/>
    <w:rsid w:val="00A768B7"/>
    <w:rsid w:val="00A772A8"/>
    <w:rsid w:val="00A8020B"/>
    <w:rsid w:val="00A803D0"/>
    <w:rsid w:val="00A80BC2"/>
    <w:rsid w:val="00A81848"/>
    <w:rsid w:val="00A8184F"/>
    <w:rsid w:val="00A81E1D"/>
    <w:rsid w:val="00A8201A"/>
    <w:rsid w:val="00A82758"/>
    <w:rsid w:val="00A82AFE"/>
    <w:rsid w:val="00A84DB0"/>
    <w:rsid w:val="00A85B9C"/>
    <w:rsid w:val="00A863FF"/>
    <w:rsid w:val="00A866A1"/>
    <w:rsid w:val="00A86836"/>
    <w:rsid w:val="00A87B08"/>
    <w:rsid w:val="00A91376"/>
    <w:rsid w:val="00A915D3"/>
    <w:rsid w:val="00A91858"/>
    <w:rsid w:val="00A92374"/>
    <w:rsid w:val="00A9257A"/>
    <w:rsid w:val="00A9317A"/>
    <w:rsid w:val="00A9395D"/>
    <w:rsid w:val="00A93963"/>
    <w:rsid w:val="00A95C1C"/>
    <w:rsid w:val="00A95D92"/>
    <w:rsid w:val="00A96211"/>
    <w:rsid w:val="00A962CD"/>
    <w:rsid w:val="00A9736A"/>
    <w:rsid w:val="00A97C8E"/>
    <w:rsid w:val="00AA039A"/>
    <w:rsid w:val="00AA0AB2"/>
    <w:rsid w:val="00AA1185"/>
    <w:rsid w:val="00AA16BA"/>
    <w:rsid w:val="00AA1C48"/>
    <w:rsid w:val="00AA1CCD"/>
    <w:rsid w:val="00AA1F13"/>
    <w:rsid w:val="00AA2C74"/>
    <w:rsid w:val="00AA2FC8"/>
    <w:rsid w:val="00AA3780"/>
    <w:rsid w:val="00AA3A27"/>
    <w:rsid w:val="00AA4979"/>
    <w:rsid w:val="00AA4CF2"/>
    <w:rsid w:val="00AA4EFC"/>
    <w:rsid w:val="00AA5FBF"/>
    <w:rsid w:val="00AA663B"/>
    <w:rsid w:val="00AA6EBC"/>
    <w:rsid w:val="00AA6FBB"/>
    <w:rsid w:val="00AA72C9"/>
    <w:rsid w:val="00AA745A"/>
    <w:rsid w:val="00AA7E5F"/>
    <w:rsid w:val="00AB01AD"/>
    <w:rsid w:val="00AB0311"/>
    <w:rsid w:val="00AB09D8"/>
    <w:rsid w:val="00AB0A51"/>
    <w:rsid w:val="00AB11A3"/>
    <w:rsid w:val="00AB1C3B"/>
    <w:rsid w:val="00AB1F1F"/>
    <w:rsid w:val="00AB31A0"/>
    <w:rsid w:val="00AB3D1F"/>
    <w:rsid w:val="00AB4339"/>
    <w:rsid w:val="00AB43B8"/>
    <w:rsid w:val="00AB493E"/>
    <w:rsid w:val="00AB4D86"/>
    <w:rsid w:val="00AB5148"/>
    <w:rsid w:val="00AB530F"/>
    <w:rsid w:val="00AB5B34"/>
    <w:rsid w:val="00AB5C7A"/>
    <w:rsid w:val="00AB6112"/>
    <w:rsid w:val="00AB6498"/>
    <w:rsid w:val="00AB65A8"/>
    <w:rsid w:val="00AB6D07"/>
    <w:rsid w:val="00AB7227"/>
    <w:rsid w:val="00AB73AD"/>
    <w:rsid w:val="00AB7A9F"/>
    <w:rsid w:val="00AB7F47"/>
    <w:rsid w:val="00AC021F"/>
    <w:rsid w:val="00AC057F"/>
    <w:rsid w:val="00AC2CB7"/>
    <w:rsid w:val="00AC30DA"/>
    <w:rsid w:val="00AC3528"/>
    <w:rsid w:val="00AC387B"/>
    <w:rsid w:val="00AC388E"/>
    <w:rsid w:val="00AC3C58"/>
    <w:rsid w:val="00AC4180"/>
    <w:rsid w:val="00AC4ADF"/>
    <w:rsid w:val="00AC4D2B"/>
    <w:rsid w:val="00AC5026"/>
    <w:rsid w:val="00AC55F0"/>
    <w:rsid w:val="00AC5FE3"/>
    <w:rsid w:val="00AC7400"/>
    <w:rsid w:val="00AC7AF2"/>
    <w:rsid w:val="00AC7BB8"/>
    <w:rsid w:val="00AD083E"/>
    <w:rsid w:val="00AD1026"/>
    <w:rsid w:val="00AD1060"/>
    <w:rsid w:val="00AD13AB"/>
    <w:rsid w:val="00AD153F"/>
    <w:rsid w:val="00AD1AB7"/>
    <w:rsid w:val="00AD1BD5"/>
    <w:rsid w:val="00AD20A3"/>
    <w:rsid w:val="00AD2164"/>
    <w:rsid w:val="00AD2680"/>
    <w:rsid w:val="00AD28BA"/>
    <w:rsid w:val="00AD2F88"/>
    <w:rsid w:val="00AD3C33"/>
    <w:rsid w:val="00AD4706"/>
    <w:rsid w:val="00AD488E"/>
    <w:rsid w:val="00AD4932"/>
    <w:rsid w:val="00AD5C29"/>
    <w:rsid w:val="00AD63A5"/>
    <w:rsid w:val="00AD677B"/>
    <w:rsid w:val="00AD695A"/>
    <w:rsid w:val="00AD6F36"/>
    <w:rsid w:val="00AD7C3F"/>
    <w:rsid w:val="00AD7F15"/>
    <w:rsid w:val="00AD7F24"/>
    <w:rsid w:val="00AE031A"/>
    <w:rsid w:val="00AE04B6"/>
    <w:rsid w:val="00AE056B"/>
    <w:rsid w:val="00AE1524"/>
    <w:rsid w:val="00AE1734"/>
    <w:rsid w:val="00AE2247"/>
    <w:rsid w:val="00AE28D7"/>
    <w:rsid w:val="00AE3677"/>
    <w:rsid w:val="00AE39F0"/>
    <w:rsid w:val="00AE3A97"/>
    <w:rsid w:val="00AE3B4E"/>
    <w:rsid w:val="00AE3F59"/>
    <w:rsid w:val="00AE44E0"/>
    <w:rsid w:val="00AE478F"/>
    <w:rsid w:val="00AE4797"/>
    <w:rsid w:val="00AE4FEE"/>
    <w:rsid w:val="00AE5620"/>
    <w:rsid w:val="00AE6019"/>
    <w:rsid w:val="00AE6C7D"/>
    <w:rsid w:val="00AF0D24"/>
    <w:rsid w:val="00AF1153"/>
    <w:rsid w:val="00AF12BE"/>
    <w:rsid w:val="00AF1E16"/>
    <w:rsid w:val="00AF221D"/>
    <w:rsid w:val="00AF24A8"/>
    <w:rsid w:val="00AF2EDA"/>
    <w:rsid w:val="00AF32D7"/>
    <w:rsid w:val="00AF32E5"/>
    <w:rsid w:val="00AF3625"/>
    <w:rsid w:val="00AF3F6D"/>
    <w:rsid w:val="00AF41C4"/>
    <w:rsid w:val="00AF42C7"/>
    <w:rsid w:val="00AF446D"/>
    <w:rsid w:val="00AF50B3"/>
    <w:rsid w:val="00AF5241"/>
    <w:rsid w:val="00AF57B5"/>
    <w:rsid w:val="00AF610E"/>
    <w:rsid w:val="00AF6316"/>
    <w:rsid w:val="00AF6BCC"/>
    <w:rsid w:val="00AF6DB2"/>
    <w:rsid w:val="00AF703D"/>
    <w:rsid w:val="00AF73C3"/>
    <w:rsid w:val="00AF752B"/>
    <w:rsid w:val="00AF76C3"/>
    <w:rsid w:val="00B0060B"/>
    <w:rsid w:val="00B010AB"/>
    <w:rsid w:val="00B011E9"/>
    <w:rsid w:val="00B013AF"/>
    <w:rsid w:val="00B01662"/>
    <w:rsid w:val="00B01C7E"/>
    <w:rsid w:val="00B01DBD"/>
    <w:rsid w:val="00B032BE"/>
    <w:rsid w:val="00B03E91"/>
    <w:rsid w:val="00B06953"/>
    <w:rsid w:val="00B11451"/>
    <w:rsid w:val="00B137BF"/>
    <w:rsid w:val="00B137F1"/>
    <w:rsid w:val="00B1391D"/>
    <w:rsid w:val="00B1393F"/>
    <w:rsid w:val="00B14138"/>
    <w:rsid w:val="00B142F8"/>
    <w:rsid w:val="00B14458"/>
    <w:rsid w:val="00B15589"/>
    <w:rsid w:val="00B1564F"/>
    <w:rsid w:val="00B15F22"/>
    <w:rsid w:val="00B16857"/>
    <w:rsid w:val="00B17381"/>
    <w:rsid w:val="00B1739C"/>
    <w:rsid w:val="00B2024F"/>
    <w:rsid w:val="00B20539"/>
    <w:rsid w:val="00B20B97"/>
    <w:rsid w:val="00B20D68"/>
    <w:rsid w:val="00B21217"/>
    <w:rsid w:val="00B21450"/>
    <w:rsid w:val="00B2165E"/>
    <w:rsid w:val="00B21D33"/>
    <w:rsid w:val="00B21F29"/>
    <w:rsid w:val="00B22527"/>
    <w:rsid w:val="00B22BD4"/>
    <w:rsid w:val="00B2345B"/>
    <w:rsid w:val="00B2380C"/>
    <w:rsid w:val="00B23926"/>
    <w:rsid w:val="00B23FC4"/>
    <w:rsid w:val="00B241C6"/>
    <w:rsid w:val="00B243F2"/>
    <w:rsid w:val="00B24965"/>
    <w:rsid w:val="00B255A9"/>
    <w:rsid w:val="00B2641D"/>
    <w:rsid w:val="00B2693A"/>
    <w:rsid w:val="00B274A7"/>
    <w:rsid w:val="00B27E1E"/>
    <w:rsid w:val="00B30470"/>
    <w:rsid w:val="00B3083E"/>
    <w:rsid w:val="00B30DDD"/>
    <w:rsid w:val="00B3145D"/>
    <w:rsid w:val="00B31851"/>
    <w:rsid w:val="00B31C84"/>
    <w:rsid w:val="00B3216D"/>
    <w:rsid w:val="00B323AF"/>
    <w:rsid w:val="00B32AFE"/>
    <w:rsid w:val="00B32E6A"/>
    <w:rsid w:val="00B33B62"/>
    <w:rsid w:val="00B33EC1"/>
    <w:rsid w:val="00B359D4"/>
    <w:rsid w:val="00B3661A"/>
    <w:rsid w:val="00B3722F"/>
    <w:rsid w:val="00B3763C"/>
    <w:rsid w:val="00B405E5"/>
    <w:rsid w:val="00B41052"/>
    <w:rsid w:val="00B410D7"/>
    <w:rsid w:val="00B42599"/>
    <w:rsid w:val="00B42CDF"/>
    <w:rsid w:val="00B42D61"/>
    <w:rsid w:val="00B43905"/>
    <w:rsid w:val="00B44D20"/>
    <w:rsid w:val="00B44F17"/>
    <w:rsid w:val="00B461EE"/>
    <w:rsid w:val="00B467A2"/>
    <w:rsid w:val="00B46DD2"/>
    <w:rsid w:val="00B46ED4"/>
    <w:rsid w:val="00B46FC3"/>
    <w:rsid w:val="00B47731"/>
    <w:rsid w:val="00B51587"/>
    <w:rsid w:val="00B526C4"/>
    <w:rsid w:val="00B52CBF"/>
    <w:rsid w:val="00B53042"/>
    <w:rsid w:val="00B55425"/>
    <w:rsid w:val="00B55839"/>
    <w:rsid w:val="00B56094"/>
    <w:rsid w:val="00B5672A"/>
    <w:rsid w:val="00B57035"/>
    <w:rsid w:val="00B572FB"/>
    <w:rsid w:val="00B579C6"/>
    <w:rsid w:val="00B603DD"/>
    <w:rsid w:val="00B608FF"/>
    <w:rsid w:val="00B61877"/>
    <w:rsid w:val="00B6188C"/>
    <w:rsid w:val="00B62205"/>
    <w:rsid w:val="00B62548"/>
    <w:rsid w:val="00B62F69"/>
    <w:rsid w:val="00B62FC5"/>
    <w:rsid w:val="00B637C9"/>
    <w:rsid w:val="00B638FC"/>
    <w:rsid w:val="00B63E3A"/>
    <w:rsid w:val="00B64DF3"/>
    <w:rsid w:val="00B64F26"/>
    <w:rsid w:val="00B653EA"/>
    <w:rsid w:val="00B65B8D"/>
    <w:rsid w:val="00B663C4"/>
    <w:rsid w:val="00B66BAB"/>
    <w:rsid w:val="00B67560"/>
    <w:rsid w:val="00B6767E"/>
    <w:rsid w:val="00B67733"/>
    <w:rsid w:val="00B705F2"/>
    <w:rsid w:val="00B71008"/>
    <w:rsid w:val="00B717DE"/>
    <w:rsid w:val="00B7186F"/>
    <w:rsid w:val="00B719EA"/>
    <w:rsid w:val="00B72B2C"/>
    <w:rsid w:val="00B72CE2"/>
    <w:rsid w:val="00B732B6"/>
    <w:rsid w:val="00B737ED"/>
    <w:rsid w:val="00B7406B"/>
    <w:rsid w:val="00B744F8"/>
    <w:rsid w:val="00B7454D"/>
    <w:rsid w:val="00B76516"/>
    <w:rsid w:val="00B7651E"/>
    <w:rsid w:val="00B76C05"/>
    <w:rsid w:val="00B77530"/>
    <w:rsid w:val="00B77764"/>
    <w:rsid w:val="00B77D8D"/>
    <w:rsid w:val="00B809E0"/>
    <w:rsid w:val="00B81339"/>
    <w:rsid w:val="00B81393"/>
    <w:rsid w:val="00B81672"/>
    <w:rsid w:val="00B818ED"/>
    <w:rsid w:val="00B8283A"/>
    <w:rsid w:val="00B836B3"/>
    <w:rsid w:val="00B841EB"/>
    <w:rsid w:val="00B846C5"/>
    <w:rsid w:val="00B854AA"/>
    <w:rsid w:val="00B85ED4"/>
    <w:rsid w:val="00B85FAF"/>
    <w:rsid w:val="00B865B0"/>
    <w:rsid w:val="00B86FF6"/>
    <w:rsid w:val="00B871BA"/>
    <w:rsid w:val="00B872A8"/>
    <w:rsid w:val="00B87398"/>
    <w:rsid w:val="00B909A9"/>
    <w:rsid w:val="00B913F0"/>
    <w:rsid w:val="00B91726"/>
    <w:rsid w:val="00B925AF"/>
    <w:rsid w:val="00B92B24"/>
    <w:rsid w:val="00B931F1"/>
    <w:rsid w:val="00B935EF"/>
    <w:rsid w:val="00B93673"/>
    <w:rsid w:val="00B93A7E"/>
    <w:rsid w:val="00B947B0"/>
    <w:rsid w:val="00B94FAD"/>
    <w:rsid w:val="00B95157"/>
    <w:rsid w:val="00B96855"/>
    <w:rsid w:val="00B96E28"/>
    <w:rsid w:val="00B970DD"/>
    <w:rsid w:val="00B977E4"/>
    <w:rsid w:val="00BA0427"/>
    <w:rsid w:val="00BA048B"/>
    <w:rsid w:val="00BA091A"/>
    <w:rsid w:val="00BA15F9"/>
    <w:rsid w:val="00BA1641"/>
    <w:rsid w:val="00BA285E"/>
    <w:rsid w:val="00BA3717"/>
    <w:rsid w:val="00BA3740"/>
    <w:rsid w:val="00BA3E81"/>
    <w:rsid w:val="00BA522F"/>
    <w:rsid w:val="00BA57C4"/>
    <w:rsid w:val="00BA5ABB"/>
    <w:rsid w:val="00BA6432"/>
    <w:rsid w:val="00BA6635"/>
    <w:rsid w:val="00BA69D9"/>
    <w:rsid w:val="00BA6E9A"/>
    <w:rsid w:val="00BA7630"/>
    <w:rsid w:val="00BA77E8"/>
    <w:rsid w:val="00BA7B73"/>
    <w:rsid w:val="00BA7ECB"/>
    <w:rsid w:val="00BB045D"/>
    <w:rsid w:val="00BB053F"/>
    <w:rsid w:val="00BB07E7"/>
    <w:rsid w:val="00BB0CAE"/>
    <w:rsid w:val="00BB1058"/>
    <w:rsid w:val="00BB11C0"/>
    <w:rsid w:val="00BB1ED6"/>
    <w:rsid w:val="00BB2333"/>
    <w:rsid w:val="00BB4265"/>
    <w:rsid w:val="00BB432B"/>
    <w:rsid w:val="00BB494B"/>
    <w:rsid w:val="00BB57BC"/>
    <w:rsid w:val="00BB5C0D"/>
    <w:rsid w:val="00BB5DC6"/>
    <w:rsid w:val="00BB6129"/>
    <w:rsid w:val="00BB70BB"/>
    <w:rsid w:val="00BB74B5"/>
    <w:rsid w:val="00BB7A34"/>
    <w:rsid w:val="00BB7CBD"/>
    <w:rsid w:val="00BC15AB"/>
    <w:rsid w:val="00BC2E33"/>
    <w:rsid w:val="00BC3EB1"/>
    <w:rsid w:val="00BC4D80"/>
    <w:rsid w:val="00BC4F6C"/>
    <w:rsid w:val="00BC57B8"/>
    <w:rsid w:val="00BC5974"/>
    <w:rsid w:val="00BC5B6C"/>
    <w:rsid w:val="00BC6518"/>
    <w:rsid w:val="00BC6600"/>
    <w:rsid w:val="00BC6B15"/>
    <w:rsid w:val="00BC71E3"/>
    <w:rsid w:val="00BC778E"/>
    <w:rsid w:val="00BD04C5"/>
    <w:rsid w:val="00BD09CB"/>
    <w:rsid w:val="00BD102E"/>
    <w:rsid w:val="00BD10D2"/>
    <w:rsid w:val="00BD1AB5"/>
    <w:rsid w:val="00BD222A"/>
    <w:rsid w:val="00BD229A"/>
    <w:rsid w:val="00BD260A"/>
    <w:rsid w:val="00BD28F6"/>
    <w:rsid w:val="00BD2ADE"/>
    <w:rsid w:val="00BD370D"/>
    <w:rsid w:val="00BD3C66"/>
    <w:rsid w:val="00BD4353"/>
    <w:rsid w:val="00BD4E31"/>
    <w:rsid w:val="00BD5733"/>
    <w:rsid w:val="00BD57B0"/>
    <w:rsid w:val="00BD57F7"/>
    <w:rsid w:val="00BD63E8"/>
    <w:rsid w:val="00BD6FCE"/>
    <w:rsid w:val="00BE04B2"/>
    <w:rsid w:val="00BE12EA"/>
    <w:rsid w:val="00BE19AD"/>
    <w:rsid w:val="00BE1BE0"/>
    <w:rsid w:val="00BE3D40"/>
    <w:rsid w:val="00BE41D3"/>
    <w:rsid w:val="00BE4384"/>
    <w:rsid w:val="00BE46E1"/>
    <w:rsid w:val="00BE4E40"/>
    <w:rsid w:val="00BE4EEC"/>
    <w:rsid w:val="00BE4FD8"/>
    <w:rsid w:val="00BE50D6"/>
    <w:rsid w:val="00BE576D"/>
    <w:rsid w:val="00BE5908"/>
    <w:rsid w:val="00BE6737"/>
    <w:rsid w:val="00BE69C1"/>
    <w:rsid w:val="00BE6A7E"/>
    <w:rsid w:val="00BE6F16"/>
    <w:rsid w:val="00BE7676"/>
    <w:rsid w:val="00BE7AE9"/>
    <w:rsid w:val="00BE7C9B"/>
    <w:rsid w:val="00BE7E74"/>
    <w:rsid w:val="00BE7F36"/>
    <w:rsid w:val="00BF0719"/>
    <w:rsid w:val="00BF0B77"/>
    <w:rsid w:val="00BF0D4F"/>
    <w:rsid w:val="00BF1048"/>
    <w:rsid w:val="00BF113C"/>
    <w:rsid w:val="00BF117D"/>
    <w:rsid w:val="00BF203C"/>
    <w:rsid w:val="00BF2F40"/>
    <w:rsid w:val="00BF3DBD"/>
    <w:rsid w:val="00BF3EAD"/>
    <w:rsid w:val="00BF4886"/>
    <w:rsid w:val="00BF49D3"/>
    <w:rsid w:val="00BF4FD5"/>
    <w:rsid w:val="00BF5CF6"/>
    <w:rsid w:val="00BF6140"/>
    <w:rsid w:val="00BF6192"/>
    <w:rsid w:val="00BF6234"/>
    <w:rsid w:val="00BF6E97"/>
    <w:rsid w:val="00C0047A"/>
    <w:rsid w:val="00C00705"/>
    <w:rsid w:val="00C00FDD"/>
    <w:rsid w:val="00C01058"/>
    <w:rsid w:val="00C01A71"/>
    <w:rsid w:val="00C02394"/>
    <w:rsid w:val="00C025E0"/>
    <w:rsid w:val="00C02CE6"/>
    <w:rsid w:val="00C03B0F"/>
    <w:rsid w:val="00C044E4"/>
    <w:rsid w:val="00C05373"/>
    <w:rsid w:val="00C054A0"/>
    <w:rsid w:val="00C05A9F"/>
    <w:rsid w:val="00C067AA"/>
    <w:rsid w:val="00C06931"/>
    <w:rsid w:val="00C06AE3"/>
    <w:rsid w:val="00C06BAC"/>
    <w:rsid w:val="00C0767C"/>
    <w:rsid w:val="00C07D27"/>
    <w:rsid w:val="00C1014A"/>
    <w:rsid w:val="00C108C4"/>
    <w:rsid w:val="00C10CC2"/>
    <w:rsid w:val="00C11C07"/>
    <w:rsid w:val="00C11DBC"/>
    <w:rsid w:val="00C12173"/>
    <w:rsid w:val="00C1240B"/>
    <w:rsid w:val="00C1255E"/>
    <w:rsid w:val="00C12800"/>
    <w:rsid w:val="00C133C1"/>
    <w:rsid w:val="00C135CC"/>
    <w:rsid w:val="00C13826"/>
    <w:rsid w:val="00C13CD8"/>
    <w:rsid w:val="00C13E8C"/>
    <w:rsid w:val="00C143B7"/>
    <w:rsid w:val="00C15BCA"/>
    <w:rsid w:val="00C16302"/>
    <w:rsid w:val="00C16E05"/>
    <w:rsid w:val="00C16F24"/>
    <w:rsid w:val="00C17031"/>
    <w:rsid w:val="00C175A9"/>
    <w:rsid w:val="00C17BF2"/>
    <w:rsid w:val="00C17FA5"/>
    <w:rsid w:val="00C200DB"/>
    <w:rsid w:val="00C2073D"/>
    <w:rsid w:val="00C20A5A"/>
    <w:rsid w:val="00C20D97"/>
    <w:rsid w:val="00C21781"/>
    <w:rsid w:val="00C22084"/>
    <w:rsid w:val="00C2280F"/>
    <w:rsid w:val="00C22AD5"/>
    <w:rsid w:val="00C22B3A"/>
    <w:rsid w:val="00C22EA5"/>
    <w:rsid w:val="00C22FDB"/>
    <w:rsid w:val="00C23BD6"/>
    <w:rsid w:val="00C241A5"/>
    <w:rsid w:val="00C24A67"/>
    <w:rsid w:val="00C24B01"/>
    <w:rsid w:val="00C24DED"/>
    <w:rsid w:val="00C24FE3"/>
    <w:rsid w:val="00C259E8"/>
    <w:rsid w:val="00C2641B"/>
    <w:rsid w:val="00C26F71"/>
    <w:rsid w:val="00C277A6"/>
    <w:rsid w:val="00C279CB"/>
    <w:rsid w:val="00C27DA2"/>
    <w:rsid w:val="00C30246"/>
    <w:rsid w:val="00C30391"/>
    <w:rsid w:val="00C303B4"/>
    <w:rsid w:val="00C31973"/>
    <w:rsid w:val="00C3200D"/>
    <w:rsid w:val="00C32AAA"/>
    <w:rsid w:val="00C32AAD"/>
    <w:rsid w:val="00C33A37"/>
    <w:rsid w:val="00C36996"/>
    <w:rsid w:val="00C40002"/>
    <w:rsid w:val="00C40131"/>
    <w:rsid w:val="00C403CC"/>
    <w:rsid w:val="00C40B3A"/>
    <w:rsid w:val="00C40C8D"/>
    <w:rsid w:val="00C40CC0"/>
    <w:rsid w:val="00C40CFF"/>
    <w:rsid w:val="00C41384"/>
    <w:rsid w:val="00C4193B"/>
    <w:rsid w:val="00C42556"/>
    <w:rsid w:val="00C42AEF"/>
    <w:rsid w:val="00C43CB8"/>
    <w:rsid w:val="00C44D9A"/>
    <w:rsid w:val="00C45044"/>
    <w:rsid w:val="00C455DE"/>
    <w:rsid w:val="00C45731"/>
    <w:rsid w:val="00C45A65"/>
    <w:rsid w:val="00C4613B"/>
    <w:rsid w:val="00C462A3"/>
    <w:rsid w:val="00C46319"/>
    <w:rsid w:val="00C46456"/>
    <w:rsid w:val="00C47B37"/>
    <w:rsid w:val="00C503CD"/>
    <w:rsid w:val="00C50507"/>
    <w:rsid w:val="00C506A8"/>
    <w:rsid w:val="00C515C5"/>
    <w:rsid w:val="00C51B61"/>
    <w:rsid w:val="00C527BF"/>
    <w:rsid w:val="00C52DDB"/>
    <w:rsid w:val="00C531D4"/>
    <w:rsid w:val="00C535F5"/>
    <w:rsid w:val="00C53715"/>
    <w:rsid w:val="00C53814"/>
    <w:rsid w:val="00C5454F"/>
    <w:rsid w:val="00C54C5F"/>
    <w:rsid w:val="00C55CA4"/>
    <w:rsid w:val="00C56BA1"/>
    <w:rsid w:val="00C605D1"/>
    <w:rsid w:val="00C61073"/>
    <w:rsid w:val="00C6225F"/>
    <w:rsid w:val="00C628AE"/>
    <w:rsid w:val="00C629D8"/>
    <w:rsid w:val="00C63A77"/>
    <w:rsid w:val="00C64EFD"/>
    <w:rsid w:val="00C64F8A"/>
    <w:rsid w:val="00C66559"/>
    <w:rsid w:val="00C66D77"/>
    <w:rsid w:val="00C70244"/>
    <w:rsid w:val="00C705DA"/>
    <w:rsid w:val="00C70F01"/>
    <w:rsid w:val="00C71D78"/>
    <w:rsid w:val="00C72511"/>
    <w:rsid w:val="00C72A8C"/>
    <w:rsid w:val="00C72C91"/>
    <w:rsid w:val="00C73400"/>
    <w:rsid w:val="00C73C43"/>
    <w:rsid w:val="00C74609"/>
    <w:rsid w:val="00C7598B"/>
    <w:rsid w:val="00C759DC"/>
    <w:rsid w:val="00C76701"/>
    <w:rsid w:val="00C7757A"/>
    <w:rsid w:val="00C8092F"/>
    <w:rsid w:val="00C809C0"/>
    <w:rsid w:val="00C8126C"/>
    <w:rsid w:val="00C81531"/>
    <w:rsid w:val="00C8178F"/>
    <w:rsid w:val="00C81992"/>
    <w:rsid w:val="00C82242"/>
    <w:rsid w:val="00C83954"/>
    <w:rsid w:val="00C83BDB"/>
    <w:rsid w:val="00C84E7B"/>
    <w:rsid w:val="00C85CD7"/>
    <w:rsid w:val="00C860E6"/>
    <w:rsid w:val="00C878C5"/>
    <w:rsid w:val="00C903E3"/>
    <w:rsid w:val="00C9086F"/>
    <w:rsid w:val="00C90BDE"/>
    <w:rsid w:val="00C915C8"/>
    <w:rsid w:val="00C91C94"/>
    <w:rsid w:val="00C92793"/>
    <w:rsid w:val="00C9301D"/>
    <w:rsid w:val="00C93AC2"/>
    <w:rsid w:val="00C93E20"/>
    <w:rsid w:val="00C94605"/>
    <w:rsid w:val="00C947AB"/>
    <w:rsid w:val="00C951EB"/>
    <w:rsid w:val="00C953FF"/>
    <w:rsid w:val="00C956A6"/>
    <w:rsid w:val="00C95B16"/>
    <w:rsid w:val="00C9603A"/>
    <w:rsid w:val="00C962E5"/>
    <w:rsid w:val="00C96772"/>
    <w:rsid w:val="00C97359"/>
    <w:rsid w:val="00C978A3"/>
    <w:rsid w:val="00CA01C9"/>
    <w:rsid w:val="00CA02A5"/>
    <w:rsid w:val="00CA02B4"/>
    <w:rsid w:val="00CA0434"/>
    <w:rsid w:val="00CA0F90"/>
    <w:rsid w:val="00CA1709"/>
    <w:rsid w:val="00CA1757"/>
    <w:rsid w:val="00CA1A89"/>
    <w:rsid w:val="00CA328B"/>
    <w:rsid w:val="00CA39A4"/>
    <w:rsid w:val="00CA3C39"/>
    <w:rsid w:val="00CA44D7"/>
    <w:rsid w:val="00CA464A"/>
    <w:rsid w:val="00CA486C"/>
    <w:rsid w:val="00CA552E"/>
    <w:rsid w:val="00CA5732"/>
    <w:rsid w:val="00CA5C5C"/>
    <w:rsid w:val="00CA5EAD"/>
    <w:rsid w:val="00CA62EC"/>
    <w:rsid w:val="00CA67C0"/>
    <w:rsid w:val="00CA7905"/>
    <w:rsid w:val="00CA7CCE"/>
    <w:rsid w:val="00CB01AA"/>
    <w:rsid w:val="00CB10A9"/>
    <w:rsid w:val="00CB117E"/>
    <w:rsid w:val="00CB11BA"/>
    <w:rsid w:val="00CB13E9"/>
    <w:rsid w:val="00CB14C0"/>
    <w:rsid w:val="00CB1BD1"/>
    <w:rsid w:val="00CB372E"/>
    <w:rsid w:val="00CB3B06"/>
    <w:rsid w:val="00CB3F0E"/>
    <w:rsid w:val="00CB48FB"/>
    <w:rsid w:val="00CB622E"/>
    <w:rsid w:val="00CB6980"/>
    <w:rsid w:val="00CB6BAB"/>
    <w:rsid w:val="00CB7483"/>
    <w:rsid w:val="00CB7974"/>
    <w:rsid w:val="00CC00FB"/>
    <w:rsid w:val="00CC05C4"/>
    <w:rsid w:val="00CC0CB8"/>
    <w:rsid w:val="00CC191B"/>
    <w:rsid w:val="00CC2016"/>
    <w:rsid w:val="00CC27E1"/>
    <w:rsid w:val="00CC2FE1"/>
    <w:rsid w:val="00CC34E6"/>
    <w:rsid w:val="00CC3608"/>
    <w:rsid w:val="00CC41DF"/>
    <w:rsid w:val="00CC506C"/>
    <w:rsid w:val="00CC5424"/>
    <w:rsid w:val="00CC5A6A"/>
    <w:rsid w:val="00CC5C22"/>
    <w:rsid w:val="00CC6658"/>
    <w:rsid w:val="00CD0056"/>
    <w:rsid w:val="00CD00CF"/>
    <w:rsid w:val="00CD0C19"/>
    <w:rsid w:val="00CD1E03"/>
    <w:rsid w:val="00CD2D91"/>
    <w:rsid w:val="00CD30F3"/>
    <w:rsid w:val="00CD314F"/>
    <w:rsid w:val="00CD354B"/>
    <w:rsid w:val="00CD374E"/>
    <w:rsid w:val="00CD37BE"/>
    <w:rsid w:val="00CD3C4A"/>
    <w:rsid w:val="00CD4C93"/>
    <w:rsid w:val="00CD50E7"/>
    <w:rsid w:val="00CD580D"/>
    <w:rsid w:val="00CD58DB"/>
    <w:rsid w:val="00CD5A63"/>
    <w:rsid w:val="00CD6115"/>
    <w:rsid w:val="00CD6497"/>
    <w:rsid w:val="00CD6768"/>
    <w:rsid w:val="00CD6E14"/>
    <w:rsid w:val="00CD78A3"/>
    <w:rsid w:val="00CD7D86"/>
    <w:rsid w:val="00CD7FAB"/>
    <w:rsid w:val="00CE0398"/>
    <w:rsid w:val="00CE1FB0"/>
    <w:rsid w:val="00CE21AB"/>
    <w:rsid w:val="00CE277F"/>
    <w:rsid w:val="00CE287B"/>
    <w:rsid w:val="00CE28FA"/>
    <w:rsid w:val="00CE31EA"/>
    <w:rsid w:val="00CE3802"/>
    <w:rsid w:val="00CE50DC"/>
    <w:rsid w:val="00CE52B8"/>
    <w:rsid w:val="00CE56FE"/>
    <w:rsid w:val="00CE5EA2"/>
    <w:rsid w:val="00CE600E"/>
    <w:rsid w:val="00CE6816"/>
    <w:rsid w:val="00CE6C9D"/>
    <w:rsid w:val="00CE7FA4"/>
    <w:rsid w:val="00CF052E"/>
    <w:rsid w:val="00CF08D8"/>
    <w:rsid w:val="00CF0CAE"/>
    <w:rsid w:val="00CF10BC"/>
    <w:rsid w:val="00CF1179"/>
    <w:rsid w:val="00CF11D1"/>
    <w:rsid w:val="00CF186F"/>
    <w:rsid w:val="00CF199C"/>
    <w:rsid w:val="00CF1DE5"/>
    <w:rsid w:val="00CF1E53"/>
    <w:rsid w:val="00CF21E7"/>
    <w:rsid w:val="00CF2B9D"/>
    <w:rsid w:val="00CF2C7D"/>
    <w:rsid w:val="00CF490E"/>
    <w:rsid w:val="00CF4DD4"/>
    <w:rsid w:val="00CF4FE5"/>
    <w:rsid w:val="00CF533D"/>
    <w:rsid w:val="00CF5689"/>
    <w:rsid w:val="00CF5D77"/>
    <w:rsid w:val="00CF5E0F"/>
    <w:rsid w:val="00CF64F8"/>
    <w:rsid w:val="00CF6834"/>
    <w:rsid w:val="00CF6FBA"/>
    <w:rsid w:val="00D001CD"/>
    <w:rsid w:val="00D00404"/>
    <w:rsid w:val="00D006D9"/>
    <w:rsid w:val="00D00AD7"/>
    <w:rsid w:val="00D013A1"/>
    <w:rsid w:val="00D014EF"/>
    <w:rsid w:val="00D016E2"/>
    <w:rsid w:val="00D01BB0"/>
    <w:rsid w:val="00D021CD"/>
    <w:rsid w:val="00D02E43"/>
    <w:rsid w:val="00D02E9F"/>
    <w:rsid w:val="00D02EE6"/>
    <w:rsid w:val="00D036A5"/>
    <w:rsid w:val="00D03DEB"/>
    <w:rsid w:val="00D04D95"/>
    <w:rsid w:val="00D04F76"/>
    <w:rsid w:val="00D050F8"/>
    <w:rsid w:val="00D05B96"/>
    <w:rsid w:val="00D062F5"/>
    <w:rsid w:val="00D06D2B"/>
    <w:rsid w:val="00D07769"/>
    <w:rsid w:val="00D100B0"/>
    <w:rsid w:val="00D1021D"/>
    <w:rsid w:val="00D10A39"/>
    <w:rsid w:val="00D116FB"/>
    <w:rsid w:val="00D11C2E"/>
    <w:rsid w:val="00D12167"/>
    <w:rsid w:val="00D12EFE"/>
    <w:rsid w:val="00D139A2"/>
    <w:rsid w:val="00D14A6F"/>
    <w:rsid w:val="00D14DE7"/>
    <w:rsid w:val="00D15280"/>
    <w:rsid w:val="00D16148"/>
    <w:rsid w:val="00D16BF2"/>
    <w:rsid w:val="00D1706A"/>
    <w:rsid w:val="00D2108A"/>
    <w:rsid w:val="00D21095"/>
    <w:rsid w:val="00D21F47"/>
    <w:rsid w:val="00D21F53"/>
    <w:rsid w:val="00D223A1"/>
    <w:rsid w:val="00D22812"/>
    <w:rsid w:val="00D23260"/>
    <w:rsid w:val="00D23CC4"/>
    <w:rsid w:val="00D25324"/>
    <w:rsid w:val="00D25C55"/>
    <w:rsid w:val="00D25F25"/>
    <w:rsid w:val="00D26654"/>
    <w:rsid w:val="00D26F0E"/>
    <w:rsid w:val="00D27021"/>
    <w:rsid w:val="00D27181"/>
    <w:rsid w:val="00D2754C"/>
    <w:rsid w:val="00D27AE2"/>
    <w:rsid w:val="00D31790"/>
    <w:rsid w:val="00D31BD7"/>
    <w:rsid w:val="00D3207F"/>
    <w:rsid w:val="00D34A09"/>
    <w:rsid w:val="00D34F39"/>
    <w:rsid w:val="00D3527F"/>
    <w:rsid w:val="00D358DC"/>
    <w:rsid w:val="00D35CB6"/>
    <w:rsid w:val="00D3703B"/>
    <w:rsid w:val="00D37929"/>
    <w:rsid w:val="00D37FEC"/>
    <w:rsid w:val="00D40815"/>
    <w:rsid w:val="00D41508"/>
    <w:rsid w:val="00D42173"/>
    <w:rsid w:val="00D4241C"/>
    <w:rsid w:val="00D43330"/>
    <w:rsid w:val="00D4421F"/>
    <w:rsid w:val="00D4422E"/>
    <w:rsid w:val="00D444A0"/>
    <w:rsid w:val="00D446F7"/>
    <w:rsid w:val="00D45D8A"/>
    <w:rsid w:val="00D479E2"/>
    <w:rsid w:val="00D47A90"/>
    <w:rsid w:val="00D502F1"/>
    <w:rsid w:val="00D502FB"/>
    <w:rsid w:val="00D50905"/>
    <w:rsid w:val="00D50B22"/>
    <w:rsid w:val="00D52479"/>
    <w:rsid w:val="00D53777"/>
    <w:rsid w:val="00D541DE"/>
    <w:rsid w:val="00D54DB8"/>
    <w:rsid w:val="00D54E7E"/>
    <w:rsid w:val="00D54EFC"/>
    <w:rsid w:val="00D54FCC"/>
    <w:rsid w:val="00D5509E"/>
    <w:rsid w:val="00D552ED"/>
    <w:rsid w:val="00D56056"/>
    <w:rsid w:val="00D561F6"/>
    <w:rsid w:val="00D56402"/>
    <w:rsid w:val="00D5668F"/>
    <w:rsid w:val="00D5713F"/>
    <w:rsid w:val="00D575C8"/>
    <w:rsid w:val="00D57CEB"/>
    <w:rsid w:val="00D61B4A"/>
    <w:rsid w:val="00D62B15"/>
    <w:rsid w:val="00D63DE3"/>
    <w:rsid w:val="00D64017"/>
    <w:rsid w:val="00D640C0"/>
    <w:rsid w:val="00D649F9"/>
    <w:rsid w:val="00D64BCE"/>
    <w:rsid w:val="00D64F8E"/>
    <w:rsid w:val="00D64F93"/>
    <w:rsid w:val="00D65D6E"/>
    <w:rsid w:val="00D65F06"/>
    <w:rsid w:val="00D664D4"/>
    <w:rsid w:val="00D669C3"/>
    <w:rsid w:val="00D66AAA"/>
    <w:rsid w:val="00D6781D"/>
    <w:rsid w:val="00D67D0F"/>
    <w:rsid w:val="00D67E36"/>
    <w:rsid w:val="00D71017"/>
    <w:rsid w:val="00D71AD7"/>
    <w:rsid w:val="00D73746"/>
    <w:rsid w:val="00D7382C"/>
    <w:rsid w:val="00D73D1D"/>
    <w:rsid w:val="00D75393"/>
    <w:rsid w:val="00D75EF8"/>
    <w:rsid w:val="00D76851"/>
    <w:rsid w:val="00D77508"/>
    <w:rsid w:val="00D777DE"/>
    <w:rsid w:val="00D77882"/>
    <w:rsid w:val="00D77B82"/>
    <w:rsid w:val="00D8044E"/>
    <w:rsid w:val="00D8076C"/>
    <w:rsid w:val="00D8170F"/>
    <w:rsid w:val="00D81AD0"/>
    <w:rsid w:val="00D81CEB"/>
    <w:rsid w:val="00D82815"/>
    <w:rsid w:val="00D82AE9"/>
    <w:rsid w:val="00D83874"/>
    <w:rsid w:val="00D84AB5"/>
    <w:rsid w:val="00D85181"/>
    <w:rsid w:val="00D852CB"/>
    <w:rsid w:val="00D85420"/>
    <w:rsid w:val="00D85B3D"/>
    <w:rsid w:val="00D87022"/>
    <w:rsid w:val="00D900A1"/>
    <w:rsid w:val="00D90427"/>
    <w:rsid w:val="00D906E4"/>
    <w:rsid w:val="00D909AB"/>
    <w:rsid w:val="00D90CBD"/>
    <w:rsid w:val="00D90F13"/>
    <w:rsid w:val="00D912DE"/>
    <w:rsid w:val="00D91959"/>
    <w:rsid w:val="00D91BFF"/>
    <w:rsid w:val="00D91E62"/>
    <w:rsid w:val="00D922F5"/>
    <w:rsid w:val="00D92CD8"/>
    <w:rsid w:val="00D92D8B"/>
    <w:rsid w:val="00D9388E"/>
    <w:rsid w:val="00D93AF1"/>
    <w:rsid w:val="00D93EF3"/>
    <w:rsid w:val="00D947D4"/>
    <w:rsid w:val="00D94E75"/>
    <w:rsid w:val="00D95B86"/>
    <w:rsid w:val="00D96949"/>
    <w:rsid w:val="00D97258"/>
    <w:rsid w:val="00D973FE"/>
    <w:rsid w:val="00D978B3"/>
    <w:rsid w:val="00DA0366"/>
    <w:rsid w:val="00DA0F9E"/>
    <w:rsid w:val="00DA10A7"/>
    <w:rsid w:val="00DA1AC7"/>
    <w:rsid w:val="00DA1F5F"/>
    <w:rsid w:val="00DA2794"/>
    <w:rsid w:val="00DA300C"/>
    <w:rsid w:val="00DA3506"/>
    <w:rsid w:val="00DA3738"/>
    <w:rsid w:val="00DA3AC8"/>
    <w:rsid w:val="00DA3DC3"/>
    <w:rsid w:val="00DA4B08"/>
    <w:rsid w:val="00DA5952"/>
    <w:rsid w:val="00DA6223"/>
    <w:rsid w:val="00DA63FA"/>
    <w:rsid w:val="00DA652C"/>
    <w:rsid w:val="00DA666D"/>
    <w:rsid w:val="00DA7251"/>
    <w:rsid w:val="00DA7978"/>
    <w:rsid w:val="00DB06E8"/>
    <w:rsid w:val="00DB0FEC"/>
    <w:rsid w:val="00DB12DB"/>
    <w:rsid w:val="00DB179C"/>
    <w:rsid w:val="00DB223E"/>
    <w:rsid w:val="00DB2497"/>
    <w:rsid w:val="00DB2E57"/>
    <w:rsid w:val="00DB328B"/>
    <w:rsid w:val="00DB3BD2"/>
    <w:rsid w:val="00DB425A"/>
    <w:rsid w:val="00DB4E39"/>
    <w:rsid w:val="00DB50C7"/>
    <w:rsid w:val="00DB567B"/>
    <w:rsid w:val="00DB5746"/>
    <w:rsid w:val="00DB78E0"/>
    <w:rsid w:val="00DB7F02"/>
    <w:rsid w:val="00DC015E"/>
    <w:rsid w:val="00DC061D"/>
    <w:rsid w:val="00DC2672"/>
    <w:rsid w:val="00DC2A59"/>
    <w:rsid w:val="00DC3293"/>
    <w:rsid w:val="00DC35EA"/>
    <w:rsid w:val="00DC53E8"/>
    <w:rsid w:val="00DC55FE"/>
    <w:rsid w:val="00DC6608"/>
    <w:rsid w:val="00DC7188"/>
    <w:rsid w:val="00DC791F"/>
    <w:rsid w:val="00DC7C0D"/>
    <w:rsid w:val="00DC7C89"/>
    <w:rsid w:val="00DD0143"/>
    <w:rsid w:val="00DD01A1"/>
    <w:rsid w:val="00DD02A4"/>
    <w:rsid w:val="00DD030C"/>
    <w:rsid w:val="00DD0355"/>
    <w:rsid w:val="00DD04D8"/>
    <w:rsid w:val="00DD054E"/>
    <w:rsid w:val="00DD079B"/>
    <w:rsid w:val="00DD0899"/>
    <w:rsid w:val="00DD1541"/>
    <w:rsid w:val="00DD1E07"/>
    <w:rsid w:val="00DD2161"/>
    <w:rsid w:val="00DD28B4"/>
    <w:rsid w:val="00DD436A"/>
    <w:rsid w:val="00DD49B6"/>
    <w:rsid w:val="00DD50AF"/>
    <w:rsid w:val="00DD58F6"/>
    <w:rsid w:val="00DD5E1D"/>
    <w:rsid w:val="00DD6C3E"/>
    <w:rsid w:val="00DD78C0"/>
    <w:rsid w:val="00DD7B32"/>
    <w:rsid w:val="00DE01CA"/>
    <w:rsid w:val="00DE0FF0"/>
    <w:rsid w:val="00DE1EBB"/>
    <w:rsid w:val="00DE2240"/>
    <w:rsid w:val="00DE3B38"/>
    <w:rsid w:val="00DE549A"/>
    <w:rsid w:val="00DE5C53"/>
    <w:rsid w:val="00DE5EE6"/>
    <w:rsid w:val="00DE7B10"/>
    <w:rsid w:val="00DE7D01"/>
    <w:rsid w:val="00DF1775"/>
    <w:rsid w:val="00DF1DD5"/>
    <w:rsid w:val="00DF1FE1"/>
    <w:rsid w:val="00DF204B"/>
    <w:rsid w:val="00DF2BEC"/>
    <w:rsid w:val="00DF39DB"/>
    <w:rsid w:val="00DF476B"/>
    <w:rsid w:val="00DF5682"/>
    <w:rsid w:val="00DF5A59"/>
    <w:rsid w:val="00DF6792"/>
    <w:rsid w:val="00DF6FCB"/>
    <w:rsid w:val="00DF7838"/>
    <w:rsid w:val="00E0050A"/>
    <w:rsid w:val="00E0073E"/>
    <w:rsid w:val="00E00800"/>
    <w:rsid w:val="00E017F5"/>
    <w:rsid w:val="00E02335"/>
    <w:rsid w:val="00E02519"/>
    <w:rsid w:val="00E0273B"/>
    <w:rsid w:val="00E02E19"/>
    <w:rsid w:val="00E02E51"/>
    <w:rsid w:val="00E02F71"/>
    <w:rsid w:val="00E03220"/>
    <w:rsid w:val="00E03C8D"/>
    <w:rsid w:val="00E03F4A"/>
    <w:rsid w:val="00E040A6"/>
    <w:rsid w:val="00E05A5B"/>
    <w:rsid w:val="00E0612A"/>
    <w:rsid w:val="00E07270"/>
    <w:rsid w:val="00E07C05"/>
    <w:rsid w:val="00E07FBA"/>
    <w:rsid w:val="00E105E9"/>
    <w:rsid w:val="00E108FB"/>
    <w:rsid w:val="00E1211A"/>
    <w:rsid w:val="00E12AFB"/>
    <w:rsid w:val="00E12C6A"/>
    <w:rsid w:val="00E13312"/>
    <w:rsid w:val="00E134B4"/>
    <w:rsid w:val="00E140FC"/>
    <w:rsid w:val="00E147EB"/>
    <w:rsid w:val="00E1481C"/>
    <w:rsid w:val="00E14C5D"/>
    <w:rsid w:val="00E1501F"/>
    <w:rsid w:val="00E150DB"/>
    <w:rsid w:val="00E1587E"/>
    <w:rsid w:val="00E16E8C"/>
    <w:rsid w:val="00E16F05"/>
    <w:rsid w:val="00E17290"/>
    <w:rsid w:val="00E17311"/>
    <w:rsid w:val="00E17C4B"/>
    <w:rsid w:val="00E20494"/>
    <w:rsid w:val="00E2067E"/>
    <w:rsid w:val="00E20DBD"/>
    <w:rsid w:val="00E20F50"/>
    <w:rsid w:val="00E20FF8"/>
    <w:rsid w:val="00E22186"/>
    <w:rsid w:val="00E23A28"/>
    <w:rsid w:val="00E2421A"/>
    <w:rsid w:val="00E24484"/>
    <w:rsid w:val="00E24910"/>
    <w:rsid w:val="00E249E5"/>
    <w:rsid w:val="00E25CEE"/>
    <w:rsid w:val="00E25FFB"/>
    <w:rsid w:val="00E2650B"/>
    <w:rsid w:val="00E26536"/>
    <w:rsid w:val="00E26F00"/>
    <w:rsid w:val="00E2760D"/>
    <w:rsid w:val="00E27C2D"/>
    <w:rsid w:val="00E27F20"/>
    <w:rsid w:val="00E30796"/>
    <w:rsid w:val="00E31A5E"/>
    <w:rsid w:val="00E31B0B"/>
    <w:rsid w:val="00E3220D"/>
    <w:rsid w:val="00E32463"/>
    <w:rsid w:val="00E32794"/>
    <w:rsid w:val="00E32B24"/>
    <w:rsid w:val="00E32C29"/>
    <w:rsid w:val="00E33213"/>
    <w:rsid w:val="00E342D3"/>
    <w:rsid w:val="00E345BA"/>
    <w:rsid w:val="00E3496D"/>
    <w:rsid w:val="00E35C63"/>
    <w:rsid w:val="00E35E27"/>
    <w:rsid w:val="00E366AD"/>
    <w:rsid w:val="00E36B2B"/>
    <w:rsid w:val="00E37309"/>
    <w:rsid w:val="00E37912"/>
    <w:rsid w:val="00E4052A"/>
    <w:rsid w:val="00E4057D"/>
    <w:rsid w:val="00E405C5"/>
    <w:rsid w:val="00E408AE"/>
    <w:rsid w:val="00E40F03"/>
    <w:rsid w:val="00E41262"/>
    <w:rsid w:val="00E41303"/>
    <w:rsid w:val="00E41AF7"/>
    <w:rsid w:val="00E41B12"/>
    <w:rsid w:val="00E422E8"/>
    <w:rsid w:val="00E42962"/>
    <w:rsid w:val="00E43BC1"/>
    <w:rsid w:val="00E43E01"/>
    <w:rsid w:val="00E464DA"/>
    <w:rsid w:val="00E46632"/>
    <w:rsid w:val="00E470E1"/>
    <w:rsid w:val="00E476E3"/>
    <w:rsid w:val="00E478AF"/>
    <w:rsid w:val="00E5054D"/>
    <w:rsid w:val="00E5071B"/>
    <w:rsid w:val="00E5088D"/>
    <w:rsid w:val="00E50EA7"/>
    <w:rsid w:val="00E50F1B"/>
    <w:rsid w:val="00E51726"/>
    <w:rsid w:val="00E51C46"/>
    <w:rsid w:val="00E524A8"/>
    <w:rsid w:val="00E52BDB"/>
    <w:rsid w:val="00E5316D"/>
    <w:rsid w:val="00E5367D"/>
    <w:rsid w:val="00E53988"/>
    <w:rsid w:val="00E53DB9"/>
    <w:rsid w:val="00E540C1"/>
    <w:rsid w:val="00E547ED"/>
    <w:rsid w:val="00E54E11"/>
    <w:rsid w:val="00E54E3B"/>
    <w:rsid w:val="00E54E50"/>
    <w:rsid w:val="00E54E9E"/>
    <w:rsid w:val="00E550CD"/>
    <w:rsid w:val="00E553D9"/>
    <w:rsid w:val="00E559F6"/>
    <w:rsid w:val="00E55C2E"/>
    <w:rsid w:val="00E55E42"/>
    <w:rsid w:val="00E55FAE"/>
    <w:rsid w:val="00E562BD"/>
    <w:rsid w:val="00E5664A"/>
    <w:rsid w:val="00E5785C"/>
    <w:rsid w:val="00E57CA2"/>
    <w:rsid w:val="00E57F1D"/>
    <w:rsid w:val="00E602C0"/>
    <w:rsid w:val="00E603A2"/>
    <w:rsid w:val="00E623CC"/>
    <w:rsid w:val="00E6274C"/>
    <w:rsid w:val="00E6362B"/>
    <w:rsid w:val="00E638F1"/>
    <w:rsid w:val="00E63E16"/>
    <w:rsid w:val="00E64225"/>
    <w:rsid w:val="00E649ED"/>
    <w:rsid w:val="00E65409"/>
    <w:rsid w:val="00E654A1"/>
    <w:rsid w:val="00E6612E"/>
    <w:rsid w:val="00E66911"/>
    <w:rsid w:val="00E66A3A"/>
    <w:rsid w:val="00E67099"/>
    <w:rsid w:val="00E6774A"/>
    <w:rsid w:val="00E67CDD"/>
    <w:rsid w:val="00E67FB1"/>
    <w:rsid w:val="00E67FCA"/>
    <w:rsid w:val="00E7018D"/>
    <w:rsid w:val="00E703C8"/>
    <w:rsid w:val="00E71EA4"/>
    <w:rsid w:val="00E726B9"/>
    <w:rsid w:val="00E7293D"/>
    <w:rsid w:val="00E736F1"/>
    <w:rsid w:val="00E7400A"/>
    <w:rsid w:val="00E74290"/>
    <w:rsid w:val="00E74E28"/>
    <w:rsid w:val="00E75955"/>
    <w:rsid w:val="00E75C00"/>
    <w:rsid w:val="00E75C47"/>
    <w:rsid w:val="00E76683"/>
    <w:rsid w:val="00E771EA"/>
    <w:rsid w:val="00E77BAA"/>
    <w:rsid w:val="00E77C3F"/>
    <w:rsid w:val="00E8124D"/>
    <w:rsid w:val="00E82093"/>
    <w:rsid w:val="00E8219E"/>
    <w:rsid w:val="00E82A10"/>
    <w:rsid w:val="00E841FA"/>
    <w:rsid w:val="00E84208"/>
    <w:rsid w:val="00E84355"/>
    <w:rsid w:val="00E84553"/>
    <w:rsid w:val="00E84698"/>
    <w:rsid w:val="00E84DD2"/>
    <w:rsid w:val="00E8602D"/>
    <w:rsid w:val="00E86C8A"/>
    <w:rsid w:val="00E87C30"/>
    <w:rsid w:val="00E87D98"/>
    <w:rsid w:val="00E91070"/>
    <w:rsid w:val="00E9194B"/>
    <w:rsid w:val="00E91C39"/>
    <w:rsid w:val="00E91D57"/>
    <w:rsid w:val="00E926E6"/>
    <w:rsid w:val="00E927E7"/>
    <w:rsid w:val="00E92ACD"/>
    <w:rsid w:val="00E92D52"/>
    <w:rsid w:val="00E930D7"/>
    <w:rsid w:val="00E933FA"/>
    <w:rsid w:val="00E934E5"/>
    <w:rsid w:val="00E93638"/>
    <w:rsid w:val="00E93B42"/>
    <w:rsid w:val="00E94583"/>
    <w:rsid w:val="00E957D9"/>
    <w:rsid w:val="00E960E6"/>
    <w:rsid w:val="00E9688B"/>
    <w:rsid w:val="00EA0628"/>
    <w:rsid w:val="00EA09F4"/>
    <w:rsid w:val="00EA0F35"/>
    <w:rsid w:val="00EA1D5D"/>
    <w:rsid w:val="00EA2CEC"/>
    <w:rsid w:val="00EA3785"/>
    <w:rsid w:val="00EA3831"/>
    <w:rsid w:val="00EA3923"/>
    <w:rsid w:val="00EA39E7"/>
    <w:rsid w:val="00EA3AAE"/>
    <w:rsid w:val="00EA3FAB"/>
    <w:rsid w:val="00EA4110"/>
    <w:rsid w:val="00EA465C"/>
    <w:rsid w:val="00EA5124"/>
    <w:rsid w:val="00EA6448"/>
    <w:rsid w:val="00EA6476"/>
    <w:rsid w:val="00EA6777"/>
    <w:rsid w:val="00EA68B2"/>
    <w:rsid w:val="00EA6FC4"/>
    <w:rsid w:val="00EA7A92"/>
    <w:rsid w:val="00EA7D26"/>
    <w:rsid w:val="00EB00BE"/>
    <w:rsid w:val="00EB0348"/>
    <w:rsid w:val="00EB0E58"/>
    <w:rsid w:val="00EB123D"/>
    <w:rsid w:val="00EB1D66"/>
    <w:rsid w:val="00EB245A"/>
    <w:rsid w:val="00EB3005"/>
    <w:rsid w:val="00EB3B1B"/>
    <w:rsid w:val="00EB3C48"/>
    <w:rsid w:val="00EB41EA"/>
    <w:rsid w:val="00EB476C"/>
    <w:rsid w:val="00EB4C15"/>
    <w:rsid w:val="00EB4ED3"/>
    <w:rsid w:val="00EB5481"/>
    <w:rsid w:val="00EB559F"/>
    <w:rsid w:val="00EB59DE"/>
    <w:rsid w:val="00EB5AA9"/>
    <w:rsid w:val="00EB5C8B"/>
    <w:rsid w:val="00EB5E62"/>
    <w:rsid w:val="00EB6111"/>
    <w:rsid w:val="00EB6825"/>
    <w:rsid w:val="00EB6E25"/>
    <w:rsid w:val="00EB7832"/>
    <w:rsid w:val="00EB7A23"/>
    <w:rsid w:val="00EB7E5C"/>
    <w:rsid w:val="00EC04F6"/>
    <w:rsid w:val="00EC09E5"/>
    <w:rsid w:val="00EC1E0D"/>
    <w:rsid w:val="00EC24F3"/>
    <w:rsid w:val="00EC4BDD"/>
    <w:rsid w:val="00EC5847"/>
    <w:rsid w:val="00EC5F51"/>
    <w:rsid w:val="00EC6012"/>
    <w:rsid w:val="00EC666E"/>
    <w:rsid w:val="00EC68C9"/>
    <w:rsid w:val="00ED0CB4"/>
    <w:rsid w:val="00ED19BC"/>
    <w:rsid w:val="00ED1BBE"/>
    <w:rsid w:val="00ED1ECE"/>
    <w:rsid w:val="00ED22E7"/>
    <w:rsid w:val="00ED26E8"/>
    <w:rsid w:val="00ED539E"/>
    <w:rsid w:val="00ED610E"/>
    <w:rsid w:val="00ED6D26"/>
    <w:rsid w:val="00EE00C5"/>
    <w:rsid w:val="00EE03D3"/>
    <w:rsid w:val="00EE0512"/>
    <w:rsid w:val="00EE0535"/>
    <w:rsid w:val="00EE0C8D"/>
    <w:rsid w:val="00EE17DF"/>
    <w:rsid w:val="00EE2319"/>
    <w:rsid w:val="00EE2391"/>
    <w:rsid w:val="00EE2396"/>
    <w:rsid w:val="00EE25A2"/>
    <w:rsid w:val="00EE3039"/>
    <w:rsid w:val="00EE3053"/>
    <w:rsid w:val="00EE315D"/>
    <w:rsid w:val="00EE3738"/>
    <w:rsid w:val="00EE39A5"/>
    <w:rsid w:val="00EE3BB7"/>
    <w:rsid w:val="00EE3FA9"/>
    <w:rsid w:val="00EE4471"/>
    <w:rsid w:val="00EE4505"/>
    <w:rsid w:val="00EE4C42"/>
    <w:rsid w:val="00EE4C56"/>
    <w:rsid w:val="00EE5DF1"/>
    <w:rsid w:val="00EE6629"/>
    <w:rsid w:val="00EE6E39"/>
    <w:rsid w:val="00EE74C9"/>
    <w:rsid w:val="00EF02D5"/>
    <w:rsid w:val="00EF0435"/>
    <w:rsid w:val="00EF06A7"/>
    <w:rsid w:val="00EF074B"/>
    <w:rsid w:val="00EF1937"/>
    <w:rsid w:val="00EF2018"/>
    <w:rsid w:val="00EF23ED"/>
    <w:rsid w:val="00EF2C8C"/>
    <w:rsid w:val="00EF2F8F"/>
    <w:rsid w:val="00EF3480"/>
    <w:rsid w:val="00EF3893"/>
    <w:rsid w:val="00EF39E8"/>
    <w:rsid w:val="00EF3DD7"/>
    <w:rsid w:val="00EF420A"/>
    <w:rsid w:val="00EF47F3"/>
    <w:rsid w:val="00EF4AC4"/>
    <w:rsid w:val="00EF5592"/>
    <w:rsid w:val="00EF5D79"/>
    <w:rsid w:val="00EF6B8E"/>
    <w:rsid w:val="00EF7463"/>
    <w:rsid w:val="00EF7726"/>
    <w:rsid w:val="00EF7D98"/>
    <w:rsid w:val="00F00819"/>
    <w:rsid w:val="00F00A3E"/>
    <w:rsid w:val="00F00B3B"/>
    <w:rsid w:val="00F00F3B"/>
    <w:rsid w:val="00F013F2"/>
    <w:rsid w:val="00F01A18"/>
    <w:rsid w:val="00F02657"/>
    <w:rsid w:val="00F02A10"/>
    <w:rsid w:val="00F03718"/>
    <w:rsid w:val="00F03960"/>
    <w:rsid w:val="00F04684"/>
    <w:rsid w:val="00F051CD"/>
    <w:rsid w:val="00F07BF3"/>
    <w:rsid w:val="00F10035"/>
    <w:rsid w:val="00F111F5"/>
    <w:rsid w:val="00F11765"/>
    <w:rsid w:val="00F1188F"/>
    <w:rsid w:val="00F11C85"/>
    <w:rsid w:val="00F1280D"/>
    <w:rsid w:val="00F12ABA"/>
    <w:rsid w:val="00F12F12"/>
    <w:rsid w:val="00F13095"/>
    <w:rsid w:val="00F135C4"/>
    <w:rsid w:val="00F13EDC"/>
    <w:rsid w:val="00F146AA"/>
    <w:rsid w:val="00F14DDA"/>
    <w:rsid w:val="00F14EF6"/>
    <w:rsid w:val="00F15808"/>
    <w:rsid w:val="00F15C1C"/>
    <w:rsid w:val="00F1682B"/>
    <w:rsid w:val="00F17324"/>
    <w:rsid w:val="00F175EB"/>
    <w:rsid w:val="00F17837"/>
    <w:rsid w:val="00F17CD9"/>
    <w:rsid w:val="00F21012"/>
    <w:rsid w:val="00F212A1"/>
    <w:rsid w:val="00F213E5"/>
    <w:rsid w:val="00F2183B"/>
    <w:rsid w:val="00F222B4"/>
    <w:rsid w:val="00F22FBF"/>
    <w:rsid w:val="00F232EA"/>
    <w:rsid w:val="00F234CD"/>
    <w:rsid w:val="00F238CC"/>
    <w:rsid w:val="00F23CC4"/>
    <w:rsid w:val="00F23D46"/>
    <w:rsid w:val="00F24CC5"/>
    <w:rsid w:val="00F24E32"/>
    <w:rsid w:val="00F25301"/>
    <w:rsid w:val="00F262D0"/>
    <w:rsid w:val="00F266C8"/>
    <w:rsid w:val="00F2750D"/>
    <w:rsid w:val="00F2795C"/>
    <w:rsid w:val="00F27AFF"/>
    <w:rsid w:val="00F30325"/>
    <w:rsid w:val="00F311F1"/>
    <w:rsid w:val="00F3243D"/>
    <w:rsid w:val="00F34148"/>
    <w:rsid w:val="00F34791"/>
    <w:rsid w:val="00F34CEB"/>
    <w:rsid w:val="00F35484"/>
    <w:rsid w:val="00F35A7B"/>
    <w:rsid w:val="00F3603C"/>
    <w:rsid w:val="00F36A80"/>
    <w:rsid w:val="00F37602"/>
    <w:rsid w:val="00F37D35"/>
    <w:rsid w:val="00F37D8D"/>
    <w:rsid w:val="00F401D7"/>
    <w:rsid w:val="00F40425"/>
    <w:rsid w:val="00F40BB4"/>
    <w:rsid w:val="00F410AF"/>
    <w:rsid w:val="00F41995"/>
    <w:rsid w:val="00F41F21"/>
    <w:rsid w:val="00F42180"/>
    <w:rsid w:val="00F427C5"/>
    <w:rsid w:val="00F43298"/>
    <w:rsid w:val="00F43309"/>
    <w:rsid w:val="00F43667"/>
    <w:rsid w:val="00F437AE"/>
    <w:rsid w:val="00F441F7"/>
    <w:rsid w:val="00F449EA"/>
    <w:rsid w:val="00F44E0B"/>
    <w:rsid w:val="00F45467"/>
    <w:rsid w:val="00F45BCA"/>
    <w:rsid w:val="00F45CAF"/>
    <w:rsid w:val="00F45D52"/>
    <w:rsid w:val="00F45D81"/>
    <w:rsid w:val="00F45F86"/>
    <w:rsid w:val="00F4665B"/>
    <w:rsid w:val="00F466D5"/>
    <w:rsid w:val="00F472CA"/>
    <w:rsid w:val="00F47625"/>
    <w:rsid w:val="00F47BEF"/>
    <w:rsid w:val="00F51078"/>
    <w:rsid w:val="00F513AB"/>
    <w:rsid w:val="00F51546"/>
    <w:rsid w:val="00F51FAA"/>
    <w:rsid w:val="00F523AC"/>
    <w:rsid w:val="00F53225"/>
    <w:rsid w:val="00F532AD"/>
    <w:rsid w:val="00F53CA7"/>
    <w:rsid w:val="00F5485E"/>
    <w:rsid w:val="00F549AC"/>
    <w:rsid w:val="00F54A8F"/>
    <w:rsid w:val="00F54D0B"/>
    <w:rsid w:val="00F55948"/>
    <w:rsid w:val="00F55CB0"/>
    <w:rsid w:val="00F56378"/>
    <w:rsid w:val="00F5643C"/>
    <w:rsid w:val="00F566BA"/>
    <w:rsid w:val="00F572CB"/>
    <w:rsid w:val="00F574FE"/>
    <w:rsid w:val="00F57751"/>
    <w:rsid w:val="00F578A5"/>
    <w:rsid w:val="00F578F1"/>
    <w:rsid w:val="00F608D8"/>
    <w:rsid w:val="00F60BC7"/>
    <w:rsid w:val="00F61B2F"/>
    <w:rsid w:val="00F62841"/>
    <w:rsid w:val="00F62EB9"/>
    <w:rsid w:val="00F64883"/>
    <w:rsid w:val="00F652B4"/>
    <w:rsid w:val="00F65C0E"/>
    <w:rsid w:val="00F66317"/>
    <w:rsid w:val="00F67511"/>
    <w:rsid w:val="00F67D21"/>
    <w:rsid w:val="00F70110"/>
    <w:rsid w:val="00F7026C"/>
    <w:rsid w:val="00F708E0"/>
    <w:rsid w:val="00F70D7A"/>
    <w:rsid w:val="00F7159F"/>
    <w:rsid w:val="00F71E0B"/>
    <w:rsid w:val="00F72A80"/>
    <w:rsid w:val="00F73B64"/>
    <w:rsid w:val="00F73C70"/>
    <w:rsid w:val="00F7420F"/>
    <w:rsid w:val="00F743CB"/>
    <w:rsid w:val="00F74C93"/>
    <w:rsid w:val="00F7523F"/>
    <w:rsid w:val="00F75339"/>
    <w:rsid w:val="00F75E7E"/>
    <w:rsid w:val="00F767F4"/>
    <w:rsid w:val="00F76C80"/>
    <w:rsid w:val="00F773D3"/>
    <w:rsid w:val="00F77D01"/>
    <w:rsid w:val="00F77D39"/>
    <w:rsid w:val="00F820E7"/>
    <w:rsid w:val="00F8275D"/>
    <w:rsid w:val="00F8305A"/>
    <w:rsid w:val="00F830F9"/>
    <w:rsid w:val="00F83555"/>
    <w:rsid w:val="00F837EB"/>
    <w:rsid w:val="00F83DF6"/>
    <w:rsid w:val="00F83F86"/>
    <w:rsid w:val="00F84388"/>
    <w:rsid w:val="00F84470"/>
    <w:rsid w:val="00F85E79"/>
    <w:rsid w:val="00F867D4"/>
    <w:rsid w:val="00F86F7C"/>
    <w:rsid w:val="00F8770F"/>
    <w:rsid w:val="00F90CEA"/>
    <w:rsid w:val="00F90D1A"/>
    <w:rsid w:val="00F91036"/>
    <w:rsid w:val="00F92220"/>
    <w:rsid w:val="00F92657"/>
    <w:rsid w:val="00F92B1D"/>
    <w:rsid w:val="00F94381"/>
    <w:rsid w:val="00F95B0E"/>
    <w:rsid w:val="00F968C9"/>
    <w:rsid w:val="00F97420"/>
    <w:rsid w:val="00F97613"/>
    <w:rsid w:val="00F97709"/>
    <w:rsid w:val="00F978FD"/>
    <w:rsid w:val="00FA004D"/>
    <w:rsid w:val="00FA0C3A"/>
    <w:rsid w:val="00FA159F"/>
    <w:rsid w:val="00FA16CC"/>
    <w:rsid w:val="00FA173F"/>
    <w:rsid w:val="00FA36D1"/>
    <w:rsid w:val="00FA4C4D"/>
    <w:rsid w:val="00FA564B"/>
    <w:rsid w:val="00FA5929"/>
    <w:rsid w:val="00FA5E38"/>
    <w:rsid w:val="00FA5E97"/>
    <w:rsid w:val="00FA69C9"/>
    <w:rsid w:val="00FA6AC1"/>
    <w:rsid w:val="00FA7517"/>
    <w:rsid w:val="00FA7E31"/>
    <w:rsid w:val="00FA7F4B"/>
    <w:rsid w:val="00FB0362"/>
    <w:rsid w:val="00FB2070"/>
    <w:rsid w:val="00FB208D"/>
    <w:rsid w:val="00FB297D"/>
    <w:rsid w:val="00FB3572"/>
    <w:rsid w:val="00FB3D5C"/>
    <w:rsid w:val="00FB48E8"/>
    <w:rsid w:val="00FB54D3"/>
    <w:rsid w:val="00FB58FE"/>
    <w:rsid w:val="00FB5F83"/>
    <w:rsid w:val="00FB6D9B"/>
    <w:rsid w:val="00FB73F9"/>
    <w:rsid w:val="00FB7E7B"/>
    <w:rsid w:val="00FC0444"/>
    <w:rsid w:val="00FC0CF8"/>
    <w:rsid w:val="00FC0DAB"/>
    <w:rsid w:val="00FC106E"/>
    <w:rsid w:val="00FC11D8"/>
    <w:rsid w:val="00FC1373"/>
    <w:rsid w:val="00FC1388"/>
    <w:rsid w:val="00FC1480"/>
    <w:rsid w:val="00FC1AB0"/>
    <w:rsid w:val="00FC1B8B"/>
    <w:rsid w:val="00FC3092"/>
    <w:rsid w:val="00FC328F"/>
    <w:rsid w:val="00FC3364"/>
    <w:rsid w:val="00FC3643"/>
    <w:rsid w:val="00FC4428"/>
    <w:rsid w:val="00FC58D9"/>
    <w:rsid w:val="00FC5DD9"/>
    <w:rsid w:val="00FC645B"/>
    <w:rsid w:val="00FC668C"/>
    <w:rsid w:val="00FC6B03"/>
    <w:rsid w:val="00FC79A0"/>
    <w:rsid w:val="00FD0707"/>
    <w:rsid w:val="00FD15EC"/>
    <w:rsid w:val="00FD1BFF"/>
    <w:rsid w:val="00FD24DF"/>
    <w:rsid w:val="00FD2C3B"/>
    <w:rsid w:val="00FD2FC7"/>
    <w:rsid w:val="00FD3091"/>
    <w:rsid w:val="00FD4554"/>
    <w:rsid w:val="00FD4BEF"/>
    <w:rsid w:val="00FD54BE"/>
    <w:rsid w:val="00FD5583"/>
    <w:rsid w:val="00FD5B62"/>
    <w:rsid w:val="00FD5C10"/>
    <w:rsid w:val="00FD6455"/>
    <w:rsid w:val="00FD67E4"/>
    <w:rsid w:val="00FD682A"/>
    <w:rsid w:val="00FD7D02"/>
    <w:rsid w:val="00FD7ED8"/>
    <w:rsid w:val="00FD7F09"/>
    <w:rsid w:val="00FE0058"/>
    <w:rsid w:val="00FE00E1"/>
    <w:rsid w:val="00FE047E"/>
    <w:rsid w:val="00FE06F5"/>
    <w:rsid w:val="00FE0CE0"/>
    <w:rsid w:val="00FE120F"/>
    <w:rsid w:val="00FE16FC"/>
    <w:rsid w:val="00FE20EB"/>
    <w:rsid w:val="00FE211F"/>
    <w:rsid w:val="00FE22C8"/>
    <w:rsid w:val="00FE23D5"/>
    <w:rsid w:val="00FE2437"/>
    <w:rsid w:val="00FE2449"/>
    <w:rsid w:val="00FE24AB"/>
    <w:rsid w:val="00FE27E8"/>
    <w:rsid w:val="00FE2A59"/>
    <w:rsid w:val="00FE2B6A"/>
    <w:rsid w:val="00FE35BB"/>
    <w:rsid w:val="00FE3D6E"/>
    <w:rsid w:val="00FE3F05"/>
    <w:rsid w:val="00FE4B60"/>
    <w:rsid w:val="00FE5771"/>
    <w:rsid w:val="00FE5F11"/>
    <w:rsid w:val="00FE60AA"/>
    <w:rsid w:val="00FE60F3"/>
    <w:rsid w:val="00FE6FE4"/>
    <w:rsid w:val="00FE7529"/>
    <w:rsid w:val="00FE797A"/>
    <w:rsid w:val="00FE7E09"/>
    <w:rsid w:val="00FE7FB2"/>
    <w:rsid w:val="00FF041A"/>
    <w:rsid w:val="00FF07F1"/>
    <w:rsid w:val="00FF102B"/>
    <w:rsid w:val="00FF145E"/>
    <w:rsid w:val="00FF17B8"/>
    <w:rsid w:val="00FF3296"/>
    <w:rsid w:val="00FF377C"/>
    <w:rsid w:val="00FF3BD7"/>
    <w:rsid w:val="00FF43B7"/>
    <w:rsid w:val="00FF45E1"/>
    <w:rsid w:val="00FF4726"/>
    <w:rsid w:val="00FF4A4F"/>
    <w:rsid w:val="00FF65EA"/>
    <w:rsid w:val="00FF6D44"/>
    <w:rsid w:val="00FF779B"/>
    <w:rsid w:val="00FF7D13"/>
    <w:rsid w:val="00FF7E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Street"/>
  <w:smartTagType w:namespaceuri="urn:schemas-microsoft-com:office:smarttags" w:name="address"/>
  <w:shapeDefaults>
    <o:shapedefaults v:ext="edit" spidmax="435201"/>
    <o:shapelayout v:ext="edit">
      <o:idmap v:ext="edit" data="1"/>
    </o:shapelayout>
  </w:shapeDefaults>
  <w:decimalSymbol w:val="."/>
  <w:listSeparator w:val=","/>
  <w14:docId w14:val="0B655AB9"/>
  <w15:docId w15:val="{7FE3B738-CC96-444D-92AB-4AFA3191C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locked="1"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99"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84365"/>
    <w:rPr>
      <w:rFonts w:ascii="Calibri" w:hAnsi="Calibri"/>
      <w:sz w:val="24"/>
      <w:szCs w:val="24"/>
    </w:rPr>
  </w:style>
  <w:style w:type="paragraph" w:styleId="Heading1">
    <w:name w:val="heading 1"/>
    <w:basedOn w:val="Normal"/>
    <w:next w:val="Normal"/>
    <w:link w:val="Heading1Char"/>
    <w:qFormat/>
    <w:rsid w:val="00F401D7"/>
    <w:pPr>
      <w:keepNext/>
      <w:numPr>
        <w:numId w:val="46"/>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1"/>
    <w:qFormat/>
    <w:rsid w:val="00411FC1"/>
    <w:pPr>
      <w:keepNext/>
      <w:numPr>
        <w:ilvl w:val="1"/>
        <w:numId w:val="46"/>
      </w:numPr>
      <w:spacing w:before="240" w:after="60"/>
      <w:outlineLvl w:val="1"/>
    </w:pPr>
    <w:rPr>
      <w:rFonts w:ascii="Arial" w:hAnsi="Arial" w:cs="Arial"/>
      <w:b/>
      <w:bCs/>
      <w:i/>
      <w:iCs/>
      <w:sz w:val="28"/>
      <w:szCs w:val="28"/>
    </w:rPr>
  </w:style>
  <w:style w:type="paragraph" w:styleId="Heading3">
    <w:name w:val="heading 3"/>
    <w:basedOn w:val="Normal"/>
    <w:next w:val="Normal"/>
    <w:link w:val="Heading3Char1"/>
    <w:qFormat/>
    <w:rsid w:val="00411FC1"/>
    <w:pPr>
      <w:keepNext/>
      <w:numPr>
        <w:ilvl w:val="2"/>
        <w:numId w:val="46"/>
      </w:numPr>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locked/>
    <w:rsid w:val="00B01662"/>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F401D7"/>
    <w:rPr>
      <w:rFonts w:ascii="Arial" w:hAnsi="Arial" w:cs="Arial"/>
      <w:b/>
      <w:bCs/>
      <w:kern w:val="32"/>
      <w:sz w:val="32"/>
      <w:szCs w:val="32"/>
    </w:rPr>
  </w:style>
  <w:style w:type="character" w:customStyle="1" w:styleId="Heading2Char1">
    <w:name w:val="Heading 2 Char1"/>
    <w:link w:val="Heading2"/>
    <w:locked/>
    <w:rsid w:val="00283592"/>
    <w:rPr>
      <w:rFonts w:ascii="Arial" w:hAnsi="Arial" w:cs="Arial"/>
      <w:b/>
      <w:bCs/>
      <w:i/>
      <w:iCs/>
      <w:sz w:val="28"/>
      <w:szCs w:val="28"/>
      <w:lang w:val="en-US" w:eastAsia="en-US" w:bidi="ar-SA"/>
    </w:rPr>
  </w:style>
  <w:style w:type="character" w:customStyle="1" w:styleId="Heading3Char1">
    <w:name w:val="Heading 3 Char1"/>
    <w:link w:val="Heading3"/>
    <w:locked/>
    <w:rsid w:val="00411FC1"/>
    <w:rPr>
      <w:rFonts w:ascii="Arial" w:hAnsi="Arial" w:cs="Arial"/>
      <w:b/>
      <w:bCs/>
      <w:sz w:val="26"/>
      <w:szCs w:val="26"/>
      <w:lang w:val="en-US" w:eastAsia="en-US" w:bidi="ar-SA"/>
    </w:rPr>
  </w:style>
  <w:style w:type="character" w:customStyle="1" w:styleId="Heading4Char">
    <w:name w:val="Heading 4 Char"/>
    <w:basedOn w:val="DefaultParagraphFont"/>
    <w:link w:val="Heading4"/>
    <w:semiHidden/>
    <w:rsid w:val="00B01662"/>
    <w:rPr>
      <w:rFonts w:asciiTheme="majorHAnsi" w:eastAsiaTheme="majorEastAsia" w:hAnsiTheme="majorHAnsi" w:cstheme="majorBidi"/>
      <w:i/>
      <w:iCs/>
      <w:color w:val="2E74B5" w:themeColor="accent1" w:themeShade="BF"/>
      <w:sz w:val="24"/>
      <w:szCs w:val="24"/>
    </w:rPr>
  </w:style>
  <w:style w:type="paragraph" w:styleId="Footer">
    <w:name w:val="footer"/>
    <w:basedOn w:val="Normal"/>
    <w:rsid w:val="007F2912"/>
    <w:pPr>
      <w:tabs>
        <w:tab w:val="center" w:pos="4320"/>
        <w:tab w:val="right" w:pos="8640"/>
      </w:tabs>
    </w:pPr>
  </w:style>
  <w:style w:type="character" w:styleId="PageNumber">
    <w:name w:val="page number"/>
    <w:rsid w:val="007F2912"/>
    <w:rPr>
      <w:rFonts w:cs="Times New Roman"/>
    </w:rPr>
  </w:style>
  <w:style w:type="paragraph" w:styleId="FootnoteText">
    <w:name w:val="footnote text"/>
    <w:aliases w:val="Footnote Text1 Char,Footnote Text Char Ch,Footnote Text Char Char,Footnote Text Char1 Char,Footnote Text Char Char Char,Footnote Text Char1 Char Char Char,Footnote Text Char Char1 Char Char Char,TBG Style"/>
    <w:basedOn w:val="Normal"/>
    <w:link w:val="FootnoteTextChar1"/>
    <w:rsid w:val="0094538D"/>
    <w:rPr>
      <w:rFonts w:ascii="Times New Roman" w:hAnsi="Times New Roman"/>
      <w:sz w:val="20"/>
      <w:szCs w:val="20"/>
    </w:rPr>
  </w:style>
  <w:style w:type="character" w:customStyle="1" w:styleId="FootnoteTextChar1">
    <w:name w:val="Footnote Text Char1"/>
    <w:aliases w:val="Footnote Text1 Char Char,Footnote Text Char Ch Char,Footnote Text Char Char Char2,Footnote Text Char1 Char Char1,Footnote Text Char Char Char Char1,Footnote Text Char1 Char Char Char Char1,Footnote Text Char Char1 Char Char Char Char"/>
    <w:link w:val="FootnoteText"/>
    <w:locked/>
    <w:rsid w:val="008A3E42"/>
    <w:rPr>
      <w:rFonts w:cs="Times New Roman"/>
      <w:lang w:val="en-US" w:eastAsia="en-US" w:bidi="ar-SA"/>
    </w:rPr>
  </w:style>
  <w:style w:type="character" w:styleId="FootnoteReference">
    <w:name w:val="footnote reference"/>
    <w:aliases w:val="o"/>
    <w:rsid w:val="0094538D"/>
    <w:rPr>
      <w:rFonts w:cs="Times New Roman"/>
      <w:vertAlign w:val="superscript"/>
    </w:rPr>
  </w:style>
  <w:style w:type="paragraph" w:styleId="Header">
    <w:name w:val="header"/>
    <w:basedOn w:val="Normal"/>
    <w:rsid w:val="00484164"/>
    <w:pPr>
      <w:tabs>
        <w:tab w:val="center" w:pos="4320"/>
        <w:tab w:val="right" w:pos="8640"/>
      </w:tabs>
    </w:pPr>
  </w:style>
  <w:style w:type="paragraph" w:styleId="TOC1">
    <w:name w:val="toc 1"/>
    <w:basedOn w:val="Normal"/>
    <w:next w:val="Normal"/>
    <w:autoRedefine/>
    <w:uiPriority w:val="39"/>
    <w:rsid w:val="009D1511"/>
    <w:pPr>
      <w:tabs>
        <w:tab w:val="right" w:leader="dot" w:pos="8630"/>
      </w:tabs>
      <w:jc w:val="center"/>
    </w:pPr>
    <w:rPr>
      <w:b/>
    </w:rPr>
  </w:style>
  <w:style w:type="paragraph" w:styleId="TOC2">
    <w:name w:val="toc 2"/>
    <w:basedOn w:val="Normal"/>
    <w:next w:val="Normal"/>
    <w:autoRedefine/>
    <w:uiPriority w:val="39"/>
    <w:rsid w:val="000B5A5D"/>
    <w:pPr>
      <w:ind w:left="240"/>
    </w:pPr>
  </w:style>
  <w:style w:type="paragraph" w:styleId="TOC3">
    <w:name w:val="toc 3"/>
    <w:basedOn w:val="Normal"/>
    <w:next w:val="Normal"/>
    <w:autoRedefine/>
    <w:uiPriority w:val="39"/>
    <w:rsid w:val="000B35D6"/>
    <w:pPr>
      <w:tabs>
        <w:tab w:val="right" w:leader="dot" w:pos="8630"/>
      </w:tabs>
      <w:ind w:left="720"/>
    </w:pPr>
  </w:style>
  <w:style w:type="character" w:styleId="Hyperlink">
    <w:name w:val="Hyperlink"/>
    <w:uiPriority w:val="99"/>
    <w:rsid w:val="000B5A5D"/>
    <w:rPr>
      <w:rFonts w:cs="Times New Roman"/>
      <w:color w:val="0000FF"/>
      <w:u w:val="single"/>
    </w:rPr>
  </w:style>
  <w:style w:type="paragraph" w:styleId="Caption">
    <w:name w:val="caption"/>
    <w:basedOn w:val="Normal"/>
    <w:next w:val="Normal"/>
    <w:link w:val="CaptionChar"/>
    <w:qFormat/>
    <w:rsid w:val="006169CA"/>
    <w:rPr>
      <w:rFonts w:ascii="Times New Roman" w:hAnsi="Times New Roman"/>
      <w:b/>
      <w:bCs/>
      <w:sz w:val="20"/>
      <w:szCs w:val="20"/>
    </w:rPr>
  </w:style>
  <w:style w:type="character" w:customStyle="1" w:styleId="CaptionChar">
    <w:name w:val="Caption Char"/>
    <w:link w:val="Caption"/>
    <w:locked/>
    <w:rsid w:val="00283592"/>
    <w:rPr>
      <w:rFonts w:cs="Times New Roman"/>
      <w:b/>
      <w:bCs/>
      <w:lang w:val="en-US" w:eastAsia="en-US" w:bidi="ar-SA"/>
    </w:rPr>
  </w:style>
  <w:style w:type="paragraph" w:styleId="TableofFigures">
    <w:name w:val="table of figures"/>
    <w:basedOn w:val="Normal"/>
    <w:next w:val="Normal"/>
    <w:uiPriority w:val="99"/>
    <w:rsid w:val="006169CA"/>
  </w:style>
  <w:style w:type="paragraph" w:customStyle="1" w:styleId="TableCaption">
    <w:name w:val="Table Caption"/>
    <w:basedOn w:val="Caption"/>
    <w:link w:val="TableCaptionChar"/>
    <w:qFormat/>
    <w:rsid w:val="00D41508"/>
    <w:pPr>
      <w:keepNext/>
      <w:spacing w:after="120"/>
      <w:jc w:val="center"/>
    </w:pPr>
    <w:rPr>
      <w:rFonts w:ascii="Calibri" w:hAnsi="Calibri"/>
      <w:sz w:val="24"/>
    </w:rPr>
  </w:style>
  <w:style w:type="character" w:customStyle="1" w:styleId="TableCaptionChar">
    <w:name w:val="Table Caption Char"/>
    <w:link w:val="TableCaption"/>
    <w:locked/>
    <w:rsid w:val="00D41508"/>
    <w:rPr>
      <w:rFonts w:ascii="Calibri" w:hAnsi="Calibri"/>
      <w:b/>
      <w:bCs/>
      <w:sz w:val="24"/>
    </w:rPr>
  </w:style>
  <w:style w:type="paragraph" w:customStyle="1" w:styleId="FigureCaption">
    <w:name w:val="Figure Caption"/>
    <w:basedOn w:val="TableCaption"/>
    <w:link w:val="FigureCaptionChar"/>
    <w:qFormat/>
    <w:rsid w:val="0097115E"/>
  </w:style>
  <w:style w:type="character" w:customStyle="1" w:styleId="FigureCaptionChar">
    <w:name w:val="Figure Caption Char"/>
    <w:link w:val="FigureCaption"/>
    <w:locked/>
    <w:rsid w:val="0097115E"/>
    <w:rPr>
      <w:rFonts w:ascii="Calibri" w:hAnsi="Calibri"/>
      <w:b/>
      <w:bCs/>
      <w:sz w:val="24"/>
    </w:rPr>
  </w:style>
  <w:style w:type="paragraph" w:customStyle="1" w:styleId="EPRITitle">
    <w:name w:val="EPRI Title"/>
    <w:rsid w:val="00111FB1"/>
    <w:pPr>
      <w:spacing w:before="240" w:after="60"/>
      <w:ind w:left="1195" w:right="1195"/>
    </w:pPr>
    <w:rPr>
      <w:rFonts w:ascii="Helvetica" w:hAnsi="Helvetica"/>
      <w:b/>
      <w:sz w:val="40"/>
    </w:rPr>
  </w:style>
  <w:style w:type="paragraph" w:customStyle="1" w:styleId="EPRISubtitle">
    <w:name w:val="EPRI Subtitle"/>
    <w:rsid w:val="00111FB1"/>
    <w:pPr>
      <w:spacing w:after="60"/>
      <w:ind w:left="1195" w:right="1195"/>
    </w:pPr>
    <w:rPr>
      <w:rFonts w:ascii="Helvetica" w:hAnsi="Helvetica"/>
      <w:noProof/>
      <w:sz w:val="30"/>
    </w:rPr>
  </w:style>
  <w:style w:type="paragraph" w:customStyle="1" w:styleId="EPRIOI">
    <w:name w:val="EPRI OI#"/>
    <w:rsid w:val="00111FB1"/>
    <w:pPr>
      <w:spacing w:before="140" w:after="480"/>
      <w:ind w:left="1195" w:right="1195"/>
    </w:pPr>
    <w:rPr>
      <w:rFonts w:ascii="Helvetica" w:hAnsi="Helvetica"/>
      <w:b/>
      <w:sz w:val="24"/>
    </w:rPr>
  </w:style>
  <w:style w:type="paragraph" w:customStyle="1" w:styleId="EPRITitleText">
    <w:name w:val="EPRI Title Text"/>
    <w:rsid w:val="00111FB1"/>
    <w:pPr>
      <w:spacing w:before="140" w:after="1200"/>
      <w:ind w:left="1195" w:right="1195"/>
    </w:pPr>
    <w:rPr>
      <w:rFonts w:ascii="Helvetica" w:hAnsi="Helvetica"/>
      <w:sz w:val="24"/>
    </w:rPr>
  </w:style>
  <w:style w:type="paragraph" w:styleId="BalloonText">
    <w:name w:val="Balloon Text"/>
    <w:basedOn w:val="Normal"/>
    <w:semiHidden/>
    <w:rsid w:val="004F6104"/>
    <w:rPr>
      <w:rFonts w:ascii="Tahoma" w:hAnsi="Tahoma" w:cs="Tahoma"/>
      <w:sz w:val="16"/>
      <w:szCs w:val="16"/>
    </w:rPr>
  </w:style>
  <w:style w:type="table" w:styleId="TableGrid">
    <w:name w:val="Table Grid"/>
    <w:basedOn w:val="TableNormal"/>
    <w:uiPriority w:val="39"/>
    <w:rsid w:val="002E3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rsid w:val="00283592"/>
    <w:rPr>
      <w:rFonts w:ascii="Arial" w:hAnsi="Arial" w:cs="Arial"/>
      <w:b/>
      <w:bCs/>
      <w:sz w:val="26"/>
      <w:szCs w:val="26"/>
      <w:lang w:val="en-US" w:eastAsia="en-US" w:bidi="ar-SA"/>
    </w:rPr>
  </w:style>
  <w:style w:type="character" w:styleId="CommentReference">
    <w:name w:val="annotation reference"/>
    <w:rsid w:val="00A8020B"/>
    <w:rPr>
      <w:rFonts w:cs="Times New Roman"/>
      <w:sz w:val="16"/>
      <w:szCs w:val="16"/>
    </w:rPr>
  </w:style>
  <w:style w:type="paragraph" w:styleId="CommentText">
    <w:name w:val="annotation text"/>
    <w:basedOn w:val="Normal"/>
    <w:link w:val="CommentTextChar"/>
    <w:rsid w:val="00A8020B"/>
    <w:rPr>
      <w:rFonts w:ascii="Times New Roman" w:hAnsi="Times New Roman"/>
      <w:sz w:val="20"/>
      <w:szCs w:val="20"/>
      <w:lang w:val="x-none" w:eastAsia="x-none"/>
    </w:rPr>
  </w:style>
  <w:style w:type="character" w:customStyle="1" w:styleId="CommentTextChar">
    <w:name w:val="Comment Text Char"/>
    <w:link w:val="CommentText"/>
    <w:locked/>
    <w:rsid w:val="00A8020B"/>
    <w:rPr>
      <w:rFonts w:cs="Times New Roman"/>
    </w:rPr>
  </w:style>
  <w:style w:type="paragraph" w:styleId="CommentSubject">
    <w:name w:val="annotation subject"/>
    <w:basedOn w:val="CommentText"/>
    <w:next w:val="CommentText"/>
    <w:link w:val="CommentSubjectChar"/>
    <w:rsid w:val="00A8020B"/>
    <w:rPr>
      <w:b/>
      <w:bCs/>
    </w:rPr>
  </w:style>
  <w:style w:type="character" w:customStyle="1" w:styleId="CommentSubjectChar">
    <w:name w:val="Comment Subject Char"/>
    <w:link w:val="CommentSubject"/>
    <w:locked/>
    <w:rsid w:val="00A8020B"/>
    <w:rPr>
      <w:rFonts w:cs="Times New Roman"/>
      <w:b/>
      <w:bCs/>
    </w:rPr>
  </w:style>
  <w:style w:type="paragraph" w:styleId="EndnoteText">
    <w:name w:val="endnote text"/>
    <w:basedOn w:val="Normal"/>
    <w:link w:val="EndnoteTextChar"/>
    <w:rsid w:val="00363778"/>
    <w:rPr>
      <w:rFonts w:ascii="Times New Roman" w:hAnsi="Times New Roman"/>
      <w:sz w:val="20"/>
      <w:szCs w:val="20"/>
      <w:lang w:val="x-none" w:eastAsia="x-none"/>
    </w:rPr>
  </w:style>
  <w:style w:type="character" w:customStyle="1" w:styleId="EndnoteTextChar">
    <w:name w:val="Endnote Text Char"/>
    <w:link w:val="EndnoteText"/>
    <w:locked/>
    <w:rsid w:val="00363778"/>
    <w:rPr>
      <w:rFonts w:cs="Times New Roman"/>
    </w:rPr>
  </w:style>
  <w:style w:type="character" w:styleId="EndnoteReference">
    <w:name w:val="endnote reference"/>
    <w:rsid w:val="00363778"/>
    <w:rPr>
      <w:rFonts w:cs="Times New Roman"/>
      <w:vertAlign w:val="superscript"/>
    </w:rPr>
  </w:style>
  <w:style w:type="character" w:styleId="FollowedHyperlink">
    <w:name w:val="FollowedHyperlink"/>
    <w:rsid w:val="002F7583"/>
    <w:rPr>
      <w:color w:val="800080"/>
      <w:u w:val="single"/>
    </w:rPr>
  </w:style>
  <w:style w:type="character" w:customStyle="1" w:styleId="FootnoteTextChar">
    <w:name w:val="Footnote Text Char"/>
    <w:aliases w:val="Footnote Text1 Char Char1,Footnote Text Char Ch Char1,Footnote Text Char1 Char1,Footnote Text Char Char Char1,Footnote Text Char1 Char Char,Footnote Text Char Char Char Char,Footnote Text Char1 Char Char Char Char,TBG Style Char"/>
    <w:rsid w:val="00002343"/>
    <w:rPr>
      <w:lang w:val="en-US" w:eastAsia="en-US" w:bidi="ar-SA"/>
    </w:rPr>
  </w:style>
  <w:style w:type="character" w:customStyle="1" w:styleId="Heading2Char">
    <w:name w:val="Heading 2 Char"/>
    <w:rsid w:val="00C54C5F"/>
    <w:rPr>
      <w:rFonts w:ascii="Arial" w:hAnsi="Arial" w:cs="Arial"/>
      <w:b/>
      <w:bCs/>
      <w:i/>
      <w:iCs/>
      <w:sz w:val="24"/>
      <w:szCs w:val="28"/>
      <w:lang w:val="en-US" w:eastAsia="en-US" w:bidi="ar-SA"/>
    </w:rPr>
  </w:style>
  <w:style w:type="paragraph" w:styleId="DocumentMap">
    <w:name w:val="Document Map"/>
    <w:basedOn w:val="Normal"/>
    <w:semiHidden/>
    <w:rsid w:val="000E553B"/>
    <w:pPr>
      <w:shd w:val="clear" w:color="auto" w:fill="000080"/>
    </w:pPr>
    <w:rPr>
      <w:rFonts w:ascii="Tahoma" w:hAnsi="Tahoma" w:cs="Tahoma"/>
      <w:sz w:val="20"/>
      <w:szCs w:val="20"/>
    </w:rPr>
  </w:style>
  <w:style w:type="paragraph" w:styleId="NormalWeb">
    <w:name w:val="Normal (Web)"/>
    <w:basedOn w:val="Normal"/>
    <w:uiPriority w:val="99"/>
    <w:unhideWhenUsed/>
    <w:rsid w:val="00530476"/>
    <w:pPr>
      <w:spacing w:before="100" w:beforeAutospacing="1" w:after="100" w:afterAutospacing="1"/>
    </w:pPr>
    <w:rPr>
      <w:rFonts w:ascii="Times New Roman" w:hAnsi="Times New Roman"/>
    </w:rPr>
  </w:style>
  <w:style w:type="paragraph" w:customStyle="1" w:styleId="TableHeader">
    <w:name w:val="Table Header"/>
    <w:qFormat/>
    <w:rsid w:val="008E5D4C"/>
    <w:pPr>
      <w:spacing w:before="100" w:after="100"/>
      <w:jc w:val="center"/>
    </w:pPr>
    <w:rPr>
      <w:rFonts w:ascii="Arial" w:eastAsia="Calibri" w:hAnsi="Arial"/>
      <w:b/>
      <w:color w:val="FFFFFF"/>
      <w:szCs w:val="22"/>
    </w:rPr>
  </w:style>
  <w:style w:type="paragraph" w:customStyle="1" w:styleId="TableText">
    <w:name w:val="Table Text"/>
    <w:qFormat/>
    <w:rsid w:val="008E5D4C"/>
    <w:pPr>
      <w:spacing w:before="60" w:after="60"/>
      <w:jc w:val="center"/>
    </w:pPr>
    <w:rPr>
      <w:rFonts w:ascii="Arial" w:eastAsia="Calibri" w:hAnsi="Arial"/>
      <w:sz w:val="18"/>
      <w:szCs w:val="22"/>
    </w:rPr>
  </w:style>
  <w:style w:type="paragraph" w:styleId="ListParagraph">
    <w:name w:val="List Paragraph"/>
    <w:basedOn w:val="Normal"/>
    <w:uiPriority w:val="34"/>
    <w:qFormat/>
    <w:rsid w:val="00B01662"/>
    <w:pPr>
      <w:ind w:left="720"/>
      <w:contextualSpacing/>
    </w:pPr>
    <w:rPr>
      <w:rFonts w:ascii="Times New Roman" w:hAnsi="Times New Roman"/>
      <w:szCs w:val="20"/>
    </w:rPr>
  </w:style>
  <w:style w:type="paragraph" w:styleId="Revision">
    <w:name w:val="Revision"/>
    <w:hidden/>
    <w:uiPriority w:val="99"/>
    <w:semiHidden/>
    <w:rsid w:val="003438FF"/>
    <w:rPr>
      <w:rFonts w:ascii="Calibri" w:hAnsi="Calibri"/>
      <w:sz w:val="24"/>
      <w:szCs w:val="24"/>
    </w:rPr>
  </w:style>
  <w:style w:type="character" w:styleId="PlaceholderText">
    <w:name w:val="Placeholder Text"/>
    <w:basedOn w:val="DefaultParagraphFont"/>
    <w:uiPriority w:val="99"/>
    <w:semiHidden/>
    <w:rsid w:val="00EB476C"/>
    <w:rPr>
      <w:color w:val="808080"/>
    </w:rPr>
  </w:style>
  <w:style w:type="paragraph" w:styleId="BodyText">
    <w:name w:val="Body Text"/>
    <w:basedOn w:val="Normal"/>
    <w:link w:val="BodyTextChar"/>
    <w:rsid w:val="000409E9"/>
    <w:pPr>
      <w:spacing w:after="120"/>
    </w:pPr>
    <w:rPr>
      <w:szCs w:val="32"/>
    </w:rPr>
  </w:style>
  <w:style w:type="character" w:customStyle="1" w:styleId="BodyTextChar">
    <w:name w:val="Body Text Char"/>
    <w:basedOn w:val="DefaultParagraphFont"/>
    <w:link w:val="BodyText"/>
    <w:rsid w:val="000409E9"/>
    <w:rPr>
      <w:rFonts w:ascii="Calibri" w:hAnsi="Calibri"/>
      <w:sz w:val="24"/>
      <w:szCs w:val="32"/>
    </w:rPr>
  </w:style>
  <w:style w:type="paragraph" w:styleId="PlainText">
    <w:name w:val="Plain Text"/>
    <w:basedOn w:val="Normal"/>
    <w:link w:val="PlainTextChar"/>
    <w:uiPriority w:val="99"/>
    <w:semiHidden/>
    <w:unhideWhenUsed/>
    <w:rsid w:val="008835B3"/>
    <w:rPr>
      <w:rFonts w:eastAsiaTheme="minorHAnsi" w:cstheme="minorBidi"/>
      <w:sz w:val="22"/>
      <w:szCs w:val="21"/>
    </w:rPr>
  </w:style>
  <w:style w:type="character" w:customStyle="1" w:styleId="PlainTextChar">
    <w:name w:val="Plain Text Char"/>
    <w:basedOn w:val="DefaultParagraphFont"/>
    <w:link w:val="PlainText"/>
    <w:uiPriority w:val="99"/>
    <w:semiHidden/>
    <w:rsid w:val="008835B3"/>
    <w:rPr>
      <w:rFonts w:ascii="Calibri" w:eastAsiaTheme="minorHAnsi" w:hAnsi="Calibri" w:cstheme="minorBidi"/>
      <w:sz w:val="22"/>
      <w:szCs w:val="21"/>
    </w:rPr>
  </w:style>
  <w:style w:type="character" w:styleId="Emphasis">
    <w:name w:val="Emphasis"/>
    <w:basedOn w:val="DefaultParagraphFont"/>
    <w:qFormat/>
    <w:locked/>
    <w:rsid w:val="005C0A84"/>
    <w:rPr>
      <w:i/>
      <w:iCs/>
    </w:rPr>
  </w:style>
  <w:style w:type="character" w:styleId="UnresolvedMention">
    <w:name w:val="Unresolved Mention"/>
    <w:basedOn w:val="DefaultParagraphFont"/>
    <w:uiPriority w:val="99"/>
    <w:semiHidden/>
    <w:unhideWhenUsed/>
    <w:rsid w:val="00F74C9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5835024">
      <w:bodyDiv w:val="1"/>
      <w:marLeft w:val="0"/>
      <w:marRight w:val="0"/>
      <w:marTop w:val="0"/>
      <w:marBottom w:val="0"/>
      <w:divBdr>
        <w:top w:val="none" w:sz="0" w:space="0" w:color="auto"/>
        <w:left w:val="none" w:sz="0" w:space="0" w:color="auto"/>
        <w:bottom w:val="none" w:sz="0" w:space="0" w:color="auto"/>
        <w:right w:val="none" w:sz="0" w:space="0" w:color="auto"/>
      </w:divBdr>
    </w:div>
    <w:div w:id="40713041">
      <w:bodyDiv w:val="1"/>
      <w:marLeft w:val="0"/>
      <w:marRight w:val="0"/>
      <w:marTop w:val="0"/>
      <w:marBottom w:val="0"/>
      <w:divBdr>
        <w:top w:val="none" w:sz="0" w:space="0" w:color="auto"/>
        <w:left w:val="none" w:sz="0" w:space="0" w:color="auto"/>
        <w:bottom w:val="none" w:sz="0" w:space="0" w:color="auto"/>
        <w:right w:val="none" w:sz="0" w:space="0" w:color="auto"/>
      </w:divBdr>
    </w:div>
    <w:div w:id="46270437">
      <w:bodyDiv w:val="1"/>
      <w:marLeft w:val="0"/>
      <w:marRight w:val="0"/>
      <w:marTop w:val="0"/>
      <w:marBottom w:val="0"/>
      <w:divBdr>
        <w:top w:val="none" w:sz="0" w:space="0" w:color="auto"/>
        <w:left w:val="none" w:sz="0" w:space="0" w:color="auto"/>
        <w:bottom w:val="none" w:sz="0" w:space="0" w:color="auto"/>
        <w:right w:val="none" w:sz="0" w:space="0" w:color="auto"/>
      </w:divBdr>
    </w:div>
    <w:div w:id="59524325">
      <w:bodyDiv w:val="1"/>
      <w:marLeft w:val="0"/>
      <w:marRight w:val="0"/>
      <w:marTop w:val="0"/>
      <w:marBottom w:val="0"/>
      <w:divBdr>
        <w:top w:val="none" w:sz="0" w:space="0" w:color="auto"/>
        <w:left w:val="none" w:sz="0" w:space="0" w:color="auto"/>
        <w:bottom w:val="none" w:sz="0" w:space="0" w:color="auto"/>
        <w:right w:val="none" w:sz="0" w:space="0" w:color="auto"/>
      </w:divBdr>
    </w:div>
    <w:div w:id="62796609">
      <w:bodyDiv w:val="1"/>
      <w:marLeft w:val="0"/>
      <w:marRight w:val="0"/>
      <w:marTop w:val="0"/>
      <w:marBottom w:val="0"/>
      <w:divBdr>
        <w:top w:val="none" w:sz="0" w:space="0" w:color="auto"/>
        <w:left w:val="none" w:sz="0" w:space="0" w:color="auto"/>
        <w:bottom w:val="none" w:sz="0" w:space="0" w:color="auto"/>
        <w:right w:val="none" w:sz="0" w:space="0" w:color="auto"/>
      </w:divBdr>
    </w:div>
    <w:div w:id="85421586">
      <w:bodyDiv w:val="1"/>
      <w:marLeft w:val="0"/>
      <w:marRight w:val="0"/>
      <w:marTop w:val="0"/>
      <w:marBottom w:val="0"/>
      <w:divBdr>
        <w:top w:val="none" w:sz="0" w:space="0" w:color="auto"/>
        <w:left w:val="none" w:sz="0" w:space="0" w:color="auto"/>
        <w:bottom w:val="none" w:sz="0" w:space="0" w:color="auto"/>
        <w:right w:val="none" w:sz="0" w:space="0" w:color="auto"/>
      </w:divBdr>
    </w:div>
    <w:div w:id="94403000">
      <w:bodyDiv w:val="1"/>
      <w:marLeft w:val="0"/>
      <w:marRight w:val="0"/>
      <w:marTop w:val="0"/>
      <w:marBottom w:val="0"/>
      <w:divBdr>
        <w:top w:val="none" w:sz="0" w:space="0" w:color="auto"/>
        <w:left w:val="none" w:sz="0" w:space="0" w:color="auto"/>
        <w:bottom w:val="none" w:sz="0" w:space="0" w:color="auto"/>
        <w:right w:val="none" w:sz="0" w:space="0" w:color="auto"/>
      </w:divBdr>
    </w:div>
    <w:div w:id="107511727">
      <w:bodyDiv w:val="1"/>
      <w:marLeft w:val="0"/>
      <w:marRight w:val="0"/>
      <w:marTop w:val="0"/>
      <w:marBottom w:val="0"/>
      <w:divBdr>
        <w:top w:val="none" w:sz="0" w:space="0" w:color="auto"/>
        <w:left w:val="none" w:sz="0" w:space="0" w:color="auto"/>
        <w:bottom w:val="none" w:sz="0" w:space="0" w:color="auto"/>
        <w:right w:val="none" w:sz="0" w:space="0" w:color="auto"/>
      </w:divBdr>
    </w:div>
    <w:div w:id="133984911">
      <w:bodyDiv w:val="1"/>
      <w:marLeft w:val="0"/>
      <w:marRight w:val="0"/>
      <w:marTop w:val="0"/>
      <w:marBottom w:val="0"/>
      <w:divBdr>
        <w:top w:val="none" w:sz="0" w:space="0" w:color="auto"/>
        <w:left w:val="none" w:sz="0" w:space="0" w:color="auto"/>
        <w:bottom w:val="none" w:sz="0" w:space="0" w:color="auto"/>
        <w:right w:val="none" w:sz="0" w:space="0" w:color="auto"/>
      </w:divBdr>
    </w:div>
    <w:div w:id="144392931">
      <w:bodyDiv w:val="1"/>
      <w:marLeft w:val="0"/>
      <w:marRight w:val="0"/>
      <w:marTop w:val="0"/>
      <w:marBottom w:val="0"/>
      <w:divBdr>
        <w:top w:val="none" w:sz="0" w:space="0" w:color="auto"/>
        <w:left w:val="none" w:sz="0" w:space="0" w:color="auto"/>
        <w:bottom w:val="none" w:sz="0" w:space="0" w:color="auto"/>
        <w:right w:val="none" w:sz="0" w:space="0" w:color="auto"/>
      </w:divBdr>
    </w:div>
    <w:div w:id="147941816">
      <w:bodyDiv w:val="1"/>
      <w:marLeft w:val="0"/>
      <w:marRight w:val="0"/>
      <w:marTop w:val="0"/>
      <w:marBottom w:val="0"/>
      <w:divBdr>
        <w:top w:val="none" w:sz="0" w:space="0" w:color="auto"/>
        <w:left w:val="none" w:sz="0" w:space="0" w:color="auto"/>
        <w:bottom w:val="none" w:sz="0" w:space="0" w:color="auto"/>
        <w:right w:val="none" w:sz="0" w:space="0" w:color="auto"/>
      </w:divBdr>
    </w:div>
    <w:div w:id="170343380">
      <w:bodyDiv w:val="1"/>
      <w:marLeft w:val="0"/>
      <w:marRight w:val="0"/>
      <w:marTop w:val="0"/>
      <w:marBottom w:val="0"/>
      <w:divBdr>
        <w:top w:val="none" w:sz="0" w:space="0" w:color="auto"/>
        <w:left w:val="none" w:sz="0" w:space="0" w:color="auto"/>
        <w:bottom w:val="none" w:sz="0" w:space="0" w:color="auto"/>
        <w:right w:val="none" w:sz="0" w:space="0" w:color="auto"/>
      </w:divBdr>
    </w:div>
    <w:div w:id="179901336">
      <w:bodyDiv w:val="1"/>
      <w:marLeft w:val="0"/>
      <w:marRight w:val="0"/>
      <w:marTop w:val="0"/>
      <w:marBottom w:val="0"/>
      <w:divBdr>
        <w:top w:val="none" w:sz="0" w:space="0" w:color="auto"/>
        <w:left w:val="none" w:sz="0" w:space="0" w:color="auto"/>
        <w:bottom w:val="none" w:sz="0" w:space="0" w:color="auto"/>
        <w:right w:val="none" w:sz="0" w:space="0" w:color="auto"/>
      </w:divBdr>
    </w:div>
    <w:div w:id="182474036">
      <w:bodyDiv w:val="1"/>
      <w:marLeft w:val="0"/>
      <w:marRight w:val="0"/>
      <w:marTop w:val="0"/>
      <w:marBottom w:val="0"/>
      <w:divBdr>
        <w:top w:val="none" w:sz="0" w:space="0" w:color="auto"/>
        <w:left w:val="none" w:sz="0" w:space="0" w:color="auto"/>
        <w:bottom w:val="none" w:sz="0" w:space="0" w:color="auto"/>
        <w:right w:val="none" w:sz="0" w:space="0" w:color="auto"/>
      </w:divBdr>
    </w:div>
    <w:div w:id="322591816">
      <w:bodyDiv w:val="1"/>
      <w:marLeft w:val="0"/>
      <w:marRight w:val="0"/>
      <w:marTop w:val="0"/>
      <w:marBottom w:val="0"/>
      <w:divBdr>
        <w:top w:val="none" w:sz="0" w:space="0" w:color="auto"/>
        <w:left w:val="none" w:sz="0" w:space="0" w:color="auto"/>
        <w:bottom w:val="none" w:sz="0" w:space="0" w:color="auto"/>
        <w:right w:val="none" w:sz="0" w:space="0" w:color="auto"/>
      </w:divBdr>
    </w:div>
    <w:div w:id="328288502">
      <w:bodyDiv w:val="1"/>
      <w:marLeft w:val="0"/>
      <w:marRight w:val="0"/>
      <w:marTop w:val="0"/>
      <w:marBottom w:val="0"/>
      <w:divBdr>
        <w:top w:val="none" w:sz="0" w:space="0" w:color="auto"/>
        <w:left w:val="none" w:sz="0" w:space="0" w:color="auto"/>
        <w:bottom w:val="none" w:sz="0" w:space="0" w:color="auto"/>
        <w:right w:val="none" w:sz="0" w:space="0" w:color="auto"/>
      </w:divBdr>
    </w:div>
    <w:div w:id="372929563">
      <w:bodyDiv w:val="1"/>
      <w:marLeft w:val="0"/>
      <w:marRight w:val="0"/>
      <w:marTop w:val="0"/>
      <w:marBottom w:val="0"/>
      <w:divBdr>
        <w:top w:val="none" w:sz="0" w:space="0" w:color="auto"/>
        <w:left w:val="none" w:sz="0" w:space="0" w:color="auto"/>
        <w:bottom w:val="none" w:sz="0" w:space="0" w:color="auto"/>
        <w:right w:val="none" w:sz="0" w:space="0" w:color="auto"/>
      </w:divBdr>
    </w:div>
    <w:div w:id="376509589">
      <w:bodyDiv w:val="1"/>
      <w:marLeft w:val="0"/>
      <w:marRight w:val="0"/>
      <w:marTop w:val="0"/>
      <w:marBottom w:val="0"/>
      <w:divBdr>
        <w:top w:val="none" w:sz="0" w:space="0" w:color="auto"/>
        <w:left w:val="none" w:sz="0" w:space="0" w:color="auto"/>
        <w:bottom w:val="none" w:sz="0" w:space="0" w:color="auto"/>
        <w:right w:val="none" w:sz="0" w:space="0" w:color="auto"/>
      </w:divBdr>
    </w:div>
    <w:div w:id="396706024">
      <w:bodyDiv w:val="1"/>
      <w:marLeft w:val="0"/>
      <w:marRight w:val="0"/>
      <w:marTop w:val="0"/>
      <w:marBottom w:val="0"/>
      <w:divBdr>
        <w:top w:val="none" w:sz="0" w:space="0" w:color="auto"/>
        <w:left w:val="none" w:sz="0" w:space="0" w:color="auto"/>
        <w:bottom w:val="none" w:sz="0" w:space="0" w:color="auto"/>
        <w:right w:val="none" w:sz="0" w:space="0" w:color="auto"/>
      </w:divBdr>
    </w:div>
    <w:div w:id="410467535">
      <w:bodyDiv w:val="1"/>
      <w:marLeft w:val="0"/>
      <w:marRight w:val="0"/>
      <w:marTop w:val="0"/>
      <w:marBottom w:val="0"/>
      <w:divBdr>
        <w:top w:val="none" w:sz="0" w:space="0" w:color="auto"/>
        <w:left w:val="none" w:sz="0" w:space="0" w:color="auto"/>
        <w:bottom w:val="none" w:sz="0" w:space="0" w:color="auto"/>
        <w:right w:val="none" w:sz="0" w:space="0" w:color="auto"/>
      </w:divBdr>
    </w:div>
    <w:div w:id="440758734">
      <w:bodyDiv w:val="1"/>
      <w:marLeft w:val="0"/>
      <w:marRight w:val="0"/>
      <w:marTop w:val="0"/>
      <w:marBottom w:val="0"/>
      <w:divBdr>
        <w:top w:val="none" w:sz="0" w:space="0" w:color="auto"/>
        <w:left w:val="none" w:sz="0" w:space="0" w:color="auto"/>
        <w:bottom w:val="none" w:sz="0" w:space="0" w:color="auto"/>
        <w:right w:val="none" w:sz="0" w:space="0" w:color="auto"/>
      </w:divBdr>
    </w:div>
    <w:div w:id="448087594">
      <w:bodyDiv w:val="1"/>
      <w:marLeft w:val="0"/>
      <w:marRight w:val="0"/>
      <w:marTop w:val="0"/>
      <w:marBottom w:val="0"/>
      <w:divBdr>
        <w:top w:val="none" w:sz="0" w:space="0" w:color="auto"/>
        <w:left w:val="none" w:sz="0" w:space="0" w:color="auto"/>
        <w:bottom w:val="none" w:sz="0" w:space="0" w:color="auto"/>
        <w:right w:val="none" w:sz="0" w:space="0" w:color="auto"/>
      </w:divBdr>
    </w:div>
    <w:div w:id="463742627">
      <w:bodyDiv w:val="1"/>
      <w:marLeft w:val="0"/>
      <w:marRight w:val="0"/>
      <w:marTop w:val="0"/>
      <w:marBottom w:val="0"/>
      <w:divBdr>
        <w:top w:val="none" w:sz="0" w:space="0" w:color="auto"/>
        <w:left w:val="none" w:sz="0" w:space="0" w:color="auto"/>
        <w:bottom w:val="none" w:sz="0" w:space="0" w:color="auto"/>
        <w:right w:val="none" w:sz="0" w:space="0" w:color="auto"/>
      </w:divBdr>
    </w:div>
    <w:div w:id="471941503">
      <w:bodyDiv w:val="1"/>
      <w:marLeft w:val="0"/>
      <w:marRight w:val="0"/>
      <w:marTop w:val="0"/>
      <w:marBottom w:val="0"/>
      <w:divBdr>
        <w:top w:val="none" w:sz="0" w:space="0" w:color="auto"/>
        <w:left w:val="none" w:sz="0" w:space="0" w:color="auto"/>
        <w:bottom w:val="none" w:sz="0" w:space="0" w:color="auto"/>
        <w:right w:val="none" w:sz="0" w:space="0" w:color="auto"/>
      </w:divBdr>
    </w:div>
    <w:div w:id="474370659">
      <w:bodyDiv w:val="1"/>
      <w:marLeft w:val="0"/>
      <w:marRight w:val="0"/>
      <w:marTop w:val="0"/>
      <w:marBottom w:val="0"/>
      <w:divBdr>
        <w:top w:val="none" w:sz="0" w:space="0" w:color="auto"/>
        <w:left w:val="none" w:sz="0" w:space="0" w:color="auto"/>
        <w:bottom w:val="none" w:sz="0" w:space="0" w:color="auto"/>
        <w:right w:val="none" w:sz="0" w:space="0" w:color="auto"/>
      </w:divBdr>
    </w:div>
    <w:div w:id="481048054">
      <w:bodyDiv w:val="1"/>
      <w:marLeft w:val="0"/>
      <w:marRight w:val="0"/>
      <w:marTop w:val="0"/>
      <w:marBottom w:val="0"/>
      <w:divBdr>
        <w:top w:val="none" w:sz="0" w:space="0" w:color="auto"/>
        <w:left w:val="none" w:sz="0" w:space="0" w:color="auto"/>
        <w:bottom w:val="none" w:sz="0" w:space="0" w:color="auto"/>
        <w:right w:val="none" w:sz="0" w:space="0" w:color="auto"/>
      </w:divBdr>
    </w:div>
    <w:div w:id="520120815">
      <w:bodyDiv w:val="1"/>
      <w:marLeft w:val="0"/>
      <w:marRight w:val="0"/>
      <w:marTop w:val="0"/>
      <w:marBottom w:val="0"/>
      <w:divBdr>
        <w:top w:val="none" w:sz="0" w:space="0" w:color="auto"/>
        <w:left w:val="none" w:sz="0" w:space="0" w:color="auto"/>
        <w:bottom w:val="none" w:sz="0" w:space="0" w:color="auto"/>
        <w:right w:val="none" w:sz="0" w:space="0" w:color="auto"/>
      </w:divBdr>
    </w:div>
    <w:div w:id="523712958">
      <w:bodyDiv w:val="1"/>
      <w:marLeft w:val="0"/>
      <w:marRight w:val="0"/>
      <w:marTop w:val="0"/>
      <w:marBottom w:val="0"/>
      <w:divBdr>
        <w:top w:val="none" w:sz="0" w:space="0" w:color="auto"/>
        <w:left w:val="none" w:sz="0" w:space="0" w:color="auto"/>
        <w:bottom w:val="none" w:sz="0" w:space="0" w:color="auto"/>
        <w:right w:val="none" w:sz="0" w:space="0" w:color="auto"/>
      </w:divBdr>
    </w:div>
    <w:div w:id="534973841">
      <w:bodyDiv w:val="1"/>
      <w:marLeft w:val="0"/>
      <w:marRight w:val="0"/>
      <w:marTop w:val="0"/>
      <w:marBottom w:val="0"/>
      <w:divBdr>
        <w:top w:val="none" w:sz="0" w:space="0" w:color="auto"/>
        <w:left w:val="none" w:sz="0" w:space="0" w:color="auto"/>
        <w:bottom w:val="none" w:sz="0" w:space="0" w:color="auto"/>
        <w:right w:val="none" w:sz="0" w:space="0" w:color="auto"/>
      </w:divBdr>
    </w:div>
    <w:div w:id="606548404">
      <w:bodyDiv w:val="1"/>
      <w:marLeft w:val="0"/>
      <w:marRight w:val="0"/>
      <w:marTop w:val="0"/>
      <w:marBottom w:val="0"/>
      <w:divBdr>
        <w:top w:val="none" w:sz="0" w:space="0" w:color="auto"/>
        <w:left w:val="none" w:sz="0" w:space="0" w:color="auto"/>
        <w:bottom w:val="none" w:sz="0" w:space="0" w:color="auto"/>
        <w:right w:val="none" w:sz="0" w:space="0" w:color="auto"/>
      </w:divBdr>
    </w:div>
    <w:div w:id="621301787">
      <w:bodyDiv w:val="1"/>
      <w:marLeft w:val="0"/>
      <w:marRight w:val="0"/>
      <w:marTop w:val="0"/>
      <w:marBottom w:val="0"/>
      <w:divBdr>
        <w:top w:val="none" w:sz="0" w:space="0" w:color="auto"/>
        <w:left w:val="none" w:sz="0" w:space="0" w:color="auto"/>
        <w:bottom w:val="none" w:sz="0" w:space="0" w:color="auto"/>
        <w:right w:val="none" w:sz="0" w:space="0" w:color="auto"/>
      </w:divBdr>
    </w:div>
    <w:div w:id="624581929">
      <w:bodyDiv w:val="1"/>
      <w:marLeft w:val="0"/>
      <w:marRight w:val="0"/>
      <w:marTop w:val="0"/>
      <w:marBottom w:val="0"/>
      <w:divBdr>
        <w:top w:val="none" w:sz="0" w:space="0" w:color="auto"/>
        <w:left w:val="none" w:sz="0" w:space="0" w:color="auto"/>
        <w:bottom w:val="none" w:sz="0" w:space="0" w:color="auto"/>
        <w:right w:val="none" w:sz="0" w:space="0" w:color="auto"/>
      </w:divBdr>
    </w:div>
    <w:div w:id="628127101">
      <w:bodyDiv w:val="1"/>
      <w:marLeft w:val="0"/>
      <w:marRight w:val="0"/>
      <w:marTop w:val="0"/>
      <w:marBottom w:val="0"/>
      <w:divBdr>
        <w:top w:val="none" w:sz="0" w:space="0" w:color="auto"/>
        <w:left w:val="none" w:sz="0" w:space="0" w:color="auto"/>
        <w:bottom w:val="none" w:sz="0" w:space="0" w:color="auto"/>
        <w:right w:val="none" w:sz="0" w:space="0" w:color="auto"/>
      </w:divBdr>
    </w:div>
    <w:div w:id="699942029">
      <w:bodyDiv w:val="1"/>
      <w:marLeft w:val="0"/>
      <w:marRight w:val="0"/>
      <w:marTop w:val="0"/>
      <w:marBottom w:val="0"/>
      <w:divBdr>
        <w:top w:val="none" w:sz="0" w:space="0" w:color="auto"/>
        <w:left w:val="none" w:sz="0" w:space="0" w:color="auto"/>
        <w:bottom w:val="none" w:sz="0" w:space="0" w:color="auto"/>
        <w:right w:val="none" w:sz="0" w:space="0" w:color="auto"/>
      </w:divBdr>
    </w:div>
    <w:div w:id="753010844">
      <w:bodyDiv w:val="1"/>
      <w:marLeft w:val="0"/>
      <w:marRight w:val="0"/>
      <w:marTop w:val="0"/>
      <w:marBottom w:val="0"/>
      <w:divBdr>
        <w:top w:val="none" w:sz="0" w:space="0" w:color="auto"/>
        <w:left w:val="none" w:sz="0" w:space="0" w:color="auto"/>
        <w:bottom w:val="none" w:sz="0" w:space="0" w:color="auto"/>
        <w:right w:val="none" w:sz="0" w:space="0" w:color="auto"/>
      </w:divBdr>
    </w:div>
    <w:div w:id="774204030">
      <w:bodyDiv w:val="1"/>
      <w:marLeft w:val="0"/>
      <w:marRight w:val="0"/>
      <w:marTop w:val="0"/>
      <w:marBottom w:val="0"/>
      <w:divBdr>
        <w:top w:val="none" w:sz="0" w:space="0" w:color="auto"/>
        <w:left w:val="none" w:sz="0" w:space="0" w:color="auto"/>
        <w:bottom w:val="none" w:sz="0" w:space="0" w:color="auto"/>
        <w:right w:val="none" w:sz="0" w:space="0" w:color="auto"/>
      </w:divBdr>
    </w:div>
    <w:div w:id="793790936">
      <w:bodyDiv w:val="1"/>
      <w:marLeft w:val="0"/>
      <w:marRight w:val="0"/>
      <w:marTop w:val="0"/>
      <w:marBottom w:val="0"/>
      <w:divBdr>
        <w:top w:val="none" w:sz="0" w:space="0" w:color="auto"/>
        <w:left w:val="none" w:sz="0" w:space="0" w:color="auto"/>
        <w:bottom w:val="none" w:sz="0" w:space="0" w:color="auto"/>
        <w:right w:val="none" w:sz="0" w:space="0" w:color="auto"/>
      </w:divBdr>
    </w:div>
    <w:div w:id="805855984">
      <w:bodyDiv w:val="1"/>
      <w:marLeft w:val="0"/>
      <w:marRight w:val="0"/>
      <w:marTop w:val="0"/>
      <w:marBottom w:val="0"/>
      <w:divBdr>
        <w:top w:val="none" w:sz="0" w:space="0" w:color="auto"/>
        <w:left w:val="none" w:sz="0" w:space="0" w:color="auto"/>
        <w:bottom w:val="none" w:sz="0" w:space="0" w:color="auto"/>
        <w:right w:val="none" w:sz="0" w:space="0" w:color="auto"/>
      </w:divBdr>
    </w:div>
    <w:div w:id="841775280">
      <w:bodyDiv w:val="1"/>
      <w:marLeft w:val="0"/>
      <w:marRight w:val="0"/>
      <w:marTop w:val="0"/>
      <w:marBottom w:val="0"/>
      <w:divBdr>
        <w:top w:val="none" w:sz="0" w:space="0" w:color="auto"/>
        <w:left w:val="none" w:sz="0" w:space="0" w:color="auto"/>
        <w:bottom w:val="none" w:sz="0" w:space="0" w:color="auto"/>
        <w:right w:val="none" w:sz="0" w:space="0" w:color="auto"/>
      </w:divBdr>
    </w:div>
    <w:div w:id="857231138">
      <w:bodyDiv w:val="1"/>
      <w:marLeft w:val="0"/>
      <w:marRight w:val="0"/>
      <w:marTop w:val="0"/>
      <w:marBottom w:val="0"/>
      <w:divBdr>
        <w:top w:val="none" w:sz="0" w:space="0" w:color="auto"/>
        <w:left w:val="none" w:sz="0" w:space="0" w:color="auto"/>
        <w:bottom w:val="none" w:sz="0" w:space="0" w:color="auto"/>
        <w:right w:val="none" w:sz="0" w:space="0" w:color="auto"/>
      </w:divBdr>
    </w:div>
    <w:div w:id="881138450">
      <w:bodyDiv w:val="1"/>
      <w:marLeft w:val="0"/>
      <w:marRight w:val="0"/>
      <w:marTop w:val="0"/>
      <w:marBottom w:val="0"/>
      <w:divBdr>
        <w:top w:val="none" w:sz="0" w:space="0" w:color="auto"/>
        <w:left w:val="none" w:sz="0" w:space="0" w:color="auto"/>
        <w:bottom w:val="none" w:sz="0" w:space="0" w:color="auto"/>
        <w:right w:val="none" w:sz="0" w:space="0" w:color="auto"/>
      </w:divBdr>
    </w:div>
    <w:div w:id="920338181">
      <w:bodyDiv w:val="1"/>
      <w:marLeft w:val="0"/>
      <w:marRight w:val="0"/>
      <w:marTop w:val="0"/>
      <w:marBottom w:val="0"/>
      <w:divBdr>
        <w:top w:val="none" w:sz="0" w:space="0" w:color="auto"/>
        <w:left w:val="none" w:sz="0" w:space="0" w:color="auto"/>
        <w:bottom w:val="none" w:sz="0" w:space="0" w:color="auto"/>
        <w:right w:val="none" w:sz="0" w:space="0" w:color="auto"/>
      </w:divBdr>
    </w:div>
    <w:div w:id="936910428">
      <w:bodyDiv w:val="1"/>
      <w:marLeft w:val="0"/>
      <w:marRight w:val="0"/>
      <w:marTop w:val="0"/>
      <w:marBottom w:val="0"/>
      <w:divBdr>
        <w:top w:val="none" w:sz="0" w:space="0" w:color="auto"/>
        <w:left w:val="none" w:sz="0" w:space="0" w:color="auto"/>
        <w:bottom w:val="none" w:sz="0" w:space="0" w:color="auto"/>
        <w:right w:val="none" w:sz="0" w:space="0" w:color="auto"/>
      </w:divBdr>
    </w:div>
    <w:div w:id="946814245">
      <w:bodyDiv w:val="1"/>
      <w:marLeft w:val="0"/>
      <w:marRight w:val="0"/>
      <w:marTop w:val="0"/>
      <w:marBottom w:val="0"/>
      <w:divBdr>
        <w:top w:val="none" w:sz="0" w:space="0" w:color="auto"/>
        <w:left w:val="none" w:sz="0" w:space="0" w:color="auto"/>
        <w:bottom w:val="none" w:sz="0" w:space="0" w:color="auto"/>
        <w:right w:val="none" w:sz="0" w:space="0" w:color="auto"/>
      </w:divBdr>
    </w:div>
    <w:div w:id="955062545">
      <w:bodyDiv w:val="1"/>
      <w:marLeft w:val="0"/>
      <w:marRight w:val="0"/>
      <w:marTop w:val="0"/>
      <w:marBottom w:val="0"/>
      <w:divBdr>
        <w:top w:val="none" w:sz="0" w:space="0" w:color="auto"/>
        <w:left w:val="none" w:sz="0" w:space="0" w:color="auto"/>
        <w:bottom w:val="none" w:sz="0" w:space="0" w:color="auto"/>
        <w:right w:val="none" w:sz="0" w:space="0" w:color="auto"/>
      </w:divBdr>
    </w:div>
    <w:div w:id="1056592090">
      <w:bodyDiv w:val="1"/>
      <w:marLeft w:val="0"/>
      <w:marRight w:val="0"/>
      <w:marTop w:val="0"/>
      <w:marBottom w:val="0"/>
      <w:divBdr>
        <w:top w:val="none" w:sz="0" w:space="0" w:color="auto"/>
        <w:left w:val="none" w:sz="0" w:space="0" w:color="auto"/>
        <w:bottom w:val="none" w:sz="0" w:space="0" w:color="auto"/>
        <w:right w:val="none" w:sz="0" w:space="0" w:color="auto"/>
      </w:divBdr>
    </w:div>
    <w:div w:id="1067267062">
      <w:bodyDiv w:val="1"/>
      <w:marLeft w:val="0"/>
      <w:marRight w:val="0"/>
      <w:marTop w:val="0"/>
      <w:marBottom w:val="0"/>
      <w:divBdr>
        <w:top w:val="none" w:sz="0" w:space="0" w:color="auto"/>
        <w:left w:val="none" w:sz="0" w:space="0" w:color="auto"/>
        <w:bottom w:val="none" w:sz="0" w:space="0" w:color="auto"/>
        <w:right w:val="none" w:sz="0" w:space="0" w:color="auto"/>
      </w:divBdr>
    </w:div>
    <w:div w:id="1069108470">
      <w:bodyDiv w:val="1"/>
      <w:marLeft w:val="0"/>
      <w:marRight w:val="0"/>
      <w:marTop w:val="0"/>
      <w:marBottom w:val="0"/>
      <w:divBdr>
        <w:top w:val="none" w:sz="0" w:space="0" w:color="auto"/>
        <w:left w:val="none" w:sz="0" w:space="0" w:color="auto"/>
        <w:bottom w:val="none" w:sz="0" w:space="0" w:color="auto"/>
        <w:right w:val="none" w:sz="0" w:space="0" w:color="auto"/>
      </w:divBdr>
    </w:div>
    <w:div w:id="1070885044">
      <w:bodyDiv w:val="1"/>
      <w:marLeft w:val="0"/>
      <w:marRight w:val="0"/>
      <w:marTop w:val="0"/>
      <w:marBottom w:val="0"/>
      <w:divBdr>
        <w:top w:val="none" w:sz="0" w:space="0" w:color="auto"/>
        <w:left w:val="none" w:sz="0" w:space="0" w:color="auto"/>
        <w:bottom w:val="none" w:sz="0" w:space="0" w:color="auto"/>
        <w:right w:val="none" w:sz="0" w:space="0" w:color="auto"/>
      </w:divBdr>
    </w:div>
    <w:div w:id="1077022198">
      <w:bodyDiv w:val="1"/>
      <w:marLeft w:val="0"/>
      <w:marRight w:val="0"/>
      <w:marTop w:val="0"/>
      <w:marBottom w:val="0"/>
      <w:divBdr>
        <w:top w:val="none" w:sz="0" w:space="0" w:color="auto"/>
        <w:left w:val="none" w:sz="0" w:space="0" w:color="auto"/>
        <w:bottom w:val="none" w:sz="0" w:space="0" w:color="auto"/>
        <w:right w:val="none" w:sz="0" w:space="0" w:color="auto"/>
      </w:divBdr>
    </w:div>
    <w:div w:id="1151366045">
      <w:bodyDiv w:val="1"/>
      <w:marLeft w:val="0"/>
      <w:marRight w:val="0"/>
      <w:marTop w:val="0"/>
      <w:marBottom w:val="0"/>
      <w:divBdr>
        <w:top w:val="none" w:sz="0" w:space="0" w:color="auto"/>
        <w:left w:val="none" w:sz="0" w:space="0" w:color="auto"/>
        <w:bottom w:val="none" w:sz="0" w:space="0" w:color="auto"/>
        <w:right w:val="none" w:sz="0" w:space="0" w:color="auto"/>
      </w:divBdr>
    </w:div>
    <w:div w:id="1208684452">
      <w:bodyDiv w:val="1"/>
      <w:marLeft w:val="0"/>
      <w:marRight w:val="0"/>
      <w:marTop w:val="0"/>
      <w:marBottom w:val="0"/>
      <w:divBdr>
        <w:top w:val="none" w:sz="0" w:space="0" w:color="auto"/>
        <w:left w:val="none" w:sz="0" w:space="0" w:color="auto"/>
        <w:bottom w:val="none" w:sz="0" w:space="0" w:color="auto"/>
        <w:right w:val="none" w:sz="0" w:space="0" w:color="auto"/>
      </w:divBdr>
    </w:div>
    <w:div w:id="1215504663">
      <w:bodyDiv w:val="1"/>
      <w:marLeft w:val="0"/>
      <w:marRight w:val="0"/>
      <w:marTop w:val="0"/>
      <w:marBottom w:val="0"/>
      <w:divBdr>
        <w:top w:val="none" w:sz="0" w:space="0" w:color="auto"/>
        <w:left w:val="none" w:sz="0" w:space="0" w:color="auto"/>
        <w:bottom w:val="none" w:sz="0" w:space="0" w:color="auto"/>
        <w:right w:val="none" w:sz="0" w:space="0" w:color="auto"/>
      </w:divBdr>
    </w:div>
    <w:div w:id="1280335704">
      <w:bodyDiv w:val="1"/>
      <w:marLeft w:val="0"/>
      <w:marRight w:val="0"/>
      <w:marTop w:val="0"/>
      <w:marBottom w:val="0"/>
      <w:divBdr>
        <w:top w:val="none" w:sz="0" w:space="0" w:color="auto"/>
        <w:left w:val="none" w:sz="0" w:space="0" w:color="auto"/>
        <w:bottom w:val="none" w:sz="0" w:space="0" w:color="auto"/>
        <w:right w:val="none" w:sz="0" w:space="0" w:color="auto"/>
      </w:divBdr>
    </w:div>
    <w:div w:id="1280915385">
      <w:bodyDiv w:val="1"/>
      <w:marLeft w:val="0"/>
      <w:marRight w:val="0"/>
      <w:marTop w:val="0"/>
      <w:marBottom w:val="0"/>
      <w:divBdr>
        <w:top w:val="none" w:sz="0" w:space="0" w:color="auto"/>
        <w:left w:val="none" w:sz="0" w:space="0" w:color="auto"/>
        <w:bottom w:val="none" w:sz="0" w:space="0" w:color="auto"/>
        <w:right w:val="none" w:sz="0" w:space="0" w:color="auto"/>
      </w:divBdr>
    </w:div>
    <w:div w:id="1306198346">
      <w:bodyDiv w:val="1"/>
      <w:marLeft w:val="0"/>
      <w:marRight w:val="0"/>
      <w:marTop w:val="0"/>
      <w:marBottom w:val="0"/>
      <w:divBdr>
        <w:top w:val="none" w:sz="0" w:space="0" w:color="auto"/>
        <w:left w:val="none" w:sz="0" w:space="0" w:color="auto"/>
        <w:bottom w:val="none" w:sz="0" w:space="0" w:color="auto"/>
        <w:right w:val="none" w:sz="0" w:space="0" w:color="auto"/>
      </w:divBdr>
    </w:div>
    <w:div w:id="1324700922">
      <w:bodyDiv w:val="1"/>
      <w:marLeft w:val="0"/>
      <w:marRight w:val="0"/>
      <w:marTop w:val="0"/>
      <w:marBottom w:val="0"/>
      <w:divBdr>
        <w:top w:val="none" w:sz="0" w:space="0" w:color="auto"/>
        <w:left w:val="none" w:sz="0" w:space="0" w:color="auto"/>
        <w:bottom w:val="none" w:sz="0" w:space="0" w:color="auto"/>
        <w:right w:val="none" w:sz="0" w:space="0" w:color="auto"/>
      </w:divBdr>
    </w:div>
    <w:div w:id="1330669556">
      <w:bodyDiv w:val="1"/>
      <w:marLeft w:val="0"/>
      <w:marRight w:val="0"/>
      <w:marTop w:val="0"/>
      <w:marBottom w:val="0"/>
      <w:divBdr>
        <w:top w:val="none" w:sz="0" w:space="0" w:color="auto"/>
        <w:left w:val="none" w:sz="0" w:space="0" w:color="auto"/>
        <w:bottom w:val="none" w:sz="0" w:space="0" w:color="auto"/>
        <w:right w:val="none" w:sz="0" w:space="0" w:color="auto"/>
      </w:divBdr>
    </w:div>
    <w:div w:id="1365671502">
      <w:bodyDiv w:val="1"/>
      <w:marLeft w:val="0"/>
      <w:marRight w:val="0"/>
      <w:marTop w:val="0"/>
      <w:marBottom w:val="0"/>
      <w:divBdr>
        <w:top w:val="none" w:sz="0" w:space="0" w:color="auto"/>
        <w:left w:val="none" w:sz="0" w:space="0" w:color="auto"/>
        <w:bottom w:val="none" w:sz="0" w:space="0" w:color="auto"/>
        <w:right w:val="none" w:sz="0" w:space="0" w:color="auto"/>
      </w:divBdr>
    </w:div>
    <w:div w:id="1488283493">
      <w:bodyDiv w:val="1"/>
      <w:marLeft w:val="0"/>
      <w:marRight w:val="0"/>
      <w:marTop w:val="0"/>
      <w:marBottom w:val="0"/>
      <w:divBdr>
        <w:top w:val="none" w:sz="0" w:space="0" w:color="auto"/>
        <w:left w:val="none" w:sz="0" w:space="0" w:color="auto"/>
        <w:bottom w:val="none" w:sz="0" w:space="0" w:color="auto"/>
        <w:right w:val="none" w:sz="0" w:space="0" w:color="auto"/>
      </w:divBdr>
    </w:div>
    <w:div w:id="1546869571">
      <w:bodyDiv w:val="1"/>
      <w:marLeft w:val="0"/>
      <w:marRight w:val="0"/>
      <w:marTop w:val="0"/>
      <w:marBottom w:val="0"/>
      <w:divBdr>
        <w:top w:val="none" w:sz="0" w:space="0" w:color="auto"/>
        <w:left w:val="none" w:sz="0" w:space="0" w:color="auto"/>
        <w:bottom w:val="none" w:sz="0" w:space="0" w:color="auto"/>
        <w:right w:val="none" w:sz="0" w:space="0" w:color="auto"/>
      </w:divBdr>
    </w:div>
    <w:div w:id="1551764447">
      <w:bodyDiv w:val="1"/>
      <w:marLeft w:val="0"/>
      <w:marRight w:val="0"/>
      <w:marTop w:val="0"/>
      <w:marBottom w:val="0"/>
      <w:divBdr>
        <w:top w:val="none" w:sz="0" w:space="0" w:color="auto"/>
        <w:left w:val="none" w:sz="0" w:space="0" w:color="auto"/>
        <w:bottom w:val="none" w:sz="0" w:space="0" w:color="auto"/>
        <w:right w:val="none" w:sz="0" w:space="0" w:color="auto"/>
      </w:divBdr>
    </w:div>
    <w:div w:id="1616450708">
      <w:bodyDiv w:val="1"/>
      <w:marLeft w:val="0"/>
      <w:marRight w:val="0"/>
      <w:marTop w:val="0"/>
      <w:marBottom w:val="0"/>
      <w:divBdr>
        <w:top w:val="none" w:sz="0" w:space="0" w:color="auto"/>
        <w:left w:val="none" w:sz="0" w:space="0" w:color="auto"/>
        <w:bottom w:val="none" w:sz="0" w:space="0" w:color="auto"/>
        <w:right w:val="none" w:sz="0" w:space="0" w:color="auto"/>
      </w:divBdr>
    </w:div>
    <w:div w:id="1625770761">
      <w:bodyDiv w:val="1"/>
      <w:marLeft w:val="0"/>
      <w:marRight w:val="0"/>
      <w:marTop w:val="0"/>
      <w:marBottom w:val="0"/>
      <w:divBdr>
        <w:top w:val="none" w:sz="0" w:space="0" w:color="auto"/>
        <w:left w:val="none" w:sz="0" w:space="0" w:color="auto"/>
        <w:bottom w:val="none" w:sz="0" w:space="0" w:color="auto"/>
        <w:right w:val="none" w:sz="0" w:space="0" w:color="auto"/>
      </w:divBdr>
    </w:div>
    <w:div w:id="1632714281">
      <w:bodyDiv w:val="1"/>
      <w:marLeft w:val="0"/>
      <w:marRight w:val="0"/>
      <w:marTop w:val="0"/>
      <w:marBottom w:val="0"/>
      <w:divBdr>
        <w:top w:val="none" w:sz="0" w:space="0" w:color="auto"/>
        <w:left w:val="none" w:sz="0" w:space="0" w:color="auto"/>
        <w:bottom w:val="none" w:sz="0" w:space="0" w:color="auto"/>
        <w:right w:val="none" w:sz="0" w:space="0" w:color="auto"/>
      </w:divBdr>
    </w:div>
    <w:div w:id="1642535680">
      <w:bodyDiv w:val="1"/>
      <w:marLeft w:val="0"/>
      <w:marRight w:val="0"/>
      <w:marTop w:val="0"/>
      <w:marBottom w:val="0"/>
      <w:divBdr>
        <w:top w:val="none" w:sz="0" w:space="0" w:color="auto"/>
        <w:left w:val="none" w:sz="0" w:space="0" w:color="auto"/>
        <w:bottom w:val="none" w:sz="0" w:space="0" w:color="auto"/>
        <w:right w:val="none" w:sz="0" w:space="0" w:color="auto"/>
      </w:divBdr>
    </w:div>
    <w:div w:id="1647277983">
      <w:bodyDiv w:val="1"/>
      <w:marLeft w:val="0"/>
      <w:marRight w:val="0"/>
      <w:marTop w:val="0"/>
      <w:marBottom w:val="0"/>
      <w:divBdr>
        <w:top w:val="none" w:sz="0" w:space="0" w:color="auto"/>
        <w:left w:val="none" w:sz="0" w:space="0" w:color="auto"/>
        <w:bottom w:val="none" w:sz="0" w:space="0" w:color="auto"/>
        <w:right w:val="none" w:sz="0" w:space="0" w:color="auto"/>
      </w:divBdr>
    </w:div>
    <w:div w:id="1676298165">
      <w:bodyDiv w:val="1"/>
      <w:marLeft w:val="0"/>
      <w:marRight w:val="0"/>
      <w:marTop w:val="0"/>
      <w:marBottom w:val="0"/>
      <w:divBdr>
        <w:top w:val="none" w:sz="0" w:space="0" w:color="auto"/>
        <w:left w:val="none" w:sz="0" w:space="0" w:color="auto"/>
        <w:bottom w:val="none" w:sz="0" w:space="0" w:color="auto"/>
        <w:right w:val="none" w:sz="0" w:space="0" w:color="auto"/>
      </w:divBdr>
    </w:div>
    <w:div w:id="1678725304">
      <w:bodyDiv w:val="1"/>
      <w:marLeft w:val="0"/>
      <w:marRight w:val="0"/>
      <w:marTop w:val="0"/>
      <w:marBottom w:val="0"/>
      <w:divBdr>
        <w:top w:val="none" w:sz="0" w:space="0" w:color="auto"/>
        <w:left w:val="none" w:sz="0" w:space="0" w:color="auto"/>
        <w:bottom w:val="none" w:sz="0" w:space="0" w:color="auto"/>
        <w:right w:val="none" w:sz="0" w:space="0" w:color="auto"/>
      </w:divBdr>
    </w:div>
    <w:div w:id="1683048902">
      <w:bodyDiv w:val="1"/>
      <w:marLeft w:val="0"/>
      <w:marRight w:val="0"/>
      <w:marTop w:val="0"/>
      <w:marBottom w:val="0"/>
      <w:divBdr>
        <w:top w:val="none" w:sz="0" w:space="0" w:color="auto"/>
        <w:left w:val="none" w:sz="0" w:space="0" w:color="auto"/>
        <w:bottom w:val="none" w:sz="0" w:space="0" w:color="auto"/>
        <w:right w:val="none" w:sz="0" w:space="0" w:color="auto"/>
      </w:divBdr>
    </w:div>
    <w:div w:id="1696350470">
      <w:bodyDiv w:val="1"/>
      <w:marLeft w:val="0"/>
      <w:marRight w:val="0"/>
      <w:marTop w:val="0"/>
      <w:marBottom w:val="0"/>
      <w:divBdr>
        <w:top w:val="none" w:sz="0" w:space="0" w:color="auto"/>
        <w:left w:val="none" w:sz="0" w:space="0" w:color="auto"/>
        <w:bottom w:val="none" w:sz="0" w:space="0" w:color="auto"/>
        <w:right w:val="none" w:sz="0" w:space="0" w:color="auto"/>
      </w:divBdr>
    </w:div>
    <w:div w:id="1721400763">
      <w:bodyDiv w:val="1"/>
      <w:marLeft w:val="0"/>
      <w:marRight w:val="0"/>
      <w:marTop w:val="0"/>
      <w:marBottom w:val="0"/>
      <w:divBdr>
        <w:top w:val="none" w:sz="0" w:space="0" w:color="auto"/>
        <w:left w:val="none" w:sz="0" w:space="0" w:color="auto"/>
        <w:bottom w:val="none" w:sz="0" w:space="0" w:color="auto"/>
        <w:right w:val="none" w:sz="0" w:space="0" w:color="auto"/>
      </w:divBdr>
    </w:div>
    <w:div w:id="1746759725">
      <w:bodyDiv w:val="1"/>
      <w:marLeft w:val="0"/>
      <w:marRight w:val="0"/>
      <w:marTop w:val="0"/>
      <w:marBottom w:val="0"/>
      <w:divBdr>
        <w:top w:val="none" w:sz="0" w:space="0" w:color="auto"/>
        <w:left w:val="none" w:sz="0" w:space="0" w:color="auto"/>
        <w:bottom w:val="none" w:sz="0" w:space="0" w:color="auto"/>
        <w:right w:val="none" w:sz="0" w:space="0" w:color="auto"/>
      </w:divBdr>
    </w:div>
    <w:div w:id="1762944512">
      <w:bodyDiv w:val="1"/>
      <w:marLeft w:val="0"/>
      <w:marRight w:val="0"/>
      <w:marTop w:val="0"/>
      <w:marBottom w:val="0"/>
      <w:divBdr>
        <w:top w:val="none" w:sz="0" w:space="0" w:color="auto"/>
        <w:left w:val="none" w:sz="0" w:space="0" w:color="auto"/>
        <w:bottom w:val="none" w:sz="0" w:space="0" w:color="auto"/>
        <w:right w:val="none" w:sz="0" w:space="0" w:color="auto"/>
      </w:divBdr>
    </w:div>
    <w:div w:id="1763838663">
      <w:bodyDiv w:val="1"/>
      <w:marLeft w:val="0"/>
      <w:marRight w:val="0"/>
      <w:marTop w:val="0"/>
      <w:marBottom w:val="0"/>
      <w:divBdr>
        <w:top w:val="none" w:sz="0" w:space="0" w:color="auto"/>
        <w:left w:val="none" w:sz="0" w:space="0" w:color="auto"/>
        <w:bottom w:val="none" w:sz="0" w:space="0" w:color="auto"/>
        <w:right w:val="none" w:sz="0" w:space="0" w:color="auto"/>
      </w:divBdr>
    </w:div>
    <w:div w:id="1785884137">
      <w:bodyDiv w:val="1"/>
      <w:marLeft w:val="0"/>
      <w:marRight w:val="0"/>
      <w:marTop w:val="0"/>
      <w:marBottom w:val="0"/>
      <w:divBdr>
        <w:top w:val="none" w:sz="0" w:space="0" w:color="auto"/>
        <w:left w:val="none" w:sz="0" w:space="0" w:color="auto"/>
        <w:bottom w:val="none" w:sz="0" w:space="0" w:color="auto"/>
        <w:right w:val="none" w:sz="0" w:space="0" w:color="auto"/>
      </w:divBdr>
    </w:div>
    <w:div w:id="1792165992">
      <w:bodyDiv w:val="1"/>
      <w:marLeft w:val="0"/>
      <w:marRight w:val="0"/>
      <w:marTop w:val="0"/>
      <w:marBottom w:val="0"/>
      <w:divBdr>
        <w:top w:val="none" w:sz="0" w:space="0" w:color="auto"/>
        <w:left w:val="none" w:sz="0" w:space="0" w:color="auto"/>
        <w:bottom w:val="none" w:sz="0" w:space="0" w:color="auto"/>
        <w:right w:val="none" w:sz="0" w:space="0" w:color="auto"/>
      </w:divBdr>
    </w:div>
    <w:div w:id="1884712590">
      <w:bodyDiv w:val="1"/>
      <w:marLeft w:val="0"/>
      <w:marRight w:val="0"/>
      <w:marTop w:val="0"/>
      <w:marBottom w:val="0"/>
      <w:divBdr>
        <w:top w:val="none" w:sz="0" w:space="0" w:color="auto"/>
        <w:left w:val="none" w:sz="0" w:space="0" w:color="auto"/>
        <w:bottom w:val="none" w:sz="0" w:space="0" w:color="auto"/>
        <w:right w:val="none" w:sz="0" w:space="0" w:color="auto"/>
      </w:divBdr>
    </w:div>
    <w:div w:id="1890267732">
      <w:bodyDiv w:val="1"/>
      <w:marLeft w:val="0"/>
      <w:marRight w:val="0"/>
      <w:marTop w:val="0"/>
      <w:marBottom w:val="0"/>
      <w:divBdr>
        <w:top w:val="none" w:sz="0" w:space="0" w:color="auto"/>
        <w:left w:val="none" w:sz="0" w:space="0" w:color="auto"/>
        <w:bottom w:val="none" w:sz="0" w:space="0" w:color="auto"/>
        <w:right w:val="none" w:sz="0" w:space="0" w:color="auto"/>
      </w:divBdr>
    </w:div>
    <w:div w:id="1941988133">
      <w:bodyDiv w:val="1"/>
      <w:marLeft w:val="0"/>
      <w:marRight w:val="0"/>
      <w:marTop w:val="0"/>
      <w:marBottom w:val="0"/>
      <w:divBdr>
        <w:top w:val="none" w:sz="0" w:space="0" w:color="auto"/>
        <w:left w:val="none" w:sz="0" w:space="0" w:color="auto"/>
        <w:bottom w:val="none" w:sz="0" w:space="0" w:color="auto"/>
        <w:right w:val="none" w:sz="0" w:space="0" w:color="auto"/>
      </w:divBdr>
    </w:div>
    <w:div w:id="1970936788">
      <w:bodyDiv w:val="1"/>
      <w:marLeft w:val="0"/>
      <w:marRight w:val="0"/>
      <w:marTop w:val="0"/>
      <w:marBottom w:val="0"/>
      <w:divBdr>
        <w:top w:val="none" w:sz="0" w:space="0" w:color="auto"/>
        <w:left w:val="none" w:sz="0" w:space="0" w:color="auto"/>
        <w:bottom w:val="none" w:sz="0" w:space="0" w:color="auto"/>
        <w:right w:val="none" w:sz="0" w:space="0" w:color="auto"/>
      </w:divBdr>
    </w:div>
    <w:div w:id="2014255269">
      <w:bodyDiv w:val="1"/>
      <w:marLeft w:val="0"/>
      <w:marRight w:val="0"/>
      <w:marTop w:val="0"/>
      <w:marBottom w:val="0"/>
      <w:divBdr>
        <w:top w:val="none" w:sz="0" w:space="0" w:color="auto"/>
        <w:left w:val="none" w:sz="0" w:space="0" w:color="auto"/>
        <w:bottom w:val="none" w:sz="0" w:space="0" w:color="auto"/>
        <w:right w:val="none" w:sz="0" w:space="0" w:color="auto"/>
      </w:divBdr>
    </w:div>
    <w:div w:id="2016225328">
      <w:bodyDiv w:val="1"/>
      <w:marLeft w:val="0"/>
      <w:marRight w:val="0"/>
      <w:marTop w:val="0"/>
      <w:marBottom w:val="0"/>
      <w:divBdr>
        <w:top w:val="none" w:sz="0" w:space="0" w:color="auto"/>
        <w:left w:val="none" w:sz="0" w:space="0" w:color="auto"/>
        <w:bottom w:val="none" w:sz="0" w:space="0" w:color="auto"/>
        <w:right w:val="none" w:sz="0" w:space="0" w:color="auto"/>
      </w:divBdr>
    </w:div>
    <w:div w:id="2020623686">
      <w:bodyDiv w:val="1"/>
      <w:marLeft w:val="0"/>
      <w:marRight w:val="0"/>
      <w:marTop w:val="0"/>
      <w:marBottom w:val="0"/>
      <w:divBdr>
        <w:top w:val="none" w:sz="0" w:space="0" w:color="auto"/>
        <w:left w:val="none" w:sz="0" w:space="0" w:color="auto"/>
        <w:bottom w:val="none" w:sz="0" w:space="0" w:color="auto"/>
        <w:right w:val="none" w:sz="0" w:space="0" w:color="auto"/>
      </w:divBdr>
    </w:div>
    <w:div w:id="2048944948">
      <w:bodyDiv w:val="1"/>
      <w:marLeft w:val="0"/>
      <w:marRight w:val="0"/>
      <w:marTop w:val="0"/>
      <w:marBottom w:val="0"/>
      <w:divBdr>
        <w:top w:val="none" w:sz="0" w:space="0" w:color="auto"/>
        <w:left w:val="none" w:sz="0" w:space="0" w:color="auto"/>
        <w:bottom w:val="none" w:sz="0" w:space="0" w:color="auto"/>
        <w:right w:val="none" w:sz="0" w:space="0" w:color="auto"/>
      </w:divBdr>
    </w:div>
    <w:div w:id="2050639601">
      <w:bodyDiv w:val="1"/>
      <w:marLeft w:val="0"/>
      <w:marRight w:val="0"/>
      <w:marTop w:val="0"/>
      <w:marBottom w:val="0"/>
      <w:divBdr>
        <w:top w:val="none" w:sz="0" w:space="0" w:color="auto"/>
        <w:left w:val="none" w:sz="0" w:space="0" w:color="auto"/>
        <w:bottom w:val="none" w:sz="0" w:space="0" w:color="auto"/>
        <w:right w:val="none" w:sz="0" w:space="0" w:color="auto"/>
      </w:divBdr>
    </w:div>
    <w:div w:id="2064597883">
      <w:bodyDiv w:val="1"/>
      <w:marLeft w:val="0"/>
      <w:marRight w:val="0"/>
      <w:marTop w:val="0"/>
      <w:marBottom w:val="0"/>
      <w:divBdr>
        <w:top w:val="none" w:sz="0" w:space="0" w:color="auto"/>
        <w:left w:val="none" w:sz="0" w:space="0" w:color="auto"/>
        <w:bottom w:val="none" w:sz="0" w:space="0" w:color="auto"/>
        <w:right w:val="none" w:sz="0" w:space="0" w:color="auto"/>
      </w:divBdr>
    </w:div>
    <w:div w:id="2081632329">
      <w:bodyDiv w:val="1"/>
      <w:marLeft w:val="0"/>
      <w:marRight w:val="0"/>
      <w:marTop w:val="0"/>
      <w:marBottom w:val="0"/>
      <w:divBdr>
        <w:top w:val="none" w:sz="0" w:space="0" w:color="auto"/>
        <w:left w:val="none" w:sz="0" w:space="0" w:color="auto"/>
        <w:bottom w:val="none" w:sz="0" w:space="0" w:color="auto"/>
        <w:right w:val="none" w:sz="0" w:space="0" w:color="auto"/>
      </w:divBdr>
    </w:div>
    <w:div w:id="2085949337">
      <w:bodyDiv w:val="1"/>
      <w:marLeft w:val="0"/>
      <w:marRight w:val="0"/>
      <w:marTop w:val="0"/>
      <w:marBottom w:val="0"/>
      <w:divBdr>
        <w:top w:val="none" w:sz="0" w:space="0" w:color="auto"/>
        <w:left w:val="none" w:sz="0" w:space="0" w:color="auto"/>
        <w:bottom w:val="none" w:sz="0" w:space="0" w:color="auto"/>
        <w:right w:val="none" w:sz="0" w:space="0" w:color="auto"/>
      </w:divBdr>
    </w:div>
    <w:div w:id="2096584235">
      <w:bodyDiv w:val="1"/>
      <w:marLeft w:val="0"/>
      <w:marRight w:val="0"/>
      <w:marTop w:val="0"/>
      <w:marBottom w:val="0"/>
      <w:divBdr>
        <w:top w:val="none" w:sz="0" w:space="0" w:color="auto"/>
        <w:left w:val="none" w:sz="0" w:space="0" w:color="auto"/>
        <w:bottom w:val="none" w:sz="0" w:space="0" w:color="auto"/>
        <w:right w:val="none" w:sz="0" w:space="0" w:color="auto"/>
      </w:divBdr>
    </w:div>
    <w:div w:id="2108696151">
      <w:bodyDiv w:val="1"/>
      <w:marLeft w:val="0"/>
      <w:marRight w:val="0"/>
      <w:marTop w:val="0"/>
      <w:marBottom w:val="0"/>
      <w:divBdr>
        <w:top w:val="none" w:sz="0" w:space="0" w:color="auto"/>
        <w:left w:val="none" w:sz="0" w:space="0" w:color="auto"/>
        <w:bottom w:val="none" w:sz="0" w:space="0" w:color="auto"/>
        <w:right w:val="none" w:sz="0" w:space="0" w:color="auto"/>
      </w:divBdr>
    </w:div>
    <w:div w:id="2133131470">
      <w:bodyDiv w:val="1"/>
      <w:marLeft w:val="0"/>
      <w:marRight w:val="0"/>
      <w:marTop w:val="0"/>
      <w:marBottom w:val="0"/>
      <w:divBdr>
        <w:top w:val="none" w:sz="0" w:space="0" w:color="auto"/>
        <w:left w:val="none" w:sz="0" w:space="0" w:color="auto"/>
        <w:bottom w:val="none" w:sz="0" w:space="0" w:color="auto"/>
        <w:right w:val="none" w:sz="0" w:space="0" w:color="auto"/>
      </w:divBdr>
    </w:div>
    <w:div w:id="214546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chart" Target="charts/chart6.xml"/><Relationship Id="rId42" Type="http://schemas.openxmlformats.org/officeDocument/2006/relationships/chart" Target="charts/chart22.xml"/><Relationship Id="rId47" Type="http://schemas.openxmlformats.org/officeDocument/2006/relationships/chart" Target="charts/chart27.xml"/><Relationship Id="rId63" Type="http://schemas.openxmlformats.org/officeDocument/2006/relationships/image" Target="media/image11.emf"/><Relationship Id="rId68" Type="http://schemas.openxmlformats.org/officeDocument/2006/relationships/image" Target="media/image12.emf"/><Relationship Id="rId84" Type="http://schemas.openxmlformats.org/officeDocument/2006/relationships/chart" Target="charts/chart58.xml"/><Relationship Id="rId89" Type="http://schemas.openxmlformats.org/officeDocument/2006/relationships/chart" Target="charts/chart61.xml"/><Relationship Id="rId112" Type="http://schemas.openxmlformats.org/officeDocument/2006/relationships/image" Target="media/image36.png"/><Relationship Id="rId16" Type="http://schemas.openxmlformats.org/officeDocument/2006/relationships/chart" Target="charts/chart3.xml"/><Relationship Id="rId107" Type="http://schemas.openxmlformats.org/officeDocument/2006/relationships/image" Target="media/image31.png"/><Relationship Id="rId11" Type="http://schemas.openxmlformats.org/officeDocument/2006/relationships/header" Target="header2.xml"/><Relationship Id="rId32" Type="http://schemas.openxmlformats.org/officeDocument/2006/relationships/chart" Target="charts/chart14.xml"/><Relationship Id="rId37" Type="http://schemas.openxmlformats.org/officeDocument/2006/relationships/image" Target="media/image8.emf"/><Relationship Id="rId53" Type="http://schemas.openxmlformats.org/officeDocument/2006/relationships/chart" Target="charts/chart33.xml"/><Relationship Id="rId58" Type="http://schemas.openxmlformats.org/officeDocument/2006/relationships/chart" Target="charts/chart36.xml"/><Relationship Id="rId74" Type="http://schemas.openxmlformats.org/officeDocument/2006/relationships/chart" Target="charts/chart49.xml"/><Relationship Id="rId79" Type="http://schemas.openxmlformats.org/officeDocument/2006/relationships/chart" Target="charts/chart54.xml"/><Relationship Id="rId102" Type="http://schemas.openxmlformats.org/officeDocument/2006/relationships/image" Target="media/image26.png"/><Relationship Id="rId5" Type="http://schemas.openxmlformats.org/officeDocument/2006/relationships/webSettings" Target="webSettings.xml"/><Relationship Id="rId90" Type="http://schemas.openxmlformats.org/officeDocument/2006/relationships/chart" Target="charts/chart62.xml"/><Relationship Id="rId95" Type="http://schemas.openxmlformats.org/officeDocument/2006/relationships/image" Target="media/image19.png"/><Relationship Id="rId22" Type="http://schemas.openxmlformats.org/officeDocument/2006/relationships/chart" Target="charts/chart7.xml"/><Relationship Id="rId27" Type="http://schemas.openxmlformats.org/officeDocument/2006/relationships/image" Target="media/image5.png"/><Relationship Id="rId43" Type="http://schemas.openxmlformats.org/officeDocument/2006/relationships/chart" Target="charts/chart23.xml"/><Relationship Id="rId48" Type="http://schemas.openxmlformats.org/officeDocument/2006/relationships/chart" Target="charts/chart28.xml"/><Relationship Id="rId64" Type="http://schemas.openxmlformats.org/officeDocument/2006/relationships/chart" Target="charts/chart41.xml"/><Relationship Id="rId69" Type="http://schemas.openxmlformats.org/officeDocument/2006/relationships/chart" Target="charts/chart45.xml"/><Relationship Id="rId113" Type="http://schemas.openxmlformats.org/officeDocument/2006/relationships/footer" Target="footer5.xml"/><Relationship Id="rId80" Type="http://schemas.openxmlformats.org/officeDocument/2006/relationships/image" Target="media/image14.png"/><Relationship Id="rId85" Type="http://schemas.openxmlformats.org/officeDocument/2006/relationships/chart" Target="charts/chart59.xml"/><Relationship Id="rId12" Type="http://schemas.openxmlformats.org/officeDocument/2006/relationships/footer" Target="footer3.xml"/><Relationship Id="rId17" Type="http://schemas.openxmlformats.org/officeDocument/2006/relationships/chart" Target="charts/chart4.xml"/><Relationship Id="rId33" Type="http://schemas.openxmlformats.org/officeDocument/2006/relationships/chart" Target="charts/chart15.xml"/><Relationship Id="rId38" Type="http://schemas.openxmlformats.org/officeDocument/2006/relationships/chart" Target="charts/chart18.xml"/><Relationship Id="rId59" Type="http://schemas.openxmlformats.org/officeDocument/2006/relationships/chart" Target="charts/chart37.xml"/><Relationship Id="rId103" Type="http://schemas.openxmlformats.org/officeDocument/2006/relationships/image" Target="media/image27.png"/><Relationship Id="rId108" Type="http://schemas.openxmlformats.org/officeDocument/2006/relationships/image" Target="media/image32.png"/><Relationship Id="rId54" Type="http://schemas.openxmlformats.org/officeDocument/2006/relationships/chart" Target="charts/chart34.xml"/><Relationship Id="rId70" Type="http://schemas.openxmlformats.org/officeDocument/2006/relationships/image" Target="media/image13.emf"/><Relationship Id="rId75" Type="http://schemas.openxmlformats.org/officeDocument/2006/relationships/chart" Target="charts/chart50.xml"/><Relationship Id="rId91" Type="http://schemas.openxmlformats.org/officeDocument/2006/relationships/chart" Target="charts/chart63.xml"/><Relationship Id="rId96"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chart" Target="charts/chart8.xml"/><Relationship Id="rId28" Type="http://schemas.openxmlformats.org/officeDocument/2006/relationships/chart" Target="charts/chart11.xml"/><Relationship Id="rId36" Type="http://schemas.openxmlformats.org/officeDocument/2006/relationships/image" Target="media/image7.emf"/><Relationship Id="rId49" Type="http://schemas.openxmlformats.org/officeDocument/2006/relationships/chart" Target="charts/chart29.xml"/><Relationship Id="rId57" Type="http://schemas.openxmlformats.org/officeDocument/2006/relationships/chart" Target="charts/chart35.xml"/><Relationship Id="rId106" Type="http://schemas.openxmlformats.org/officeDocument/2006/relationships/image" Target="media/image30.png"/><Relationship Id="rId114"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chart" Target="charts/chart13.xml"/><Relationship Id="rId44" Type="http://schemas.openxmlformats.org/officeDocument/2006/relationships/chart" Target="charts/chart24.xml"/><Relationship Id="rId52" Type="http://schemas.openxmlformats.org/officeDocument/2006/relationships/chart" Target="charts/chart32.xml"/><Relationship Id="rId60" Type="http://schemas.openxmlformats.org/officeDocument/2006/relationships/chart" Target="charts/chart38.xml"/><Relationship Id="rId65" Type="http://schemas.openxmlformats.org/officeDocument/2006/relationships/chart" Target="charts/chart42.xml"/><Relationship Id="rId73" Type="http://schemas.openxmlformats.org/officeDocument/2006/relationships/chart" Target="charts/chart48.xml"/><Relationship Id="rId78" Type="http://schemas.openxmlformats.org/officeDocument/2006/relationships/chart" Target="charts/chart53.xml"/><Relationship Id="rId81" Type="http://schemas.openxmlformats.org/officeDocument/2006/relationships/chart" Target="charts/chart55.xml"/><Relationship Id="rId86" Type="http://schemas.openxmlformats.org/officeDocument/2006/relationships/image" Target="media/image15.png"/><Relationship Id="rId94" Type="http://schemas.openxmlformats.org/officeDocument/2006/relationships/chart" Target="charts/chart64.xml"/><Relationship Id="rId99" Type="http://schemas.openxmlformats.org/officeDocument/2006/relationships/image" Target="media/image23.png"/><Relationship Id="rId10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2.png"/><Relationship Id="rId39" Type="http://schemas.openxmlformats.org/officeDocument/2006/relationships/chart" Target="charts/chart19.xml"/><Relationship Id="rId109" Type="http://schemas.openxmlformats.org/officeDocument/2006/relationships/image" Target="media/image33.png"/><Relationship Id="rId34" Type="http://schemas.openxmlformats.org/officeDocument/2006/relationships/chart" Target="charts/chart16.xml"/><Relationship Id="rId50" Type="http://schemas.openxmlformats.org/officeDocument/2006/relationships/chart" Target="charts/chart30.xml"/><Relationship Id="rId55" Type="http://schemas.openxmlformats.org/officeDocument/2006/relationships/image" Target="media/image9.png"/><Relationship Id="rId76" Type="http://schemas.openxmlformats.org/officeDocument/2006/relationships/chart" Target="charts/chart51.xml"/><Relationship Id="rId97" Type="http://schemas.openxmlformats.org/officeDocument/2006/relationships/image" Target="media/image21.png"/><Relationship Id="rId104" Type="http://schemas.openxmlformats.org/officeDocument/2006/relationships/image" Target="media/image28.png"/><Relationship Id="rId7" Type="http://schemas.openxmlformats.org/officeDocument/2006/relationships/endnotes" Target="endnotes.xml"/><Relationship Id="rId71" Type="http://schemas.openxmlformats.org/officeDocument/2006/relationships/chart" Target="charts/chart46.xml"/><Relationship Id="rId92" Type="http://schemas.openxmlformats.org/officeDocument/2006/relationships/image" Target="media/image17.png"/><Relationship Id="rId2" Type="http://schemas.openxmlformats.org/officeDocument/2006/relationships/numbering" Target="numbering.xml"/><Relationship Id="rId29" Type="http://schemas.openxmlformats.org/officeDocument/2006/relationships/chart" Target="charts/chart12.xml"/><Relationship Id="rId24" Type="http://schemas.openxmlformats.org/officeDocument/2006/relationships/chart" Target="charts/chart9.xml"/><Relationship Id="rId40" Type="http://schemas.openxmlformats.org/officeDocument/2006/relationships/chart" Target="charts/chart20.xml"/><Relationship Id="rId45" Type="http://schemas.openxmlformats.org/officeDocument/2006/relationships/chart" Target="charts/chart25.xml"/><Relationship Id="rId66" Type="http://schemas.openxmlformats.org/officeDocument/2006/relationships/chart" Target="charts/chart43.xml"/><Relationship Id="rId87" Type="http://schemas.openxmlformats.org/officeDocument/2006/relationships/image" Target="media/image16.png"/><Relationship Id="rId110" Type="http://schemas.openxmlformats.org/officeDocument/2006/relationships/image" Target="media/image34.png"/><Relationship Id="rId115" Type="http://schemas.openxmlformats.org/officeDocument/2006/relationships/theme" Target="theme/theme1.xml"/><Relationship Id="rId61" Type="http://schemas.openxmlformats.org/officeDocument/2006/relationships/chart" Target="charts/chart39.xml"/><Relationship Id="rId82" Type="http://schemas.openxmlformats.org/officeDocument/2006/relationships/chart" Target="charts/chart56.xml"/><Relationship Id="rId19" Type="http://schemas.openxmlformats.org/officeDocument/2006/relationships/image" Target="media/image3.png"/><Relationship Id="rId14" Type="http://schemas.openxmlformats.org/officeDocument/2006/relationships/chart" Target="charts/chart1.xml"/><Relationship Id="rId30" Type="http://schemas.openxmlformats.org/officeDocument/2006/relationships/image" Target="media/image6.emf"/><Relationship Id="rId35" Type="http://schemas.openxmlformats.org/officeDocument/2006/relationships/chart" Target="charts/chart17.xml"/><Relationship Id="rId56" Type="http://schemas.openxmlformats.org/officeDocument/2006/relationships/image" Target="media/image10.png"/><Relationship Id="rId77" Type="http://schemas.openxmlformats.org/officeDocument/2006/relationships/chart" Target="charts/chart52.xml"/><Relationship Id="rId100" Type="http://schemas.openxmlformats.org/officeDocument/2006/relationships/image" Target="media/image24.png"/><Relationship Id="rId105" Type="http://schemas.openxmlformats.org/officeDocument/2006/relationships/image" Target="media/image29.png"/><Relationship Id="rId8" Type="http://schemas.openxmlformats.org/officeDocument/2006/relationships/header" Target="header1.xml"/><Relationship Id="rId51" Type="http://schemas.openxmlformats.org/officeDocument/2006/relationships/chart" Target="charts/chart31.xml"/><Relationship Id="rId72" Type="http://schemas.openxmlformats.org/officeDocument/2006/relationships/chart" Target="charts/chart47.xml"/><Relationship Id="rId93" Type="http://schemas.openxmlformats.org/officeDocument/2006/relationships/image" Target="media/image18.emf"/><Relationship Id="rId98" Type="http://schemas.openxmlformats.org/officeDocument/2006/relationships/image" Target="media/image22.png"/><Relationship Id="rId3" Type="http://schemas.openxmlformats.org/officeDocument/2006/relationships/styles" Target="styles.xml"/><Relationship Id="rId25" Type="http://schemas.openxmlformats.org/officeDocument/2006/relationships/chart" Target="charts/chart10.xml"/><Relationship Id="rId46" Type="http://schemas.openxmlformats.org/officeDocument/2006/relationships/chart" Target="charts/chart26.xml"/><Relationship Id="rId67" Type="http://schemas.openxmlformats.org/officeDocument/2006/relationships/chart" Target="charts/chart44.xml"/><Relationship Id="rId20" Type="http://schemas.openxmlformats.org/officeDocument/2006/relationships/chart" Target="charts/chart5.xml"/><Relationship Id="rId41" Type="http://schemas.openxmlformats.org/officeDocument/2006/relationships/chart" Target="charts/chart21.xml"/><Relationship Id="rId62" Type="http://schemas.openxmlformats.org/officeDocument/2006/relationships/chart" Target="charts/chart40.xml"/><Relationship Id="rId83" Type="http://schemas.openxmlformats.org/officeDocument/2006/relationships/chart" Target="charts/chart57.xml"/><Relationship Id="rId88" Type="http://schemas.openxmlformats.org/officeDocument/2006/relationships/chart" Target="charts/chart60.xml"/><Relationship Id="rId111"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Tables%20and%20Figur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WHACK\Limbo\SDGE\Statewide%20CPP\PY2017\Models\PGE\6_Report_Tables_Figures\PGE%20Report%20Tables%20and%20Figures.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WHACK\Limbo\SDGE\Statewide%20CPP\PY2017\Models\SCE\5_Report_Tables_Figures\SCE%20Report%20Tables%20and%20Figures.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WHACK\Limbo\SDGE\Statewide%20CPP\PY2017\Models\SCE\5_Report_Tables_Figures\SCE%20Report%20Tables%20and%20Figures.xlsx"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Tables%20and%20Figures.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Tables%20and%20Figures.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WHACK\Limbo\SDGE\Statewide%20CPP\PY2017\Models\PGE\6_Report_Tables_Figures\PGE%20Report%20Tables%20and%20Figures.xlsx" TargetMode="External"/></Relationships>
</file>

<file path=word/charts/_rels/chart16.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Tables%20and%20Figures.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Tables%20and%20Figures.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WHACK\Limbo\SDGE\Statewide%20CPP\PY2017\Models\PGE\6_Report_Tables_Figures\PGE%20Report%20Tables%20and%20Figures.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WHACK\Limbo\SDGE\Statewide%20CPP\PY2017\Models\PGE\6_Report_Tables_Figures\PGE%20Report%20Tables%20and%20Figures.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WHACK\Limbo\SDGE\Statewide%20CPP\PY2017\Models\PGE\6_Report_Tables_Figures\PGE%20Report%20Tables%20and%20Figures.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WHACK\Limbo\SDGE\Statewide%20CPP\PY2017\Models\PGE\6_Report_Tables_Figures\PGE%20Report%20Tables%20and%20Figures.xlsx" TargetMode="External"/></Relationships>
</file>

<file path=word/charts/_rels/chart22.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whack\Limbo\SDGE\Statewide%20CPP\PY2017\Models\PGE\Dan\New%20Customer%20Summary%20FIgures%20dgh.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whack\Limbo\SDGE\Statewide%20CPP\PY2017\Models\PGE\Dan\New%20Customer%20Summary%20FIgures%20dgh.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whack\Limbo\SDGE\Statewide%20CPP\PY2017\Models\PGE\Dan\New%20Customer%20Summary%20FIgures%20dgh.xlsx" TargetMode="External"/></Relationships>
</file>

<file path=word/charts/_rels/chart27.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27.xml"/><Relationship Id="rId1" Type="http://schemas.microsoft.com/office/2011/relationships/chartStyle" Target="style27.xml"/></Relationships>
</file>

<file path=word/charts/_rels/chart28.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28.xml"/><Relationship Id="rId1" Type="http://schemas.microsoft.com/office/2011/relationships/chartStyle" Target="style28.xml"/></Relationships>
</file>

<file path=word/charts/_rels/chart29.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29.xml"/><Relationship Id="rId1" Type="http://schemas.microsoft.com/office/2011/relationships/chartStyle" Target="style29.xml"/></Relationships>
</file>

<file path=word/charts/_rels/chart30.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0.xml"/><Relationship Id="rId1" Type="http://schemas.microsoft.com/office/2011/relationships/chartStyle" Target="style30.xml"/></Relationships>
</file>

<file path=word/charts/_rels/chart31.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1.xml"/><Relationship Id="rId1" Type="http://schemas.microsoft.com/office/2011/relationships/chartStyle" Target="style31.xml"/></Relationships>
</file>

<file path=word/charts/_rels/chart32.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2.xml"/><Relationship Id="rId1" Type="http://schemas.microsoft.com/office/2011/relationships/chartStyle" Target="style32.xml"/></Relationships>
</file>

<file path=word/charts/_rels/chart33.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3.xml"/><Relationship Id="rId1" Type="http://schemas.microsoft.com/office/2011/relationships/chartStyle" Target="style33.xml"/></Relationships>
</file>

<file path=word/charts/_rels/chart34.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4.xml"/><Relationship Id="rId1" Type="http://schemas.microsoft.com/office/2011/relationships/chartStyle" Target="style34.xml"/></Relationships>
</file>

<file path=word/charts/_rels/chart35.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5.xml"/><Relationship Id="rId1" Type="http://schemas.microsoft.com/office/2011/relationships/chartStyle" Target="style35.xml"/></Relationships>
</file>

<file path=word/charts/_rels/chart36.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6.xml"/><Relationship Id="rId1" Type="http://schemas.microsoft.com/office/2011/relationships/chartStyle" Target="style36.xml"/></Relationships>
</file>

<file path=word/charts/_rels/chart37.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7.xml"/><Relationship Id="rId1" Type="http://schemas.microsoft.com/office/2011/relationships/chartStyle" Target="style37.xml"/></Relationships>
</file>

<file path=word/charts/_rels/chart38.xml.rels><?xml version="1.0" encoding="UTF-8" standalone="yes"?>
<Relationships xmlns="http://schemas.openxmlformats.org/package/2006/relationships"><Relationship Id="rId3" Type="http://schemas.openxmlformats.org/officeDocument/2006/relationships/oleObject" Target="file:///\\whack\Limbo\SDGE\Statewide%20CPP\PY2017\Models\PGE\6_Report_Tables_Figures\PGE%20Report%20ExAnte%20Tables%20and%20Figures.xlsx" TargetMode="External"/><Relationship Id="rId2" Type="http://schemas.microsoft.com/office/2011/relationships/chartColorStyle" Target="colors38.xml"/><Relationship Id="rId1" Type="http://schemas.microsoft.com/office/2011/relationships/chartStyle" Target="style38.xm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39.xml"/><Relationship Id="rId1" Type="http://schemas.microsoft.com/office/2011/relationships/chartStyle" Target="style39.xml"/><Relationship Id="rId4" Type="http://schemas.openxmlformats.org/officeDocument/2006/relationships/oleObject" Target="file:///\\WHACK\Limbo\SDGE\Statewide%20CPP\PY2017\Models\SCE\5_Report_Tables_Figures\SCE%20Report%20Tables%20and%20Figures.xlsx" TargetMode="External"/></Relationships>
</file>

<file path=word/charts/_rels/chart40.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Tables%20and%20Figures.xlsx" TargetMode="External"/><Relationship Id="rId2" Type="http://schemas.microsoft.com/office/2011/relationships/chartColorStyle" Target="colors40.xml"/><Relationship Id="rId1" Type="http://schemas.microsoft.com/office/2011/relationships/chartStyle" Target="style40.xml"/></Relationships>
</file>

<file path=word/charts/_rels/chart41.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41.xml"/><Relationship Id="rId1" Type="http://schemas.microsoft.com/office/2011/relationships/chartStyle" Target="style41.xml"/></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oleObject" Target="file:///\\whack\Limbo\SDGE\Statewide%20CPP\PY2017\Models\SCE\5_Report_Tables_Figures\SCE%20Report%20Tables%20and%20Figures.xlsx" TargetMode="External"/></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43.xml"/><Relationship Id="rId1" Type="http://schemas.microsoft.com/office/2011/relationships/chartStyle" Target="style43.xml"/><Relationship Id="rId4" Type="http://schemas.openxmlformats.org/officeDocument/2006/relationships/oleObject" Target="file:///\\WHACK\Limbo\SDGE\Statewide%20CPP\PY2017\Models\SCE\5_Report_Tables_Figures\SCE%20Report%20Tables%20and%20Figures.xlsx" TargetMode="External"/></Relationships>
</file>

<file path=word/charts/_rels/chart44.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Tables%20and%20Figures.xlsx" TargetMode="External"/><Relationship Id="rId2" Type="http://schemas.microsoft.com/office/2011/relationships/chartColorStyle" Target="colors44.xml"/><Relationship Id="rId1" Type="http://schemas.microsoft.com/office/2011/relationships/chartStyle" Target="style44.xml"/></Relationships>
</file>

<file path=word/charts/_rels/chart45.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Tables%20and%20Figures.xlsx" TargetMode="External"/><Relationship Id="rId2" Type="http://schemas.microsoft.com/office/2011/relationships/chartColorStyle" Target="colors45.xml"/><Relationship Id="rId1" Type="http://schemas.microsoft.com/office/2011/relationships/chartStyle" Target="style45.xml"/></Relationships>
</file>

<file path=word/charts/_rels/chart46.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46.xml"/><Relationship Id="rId1" Type="http://schemas.microsoft.com/office/2011/relationships/chartStyle" Target="style46.xml"/></Relationships>
</file>

<file path=word/charts/_rels/chart47.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47.xml"/><Relationship Id="rId1" Type="http://schemas.microsoft.com/office/2011/relationships/chartStyle" Target="style47.xml"/><Relationship Id="rId4" Type="http://schemas.openxmlformats.org/officeDocument/2006/relationships/oleObject" Target="file:///\\whack\Limbo\SDGE\Statewide%20CPP\PY2017\Models\SCE\5_Report_Tables_Figures\SCE%20Report%20Tables%20and%20Figures.xlsx" TargetMode="External"/></Relationships>
</file>

<file path=word/charts/_rels/chart48.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48.xml"/><Relationship Id="rId1" Type="http://schemas.microsoft.com/office/2011/relationships/chartStyle" Target="style48.xml"/></Relationships>
</file>

<file path=word/charts/_rels/chart49.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49.xml"/><Relationship Id="rId1" Type="http://schemas.microsoft.com/office/2011/relationships/chartStyle" Target="style49.xml"/></Relationships>
</file>

<file path=word/charts/_rels/chart50.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50.xml"/><Relationship Id="rId1" Type="http://schemas.microsoft.com/office/2011/relationships/chartStyle" Target="style50.xml"/></Relationships>
</file>

<file path=word/charts/_rels/chart51.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51.xml"/><Relationship Id="rId1" Type="http://schemas.microsoft.com/office/2011/relationships/chartStyle" Target="style51.xml"/></Relationships>
</file>

<file path=word/charts/_rels/chart52.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52.xml"/><Relationship Id="rId1" Type="http://schemas.microsoft.com/office/2011/relationships/chartStyle" Target="style52.xml"/></Relationships>
</file>

<file path=word/charts/_rels/chart53.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3.xml"/><Relationship Id="rId1" Type="http://schemas.microsoft.com/office/2011/relationships/chartStyle" Target="style53.xml"/></Relationships>
</file>

<file path=word/charts/_rels/chart54.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4.xml"/><Relationship Id="rId1" Type="http://schemas.microsoft.com/office/2011/relationships/chartStyle" Target="style54.xml"/></Relationships>
</file>

<file path=word/charts/_rels/chart55.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5.xml"/><Relationship Id="rId1" Type="http://schemas.microsoft.com/office/2011/relationships/chartStyle" Target="style55.xml"/></Relationships>
</file>

<file path=word/charts/_rels/chart56.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6.xml"/><Relationship Id="rId1" Type="http://schemas.microsoft.com/office/2011/relationships/chartStyle" Target="style56.xml"/></Relationships>
</file>

<file path=word/charts/_rels/chart57.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7.xml"/><Relationship Id="rId1" Type="http://schemas.microsoft.com/office/2011/relationships/chartStyle" Target="style57.xml"/></Relationships>
</file>

<file path=word/charts/_rels/chart58.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8.xml"/><Relationship Id="rId1" Type="http://schemas.microsoft.com/office/2011/relationships/chartStyle" Target="style58.xml"/></Relationships>
</file>

<file path=word/charts/_rels/chart59.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59.xml"/><Relationship Id="rId1" Type="http://schemas.microsoft.com/office/2011/relationships/chartStyle" Target="style59.xml"/></Relationships>
</file>

<file path=word/charts/_rels/chart60.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60.xml"/><Relationship Id="rId1" Type="http://schemas.microsoft.com/office/2011/relationships/chartStyle" Target="style60.xml"/></Relationships>
</file>

<file path=word/charts/_rels/chart61.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61.xml"/><Relationship Id="rId1" Type="http://schemas.microsoft.com/office/2011/relationships/chartStyle" Target="style61.xml"/></Relationships>
</file>

<file path=word/charts/_rels/chart62.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62.xml"/><Relationship Id="rId1" Type="http://schemas.microsoft.com/office/2011/relationships/chartStyle" Target="style62.xml"/></Relationships>
</file>

<file path=word/charts/_rels/chart63.xml.rels><?xml version="1.0" encoding="UTF-8" standalone="yes"?>
<Relationships xmlns="http://schemas.openxmlformats.org/package/2006/relationships"><Relationship Id="rId3" Type="http://schemas.openxmlformats.org/officeDocument/2006/relationships/oleObject" Target="file:///\\WHACK\Limbo\SDGE\Statewide%20CPP\PY2017\Models\SCE\5_Report_Tables_Figures\SCE%20Report%20ExAnte%20Tables%20and%20Figures.xlsx" TargetMode="External"/><Relationship Id="rId2" Type="http://schemas.microsoft.com/office/2011/relationships/chartColorStyle" Target="colors63.xml"/><Relationship Id="rId1" Type="http://schemas.microsoft.com/office/2011/relationships/chartStyle" Target="style63.xml"/></Relationships>
</file>

<file path=word/charts/_rels/chart64.xml.rels><?xml version="1.0" encoding="UTF-8" standalone="yes"?>
<Relationships xmlns="http://schemas.openxmlformats.org/package/2006/relationships"><Relationship Id="rId3" Type="http://schemas.openxmlformats.org/officeDocument/2006/relationships/oleObject" Target="file:///\\WHACK\Limbo\SDGE\Statewide%20CPP\PY2017\Report\BlackBox.xlsx" TargetMode="External"/><Relationship Id="rId2" Type="http://schemas.microsoft.com/office/2011/relationships/chartColorStyle" Target="colors64.xml"/><Relationship Id="rId1" Type="http://schemas.microsoft.com/office/2011/relationships/chartStyle" Target="style6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'Main LIs'!$N$142</c:f>
              <c:strCache>
                <c:ptCount val="1"/>
                <c:pt idx="0">
                  <c:v>Load Impact</c:v>
                </c:pt>
              </c:strCache>
            </c:strRef>
          </c:tx>
          <c:spPr>
            <a:solidFill>
              <a:srgbClr val="0C2577"/>
            </a:solidFill>
            <a:ln>
              <a:noFill/>
            </a:ln>
            <a:effectLst/>
          </c:spPr>
          <c:invertIfNegative val="0"/>
          <c:errBars>
            <c:errBarType val="both"/>
            <c:errValType val="cust"/>
            <c:noEndCap val="0"/>
            <c:plus>
              <c:numRef>
                <c:f>'Main LIs'!$P$143:$P$157</c:f>
                <c:numCache>
                  <c:formatCode>General</c:formatCode>
                  <c:ptCount val="15"/>
                  <c:pt idx="0">
                    <c:v>7.1936469999999986</c:v>
                  </c:pt>
                  <c:pt idx="1">
                    <c:v>8.7491880000000002</c:v>
                  </c:pt>
                  <c:pt idx="2">
                    <c:v>7.4446510000000004</c:v>
                  </c:pt>
                  <c:pt idx="3">
                    <c:v>8.2045159999999981</c:v>
                  </c:pt>
                  <c:pt idx="4">
                    <c:v>7.6365490000000023</c:v>
                  </c:pt>
                  <c:pt idx="5">
                    <c:v>7.4112529999999985</c:v>
                  </c:pt>
                  <c:pt idx="6">
                    <c:v>7.3619219999999999</c:v>
                  </c:pt>
                  <c:pt idx="7">
                    <c:v>6.7163200000000014</c:v>
                  </c:pt>
                  <c:pt idx="8">
                    <c:v>7.3813749999999985</c:v>
                  </c:pt>
                  <c:pt idx="9">
                    <c:v>7.4953540000000025</c:v>
                  </c:pt>
                  <c:pt idx="10">
                    <c:v>8.549787000000002</c:v>
                  </c:pt>
                  <c:pt idx="11">
                    <c:v>6.8395370000000018</c:v>
                  </c:pt>
                  <c:pt idx="12">
                    <c:v>7.9207329999999985</c:v>
                  </c:pt>
                  <c:pt idx="13">
                    <c:v>8.1723689999999962</c:v>
                  </c:pt>
                  <c:pt idx="14">
                    <c:v>9.3237909999999999</c:v>
                  </c:pt>
                </c:numCache>
              </c:numRef>
            </c:plus>
            <c:minus>
              <c:numRef>
                <c:f>'Main LIs'!$P$143:$P$157</c:f>
                <c:numCache>
                  <c:formatCode>General</c:formatCode>
                  <c:ptCount val="15"/>
                  <c:pt idx="0">
                    <c:v>7.1936469999999986</c:v>
                  </c:pt>
                  <c:pt idx="1">
                    <c:v>8.7491880000000002</c:v>
                  </c:pt>
                  <c:pt idx="2">
                    <c:v>7.4446510000000004</c:v>
                  </c:pt>
                  <c:pt idx="3">
                    <c:v>8.2045159999999981</c:v>
                  </c:pt>
                  <c:pt idx="4">
                    <c:v>7.6365490000000023</c:v>
                  </c:pt>
                  <c:pt idx="5">
                    <c:v>7.4112529999999985</c:v>
                  </c:pt>
                  <c:pt idx="6">
                    <c:v>7.3619219999999999</c:v>
                  </c:pt>
                  <c:pt idx="7">
                    <c:v>6.7163200000000014</c:v>
                  </c:pt>
                  <c:pt idx="8">
                    <c:v>7.3813749999999985</c:v>
                  </c:pt>
                  <c:pt idx="9">
                    <c:v>7.4953540000000025</c:v>
                  </c:pt>
                  <c:pt idx="10">
                    <c:v>8.549787000000002</c:v>
                  </c:pt>
                  <c:pt idx="11">
                    <c:v>6.8395370000000018</c:v>
                  </c:pt>
                  <c:pt idx="12">
                    <c:v>7.9207329999999985</c:v>
                  </c:pt>
                  <c:pt idx="13">
                    <c:v>8.1723689999999962</c:v>
                  </c:pt>
                  <c:pt idx="14">
                    <c:v>9.3237909999999999</c:v>
                  </c:pt>
                </c:numCache>
              </c:numRef>
            </c:minus>
            <c:spPr>
              <a:noFill/>
              <a:ln w="25400" cap="flat" cmpd="sng" algn="ctr">
                <a:solidFill>
                  <a:srgbClr val="92D050"/>
                </a:solidFill>
                <a:round/>
              </a:ln>
              <a:effectLst/>
            </c:spPr>
          </c:errBars>
          <c:cat>
            <c:numRef>
              <c:f>'Main LIs'!$M$143:$M$157</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LIs'!$N$143:$N$157</c:f>
              <c:numCache>
                <c:formatCode>#,##0.0</c:formatCode>
                <c:ptCount val="15"/>
                <c:pt idx="0">
                  <c:v>26.811014</c:v>
                </c:pt>
                <c:pt idx="1">
                  <c:v>20.930028</c:v>
                </c:pt>
                <c:pt idx="2">
                  <c:v>23.848457</c:v>
                </c:pt>
                <c:pt idx="3">
                  <c:v>27.718744999999998</c:v>
                </c:pt>
                <c:pt idx="4">
                  <c:v>25.418331999999999</c:v>
                </c:pt>
                <c:pt idx="5">
                  <c:v>27.867180999999999</c:v>
                </c:pt>
                <c:pt idx="6">
                  <c:v>23.376895000000001</c:v>
                </c:pt>
                <c:pt idx="7">
                  <c:v>12.686831</c:v>
                </c:pt>
                <c:pt idx="8">
                  <c:v>20.841595000000002</c:v>
                </c:pt>
                <c:pt idx="9">
                  <c:v>20.118832999999999</c:v>
                </c:pt>
                <c:pt idx="10">
                  <c:v>18.322846999999999</c:v>
                </c:pt>
                <c:pt idx="11">
                  <c:v>11.798133999999999</c:v>
                </c:pt>
                <c:pt idx="12">
                  <c:v>22.214365000000001</c:v>
                </c:pt>
                <c:pt idx="13">
                  <c:v>33.626370000000001</c:v>
                </c:pt>
                <c:pt idx="14">
                  <c:v>20.577546000000002</c:v>
                </c:pt>
              </c:numCache>
            </c:numRef>
          </c:val>
          <c:extLst>
            <c:ext xmlns:c16="http://schemas.microsoft.com/office/drawing/2014/chart" uri="{C3380CC4-5D6E-409C-BE32-E72D297353CC}">
              <c16:uniqueId val="{00000000-CF8D-4738-A438-B3428D06F2AC}"/>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LIs'!$O$142</c:f>
              <c:strCache>
                <c:ptCount val="1"/>
                <c:pt idx="0">
                  <c:v>Event Temp.</c:v>
                </c:pt>
              </c:strCache>
            </c:strRef>
          </c:tx>
          <c:spPr>
            <a:ln w="28575" cap="rnd">
              <a:solidFill>
                <a:schemeClr val="accent2"/>
              </a:solidFill>
              <a:round/>
            </a:ln>
            <a:effectLst/>
          </c:spPr>
          <c:marker>
            <c:symbol val="none"/>
          </c:marker>
          <c:cat>
            <c:numRef>
              <c:f>'Main LIs'!$M$143:$M$157</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LIs'!$O$143:$O$157</c:f>
              <c:numCache>
                <c:formatCode>0.0</c:formatCode>
                <c:ptCount val="15"/>
                <c:pt idx="0">
                  <c:v>87.191199999999995</c:v>
                </c:pt>
                <c:pt idx="1">
                  <c:v>92.940126000000006</c:v>
                </c:pt>
                <c:pt idx="2">
                  <c:v>90.544392999999999</c:v>
                </c:pt>
                <c:pt idx="3">
                  <c:v>93.344196999999994</c:v>
                </c:pt>
                <c:pt idx="4">
                  <c:v>87.163318000000004</c:v>
                </c:pt>
                <c:pt idx="5">
                  <c:v>93.532004999999998</c:v>
                </c:pt>
                <c:pt idx="6">
                  <c:v>89.380115000000004</c:v>
                </c:pt>
                <c:pt idx="7">
                  <c:v>87.277782999999999</c:v>
                </c:pt>
                <c:pt idx="8">
                  <c:v>90.672409000000002</c:v>
                </c:pt>
                <c:pt idx="9">
                  <c:v>91.903085000000004</c:v>
                </c:pt>
                <c:pt idx="10">
                  <c:v>93.101051999999996</c:v>
                </c:pt>
                <c:pt idx="11">
                  <c:v>87.573238000000003</c:v>
                </c:pt>
                <c:pt idx="12">
                  <c:v>94.236035000000001</c:v>
                </c:pt>
                <c:pt idx="13">
                  <c:v>102.8366</c:v>
                </c:pt>
                <c:pt idx="14">
                  <c:v>104.01775000000001</c:v>
                </c:pt>
              </c:numCache>
            </c:numRef>
          </c:val>
          <c:smooth val="0"/>
          <c:extLst>
            <c:ext xmlns:c16="http://schemas.microsoft.com/office/drawing/2014/chart" uri="{C3380CC4-5D6E-409C-BE32-E72D297353CC}">
              <c16:uniqueId val="{00000001-CF8D-4738-A438-B3428D06F2AC}"/>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Average Event-hour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10"/>
      </c:valAx>
      <c:valAx>
        <c:axId val="955389087"/>
        <c:scaling>
          <c:orientation val="minMax"/>
          <c:min val="6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Average Event-hour Temperature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'Main LIs'!$N$125</c:f>
              <c:strCache>
                <c:ptCount val="1"/>
                <c:pt idx="0">
                  <c:v>Load Impact</c:v>
                </c:pt>
              </c:strCache>
            </c:strRef>
          </c:tx>
          <c:spPr>
            <a:solidFill>
              <a:srgbClr val="0C2577"/>
            </a:solidFill>
            <a:ln>
              <a:noFill/>
            </a:ln>
            <a:effectLst/>
          </c:spPr>
          <c:invertIfNegative val="0"/>
          <c:errBars>
            <c:errBarType val="both"/>
            <c:errValType val="cust"/>
            <c:noEndCap val="0"/>
            <c:plus>
              <c:numRef>
                <c:f>'Main LIs'!$P$126:$P$140</c:f>
                <c:numCache>
                  <c:formatCode>General</c:formatCode>
                  <c:ptCount val="15"/>
                  <c:pt idx="0">
                    <c:v>2.1183359999999993</c:v>
                  </c:pt>
                  <c:pt idx="1">
                    <c:v>2.4377700000000004</c:v>
                  </c:pt>
                  <c:pt idx="2">
                    <c:v>2.2324570000000001</c:v>
                  </c:pt>
                  <c:pt idx="3">
                    <c:v>2.279557999999998</c:v>
                  </c:pt>
                  <c:pt idx="4">
                    <c:v>1.9957190000000002</c:v>
                  </c:pt>
                  <c:pt idx="5">
                    <c:v>2.1128729999999987</c:v>
                  </c:pt>
                  <c:pt idx="6">
                    <c:v>1.8960599</c:v>
                  </c:pt>
                  <c:pt idx="7">
                    <c:v>1.9821749999999998</c:v>
                  </c:pt>
                  <c:pt idx="8">
                    <c:v>2.0961219999999994</c:v>
                  </c:pt>
                  <c:pt idx="9">
                    <c:v>2.2984387000000002</c:v>
                  </c:pt>
                  <c:pt idx="10">
                    <c:v>2.6190899999999999</c:v>
                  </c:pt>
                  <c:pt idx="11">
                    <c:v>2.3330166999999999</c:v>
                  </c:pt>
                  <c:pt idx="12">
                    <c:v>2.6114669999999993</c:v>
                  </c:pt>
                  <c:pt idx="13">
                    <c:v>3.0964530000000003</c:v>
                  </c:pt>
                  <c:pt idx="14">
                    <c:v>3.3066264999999997</c:v>
                  </c:pt>
                </c:numCache>
              </c:numRef>
            </c:plus>
            <c:minus>
              <c:numRef>
                <c:f>'Main LIs'!$P$126:$P$140</c:f>
                <c:numCache>
                  <c:formatCode>General</c:formatCode>
                  <c:ptCount val="15"/>
                  <c:pt idx="0">
                    <c:v>2.1183359999999993</c:v>
                  </c:pt>
                  <c:pt idx="1">
                    <c:v>2.4377700000000004</c:v>
                  </c:pt>
                  <c:pt idx="2">
                    <c:v>2.2324570000000001</c:v>
                  </c:pt>
                  <c:pt idx="3">
                    <c:v>2.279557999999998</c:v>
                  </c:pt>
                  <c:pt idx="4">
                    <c:v>1.9957190000000002</c:v>
                  </c:pt>
                  <c:pt idx="5">
                    <c:v>2.1128729999999987</c:v>
                  </c:pt>
                  <c:pt idx="6">
                    <c:v>1.8960599</c:v>
                  </c:pt>
                  <c:pt idx="7">
                    <c:v>1.9821749999999998</c:v>
                  </c:pt>
                  <c:pt idx="8">
                    <c:v>2.0961219999999994</c:v>
                  </c:pt>
                  <c:pt idx="9">
                    <c:v>2.2984387000000002</c:v>
                  </c:pt>
                  <c:pt idx="10">
                    <c:v>2.6190899999999999</c:v>
                  </c:pt>
                  <c:pt idx="11">
                    <c:v>2.3330166999999999</c:v>
                  </c:pt>
                  <c:pt idx="12">
                    <c:v>2.6114669999999993</c:v>
                  </c:pt>
                  <c:pt idx="13">
                    <c:v>3.0964530000000003</c:v>
                  </c:pt>
                  <c:pt idx="14">
                    <c:v>3.3066264999999997</c:v>
                  </c:pt>
                </c:numCache>
              </c:numRef>
            </c:minus>
            <c:spPr>
              <a:noFill/>
              <a:ln w="25400" cap="flat" cmpd="sng" algn="ctr">
                <a:solidFill>
                  <a:srgbClr val="92D050"/>
                </a:solidFill>
                <a:round/>
              </a:ln>
              <a:effectLst/>
            </c:spPr>
          </c:errBars>
          <c:cat>
            <c:numRef>
              <c:f>'Main LIs'!$M$126:$M$140</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LIs'!$N$126:$N$140</c:f>
              <c:numCache>
                <c:formatCode>#,##0.0</c:formatCode>
                <c:ptCount val="15"/>
                <c:pt idx="0">
                  <c:v>11.322307</c:v>
                </c:pt>
                <c:pt idx="1">
                  <c:v>28.442720999999999</c:v>
                </c:pt>
                <c:pt idx="2">
                  <c:v>22.968827999999998</c:v>
                </c:pt>
                <c:pt idx="3">
                  <c:v>26.873322000000002</c:v>
                </c:pt>
                <c:pt idx="4">
                  <c:v>4.3308783999999996</c:v>
                </c:pt>
                <c:pt idx="5">
                  <c:v>14.074826</c:v>
                </c:pt>
                <c:pt idx="6">
                  <c:v>4.7210992000000003</c:v>
                </c:pt>
                <c:pt idx="7">
                  <c:v>12.666691999999999</c:v>
                </c:pt>
                <c:pt idx="8">
                  <c:v>12.271335000000001</c:v>
                </c:pt>
                <c:pt idx="9">
                  <c:v>6.0586450000000003</c:v>
                </c:pt>
                <c:pt idx="10">
                  <c:v>25.470293000000002</c:v>
                </c:pt>
                <c:pt idx="11">
                  <c:v>8.1348283000000006</c:v>
                </c:pt>
                <c:pt idx="12">
                  <c:v>12.878551</c:v>
                </c:pt>
                <c:pt idx="13">
                  <c:v>30.158266000000001</c:v>
                </c:pt>
                <c:pt idx="14">
                  <c:v>3.9774867999999999</c:v>
                </c:pt>
              </c:numCache>
            </c:numRef>
          </c:val>
          <c:extLst>
            <c:ext xmlns:c16="http://schemas.microsoft.com/office/drawing/2014/chart" uri="{C3380CC4-5D6E-409C-BE32-E72D297353CC}">
              <c16:uniqueId val="{00000000-8FC8-4DA1-A300-015C82C9E643}"/>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LIs'!$O$125</c:f>
              <c:strCache>
                <c:ptCount val="1"/>
                <c:pt idx="0">
                  <c:v>Event Temp.</c:v>
                </c:pt>
              </c:strCache>
            </c:strRef>
          </c:tx>
          <c:spPr>
            <a:ln w="28575" cap="rnd">
              <a:solidFill>
                <a:schemeClr val="accent2"/>
              </a:solidFill>
              <a:round/>
            </a:ln>
            <a:effectLst/>
          </c:spPr>
          <c:marker>
            <c:symbol val="none"/>
          </c:marker>
          <c:cat>
            <c:numRef>
              <c:f>'Main LIs'!$M$126:$M$140</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LIs'!$O$126:$O$140</c:f>
              <c:numCache>
                <c:formatCode>0.0</c:formatCode>
                <c:ptCount val="15"/>
                <c:pt idx="0">
                  <c:v>88.914670999999998</c:v>
                </c:pt>
                <c:pt idx="1">
                  <c:v>95.451134999999994</c:v>
                </c:pt>
                <c:pt idx="2">
                  <c:v>93.423596000000003</c:v>
                </c:pt>
                <c:pt idx="3">
                  <c:v>95.782424000000006</c:v>
                </c:pt>
                <c:pt idx="4">
                  <c:v>89.883961999999997</c:v>
                </c:pt>
                <c:pt idx="5">
                  <c:v>95.958950999999999</c:v>
                </c:pt>
                <c:pt idx="6">
                  <c:v>91.497716999999994</c:v>
                </c:pt>
                <c:pt idx="7">
                  <c:v>89.578584000000006</c:v>
                </c:pt>
                <c:pt idx="8">
                  <c:v>93.132722999999999</c:v>
                </c:pt>
                <c:pt idx="9">
                  <c:v>93.155371000000002</c:v>
                </c:pt>
                <c:pt idx="10">
                  <c:v>95.822584000000006</c:v>
                </c:pt>
                <c:pt idx="11">
                  <c:v>89.838292999999993</c:v>
                </c:pt>
                <c:pt idx="12">
                  <c:v>95.086029999999994</c:v>
                </c:pt>
                <c:pt idx="13">
                  <c:v>103.22582</c:v>
                </c:pt>
                <c:pt idx="14">
                  <c:v>104.32988</c:v>
                </c:pt>
              </c:numCache>
            </c:numRef>
          </c:val>
          <c:smooth val="0"/>
          <c:extLst>
            <c:ext xmlns:c16="http://schemas.microsoft.com/office/drawing/2014/chart" uri="{C3380CC4-5D6E-409C-BE32-E72D297353CC}">
              <c16:uniqueId val="{00000001-8FC8-4DA1-A300-015C82C9E643}"/>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10"/>
      </c:valAx>
      <c:valAx>
        <c:axId val="955389087"/>
        <c:scaling>
          <c:orientation val="minMax"/>
          <c:min val="7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 Temperature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'Main LIs'!$N$113</c:f>
              <c:strCache>
                <c:ptCount val="1"/>
                <c:pt idx="0">
                  <c:v>Load Impact</c:v>
                </c:pt>
              </c:strCache>
            </c:strRef>
          </c:tx>
          <c:spPr>
            <a:solidFill>
              <a:srgbClr val="0C2577"/>
            </a:solidFill>
            <a:ln>
              <a:noFill/>
            </a:ln>
            <a:effectLst/>
          </c:spPr>
          <c:invertIfNegative val="0"/>
          <c:errBars>
            <c:errBarType val="both"/>
            <c:errValType val="cust"/>
            <c:noEndCap val="0"/>
            <c:plus>
              <c:numRef>
                <c:f>'Main LIs'!$P$114:$P$125</c:f>
                <c:numCache>
                  <c:formatCode>General</c:formatCode>
                  <c:ptCount val="12"/>
                  <c:pt idx="0">
                    <c:v>5.0500420000000013</c:v>
                  </c:pt>
                  <c:pt idx="1">
                    <c:v>5.2291500000000006</c:v>
                  </c:pt>
                  <c:pt idx="2">
                    <c:v>5.5304879999999983</c:v>
                  </c:pt>
                  <c:pt idx="3">
                    <c:v>4.9479229999999994</c:v>
                  </c:pt>
                  <c:pt idx="4">
                    <c:v>3.8928390000000004</c:v>
                  </c:pt>
                  <c:pt idx="5">
                    <c:v>4.5957380000000008</c:v>
                  </c:pt>
                  <c:pt idx="6">
                    <c:v>4.3541889999999981</c:v>
                  </c:pt>
                  <c:pt idx="7">
                    <c:v>5.2526030000000006</c:v>
                  </c:pt>
                  <c:pt idx="8">
                    <c:v>5.1043919999999972</c:v>
                  </c:pt>
                  <c:pt idx="9">
                    <c:v>5.3182849999999995</c:v>
                  </c:pt>
                  <c:pt idx="10">
                    <c:v>4.8700149999999987</c:v>
                  </c:pt>
                  <c:pt idx="11">
                    <c:v>4.8135890000000003</c:v>
                  </c:pt>
                </c:numCache>
              </c:numRef>
            </c:plus>
            <c:minus>
              <c:numRef>
                <c:f>'Main LIs'!$P$114:$P$125</c:f>
                <c:numCache>
                  <c:formatCode>General</c:formatCode>
                  <c:ptCount val="12"/>
                  <c:pt idx="0">
                    <c:v>5.0500420000000013</c:v>
                  </c:pt>
                  <c:pt idx="1">
                    <c:v>5.2291500000000006</c:v>
                  </c:pt>
                  <c:pt idx="2">
                    <c:v>5.5304879999999983</c:v>
                  </c:pt>
                  <c:pt idx="3">
                    <c:v>4.9479229999999994</c:v>
                  </c:pt>
                  <c:pt idx="4">
                    <c:v>3.8928390000000004</c:v>
                  </c:pt>
                  <c:pt idx="5">
                    <c:v>4.5957380000000008</c:v>
                  </c:pt>
                  <c:pt idx="6">
                    <c:v>4.3541889999999981</c:v>
                  </c:pt>
                  <c:pt idx="7">
                    <c:v>5.2526030000000006</c:v>
                  </c:pt>
                  <c:pt idx="8">
                    <c:v>5.1043919999999972</c:v>
                  </c:pt>
                  <c:pt idx="9">
                    <c:v>5.3182849999999995</c:v>
                  </c:pt>
                  <c:pt idx="10">
                    <c:v>4.8700149999999987</c:v>
                  </c:pt>
                  <c:pt idx="11">
                    <c:v>4.8135890000000003</c:v>
                  </c:pt>
                </c:numCache>
              </c:numRef>
            </c:minus>
            <c:spPr>
              <a:noFill/>
              <a:ln w="25400" cap="flat" cmpd="sng" algn="ctr">
                <a:solidFill>
                  <a:srgbClr val="92D050"/>
                </a:solidFill>
                <a:round/>
              </a:ln>
              <a:effectLst/>
            </c:spPr>
          </c:errBars>
          <c:cat>
            <c:numRef>
              <c:f>'Main LIs'!$M$114:$M$125</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LIs'!$N$114:$N$125</c:f>
              <c:numCache>
                <c:formatCode>0.0</c:formatCode>
                <c:ptCount val="12"/>
                <c:pt idx="0">
                  <c:v>21.566223999999998</c:v>
                </c:pt>
                <c:pt idx="1">
                  <c:v>18.884461999999999</c:v>
                </c:pt>
                <c:pt idx="2">
                  <c:v>24.67314</c:v>
                </c:pt>
                <c:pt idx="3">
                  <c:v>24.096035000000001</c:v>
                </c:pt>
                <c:pt idx="4">
                  <c:v>15.886397000000001</c:v>
                </c:pt>
                <c:pt idx="5">
                  <c:v>16.199556999999999</c:v>
                </c:pt>
                <c:pt idx="6">
                  <c:v>22.110569000000002</c:v>
                </c:pt>
                <c:pt idx="7">
                  <c:v>25.672986999999999</c:v>
                </c:pt>
                <c:pt idx="8">
                  <c:v>29.441642000000002</c:v>
                </c:pt>
                <c:pt idx="9">
                  <c:v>23.971250999999999</c:v>
                </c:pt>
                <c:pt idx="10">
                  <c:v>18.348476000000002</c:v>
                </c:pt>
                <c:pt idx="11">
                  <c:v>22.468909</c:v>
                </c:pt>
              </c:numCache>
            </c:numRef>
          </c:val>
          <c:extLst>
            <c:ext xmlns:c16="http://schemas.microsoft.com/office/drawing/2014/chart" uri="{C3380CC4-5D6E-409C-BE32-E72D297353CC}">
              <c16:uniqueId val="{00000000-B8CD-40B2-86C8-0B3D696FA30A}"/>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LIs'!$O$113</c:f>
              <c:strCache>
                <c:ptCount val="1"/>
                <c:pt idx="0">
                  <c:v>Event Temp.</c:v>
                </c:pt>
              </c:strCache>
            </c:strRef>
          </c:tx>
          <c:spPr>
            <a:ln w="28575" cap="rnd">
              <a:solidFill>
                <a:schemeClr val="accent2"/>
              </a:solidFill>
              <a:round/>
            </a:ln>
            <a:effectLst/>
          </c:spPr>
          <c:marker>
            <c:symbol val="none"/>
          </c:marker>
          <c:cat>
            <c:numRef>
              <c:f>'Main LIs'!$M$114:$M$125</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LIs'!$O$114:$O$125</c:f>
              <c:numCache>
                <c:formatCode>0.0</c:formatCode>
                <c:ptCount val="12"/>
                <c:pt idx="0">
                  <c:v>88.184869000000006</c:v>
                </c:pt>
                <c:pt idx="1">
                  <c:v>90.506884999999997</c:v>
                </c:pt>
                <c:pt idx="2">
                  <c:v>90.458398000000003</c:v>
                </c:pt>
                <c:pt idx="3">
                  <c:v>95.157615000000007</c:v>
                </c:pt>
                <c:pt idx="4">
                  <c:v>87.283413999999993</c:v>
                </c:pt>
                <c:pt idx="5">
                  <c:v>86.408536999999995</c:v>
                </c:pt>
                <c:pt idx="6">
                  <c:v>89.873244</c:v>
                </c:pt>
                <c:pt idx="7">
                  <c:v>93.955011999999996</c:v>
                </c:pt>
                <c:pt idx="8">
                  <c:v>95.430462000000006</c:v>
                </c:pt>
                <c:pt idx="9">
                  <c:v>94.582657999999995</c:v>
                </c:pt>
                <c:pt idx="10">
                  <c:v>86.059227000000007</c:v>
                </c:pt>
                <c:pt idx="11">
                  <c:v>83.591031999999998</c:v>
                </c:pt>
              </c:numCache>
            </c:numRef>
          </c:val>
          <c:smooth val="0"/>
          <c:extLst>
            <c:ext xmlns:c16="http://schemas.microsoft.com/office/drawing/2014/chart" uri="{C3380CC4-5D6E-409C-BE32-E72D297353CC}">
              <c16:uniqueId val="{00000001-B8CD-40B2-86C8-0B3D696FA30A}"/>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a:t>
                </a:r>
                <a:r>
                  <a:rPr lang="en-US" baseline="0"/>
                  <a:t>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10"/>
      </c:valAx>
      <c:valAx>
        <c:axId val="955389087"/>
        <c:scaling>
          <c:orientation val="minMax"/>
          <c:min val="6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 Temperature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'Main LIs'!$N$156</c:f>
              <c:strCache>
                <c:ptCount val="1"/>
                <c:pt idx="0">
                  <c:v>Load Impact</c:v>
                </c:pt>
              </c:strCache>
            </c:strRef>
          </c:tx>
          <c:spPr>
            <a:solidFill>
              <a:srgbClr val="0C2577"/>
            </a:solidFill>
            <a:ln>
              <a:noFill/>
            </a:ln>
            <a:effectLst/>
          </c:spPr>
          <c:invertIfNegative val="0"/>
          <c:errBars>
            <c:errBarType val="both"/>
            <c:errValType val="cust"/>
            <c:noEndCap val="0"/>
            <c:plus>
              <c:numRef>
                <c:f>'Main LIs'!$P$157:$P$168</c:f>
                <c:numCache>
                  <c:formatCode>General</c:formatCode>
                  <c:ptCount val="12"/>
                  <c:pt idx="0">
                    <c:v>0.67686059999999992</c:v>
                  </c:pt>
                  <c:pt idx="1">
                    <c:v>0.66301720000000008</c:v>
                  </c:pt>
                  <c:pt idx="2">
                    <c:v>0.54607884000000007</c:v>
                  </c:pt>
                  <c:pt idx="3">
                    <c:v>0.63236643999999986</c:v>
                  </c:pt>
                  <c:pt idx="4">
                    <c:v>0.53732961000000001</c:v>
                  </c:pt>
                  <c:pt idx="5">
                    <c:v>0.55347945999999992</c:v>
                  </c:pt>
                  <c:pt idx="6">
                    <c:v>0.6287507</c:v>
                  </c:pt>
                  <c:pt idx="7">
                    <c:v>0.68432869000000007</c:v>
                  </c:pt>
                  <c:pt idx="8">
                    <c:v>0.69860147999999989</c:v>
                  </c:pt>
                  <c:pt idx="9">
                    <c:v>0.78748107000000001</c:v>
                  </c:pt>
                  <c:pt idx="10">
                    <c:v>0.69852979000000004</c:v>
                  </c:pt>
                  <c:pt idx="11">
                    <c:v>0.68363845999999995</c:v>
                  </c:pt>
                </c:numCache>
              </c:numRef>
            </c:plus>
            <c:minus>
              <c:numRef>
                <c:f>'Main LIs'!$P$157:$P$168</c:f>
                <c:numCache>
                  <c:formatCode>General</c:formatCode>
                  <c:ptCount val="12"/>
                  <c:pt idx="0">
                    <c:v>0.67686059999999992</c:v>
                  </c:pt>
                  <c:pt idx="1">
                    <c:v>0.66301720000000008</c:v>
                  </c:pt>
                  <c:pt idx="2">
                    <c:v>0.54607884000000007</c:v>
                  </c:pt>
                  <c:pt idx="3">
                    <c:v>0.63236643999999986</c:v>
                  </c:pt>
                  <c:pt idx="4">
                    <c:v>0.53732961000000001</c:v>
                  </c:pt>
                  <c:pt idx="5">
                    <c:v>0.55347945999999992</c:v>
                  </c:pt>
                  <c:pt idx="6">
                    <c:v>0.6287507</c:v>
                  </c:pt>
                  <c:pt idx="7">
                    <c:v>0.68432869000000007</c:v>
                  </c:pt>
                  <c:pt idx="8">
                    <c:v>0.69860147999999989</c:v>
                  </c:pt>
                  <c:pt idx="9">
                    <c:v>0.78748107000000001</c:v>
                  </c:pt>
                  <c:pt idx="10">
                    <c:v>0.69852979000000004</c:v>
                  </c:pt>
                  <c:pt idx="11">
                    <c:v>0.68363845999999995</c:v>
                  </c:pt>
                </c:numCache>
              </c:numRef>
            </c:minus>
            <c:spPr>
              <a:noFill/>
              <a:ln w="25400" cap="flat" cmpd="sng" algn="ctr">
                <a:solidFill>
                  <a:srgbClr val="92D050"/>
                </a:solidFill>
                <a:round/>
              </a:ln>
              <a:effectLst/>
            </c:spPr>
          </c:errBars>
          <c:cat>
            <c:numRef>
              <c:f>'Main LIs'!$M$157:$M$168</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LIs'!$N$157:$N$168</c:f>
              <c:numCache>
                <c:formatCode>0.0</c:formatCode>
                <c:ptCount val="12"/>
                <c:pt idx="0">
                  <c:v>1.1718170000000001</c:v>
                </c:pt>
                <c:pt idx="1">
                  <c:v>1.3710532</c:v>
                </c:pt>
                <c:pt idx="2">
                  <c:v>0.94403915999999999</c:v>
                </c:pt>
                <c:pt idx="3">
                  <c:v>0.91670006000000004</c:v>
                </c:pt>
                <c:pt idx="4">
                  <c:v>0.28424697999999998</c:v>
                </c:pt>
                <c:pt idx="5">
                  <c:v>0.71616323999999998</c:v>
                </c:pt>
                <c:pt idx="6">
                  <c:v>-0.27471234999999999</c:v>
                </c:pt>
                <c:pt idx="7">
                  <c:v>0.39833141</c:v>
                </c:pt>
                <c:pt idx="8">
                  <c:v>0.71981642000000001</c:v>
                </c:pt>
                <c:pt idx="9">
                  <c:v>-8.4319100000000008E-3</c:v>
                </c:pt>
                <c:pt idx="10">
                  <c:v>0.36679930999999999</c:v>
                </c:pt>
                <c:pt idx="11">
                  <c:v>0.83286724000000001</c:v>
                </c:pt>
              </c:numCache>
            </c:numRef>
          </c:val>
          <c:extLst>
            <c:ext xmlns:c16="http://schemas.microsoft.com/office/drawing/2014/chart" uri="{C3380CC4-5D6E-409C-BE32-E72D297353CC}">
              <c16:uniqueId val="{00000000-E086-4285-A5B5-F3B2FB5D09FB}"/>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LIs'!$O$156</c:f>
              <c:strCache>
                <c:ptCount val="1"/>
                <c:pt idx="0">
                  <c:v>Event Temp.</c:v>
                </c:pt>
              </c:strCache>
            </c:strRef>
          </c:tx>
          <c:spPr>
            <a:ln w="28575" cap="rnd">
              <a:solidFill>
                <a:schemeClr val="accent2"/>
              </a:solidFill>
              <a:round/>
            </a:ln>
            <a:effectLst/>
          </c:spPr>
          <c:marker>
            <c:symbol val="none"/>
          </c:marker>
          <c:cat>
            <c:numRef>
              <c:f>'Main LIs'!$M$157:$M$168</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LIs'!$O$157:$O$168</c:f>
              <c:numCache>
                <c:formatCode>0.0</c:formatCode>
                <c:ptCount val="12"/>
                <c:pt idx="0">
                  <c:v>87.258823000000007</c:v>
                </c:pt>
                <c:pt idx="1">
                  <c:v>89.404152999999994</c:v>
                </c:pt>
                <c:pt idx="2">
                  <c:v>89.250501</c:v>
                </c:pt>
                <c:pt idx="3">
                  <c:v>93.896721999999997</c:v>
                </c:pt>
                <c:pt idx="4">
                  <c:v>86.371285999999998</c:v>
                </c:pt>
                <c:pt idx="5">
                  <c:v>85.062008000000006</c:v>
                </c:pt>
                <c:pt idx="6">
                  <c:v>89.089457999999993</c:v>
                </c:pt>
                <c:pt idx="7">
                  <c:v>92.993140999999994</c:v>
                </c:pt>
                <c:pt idx="8">
                  <c:v>94.671446000000003</c:v>
                </c:pt>
                <c:pt idx="9">
                  <c:v>93.997653</c:v>
                </c:pt>
                <c:pt idx="10">
                  <c:v>85.615570000000005</c:v>
                </c:pt>
                <c:pt idx="11">
                  <c:v>81.784272999999999</c:v>
                </c:pt>
              </c:numCache>
            </c:numRef>
          </c:val>
          <c:smooth val="0"/>
          <c:extLst>
            <c:ext xmlns:c16="http://schemas.microsoft.com/office/drawing/2014/chart" uri="{C3380CC4-5D6E-409C-BE32-E72D297353CC}">
              <c16:uniqueId val="{00000001-E086-4285-A5B5-F3B2FB5D09FB}"/>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min val="-1.5"/>
        </c:scaling>
        <c:delete val="0"/>
        <c:axPos val="l"/>
        <c:majorGridlines>
          <c:spPr>
            <a:ln w="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a:t>
                </a:r>
                <a:r>
                  <a:rPr lang="en-US" baseline="0"/>
                  <a:t>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0.5"/>
      </c:valAx>
      <c:valAx>
        <c:axId val="955389087"/>
        <c:scaling>
          <c:orientation val="minMax"/>
          <c:min val="6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a:t>
                </a:r>
                <a:r>
                  <a:rPr lang="en-US" baseline="0"/>
                  <a:t> Event-hour Temperature</a:t>
                </a:r>
                <a:endParaRPr lang="en-US"/>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Data!$AE$41</c:f>
              <c:strCache>
                <c:ptCount val="1"/>
                <c:pt idx="0">
                  <c:v>Utility 1-in-10</c:v>
                </c:pt>
              </c:strCache>
            </c:strRef>
          </c:tx>
          <c:spPr>
            <a:solidFill>
              <a:schemeClr val="accent3"/>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Data!$AE$42:$AE$52</c:f>
              <c:numCache>
                <c:formatCode>0.0</c:formatCode>
                <c:ptCount val="11"/>
                <c:pt idx="0">
                  <c:v>26.341024000000001</c:v>
                </c:pt>
                <c:pt idx="1">
                  <c:v>30.064582999999999</c:v>
                </c:pt>
                <c:pt idx="2">
                  <c:v>40.85472</c:v>
                </c:pt>
                <c:pt idx="3">
                  <c:v>40.870922</c:v>
                </c:pt>
                <c:pt idx="4">
                  <c:v>40.887456999999998</c:v>
                </c:pt>
                <c:pt idx="5">
                  <c:v>40.904330000000002</c:v>
                </c:pt>
                <c:pt idx="6">
                  <c:v>40.921548999999999</c:v>
                </c:pt>
                <c:pt idx="7">
                  <c:v>40.939121</c:v>
                </c:pt>
                <c:pt idx="8">
                  <c:v>40.957053000000002</c:v>
                </c:pt>
                <c:pt idx="9">
                  <c:v>40.975352000000001</c:v>
                </c:pt>
                <c:pt idx="10">
                  <c:v>40.994027000000003</c:v>
                </c:pt>
              </c:numCache>
            </c:numRef>
          </c:val>
          <c:extLst>
            <c:ext xmlns:c16="http://schemas.microsoft.com/office/drawing/2014/chart" uri="{C3380CC4-5D6E-409C-BE32-E72D297353CC}">
              <c16:uniqueId val="{00000000-7B7B-4C83-8CAD-0E638561B353}"/>
            </c:ext>
          </c:extLst>
        </c:ser>
        <c:ser>
          <c:idx val="3"/>
          <c:order val="1"/>
          <c:tx>
            <c:strRef>
              <c:f>Data!$AF$41</c:f>
              <c:strCache>
                <c:ptCount val="1"/>
                <c:pt idx="0">
                  <c:v>Utility 1-in-2</c:v>
                </c:pt>
              </c:strCache>
            </c:strRef>
          </c:tx>
          <c:spPr>
            <a:solidFill>
              <a:schemeClr val="accent4"/>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Data!$AF$42:$AF$52</c:f>
              <c:numCache>
                <c:formatCode>0.0</c:formatCode>
                <c:ptCount val="11"/>
                <c:pt idx="0">
                  <c:v>26.002231999999999</c:v>
                </c:pt>
                <c:pt idx="1">
                  <c:v>29.574809999999999</c:v>
                </c:pt>
                <c:pt idx="2">
                  <c:v>39.865566000000001</c:v>
                </c:pt>
                <c:pt idx="3">
                  <c:v>39.881400999999997</c:v>
                </c:pt>
                <c:pt idx="4">
                  <c:v>39.897561000000003</c:v>
                </c:pt>
                <c:pt idx="5">
                  <c:v>39.914051000000001</c:v>
                </c:pt>
                <c:pt idx="6">
                  <c:v>39.930880000000002</c:v>
                </c:pt>
                <c:pt idx="7">
                  <c:v>39.948053999999999</c:v>
                </c:pt>
                <c:pt idx="8">
                  <c:v>39.965580000000003</c:v>
                </c:pt>
                <c:pt idx="9">
                  <c:v>39.983465000000002</c:v>
                </c:pt>
                <c:pt idx="10">
                  <c:v>40.001716000000002</c:v>
                </c:pt>
              </c:numCache>
            </c:numRef>
          </c:val>
          <c:extLst>
            <c:ext xmlns:c16="http://schemas.microsoft.com/office/drawing/2014/chart" uri="{C3380CC4-5D6E-409C-BE32-E72D297353CC}">
              <c16:uniqueId val="{00000001-7B7B-4C83-8CAD-0E638561B353}"/>
            </c:ext>
          </c:extLst>
        </c:ser>
        <c:ser>
          <c:idx val="4"/>
          <c:order val="2"/>
          <c:tx>
            <c:strRef>
              <c:f>Data!$AG$41</c:f>
              <c:strCache>
                <c:ptCount val="1"/>
                <c:pt idx="0">
                  <c:v>CAISO 1-in-10</c:v>
                </c:pt>
              </c:strCache>
            </c:strRef>
          </c:tx>
          <c:spPr>
            <a:solidFill>
              <a:schemeClr val="accent5"/>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Data!$AG$42:$AG$52</c:f>
              <c:numCache>
                <c:formatCode>0.0</c:formatCode>
                <c:ptCount val="11"/>
                <c:pt idx="0">
                  <c:v>26.064314</c:v>
                </c:pt>
                <c:pt idx="1">
                  <c:v>29.661004999999999</c:v>
                </c:pt>
                <c:pt idx="2">
                  <c:v>40.019983000000003</c:v>
                </c:pt>
                <c:pt idx="3">
                  <c:v>40.035929000000003</c:v>
                </c:pt>
                <c:pt idx="4">
                  <c:v>40.052200999999997</c:v>
                </c:pt>
                <c:pt idx="5">
                  <c:v>40.068807</c:v>
                </c:pt>
                <c:pt idx="6">
                  <c:v>40.085752999999997</c:v>
                </c:pt>
                <c:pt idx="7">
                  <c:v>40.103046999999997</c:v>
                </c:pt>
                <c:pt idx="8">
                  <c:v>40.120694999999998</c:v>
                </c:pt>
                <c:pt idx="9">
                  <c:v>40.138703999999997</c:v>
                </c:pt>
                <c:pt idx="10">
                  <c:v>40.157083</c:v>
                </c:pt>
              </c:numCache>
            </c:numRef>
          </c:val>
          <c:extLst>
            <c:ext xmlns:c16="http://schemas.microsoft.com/office/drawing/2014/chart" uri="{C3380CC4-5D6E-409C-BE32-E72D297353CC}">
              <c16:uniqueId val="{00000002-7B7B-4C83-8CAD-0E638561B353}"/>
            </c:ext>
          </c:extLst>
        </c:ser>
        <c:ser>
          <c:idx val="5"/>
          <c:order val="3"/>
          <c:tx>
            <c:strRef>
              <c:f>Data!$AH$41</c:f>
              <c:strCache>
                <c:ptCount val="1"/>
                <c:pt idx="0">
                  <c:v>CAISO 1-in-2</c:v>
                </c:pt>
              </c:strCache>
            </c:strRef>
          </c:tx>
          <c:spPr>
            <a:solidFill>
              <a:schemeClr val="accent2"/>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Data!$AH$42:$AH$52</c:f>
              <c:numCache>
                <c:formatCode>0.0</c:formatCode>
                <c:ptCount val="11"/>
                <c:pt idx="0">
                  <c:v>25.829232000000001</c:v>
                </c:pt>
                <c:pt idx="1">
                  <c:v>29.332982000000001</c:v>
                </c:pt>
                <c:pt idx="2">
                  <c:v>39.380913999999997</c:v>
                </c:pt>
                <c:pt idx="3">
                  <c:v>39.396554999999999</c:v>
                </c:pt>
                <c:pt idx="4">
                  <c:v>39.412515999999997</c:v>
                </c:pt>
                <c:pt idx="5">
                  <c:v>39.428804999999997</c:v>
                </c:pt>
                <c:pt idx="6">
                  <c:v>39.445428</c:v>
                </c:pt>
                <c:pt idx="7">
                  <c:v>39.462392000000001</c:v>
                </c:pt>
                <c:pt idx="8">
                  <c:v>39.479703000000001</c:v>
                </c:pt>
                <c:pt idx="9">
                  <c:v>39.497368999999999</c:v>
                </c:pt>
                <c:pt idx="10">
                  <c:v>39.515397</c:v>
                </c:pt>
              </c:numCache>
            </c:numRef>
          </c:val>
          <c:extLst>
            <c:ext xmlns:c16="http://schemas.microsoft.com/office/drawing/2014/chart" uri="{C3380CC4-5D6E-409C-BE32-E72D297353CC}">
              <c16:uniqueId val="{00000003-7B7B-4C83-8CAD-0E638561B353}"/>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(MWh/hour)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Data!$AE$28</c:f>
              <c:strCache>
                <c:ptCount val="1"/>
                <c:pt idx="0">
                  <c:v>Utility 1-in-10</c:v>
                </c:pt>
              </c:strCache>
            </c:strRef>
          </c:tx>
          <c:spPr>
            <a:solidFill>
              <a:schemeClr val="accent3"/>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Data!$AE$29:$AE$39</c:f>
              <c:numCache>
                <c:formatCode>0.0</c:formatCode>
                <c:ptCount val="11"/>
                <c:pt idx="0" formatCode="General">
                  <c:v>13.264158999999999</c:v>
                </c:pt>
                <c:pt idx="1">
                  <c:v>15.172086999999999</c:v>
                </c:pt>
                <c:pt idx="2">
                  <c:v>20.700174000000001</c:v>
                </c:pt>
                <c:pt idx="3">
                  <c:v>20.011968</c:v>
                </c:pt>
                <c:pt idx="4">
                  <c:v>21.04937</c:v>
                </c:pt>
                <c:pt idx="5">
                  <c:v>21.070036000000002</c:v>
                </c:pt>
                <c:pt idx="6">
                  <c:v>21.212996</c:v>
                </c:pt>
                <c:pt idx="7">
                  <c:v>21.361827999999999</c:v>
                </c:pt>
                <c:pt idx="8">
                  <c:v>21.513833999999999</c:v>
                </c:pt>
                <c:pt idx="9">
                  <c:v>21.665890999999998</c:v>
                </c:pt>
                <c:pt idx="10">
                  <c:v>21.811506999999999</c:v>
                </c:pt>
              </c:numCache>
            </c:numRef>
          </c:val>
          <c:extLst>
            <c:ext xmlns:c16="http://schemas.microsoft.com/office/drawing/2014/chart" uri="{C3380CC4-5D6E-409C-BE32-E72D297353CC}">
              <c16:uniqueId val="{00000000-6A40-4292-A11C-22669A02172C}"/>
            </c:ext>
          </c:extLst>
        </c:ser>
        <c:ser>
          <c:idx val="3"/>
          <c:order val="1"/>
          <c:tx>
            <c:strRef>
              <c:f>Data!$AF$28</c:f>
              <c:strCache>
                <c:ptCount val="1"/>
                <c:pt idx="0">
                  <c:v>Utility 1-in-2</c:v>
                </c:pt>
              </c:strCache>
            </c:strRef>
          </c:tx>
          <c:spPr>
            <a:solidFill>
              <a:schemeClr val="accent4"/>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Data!$AF$29:$AF$39</c:f>
              <c:numCache>
                <c:formatCode>0.0</c:formatCode>
                <c:ptCount val="11"/>
                <c:pt idx="0" formatCode="General">
                  <c:v>12.629829000000001</c:v>
                </c:pt>
                <c:pt idx="1">
                  <c:v>14.445384000000001</c:v>
                </c:pt>
                <c:pt idx="2">
                  <c:v>19.676832000000001</c:v>
                </c:pt>
                <c:pt idx="3">
                  <c:v>19.025604999999999</c:v>
                </c:pt>
                <c:pt idx="4">
                  <c:v>19.998325999999999</c:v>
                </c:pt>
                <c:pt idx="5">
                  <c:v>20.019501000000002</c:v>
                </c:pt>
                <c:pt idx="6">
                  <c:v>20.155097999999999</c:v>
                </c:pt>
                <c:pt idx="7">
                  <c:v>20.296261999999999</c:v>
                </c:pt>
                <c:pt idx="8">
                  <c:v>20.440438</c:v>
                </c:pt>
                <c:pt idx="9">
                  <c:v>20.584661000000001</c:v>
                </c:pt>
                <c:pt idx="10">
                  <c:v>20.722777000000001</c:v>
                </c:pt>
              </c:numCache>
            </c:numRef>
          </c:val>
          <c:extLst>
            <c:ext xmlns:c16="http://schemas.microsoft.com/office/drawing/2014/chart" uri="{C3380CC4-5D6E-409C-BE32-E72D297353CC}">
              <c16:uniqueId val="{00000001-6A40-4292-A11C-22669A02172C}"/>
            </c:ext>
          </c:extLst>
        </c:ser>
        <c:ser>
          <c:idx val="4"/>
          <c:order val="2"/>
          <c:tx>
            <c:strRef>
              <c:f>Data!$AG$28</c:f>
              <c:strCache>
                <c:ptCount val="1"/>
                <c:pt idx="0">
                  <c:v>CAISO 1-in-10</c:v>
                </c:pt>
              </c:strCache>
            </c:strRef>
          </c:tx>
          <c:spPr>
            <a:solidFill>
              <a:schemeClr val="accent5"/>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Data!$AG$29:$AG$39</c:f>
              <c:numCache>
                <c:formatCode>0.0</c:formatCode>
                <c:ptCount val="11"/>
                <c:pt idx="0" formatCode="General">
                  <c:v>12.762207999999999</c:v>
                </c:pt>
                <c:pt idx="1">
                  <c:v>14.597203</c:v>
                </c:pt>
                <c:pt idx="2">
                  <c:v>19.882740999999999</c:v>
                </c:pt>
                <c:pt idx="3">
                  <c:v>19.224720999999999</c:v>
                </c:pt>
                <c:pt idx="4">
                  <c:v>20.206921999999999</c:v>
                </c:pt>
                <c:pt idx="5">
                  <c:v>20.228342000000001</c:v>
                </c:pt>
                <c:pt idx="6">
                  <c:v>20.365293000000001</c:v>
                </c:pt>
                <c:pt idx="7">
                  <c:v>20.507867999999998</c:v>
                </c:pt>
                <c:pt idx="8">
                  <c:v>20.653485</c:v>
                </c:pt>
                <c:pt idx="9">
                  <c:v>20.799150000000001</c:v>
                </c:pt>
                <c:pt idx="10">
                  <c:v>20.938645999999999</c:v>
                </c:pt>
              </c:numCache>
            </c:numRef>
          </c:val>
          <c:extLst>
            <c:ext xmlns:c16="http://schemas.microsoft.com/office/drawing/2014/chart" uri="{C3380CC4-5D6E-409C-BE32-E72D297353CC}">
              <c16:uniqueId val="{00000002-6A40-4292-A11C-22669A02172C}"/>
            </c:ext>
          </c:extLst>
        </c:ser>
        <c:ser>
          <c:idx val="5"/>
          <c:order val="3"/>
          <c:tx>
            <c:strRef>
              <c:f>Data!$AH$28</c:f>
              <c:strCache>
                <c:ptCount val="1"/>
                <c:pt idx="0">
                  <c:v>CAISO 1-in-2</c:v>
                </c:pt>
              </c:strCache>
            </c:strRef>
          </c:tx>
          <c:spPr>
            <a:solidFill>
              <a:schemeClr val="accent2"/>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Data!$AH$29:$AH$39</c:f>
              <c:numCache>
                <c:formatCode>0.0</c:formatCode>
                <c:ptCount val="11"/>
                <c:pt idx="0" formatCode="General">
                  <c:v>12.223409999999999</c:v>
                </c:pt>
                <c:pt idx="1">
                  <c:v>13.984154999999999</c:v>
                </c:pt>
                <c:pt idx="2">
                  <c:v>19.046717000000001</c:v>
                </c:pt>
                <c:pt idx="3">
                  <c:v>18.416428</c:v>
                </c:pt>
                <c:pt idx="4">
                  <c:v>19.355471000000001</c:v>
                </c:pt>
                <c:pt idx="5">
                  <c:v>19.376273000000001</c:v>
                </c:pt>
                <c:pt idx="6">
                  <c:v>19.507484999999999</c:v>
                </c:pt>
                <c:pt idx="7">
                  <c:v>19.644085</c:v>
                </c:pt>
                <c:pt idx="8">
                  <c:v>19.7836</c:v>
                </c:pt>
                <c:pt idx="9">
                  <c:v>19.923159999999999</c:v>
                </c:pt>
                <c:pt idx="10">
                  <c:v>20.056809000000001</c:v>
                </c:pt>
              </c:numCache>
            </c:numRef>
          </c:val>
          <c:extLst>
            <c:ext xmlns:c16="http://schemas.microsoft.com/office/drawing/2014/chart" uri="{C3380CC4-5D6E-409C-BE32-E72D297353CC}">
              <c16:uniqueId val="{00000003-6A40-4292-A11C-22669A02172C}"/>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(MWh/hour)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Data!$AE$15</c:f>
              <c:strCache>
                <c:ptCount val="1"/>
                <c:pt idx="0">
                  <c:v>Utility 1-in-10</c:v>
                </c:pt>
              </c:strCache>
            </c:strRef>
          </c:tx>
          <c:spPr>
            <a:solidFill>
              <a:schemeClr val="accent3"/>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Data!$AE$16:$AE$26</c:f>
              <c:numCache>
                <c:formatCode>0.0</c:formatCode>
                <c:ptCount val="11"/>
                <c:pt idx="0">
                  <c:v>2.1745513000000001</c:v>
                </c:pt>
                <c:pt idx="1">
                  <c:v>2.4487103000000001</c:v>
                </c:pt>
                <c:pt idx="2">
                  <c:v>2.7861736000000001</c:v>
                </c:pt>
                <c:pt idx="3">
                  <c:v>2.7506306</c:v>
                </c:pt>
                <c:pt idx="4">
                  <c:v>2.6352376</c:v>
                </c:pt>
                <c:pt idx="5">
                  <c:v>2.6743964</c:v>
                </c:pt>
                <c:pt idx="6">
                  <c:v>2.6942191000000002</c:v>
                </c:pt>
                <c:pt idx="7">
                  <c:v>2.7148558999999999</c:v>
                </c:pt>
                <c:pt idx="8">
                  <c:v>2.7359328999999999</c:v>
                </c:pt>
                <c:pt idx="9">
                  <c:v>2.7570168000000002</c:v>
                </c:pt>
                <c:pt idx="10">
                  <c:v>2.7772079000000001</c:v>
                </c:pt>
              </c:numCache>
            </c:numRef>
          </c:val>
          <c:extLst>
            <c:ext xmlns:c16="http://schemas.microsoft.com/office/drawing/2014/chart" uri="{C3380CC4-5D6E-409C-BE32-E72D297353CC}">
              <c16:uniqueId val="{00000000-091F-45A1-8C66-3A05BFF2523D}"/>
            </c:ext>
          </c:extLst>
        </c:ser>
        <c:ser>
          <c:idx val="3"/>
          <c:order val="1"/>
          <c:tx>
            <c:strRef>
              <c:f>Data!$AF$15</c:f>
              <c:strCache>
                <c:ptCount val="1"/>
                <c:pt idx="0">
                  <c:v>Utility 1-in-2</c:v>
                </c:pt>
              </c:strCache>
            </c:strRef>
          </c:tx>
          <c:spPr>
            <a:solidFill>
              <a:schemeClr val="accent4"/>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Data!$AF$16:$AF$26</c:f>
              <c:numCache>
                <c:formatCode>0.0</c:formatCode>
                <c:ptCount val="11"/>
                <c:pt idx="0">
                  <c:v>2.0684757</c:v>
                </c:pt>
                <c:pt idx="1">
                  <c:v>2.3294168000000002</c:v>
                </c:pt>
                <c:pt idx="2">
                  <c:v>2.6584390999999998</c:v>
                </c:pt>
                <c:pt idx="3">
                  <c:v>2.6235686</c:v>
                </c:pt>
                <c:pt idx="4">
                  <c:v>2.5218541000000001</c:v>
                </c:pt>
                <c:pt idx="5">
                  <c:v>2.5580585999999998</c:v>
                </c:pt>
                <c:pt idx="6">
                  <c:v>2.5769856999999998</c:v>
                </c:pt>
                <c:pt idx="7">
                  <c:v>2.5966900000000002</c:v>
                </c:pt>
                <c:pt idx="8">
                  <c:v>2.6168148000000002</c:v>
                </c:pt>
                <c:pt idx="9">
                  <c:v>2.6369460999999998</c:v>
                </c:pt>
                <c:pt idx="10">
                  <c:v>2.6562248999999998</c:v>
                </c:pt>
              </c:numCache>
            </c:numRef>
          </c:val>
          <c:extLst>
            <c:ext xmlns:c16="http://schemas.microsoft.com/office/drawing/2014/chart" uri="{C3380CC4-5D6E-409C-BE32-E72D297353CC}">
              <c16:uniqueId val="{00000001-091F-45A1-8C66-3A05BFF2523D}"/>
            </c:ext>
          </c:extLst>
        </c:ser>
        <c:ser>
          <c:idx val="4"/>
          <c:order val="2"/>
          <c:tx>
            <c:strRef>
              <c:f>Data!$AG$15</c:f>
              <c:strCache>
                <c:ptCount val="1"/>
                <c:pt idx="0">
                  <c:v>CAISO 1-in-10</c:v>
                </c:pt>
              </c:strCache>
            </c:strRef>
          </c:tx>
          <c:spPr>
            <a:solidFill>
              <a:schemeClr val="accent5"/>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Data!$AG$16:$AG$26</c:f>
              <c:numCache>
                <c:formatCode>0.0</c:formatCode>
                <c:ptCount val="11"/>
                <c:pt idx="0">
                  <c:v>2.0999596</c:v>
                </c:pt>
                <c:pt idx="1">
                  <c:v>2.3648291000000001</c:v>
                </c:pt>
                <c:pt idx="2">
                  <c:v>2.6975663999999999</c:v>
                </c:pt>
                <c:pt idx="3">
                  <c:v>2.6623095000000001</c:v>
                </c:pt>
                <c:pt idx="4">
                  <c:v>2.5588153</c:v>
                </c:pt>
                <c:pt idx="5">
                  <c:v>2.5955560000000002</c:v>
                </c:pt>
                <c:pt idx="6">
                  <c:v>2.6147304999999998</c:v>
                </c:pt>
                <c:pt idx="7">
                  <c:v>2.6346923000000002</c:v>
                </c:pt>
                <c:pt idx="8">
                  <c:v>2.6550801000000002</c:v>
                </c:pt>
                <c:pt idx="9">
                  <c:v>2.6754745</c:v>
                </c:pt>
                <c:pt idx="10">
                  <c:v>2.6950052000000002</c:v>
                </c:pt>
              </c:numCache>
            </c:numRef>
          </c:val>
          <c:extLst>
            <c:ext xmlns:c16="http://schemas.microsoft.com/office/drawing/2014/chart" uri="{C3380CC4-5D6E-409C-BE32-E72D297353CC}">
              <c16:uniqueId val="{00000002-091F-45A1-8C66-3A05BFF2523D}"/>
            </c:ext>
          </c:extLst>
        </c:ser>
        <c:ser>
          <c:idx val="5"/>
          <c:order val="3"/>
          <c:tx>
            <c:strRef>
              <c:f>Data!$AH$15</c:f>
              <c:strCache>
                <c:ptCount val="1"/>
                <c:pt idx="0">
                  <c:v>CAISO 1-in-2</c:v>
                </c:pt>
              </c:strCache>
            </c:strRef>
          </c:tx>
          <c:spPr>
            <a:solidFill>
              <a:schemeClr val="accent2"/>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Data!$AH$16:$AH$26</c:f>
              <c:numCache>
                <c:formatCode>0.0</c:formatCode>
                <c:ptCount val="11"/>
                <c:pt idx="0">
                  <c:v>1.9849374</c:v>
                </c:pt>
                <c:pt idx="1">
                  <c:v>2.2356353000000002</c:v>
                </c:pt>
                <c:pt idx="2">
                  <c:v>2.5529128999999999</c:v>
                </c:pt>
                <c:pt idx="3">
                  <c:v>2.5192220000000001</c:v>
                </c:pt>
                <c:pt idx="4">
                  <c:v>2.4234049</c:v>
                </c:pt>
                <c:pt idx="5">
                  <c:v>2.4578894</c:v>
                </c:pt>
                <c:pt idx="6">
                  <c:v>2.4760458000000001</c:v>
                </c:pt>
                <c:pt idx="7">
                  <c:v>2.4949477999999998</c:v>
                </c:pt>
                <c:pt idx="8">
                  <c:v>2.5142530999999999</c:v>
                </c:pt>
                <c:pt idx="9">
                  <c:v>2.5335646999999999</c:v>
                </c:pt>
                <c:pt idx="10">
                  <c:v>2.5520583999999999</c:v>
                </c:pt>
              </c:numCache>
            </c:numRef>
          </c:val>
          <c:extLst>
            <c:ext xmlns:c16="http://schemas.microsoft.com/office/drawing/2014/chart" uri="{C3380CC4-5D6E-409C-BE32-E72D297353CC}">
              <c16:uniqueId val="{00000003-091F-45A1-8C66-3A05BFF2523D}"/>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(MWh/hour)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Data!$AD$41</c:f>
              <c:strCache>
                <c:ptCount val="1"/>
                <c:pt idx="0">
                  <c:v>Utility 1-in-10</c:v>
                </c:pt>
              </c:strCache>
            </c:strRef>
          </c:tx>
          <c:spPr>
            <a:solidFill>
              <a:schemeClr val="accent3"/>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Data!$AD$42:$AD$52</c:f>
              <c:numCache>
                <c:formatCode>0.0</c:formatCode>
                <c:ptCount val="11"/>
                <c:pt idx="0">
                  <c:v>26.872927000000001</c:v>
                </c:pt>
                <c:pt idx="1">
                  <c:v>26.940770000000001</c:v>
                </c:pt>
                <c:pt idx="2">
                  <c:v>27.008817000000001</c:v>
                </c:pt>
                <c:pt idx="3">
                  <c:v>27.077068000000001</c:v>
                </c:pt>
                <c:pt idx="4">
                  <c:v>27.145523000000001</c:v>
                </c:pt>
                <c:pt idx="5">
                  <c:v>27.214183999999999</c:v>
                </c:pt>
                <c:pt idx="6">
                  <c:v>27.283051</c:v>
                </c:pt>
                <c:pt idx="7">
                  <c:v>27.352124</c:v>
                </c:pt>
                <c:pt idx="8">
                  <c:v>27.421405</c:v>
                </c:pt>
                <c:pt idx="9">
                  <c:v>27.490894000000001</c:v>
                </c:pt>
                <c:pt idx="10">
                  <c:v>27.560590999999999</c:v>
                </c:pt>
              </c:numCache>
            </c:numRef>
          </c:val>
          <c:extLst>
            <c:ext xmlns:c16="http://schemas.microsoft.com/office/drawing/2014/chart" uri="{C3380CC4-5D6E-409C-BE32-E72D297353CC}">
              <c16:uniqueId val="{00000000-0DED-4B04-AC36-A7785A2E61FF}"/>
            </c:ext>
          </c:extLst>
        </c:ser>
        <c:ser>
          <c:idx val="3"/>
          <c:order val="1"/>
          <c:tx>
            <c:strRef>
              <c:f>Data!$AE$41</c:f>
              <c:strCache>
                <c:ptCount val="1"/>
                <c:pt idx="0">
                  <c:v>Utility 1-in-2</c:v>
                </c:pt>
              </c:strCache>
            </c:strRef>
          </c:tx>
          <c:spPr>
            <a:solidFill>
              <a:schemeClr val="accent4"/>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Data!$AE$42:$AE$52</c:f>
              <c:numCache>
                <c:formatCode>0.0</c:formatCode>
                <c:ptCount val="11"/>
                <c:pt idx="0">
                  <c:v>26.47099</c:v>
                </c:pt>
                <c:pt idx="1">
                  <c:v>26.537517999999999</c:v>
                </c:pt>
                <c:pt idx="2">
                  <c:v>26.604247000000001</c:v>
                </c:pt>
                <c:pt idx="3">
                  <c:v>26.671175000000002</c:v>
                </c:pt>
                <c:pt idx="4">
                  <c:v>26.738303999999999</c:v>
                </c:pt>
                <c:pt idx="5">
                  <c:v>26.805634999999999</c:v>
                </c:pt>
                <c:pt idx="6">
                  <c:v>26.873166999999999</c:v>
                </c:pt>
                <c:pt idx="7">
                  <c:v>26.940902999999999</c:v>
                </c:pt>
                <c:pt idx="8">
                  <c:v>27.008841</c:v>
                </c:pt>
                <c:pt idx="9">
                  <c:v>27.076982999999998</c:v>
                </c:pt>
                <c:pt idx="10">
                  <c:v>27.145330000000001</c:v>
                </c:pt>
              </c:numCache>
            </c:numRef>
          </c:val>
          <c:extLst>
            <c:ext xmlns:c16="http://schemas.microsoft.com/office/drawing/2014/chart" uri="{C3380CC4-5D6E-409C-BE32-E72D297353CC}">
              <c16:uniqueId val="{00000001-0DED-4B04-AC36-A7785A2E61FF}"/>
            </c:ext>
          </c:extLst>
        </c:ser>
        <c:ser>
          <c:idx val="4"/>
          <c:order val="2"/>
          <c:tx>
            <c:strRef>
              <c:f>Data!$AF$41</c:f>
              <c:strCache>
                <c:ptCount val="1"/>
                <c:pt idx="0">
                  <c:v>CAISO 1-in-10</c:v>
                </c:pt>
              </c:strCache>
            </c:strRef>
          </c:tx>
          <c:spPr>
            <a:solidFill>
              <a:schemeClr val="accent5"/>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Data!$AF$42:$AF$52</c:f>
              <c:numCache>
                <c:formatCode>0.0</c:formatCode>
                <c:ptCount val="11"/>
                <c:pt idx="0">
                  <c:v>26.864359</c:v>
                </c:pt>
                <c:pt idx="1">
                  <c:v>26.932188</c:v>
                </c:pt>
                <c:pt idx="2">
                  <c:v>27.000219999999999</c:v>
                </c:pt>
                <c:pt idx="3">
                  <c:v>27.068456999999999</c:v>
                </c:pt>
                <c:pt idx="4">
                  <c:v>27.136899</c:v>
                </c:pt>
                <c:pt idx="5">
                  <c:v>27.205545999999998</c:v>
                </c:pt>
                <c:pt idx="6">
                  <c:v>27.274398999999999</c:v>
                </c:pt>
                <c:pt idx="7">
                  <c:v>27.343457999999998</c:v>
                </c:pt>
                <c:pt idx="8">
                  <c:v>27.412724999999998</c:v>
                </c:pt>
                <c:pt idx="9">
                  <c:v>27.482199000000001</c:v>
                </c:pt>
                <c:pt idx="10">
                  <c:v>27.551881999999999</c:v>
                </c:pt>
              </c:numCache>
            </c:numRef>
          </c:val>
          <c:extLst>
            <c:ext xmlns:c16="http://schemas.microsoft.com/office/drawing/2014/chart" uri="{C3380CC4-5D6E-409C-BE32-E72D297353CC}">
              <c16:uniqueId val="{00000002-0DED-4B04-AC36-A7785A2E61FF}"/>
            </c:ext>
          </c:extLst>
        </c:ser>
        <c:ser>
          <c:idx val="5"/>
          <c:order val="3"/>
          <c:tx>
            <c:strRef>
              <c:f>Data!$AG$41</c:f>
              <c:strCache>
                <c:ptCount val="1"/>
                <c:pt idx="0">
                  <c:v>CAISO 1-in-2</c:v>
                </c:pt>
              </c:strCache>
            </c:strRef>
          </c:tx>
          <c:spPr>
            <a:solidFill>
              <a:schemeClr val="accent2"/>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Data!$AG$42:$AG$52</c:f>
              <c:numCache>
                <c:formatCode>0.0</c:formatCode>
                <c:ptCount val="11"/>
                <c:pt idx="0">
                  <c:v>26.573996999999999</c:v>
                </c:pt>
                <c:pt idx="1">
                  <c:v>26.640892999999998</c:v>
                </c:pt>
                <c:pt idx="2">
                  <c:v>26.707991</c:v>
                </c:pt>
                <c:pt idx="3">
                  <c:v>26.775289999999998</c:v>
                </c:pt>
                <c:pt idx="4">
                  <c:v>26.842790999999998</c:v>
                </c:pt>
                <c:pt idx="5">
                  <c:v>26.910494</c:v>
                </c:pt>
                <c:pt idx="6">
                  <c:v>26.978400000000001</c:v>
                </c:pt>
                <c:pt idx="7">
                  <c:v>27.046510000000001</c:v>
                </c:pt>
                <c:pt idx="8">
                  <c:v>27.114825</c:v>
                </c:pt>
                <c:pt idx="9">
                  <c:v>27.183344000000002</c:v>
                </c:pt>
                <c:pt idx="10">
                  <c:v>27.252068999999999</c:v>
                </c:pt>
              </c:numCache>
            </c:numRef>
          </c:val>
          <c:extLst>
            <c:ext xmlns:c16="http://schemas.microsoft.com/office/drawing/2014/chart" uri="{C3380CC4-5D6E-409C-BE32-E72D297353CC}">
              <c16:uniqueId val="{00000003-0DED-4B04-AC36-A7785A2E61FF}"/>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Data!$AD$28</c:f>
              <c:strCache>
                <c:ptCount val="1"/>
                <c:pt idx="0">
                  <c:v>Utility 1-in-10</c:v>
                </c:pt>
              </c:strCache>
            </c:strRef>
          </c:tx>
          <c:spPr>
            <a:solidFill>
              <a:schemeClr val="accent3"/>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Data!$AD$29:$AD$39</c:f>
              <c:numCache>
                <c:formatCode>0.0</c:formatCode>
                <c:ptCount val="11"/>
                <c:pt idx="0">
                  <c:v>0</c:v>
                </c:pt>
                <c:pt idx="1">
                  <c:v>10.487083</c:v>
                </c:pt>
                <c:pt idx="2">
                  <c:v>4.1948331000000003</c:v>
                </c:pt>
                <c:pt idx="3">
                  <c:v>4.1948331000000003</c:v>
                </c:pt>
                <c:pt idx="4">
                  <c:v>4.1948331000000003</c:v>
                </c:pt>
                <c:pt idx="5">
                  <c:v>4.1948331000000003</c:v>
                </c:pt>
                <c:pt idx="6">
                  <c:v>4.1948331000000003</c:v>
                </c:pt>
                <c:pt idx="7">
                  <c:v>4.1948331000000003</c:v>
                </c:pt>
                <c:pt idx="8">
                  <c:v>4.1948331000000003</c:v>
                </c:pt>
                <c:pt idx="9">
                  <c:v>4.1948331000000003</c:v>
                </c:pt>
                <c:pt idx="10">
                  <c:v>4.1948331000000003</c:v>
                </c:pt>
              </c:numCache>
            </c:numRef>
          </c:val>
          <c:extLst>
            <c:ext xmlns:c16="http://schemas.microsoft.com/office/drawing/2014/chart" uri="{C3380CC4-5D6E-409C-BE32-E72D297353CC}">
              <c16:uniqueId val="{00000000-E46E-4527-B68D-39B2CE310F0D}"/>
            </c:ext>
          </c:extLst>
        </c:ser>
        <c:ser>
          <c:idx val="3"/>
          <c:order val="1"/>
          <c:tx>
            <c:strRef>
              <c:f>Data!$AE$28</c:f>
              <c:strCache>
                <c:ptCount val="1"/>
                <c:pt idx="0">
                  <c:v>Utility 1-in-2</c:v>
                </c:pt>
              </c:strCache>
            </c:strRef>
          </c:tx>
          <c:spPr>
            <a:solidFill>
              <a:schemeClr val="accent4"/>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Data!$AE$29:$AE$39</c:f>
              <c:numCache>
                <c:formatCode>0.0</c:formatCode>
                <c:ptCount val="11"/>
                <c:pt idx="0">
                  <c:v>0</c:v>
                </c:pt>
                <c:pt idx="1">
                  <c:v>9.8648501999999993</c:v>
                </c:pt>
                <c:pt idx="2">
                  <c:v>3.9459401000000001</c:v>
                </c:pt>
                <c:pt idx="3">
                  <c:v>3.9459401000000001</c:v>
                </c:pt>
                <c:pt idx="4">
                  <c:v>3.9459401000000001</c:v>
                </c:pt>
                <c:pt idx="5">
                  <c:v>3.9459401000000001</c:v>
                </c:pt>
                <c:pt idx="6">
                  <c:v>3.9459401000000001</c:v>
                </c:pt>
                <c:pt idx="7">
                  <c:v>3.9459401000000001</c:v>
                </c:pt>
                <c:pt idx="8">
                  <c:v>3.9459401000000001</c:v>
                </c:pt>
                <c:pt idx="9">
                  <c:v>3.9459401000000001</c:v>
                </c:pt>
                <c:pt idx="10">
                  <c:v>3.9459401000000001</c:v>
                </c:pt>
              </c:numCache>
            </c:numRef>
          </c:val>
          <c:extLst>
            <c:ext xmlns:c16="http://schemas.microsoft.com/office/drawing/2014/chart" uri="{C3380CC4-5D6E-409C-BE32-E72D297353CC}">
              <c16:uniqueId val="{00000001-E46E-4527-B68D-39B2CE310F0D}"/>
            </c:ext>
          </c:extLst>
        </c:ser>
        <c:ser>
          <c:idx val="4"/>
          <c:order val="2"/>
          <c:tx>
            <c:strRef>
              <c:f>Data!$AF$28</c:f>
              <c:strCache>
                <c:ptCount val="1"/>
                <c:pt idx="0">
                  <c:v>CAISO 1-in-10</c:v>
                </c:pt>
              </c:strCache>
            </c:strRef>
          </c:tx>
          <c:spPr>
            <a:solidFill>
              <a:schemeClr val="accent5"/>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Data!$AF$29:$AF$39</c:f>
              <c:numCache>
                <c:formatCode>0.0</c:formatCode>
                <c:ptCount val="11"/>
                <c:pt idx="0">
                  <c:v>0</c:v>
                </c:pt>
                <c:pt idx="1">
                  <c:v>10.469322</c:v>
                </c:pt>
                <c:pt idx="2">
                  <c:v>4.1877288999999998</c:v>
                </c:pt>
                <c:pt idx="3">
                  <c:v>4.1877288999999998</c:v>
                </c:pt>
                <c:pt idx="4">
                  <c:v>4.1877288999999998</c:v>
                </c:pt>
                <c:pt idx="5">
                  <c:v>4.1877288999999998</c:v>
                </c:pt>
                <c:pt idx="6">
                  <c:v>4.1877288999999998</c:v>
                </c:pt>
                <c:pt idx="7">
                  <c:v>4.1877288999999998</c:v>
                </c:pt>
                <c:pt idx="8">
                  <c:v>4.1877288999999998</c:v>
                </c:pt>
                <c:pt idx="9">
                  <c:v>4.1877288999999998</c:v>
                </c:pt>
                <c:pt idx="10">
                  <c:v>4.1877288999999998</c:v>
                </c:pt>
              </c:numCache>
            </c:numRef>
          </c:val>
          <c:extLst>
            <c:ext xmlns:c16="http://schemas.microsoft.com/office/drawing/2014/chart" uri="{C3380CC4-5D6E-409C-BE32-E72D297353CC}">
              <c16:uniqueId val="{00000002-E46E-4527-B68D-39B2CE310F0D}"/>
            </c:ext>
          </c:extLst>
        </c:ser>
        <c:ser>
          <c:idx val="5"/>
          <c:order val="3"/>
          <c:tx>
            <c:strRef>
              <c:f>Data!$AG$28</c:f>
              <c:strCache>
                <c:ptCount val="1"/>
                <c:pt idx="0">
                  <c:v>CAISO 1-in-2</c:v>
                </c:pt>
              </c:strCache>
            </c:strRef>
          </c:tx>
          <c:spPr>
            <a:solidFill>
              <a:schemeClr val="accent2"/>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Data!$AG$29:$AG$39</c:f>
              <c:numCache>
                <c:formatCode>0.0</c:formatCode>
                <c:ptCount val="11"/>
                <c:pt idx="0">
                  <c:v>0</c:v>
                </c:pt>
                <c:pt idx="1">
                  <c:v>10.043555</c:v>
                </c:pt>
                <c:pt idx="2">
                  <c:v>4.0174219000000004</c:v>
                </c:pt>
                <c:pt idx="3">
                  <c:v>4.0174219000000004</c:v>
                </c:pt>
                <c:pt idx="4">
                  <c:v>4.0174219000000004</c:v>
                </c:pt>
                <c:pt idx="5">
                  <c:v>4.0174219000000004</c:v>
                </c:pt>
                <c:pt idx="6">
                  <c:v>4.0174219000000004</c:v>
                </c:pt>
                <c:pt idx="7">
                  <c:v>4.0174219000000004</c:v>
                </c:pt>
                <c:pt idx="8">
                  <c:v>4.0174219000000004</c:v>
                </c:pt>
                <c:pt idx="9">
                  <c:v>4.0174219000000004</c:v>
                </c:pt>
                <c:pt idx="10">
                  <c:v>4.0174219000000004</c:v>
                </c:pt>
              </c:numCache>
            </c:numRef>
          </c:val>
          <c:extLst>
            <c:ext xmlns:c16="http://schemas.microsoft.com/office/drawing/2014/chart" uri="{C3380CC4-5D6E-409C-BE32-E72D297353CC}">
              <c16:uniqueId val="{00000003-E46E-4527-B68D-39B2CE310F0D}"/>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At val="0"/>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Data!$AD$15</c:f>
              <c:strCache>
                <c:ptCount val="1"/>
                <c:pt idx="0">
                  <c:v>Utility 1-in-10</c:v>
                </c:pt>
              </c:strCache>
            </c:strRef>
          </c:tx>
          <c:spPr>
            <a:solidFill>
              <a:schemeClr val="accent3"/>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Data!$AD$16:$AD$26</c:f>
              <c:numCache>
                <c:formatCode>0.0</c:formatCode>
                <c:ptCount val="11"/>
                <c:pt idx="0">
                  <c:v>0</c:v>
                </c:pt>
                <c:pt idx="1">
                  <c:v>7.6328157000000001</c:v>
                </c:pt>
                <c:pt idx="2">
                  <c:v>3.0531263000000002</c:v>
                </c:pt>
                <c:pt idx="3">
                  <c:v>3.0531263000000002</c:v>
                </c:pt>
                <c:pt idx="4">
                  <c:v>3.0531263000000002</c:v>
                </c:pt>
                <c:pt idx="5">
                  <c:v>3.0531263000000002</c:v>
                </c:pt>
                <c:pt idx="6">
                  <c:v>3.0531263000000002</c:v>
                </c:pt>
                <c:pt idx="7">
                  <c:v>3.0531263000000002</c:v>
                </c:pt>
                <c:pt idx="8">
                  <c:v>3.0531263000000002</c:v>
                </c:pt>
                <c:pt idx="9">
                  <c:v>3.0531263000000002</c:v>
                </c:pt>
                <c:pt idx="10">
                  <c:v>3.0531263000000002</c:v>
                </c:pt>
              </c:numCache>
            </c:numRef>
          </c:val>
          <c:extLst>
            <c:ext xmlns:c16="http://schemas.microsoft.com/office/drawing/2014/chart" uri="{C3380CC4-5D6E-409C-BE32-E72D297353CC}">
              <c16:uniqueId val="{00000000-DF2D-4321-8ECB-C92DFFE8FC4E}"/>
            </c:ext>
          </c:extLst>
        </c:ser>
        <c:ser>
          <c:idx val="3"/>
          <c:order val="1"/>
          <c:tx>
            <c:strRef>
              <c:f>Data!$AE$15</c:f>
              <c:strCache>
                <c:ptCount val="1"/>
                <c:pt idx="0">
                  <c:v>Utility 1-in-2</c:v>
                </c:pt>
              </c:strCache>
            </c:strRef>
          </c:tx>
          <c:spPr>
            <a:solidFill>
              <a:schemeClr val="accent4"/>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Data!$AE$16:$AE$26</c:f>
              <c:numCache>
                <c:formatCode>0.0</c:formatCode>
                <c:ptCount val="11"/>
                <c:pt idx="0">
                  <c:v>0</c:v>
                </c:pt>
                <c:pt idx="1">
                  <c:v>7.0358771000000004</c:v>
                </c:pt>
                <c:pt idx="2">
                  <c:v>2.8143508000000002</c:v>
                </c:pt>
                <c:pt idx="3">
                  <c:v>2.8143508000000002</c:v>
                </c:pt>
                <c:pt idx="4">
                  <c:v>2.8143508000000002</c:v>
                </c:pt>
                <c:pt idx="5">
                  <c:v>2.8143508000000002</c:v>
                </c:pt>
                <c:pt idx="6">
                  <c:v>2.8143508000000002</c:v>
                </c:pt>
                <c:pt idx="7">
                  <c:v>2.8143508000000002</c:v>
                </c:pt>
                <c:pt idx="8">
                  <c:v>2.8143508000000002</c:v>
                </c:pt>
                <c:pt idx="9">
                  <c:v>2.8143508000000002</c:v>
                </c:pt>
                <c:pt idx="10">
                  <c:v>2.8143508000000002</c:v>
                </c:pt>
              </c:numCache>
            </c:numRef>
          </c:val>
          <c:extLst>
            <c:ext xmlns:c16="http://schemas.microsoft.com/office/drawing/2014/chart" uri="{C3380CC4-5D6E-409C-BE32-E72D297353CC}">
              <c16:uniqueId val="{00000001-DF2D-4321-8ECB-C92DFFE8FC4E}"/>
            </c:ext>
          </c:extLst>
        </c:ser>
        <c:ser>
          <c:idx val="4"/>
          <c:order val="2"/>
          <c:tx>
            <c:strRef>
              <c:f>Data!$AF$15</c:f>
              <c:strCache>
                <c:ptCount val="1"/>
                <c:pt idx="0">
                  <c:v>CAISO 1-in-10</c:v>
                </c:pt>
              </c:strCache>
            </c:strRef>
          </c:tx>
          <c:spPr>
            <a:solidFill>
              <a:schemeClr val="accent5"/>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Data!$AF$16:$AF$26</c:f>
              <c:numCache>
                <c:formatCode>0.0</c:formatCode>
                <c:ptCount val="11"/>
                <c:pt idx="0">
                  <c:v>0</c:v>
                </c:pt>
                <c:pt idx="1">
                  <c:v>7.6165552999999999</c:v>
                </c:pt>
                <c:pt idx="2">
                  <c:v>3.0466221</c:v>
                </c:pt>
                <c:pt idx="3">
                  <c:v>3.0466221</c:v>
                </c:pt>
                <c:pt idx="4">
                  <c:v>3.0466221</c:v>
                </c:pt>
                <c:pt idx="5">
                  <c:v>3.0466221</c:v>
                </c:pt>
                <c:pt idx="6">
                  <c:v>3.0466221</c:v>
                </c:pt>
                <c:pt idx="7">
                  <c:v>3.0466221</c:v>
                </c:pt>
                <c:pt idx="8">
                  <c:v>3.0466221</c:v>
                </c:pt>
                <c:pt idx="9">
                  <c:v>3.0466221</c:v>
                </c:pt>
                <c:pt idx="10">
                  <c:v>3.0466221</c:v>
                </c:pt>
              </c:numCache>
            </c:numRef>
          </c:val>
          <c:extLst>
            <c:ext xmlns:c16="http://schemas.microsoft.com/office/drawing/2014/chart" uri="{C3380CC4-5D6E-409C-BE32-E72D297353CC}">
              <c16:uniqueId val="{00000002-DF2D-4321-8ECB-C92DFFE8FC4E}"/>
            </c:ext>
          </c:extLst>
        </c:ser>
        <c:ser>
          <c:idx val="5"/>
          <c:order val="3"/>
          <c:tx>
            <c:strRef>
              <c:f>Data!$AG$15</c:f>
              <c:strCache>
                <c:ptCount val="1"/>
                <c:pt idx="0">
                  <c:v>CAISO 1-in-2</c:v>
                </c:pt>
              </c:strCache>
            </c:strRef>
          </c:tx>
          <c:spPr>
            <a:solidFill>
              <a:schemeClr val="accent2"/>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Data!$AG$16:$AG$26</c:f>
              <c:numCache>
                <c:formatCode>0.0</c:formatCode>
                <c:ptCount val="11"/>
                <c:pt idx="0">
                  <c:v>0</c:v>
                </c:pt>
                <c:pt idx="1">
                  <c:v>7.2061219999999997</c:v>
                </c:pt>
                <c:pt idx="2">
                  <c:v>2.8824488000000001</c:v>
                </c:pt>
                <c:pt idx="3">
                  <c:v>2.8824488000000001</c:v>
                </c:pt>
                <c:pt idx="4">
                  <c:v>2.8824488000000001</c:v>
                </c:pt>
                <c:pt idx="5">
                  <c:v>2.8824488000000001</c:v>
                </c:pt>
                <c:pt idx="6">
                  <c:v>2.8824488000000001</c:v>
                </c:pt>
                <c:pt idx="7">
                  <c:v>2.8824488000000001</c:v>
                </c:pt>
                <c:pt idx="8">
                  <c:v>2.8824488000000001</c:v>
                </c:pt>
                <c:pt idx="9">
                  <c:v>2.8824488000000001</c:v>
                </c:pt>
                <c:pt idx="10">
                  <c:v>2.8824488000000001</c:v>
                </c:pt>
              </c:numCache>
            </c:numRef>
          </c:val>
          <c:extLst>
            <c:ext xmlns:c16="http://schemas.microsoft.com/office/drawing/2014/chart" uri="{C3380CC4-5D6E-409C-BE32-E72D297353CC}">
              <c16:uniqueId val="{00000003-DF2D-4321-8ECB-C92DFFE8FC4E}"/>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a:t>
                </a:r>
                <a:r>
                  <a:rPr lang="en-US" baseline="0"/>
                  <a:t> Window</a:t>
                </a:r>
                <a:r>
                  <a:rPr lang="en-US"/>
                  <a:t>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'Main LIs'!$N$142</c:f>
              <c:strCache>
                <c:ptCount val="1"/>
                <c:pt idx="0">
                  <c:v>Load Impact</c:v>
                </c:pt>
              </c:strCache>
            </c:strRef>
          </c:tx>
          <c:spPr>
            <a:solidFill>
              <a:srgbClr val="0C2577"/>
            </a:solidFill>
            <a:ln>
              <a:noFill/>
            </a:ln>
            <a:effectLst/>
          </c:spPr>
          <c:invertIfNegative val="0"/>
          <c:errBars>
            <c:errBarType val="both"/>
            <c:errValType val="cust"/>
            <c:noEndCap val="0"/>
            <c:plus>
              <c:numRef>
                <c:f>'Main LIs'!$P$143:$P$157</c:f>
                <c:numCache>
                  <c:formatCode>General</c:formatCode>
                  <c:ptCount val="15"/>
                  <c:pt idx="0">
                    <c:v>7.1936469999999986</c:v>
                  </c:pt>
                  <c:pt idx="1">
                    <c:v>8.7491880000000002</c:v>
                  </c:pt>
                  <c:pt idx="2">
                    <c:v>7.4446510000000004</c:v>
                  </c:pt>
                  <c:pt idx="3">
                    <c:v>8.2045159999999981</c:v>
                  </c:pt>
                  <c:pt idx="4">
                    <c:v>7.6365490000000023</c:v>
                  </c:pt>
                  <c:pt idx="5">
                    <c:v>7.4112529999999985</c:v>
                  </c:pt>
                  <c:pt idx="6">
                    <c:v>7.3619219999999999</c:v>
                  </c:pt>
                  <c:pt idx="7">
                    <c:v>6.7163200000000014</c:v>
                  </c:pt>
                  <c:pt idx="8">
                    <c:v>7.3813749999999985</c:v>
                  </c:pt>
                  <c:pt idx="9">
                    <c:v>7.4953540000000025</c:v>
                  </c:pt>
                  <c:pt idx="10">
                    <c:v>8.549787000000002</c:v>
                  </c:pt>
                  <c:pt idx="11">
                    <c:v>6.8395370000000018</c:v>
                  </c:pt>
                  <c:pt idx="12">
                    <c:v>7.9207329999999985</c:v>
                  </c:pt>
                  <c:pt idx="13">
                    <c:v>8.1723689999999962</c:v>
                  </c:pt>
                  <c:pt idx="14">
                    <c:v>9.3237909999999999</c:v>
                  </c:pt>
                </c:numCache>
              </c:numRef>
            </c:plus>
            <c:minus>
              <c:numRef>
                <c:f>'Main LIs'!$P$143:$P$157</c:f>
                <c:numCache>
                  <c:formatCode>General</c:formatCode>
                  <c:ptCount val="15"/>
                  <c:pt idx="0">
                    <c:v>7.1936469999999986</c:v>
                  </c:pt>
                  <c:pt idx="1">
                    <c:v>8.7491880000000002</c:v>
                  </c:pt>
                  <c:pt idx="2">
                    <c:v>7.4446510000000004</c:v>
                  </c:pt>
                  <c:pt idx="3">
                    <c:v>8.2045159999999981</c:v>
                  </c:pt>
                  <c:pt idx="4">
                    <c:v>7.6365490000000023</c:v>
                  </c:pt>
                  <c:pt idx="5">
                    <c:v>7.4112529999999985</c:v>
                  </c:pt>
                  <c:pt idx="6">
                    <c:v>7.3619219999999999</c:v>
                  </c:pt>
                  <c:pt idx="7">
                    <c:v>6.7163200000000014</c:v>
                  </c:pt>
                  <c:pt idx="8">
                    <c:v>7.3813749999999985</c:v>
                  </c:pt>
                  <c:pt idx="9">
                    <c:v>7.4953540000000025</c:v>
                  </c:pt>
                  <c:pt idx="10">
                    <c:v>8.549787000000002</c:v>
                  </c:pt>
                  <c:pt idx="11">
                    <c:v>6.8395370000000018</c:v>
                  </c:pt>
                  <c:pt idx="12">
                    <c:v>7.9207329999999985</c:v>
                  </c:pt>
                  <c:pt idx="13">
                    <c:v>8.1723689999999962</c:v>
                  </c:pt>
                  <c:pt idx="14">
                    <c:v>9.3237909999999999</c:v>
                  </c:pt>
                </c:numCache>
              </c:numRef>
            </c:minus>
            <c:spPr>
              <a:noFill/>
              <a:ln w="25400" cap="flat" cmpd="sng" algn="ctr">
                <a:solidFill>
                  <a:srgbClr val="92D050"/>
                </a:solidFill>
                <a:round/>
              </a:ln>
              <a:effectLst/>
            </c:spPr>
          </c:errBars>
          <c:cat>
            <c:numRef>
              <c:f>'Main LIs'!$M$143:$M$157</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LIs'!$N$143:$N$157</c:f>
              <c:numCache>
                <c:formatCode>#,##0.0</c:formatCode>
                <c:ptCount val="15"/>
                <c:pt idx="0">
                  <c:v>26.811014</c:v>
                </c:pt>
                <c:pt idx="1">
                  <c:v>20.930028</c:v>
                </c:pt>
                <c:pt idx="2">
                  <c:v>23.848457</c:v>
                </c:pt>
                <c:pt idx="3">
                  <c:v>27.718744999999998</c:v>
                </c:pt>
                <c:pt idx="4">
                  <c:v>25.418331999999999</c:v>
                </c:pt>
                <c:pt idx="5">
                  <c:v>27.867180999999999</c:v>
                </c:pt>
                <c:pt idx="6">
                  <c:v>23.376895000000001</c:v>
                </c:pt>
                <c:pt idx="7">
                  <c:v>12.686831</c:v>
                </c:pt>
                <c:pt idx="8">
                  <c:v>20.841595000000002</c:v>
                </c:pt>
                <c:pt idx="9">
                  <c:v>20.118832999999999</c:v>
                </c:pt>
                <c:pt idx="10">
                  <c:v>18.322846999999999</c:v>
                </c:pt>
                <c:pt idx="11">
                  <c:v>11.798133999999999</c:v>
                </c:pt>
                <c:pt idx="12">
                  <c:v>22.214365000000001</c:v>
                </c:pt>
                <c:pt idx="13">
                  <c:v>33.626370000000001</c:v>
                </c:pt>
                <c:pt idx="14">
                  <c:v>20.577546000000002</c:v>
                </c:pt>
              </c:numCache>
            </c:numRef>
          </c:val>
          <c:extLst>
            <c:ext xmlns:c16="http://schemas.microsoft.com/office/drawing/2014/chart" uri="{C3380CC4-5D6E-409C-BE32-E72D297353CC}">
              <c16:uniqueId val="{00000000-CA5A-43CA-B4FB-080EADC575A4}"/>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LIs'!$O$142</c:f>
              <c:strCache>
                <c:ptCount val="1"/>
                <c:pt idx="0">
                  <c:v>Event Temp.</c:v>
                </c:pt>
              </c:strCache>
            </c:strRef>
          </c:tx>
          <c:spPr>
            <a:ln w="28575" cap="rnd">
              <a:solidFill>
                <a:schemeClr val="accent2"/>
              </a:solidFill>
              <a:round/>
            </a:ln>
            <a:effectLst/>
          </c:spPr>
          <c:marker>
            <c:symbol val="none"/>
          </c:marker>
          <c:cat>
            <c:numRef>
              <c:f>'Main LIs'!$M$143:$M$157</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LIs'!$O$143:$O$157</c:f>
              <c:numCache>
                <c:formatCode>0.0</c:formatCode>
                <c:ptCount val="15"/>
                <c:pt idx="0">
                  <c:v>87.191199999999995</c:v>
                </c:pt>
                <c:pt idx="1">
                  <c:v>92.940126000000006</c:v>
                </c:pt>
                <c:pt idx="2">
                  <c:v>90.544392999999999</c:v>
                </c:pt>
                <c:pt idx="3">
                  <c:v>93.344196999999994</c:v>
                </c:pt>
                <c:pt idx="4">
                  <c:v>87.163318000000004</c:v>
                </c:pt>
                <c:pt idx="5">
                  <c:v>93.532004999999998</c:v>
                </c:pt>
                <c:pt idx="6">
                  <c:v>89.380115000000004</c:v>
                </c:pt>
                <c:pt idx="7">
                  <c:v>87.277782999999999</c:v>
                </c:pt>
                <c:pt idx="8">
                  <c:v>90.672409000000002</c:v>
                </c:pt>
                <c:pt idx="9">
                  <c:v>91.903085000000004</c:v>
                </c:pt>
                <c:pt idx="10">
                  <c:v>93.101051999999996</c:v>
                </c:pt>
                <c:pt idx="11">
                  <c:v>87.573238000000003</c:v>
                </c:pt>
                <c:pt idx="12">
                  <c:v>94.236035000000001</c:v>
                </c:pt>
                <c:pt idx="13">
                  <c:v>102.8366</c:v>
                </c:pt>
                <c:pt idx="14">
                  <c:v>104.01775000000001</c:v>
                </c:pt>
              </c:numCache>
            </c:numRef>
          </c:val>
          <c:smooth val="0"/>
          <c:extLst>
            <c:ext xmlns:c16="http://schemas.microsoft.com/office/drawing/2014/chart" uri="{C3380CC4-5D6E-409C-BE32-E72D297353CC}">
              <c16:uniqueId val="{00000001-CA5A-43CA-B4FB-080EADC575A4}"/>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Average Event-hour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10"/>
      </c:valAx>
      <c:valAx>
        <c:axId val="955389087"/>
        <c:scaling>
          <c:orientation val="minMax"/>
          <c:min val="6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Average Event-hour Temperature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3"/>
          <c:order val="3"/>
          <c:tx>
            <c:strRef>
              <c:f>'Figure data'!$K$2</c:f>
              <c:strCache>
                <c:ptCount val="1"/>
                <c:pt idx="0">
                  <c:v>Event Hours</c:v>
                </c:pt>
              </c:strCache>
            </c:strRef>
          </c:tx>
          <c:spPr>
            <a:solidFill>
              <a:schemeClr val="accent5">
                <a:lumMod val="40000"/>
                <a:lumOff val="60000"/>
                <a:alpha val="50000"/>
              </a:schemeClr>
            </a:solidFill>
            <a:ln>
              <a:noFill/>
            </a:ln>
            <a:effectLst/>
          </c:spPr>
          <c:invertIfNegative val="0"/>
          <c:val>
            <c:numRef>
              <c:f>'Figure data'!$K$3:$K$26</c:f>
              <c:numCache>
                <c:formatCode>General</c:formatCode>
                <c:ptCount val="24"/>
                <c:pt idx="14" formatCode="#,##0">
                  <c:v>600</c:v>
                </c:pt>
                <c:pt idx="15" formatCode="#,##0">
                  <c:v>600</c:v>
                </c:pt>
                <c:pt idx="16" formatCode="#,##0">
                  <c:v>600</c:v>
                </c:pt>
                <c:pt idx="17" formatCode="#,##0">
                  <c:v>600</c:v>
                </c:pt>
              </c:numCache>
            </c:numRef>
          </c:val>
          <c:extLst>
            <c:ext xmlns:c16="http://schemas.microsoft.com/office/drawing/2014/chart" uri="{C3380CC4-5D6E-409C-BE32-E72D297353CC}">
              <c16:uniqueId val="{00000000-F5A5-40E3-9D2A-0AC4AF6882FB}"/>
            </c:ext>
          </c:extLst>
        </c:ser>
        <c:dLbls>
          <c:showLegendKey val="0"/>
          <c:showVal val="0"/>
          <c:showCatName val="0"/>
          <c:showSerName val="0"/>
          <c:showPercent val="0"/>
          <c:showBubbleSize val="0"/>
        </c:dLbls>
        <c:gapWidth val="0"/>
        <c:axId val="682637968"/>
        <c:axId val="522553360"/>
      </c:barChart>
      <c:lineChart>
        <c:grouping val="standard"/>
        <c:varyColors val="0"/>
        <c:ser>
          <c:idx val="0"/>
          <c:order val="0"/>
          <c:tx>
            <c:strRef>
              <c:f>'Figure data'!$H$2</c:f>
              <c:strCache>
                <c:ptCount val="1"/>
                <c:pt idx="0">
                  <c:v>Reference</c:v>
                </c:pt>
              </c:strCache>
            </c:strRef>
          </c:tx>
          <c:spPr>
            <a:ln w="38100" cap="rnd">
              <a:solidFill>
                <a:schemeClr val="accent1"/>
              </a:solidFill>
              <a:round/>
            </a:ln>
            <a:effectLst/>
          </c:spPr>
          <c:marker>
            <c:symbol val="none"/>
          </c:marker>
          <c:val>
            <c:numRef>
              <c:f>'Figure data'!$H$3:$H$26</c:f>
              <c:numCache>
                <c:formatCode>#,##0.0</c:formatCode>
                <c:ptCount val="24"/>
                <c:pt idx="0">
                  <c:v>387.14055000000002</c:v>
                </c:pt>
                <c:pt idx="1">
                  <c:v>378.23718000000002</c:v>
                </c:pt>
                <c:pt idx="2">
                  <c:v>375.29300999999998</c:v>
                </c:pt>
                <c:pt idx="3">
                  <c:v>380.75186000000002</c:v>
                </c:pt>
                <c:pt idx="4">
                  <c:v>397.02864</c:v>
                </c:pt>
                <c:pt idx="5">
                  <c:v>430.75436999999999</c:v>
                </c:pt>
                <c:pt idx="6">
                  <c:v>470.82700999999997</c:v>
                </c:pt>
                <c:pt idx="7">
                  <c:v>504.28273999999999</c:v>
                </c:pt>
                <c:pt idx="8">
                  <c:v>530.44024999999999</c:v>
                </c:pt>
                <c:pt idx="9">
                  <c:v>550.43600000000004</c:v>
                </c:pt>
                <c:pt idx="10">
                  <c:v>565.72553000000005</c:v>
                </c:pt>
                <c:pt idx="11">
                  <c:v>566.74797000000001</c:v>
                </c:pt>
                <c:pt idx="12">
                  <c:v>559.05479000000003</c:v>
                </c:pt>
                <c:pt idx="13">
                  <c:v>560.26689999999996</c:v>
                </c:pt>
                <c:pt idx="14">
                  <c:v>552.47626000000002</c:v>
                </c:pt>
                <c:pt idx="15">
                  <c:v>539.46267</c:v>
                </c:pt>
                <c:pt idx="16">
                  <c:v>522.31823999999995</c:v>
                </c:pt>
                <c:pt idx="17">
                  <c:v>499.78447999999997</c:v>
                </c:pt>
                <c:pt idx="18">
                  <c:v>476.85770000000002</c:v>
                </c:pt>
                <c:pt idx="19">
                  <c:v>467.34555</c:v>
                </c:pt>
                <c:pt idx="20">
                  <c:v>456.50801000000001</c:v>
                </c:pt>
                <c:pt idx="21">
                  <c:v>440.48656999999997</c:v>
                </c:pt>
                <c:pt idx="22">
                  <c:v>422.51292000000001</c:v>
                </c:pt>
                <c:pt idx="23">
                  <c:v>404.94896999999997</c:v>
                </c:pt>
              </c:numCache>
            </c:numRef>
          </c:val>
          <c:smooth val="0"/>
          <c:extLst>
            <c:ext xmlns:c16="http://schemas.microsoft.com/office/drawing/2014/chart" uri="{C3380CC4-5D6E-409C-BE32-E72D297353CC}">
              <c16:uniqueId val="{00000001-F5A5-40E3-9D2A-0AC4AF6882FB}"/>
            </c:ext>
          </c:extLst>
        </c:ser>
        <c:ser>
          <c:idx val="1"/>
          <c:order val="1"/>
          <c:tx>
            <c:strRef>
              <c:f>'Figure data'!$I$2</c:f>
              <c:strCache>
                <c:ptCount val="1"/>
                <c:pt idx="0">
                  <c:v>Observed</c:v>
                </c:pt>
              </c:strCache>
            </c:strRef>
          </c:tx>
          <c:spPr>
            <a:ln w="38100" cap="rnd">
              <a:solidFill>
                <a:schemeClr val="accent2"/>
              </a:solidFill>
              <a:prstDash val="dash"/>
              <a:round/>
            </a:ln>
            <a:effectLst/>
          </c:spPr>
          <c:marker>
            <c:symbol val="none"/>
          </c:marker>
          <c:val>
            <c:numRef>
              <c:f>'Figure data'!$I$3:$I$26</c:f>
              <c:numCache>
                <c:formatCode>#,##0.0</c:formatCode>
                <c:ptCount val="24"/>
                <c:pt idx="0">
                  <c:v>385.66215999999997</c:v>
                </c:pt>
                <c:pt idx="1">
                  <c:v>376.00891999999999</c:v>
                </c:pt>
                <c:pt idx="2">
                  <c:v>372.09597000000002</c:v>
                </c:pt>
                <c:pt idx="3">
                  <c:v>379.98489999999998</c:v>
                </c:pt>
                <c:pt idx="4">
                  <c:v>397.09890999999999</c:v>
                </c:pt>
                <c:pt idx="5">
                  <c:v>430.49394999999998</c:v>
                </c:pt>
                <c:pt idx="6">
                  <c:v>472.05058000000002</c:v>
                </c:pt>
                <c:pt idx="7">
                  <c:v>508.21062000000001</c:v>
                </c:pt>
                <c:pt idx="8">
                  <c:v>531.90300000000002</c:v>
                </c:pt>
                <c:pt idx="9">
                  <c:v>551.68749000000003</c:v>
                </c:pt>
                <c:pt idx="10">
                  <c:v>566.88792999999998</c:v>
                </c:pt>
                <c:pt idx="11">
                  <c:v>565.56728999999996</c:v>
                </c:pt>
                <c:pt idx="12">
                  <c:v>556.92474000000004</c:v>
                </c:pt>
                <c:pt idx="13">
                  <c:v>551.44804999999997</c:v>
                </c:pt>
                <c:pt idx="14">
                  <c:v>531.05768999999998</c:v>
                </c:pt>
                <c:pt idx="15">
                  <c:v>516.59411</c:v>
                </c:pt>
                <c:pt idx="16">
                  <c:v>498.70749999999998</c:v>
                </c:pt>
                <c:pt idx="17">
                  <c:v>478.04043999999999</c:v>
                </c:pt>
                <c:pt idx="18">
                  <c:v>468.90145000000001</c:v>
                </c:pt>
                <c:pt idx="19">
                  <c:v>466.48002000000002</c:v>
                </c:pt>
                <c:pt idx="20">
                  <c:v>457.05732999999998</c:v>
                </c:pt>
                <c:pt idx="21">
                  <c:v>440.83078</c:v>
                </c:pt>
                <c:pt idx="22">
                  <c:v>423.74173000000002</c:v>
                </c:pt>
                <c:pt idx="23">
                  <c:v>406.95296999999999</c:v>
                </c:pt>
              </c:numCache>
            </c:numRef>
          </c:val>
          <c:smooth val="0"/>
          <c:extLst>
            <c:ext xmlns:c16="http://schemas.microsoft.com/office/drawing/2014/chart" uri="{C3380CC4-5D6E-409C-BE32-E72D297353CC}">
              <c16:uniqueId val="{00000002-F5A5-40E3-9D2A-0AC4AF6882FB}"/>
            </c:ext>
          </c:extLst>
        </c:ser>
        <c:dLbls>
          <c:showLegendKey val="0"/>
          <c:showVal val="0"/>
          <c:showCatName val="0"/>
          <c:showSerName val="0"/>
          <c:showPercent val="0"/>
          <c:showBubbleSize val="0"/>
        </c:dLbls>
        <c:marker val="1"/>
        <c:smooth val="0"/>
        <c:axId val="682637968"/>
        <c:axId val="522553360"/>
      </c:lineChart>
      <c:lineChart>
        <c:grouping val="standard"/>
        <c:varyColors val="0"/>
        <c:ser>
          <c:idx val="2"/>
          <c:order val="2"/>
          <c:tx>
            <c:strRef>
              <c:f>'Figure data'!$J$2</c:f>
              <c:strCache>
                <c:ptCount val="1"/>
                <c:pt idx="0">
                  <c:v>Load Impact</c:v>
                </c:pt>
              </c:strCache>
            </c:strRef>
          </c:tx>
          <c:spPr>
            <a:ln w="38100" cap="rnd">
              <a:solidFill>
                <a:srgbClr val="92D050"/>
              </a:solidFill>
              <a:round/>
            </a:ln>
            <a:effectLst/>
          </c:spPr>
          <c:marker>
            <c:symbol val="diamond"/>
            <c:size val="8"/>
            <c:spPr>
              <a:solidFill>
                <a:srgbClr val="92D050"/>
              </a:solidFill>
              <a:ln w="9525">
                <a:solidFill>
                  <a:srgbClr val="92D050"/>
                </a:solidFill>
              </a:ln>
              <a:effectLst/>
            </c:spPr>
          </c:marker>
          <c:val>
            <c:numRef>
              <c:f>'Figure data'!$J$3:$J$26</c:f>
              <c:numCache>
                <c:formatCode>0.0</c:formatCode>
                <c:ptCount val="24"/>
                <c:pt idx="0">
                  <c:v>1.4783839000000001</c:v>
                </c:pt>
                <c:pt idx="1">
                  <c:v>2.2282597000000002</c:v>
                </c:pt>
                <c:pt idx="2">
                  <c:v>3.1970328000000001</c:v>
                </c:pt>
                <c:pt idx="3">
                  <c:v>0.76695848</c:v>
                </c:pt>
                <c:pt idx="4">
                  <c:v>-7.0272719999999997E-2</c:v>
                </c:pt>
                <c:pt idx="5">
                  <c:v>0.26041722</c:v>
                </c:pt>
                <c:pt idx="6">
                  <c:v>-1.2235665</c:v>
                </c:pt>
                <c:pt idx="7">
                  <c:v>-3.9278797999999999</c:v>
                </c:pt>
                <c:pt idx="8">
                  <c:v>-1.4627494999999999</c:v>
                </c:pt>
                <c:pt idx="9">
                  <c:v>-1.2514862</c:v>
                </c:pt>
                <c:pt idx="10">
                  <c:v>-1.1624045000000001</c:v>
                </c:pt>
                <c:pt idx="11">
                  <c:v>1.1806851</c:v>
                </c:pt>
                <c:pt idx="12">
                  <c:v>2.1300501000000001</c:v>
                </c:pt>
                <c:pt idx="13">
                  <c:v>8.8188580000000005</c:v>
                </c:pt>
                <c:pt idx="14">
                  <c:v>21.418569000000002</c:v>
                </c:pt>
                <c:pt idx="15">
                  <c:v>22.868559000000001</c:v>
                </c:pt>
                <c:pt idx="16">
                  <c:v>23.610738999999999</c:v>
                </c:pt>
                <c:pt idx="17">
                  <c:v>21.744046000000001</c:v>
                </c:pt>
                <c:pt idx="18">
                  <c:v>7.9562520000000001</c:v>
                </c:pt>
                <c:pt idx="19">
                  <c:v>0.86552627000000004</c:v>
                </c:pt>
                <c:pt idx="20">
                  <c:v>-0.54932254000000003</c:v>
                </c:pt>
                <c:pt idx="21">
                  <c:v>-0.34420701999999997</c:v>
                </c:pt>
                <c:pt idx="22">
                  <c:v>-1.2288119</c:v>
                </c:pt>
                <c:pt idx="23">
                  <c:v>-2.0040022</c:v>
                </c:pt>
              </c:numCache>
            </c:numRef>
          </c:val>
          <c:smooth val="0"/>
          <c:extLst>
            <c:ext xmlns:c16="http://schemas.microsoft.com/office/drawing/2014/chart" uri="{C3380CC4-5D6E-409C-BE32-E72D297353CC}">
              <c16:uniqueId val="{00000003-F5A5-40E3-9D2A-0AC4AF6882FB}"/>
            </c:ext>
          </c:extLst>
        </c:ser>
        <c:dLbls>
          <c:showLegendKey val="0"/>
          <c:showVal val="0"/>
          <c:showCatName val="0"/>
          <c:showSerName val="0"/>
          <c:showPercent val="0"/>
          <c:showBubbleSize val="0"/>
        </c:dLbls>
        <c:marker val="1"/>
        <c:smooth val="0"/>
        <c:axId val="735019872"/>
        <c:axId val="764469040"/>
      </c:lineChart>
      <c:catAx>
        <c:axId val="682637968"/>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522553360"/>
        <c:crosses val="autoZero"/>
        <c:auto val="1"/>
        <c:lblAlgn val="ctr"/>
        <c:lblOffset val="100"/>
        <c:noMultiLvlLbl val="0"/>
      </c:catAx>
      <c:valAx>
        <c:axId val="522553360"/>
        <c:scaling>
          <c:orientation val="minMax"/>
          <c:max val="6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682637968"/>
        <c:crosses val="autoZero"/>
        <c:crossBetween val="between"/>
      </c:valAx>
      <c:valAx>
        <c:axId val="764469040"/>
        <c:scaling>
          <c:orientation val="minMax"/>
          <c:max val="25"/>
          <c:min val="-5"/>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735019872"/>
        <c:crosses val="max"/>
        <c:crossBetween val="between"/>
      </c:valAx>
      <c:catAx>
        <c:axId val="735019872"/>
        <c:scaling>
          <c:orientation val="minMax"/>
        </c:scaling>
        <c:delete val="1"/>
        <c:axPos val="b"/>
        <c:majorTickMark val="out"/>
        <c:minorTickMark val="none"/>
        <c:tickLblPos val="nextTo"/>
        <c:crossAx val="764469040"/>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96F7-40D0-B5F2-477BBE624688}"/>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8AF6-4A00-81F0-3DECF17A3198}"/>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'Main LIs'!$N$125</c:f>
              <c:strCache>
                <c:ptCount val="1"/>
                <c:pt idx="0">
                  <c:v>Load Impact</c:v>
                </c:pt>
              </c:strCache>
            </c:strRef>
          </c:tx>
          <c:spPr>
            <a:solidFill>
              <a:srgbClr val="0C2577"/>
            </a:solidFill>
            <a:ln>
              <a:noFill/>
            </a:ln>
            <a:effectLst/>
          </c:spPr>
          <c:invertIfNegative val="0"/>
          <c:errBars>
            <c:errBarType val="both"/>
            <c:errValType val="cust"/>
            <c:noEndCap val="0"/>
            <c:plus>
              <c:numRef>
                <c:f>'Main LIs'!$P$126:$P$140</c:f>
                <c:numCache>
                  <c:formatCode>General</c:formatCode>
                  <c:ptCount val="15"/>
                  <c:pt idx="0">
                    <c:v>2.1183359999999993</c:v>
                  </c:pt>
                  <c:pt idx="1">
                    <c:v>2.4377700000000004</c:v>
                  </c:pt>
                  <c:pt idx="2">
                    <c:v>2.2324570000000001</c:v>
                  </c:pt>
                  <c:pt idx="3">
                    <c:v>2.279557999999998</c:v>
                  </c:pt>
                  <c:pt idx="4">
                    <c:v>1.9957190000000002</c:v>
                  </c:pt>
                  <c:pt idx="5">
                    <c:v>2.1128729999999987</c:v>
                  </c:pt>
                  <c:pt idx="6">
                    <c:v>1.8960599</c:v>
                  </c:pt>
                  <c:pt idx="7">
                    <c:v>1.9821749999999998</c:v>
                  </c:pt>
                  <c:pt idx="8">
                    <c:v>2.0961219999999994</c:v>
                  </c:pt>
                  <c:pt idx="9">
                    <c:v>2.2984387000000002</c:v>
                  </c:pt>
                  <c:pt idx="10">
                    <c:v>2.6190899999999999</c:v>
                  </c:pt>
                  <c:pt idx="11">
                    <c:v>2.3330166999999999</c:v>
                  </c:pt>
                  <c:pt idx="12">
                    <c:v>2.6114669999999993</c:v>
                  </c:pt>
                  <c:pt idx="13">
                    <c:v>3.0964530000000003</c:v>
                  </c:pt>
                  <c:pt idx="14">
                    <c:v>3.3066264999999997</c:v>
                  </c:pt>
                </c:numCache>
              </c:numRef>
            </c:plus>
            <c:minus>
              <c:numRef>
                <c:f>'Main LIs'!$P$126:$P$140</c:f>
                <c:numCache>
                  <c:formatCode>General</c:formatCode>
                  <c:ptCount val="15"/>
                  <c:pt idx="0">
                    <c:v>2.1183359999999993</c:v>
                  </c:pt>
                  <c:pt idx="1">
                    <c:v>2.4377700000000004</c:v>
                  </c:pt>
                  <c:pt idx="2">
                    <c:v>2.2324570000000001</c:v>
                  </c:pt>
                  <c:pt idx="3">
                    <c:v>2.279557999999998</c:v>
                  </c:pt>
                  <c:pt idx="4">
                    <c:v>1.9957190000000002</c:v>
                  </c:pt>
                  <c:pt idx="5">
                    <c:v>2.1128729999999987</c:v>
                  </c:pt>
                  <c:pt idx="6">
                    <c:v>1.8960599</c:v>
                  </c:pt>
                  <c:pt idx="7">
                    <c:v>1.9821749999999998</c:v>
                  </c:pt>
                  <c:pt idx="8">
                    <c:v>2.0961219999999994</c:v>
                  </c:pt>
                  <c:pt idx="9">
                    <c:v>2.2984387000000002</c:v>
                  </c:pt>
                  <c:pt idx="10">
                    <c:v>2.6190899999999999</c:v>
                  </c:pt>
                  <c:pt idx="11">
                    <c:v>2.3330166999999999</c:v>
                  </c:pt>
                  <c:pt idx="12">
                    <c:v>2.6114669999999993</c:v>
                  </c:pt>
                  <c:pt idx="13">
                    <c:v>3.0964530000000003</c:v>
                  </c:pt>
                  <c:pt idx="14">
                    <c:v>3.3066264999999997</c:v>
                  </c:pt>
                </c:numCache>
              </c:numRef>
            </c:minus>
            <c:spPr>
              <a:noFill/>
              <a:ln w="25400" cap="flat" cmpd="sng" algn="ctr">
                <a:solidFill>
                  <a:srgbClr val="92D050"/>
                </a:solidFill>
                <a:round/>
              </a:ln>
              <a:effectLst/>
            </c:spPr>
          </c:errBars>
          <c:cat>
            <c:numRef>
              <c:f>'Main LIs'!$M$126:$M$140</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LIs'!$N$126:$N$140</c:f>
              <c:numCache>
                <c:formatCode>#,##0.0</c:formatCode>
                <c:ptCount val="15"/>
                <c:pt idx="0">
                  <c:v>11.322307</c:v>
                </c:pt>
                <c:pt idx="1">
                  <c:v>28.442720999999999</c:v>
                </c:pt>
                <c:pt idx="2">
                  <c:v>22.968827999999998</c:v>
                </c:pt>
                <c:pt idx="3">
                  <c:v>26.873322000000002</c:v>
                </c:pt>
                <c:pt idx="4">
                  <c:v>4.3308783999999996</c:v>
                </c:pt>
                <c:pt idx="5">
                  <c:v>14.074826</c:v>
                </c:pt>
                <c:pt idx="6">
                  <c:v>4.7210992000000003</c:v>
                </c:pt>
                <c:pt idx="7">
                  <c:v>12.666691999999999</c:v>
                </c:pt>
                <c:pt idx="8">
                  <c:v>12.271335000000001</c:v>
                </c:pt>
                <c:pt idx="9">
                  <c:v>6.0586450000000003</c:v>
                </c:pt>
                <c:pt idx="10">
                  <c:v>25.470293000000002</c:v>
                </c:pt>
                <c:pt idx="11">
                  <c:v>8.1348283000000006</c:v>
                </c:pt>
                <c:pt idx="12">
                  <c:v>12.878551</c:v>
                </c:pt>
                <c:pt idx="13">
                  <c:v>30.158266000000001</c:v>
                </c:pt>
                <c:pt idx="14">
                  <c:v>3.9774867999999999</c:v>
                </c:pt>
              </c:numCache>
            </c:numRef>
          </c:val>
          <c:extLst>
            <c:ext xmlns:c16="http://schemas.microsoft.com/office/drawing/2014/chart" uri="{C3380CC4-5D6E-409C-BE32-E72D297353CC}">
              <c16:uniqueId val="{00000000-ADBB-4588-8576-14972CE54A23}"/>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LIs'!$O$125</c:f>
              <c:strCache>
                <c:ptCount val="1"/>
                <c:pt idx="0">
                  <c:v>Event Temp.</c:v>
                </c:pt>
              </c:strCache>
            </c:strRef>
          </c:tx>
          <c:spPr>
            <a:ln w="28575" cap="rnd">
              <a:solidFill>
                <a:schemeClr val="accent2"/>
              </a:solidFill>
              <a:round/>
            </a:ln>
            <a:effectLst/>
          </c:spPr>
          <c:marker>
            <c:symbol val="none"/>
          </c:marker>
          <c:cat>
            <c:numRef>
              <c:f>'Main LIs'!$M$126:$M$140</c:f>
              <c:numCache>
                <c:formatCode>[$-409]d\-mmm;@</c:formatCode>
                <c:ptCount val="15"/>
                <c:pt idx="0">
                  <c:v>42902</c:v>
                </c:pt>
                <c:pt idx="1">
                  <c:v>42905</c:v>
                </c:pt>
                <c:pt idx="2">
                  <c:v>42906</c:v>
                </c:pt>
                <c:pt idx="3">
                  <c:v>42908</c:v>
                </c:pt>
                <c:pt idx="4">
                  <c:v>42909</c:v>
                </c:pt>
                <c:pt idx="5">
                  <c:v>42923</c:v>
                </c:pt>
                <c:pt idx="6">
                  <c:v>42943</c:v>
                </c:pt>
                <c:pt idx="7">
                  <c:v>42947</c:v>
                </c:pt>
                <c:pt idx="8">
                  <c:v>42948</c:v>
                </c:pt>
                <c:pt idx="9">
                  <c:v>42949</c:v>
                </c:pt>
                <c:pt idx="10">
                  <c:v>42975</c:v>
                </c:pt>
                <c:pt idx="11">
                  <c:v>42976</c:v>
                </c:pt>
                <c:pt idx="12">
                  <c:v>42978</c:v>
                </c:pt>
                <c:pt idx="13">
                  <c:v>42979</c:v>
                </c:pt>
                <c:pt idx="14">
                  <c:v>42980</c:v>
                </c:pt>
              </c:numCache>
            </c:numRef>
          </c:cat>
          <c:val>
            <c:numRef>
              <c:f>'Main LIs'!$O$126:$O$140</c:f>
              <c:numCache>
                <c:formatCode>0.0</c:formatCode>
                <c:ptCount val="15"/>
                <c:pt idx="0">
                  <c:v>88.914670999999998</c:v>
                </c:pt>
                <c:pt idx="1">
                  <c:v>95.451134999999994</c:v>
                </c:pt>
                <c:pt idx="2">
                  <c:v>93.423596000000003</c:v>
                </c:pt>
                <c:pt idx="3">
                  <c:v>95.782424000000006</c:v>
                </c:pt>
                <c:pt idx="4">
                  <c:v>89.883961999999997</c:v>
                </c:pt>
                <c:pt idx="5">
                  <c:v>95.958950999999999</c:v>
                </c:pt>
                <c:pt idx="6">
                  <c:v>91.497716999999994</c:v>
                </c:pt>
                <c:pt idx="7">
                  <c:v>89.578584000000006</c:v>
                </c:pt>
                <c:pt idx="8">
                  <c:v>93.132722999999999</c:v>
                </c:pt>
                <c:pt idx="9">
                  <c:v>93.155371000000002</c:v>
                </c:pt>
                <c:pt idx="10">
                  <c:v>95.822584000000006</c:v>
                </c:pt>
                <c:pt idx="11">
                  <c:v>89.838292999999993</c:v>
                </c:pt>
                <c:pt idx="12">
                  <c:v>95.086029999999994</c:v>
                </c:pt>
                <c:pt idx="13">
                  <c:v>103.22582</c:v>
                </c:pt>
                <c:pt idx="14">
                  <c:v>104.32988</c:v>
                </c:pt>
              </c:numCache>
            </c:numRef>
          </c:val>
          <c:smooth val="0"/>
          <c:extLst>
            <c:ext xmlns:c16="http://schemas.microsoft.com/office/drawing/2014/chart" uri="{C3380CC4-5D6E-409C-BE32-E72D297353CC}">
              <c16:uniqueId val="{00000001-ADBB-4588-8576-14972CE54A23}"/>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10"/>
      </c:valAx>
      <c:valAx>
        <c:axId val="955389087"/>
        <c:scaling>
          <c:orientation val="minMax"/>
          <c:min val="7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 Temperature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3"/>
          <c:order val="3"/>
          <c:tx>
            <c:strRef>
              <c:f>'Figure data'!$Q$2</c:f>
              <c:strCache>
                <c:ptCount val="1"/>
                <c:pt idx="0">
                  <c:v>Event Hours</c:v>
                </c:pt>
              </c:strCache>
            </c:strRef>
          </c:tx>
          <c:spPr>
            <a:solidFill>
              <a:schemeClr val="accent5">
                <a:lumMod val="40000"/>
                <a:lumOff val="60000"/>
                <a:alpha val="50000"/>
              </a:schemeClr>
            </a:solidFill>
            <a:ln>
              <a:noFill/>
            </a:ln>
            <a:effectLst/>
          </c:spPr>
          <c:invertIfNegative val="0"/>
          <c:val>
            <c:numRef>
              <c:f>'Figure data'!$Q$3:$Q$26</c:f>
              <c:numCache>
                <c:formatCode>General</c:formatCode>
                <c:ptCount val="24"/>
                <c:pt idx="14" formatCode="#,##0">
                  <c:v>1200</c:v>
                </c:pt>
                <c:pt idx="15" formatCode="#,##0">
                  <c:v>1200</c:v>
                </c:pt>
                <c:pt idx="16" formatCode="#,##0">
                  <c:v>1200</c:v>
                </c:pt>
                <c:pt idx="17" formatCode="#,##0">
                  <c:v>1200</c:v>
                </c:pt>
              </c:numCache>
            </c:numRef>
          </c:val>
          <c:extLst>
            <c:ext xmlns:c16="http://schemas.microsoft.com/office/drawing/2014/chart" uri="{C3380CC4-5D6E-409C-BE32-E72D297353CC}">
              <c16:uniqueId val="{00000000-DCF6-4138-A28E-8C1AD88B4CA3}"/>
            </c:ext>
          </c:extLst>
        </c:ser>
        <c:dLbls>
          <c:showLegendKey val="0"/>
          <c:showVal val="0"/>
          <c:showCatName val="0"/>
          <c:showSerName val="0"/>
          <c:showPercent val="0"/>
          <c:showBubbleSize val="0"/>
        </c:dLbls>
        <c:gapWidth val="0"/>
        <c:axId val="764125344"/>
        <c:axId val="764800896"/>
      </c:barChart>
      <c:lineChart>
        <c:grouping val="standard"/>
        <c:varyColors val="0"/>
        <c:ser>
          <c:idx val="0"/>
          <c:order val="0"/>
          <c:tx>
            <c:strRef>
              <c:f>'Figure data'!$N$2</c:f>
              <c:strCache>
                <c:ptCount val="1"/>
                <c:pt idx="0">
                  <c:v>Reference</c:v>
                </c:pt>
              </c:strCache>
            </c:strRef>
          </c:tx>
          <c:spPr>
            <a:ln w="38100" cap="rnd">
              <a:solidFill>
                <a:schemeClr val="accent1"/>
              </a:solidFill>
              <a:round/>
            </a:ln>
            <a:effectLst/>
          </c:spPr>
          <c:marker>
            <c:symbol val="none"/>
          </c:marker>
          <c:val>
            <c:numRef>
              <c:f>'Figure data'!$N$3:$N$26</c:f>
              <c:numCache>
                <c:formatCode>#,##0</c:formatCode>
                <c:ptCount val="24"/>
                <c:pt idx="0">
                  <c:v>532.67422999999997</c:v>
                </c:pt>
                <c:pt idx="1">
                  <c:v>508.00132000000002</c:v>
                </c:pt>
                <c:pt idx="2">
                  <c:v>492.03973000000002</c:v>
                </c:pt>
                <c:pt idx="3">
                  <c:v>486.69749999999999</c:v>
                </c:pt>
                <c:pt idx="4">
                  <c:v>501.94211000000001</c:v>
                </c:pt>
                <c:pt idx="5">
                  <c:v>542.26090999999997</c:v>
                </c:pt>
                <c:pt idx="6">
                  <c:v>596.17276000000004</c:v>
                </c:pt>
                <c:pt idx="7">
                  <c:v>680.30412999999999</c:v>
                </c:pt>
                <c:pt idx="8">
                  <c:v>781.21348</c:v>
                </c:pt>
                <c:pt idx="9">
                  <c:v>861.91286000000002</c:v>
                </c:pt>
                <c:pt idx="10">
                  <c:v>928.65534000000002</c:v>
                </c:pt>
                <c:pt idx="11">
                  <c:v>977.12476000000004</c:v>
                </c:pt>
                <c:pt idx="12">
                  <c:v>1003.4957000000001</c:v>
                </c:pt>
                <c:pt idx="13">
                  <c:v>1030.9456</c:v>
                </c:pt>
                <c:pt idx="14">
                  <c:v>1038.5591999999999</c:v>
                </c:pt>
                <c:pt idx="15">
                  <c:v>1021.817</c:v>
                </c:pt>
                <c:pt idx="16">
                  <c:v>979.47450000000003</c:v>
                </c:pt>
                <c:pt idx="17">
                  <c:v>914.63811999999996</c:v>
                </c:pt>
                <c:pt idx="18">
                  <c:v>849.79819999999995</c:v>
                </c:pt>
                <c:pt idx="19">
                  <c:v>803.99577999999997</c:v>
                </c:pt>
                <c:pt idx="20">
                  <c:v>777.03134</c:v>
                </c:pt>
                <c:pt idx="21">
                  <c:v>721.63699999999994</c:v>
                </c:pt>
                <c:pt idx="22">
                  <c:v>643.08367999999996</c:v>
                </c:pt>
                <c:pt idx="23">
                  <c:v>583.34303999999997</c:v>
                </c:pt>
              </c:numCache>
            </c:numRef>
          </c:val>
          <c:smooth val="0"/>
          <c:extLst>
            <c:ext xmlns:c16="http://schemas.microsoft.com/office/drawing/2014/chart" uri="{C3380CC4-5D6E-409C-BE32-E72D297353CC}">
              <c16:uniqueId val="{00000001-DCF6-4138-A28E-8C1AD88B4CA3}"/>
            </c:ext>
          </c:extLst>
        </c:ser>
        <c:ser>
          <c:idx val="1"/>
          <c:order val="1"/>
          <c:tx>
            <c:strRef>
              <c:f>'Figure data'!$O$2</c:f>
              <c:strCache>
                <c:ptCount val="1"/>
                <c:pt idx="0">
                  <c:v>Observed</c:v>
                </c:pt>
              </c:strCache>
            </c:strRef>
          </c:tx>
          <c:spPr>
            <a:ln w="38100" cap="rnd">
              <a:solidFill>
                <a:schemeClr val="accent2"/>
              </a:solidFill>
              <a:prstDash val="dash"/>
              <a:round/>
            </a:ln>
            <a:effectLst/>
          </c:spPr>
          <c:marker>
            <c:symbol val="none"/>
          </c:marker>
          <c:val>
            <c:numRef>
              <c:f>'Figure data'!$O$3:$O$26</c:f>
              <c:numCache>
                <c:formatCode>#,##0</c:formatCode>
                <c:ptCount val="24"/>
                <c:pt idx="0">
                  <c:v>531.36530000000005</c:v>
                </c:pt>
                <c:pt idx="1">
                  <c:v>507.73865999999998</c:v>
                </c:pt>
                <c:pt idx="2">
                  <c:v>492.38727999999998</c:v>
                </c:pt>
                <c:pt idx="3">
                  <c:v>487.92003999999997</c:v>
                </c:pt>
                <c:pt idx="4">
                  <c:v>504.05056000000002</c:v>
                </c:pt>
                <c:pt idx="5">
                  <c:v>545.59241999999995</c:v>
                </c:pt>
                <c:pt idx="6">
                  <c:v>598.88489000000004</c:v>
                </c:pt>
                <c:pt idx="7">
                  <c:v>680.43341999999996</c:v>
                </c:pt>
                <c:pt idx="8">
                  <c:v>778.06532000000004</c:v>
                </c:pt>
                <c:pt idx="9">
                  <c:v>856.78112999999996</c:v>
                </c:pt>
                <c:pt idx="10">
                  <c:v>922.71362999999997</c:v>
                </c:pt>
                <c:pt idx="11">
                  <c:v>971.04062999999996</c:v>
                </c:pt>
                <c:pt idx="12">
                  <c:v>997.22149999999999</c:v>
                </c:pt>
                <c:pt idx="13">
                  <c:v>1023.6626</c:v>
                </c:pt>
                <c:pt idx="14">
                  <c:v>1024.8896999999999</c:v>
                </c:pt>
                <c:pt idx="15">
                  <c:v>1006.0954</c:v>
                </c:pt>
                <c:pt idx="16">
                  <c:v>968.39743999999996</c:v>
                </c:pt>
                <c:pt idx="17">
                  <c:v>905.09204</c:v>
                </c:pt>
                <c:pt idx="18">
                  <c:v>845.18192999999997</c:v>
                </c:pt>
                <c:pt idx="19">
                  <c:v>803.69403999999997</c:v>
                </c:pt>
                <c:pt idx="20">
                  <c:v>778.33483999999999</c:v>
                </c:pt>
                <c:pt idx="21">
                  <c:v>722.89017999999999</c:v>
                </c:pt>
                <c:pt idx="22">
                  <c:v>644.17651999999998</c:v>
                </c:pt>
                <c:pt idx="23">
                  <c:v>584.85959000000003</c:v>
                </c:pt>
              </c:numCache>
            </c:numRef>
          </c:val>
          <c:smooth val="0"/>
          <c:extLst>
            <c:ext xmlns:c16="http://schemas.microsoft.com/office/drawing/2014/chart" uri="{C3380CC4-5D6E-409C-BE32-E72D297353CC}">
              <c16:uniqueId val="{00000002-DCF6-4138-A28E-8C1AD88B4CA3}"/>
            </c:ext>
          </c:extLst>
        </c:ser>
        <c:dLbls>
          <c:showLegendKey val="0"/>
          <c:showVal val="0"/>
          <c:showCatName val="0"/>
          <c:showSerName val="0"/>
          <c:showPercent val="0"/>
          <c:showBubbleSize val="0"/>
        </c:dLbls>
        <c:marker val="1"/>
        <c:smooth val="0"/>
        <c:axId val="764125344"/>
        <c:axId val="764800896"/>
      </c:lineChart>
      <c:lineChart>
        <c:grouping val="standard"/>
        <c:varyColors val="0"/>
        <c:ser>
          <c:idx val="2"/>
          <c:order val="2"/>
          <c:tx>
            <c:strRef>
              <c:f>'Figure data'!$P$2</c:f>
              <c:strCache>
                <c:ptCount val="1"/>
                <c:pt idx="0">
                  <c:v>Load Impact</c:v>
                </c:pt>
              </c:strCache>
            </c:strRef>
          </c:tx>
          <c:spPr>
            <a:ln w="38100" cap="rnd">
              <a:solidFill>
                <a:srgbClr val="92D050"/>
              </a:solidFill>
              <a:round/>
            </a:ln>
            <a:effectLst/>
          </c:spPr>
          <c:marker>
            <c:symbol val="diamond"/>
            <c:size val="8"/>
            <c:spPr>
              <a:solidFill>
                <a:srgbClr val="92D050"/>
              </a:solidFill>
              <a:ln w="9525">
                <a:solidFill>
                  <a:srgbClr val="92D050"/>
                </a:solidFill>
              </a:ln>
              <a:effectLst/>
            </c:spPr>
          </c:marker>
          <c:val>
            <c:numRef>
              <c:f>'Figure data'!$P$3:$P$26</c:f>
              <c:numCache>
                <c:formatCode>0.0</c:formatCode>
                <c:ptCount val="24"/>
                <c:pt idx="0">
                  <c:v>1.3089362</c:v>
                </c:pt>
                <c:pt idx="1">
                  <c:v>0.26266</c:v>
                </c:pt>
                <c:pt idx="2">
                  <c:v>-0.34755185999999999</c:v>
                </c:pt>
                <c:pt idx="3">
                  <c:v>-1.2225432000000001</c:v>
                </c:pt>
                <c:pt idx="4">
                  <c:v>-2.1084488000000001</c:v>
                </c:pt>
                <c:pt idx="5">
                  <c:v>-3.3315060999999999</c:v>
                </c:pt>
                <c:pt idx="6">
                  <c:v>-2.7121347</c:v>
                </c:pt>
                <c:pt idx="7">
                  <c:v>-0.12929507000000001</c:v>
                </c:pt>
                <c:pt idx="8">
                  <c:v>3.1481621</c:v>
                </c:pt>
                <c:pt idx="9">
                  <c:v>5.1317214</c:v>
                </c:pt>
                <c:pt idx="10">
                  <c:v>5.9417168</c:v>
                </c:pt>
                <c:pt idx="11">
                  <c:v>6.0841218000000001</c:v>
                </c:pt>
                <c:pt idx="12">
                  <c:v>6.2742012999999996</c:v>
                </c:pt>
                <c:pt idx="13">
                  <c:v>7.2829800999999996</c:v>
                </c:pt>
                <c:pt idx="14">
                  <c:v>13.669494</c:v>
                </c:pt>
                <c:pt idx="15">
                  <c:v>15.721586</c:v>
                </c:pt>
                <c:pt idx="16">
                  <c:v>11.077059</c:v>
                </c:pt>
                <c:pt idx="17">
                  <c:v>9.5460762999999993</c:v>
                </c:pt>
                <c:pt idx="18">
                  <c:v>4.6162647999999997</c:v>
                </c:pt>
                <c:pt idx="19">
                  <c:v>0.30174284000000001</c:v>
                </c:pt>
                <c:pt idx="20">
                  <c:v>-1.3035009</c:v>
                </c:pt>
                <c:pt idx="21">
                  <c:v>-1.2531854</c:v>
                </c:pt>
                <c:pt idx="22">
                  <c:v>-1.0928431000000001</c:v>
                </c:pt>
                <c:pt idx="23">
                  <c:v>-1.5165522</c:v>
                </c:pt>
              </c:numCache>
            </c:numRef>
          </c:val>
          <c:smooth val="0"/>
          <c:extLst>
            <c:ext xmlns:c16="http://schemas.microsoft.com/office/drawing/2014/chart" uri="{C3380CC4-5D6E-409C-BE32-E72D297353CC}">
              <c16:uniqueId val="{00000003-DCF6-4138-A28E-8C1AD88B4CA3}"/>
            </c:ext>
          </c:extLst>
        </c:ser>
        <c:dLbls>
          <c:showLegendKey val="0"/>
          <c:showVal val="0"/>
          <c:showCatName val="0"/>
          <c:showSerName val="0"/>
          <c:showPercent val="0"/>
          <c:showBubbleSize val="0"/>
        </c:dLbls>
        <c:marker val="1"/>
        <c:smooth val="0"/>
        <c:axId val="517027248"/>
        <c:axId val="673407264"/>
      </c:lineChart>
      <c:catAx>
        <c:axId val="764125344"/>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764800896"/>
        <c:crosses val="autoZero"/>
        <c:auto val="1"/>
        <c:lblAlgn val="ctr"/>
        <c:lblOffset val="100"/>
        <c:noMultiLvlLbl val="0"/>
      </c:catAx>
      <c:valAx>
        <c:axId val="764800896"/>
        <c:scaling>
          <c:orientation val="minMax"/>
          <c:max val="12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764125344"/>
        <c:crosses val="autoZero"/>
        <c:crossBetween val="between"/>
      </c:valAx>
      <c:valAx>
        <c:axId val="673407264"/>
        <c:scaling>
          <c:orientation val="minMax"/>
          <c:max val="25"/>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17027248"/>
        <c:crosses val="max"/>
        <c:crossBetween val="between"/>
      </c:valAx>
      <c:catAx>
        <c:axId val="517027248"/>
        <c:scaling>
          <c:orientation val="minMax"/>
        </c:scaling>
        <c:delete val="1"/>
        <c:axPos val="b"/>
        <c:majorTickMark val="out"/>
        <c:minorTickMark val="none"/>
        <c:tickLblPos val="nextTo"/>
        <c:crossAx val="67340726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1200"/>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3"/>
          <c:order val="3"/>
          <c:tx>
            <c:strRef>
              <c:f>'Figure data'!$W$2</c:f>
              <c:strCache>
                <c:ptCount val="1"/>
                <c:pt idx="0">
                  <c:v>Event Hours</c:v>
                </c:pt>
              </c:strCache>
            </c:strRef>
          </c:tx>
          <c:spPr>
            <a:solidFill>
              <a:schemeClr val="accent5">
                <a:lumMod val="40000"/>
                <a:lumOff val="60000"/>
                <a:alpha val="50000"/>
              </a:schemeClr>
            </a:solidFill>
            <a:ln>
              <a:noFill/>
            </a:ln>
            <a:effectLst/>
          </c:spPr>
          <c:invertIfNegative val="0"/>
          <c:val>
            <c:numRef>
              <c:f>'Figure data'!$W$3:$W$26</c:f>
              <c:numCache>
                <c:formatCode>General</c:formatCode>
                <c:ptCount val="24"/>
                <c:pt idx="14" formatCode="#,##0">
                  <c:v>400</c:v>
                </c:pt>
                <c:pt idx="15" formatCode="#,##0">
                  <c:v>400</c:v>
                </c:pt>
                <c:pt idx="16" formatCode="#,##0">
                  <c:v>400</c:v>
                </c:pt>
                <c:pt idx="17" formatCode="#,##0">
                  <c:v>400</c:v>
                </c:pt>
              </c:numCache>
            </c:numRef>
          </c:val>
          <c:extLst>
            <c:ext xmlns:c16="http://schemas.microsoft.com/office/drawing/2014/chart" uri="{C3380CC4-5D6E-409C-BE32-E72D297353CC}">
              <c16:uniqueId val="{00000000-6462-4741-BBB3-920AC4BD08B1}"/>
            </c:ext>
          </c:extLst>
        </c:ser>
        <c:dLbls>
          <c:showLegendKey val="0"/>
          <c:showVal val="0"/>
          <c:showCatName val="0"/>
          <c:showSerName val="0"/>
          <c:showPercent val="0"/>
          <c:showBubbleSize val="0"/>
        </c:dLbls>
        <c:gapWidth val="0"/>
        <c:axId val="516990640"/>
        <c:axId val="673409856"/>
      </c:barChart>
      <c:lineChart>
        <c:grouping val="standard"/>
        <c:varyColors val="0"/>
        <c:ser>
          <c:idx val="0"/>
          <c:order val="0"/>
          <c:tx>
            <c:strRef>
              <c:f>'Figure data'!$T$2</c:f>
              <c:strCache>
                <c:ptCount val="1"/>
                <c:pt idx="0">
                  <c:v>Reference</c:v>
                </c:pt>
              </c:strCache>
            </c:strRef>
          </c:tx>
          <c:spPr>
            <a:ln w="38100" cap="rnd">
              <a:solidFill>
                <a:schemeClr val="accent1"/>
              </a:solidFill>
              <a:round/>
            </a:ln>
            <a:effectLst/>
          </c:spPr>
          <c:marker>
            <c:symbol val="none"/>
          </c:marker>
          <c:val>
            <c:numRef>
              <c:f>'Figure data'!$T$3:$T$26</c:f>
              <c:numCache>
                <c:formatCode>#,##0</c:formatCode>
                <c:ptCount val="24"/>
                <c:pt idx="0">
                  <c:v>155.49048999999999</c:v>
                </c:pt>
                <c:pt idx="1">
                  <c:v>149.80954</c:v>
                </c:pt>
                <c:pt idx="2">
                  <c:v>145.53438</c:v>
                </c:pt>
                <c:pt idx="3">
                  <c:v>143.25083000000001</c:v>
                </c:pt>
                <c:pt idx="4">
                  <c:v>143.87682000000001</c:v>
                </c:pt>
                <c:pt idx="5">
                  <c:v>147.83503999999999</c:v>
                </c:pt>
                <c:pt idx="6">
                  <c:v>149.44515999999999</c:v>
                </c:pt>
                <c:pt idx="7">
                  <c:v>172.88216</c:v>
                </c:pt>
                <c:pt idx="8">
                  <c:v>223.57445000000001</c:v>
                </c:pt>
                <c:pt idx="9">
                  <c:v>268.78325999999998</c:v>
                </c:pt>
                <c:pt idx="10">
                  <c:v>304.60257999999999</c:v>
                </c:pt>
                <c:pt idx="11">
                  <c:v>326.74567999999999</c:v>
                </c:pt>
                <c:pt idx="12">
                  <c:v>336.07990000000001</c:v>
                </c:pt>
                <c:pt idx="13">
                  <c:v>346.03167000000002</c:v>
                </c:pt>
                <c:pt idx="14">
                  <c:v>353.41149999999999</c:v>
                </c:pt>
                <c:pt idx="15">
                  <c:v>351.90965999999997</c:v>
                </c:pt>
                <c:pt idx="16">
                  <c:v>331.70186999999999</c:v>
                </c:pt>
                <c:pt idx="17">
                  <c:v>281.70146</c:v>
                </c:pt>
                <c:pt idx="18">
                  <c:v>240.48393999999999</c:v>
                </c:pt>
                <c:pt idx="19">
                  <c:v>216.61757</c:v>
                </c:pt>
                <c:pt idx="20">
                  <c:v>208.60754</c:v>
                </c:pt>
                <c:pt idx="21">
                  <c:v>196.04750999999999</c:v>
                </c:pt>
                <c:pt idx="22">
                  <c:v>178.36075</c:v>
                </c:pt>
                <c:pt idx="23">
                  <c:v>166.60186999999999</c:v>
                </c:pt>
              </c:numCache>
            </c:numRef>
          </c:val>
          <c:smooth val="0"/>
          <c:extLst>
            <c:ext xmlns:c16="http://schemas.microsoft.com/office/drawing/2014/chart" uri="{C3380CC4-5D6E-409C-BE32-E72D297353CC}">
              <c16:uniqueId val="{00000001-6462-4741-BBB3-920AC4BD08B1}"/>
            </c:ext>
          </c:extLst>
        </c:ser>
        <c:ser>
          <c:idx val="1"/>
          <c:order val="1"/>
          <c:tx>
            <c:strRef>
              <c:f>'Figure data'!$U$2</c:f>
              <c:strCache>
                <c:ptCount val="1"/>
                <c:pt idx="0">
                  <c:v>Observed</c:v>
                </c:pt>
              </c:strCache>
            </c:strRef>
          </c:tx>
          <c:spPr>
            <a:ln w="38100" cap="rnd">
              <a:solidFill>
                <a:schemeClr val="accent2"/>
              </a:solidFill>
              <a:prstDash val="dash"/>
              <a:round/>
            </a:ln>
            <a:effectLst/>
          </c:spPr>
          <c:marker>
            <c:symbol val="none"/>
          </c:marker>
          <c:val>
            <c:numRef>
              <c:f>'Figure data'!$U$3:$U$26</c:f>
              <c:numCache>
                <c:formatCode>#,##0</c:formatCode>
                <c:ptCount val="24"/>
                <c:pt idx="0">
                  <c:v>155.50755000000001</c:v>
                </c:pt>
                <c:pt idx="1">
                  <c:v>149.83320000000001</c:v>
                </c:pt>
                <c:pt idx="2">
                  <c:v>145.58883</c:v>
                </c:pt>
                <c:pt idx="3">
                  <c:v>143.38364999999999</c:v>
                </c:pt>
                <c:pt idx="4">
                  <c:v>144.09879000000001</c:v>
                </c:pt>
                <c:pt idx="5">
                  <c:v>147.99823000000001</c:v>
                </c:pt>
                <c:pt idx="6">
                  <c:v>149.57624999999999</c:v>
                </c:pt>
                <c:pt idx="7">
                  <c:v>173.37381999999999</c:v>
                </c:pt>
                <c:pt idx="8">
                  <c:v>222.85804999999999</c:v>
                </c:pt>
                <c:pt idx="9">
                  <c:v>268.26378</c:v>
                </c:pt>
                <c:pt idx="10">
                  <c:v>303.22510999999997</c:v>
                </c:pt>
                <c:pt idx="11">
                  <c:v>324.70415000000003</c:v>
                </c:pt>
                <c:pt idx="12">
                  <c:v>334.26508999999999</c:v>
                </c:pt>
                <c:pt idx="13">
                  <c:v>345.65370000000001</c:v>
                </c:pt>
                <c:pt idx="14">
                  <c:v>351.37765999999999</c:v>
                </c:pt>
                <c:pt idx="15">
                  <c:v>348.70702999999997</c:v>
                </c:pt>
                <c:pt idx="16">
                  <c:v>329.40028000000001</c:v>
                </c:pt>
                <c:pt idx="17">
                  <c:v>279.42703</c:v>
                </c:pt>
                <c:pt idx="18">
                  <c:v>240.03882999999999</c:v>
                </c:pt>
                <c:pt idx="19">
                  <c:v>216.98226</c:v>
                </c:pt>
                <c:pt idx="20">
                  <c:v>209.20660000000001</c:v>
                </c:pt>
                <c:pt idx="21">
                  <c:v>196.16267999999999</c:v>
                </c:pt>
                <c:pt idx="22">
                  <c:v>178.69200000000001</c:v>
                </c:pt>
                <c:pt idx="23">
                  <c:v>166.74276</c:v>
                </c:pt>
              </c:numCache>
            </c:numRef>
          </c:val>
          <c:smooth val="0"/>
          <c:extLst>
            <c:ext xmlns:c16="http://schemas.microsoft.com/office/drawing/2014/chart" uri="{C3380CC4-5D6E-409C-BE32-E72D297353CC}">
              <c16:uniqueId val="{00000002-6462-4741-BBB3-920AC4BD08B1}"/>
            </c:ext>
          </c:extLst>
        </c:ser>
        <c:dLbls>
          <c:showLegendKey val="0"/>
          <c:showVal val="0"/>
          <c:showCatName val="0"/>
          <c:showSerName val="0"/>
          <c:showPercent val="0"/>
          <c:showBubbleSize val="0"/>
        </c:dLbls>
        <c:marker val="1"/>
        <c:smooth val="0"/>
        <c:axId val="516990640"/>
        <c:axId val="673409856"/>
      </c:lineChart>
      <c:lineChart>
        <c:grouping val="standard"/>
        <c:varyColors val="0"/>
        <c:ser>
          <c:idx val="2"/>
          <c:order val="2"/>
          <c:tx>
            <c:strRef>
              <c:f>'Figure data'!$V$2</c:f>
              <c:strCache>
                <c:ptCount val="1"/>
                <c:pt idx="0">
                  <c:v>Load Impact</c:v>
                </c:pt>
              </c:strCache>
            </c:strRef>
          </c:tx>
          <c:spPr>
            <a:ln w="38100" cap="rnd">
              <a:solidFill>
                <a:srgbClr val="92D050"/>
              </a:solidFill>
              <a:round/>
            </a:ln>
            <a:effectLst/>
          </c:spPr>
          <c:marker>
            <c:symbol val="diamond"/>
            <c:size val="7"/>
            <c:spPr>
              <a:solidFill>
                <a:srgbClr val="92D050"/>
              </a:solidFill>
              <a:ln w="9525">
                <a:solidFill>
                  <a:srgbClr val="92D050"/>
                </a:solidFill>
              </a:ln>
              <a:effectLst/>
            </c:spPr>
          </c:marker>
          <c:val>
            <c:numRef>
              <c:f>'Figure data'!$V$3:$V$26</c:f>
              <c:numCache>
                <c:formatCode>0.0</c:formatCode>
                <c:ptCount val="24"/>
                <c:pt idx="0">
                  <c:v>-1.7059310000000001E-2</c:v>
                </c:pt>
                <c:pt idx="1">
                  <c:v>-2.3663819999999999E-2</c:v>
                </c:pt>
                <c:pt idx="2">
                  <c:v>-5.4449249999999998E-2</c:v>
                </c:pt>
                <c:pt idx="3">
                  <c:v>-0.13281398</c:v>
                </c:pt>
                <c:pt idx="4">
                  <c:v>-0.22197080999999999</c:v>
                </c:pt>
                <c:pt idx="5">
                  <c:v>-0.16318998000000001</c:v>
                </c:pt>
                <c:pt idx="6">
                  <c:v>-0.13108452000000001</c:v>
                </c:pt>
                <c:pt idx="7">
                  <c:v>-0.49165694999999998</c:v>
                </c:pt>
                <c:pt idx="8">
                  <c:v>0.71640789000000005</c:v>
                </c:pt>
                <c:pt idx="9">
                  <c:v>0.51948072000000001</c:v>
                </c:pt>
                <c:pt idx="10">
                  <c:v>1.3774706999999999</c:v>
                </c:pt>
                <c:pt idx="11">
                  <c:v>2.0415302999999998</c:v>
                </c:pt>
                <c:pt idx="12">
                  <c:v>1.8148127999999999</c:v>
                </c:pt>
                <c:pt idx="13">
                  <c:v>0.37796874000000003</c:v>
                </c:pt>
                <c:pt idx="14">
                  <c:v>2.0338387</c:v>
                </c:pt>
                <c:pt idx="15">
                  <c:v>3.2026235999999999</c:v>
                </c:pt>
                <c:pt idx="16">
                  <c:v>2.3015870999999999</c:v>
                </c:pt>
                <c:pt idx="17">
                  <c:v>2.2744233999999999</c:v>
                </c:pt>
                <c:pt idx="18">
                  <c:v>0.44511367000000002</c:v>
                </c:pt>
                <c:pt idx="19">
                  <c:v>-0.36468799000000002</c:v>
                </c:pt>
                <c:pt idx="20">
                  <c:v>-0.59905359999999996</c:v>
                </c:pt>
                <c:pt idx="21">
                  <c:v>-0.1151759</c:v>
                </c:pt>
                <c:pt idx="22">
                  <c:v>-0.33124964000000001</c:v>
                </c:pt>
                <c:pt idx="23">
                  <c:v>-0.14088876</c:v>
                </c:pt>
              </c:numCache>
            </c:numRef>
          </c:val>
          <c:smooth val="0"/>
          <c:extLst>
            <c:ext xmlns:c16="http://schemas.microsoft.com/office/drawing/2014/chart" uri="{C3380CC4-5D6E-409C-BE32-E72D297353CC}">
              <c16:uniqueId val="{00000003-6462-4741-BBB3-920AC4BD08B1}"/>
            </c:ext>
          </c:extLst>
        </c:ser>
        <c:dLbls>
          <c:showLegendKey val="0"/>
          <c:showVal val="0"/>
          <c:showCatName val="0"/>
          <c:showSerName val="0"/>
          <c:showPercent val="0"/>
          <c:showBubbleSize val="0"/>
        </c:dLbls>
        <c:marker val="1"/>
        <c:smooth val="0"/>
        <c:axId val="764625984"/>
        <c:axId val="515926768"/>
      </c:lineChart>
      <c:catAx>
        <c:axId val="516990640"/>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673409856"/>
        <c:crosses val="autoZero"/>
        <c:auto val="1"/>
        <c:lblAlgn val="ctr"/>
        <c:lblOffset val="100"/>
        <c:noMultiLvlLbl val="0"/>
      </c:catAx>
      <c:valAx>
        <c:axId val="673409856"/>
        <c:scaling>
          <c:orientation val="minMax"/>
          <c:max val="4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16990640"/>
        <c:crosses val="autoZero"/>
        <c:crossBetween val="between"/>
      </c:valAx>
      <c:valAx>
        <c:axId val="515926768"/>
        <c:scaling>
          <c:orientation val="minMax"/>
          <c:max val="7"/>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764625984"/>
        <c:crosses val="max"/>
        <c:crossBetween val="between"/>
      </c:valAx>
      <c:catAx>
        <c:axId val="764625984"/>
        <c:scaling>
          <c:orientation val="minMax"/>
        </c:scaling>
        <c:delete val="1"/>
        <c:axPos val="b"/>
        <c:majorTickMark val="out"/>
        <c:minorTickMark val="none"/>
        <c:tickLblPos val="nextTo"/>
        <c:crossAx val="515926768"/>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'Main LIs'!$L$12</c:f>
              <c:strCache>
                <c:ptCount val="1"/>
                <c:pt idx="0">
                  <c:v>Share of Enrollment</c:v>
                </c:pt>
              </c:strCache>
            </c:strRef>
          </c:tx>
          <c:spPr>
            <a:solidFill>
              <a:srgbClr val="0C2577"/>
            </a:solidFill>
            <a:ln>
              <a:noFill/>
            </a:ln>
            <a:effectLst/>
          </c:spPr>
          <c:invertIfNegative val="0"/>
          <c:cat>
            <c:strRef>
              <c:f>'Main LIs'!$K$13:$K$20</c:f>
              <c:strCache>
                <c:ptCount val="8"/>
                <c:pt idx="0">
                  <c:v>Agriculture, Mining &amp; Construction</c:v>
                </c:pt>
                <c:pt idx="1">
                  <c:v>Manufacturing</c:v>
                </c:pt>
                <c:pt idx="2">
                  <c:v>Wholesale, Transport, other utilities</c:v>
                </c:pt>
                <c:pt idx="3">
                  <c:v>Retail stores</c:v>
                </c:pt>
                <c:pt idx="4">
                  <c:v>Offices, Hotels, Finance, Services</c:v>
                </c:pt>
                <c:pt idx="5">
                  <c:v>Schools</c:v>
                </c:pt>
                <c:pt idx="6">
                  <c:v>Institutional/Government</c:v>
                </c:pt>
                <c:pt idx="7">
                  <c:v>Other or unknown</c:v>
                </c:pt>
              </c:strCache>
            </c:strRef>
          </c:cat>
          <c:val>
            <c:numRef>
              <c:f>'Main LIs'!$L$13:$L$20</c:f>
              <c:numCache>
                <c:formatCode>0.0%</c:formatCode>
                <c:ptCount val="8"/>
                <c:pt idx="0">
                  <c:v>2.2518733050202758E-2</c:v>
                </c:pt>
                <c:pt idx="1">
                  <c:v>4.8862406582495639E-2</c:v>
                </c:pt>
                <c:pt idx="2">
                  <c:v>8.8047362971016549E-2</c:v>
                </c:pt>
                <c:pt idx="3">
                  <c:v>0.1361719349771916</c:v>
                </c:pt>
                <c:pt idx="4">
                  <c:v>0.38720268445500844</c:v>
                </c:pt>
                <c:pt idx="5">
                  <c:v>4.0834757626644132E-2</c:v>
                </c:pt>
                <c:pt idx="6">
                  <c:v>0.14076569690529092</c:v>
                </c:pt>
                <c:pt idx="7">
                  <c:v>0.13559642343215</c:v>
                </c:pt>
              </c:numCache>
            </c:numRef>
          </c:val>
          <c:extLst>
            <c:ext xmlns:c16="http://schemas.microsoft.com/office/drawing/2014/chart" uri="{C3380CC4-5D6E-409C-BE32-E72D297353CC}">
              <c16:uniqueId val="{00000000-1BCA-43EE-B23C-FE2E32B2A087}"/>
            </c:ext>
          </c:extLst>
        </c:ser>
        <c:ser>
          <c:idx val="1"/>
          <c:order val="1"/>
          <c:tx>
            <c:strRef>
              <c:f>'Main LIs'!$M$12</c:f>
              <c:strCache>
                <c:ptCount val="1"/>
                <c:pt idx="0">
                  <c:v>Share of Reference Load</c:v>
                </c:pt>
              </c:strCache>
            </c:strRef>
          </c:tx>
          <c:spPr>
            <a:solidFill>
              <a:schemeClr val="accent2"/>
            </a:solidFill>
            <a:ln>
              <a:noFill/>
            </a:ln>
            <a:effectLst/>
          </c:spPr>
          <c:invertIfNegative val="0"/>
          <c:cat>
            <c:strRef>
              <c:f>'Main LIs'!$K$13:$K$20</c:f>
              <c:strCache>
                <c:ptCount val="8"/>
                <c:pt idx="0">
                  <c:v>Agriculture, Mining &amp; Construction</c:v>
                </c:pt>
                <c:pt idx="1">
                  <c:v>Manufacturing</c:v>
                </c:pt>
                <c:pt idx="2">
                  <c:v>Wholesale, Transport, other utilities</c:v>
                </c:pt>
                <c:pt idx="3">
                  <c:v>Retail stores</c:v>
                </c:pt>
                <c:pt idx="4">
                  <c:v>Offices, Hotels, Finance, Services</c:v>
                </c:pt>
                <c:pt idx="5">
                  <c:v>Schools</c:v>
                </c:pt>
                <c:pt idx="6">
                  <c:v>Institutional/Government</c:v>
                </c:pt>
                <c:pt idx="7">
                  <c:v>Other or unknown</c:v>
                </c:pt>
              </c:strCache>
            </c:strRef>
          </c:cat>
          <c:val>
            <c:numRef>
              <c:f>'Main LIs'!$M$13:$M$20</c:f>
              <c:numCache>
                <c:formatCode>0.0%</c:formatCode>
                <c:ptCount val="8"/>
                <c:pt idx="0">
                  <c:v>2.0420015794446002E-2</c:v>
                </c:pt>
                <c:pt idx="1">
                  <c:v>5.1451855770226922E-2</c:v>
                </c:pt>
                <c:pt idx="2">
                  <c:v>7.8782548847934383E-2</c:v>
                </c:pt>
                <c:pt idx="3">
                  <c:v>0.16470241059313939</c:v>
                </c:pt>
                <c:pt idx="4">
                  <c:v>0.41710552195639894</c:v>
                </c:pt>
                <c:pt idx="5">
                  <c:v>6.0862741922457102E-2</c:v>
                </c:pt>
                <c:pt idx="6">
                  <c:v>0.1058216067599283</c:v>
                </c:pt>
                <c:pt idx="7">
                  <c:v>0.10085329835546895</c:v>
                </c:pt>
              </c:numCache>
            </c:numRef>
          </c:val>
          <c:extLst>
            <c:ext xmlns:c16="http://schemas.microsoft.com/office/drawing/2014/chart" uri="{C3380CC4-5D6E-409C-BE32-E72D297353CC}">
              <c16:uniqueId val="{00000001-1BCA-43EE-B23C-FE2E32B2A087}"/>
            </c:ext>
          </c:extLst>
        </c:ser>
        <c:ser>
          <c:idx val="2"/>
          <c:order val="2"/>
          <c:tx>
            <c:strRef>
              <c:f>'Main LIs'!$N$12</c:f>
              <c:strCache>
                <c:ptCount val="1"/>
                <c:pt idx="0">
                  <c:v>Share of Load Impact</c:v>
                </c:pt>
              </c:strCache>
            </c:strRef>
          </c:tx>
          <c:spPr>
            <a:solidFill>
              <a:schemeClr val="accent3"/>
            </a:solidFill>
            <a:ln>
              <a:noFill/>
            </a:ln>
            <a:effectLst/>
          </c:spPr>
          <c:invertIfNegative val="0"/>
          <c:cat>
            <c:strRef>
              <c:f>'Main LIs'!$K$13:$K$20</c:f>
              <c:strCache>
                <c:ptCount val="8"/>
                <c:pt idx="0">
                  <c:v>Agriculture, Mining &amp; Construction</c:v>
                </c:pt>
                <c:pt idx="1">
                  <c:v>Manufacturing</c:v>
                </c:pt>
                <c:pt idx="2">
                  <c:v>Wholesale, Transport, other utilities</c:v>
                </c:pt>
                <c:pt idx="3">
                  <c:v>Retail stores</c:v>
                </c:pt>
                <c:pt idx="4">
                  <c:v>Offices, Hotels, Finance, Services</c:v>
                </c:pt>
                <c:pt idx="5">
                  <c:v>Schools</c:v>
                </c:pt>
                <c:pt idx="6">
                  <c:v>Institutional/Government</c:v>
                </c:pt>
                <c:pt idx="7">
                  <c:v>Other or unknown</c:v>
                </c:pt>
              </c:strCache>
            </c:strRef>
          </c:cat>
          <c:val>
            <c:numRef>
              <c:f>'Main LIs'!$N$13:$N$20</c:f>
              <c:numCache>
                <c:formatCode>0.0%</c:formatCode>
                <c:ptCount val="8"/>
                <c:pt idx="0">
                  <c:v>5.3555188074251241E-2</c:v>
                </c:pt>
                <c:pt idx="1">
                  <c:v>7.5523395400781138E-2</c:v>
                </c:pt>
                <c:pt idx="2">
                  <c:v>0.12130621712769546</c:v>
                </c:pt>
                <c:pt idx="3">
                  <c:v>0.20553300778801786</c:v>
                </c:pt>
                <c:pt idx="4">
                  <c:v>0.15209526392484721</c:v>
                </c:pt>
                <c:pt idx="5">
                  <c:v>0.15185549209102048</c:v>
                </c:pt>
                <c:pt idx="6">
                  <c:v>0.1515689175630125</c:v>
                </c:pt>
                <c:pt idx="7">
                  <c:v>8.8562518030374029E-2</c:v>
                </c:pt>
              </c:numCache>
            </c:numRef>
          </c:val>
          <c:extLst>
            <c:ext xmlns:c16="http://schemas.microsoft.com/office/drawing/2014/chart" uri="{C3380CC4-5D6E-409C-BE32-E72D297353CC}">
              <c16:uniqueId val="{00000002-1BCA-43EE-B23C-FE2E32B2A087}"/>
            </c:ext>
          </c:extLst>
        </c:ser>
        <c:dLbls>
          <c:showLegendKey val="0"/>
          <c:showVal val="0"/>
          <c:showCatName val="0"/>
          <c:showSerName val="0"/>
          <c:showPercent val="0"/>
          <c:showBubbleSize val="0"/>
        </c:dLbls>
        <c:gapWidth val="182"/>
        <c:axId val="1705660735"/>
        <c:axId val="1943404335"/>
      </c:barChart>
      <c:catAx>
        <c:axId val="1705660735"/>
        <c:scaling>
          <c:orientation val="maxMin"/>
        </c:scaling>
        <c:delete val="0"/>
        <c:axPos val="l"/>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943404335"/>
        <c:crosses val="autoZero"/>
        <c:auto val="1"/>
        <c:lblAlgn val="ctr"/>
        <c:lblOffset val="100"/>
        <c:noMultiLvlLbl val="0"/>
      </c:catAx>
      <c:valAx>
        <c:axId val="1943404335"/>
        <c:scaling>
          <c:orientation val="minMax"/>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w="0">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705660735"/>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'Main LIs'!$L$2</c:f>
              <c:strCache>
                <c:ptCount val="1"/>
                <c:pt idx="0">
                  <c:v>Share of Enrollment</c:v>
                </c:pt>
              </c:strCache>
            </c:strRef>
          </c:tx>
          <c:spPr>
            <a:solidFill>
              <a:srgbClr val="0C2577"/>
            </a:solidFill>
            <a:ln>
              <a:noFill/>
            </a:ln>
            <a:effectLst/>
          </c:spPr>
          <c:invertIfNegative val="0"/>
          <c:cat>
            <c:strRef>
              <c:f>'Main LIs'!$K$3:$K$10</c:f>
              <c:strCache>
                <c:ptCount val="8"/>
                <c:pt idx="0">
                  <c:v>Agriculture, Mining &amp; Construction</c:v>
                </c:pt>
                <c:pt idx="1">
                  <c:v>Manufacturing</c:v>
                </c:pt>
                <c:pt idx="2">
                  <c:v>Wholesale, Transport, other utilities</c:v>
                </c:pt>
                <c:pt idx="3">
                  <c:v>Retail stores</c:v>
                </c:pt>
                <c:pt idx="4">
                  <c:v>Offices, Hotels, Finance, Services</c:v>
                </c:pt>
                <c:pt idx="5">
                  <c:v>Schools</c:v>
                </c:pt>
                <c:pt idx="6">
                  <c:v>Institutional/Government</c:v>
                </c:pt>
                <c:pt idx="7">
                  <c:v>Other or unknown</c:v>
                </c:pt>
              </c:strCache>
            </c:strRef>
          </c:cat>
          <c:val>
            <c:numRef>
              <c:f>'Main LIs'!$L$3:$L$10</c:f>
              <c:numCache>
                <c:formatCode>0.0%</c:formatCode>
                <c:ptCount val="8"/>
                <c:pt idx="0">
                  <c:v>3.6127757075250094E-2</c:v>
                </c:pt>
                <c:pt idx="1">
                  <c:v>2.1939682341297381E-2</c:v>
                </c:pt>
                <c:pt idx="2">
                  <c:v>0.10930264808915341</c:v>
                </c:pt>
                <c:pt idx="3">
                  <c:v>6.8485193726964697E-2</c:v>
                </c:pt>
                <c:pt idx="4">
                  <c:v>0.31036682457761366</c:v>
                </c:pt>
                <c:pt idx="5">
                  <c:v>1.359062881777592E-2</c:v>
                </c:pt>
                <c:pt idx="6">
                  <c:v>0.16300442868177342</c:v>
                </c:pt>
                <c:pt idx="7">
                  <c:v>0.27718283669017141</c:v>
                </c:pt>
              </c:numCache>
            </c:numRef>
          </c:val>
          <c:extLst>
            <c:ext xmlns:c16="http://schemas.microsoft.com/office/drawing/2014/chart" uri="{C3380CC4-5D6E-409C-BE32-E72D297353CC}">
              <c16:uniqueId val="{00000000-7AAB-4EBA-971E-FF8B0BCA9CC3}"/>
            </c:ext>
          </c:extLst>
        </c:ser>
        <c:ser>
          <c:idx val="1"/>
          <c:order val="1"/>
          <c:tx>
            <c:strRef>
              <c:f>'Main LIs'!$M$2</c:f>
              <c:strCache>
                <c:ptCount val="1"/>
                <c:pt idx="0">
                  <c:v>Share of Reference Load</c:v>
                </c:pt>
              </c:strCache>
            </c:strRef>
          </c:tx>
          <c:spPr>
            <a:solidFill>
              <a:schemeClr val="accent2"/>
            </a:solidFill>
            <a:ln>
              <a:noFill/>
            </a:ln>
            <a:effectLst/>
          </c:spPr>
          <c:invertIfNegative val="0"/>
          <c:cat>
            <c:strRef>
              <c:f>'Main LIs'!$K$3:$K$10</c:f>
              <c:strCache>
                <c:ptCount val="8"/>
                <c:pt idx="0">
                  <c:v>Agriculture, Mining &amp; Construction</c:v>
                </c:pt>
                <c:pt idx="1">
                  <c:v>Manufacturing</c:v>
                </c:pt>
                <c:pt idx="2">
                  <c:v>Wholesale, Transport, other utilities</c:v>
                </c:pt>
                <c:pt idx="3">
                  <c:v>Retail stores</c:v>
                </c:pt>
                <c:pt idx="4">
                  <c:v>Offices, Hotels, Finance, Services</c:v>
                </c:pt>
                <c:pt idx="5">
                  <c:v>Schools</c:v>
                </c:pt>
                <c:pt idx="6">
                  <c:v>Institutional/Government</c:v>
                </c:pt>
                <c:pt idx="7">
                  <c:v>Other or unknown</c:v>
                </c:pt>
              </c:strCache>
            </c:strRef>
          </c:cat>
          <c:val>
            <c:numRef>
              <c:f>'Main LIs'!$M$3:$M$10</c:f>
              <c:numCache>
                <c:formatCode>0.0%</c:formatCode>
                <c:ptCount val="8"/>
                <c:pt idx="0">
                  <c:v>2.9276795916598205E-2</c:v>
                </c:pt>
                <c:pt idx="1">
                  <c:v>2.5950158054106422E-2</c:v>
                </c:pt>
                <c:pt idx="2">
                  <c:v>7.1253382424875514E-2</c:v>
                </c:pt>
                <c:pt idx="3">
                  <c:v>0.11440772487715249</c:v>
                </c:pt>
                <c:pt idx="4">
                  <c:v>0.35760458350370489</c:v>
                </c:pt>
                <c:pt idx="5">
                  <c:v>1.649411704818423E-2</c:v>
                </c:pt>
                <c:pt idx="6">
                  <c:v>0.15545749732043115</c:v>
                </c:pt>
                <c:pt idx="7">
                  <c:v>0.22955574085494698</c:v>
                </c:pt>
              </c:numCache>
            </c:numRef>
          </c:val>
          <c:extLst>
            <c:ext xmlns:c16="http://schemas.microsoft.com/office/drawing/2014/chart" uri="{C3380CC4-5D6E-409C-BE32-E72D297353CC}">
              <c16:uniqueId val="{00000001-7AAB-4EBA-971E-FF8B0BCA9CC3}"/>
            </c:ext>
          </c:extLst>
        </c:ser>
        <c:ser>
          <c:idx val="2"/>
          <c:order val="2"/>
          <c:tx>
            <c:strRef>
              <c:f>'Main LIs'!$N$2</c:f>
              <c:strCache>
                <c:ptCount val="1"/>
                <c:pt idx="0">
                  <c:v>Share of Load Impact</c:v>
                </c:pt>
              </c:strCache>
            </c:strRef>
          </c:tx>
          <c:spPr>
            <a:solidFill>
              <a:schemeClr val="accent3"/>
            </a:solidFill>
            <a:ln>
              <a:noFill/>
            </a:ln>
            <a:effectLst/>
          </c:spPr>
          <c:invertIfNegative val="0"/>
          <c:cat>
            <c:strRef>
              <c:f>'Main LIs'!$K$3:$K$10</c:f>
              <c:strCache>
                <c:ptCount val="8"/>
                <c:pt idx="0">
                  <c:v>Agriculture, Mining &amp; Construction</c:v>
                </c:pt>
                <c:pt idx="1">
                  <c:v>Manufacturing</c:v>
                </c:pt>
                <c:pt idx="2">
                  <c:v>Wholesale, Transport, other utilities</c:v>
                </c:pt>
                <c:pt idx="3">
                  <c:v>Retail stores</c:v>
                </c:pt>
                <c:pt idx="4">
                  <c:v>Offices, Hotels, Finance, Services</c:v>
                </c:pt>
                <c:pt idx="5">
                  <c:v>Schools</c:v>
                </c:pt>
                <c:pt idx="6">
                  <c:v>Institutional/Government</c:v>
                </c:pt>
                <c:pt idx="7">
                  <c:v>Other or unknown</c:v>
                </c:pt>
              </c:strCache>
            </c:strRef>
          </c:cat>
          <c:val>
            <c:numRef>
              <c:f>'Main LIs'!$N$3:$N$10</c:f>
              <c:numCache>
                <c:formatCode>0.0%</c:formatCode>
                <c:ptCount val="8"/>
                <c:pt idx="0">
                  <c:v>5.64329683038245E-2</c:v>
                </c:pt>
                <c:pt idx="1">
                  <c:v>5.6021120163971524E-2</c:v>
                </c:pt>
                <c:pt idx="2">
                  <c:v>0.16563775477691139</c:v>
                </c:pt>
                <c:pt idx="3">
                  <c:v>0.19168063659485995</c:v>
                </c:pt>
                <c:pt idx="4">
                  <c:v>0</c:v>
                </c:pt>
                <c:pt idx="5">
                  <c:v>1.1577584069157173E-2</c:v>
                </c:pt>
                <c:pt idx="6">
                  <c:v>0.24559850989417892</c:v>
                </c:pt>
                <c:pt idx="7">
                  <c:v>0.27305142619709644</c:v>
                </c:pt>
              </c:numCache>
            </c:numRef>
          </c:val>
          <c:extLst>
            <c:ext xmlns:c16="http://schemas.microsoft.com/office/drawing/2014/chart" uri="{C3380CC4-5D6E-409C-BE32-E72D297353CC}">
              <c16:uniqueId val="{00000002-7AAB-4EBA-971E-FF8B0BCA9CC3}"/>
            </c:ext>
          </c:extLst>
        </c:ser>
        <c:dLbls>
          <c:showLegendKey val="0"/>
          <c:showVal val="0"/>
          <c:showCatName val="0"/>
          <c:showSerName val="0"/>
          <c:showPercent val="0"/>
          <c:showBubbleSize val="0"/>
        </c:dLbls>
        <c:gapWidth val="182"/>
        <c:axId val="1705660735"/>
        <c:axId val="1943404335"/>
      </c:barChart>
      <c:catAx>
        <c:axId val="1705660735"/>
        <c:scaling>
          <c:orientation val="maxMin"/>
        </c:scaling>
        <c:delete val="0"/>
        <c:axPos val="l"/>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943404335"/>
        <c:crosses val="autoZero"/>
        <c:auto val="1"/>
        <c:lblAlgn val="ctr"/>
        <c:lblOffset val="100"/>
        <c:noMultiLvlLbl val="0"/>
      </c:catAx>
      <c:valAx>
        <c:axId val="1943404335"/>
        <c:scaling>
          <c:orientation val="minMax"/>
          <c:max val="0.4"/>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w="0">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705660735"/>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'Main LIs'!$AB$12</c:f>
              <c:strCache>
                <c:ptCount val="1"/>
                <c:pt idx="0">
                  <c:v>Share of Enrollment</c:v>
                </c:pt>
              </c:strCache>
            </c:strRef>
          </c:tx>
          <c:spPr>
            <a:solidFill>
              <a:srgbClr val="0C2577"/>
            </a:solidFill>
            <a:ln>
              <a:noFill/>
            </a:ln>
            <a:effectLst/>
          </c:spPr>
          <c:invertIfNegative val="0"/>
          <c:cat>
            <c:strRef>
              <c:f>'Main LIs'!$AA$13:$AA$20</c:f>
              <c:strCache>
                <c:ptCount val="8"/>
                <c:pt idx="0">
                  <c:v>Greater Bay Area</c:v>
                </c:pt>
                <c:pt idx="1">
                  <c:v>Greater Fresno</c:v>
                </c:pt>
                <c:pt idx="2">
                  <c:v>Humboldt</c:v>
                </c:pt>
                <c:pt idx="3">
                  <c:v>Kern</c:v>
                </c:pt>
                <c:pt idx="4">
                  <c:v>Northern Coast</c:v>
                </c:pt>
                <c:pt idx="5">
                  <c:v>LCA Other</c:v>
                </c:pt>
                <c:pt idx="6">
                  <c:v>Sierra</c:v>
                </c:pt>
                <c:pt idx="7">
                  <c:v>Stockton</c:v>
                </c:pt>
              </c:strCache>
            </c:strRef>
          </c:cat>
          <c:val>
            <c:numRef>
              <c:f>'Main LIs'!$AB$13:$AB$20</c:f>
              <c:numCache>
                <c:formatCode>0.0%</c:formatCode>
                <c:ptCount val="8"/>
                <c:pt idx="0">
                  <c:v>0.38118490932692878</c:v>
                </c:pt>
                <c:pt idx="1">
                  <c:v>0.11255087225934185</c:v>
                </c:pt>
                <c:pt idx="2">
                  <c:v>8.7226890418882382E-3</c:v>
                </c:pt>
                <c:pt idx="3">
                  <c:v>7.013124494126742E-2</c:v>
                </c:pt>
                <c:pt idx="4">
                  <c:v>1.6989395644333456E-2</c:v>
                </c:pt>
                <c:pt idx="5">
                  <c:v>0.27841034673412463</c:v>
                </c:pt>
                <c:pt idx="6">
                  <c:v>6.1526610359695089E-2</c:v>
                </c:pt>
                <c:pt idx="7">
                  <c:v>7.0483931692420537E-2</c:v>
                </c:pt>
              </c:numCache>
            </c:numRef>
          </c:val>
          <c:extLst>
            <c:ext xmlns:c16="http://schemas.microsoft.com/office/drawing/2014/chart" uri="{C3380CC4-5D6E-409C-BE32-E72D297353CC}">
              <c16:uniqueId val="{00000000-542C-4951-9B4A-831152CF07DF}"/>
            </c:ext>
          </c:extLst>
        </c:ser>
        <c:ser>
          <c:idx val="1"/>
          <c:order val="1"/>
          <c:tx>
            <c:strRef>
              <c:f>'Main LIs'!$AC$12</c:f>
              <c:strCache>
                <c:ptCount val="1"/>
                <c:pt idx="0">
                  <c:v>Share of Reference Load</c:v>
                </c:pt>
              </c:strCache>
            </c:strRef>
          </c:tx>
          <c:spPr>
            <a:solidFill>
              <a:schemeClr val="accent2"/>
            </a:solidFill>
            <a:ln>
              <a:noFill/>
            </a:ln>
            <a:effectLst/>
          </c:spPr>
          <c:invertIfNegative val="0"/>
          <c:cat>
            <c:strRef>
              <c:f>'Main LIs'!$AA$13:$AA$20</c:f>
              <c:strCache>
                <c:ptCount val="8"/>
                <c:pt idx="0">
                  <c:v>Greater Bay Area</c:v>
                </c:pt>
                <c:pt idx="1">
                  <c:v>Greater Fresno</c:v>
                </c:pt>
                <c:pt idx="2">
                  <c:v>Humboldt</c:v>
                </c:pt>
                <c:pt idx="3">
                  <c:v>Kern</c:v>
                </c:pt>
                <c:pt idx="4">
                  <c:v>Northern Coast</c:v>
                </c:pt>
                <c:pt idx="5">
                  <c:v>LCA Other</c:v>
                </c:pt>
                <c:pt idx="6">
                  <c:v>Sierra</c:v>
                </c:pt>
                <c:pt idx="7">
                  <c:v>Stockton</c:v>
                </c:pt>
              </c:strCache>
            </c:strRef>
          </c:cat>
          <c:val>
            <c:numRef>
              <c:f>'Main LIs'!$AC$13:$AC$20</c:f>
              <c:numCache>
                <c:formatCode>0.0%</c:formatCode>
                <c:ptCount val="8"/>
                <c:pt idx="0">
                  <c:v>0.37046303791293811</c:v>
                </c:pt>
                <c:pt idx="1">
                  <c:v>0.12104888894201658</c:v>
                </c:pt>
                <c:pt idx="2">
                  <c:v>7.2561504820848246E-3</c:v>
                </c:pt>
                <c:pt idx="3">
                  <c:v>7.8605040147126964E-2</c:v>
                </c:pt>
                <c:pt idx="4">
                  <c:v>1.5269097409852319E-2</c:v>
                </c:pt>
                <c:pt idx="5">
                  <c:v>0.26336080548415497</c:v>
                </c:pt>
                <c:pt idx="6">
                  <c:v>6.5405617134871599E-2</c:v>
                </c:pt>
                <c:pt idx="7">
                  <c:v>7.8591362486954697E-2</c:v>
                </c:pt>
              </c:numCache>
            </c:numRef>
          </c:val>
          <c:extLst>
            <c:ext xmlns:c16="http://schemas.microsoft.com/office/drawing/2014/chart" uri="{C3380CC4-5D6E-409C-BE32-E72D297353CC}">
              <c16:uniqueId val="{00000001-542C-4951-9B4A-831152CF07DF}"/>
            </c:ext>
          </c:extLst>
        </c:ser>
        <c:ser>
          <c:idx val="2"/>
          <c:order val="2"/>
          <c:tx>
            <c:strRef>
              <c:f>'Main LIs'!$AD$12</c:f>
              <c:strCache>
                <c:ptCount val="1"/>
                <c:pt idx="0">
                  <c:v>Share of Load Impact</c:v>
                </c:pt>
              </c:strCache>
            </c:strRef>
          </c:tx>
          <c:spPr>
            <a:solidFill>
              <a:schemeClr val="accent3"/>
            </a:solidFill>
            <a:ln>
              <a:noFill/>
            </a:ln>
            <a:effectLst/>
          </c:spPr>
          <c:invertIfNegative val="0"/>
          <c:cat>
            <c:strRef>
              <c:f>'Main LIs'!$AA$13:$AA$20</c:f>
              <c:strCache>
                <c:ptCount val="8"/>
                <c:pt idx="0">
                  <c:v>Greater Bay Area</c:v>
                </c:pt>
                <c:pt idx="1">
                  <c:v>Greater Fresno</c:v>
                </c:pt>
                <c:pt idx="2">
                  <c:v>Humboldt</c:v>
                </c:pt>
                <c:pt idx="3">
                  <c:v>Kern</c:v>
                </c:pt>
                <c:pt idx="4">
                  <c:v>Northern Coast</c:v>
                </c:pt>
                <c:pt idx="5">
                  <c:v>LCA Other</c:v>
                </c:pt>
                <c:pt idx="6">
                  <c:v>Sierra</c:v>
                </c:pt>
                <c:pt idx="7">
                  <c:v>Stockton</c:v>
                </c:pt>
              </c:strCache>
            </c:strRef>
          </c:cat>
          <c:val>
            <c:numRef>
              <c:f>'Main LIs'!$AD$13:$AD$20</c:f>
              <c:numCache>
                <c:formatCode>0.0%</c:formatCode>
                <c:ptCount val="8"/>
                <c:pt idx="0">
                  <c:v>0.29085153961997617</c:v>
                </c:pt>
                <c:pt idx="1">
                  <c:v>1.6458748764050426E-2</c:v>
                </c:pt>
                <c:pt idx="2">
                  <c:v>1.6544802744624037E-2</c:v>
                </c:pt>
                <c:pt idx="3">
                  <c:v>0.12041174754259824</c:v>
                </c:pt>
                <c:pt idx="4">
                  <c:v>4.3130908598204235E-3</c:v>
                </c:pt>
                <c:pt idx="5">
                  <c:v>0.30325869830613672</c:v>
                </c:pt>
                <c:pt idx="6">
                  <c:v>7.4728137913682727E-2</c:v>
                </c:pt>
                <c:pt idx="7">
                  <c:v>0.1734332342491112</c:v>
                </c:pt>
              </c:numCache>
            </c:numRef>
          </c:val>
          <c:extLst>
            <c:ext xmlns:c16="http://schemas.microsoft.com/office/drawing/2014/chart" uri="{C3380CC4-5D6E-409C-BE32-E72D297353CC}">
              <c16:uniqueId val="{00000002-542C-4951-9B4A-831152CF07DF}"/>
            </c:ext>
          </c:extLst>
        </c:ser>
        <c:dLbls>
          <c:showLegendKey val="0"/>
          <c:showVal val="0"/>
          <c:showCatName val="0"/>
          <c:showSerName val="0"/>
          <c:showPercent val="0"/>
          <c:showBubbleSize val="0"/>
        </c:dLbls>
        <c:gapWidth val="182"/>
        <c:axId val="1705660735"/>
        <c:axId val="1943404335"/>
      </c:barChart>
      <c:catAx>
        <c:axId val="1705660735"/>
        <c:scaling>
          <c:orientation val="maxMin"/>
        </c:scaling>
        <c:delete val="0"/>
        <c:axPos val="l"/>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943404335"/>
        <c:crosses val="autoZero"/>
        <c:auto val="1"/>
        <c:lblAlgn val="ctr"/>
        <c:lblOffset val="100"/>
        <c:noMultiLvlLbl val="0"/>
      </c:catAx>
      <c:valAx>
        <c:axId val="1943404335"/>
        <c:scaling>
          <c:orientation val="minMax"/>
          <c:max val="0.4"/>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w="0">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705660735"/>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'Main LIs'!$AB$2</c:f>
              <c:strCache>
                <c:ptCount val="1"/>
                <c:pt idx="0">
                  <c:v>Share of Enrollment</c:v>
                </c:pt>
              </c:strCache>
            </c:strRef>
          </c:tx>
          <c:spPr>
            <a:solidFill>
              <a:srgbClr val="0C2577"/>
            </a:solidFill>
            <a:ln>
              <a:noFill/>
            </a:ln>
            <a:effectLst/>
          </c:spPr>
          <c:invertIfNegative val="0"/>
          <c:cat>
            <c:strRef>
              <c:f>'Main LIs'!$AA$3:$AA$10</c:f>
              <c:strCache>
                <c:ptCount val="8"/>
                <c:pt idx="0">
                  <c:v>Greater Bay Area</c:v>
                </c:pt>
                <c:pt idx="1">
                  <c:v>Greater Fresno</c:v>
                </c:pt>
                <c:pt idx="2">
                  <c:v>Humboldt</c:v>
                </c:pt>
                <c:pt idx="3">
                  <c:v>Kern</c:v>
                </c:pt>
                <c:pt idx="4">
                  <c:v>Northern Coast</c:v>
                </c:pt>
                <c:pt idx="5">
                  <c:v>LCA Other</c:v>
                </c:pt>
                <c:pt idx="6">
                  <c:v>Sierra</c:v>
                </c:pt>
                <c:pt idx="7">
                  <c:v>Stockton</c:v>
                </c:pt>
              </c:strCache>
            </c:strRef>
          </c:cat>
          <c:val>
            <c:numRef>
              <c:f>'Main LIs'!$AB$3:$AB$10</c:f>
              <c:numCache>
                <c:formatCode>0.0%</c:formatCode>
                <c:ptCount val="8"/>
                <c:pt idx="0">
                  <c:v>0.3271007996434544</c:v>
                </c:pt>
                <c:pt idx="1">
                  <c:v>9.6890874405893918E-2</c:v>
                </c:pt>
                <c:pt idx="2">
                  <c:v>1.3553499293949615E-2</c:v>
                </c:pt>
                <c:pt idx="3">
                  <c:v>5.2864681386910133E-2</c:v>
                </c:pt>
                <c:pt idx="4">
                  <c:v>2.0919045502499609E-2</c:v>
                </c:pt>
                <c:pt idx="5">
                  <c:v>0.33849530848850806</c:v>
                </c:pt>
                <c:pt idx="6">
                  <c:v>8.1481326452141095E-2</c:v>
                </c:pt>
                <c:pt idx="7">
                  <c:v>6.8694464826643237E-2</c:v>
                </c:pt>
              </c:numCache>
            </c:numRef>
          </c:val>
          <c:extLst>
            <c:ext xmlns:c16="http://schemas.microsoft.com/office/drawing/2014/chart" uri="{C3380CC4-5D6E-409C-BE32-E72D297353CC}">
              <c16:uniqueId val="{00000000-A91B-489B-BFD9-3B5FA11B795F}"/>
            </c:ext>
          </c:extLst>
        </c:ser>
        <c:ser>
          <c:idx val="1"/>
          <c:order val="1"/>
          <c:tx>
            <c:strRef>
              <c:f>'Main LIs'!$AC$2</c:f>
              <c:strCache>
                <c:ptCount val="1"/>
                <c:pt idx="0">
                  <c:v>Share of Reference Load</c:v>
                </c:pt>
              </c:strCache>
            </c:strRef>
          </c:tx>
          <c:spPr>
            <a:solidFill>
              <a:schemeClr val="accent2"/>
            </a:solidFill>
            <a:ln>
              <a:noFill/>
            </a:ln>
            <a:effectLst/>
          </c:spPr>
          <c:invertIfNegative val="0"/>
          <c:cat>
            <c:strRef>
              <c:f>'Main LIs'!$AA$3:$AA$10</c:f>
              <c:strCache>
                <c:ptCount val="8"/>
                <c:pt idx="0">
                  <c:v>Greater Bay Area</c:v>
                </c:pt>
                <c:pt idx="1">
                  <c:v>Greater Fresno</c:v>
                </c:pt>
                <c:pt idx="2">
                  <c:v>Humboldt</c:v>
                </c:pt>
                <c:pt idx="3">
                  <c:v>Kern</c:v>
                </c:pt>
                <c:pt idx="4">
                  <c:v>Northern Coast</c:v>
                </c:pt>
                <c:pt idx="5">
                  <c:v>LCA Other</c:v>
                </c:pt>
                <c:pt idx="6">
                  <c:v>Sierra</c:v>
                </c:pt>
                <c:pt idx="7">
                  <c:v>Stockton</c:v>
                </c:pt>
              </c:strCache>
            </c:strRef>
          </c:cat>
          <c:val>
            <c:numRef>
              <c:f>'Main LIs'!$AC$3:$AC$10</c:f>
              <c:numCache>
                <c:formatCode>0.0%</c:formatCode>
                <c:ptCount val="8"/>
                <c:pt idx="0">
                  <c:v>0.33539118053992145</c:v>
                </c:pt>
                <c:pt idx="1">
                  <c:v>0.11694576895050229</c:v>
                </c:pt>
                <c:pt idx="2">
                  <c:v>1.0557819443547322E-2</c:v>
                </c:pt>
                <c:pt idx="3">
                  <c:v>6.7178568612108733E-2</c:v>
                </c:pt>
                <c:pt idx="4">
                  <c:v>1.7156882680307021E-2</c:v>
                </c:pt>
                <c:pt idx="5">
                  <c:v>0.30011369194097093</c:v>
                </c:pt>
                <c:pt idx="6">
                  <c:v>8.2227673720654593E-2</c:v>
                </c:pt>
                <c:pt idx="7">
                  <c:v>7.0428414111987747E-2</c:v>
                </c:pt>
              </c:numCache>
            </c:numRef>
          </c:val>
          <c:extLst>
            <c:ext xmlns:c16="http://schemas.microsoft.com/office/drawing/2014/chart" uri="{C3380CC4-5D6E-409C-BE32-E72D297353CC}">
              <c16:uniqueId val="{00000001-A91B-489B-BFD9-3B5FA11B795F}"/>
            </c:ext>
          </c:extLst>
        </c:ser>
        <c:ser>
          <c:idx val="2"/>
          <c:order val="2"/>
          <c:tx>
            <c:strRef>
              <c:f>'Main LIs'!$AD$2</c:f>
              <c:strCache>
                <c:ptCount val="1"/>
                <c:pt idx="0">
                  <c:v>Share of Load Impact</c:v>
                </c:pt>
              </c:strCache>
            </c:strRef>
          </c:tx>
          <c:spPr>
            <a:solidFill>
              <a:schemeClr val="accent3"/>
            </a:solidFill>
            <a:ln>
              <a:noFill/>
            </a:ln>
            <a:effectLst/>
          </c:spPr>
          <c:invertIfNegative val="0"/>
          <c:cat>
            <c:strRef>
              <c:f>'Main LIs'!$AA$3:$AA$10</c:f>
              <c:strCache>
                <c:ptCount val="8"/>
                <c:pt idx="0">
                  <c:v>Greater Bay Area</c:v>
                </c:pt>
                <c:pt idx="1">
                  <c:v>Greater Fresno</c:v>
                </c:pt>
                <c:pt idx="2">
                  <c:v>Humboldt</c:v>
                </c:pt>
                <c:pt idx="3">
                  <c:v>Kern</c:v>
                </c:pt>
                <c:pt idx="4">
                  <c:v>Northern Coast</c:v>
                </c:pt>
                <c:pt idx="5">
                  <c:v>LCA Other</c:v>
                </c:pt>
                <c:pt idx="6">
                  <c:v>Sierra</c:v>
                </c:pt>
                <c:pt idx="7">
                  <c:v>Stockton</c:v>
                </c:pt>
              </c:strCache>
            </c:strRef>
          </c:cat>
          <c:val>
            <c:numRef>
              <c:f>'Main LIs'!$AD$3:$AD$10</c:f>
              <c:numCache>
                <c:formatCode>0.0%</c:formatCode>
                <c:ptCount val="8"/>
                <c:pt idx="0">
                  <c:v>0.11842441221560621</c:v>
                </c:pt>
                <c:pt idx="1">
                  <c:v>1.674883037399099E-2</c:v>
                </c:pt>
                <c:pt idx="2">
                  <c:v>5.2373253296486282E-2</c:v>
                </c:pt>
                <c:pt idx="3">
                  <c:v>5.4602477982507572E-2</c:v>
                </c:pt>
                <c:pt idx="4">
                  <c:v>0</c:v>
                </c:pt>
                <c:pt idx="5">
                  <c:v>0.45693304929054185</c:v>
                </c:pt>
                <c:pt idx="6">
                  <c:v>8.6760106115597854E-2</c:v>
                </c:pt>
                <c:pt idx="7">
                  <c:v>0.21415787072526926</c:v>
                </c:pt>
              </c:numCache>
            </c:numRef>
          </c:val>
          <c:extLst>
            <c:ext xmlns:c16="http://schemas.microsoft.com/office/drawing/2014/chart" uri="{C3380CC4-5D6E-409C-BE32-E72D297353CC}">
              <c16:uniqueId val="{00000002-A91B-489B-BFD9-3B5FA11B795F}"/>
            </c:ext>
          </c:extLst>
        </c:ser>
        <c:dLbls>
          <c:showLegendKey val="0"/>
          <c:showVal val="0"/>
          <c:showCatName val="0"/>
          <c:showSerName val="0"/>
          <c:showPercent val="0"/>
          <c:showBubbleSize val="0"/>
        </c:dLbls>
        <c:gapWidth val="182"/>
        <c:axId val="1705660735"/>
        <c:axId val="1943404335"/>
      </c:barChart>
      <c:catAx>
        <c:axId val="1705660735"/>
        <c:scaling>
          <c:orientation val="maxMin"/>
        </c:scaling>
        <c:delete val="0"/>
        <c:axPos val="l"/>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943404335"/>
        <c:crosses val="autoZero"/>
        <c:auto val="1"/>
        <c:lblAlgn val="ctr"/>
        <c:lblOffset val="100"/>
        <c:noMultiLvlLbl val="0"/>
      </c:catAx>
      <c:valAx>
        <c:axId val="1943404335"/>
        <c:scaling>
          <c:orientation val="minMax"/>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w="0">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705660735"/>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A23A-431B-A716-0DD01B7F20A4}"/>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069F-4AB9-9F5A-1695499EEC9B}"/>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'Pivot Summary'!$P$4</c:f>
              <c:strCache>
                <c:ptCount val="1"/>
                <c:pt idx="0">
                  <c:v>Incremental Event Impact</c:v>
                </c:pt>
              </c:strCache>
            </c:strRef>
          </c:tx>
          <c:spPr>
            <a:ln w="28575" cap="rnd">
              <a:solidFill>
                <a:schemeClr val="accent1"/>
              </a:solidFill>
              <a:round/>
            </a:ln>
            <a:effectLst/>
          </c:spPr>
          <c:marker>
            <c:symbol val="none"/>
          </c:marker>
          <c:val>
            <c:numRef>
              <c:f>'Pivot Summary'!$P$5:$P$28</c:f>
              <c:numCache>
                <c:formatCode>0.0</c:formatCode>
                <c:ptCount val="24"/>
                <c:pt idx="0">
                  <c:v>5.2713063323854878E-2</c:v>
                </c:pt>
                <c:pt idx="1">
                  <c:v>1.5354820596502873E-2</c:v>
                </c:pt>
                <c:pt idx="2">
                  <c:v>-4.1620498974870405E-2</c:v>
                </c:pt>
                <c:pt idx="3">
                  <c:v>-5.5552582923488997E-2</c:v>
                </c:pt>
                <c:pt idx="4">
                  <c:v>-9.8350462479915399E-2</c:v>
                </c:pt>
                <c:pt idx="5">
                  <c:v>-8.4037164562690683E-2</c:v>
                </c:pt>
                <c:pt idx="6">
                  <c:v>-0.13370767998746066</c:v>
                </c:pt>
                <c:pt idx="7">
                  <c:v>-8.6754012101402753E-2</c:v>
                </c:pt>
                <c:pt idx="8">
                  <c:v>0.23444913681851035</c:v>
                </c:pt>
                <c:pt idx="9">
                  <c:v>0.19750501094064973</c:v>
                </c:pt>
                <c:pt idx="10">
                  <c:v>0.35645692715572713</c:v>
                </c:pt>
                <c:pt idx="11">
                  <c:v>0.62592718965990757</c:v>
                </c:pt>
                <c:pt idx="12">
                  <c:v>0.45341652556632284</c:v>
                </c:pt>
                <c:pt idx="13">
                  <c:v>0.23926485874975434</c:v>
                </c:pt>
                <c:pt idx="14">
                  <c:v>0.3587251031007776</c:v>
                </c:pt>
                <c:pt idx="15">
                  <c:v>0.43774286499899595</c:v>
                </c:pt>
                <c:pt idx="16">
                  <c:v>0.36710350512605683</c:v>
                </c:pt>
                <c:pt idx="17">
                  <c:v>0.30089058402320357</c:v>
                </c:pt>
                <c:pt idx="18">
                  <c:v>8.8141034105689284E-2</c:v>
                </c:pt>
                <c:pt idx="19">
                  <c:v>-0.11667308450599191</c:v>
                </c:pt>
                <c:pt idx="20">
                  <c:v>3.1445998967596943E-2</c:v>
                </c:pt>
                <c:pt idx="21">
                  <c:v>2.7015080404256937E-2</c:v>
                </c:pt>
                <c:pt idx="22">
                  <c:v>2.1977729777560674E-2</c:v>
                </c:pt>
                <c:pt idx="23">
                  <c:v>2.7535556956885931E-3</c:v>
                </c:pt>
              </c:numCache>
            </c:numRef>
          </c:val>
          <c:smooth val="0"/>
          <c:extLst>
            <c:ext xmlns:c16="http://schemas.microsoft.com/office/drawing/2014/chart" uri="{C3380CC4-5D6E-409C-BE32-E72D297353CC}">
              <c16:uniqueId val="{00000000-F7D4-4375-B330-48F4044EAEFA}"/>
            </c:ext>
          </c:extLst>
        </c:ser>
        <c:ser>
          <c:idx val="1"/>
          <c:order val="1"/>
          <c:tx>
            <c:strRef>
              <c:f>'Pivot Summary'!$Q$4</c:f>
              <c:strCache>
                <c:ptCount val="1"/>
                <c:pt idx="0">
                  <c:v>Everyday  Impact</c:v>
                </c:pt>
              </c:strCache>
            </c:strRef>
          </c:tx>
          <c:spPr>
            <a:ln w="28575" cap="rnd">
              <a:solidFill>
                <a:schemeClr val="accent2"/>
              </a:solidFill>
              <a:prstDash val="sysDash"/>
              <a:round/>
            </a:ln>
            <a:effectLst/>
          </c:spPr>
          <c:marker>
            <c:symbol val="none"/>
          </c:marker>
          <c:val>
            <c:numRef>
              <c:f>'Pivot Summary'!$Q$5:$Q$28</c:f>
              <c:numCache>
                <c:formatCode>0.0</c:formatCode>
                <c:ptCount val="24"/>
                <c:pt idx="0">
                  <c:v>-0.10005215539019899</c:v>
                </c:pt>
                <c:pt idx="1">
                  <c:v>-8.4088837149145973E-2</c:v>
                </c:pt>
                <c:pt idx="2">
                  <c:v>5.2776518991329915E-3</c:v>
                </c:pt>
                <c:pt idx="3">
                  <c:v>-3.8316932298605007E-2</c:v>
                </c:pt>
                <c:pt idx="4">
                  <c:v>6.2858274339966019E-2</c:v>
                </c:pt>
                <c:pt idx="5">
                  <c:v>-7.3576187922475E-2</c:v>
                </c:pt>
                <c:pt idx="6">
                  <c:v>0.18946900790478599</c:v>
                </c:pt>
                <c:pt idx="7">
                  <c:v>0.44550573464687493</c:v>
                </c:pt>
                <c:pt idx="8">
                  <c:v>-0.16959447855507398</c:v>
                </c:pt>
                <c:pt idx="9">
                  <c:v>-0.23748199886192406</c:v>
                </c:pt>
                <c:pt idx="10">
                  <c:v>-0.55913281878158905</c:v>
                </c:pt>
                <c:pt idx="11">
                  <c:v>-0.78819994343606692</c:v>
                </c:pt>
                <c:pt idx="12">
                  <c:v>-0.79377718221801907</c:v>
                </c:pt>
                <c:pt idx="13">
                  <c:v>-0.57572268727679499</c:v>
                </c:pt>
                <c:pt idx="14">
                  <c:v>-0.44760025811984305</c:v>
                </c:pt>
                <c:pt idx="15">
                  <c:v>-0.65283304022595012</c:v>
                </c:pt>
                <c:pt idx="16">
                  <c:v>-0.76099485373125209</c:v>
                </c:pt>
                <c:pt idx="17">
                  <c:v>-0.56147875442278194</c:v>
                </c:pt>
                <c:pt idx="18">
                  <c:v>-0.27562684781106295</c:v>
                </c:pt>
                <c:pt idx="19">
                  <c:v>0.18698298863109197</c:v>
                </c:pt>
                <c:pt idx="20">
                  <c:v>0.21866952732755007</c:v>
                </c:pt>
                <c:pt idx="21">
                  <c:v>9.2923064367870026E-2</c:v>
                </c:pt>
                <c:pt idx="22">
                  <c:v>-3.9056546545506998E-2</c:v>
                </c:pt>
                <c:pt idx="23">
                  <c:v>1.9657107105954003E-2</c:v>
                </c:pt>
              </c:numCache>
            </c:numRef>
          </c:val>
          <c:smooth val="0"/>
          <c:extLst>
            <c:ext xmlns:c16="http://schemas.microsoft.com/office/drawing/2014/chart" uri="{C3380CC4-5D6E-409C-BE32-E72D297353CC}">
              <c16:uniqueId val="{00000001-F7D4-4375-B330-48F4044EAEFA}"/>
            </c:ext>
          </c:extLst>
        </c:ser>
        <c:dLbls>
          <c:showLegendKey val="0"/>
          <c:showVal val="0"/>
          <c:showCatName val="0"/>
          <c:showSerName val="0"/>
          <c:showPercent val="0"/>
          <c:showBubbleSize val="0"/>
        </c:dLbls>
        <c:smooth val="0"/>
        <c:axId val="558243376"/>
        <c:axId val="569432064"/>
      </c:lineChart>
      <c:catAx>
        <c:axId val="558243376"/>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9432064"/>
        <c:crosses val="autoZero"/>
        <c:auto val="1"/>
        <c:lblAlgn val="ctr"/>
        <c:lblOffset val="100"/>
        <c:noMultiLvlLbl val="0"/>
      </c:catAx>
      <c:valAx>
        <c:axId val="5694320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Impact (MWh/hour)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824337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0" cap="flat" cmpd="sng" algn="ctr">
      <a:noFill/>
      <a:round/>
    </a:ln>
    <a:effectLst/>
  </c:spPr>
  <c:txPr>
    <a:bodyPr/>
    <a:lstStyle/>
    <a:p>
      <a:pPr>
        <a:defRPr/>
      </a:pPr>
      <a:endParaRPr lang="en-U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'Pivot Summary'!$M$4</c:f>
              <c:strCache>
                <c:ptCount val="1"/>
                <c:pt idx="0">
                  <c:v>Incremental Event Impact</c:v>
                </c:pt>
              </c:strCache>
            </c:strRef>
          </c:tx>
          <c:spPr>
            <a:ln w="28575" cap="rnd">
              <a:solidFill>
                <a:schemeClr val="accent1"/>
              </a:solidFill>
              <a:round/>
            </a:ln>
            <a:effectLst/>
          </c:spPr>
          <c:marker>
            <c:symbol val="none"/>
          </c:marker>
          <c:val>
            <c:numRef>
              <c:f>'Pivot Summary'!$M$5:$M$28</c:f>
              <c:numCache>
                <c:formatCode>0.0</c:formatCode>
                <c:ptCount val="24"/>
                <c:pt idx="0">
                  <c:v>1.0868910267171783</c:v>
                </c:pt>
                <c:pt idx="1">
                  <c:v>0.55684535626791576</c:v>
                </c:pt>
                <c:pt idx="2">
                  <c:v>0.36833626919410745</c:v>
                </c:pt>
                <c:pt idx="3">
                  <c:v>-8.2010565927702422E-2</c:v>
                </c:pt>
                <c:pt idx="4">
                  <c:v>-0.38546472025288753</c:v>
                </c:pt>
                <c:pt idx="5">
                  <c:v>-1.3614949545066632</c:v>
                </c:pt>
                <c:pt idx="6">
                  <c:v>-1.5706080590160028</c:v>
                </c:pt>
                <c:pt idx="7">
                  <c:v>-0.60210779694574001</c:v>
                </c:pt>
                <c:pt idx="8">
                  <c:v>0.50980939090899868</c:v>
                </c:pt>
                <c:pt idx="9">
                  <c:v>1.4798035831363494</c:v>
                </c:pt>
                <c:pt idx="10">
                  <c:v>1.2645534053346346</c:v>
                </c:pt>
                <c:pt idx="11">
                  <c:v>1.1970572019975299</c:v>
                </c:pt>
                <c:pt idx="12">
                  <c:v>0.98029238012622533</c:v>
                </c:pt>
                <c:pt idx="13">
                  <c:v>1.0447045305694453</c:v>
                </c:pt>
                <c:pt idx="14">
                  <c:v>3.587297587563028</c:v>
                </c:pt>
                <c:pt idx="15">
                  <c:v>4.6079860803648867</c:v>
                </c:pt>
                <c:pt idx="16">
                  <c:v>2.9058653125397997</c:v>
                </c:pt>
                <c:pt idx="17">
                  <c:v>1.8459042328113771</c:v>
                </c:pt>
                <c:pt idx="18">
                  <c:v>-0.24846525082334156</c:v>
                </c:pt>
                <c:pt idx="19">
                  <c:v>-1.5578530948511893</c:v>
                </c:pt>
                <c:pt idx="20">
                  <c:v>-2.3674324672709419</c:v>
                </c:pt>
                <c:pt idx="21">
                  <c:v>-1.0860370139186211</c:v>
                </c:pt>
                <c:pt idx="22">
                  <c:v>-0.50038378868827682</c:v>
                </c:pt>
                <c:pt idx="23">
                  <c:v>-0.70190604144762381</c:v>
                </c:pt>
              </c:numCache>
            </c:numRef>
          </c:val>
          <c:smooth val="0"/>
          <c:extLst>
            <c:ext xmlns:c16="http://schemas.microsoft.com/office/drawing/2014/chart" uri="{C3380CC4-5D6E-409C-BE32-E72D297353CC}">
              <c16:uniqueId val="{00000000-E891-4DE4-98E7-8148F3ECC0F0}"/>
            </c:ext>
          </c:extLst>
        </c:ser>
        <c:ser>
          <c:idx val="1"/>
          <c:order val="1"/>
          <c:tx>
            <c:strRef>
              <c:f>'Pivot Summary'!$N$4</c:f>
              <c:strCache>
                <c:ptCount val="1"/>
                <c:pt idx="0">
                  <c:v>Everyday  Impact</c:v>
                </c:pt>
              </c:strCache>
            </c:strRef>
          </c:tx>
          <c:spPr>
            <a:ln w="28575" cap="rnd">
              <a:solidFill>
                <a:schemeClr val="accent2"/>
              </a:solidFill>
              <a:prstDash val="sysDash"/>
              <a:round/>
            </a:ln>
            <a:effectLst/>
          </c:spPr>
          <c:marker>
            <c:symbol val="none"/>
          </c:marker>
          <c:val>
            <c:numRef>
              <c:f>'Pivot Summary'!$N$5:$N$28</c:f>
              <c:numCache>
                <c:formatCode>0.0</c:formatCode>
                <c:ptCount val="24"/>
                <c:pt idx="0">
                  <c:v>-1.5638033011802728</c:v>
                </c:pt>
                <c:pt idx="1">
                  <c:v>-0.60654458221070529</c:v>
                </c:pt>
                <c:pt idx="2">
                  <c:v>-0.71550670110011483</c:v>
                </c:pt>
                <c:pt idx="3">
                  <c:v>-0.71997704974987797</c:v>
                </c:pt>
                <c:pt idx="4">
                  <c:v>0.11854160079144599</c:v>
                </c:pt>
                <c:pt idx="5">
                  <c:v>1.9264667940201179</c:v>
                </c:pt>
                <c:pt idx="6">
                  <c:v>1.1236127623604832</c:v>
                </c:pt>
                <c:pt idx="7">
                  <c:v>0.33551746310896402</c:v>
                </c:pt>
                <c:pt idx="8">
                  <c:v>0.92121025190922423</c:v>
                </c:pt>
                <c:pt idx="9">
                  <c:v>-0.81951798015593402</c:v>
                </c:pt>
                <c:pt idx="10">
                  <c:v>-1.377669199324755</c:v>
                </c:pt>
                <c:pt idx="11">
                  <c:v>-2.5445345870196654</c:v>
                </c:pt>
                <c:pt idx="12">
                  <c:v>-3.549231812824809</c:v>
                </c:pt>
                <c:pt idx="13">
                  <c:v>-3.6438584106230634</c:v>
                </c:pt>
                <c:pt idx="14">
                  <c:v>-3.757109370282155</c:v>
                </c:pt>
                <c:pt idx="15">
                  <c:v>-4.4626607729296124</c:v>
                </c:pt>
                <c:pt idx="16">
                  <c:v>-3.6858071563191031</c:v>
                </c:pt>
                <c:pt idx="17">
                  <c:v>-3.3902797061955567</c:v>
                </c:pt>
                <c:pt idx="18">
                  <c:v>-2.5200522059252686</c:v>
                </c:pt>
                <c:pt idx="19">
                  <c:v>-5.4237999674781212E-2</c:v>
                </c:pt>
                <c:pt idx="20">
                  <c:v>-0.2392194405932464</c:v>
                </c:pt>
                <c:pt idx="21">
                  <c:v>1.3072944865844849</c:v>
                </c:pt>
                <c:pt idx="22">
                  <c:v>1.0553220495077795</c:v>
                </c:pt>
                <c:pt idx="23">
                  <c:v>0.21121422940616952</c:v>
                </c:pt>
              </c:numCache>
            </c:numRef>
          </c:val>
          <c:smooth val="0"/>
          <c:extLst>
            <c:ext xmlns:c16="http://schemas.microsoft.com/office/drawing/2014/chart" uri="{C3380CC4-5D6E-409C-BE32-E72D297353CC}">
              <c16:uniqueId val="{00000001-E891-4DE4-98E7-8148F3ECC0F0}"/>
            </c:ext>
          </c:extLst>
        </c:ser>
        <c:dLbls>
          <c:showLegendKey val="0"/>
          <c:showVal val="0"/>
          <c:showCatName val="0"/>
          <c:showSerName val="0"/>
          <c:showPercent val="0"/>
          <c:showBubbleSize val="0"/>
        </c:dLbls>
        <c:smooth val="0"/>
        <c:axId val="558243376"/>
        <c:axId val="569432064"/>
      </c:lineChart>
      <c:catAx>
        <c:axId val="558243376"/>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9432064"/>
        <c:crosses val="autoZero"/>
        <c:auto val="1"/>
        <c:lblAlgn val="ctr"/>
        <c:lblOffset val="100"/>
        <c:noMultiLvlLbl val="0"/>
      </c:catAx>
      <c:valAx>
        <c:axId val="5694320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Impact (MWh/hour)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824337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0" cap="flat" cmpd="sng" algn="ctr">
      <a:noFill/>
      <a:round/>
    </a:ln>
    <a:effectLst/>
  </c:spPr>
  <c:txPr>
    <a:bodyPr/>
    <a:lstStyle/>
    <a:p>
      <a:pPr>
        <a:defRPr/>
      </a:pPr>
      <a:endParaRPr lang="en-U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'Pivot Summary'!$J$4</c:f>
              <c:strCache>
                <c:ptCount val="1"/>
                <c:pt idx="0">
                  <c:v>Incremental Event Impact</c:v>
                </c:pt>
              </c:strCache>
            </c:strRef>
          </c:tx>
          <c:spPr>
            <a:ln w="28575" cap="rnd">
              <a:solidFill>
                <a:schemeClr val="accent1"/>
              </a:solidFill>
              <a:round/>
            </a:ln>
            <a:effectLst/>
          </c:spPr>
          <c:marker>
            <c:symbol val="none"/>
          </c:marker>
          <c:val>
            <c:numRef>
              <c:f>'Pivot Summary'!$J$5:$J$28</c:f>
              <c:numCache>
                <c:formatCode>0.0</c:formatCode>
                <c:ptCount val="24"/>
                <c:pt idx="0">
                  <c:v>-1.5831283077534313</c:v>
                </c:pt>
                <c:pt idx="1">
                  <c:v>-1.0515163053858529</c:v>
                </c:pt>
                <c:pt idx="2">
                  <c:v>-1.1133753335598897</c:v>
                </c:pt>
                <c:pt idx="3">
                  <c:v>-0.32016587247339667</c:v>
                </c:pt>
                <c:pt idx="4">
                  <c:v>-0.58719004118286711</c:v>
                </c:pt>
                <c:pt idx="5">
                  <c:v>-0.20046649593858551</c:v>
                </c:pt>
                <c:pt idx="6">
                  <c:v>0.53028319875385144</c:v>
                </c:pt>
                <c:pt idx="7">
                  <c:v>1.0106595377227929</c:v>
                </c:pt>
                <c:pt idx="8">
                  <c:v>1.7940979009474285</c:v>
                </c:pt>
                <c:pt idx="9">
                  <c:v>1.5465181060017985</c:v>
                </c:pt>
                <c:pt idx="10">
                  <c:v>1.6398072706701559</c:v>
                </c:pt>
                <c:pt idx="11">
                  <c:v>2.6082065642372361</c:v>
                </c:pt>
                <c:pt idx="12">
                  <c:v>2.5225800345763334</c:v>
                </c:pt>
                <c:pt idx="13">
                  <c:v>3.3861862692693498</c:v>
                </c:pt>
                <c:pt idx="14">
                  <c:v>3.2023610106394313</c:v>
                </c:pt>
                <c:pt idx="15">
                  <c:v>3.8944161631268601</c:v>
                </c:pt>
                <c:pt idx="16">
                  <c:v>3.6169415817542063</c:v>
                </c:pt>
                <c:pt idx="17">
                  <c:v>3.4076538934331335</c:v>
                </c:pt>
                <c:pt idx="18">
                  <c:v>1.6009231371974335</c:v>
                </c:pt>
                <c:pt idx="19">
                  <c:v>-0.44406869083282852</c:v>
                </c:pt>
                <c:pt idx="20">
                  <c:v>-0.45980659873898932</c:v>
                </c:pt>
                <c:pt idx="21">
                  <c:v>-0.42194688989814472</c:v>
                </c:pt>
                <c:pt idx="22">
                  <c:v>-0.39455455232745734</c:v>
                </c:pt>
                <c:pt idx="23">
                  <c:v>-0.48837261045020652</c:v>
                </c:pt>
              </c:numCache>
            </c:numRef>
          </c:val>
          <c:smooth val="0"/>
          <c:extLst>
            <c:ext xmlns:c16="http://schemas.microsoft.com/office/drawing/2014/chart" uri="{C3380CC4-5D6E-409C-BE32-E72D297353CC}">
              <c16:uniqueId val="{00000000-F7F9-498E-9DEB-FCDD8C8B4497}"/>
            </c:ext>
          </c:extLst>
        </c:ser>
        <c:ser>
          <c:idx val="1"/>
          <c:order val="1"/>
          <c:tx>
            <c:strRef>
              <c:f>'Pivot Summary'!$K$4</c:f>
              <c:strCache>
                <c:ptCount val="1"/>
                <c:pt idx="0">
                  <c:v>Everyday  Impact</c:v>
                </c:pt>
              </c:strCache>
            </c:strRef>
          </c:tx>
          <c:spPr>
            <a:ln w="28575" cap="rnd">
              <a:solidFill>
                <a:schemeClr val="accent2"/>
              </a:solidFill>
              <a:prstDash val="sysDash"/>
              <a:round/>
            </a:ln>
            <a:effectLst/>
          </c:spPr>
          <c:marker>
            <c:symbol val="none"/>
          </c:marker>
          <c:val>
            <c:numRef>
              <c:f>'Pivot Summary'!$K$5:$K$28</c:f>
              <c:numCache>
                <c:formatCode>0.0</c:formatCode>
                <c:ptCount val="24"/>
                <c:pt idx="0">
                  <c:v>1.7411843712374269</c:v>
                </c:pt>
                <c:pt idx="1">
                  <c:v>0.45932969923356548</c:v>
                </c:pt>
                <c:pt idx="2">
                  <c:v>0.51725661268690404</c:v>
                </c:pt>
                <c:pt idx="3">
                  <c:v>-0.1769436816181191</c:v>
                </c:pt>
                <c:pt idx="4">
                  <c:v>-0.53966306260454122</c:v>
                </c:pt>
                <c:pt idx="5">
                  <c:v>0.14673437649736121</c:v>
                </c:pt>
                <c:pt idx="6">
                  <c:v>0.62478547292462239</c:v>
                </c:pt>
                <c:pt idx="7">
                  <c:v>-0.28412366065186301</c:v>
                </c:pt>
                <c:pt idx="8">
                  <c:v>-1.1385057695323801</c:v>
                </c:pt>
                <c:pt idx="9">
                  <c:v>-1.383449997666568</c:v>
                </c:pt>
                <c:pt idx="10">
                  <c:v>-1.8439442803807129</c:v>
                </c:pt>
                <c:pt idx="11">
                  <c:v>-1.2697063000310858</c:v>
                </c:pt>
                <c:pt idx="12">
                  <c:v>-1.1774941904140199</c:v>
                </c:pt>
                <c:pt idx="13">
                  <c:v>-4.0399055862466504E-2</c:v>
                </c:pt>
                <c:pt idx="14">
                  <c:v>1.3937860790385075</c:v>
                </c:pt>
                <c:pt idx="15">
                  <c:v>-0.43288382405525194</c:v>
                </c:pt>
                <c:pt idx="16">
                  <c:v>1.0123080912209503</c:v>
                </c:pt>
                <c:pt idx="17">
                  <c:v>1.1524524079481691</c:v>
                </c:pt>
                <c:pt idx="18">
                  <c:v>2.4885586890593632</c:v>
                </c:pt>
                <c:pt idx="19">
                  <c:v>2.4178650656265903</c:v>
                </c:pt>
                <c:pt idx="20">
                  <c:v>2.2844684677812461</c:v>
                </c:pt>
                <c:pt idx="21">
                  <c:v>2.5729831284198958</c:v>
                </c:pt>
                <c:pt idx="22">
                  <c:v>1.011017465855085</c:v>
                </c:pt>
                <c:pt idx="23">
                  <c:v>0.89626555293564214</c:v>
                </c:pt>
              </c:numCache>
            </c:numRef>
          </c:val>
          <c:smooth val="0"/>
          <c:extLst>
            <c:ext xmlns:c16="http://schemas.microsoft.com/office/drawing/2014/chart" uri="{C3380CC4-5D6E-409C-BE32-E72D297353CC}">
              <c16:uniqueId val="{00000001-F7F9-498E-9DEB-FCDD8C8B4497}"/>
            </c:ext>
          </c:extLst>
        </c:ser>
        <c:dLbls>
          <c:showLegendKey val="0"/>
          <c:showVal val="0"/>
          <c:showCatName val="0"/>
          <c:showSerName val="0"/>
          <c:showPercent val="0"/>
          <c:showBubbleSize val="0"/>
        </c:dLbls>
        <c:smooth val="0"/>
        <c:axId val="558243376"/>
        <c:axId val="569432064"/>
      </c:lineChart>
      <c:catAx>
        <c:axId val="558243376"/>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9432064"/>
        <c:crosses val="autoZero"/>
        <c:auto val="1"/>
        <c:lblAlgn val="ctr"/>
        <c:lblOffset val="100"/>
        <c:noMultiLvlLbl val="0"/>
      </c:catAx>
      <c:valAx>
        <c:axId val="5694320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Impact (MWh/hour)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824337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0" cap="flat" cmpd="sng" algn="ctr">
      <a:noFill/>
      <a:round/>
    </a:ln>
    <a:effectLst/>
  </c:spPr>
  <c:txPr>
    <a:bodyPr/>
    <a:lstStyle/>
    <a:p>
      <a:pPr>
        <a:defRPr/>
      </a:pPr>
      <a:endParaRPr lang="en-U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4"/>
          <c:order val="0"/>
          <c:tx>
            <c:strRef>
              <c:f>Data!$E$54</c:f>
              <c:strCache>
                <c:ptCount val="1"/>
                <c:pt idx="0">
                  <c:v>200 kW and above</c:v>
                </c:pt>
              </c:strCache>
            </c:strRef>
          </c:tx>
          <c:spPr>
            <a:solidFill>
              <a:srgbClr val="0C2577"/>
            </a:solidFill>
            <a:ln>
              <a:noFill/>
            </a:ln>
            <a:effectLst/>
          </c:spPr>
          <c:invertIfNegative val="0"/>
          <c:cat>
            <c:numRef>
              <c:f>Data!$A$55:$A$65</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Data!$E$55:$E$65</c:f>
              <c:numCache>
                <c:formatCode>_(* #,##0_);_(* \(#,##0\);_(* "-"??_);_(@_)</c:formatCode>
                <c:ptCount val="11"/>
                <c:pt idx="0">
                  <c:v>3153.5</c:v>
                </c:pt>
                <c:pt idx="1">
                  <c:v>3844.63</c:v>
                </c:pt>
                <c:pt idx="2">
                  <c:v>5737.7930999999999</c:v>
                </c:pt>
                <c:pt idx="3">
                  <c:v>5740.7951999999996</c:v>
                </c:pt>
                <c:pt idx="4">
                  <c:v>5743.8589000000002</c:v>
                </c:pt>
                <c:pt idx="5">
                  <c:v>5746.9853999999996</c:v>
                </c:pt>
                <c:pt idx="6">
                  <c:v>5750.1759000000002</c:v>
                </c:pt>
                <c:pt idx="7">
                  <c:v>5753.4318999999996</c:v>
                </c:pt>
                <c:pt idx="8">
                  <c:v>5756.7546000000002</c:v>
                </c:pt>
                <c:pt idx="9">
                  <c:v>5760.1453000000001</c:v>
                </c:pt>
                <c:pt idx="10">
                  <c:v>5763.6055999999999</c:v>
                </c:pt>
              </c:numCache>
            </c:numRef>
          </c:val>
          <c:extLst>
            <c:ext xmlns:c16="http://schemas.microsoft.com/office/drawing/2014/chart" uri="{C3380CC4-5D6E-409C-BE32-E72D297353CC}">
              <c16:uniqueId val="{00000000-F4F6-4BD2-9467-46B48B7690BE}"/>
            </c:ext>
          </c:extLst>
        </c:ser>
        <c:dLbls>
          <c:showLegendKey val="0"/>
          <c:showVal val="0"/>
          <c:showCatName val="0"/>
          <c:showSerName val="0"/>
          <c:showPercent val="0"/>
          <c:showBubbleSize val="0"/>
        </c:dLbls>
        <c:gapWidth val="21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max val="6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August Enrollment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3"/>
          <c:tx>
            <c:strRef>
              <c:f>Data!$Q$80</c:f>
              <c:strCache>
                <c:ptCount val="1"/>
                <c:pt idx="0">
                  <c:v>Event Hours</c:v>
                </c:pt>
              </c:strCache>
            </c:strRef>
          </c:tx>
          <c:spPr>
            <a:solidFill>
              <a:schemeClr val="accent5">
                <a:lumMod val="40000"/>
                <a:lumOff val="60000"/>
                <a:alpha val="50000"/>
              </a:schemeClr>
            </a:solidFill>
            <a:ln w="25400">
              <a:noFill/>
            </a:ln>
            <a:effectLst/>
          </c:spPr>
          <c:invertIfNegative val="0"/>
          <c:val>
            <c:numRef>
              <c:f>Data!$Q$81:$Q$104</c:f>
              <c:numCache>
                <c:formatCode>General</c:formatCode>
                <c:ptCount val="24"/>
                <c:pt idx="14" formatCode="#,##0">
                  <c:v>2000</c:v>
                </c:pt>
                <c:pt idx="15" formatCode="#,##0">
                  <c:v>2000</c:v>
                </c:pt>
                <c:pt idx="16" formatCode="#,##0">
                  <c:v>2000</c:v>
                </c:pt>
                <c:pt idx="17" formatCode="#,##0">
                  <c:v>2000</c:v>
                </c:pt>
              </c:numCache>
            </c:numRef>
          </c:val>
          <c:extLst>
            <c:ext xmlns:c16="http://schemas.microsoft.com/office/drawing/2014/chart" uri="{C3380CC4-5D6E-409C-BE32-E72D297353CC}">
              <c16:uniqueId val="{00000000-C6AB-4031-BD69-1A0C0FAB85BF}"/>
            </c:ext>
          </c:extLst>
        </c:ser>
        <c:dLbls>
          <c:showLegendKey val="0"/>
          <c:showVal val="0"/>
          <c:showCatName val="0"/>
          <c:showSerName val="0"/>
          <c:showPercent val="0"/>
          <c:showBubbleSize val="0"/>
        </c:dLbls>
        <c:gapWidth val="0"/>
        <c:axId val="961637680"/>
        <c:axId val="929931504"/>
      </c:barChart>
      <c:lineChart>
        <c:grouping val="standard"/>
        <c:varyColors val="0"/>
        <c:ser>
          <c:idx val="3"/>
          <c:order val="0"/>
          <c:tx>
            <c:strRef>
              <c:f>Data!$O$54</c:f>
              <c:strCache>
                <c:ptCount val="1"/>
                <c:pt idx="0">
                  <c:v>Reference</c:v>
                </c:pt>
              </c:strCache>
            </c:strRef>
          </c:tx>
          <c:spPr>
            <a:ln w="38100" cap="rnd">
              <a:solidFill>
                <a:schemeClr val="accent5"/>
              </a:solidFill>
              <a:round/>
            </a:ln>
            <a:effectLst/>
          </c:spPr>
          <c:marker>
            <c:symbol val="none"/>
          </c:marker>
          <c:cat>
            <c:numRef>
              <c:f>Data!$N$3:$N$26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Data!$O$81:$O$104</c:f>
              <c:numCache>
                <c:formatCode>#,##0.0</c:formatCode>
                <c:ptCount val="24"/>
                <c:pt idx="0">
                  <c:v>1093.8098</c:v>
                </c:pt>
                <c:pt idx="1">
                  <c:v>1067.8713</c:v>
                </c:pt>
                <c:pt idx="2">
                  <c:v>1052.9432999999999</c:v>
                </c:pt>
                <c:pt idx="3">
                  <c:v>1066.5093999999999</c:v>
                </c:pt>
                <c:pt idx="4">
                  <c:v>1119.5778</c:v>
                </c:pt>
                <c:pt idx="5">
                  <c:v>1226.1907000000001</c:v>
                </c:pt>
                <c:pt idx="6">
                  <c:v>1364.3602000000001</c:v>
                </c:pt>
                <c:pt idx="7">
                  <c:v>1466.2666999999999</c:v>
                </c:pt>
                <c:pt idx="8">
                  <c:v>1540.4583</c:v>
                </c:pt>
                <c:pt idx="9">
                  <c:v>1602.271</c:v>
                </c:pt>
                <c:pt idx="10">
                  <c:v>1656.2928999999999</c:v>
                </c:pt>
                <c:pt idx="11">
                  <c:v>1663.2932000000001</c:v>
                </c:pt>
                <c:pt idx="12">
                  <c:v>1648.4834000000001</c:v>
                </c:pt>
                <c:pt idx="13">
                  <c:v>1664.1111000000001</c:v>
                </c:pt>
                <c:pt idx="14">
                  <c:v>1647.7393999999999</c:v>
                </c:pt>
                <c:pt idx="15">
                  <c:v>1604.2692999999999</c:v>
                </c:pt>
                <c:pt idx="16">
                  <c:v>1540.1022</c:v>
                </c:pt>
                <c:pt idx="17">
                  <c:v>1458.4799</c:v>
                </c:pt>
                <c:pt idx="18">
                  <c:v>1355.6233999999999</c:v>
                </c:pt>
                <c:pt idx="19">
                  <c:v>1324.9423999999999</c:v>
                </c:pt>
                <c:pt idx="20">
                  <c:v>1292.4348</c:v>
                </c:pt>
                <c:pt idx="21">
                  <c:v>1243.6342</c:v>
                </c:pt>
                <c:pt idx="22">
                  <c:v>1190.8347000000001</c:v>
                </c:pt>
                <c:pt idx="23">
                  <c:v>1139.1454000000001</c:v>
                </c:pt>
              </c:numCache>
            </c:numRef>
          </c:val>
          <c:smooth val="0"/>
          <c:extLst>
            <c:ext xmlns:c16="http://schemas.microsoft.com/office/drawing/2014/chart" uri="{C3380CC4-5D6E-409C-BE32-E72D297353CC}">
              <c16:uniqueId val="{00000001-C6AB-4031-BD69-1A0C0FAB85BF}"/>
            </c:ext>
          </c:extLst>
        </c:ser>
        <c:ser>
          <c:idx val="0"/>
          <c:order val="1"/>
          <c:tx>
            <c:strRef>
              <c:f>Data!$P$80</c:f>
              <c:strCache>
                <c:ptCount val="1"/>
                <c:pt idx="0">
                  <c:v>Observed</c:v>
                </c:pt>
              </c:strCache>
            </c:strRef>
          </c:tx>
          <c:spPr>
            <a:ln w="38100" cap="rnd">
              <a:solidFill>
                <a:schemeClr val="accent2"/>
              </a:solidFill>
              <a:prstDash val="dash"/>
              <a:round/>
            </a:ln>
            <a:effectLst/>
          </c:spPr>
          <c:marker>
            <c:symbol val="none"/>
          </c:marker>
          <c:cat>
            <c:numRef>
              <c:f>Data!$N$3:$N$26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Data!$P$81:$P$104</c:f>
              <c:numCache>
                <c:formatCode>#,##0.0</c:formatCode>
                <c:ptCount val="24"/>
                <c:pt idx="0">
                  <c:v>1087.0073</c:v>
                </c:pt>
                <c:pt idx="1">
                  <c:v>1058.829</c:v>
                </c:pt>
                <c:pt idx="2">
                  <c:v>1044.7262000000001</c:v>
                </c:pt>
                <c:pt idx="3">
                  <c:v>1061.8276000000001</c:v>
                </c:pt>
                <c:pt idx="4">
                  <c:v>1121.0411999999999</c:v>
                </c:pt>
                <c:pt idx="5">
                  <c:v>1228.1711</c:v>
                </c:pt>
                <c:pt idx="6">
                  <c:v>1372.002</c:v>
                </c:pt>
                <c:pt idx="7">
                  <c:v>1478.6059</c:v>
                </c:pt>
                <c:pt idx="8">
                  <c:v>1543.8036</c:v>
                </c:pt>
                <c:pt idx="9">
                  <c:v>1605.4608000000001</c:v>
                </c:pt>
                <c:pt idx="10">
                  <c:v>1660.6255000000001</c:v>
                </c:pt>
                <c:pt idx="11">
                  <c:v>1661.1054999999999</c:v>
                </c:pt>
                <c:pt idx="12">
                  <c:v>1644.8128999999999</c:v>
                </c:pt>
                <c:pt idx="13">
                  <c:v>1650.3297</c:v>
                </c:pt>
                <c:pt idx="14">
                  <c:v>1602.5654999999999</c:v>
                </c:pt>
                <c:pt idx="15">
                  <c:v>1556.2637</c:v>
                </c:pt>
                <c:pt idx="16">
                  <c:v>1490.7034000000001</c:v>
                </c:pt>
                <c:pt idx="17">
                  <c:v>1415.3517999999999</c:v>
                </c:pt>
                <c:pt idx="18">
                  <c:v>1338.0160000000001</c:v>
                </c:pt>
                <c:pt idx="19">
                  <c:v>1325.8657000000001</c:v>
                </c:pt>
                <c:pt idx="20">
                  <c:v>1296.4103</c:v>
                </c:pt>
                <c:pt idx="21">
                  <c:v>1245.0565999999999</c:v>
                </c:pt>
                <c:pt idx="22">
                  <c:v>1195.0205000000001</c:v>
                </c:pt>
                <c:pt idx="23">
                  <c:v>1144.3985</c:v>
                </c:pt>
              </c:numCache>
            </c:numRef>
          </c:val>
          <c:smooth val="0"/>
          <c:extLst>
            <c:ext xmlns:c16="http://schemas.microsoft.com/office/drawing/2014/chart" uri="{C3380CC4-5D6E-409C-BE32-E72D297353CC}">
              <c16:uniqueId val="{00000002-C6AB-4031-BD69-1A0C0FAB85BF}"/>
            </c:ext>
          </c:extLst>
        </c:ser>
        <c:dLbls>
          <c:showLegendKey val="0"/>
          <c:showVal val="0"/>
          <c:showCatName val="0"/>
          <c:showSerName val="0"/>
          <c:showPercent val="0"/>
          <c:showBubbleSize val="0"/>
        </c:dLbls>
        <c:marker val="1"/>
        <c:smooth val="0"/>
        <c:axId val="961637680"/>
        <c:axId val="929931504"/>
      </c:lineChart>
      <c:lineChart>
        <c:grouping val="standard"/>
        <c:varyColors val="0"/>
        <c:ser>
          <c:idx val="1"/>
          <c:order val="2"/>
          <c:tx>
            <c:strRef>
              <c:f>Data!$R$80</c:f>
              <c:strCache>
                <c:ptCount val="1"/>
                <c:pt idx="0">
                  <c:v>Load_Impact</c:v>
                </c:pt>
              </c:strCache>
            </c:strRef>
          </c:tx>
          <c:spPr>
            <a:ln w="38100" cap="rnd">
              <a:solidFill>
                <a:srgbClr val="92D050"/>
              </a:solidFill>
              <a:round/>
            </a:ln>
            <a:effectLst/>
          </c:spPr>
          <c:marker>
            <c:symbol val="square"/>
            <c:size val="5"/>
            <c:spPr>
              <a:solidFill>
                <a:srgbClr val="92D050"/>
              </a:solidFill>
              <a:ln w="9525">
                <a:noFill/>
              </a:ln>
              <a:effectLst/>
            </c:spPr>
          </c:marker>
          <c:cat>
            <c:numRef>
              <c:f>Data!$N$81:$N$104</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Data!$R$81:$R$104</c:f>
              <c:numCache>
                <c:formatCode>#,##0.0</c:formatCode>
                <c:ptCount val="24"/>
                <c:pt idx="0">
                  <c:v>6.8025409999999997</c:v>
                </c:pt>
                <c:pt idx="1">
                  <c:v>9.0422688000000004</c:v>
                </c:pt>
                <c:pt idx="2">
                  <c:v>8.2171116000000008</c:v>
                </c:pt>
                <c:pt idx="3">
                  <c:v>4.6818337000000003</c:v>
                </c:pt>
                <c:pt idx="4">
                  <c:v>-1.4633986999999999</c:v>
                </c:pt>
                <c:pt idx="5">
                  <c:v>-1.9804613</c:v>
                </c:pt>
                <c:pt idx="6">
                  <c:v>-7.6418499999999998</c:v>
                </c:pt>
                <c:pt idx="7">
                  <c:v>-12.339188</c:v>
                </c:pt>
                <c:pt idx="8">
                  <c:v>-3.3453016999999998</c:v>
                </c:pt>
                <c:pt idx="9">
                  <c:v>-3.1898157</c:v>
                </c:pt>
                <c:pt idx="10">
                  <c:v>-4.3325611000000004</c:v>
                </c:pt>
                <c:pt idx="11">
                  <c:v>2.1876826999999999</c:v>
                </c:pt>
                <c:pt idx="12">
                  <c:v>3.6704954999999999</c:v>
                </c:pt>
                <c:pt idx="13">
                  <c:v>13.781442999999999</c:v>
                </c:pt>
                <c:pt idx="14">
                  <c:v>45.173960999999998</c:v>
                </c:pt>
                <c:pt idx="15">
                  <c:v>48.005535000000002</c:v>
                </c:pt>
                <c:pt idx="16">
                  <c:v>49.398764999999997</c:v>
                </c:pt>
                <c:pt idx="17">
                  <c:v>43.128100000000003</c:v>
                </c:pt>
                <c:pt idx="18">
                  <c:v>17.607330999999999</c:v>
                </c:pt>
                <c:pt idx="19">
                  <c:v>-0.92338852999999999</c:v>
                </c:pt>
                <c:pt idx="20">
                  <c:v>-3.9755666000000001</c:v>
                </c:pt>
                <c:pt idx="21">
                  <c:v>-1.4224133999999999</c:v>
                </c:pt>
                <c:pt idx="22">
                  <c:v>-4.1858243999999996</c:v>
                </c:pt>
                <c:pt idx="23">
                  <c:v>-5.2531404999999998</c:v>
                </c:pt>
              </c:numCache>
            </c:numRef>
          </c:val>
          <c:smooth val="0"/>
          <c:extLst>
            <c:ext xmlns:c16="http://schemas.microsoft.com/office/drawing/2014/chart" uri="{C3380CC4-5D6E-409C-BE32-E72D297353CC}">
              <c16:uniqueId val="{00000003-C6AB-4031-BD69-1A0C0FAB85BF}"/>
            </c:ext>
          </c:extLst>
        </c:ser>
        <c:dLbls>
          <c:showLegendKey val="0"/>
          <c:showVal val="0"/>
          <c:showCatName val="0"/>
          <c:showSerName val="0"/>
          <c:showPercent val="0"/>
          <c:showBubbleSize val="0"/>
        </c:dLbls>
        <c:marker val="1"/>
        <c:smooth val="0"/>
        <c:axId val="856625360"/>
        <c:axId val="854927584"/>
      </c:lineChart>
      <c:catAx>
        <c:axId val="961637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931504"/>
        <c:crosses val="autoZero"/>
        <c:auto val="1"/>
        <c:lblAlgn val="ctr"/>
        <c:lblOffset val="100"/>
        <c:noMultiLvlLbl val="0"/>
      </c:catAx>
      <c:valAx>
        <c:axId val="929931504"/>
        <c:scaling>
          <c:orientation val="minMax"/>
          <c:max val="17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1637680"/>
        <c:crosses val="autoZero"/>
        <c:crossBetween val="between"/>
        <c:majorUnit val="250"/>
      </c:valAx>
      <c:valAx>
        <c:axId val="854927584"/>
        <c:scaling>
          <c:orientation val="minMax"/>
          <c:max val="50"/>
          <c:min val="-20"/>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6625360"/>
        <c:crosses val="max"/>
        <c:crossBetween val="between"/>
      </c:valAx>
      <c:catAx>
        <c:axId val="856625360"/>
        <c:scaling>
          <c:orientation val="minMax"/>
        </c:scaling>
        <c:delete val="1"/>
        <c:axPos val="b"/>
        <c:numFmt formatCode="General" sourceLinked="1"/>
        <c:majorTickMark val="out"/>
        <c:minorTickMark val="none"/>
        <c:tickLblPos val="nextTo"/>
        <c:crossAx val="85492758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0372-452A-A113-18FE0A7A469E}"/>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56984543598717"/>
          <c:y val="3.509331631839209E-2"/>
          <c:w val="0.8745968212306795"/>
          <c:h val="0.72646731887816951"/>
        </c:manualLayout>
      </c:layout>
      <c:barChart>
        <c:barDir val="col"/>
        <c:grouping val="clustered"/>
        <c:varyColors val="0"/>
        <c:ser>
          <c:idx val="3"/>
          <c:order val="0"/>
          <c:tx>
            <c:strRef>
              <c:f>Data!$U$46</c:f>
              <c:strCache>
                <c:ptCount val="1"/>
                <c:pt idx="0">
                  <c:v>200 kW and above</c:v>
                </c:pt>
              </c:strCache>
            </c:strRef>
          </c:tx>
          <c:spPr>
            <a:solidFill>
              <a:srgbClr val="0C2577"/>
            </a:solidFill>
            <a:ln>
              <a:noFill/>
            </a:ln>
            <a:effectLst/>
          </c:spPr>
          <c:invertIfNegative val="0"/>
          <c:cat>
            <c:strRef>
              <c:f>Data!$V$42:$V$53</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Data!$Z$42:$Z$53</c:f>
              <c:numCache>
                <c:formatCode>0.0</c:formatCode>
                <c:ptCount val="12"/>
                <c:pt idx="0">
                  <c:v>16.585691000000001</c:v>
                </c:pt>
                <c:pt idx="1">
                  <c:v>16.245519000000002</c:v>
                </c:pt>
                <c:pt idx="2">
                  <c:v>16.725297000000001</c:v>
                </c:pt>
                <c:pt idx="3">
                  <c:v>36.576715999999998</c:v>
                </c:pt>
                <c:pt idx="4">
                  <c:v>37.676875000000003</c:v>
                </c:pt>
                <c:pt idx="5">
                  <c:v>38.951185000000002</c:v>
                </c:pt>
                <c:pt idx="6">
                  <c:v>38.877766000000001</c:v>
                </c:pt>
                <c:pt idx="7">
                  <c:v>39.958486000000001</c:v>
                </c:pt>
                <c:pt idx="8">
                  <c:v>41.142367</c:v>
                </c:pt>
                <c:pt idx="9">
                  <c:v>38.391897999999998</c:v>
                </c:pt>
                <c:pt idx="10">
                  <c:v>17.165175000000001</c:v>
                </c:pt>
                <c:pt idx="11">
                  <c:v>16.273790000000002</c:v>
                </c:pt>
              </c:numCache>
            </c:numRef>
          </c:val>
          <c:extLst>
            <c:ext xmlns:c16="http://schemas.microsoft.com/office/drawing/2014/chart" uri="{C3380CC4-5D6E-409C-BE32-E72D297353CC}">
              <c16:uniqueId val="{00000000-17AF-407C-8333-99B410958623}"/>
            </c:ext>
          </c:extLst>
        </c:ser>
        <c:dLbls>
          <c:showLegendKey val="0"/>
          <c:showVal val="0"/>
          <c:showCatName val="0"/>
          <c:showSerName val="0"/>
          <c:showPercent val="0"/>
          <c:showBubbleSize val="0"/>
        </c:dLbls>
        <c:gapWidth val="219"/>
        <c:overlap val="-27"/>
        <c:axId val="957762816"/>
        <c:axId val="1052070752"/>
      </c:barChart>
      <c:catAx>
        <c:axId val="957762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52070752"/>
        <c:crosses val="autoZero"/>
        <c:auto val="1"/>
        <c:lblAlgn val="ctr"/>
        <c:lblOffset val="100"/>
        <c:noMultiLvlLbl val="0"/>
      </c:catAx>
      <c:valAx>
        <c:axId val="105207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a:t>
                </a:r>
                <a:r>
                  <a:rPr lang="en-US" baseline="0"/>
                  <a:t> Load Impact (MWh/hr)</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776281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Data!$AE$41</c:f>
              <c:strCache>
                <c:ptCount val="1"/>
                <c:pt idx="0">
                  <c:v>Utility 1-in-10</c:v>
                </c:pt>
              </c:strCache>
            </c:strRef>
          </c:tx>
          <c:spPr>
            <a:solidFill>
              <a:schemeClr val="accent3"/>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Data!$AE$42:$AE$52</c:f>
              <c:numCache>
                <c:formatCode>0.0</c:formatCode>
                <c:ptCount val="11"/>
                <c:pt idx="0">
                  <c:v>26.341024000000001</c:v>
                </c:pt>
                <c:pt idx="1">
                  <c:v>30.064582999999999</c:v>
                </c:pt>
                <c:pt idx="2">
                  <c:v>40.85472</c:v>
                </c:pt>
                <c:pt idx="3">
                  <c:v>40.870922</c:v>
                </c:pt>
                <c:pt idx="4">
                  <c:v>40.887456999999998</c:v>
                </c:pt>
                <c:pt idx="5">
                  <c:v>40.904330000000002</c:v>
                </c:pt>
                <c:pt idx="6">
                  <c:v>40.921548999999999</c:v>
                </c:pt>
                <c:pt idx="7">
                  <c:v>40.939121</c:v>
                </c:pt>
                <c:pt idx="8">
                  <c:v>40.957053000000002</c:v>
                </c:pt>
                <c:pt idx="9">
                  <c:v>40.975352000000001</c:v>
                </c:pt>
                <c:pt idx="10">
                  <c:v>40.994027000000003</c:v>
                </c:pt>
              </c:numCache>
            </c:numRef>
          </c:val>
          <c:extLst>
            <c:ext xmlns:c16="http://schemas.microsoft.com/office/drawing/2014/chart" uri="{C3380CC4-5D6E-409C-BE32-E72D297353CC}">
              <c16:uniqueId val="{00000000-6670-4B00-AD19-0D942CF2D64A}"/>
            </c:ext>
          </c:extLst>
        </c:ser>
        <c:ser>
          <c:idx val="3"/>
          <c:order val="1"/>
          <c:tx>
            <c:strRef>
              <c:f>Data!$AF$41</c:f>
              <c:strCache>
                <c:ptCount val="1"/>
                <c:pt idx="0">
                  <c:v>Utility 1-in-2</c:v>
                </c:pt>
              </c:strCache>
            </c:strRef>
          </c:tx>
          <c:spPr>
            <a:solidFill>
              <a:schemeClr val="accent4"/>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Data!$AF$42:$AF$52</c:f>
              <c:numCache>
                <c:formatCode>0.0</c:formatCode>
                <c:ptCount val="11"/>
                <c:pt idx="0">
                  <c:v>26.002231999999999</c:v>
                </c:pt>
                <c:pt idx="1">
                  <c:v>29.574809999999999</c:v>
                </c:pt>
                <c:pt idx="2">
                  <c:v>39.865566000000001</c:v>
                </c:pt>
                <c:pt idx="3">
                  <c:v>39.881400999999997</c:v>
                </c:pt>
                <c:pt idx="4">
                  <c:v>39.897561000000003</c:v>
                </c:pt>
                <c:pt idx="5">
                  <c:v>39.914051000000001</c:v>
                </c:pt>
                <c:pt idx="6">
                  <c:v>39.930880000000002</c:v>
                </c:pt>
                <c:pt idx="7">
                  <c:v>39.948053999999999</c:v>
                </c:pt>
                <c:pt idx="8">
                  <c:v>39.965580000000003</c:v>
                </c:pt>
                <c:pt idx="9">
                  <c:v>39.983465000000002</c:v>
                </c:pt>
                <c:pt idx="10">
                  <c:v>40.001716000000002</c:v>
                </c:pt>
              </c:numCache>
            </c:numRef>
          </c:val>
          <c:extLst>
            <c:ext xmlns:c16="http://schemas.microsoft.com/office/drawing/2014/chart" uri="{C3380CC4-5D6E-409C-BE32-E72D297353CC}">
              <c16:uniqueId val="{00000001-6670-4B00-AD19-0D942CF2D64A}"/>
            </c:ext>
          </c:extLst>
        </c:ser>
        <c:ser>
          <c:idx val="4"/>
          <c:order val="2"/>
          <c:tx>
            <c:strRef>
              <c:f>Data!$AG$41</c:f>
              <c:strCache>
                <c:ptCount val="1"/>
                <c:pt idx="0">
                  <c:v>CAISO 1-in-10</c:v>
                </c:pt>
              </c:strCache>
            </c:strRef>
          </c:tx>
          <c:spPr>
            <a:solidFill>
              <a:schemeClr val="accent5"/>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Data!$AG$42:$AG$52</c:f>
              <c:numCache>
                <c:formatCode>0.0</c:formatCode>
                <c:ptCount val="11"/>
                <c:pt idx="0">
                  <c:v>26.064314</c:v>
                </c:pt>
                <c:pt idx="1">
                  <c:v>29.661004999999999</c:v>
                </c:pt>
                <c:pt idx="2">
                  <c:v>40.019983000000003</c:v>
                </c:pt>
                <c:pt idx="3">
                  <c:v>40.035929000000003</c:v>
                </c:pt>
                <c:pt idx="4">
                  <c:v>40.052200999999997</c:v>
                </c:pt>
                <c:pt idx="5">
                  <c:v>40.068807</c:v>
                </c:pt>
                <c:pt idx="6">
                  <c:v>40.085752999999997</c:v>
                </c:pt>
                <c:pt idx="7">
                  <c:v>40.103046999999997</c:v>
                </c:pt>
                <c:pt idx="8">
                  <c:v>40.120694999999998</c:v>
                </c:pt>
                <c:pt idx="9">
                  <c:v>40.138703999999997</c:v>
                </c:pt>
                <c:pt idx="10">
                  <c:v>40.157083</c:v>
                </c:pt>
              </c:numCache>
            </c:numRef>
          </c:val>
          <c:extLst>
            <c:ext xmlns:c16="http://schemas.microsoft.com/office/drawing/2014/chart" uri="{C3380CC4-5D6E-409C-BE32-E72D297353CC}">
              <c16:uniqueId val="{00000002-6670-4B00-AD19-0D942CF2D64A}"/>
            </c:ext>
          </c:extLst>
        </c:ser>
        <c:ser>
          <c:idx val="5"/>
          <c:order val="3"/>
          <c:tx>
            <c:strRef>
              <c:f>Data!$AH$41</c:f>
              <c:strCache>
                <c:ptCount val="1"/>
                <c:pt idx="0">
                  <c:v>CAISO 1-in-2</c:v>
                </c:pt>
              </c:strCache>
            </c:strRef>
          </c:tx>
          <c:spPr>
            <a:solidFill>
              <a:schemeClr val="accent2"/>
            </a:solidFill>
            <a:ln>
              <a:noFill/>
            </a:ln>
            <a:effectLst/>
          </c:spPr>
          <c:invertIfNegative val="0"/>
          <c:cat>
            <c:numRef>
              <c:f>Data!$AD$42:$AD$52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Data!$AH$42:$AH$52</c:f>
              <c:numCache>
                <c:formatCode>0.0</c:formatCode>
                <c:ptCount val="11"/>
                <c:pt idx="0">
                  <c:v>25.829232000000001</c:v>
                </c:pt>
                <c:pt idx="1">
                  <c:v>29.332982000000001</c:v>
                </c:pt>
                <c:pt idx="2">
                  <c:v>39.380913999999997</c:v>
                </c:pt>
                <c:pt idx="3">
                  <c:v>39.396554999999999</c:v>
                </c:pt>
                <c:pt idx="4">
                  <c:v>39.412515999999997</c:v>
                </c:pt>
                <c:pt idx="5">
                  <c:v>39.428804999999997</c:v>
                </c:pt>
                <c:pt idx="6">
                  <c:v>39.445428</c:v>
                </c:pt>
                <c:pt idx="7">
                  <c:v>39.462392000000001</c:v>
                </c:pt>
                <c:pt idx="8">
                  <c:v>39.479703000000001</c:v>
                </c:pt>
                <c:pt idx="9">
                  <c:v>39.497368999999999</c:v>
                </c:pt>
                <c:pt idx="10">
                  <c:v>39.515397</c:v>
                </c:pt>
              </c:numCache>
            </c:numRef>
          </c:val>
          <c:extLst>
            <c:ext xmlns:c16="http://schemas.microsoft.com/office/drawing/2014/chart" uri="{C3380CC4-5D6E-409C-BE32-E72D297353CC}">
              <c16:uniqueId val="{00000003-6670-4B00-AD19-0D942CF2D64A}"/>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(MWh/hour)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4"/>
          <c:order val="0"/>
          <c:tx>
            <c:strRef>
              <c:f>Data!$C$54</c:f>
              <c:strCache>
                <c:ptCount val="1"/>
                <c:pt idx="0">
                  <c:v>Below 20 kW</c:v>
                </c:pt>
              </c:strCache>
            </c:strRef>
          </c:tx>
          <c:spPr>
            <a:solidFill>
              <a:srgbClr val="0C2577"/>
            </a:solidFill>
            <a:ln>
              <a:noFill/>
            </a:ln>
            <a:effectLst/>
          </c:spPr>
          <c:invertIfNegative val="0"/>
          <c:cat>
            <c:numRef>
              <c:f>Data!$A$55:$A$65</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Data!$C$55:$C$65</c:f>
              <c:numCache>
                <c:formatCode>_(* #,##0_);_(* \(#,##0\);_(* "-"??_);_(@_)</c:formatCode>
                <c:ptCount val="11"/>
                <c:pt idx="0">
                  <c:v>181295</c:v>
                </c:pt>
                <c:pt idx="1">
                  <c:v>203633.22</c:v>
                </c:pt>
                <c:pt idx="2">
                  <c:v>268353.33</c:v>
                </c:pt>
                <c:pt idx="3">
                  <c:v>260744.55</c:v>
                </c:pt>
                <c:pt idx="4">
                  <c:v>280692.89</c:v>
                </c:pt>
                <c:pt idx="5">
                  <c:v>280413.07</c:v>
                </c:pt>
                <c:pt idx="6">
                  <c:v>282578.51</c:v>
                </c:pt>
                <c:pt idx="7">
                  <c:v>284832.87</c:v>
                </c:pt>
                <c:pt idx="8">
                  <c:v>287135.34000000003</c:v>
                </c:pt>
                <c:pt idx="9">
                  <c:v>289438.55</c:v>
                </c:pt>
                <c:pt idx="10">
                  <c:v>291644.23</c:v>
                </c:pt>
              </c:numCache>
            </c:numRef>
          </c:val>
          <c:extLst>
            <c:ext xmlns:c16="http://schemas.microsoft.com/office/drawing/2014/chart" uri="{C3380CC4-5D6E-409C-BE32-E72D297353CC}">
              <c16:uniqueId val="{00000000-64C1-4195-96C4-272BB496E976}"/>
            </c:ext>
          </c:extLst>
        </c:ser>
        <c:ser>
          <c:idx val="5"/>
          <c:order val="1"/>
          <c:tx>
            <c:strRef>
              <c:f>Data!$D$54</c:f>
              <c:strCache>
                <c:ptCount val="1"/>
                <c:pt idx="0">
                  <c:v>20 to 199.99 kW</c:v>
                </c:pt>
              </c:strCache>
            </c:strRef>
          </c:tx>
          <c:spPr>
            <a:solidFill>
              <a:schemeClr val="accent2"/>
            </a:solidFill>
            <a:ln>
              <a:noFill/>
            </a:ln>
            <a:effectLst/>
          </c:spPr>
          <c:invertIfNegative val="0"/>
          <c:cat>
            <c:numRef>
              <c:f>Data!$A$55:$A$65</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Data!$D$55:$D$65</c:f>
              <c:numCache>
                <c:formatCode>_(* #,##0_);_(* \(#,##0\);_(* "-"??_);_(@_)</c:formatCode>
                <c:ptCount val="11"/>
                <c:pt idx="0">
                  <c:v>53798</c:v>
                </c:pt>
                <c:pt idx="1">
                  <c:v>61495.94</c:v>
                </c:pt>
                <c:pt idx="2">
                  <c:v>88015.701000000001</c:v>
                </c:pt>
                <c:pt idx="3">
                  <c:v>84690.5</c:v>
                </c:pt>
                <c:pt idx="4">
                  <c:v>91327.543000000005</c:v>
                </c:pt>
                <c:pt idx="5">
                  <c:v>91121.572</c:v>
                </c:pt>
                <c:pt idx="6">
                  <c:v>91744.775999999998</c:v>
                </c:pt>
                <c:pt idx="7">
                  <c:v>92393.572</c:v>
                </c:pt>
                <c:pt idx="8">
                  <c:v>93056.212</c:v>
                </c:pt>
                <c:pt idx="9">
                  <c:v>93719.066999999995</c:v>
                </c:pt>
                <c:pt idx="10">
                  <c:v>94353.850999999995</c:v>
                </c:pt>
              </c:numCache>
            </c:numRef>
          </c:val>
          <c:extLst>
            <c:ext xmlns:c16="http://schemas.microsoft.com/office/drawing/2014/chart" uri="{C3380CC4-5D6E-409C-BE32-E72D297353CC}">
              <c16:uniqueId val="{00000001-64C1-4195-96C4-272BB496E976}"/>
            </c:ext>
          </c:extLst>
        </c:ser>
        <c:dLbls>
          <c:showLegendKey val="0"/>
          <c:showVal val="0"/>
          <c:showCatName val="0"/>
          <c:showSerName val="0"/>
          <c:showPercent val="0"/>
          <c:showBubbleSize val="0"/>
        </c:dLbls>
        <c:gapWidth val="21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August Enrollment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3"/>
          <c:tx>
            <c:strRef>
              <c:f>Data!$Q$54</c:f>
              <c:strCache>
                <c:ptCount val="1"/>
                <c:pt idx="0">
                  <c:v>Event Hours</c:v>
                </c:pt>
              </c:strCache>
            </c:strRef>
          </c:tx>
          <c:spPr>
            <a:solidFill>
              <a:schemeClr val="accent5">
                <a:lumMod val="40000"/>
                <a:lumOff val="60000"/>
                <a:alpha val="50000"/>
              </a:schemeClr>
            </a:solidFill>
            <a:ln w="25400">
              <a:noFill/>
            </a:ln>
            <a:effectLst/>
          </c:spPr>
          <c:invertIfNegative val="0"/>
          <c:val>
            <c:numRef>
              <c:f>Data!$Q$55:$Q$78</c:f>
              <c:numCache>
                <c:formatCode>General</c:formatCode>
                <c:ptCount val="24"/>
                <c:pt idx="14" formatCode="#,##0">
                  <c:v>2500</c:v>
                </c:pt>
                <c:pt idx="15" formatCode="#,##0">
                  <c:v>2500</c:v>
                </c:pt>
                <c:pt idx="16" formatCode="#,##0">
                  <c:v>2500</c:v>
                </c:pt>
                <c:pt idx="17" formatCode="#,##0">
                  <c:v>2500</c:v>
                </c:pt>
              </c:numCache>
            </c:numRef>
          </c:val>
          <c:extLst>
            <c:ext xmlns:c16="http://schemas.microsoft.com/office/drawing/2014/chart" uri="{C3380CC4-5D6E-409C-BE32-E72D297353CC}">
              <c16:uniqueId val="{00000000-4DF6-4C37-AE4D-72147479BFF5}"/>
            </c:ext>
          </c:extLst>
        </c:ser>
        <c:dLbls>
          <c:showLegendKey val="0"/>
          <c:showVal val="0"/>
          <c:showCatName val="0"/>
          <c:showSerName val="0"/>
          <c:showPercent val="0"/>
          <c:showBubbleSize val="0"/>
        </c:dLbls>
        <c:gapWidth val="0"/>
        <c:axId val="961637680"/>
        <c:axId val="929931504"/>
      </c:barChart>
      <c:lineChart>
        <c:grouping val="standard"/>
        <c:varyColors val="0"/>
        <c:ser>
          <c:idx val="3"/>
          <c:order val="0"/>
          <c:tx>
            <c:strRef>
              <c:f>Data!$O$54</c:f>
              <c:strCache>
                <c:ptCount val="1"/>
                <c:pt idx="0">
                  <c:v>Reference</c:v>
                </c:pt>
              </c:strCache>
            </c:strRef>
          </c:tx>
          <c:spPr>
            <a:ln w="38100" cap="rnd">
              <a:solidFill>
                <a:schemeClr val="accent5"/>
              </a:solidFill>
              <a:round/>
            </a:ln>
            <a:effectLst/>
          </c:spPr>
          <c:marker>
            <c:symbol val="none"/>
          </c:marker>
          <c:cat>
            <c:numRef>
              <c:f>Data!$N$3:$N$26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Data!$O$55:$O$78</c:f>
              <c:numCache>
                <c:formatCode>#,##0.0</c:formatCode>
                <c:ptCount val="24"/>
                <c:pt idx="0">
                  <c:v>1026.6914999999999</c:v>
                </c:pt>
                <c:pt idx="1">
                  <c:v>985.96371999999997</c:v>
                </c:pt>
                <c:pt idx="2">
                  <c:v>962.76444000000004</c:v>
                </c:pt>
                <c:pt idx="3">
                  <c:v>960.80748000000006</c:v>
                </c:pt>
                <c:pt idx="4">
                  <c:v>991.82005000000004</c:v>
                </c:pt>
                <c:pt idx="5">
                  <c:v>1093.1243999999999</c:v>
                </c:pt>
                <c:pt idx="6">
                  <c:v>1216.4804999999999</c:v>
                </c:pt>
                <c:pt idx="7">
                  <c:v>1357.1396999999999</c:v>
                </c:pt>
                <c:pt idx="8">
                  <c:v>1551.0001</c:v>
                </c:pt>
                <c:pt idx="9">
                  <c:v>1699.0806</c:v>
                </c:pt>
                <c:pt idx="10">
                  <c:v>1826.0217</c:v>
                </c:pt>
                <c:pt idx="11">
                  <c:v>1914.5063</c:v>
                </c:pt>
                <c:pt idx="12">
                  <c:v>1972.0861</c:v>
                </c:pt>
                <c:pt idx="13">
                  <c:v>2034.9971</c:v>
                </c:pt>
                <c:pt idx="14">
                  <c:v>2048.0354000000002</c:v>
                </c:pt>
                <c:pt idx="15">
                  <c:v>2022.0637999999999</c:v>
                </c:pt>
                <c:pt idx="16">
                  <c:v>1942.0535</c:v>
                </c:pt>
                <c:pt idx="17">
                  <c:v>1797.2585999999999</c:v>
                </c:pt>
                <c:pt idx="18">
                  <c:v>1664.3186000000001</c:v>
                </c:pt>
                <c:pt idx="19">
                  <c:v>1588.9317000000001</c:v>
                </c:pt>
                <c:pt idx="20">
                  <c:v>1536.2348</c:v>
                </c:pt>
                <c:pt idx="21">
                  <c:v>1391.8724</c:v>
                </c:pt>
                <c:pt idx="22">
                  <c:v>1241.1941999999999</c:v>
                </c:pt>
                <c:pt idx="23">
                  <c:v>1116.5246</c:v>
                </c:pt>
              </c:numCache>
            </c:numRef>
          </c:val>
          <c:smooth val="0"/>
          <c:extLst>
            <c:ext xmlns:c16="http://schemas.microsoft.com/office/drawing/2014/chart" uri="{C3380CC4-5D6E-409C-BE32-E72D297353CC}">
              <c16:uniqueId val="{00000001-4DF6-4C37-AE4D-72147479BFF5}"/>
            </c:ext>
          </c:extLst>
        </c:ser>
        <c:ser>
          <c:idx val="0"/>
          <c:order val="1"/>
          <c:tx>
            <c:strRef>
              <c:f>Data!$P$54</c:f>
              <c:strCache>
                <c:ptCount val="1"/>
                <c:pt idx="0">
                  <c:v>Observed</c:v>
                </c:pt>
              </c:strCache>
            </c:strRef>
          </c:tx>
          <c:spPr>
            <a:ln w="38100" cap="rnd">
              <a:solidFill>
                <a:schemeClr val="accent2"/>
              </a:solidFill>
              <a:prstDash val="dash"/>
              <a:round/>
            </a:ln>
            <a:effectLst/>
          </c:spPr>
          <c:marker>
            <c:symbol val="none"/>
          </c:marker>
          <c:cat>
            <c:numRef>
              <c:f>Data!$N$3:$N$26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Data!$P$55:$P$78</c:f>
              <c:numCache>
                <c:formatCode>#,##0.0</c:formatCode>
                <c:ptCount val="24"/>
                <c:pt idx="0">
                  <c:v>1023.6051</c:v>
                </c:pt>
                <c:pt idx="1">
                  <c:v>985.69041000000004</c:v>
                </c:pt>
                <c:pt idx="2">
                  <c:v>963.0258</c:v>
                </c:pt>
                <c:pt idx="3">
                  <c:v>964.03680999999995</c:v>
                </c:pt>
                <c:pt idx="4">
                  <c:v>996.82366999999999</c:v>
                </c:pt>
                <c:pt idx="5">
                  <c:v>1101.6840999999999</c:v>
                </c:pt>
                <c:pt idx="6">
                  <c:v>1224.0572999999999</c:v>
                </c:pt>
                <c:pt idx="7">
                  <c:v>1358.3363999999999</c:v>
                </c:pt>
                <c:pt idx="8">
                  <c:v>1542.9289000000001</c:v>
                </c:pt>
                <c:pt idx="9">
                  <c:v>1686.1188</c:v>
                </c:pt>
                <c:pt idx="10">
                  <c:v>1812.6754000000001</c:v>
                </c:pt>
                <c:pt idx="11">
                  <c:v>1901.0282</c:v>
                </c:pt>
                <c:pt idx="12">
                  <c:v>1960.9091000000001</c:v>
                </c:pt>
                <c:pt idx="13">
                  <c:v>2022.0543</c:v>
                </c:pt>
                <c:pt idx="14">
                  <c:v>2022.7330999999999</c:v>
                </c:pt>
                <c:pt idx="15">
                  <c:v>1993.5881999999999</c:v>
                </c:pt>
                <c:pt idx="16">
                  <c:v>1922.8434999999999</c:v>
                </c:pt>
                <c:pt idx="17">
                  <c:v>1783.1977999999999</c:v>
                </c:pt>
                <c:pt idx="18">
                  <c:v>1660.1327000000001</c:v>
                </c:pt>
                <c:pt idx="19">
                  <c:v>1591.8058000000001</c:v>
                </c:pt>
                <c:pt idx="20">
                  <c:v>1541.5304000000001</c:v>
                </c:pt>
                <c:pt idx="21">
                  <c:v>1397.0408</c:v>
                </c:pt>
                <c:pt idx="22">
                  <c:v>1244.4129</c:v>
                </c:pt>
                <c:pt idx="23">
                  <c:v>1120.5053</c:v>
                </c:pt>
              </c:numCache>
            </c:numRef>
          </c:val>
          <c:smooth val="0"/>
          <c:extLst>
            <c:ext xmlns:c16="http://schemas.microsoft.com/office/drawing/2014/chart" uri="{C3380CC4-5D6E-409C-BE32-E72D297353CC}">
              <c16:uniqueId val="{00000002-4DF6-4C37-AE4D-72147479BFF5}"/>
            </c:ext>
          </c:extLst>
        </c:ser>
        <c:dLbls>
          <c:showLegendKey val="0"/>
          <c:showVal val="0"/>
          <c:showCatName val="0"/>
          <c:showSerName val="0"/>
          <c:showPercent val="0"/>
          <c:showBubbleSize val="0"/>
        </c:dLbls>
        <c:marker val="1"/>
        <c:smooth val="0"/>
        <c:axId val="961637680"/>
        <c:axId val="929931504"/>
      </c:lineChart>
      <c:lineChart>
        <c:grouping val="standard"/>
        <c:varyColors val="0"/>
        <c:ser>
          <c:idx val="1"/>
          <c:order val="2"/>
          <c:tx>
            <c:strRef>
              <c:f>Data!$R$54</c:f>
              <c:strCache>
                <c:ptCount val="1"/>
                <c:pt idx="0">
                  <c:v>Load_Impact</c:v>
                </c:pt>
              </c:strCache>
            </c:strRef>
          </c:tx>
          <c:spPr>
            <a:ln w="38100" cap="rnd">
              <a:solidFill>
                <a:srgbClr val="92D050"/>
              </a:solidFill>
              <a:round/>
            </a:ln>
            <a:effectLst/>
          </c:spPr>
          <c:marker>
            <c:symbol val="square"/>
            <c:size val="5"/>
            <c:spPr>
              <a:solidFill>
                <a:srgbClr val="92D050"/>
              </a:solidFill>
              <a:ln w="9525">
                <a:noFill/>
              </a:ln>
              <a:effectLst/>
            </c:spPr>
          </c:marker>
          <c:val>
            <c:numRef>
              <c:f>Data!$R$55:$R$78</c:f>
              <c:numCache>
                <c:formatCode>#,##0.0</c:formatCode>
                <c:ptCount val="24"/>
                <c:pt idx="0">
                  <c:v>3.0863421</c:v>
                </c:pt>
                <c:pt idx="1">
                  <c:v>0.27330718999999998</c:v>
                </c:pt>
                <c:pt idx="2">
                  <c:v>-0.26136544</c:v>
                </c:pt>
                <c:pt idx="3">
                  <c:v>-3.2293318000000002</c:v>
                </c:pt>
                <c:pt idx="4">
                  <c:v>-5.0036138000000001</c:v>
                </c:pt>
                <c:pt idx="5">
                  <c:v>-8.5597302000000006</c:v>
                </c:pt>
                <c:pt idx="6">
                  <c:v>-7.5767778999999997</c:v>
                </c:pt>
                <c:pt idx="7">
                  <c:v>-1.1967063</c:v>
                </c:pt>
                <c:pt idx="8">
                  <c:v>8.0712098000000001</c:v>
                </c:pt>
                <c:pt idx="9">
                  <c:v>12.961796</c:v>
                </c:pt>
                <c:pt idx="10">
                  <c:v>13.346325</c:v>
                </c:pt>
                <c:pt idx="11">
                  <c:v>13.478114</c:v>
                </c:pt>
                <c:pt idx="12">
                  <c:v>11.176938</c:v>
                </c:pt>
                <c:pt idx="13">
                  <c:v>12.942856000000001</c:v>
                </c:pt>
                <c:pt idx="14">
                  <c:v>25.302320000000002</c:v>
                </c:pt>
                <c:pt idx="15">
                  <c:v>28.475625999999998</c:v>
                </c:pt>
                <c:pt idx="16">
                  <c:v>19.21003</c:v>
                </c:pt>
                <c:pt idx="17">
                  <c:v>14.060798999999999</c:v>
                </c:pt>
                <c:pt idx="18">
                  <c:v>4.1858624999999998</c:v>
                </c:pt>
                <c:pt idx="19">
                  <c:v>-2.8741037999999999</c:v>
                </c:pt>
                <c:pt idx="20">
                  <c:v>-5.2955737000000003</c:v>
                </c:pt>
                <c:pt idx="21">
                  <c:v>-5.1683971</c:v>
                </c:pt>
                <c:pt idx="22">
                  <c:v>-3.2186221000000002</c:v>
                </c:pt>
                <c:pt idx="23">
                  <c:v>-3.9806930999999999</c:v>
                </c:pt>
              </c:numCache>
            </c:numRef>
          </c:val>
          <c:smooth val="0"/>
          <c:extLst>
            <c:ext xmlns:c16="http://schemas.microsoft.com/office/drawing/2014/chart" uri="{C3380CC4-5D6E-409C-BE32-E72D297353CC}">
              <c16:uniqueId val="{00000003-4DF6-4C37-AE4D-72147479BFF5}"/>
            </c:ext>
          </c:extLst>
        </c:ser>
        <c:dLbls>
          <c:showLegendKey val="0"/>
          <c:showVal val="0"/>
          <c:showCatName val="0"/>
          <c:showSerName val="0"/>
          <c:showPercent val="0"/>
          <c:showBubbleSize val="0"/>
        </c:dLbls>
        <c:marker val="1"/>
        <c:smooth val="0"/>
        <c:axId val="856625360"/>
        <c:axId val="854927584"/>
      </c:lineChart>
      <c:catAx>
        <c:axId val="961637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931504"/>
        <c:crosses val="autoZero"/>
        <c:auto val="1"/>
        <c:lblAlgn val="ctr"/>
        <c:lblOffset val="100"/>
        <c:noMultiLvlLbl val="0"/>
      </c:catAx>
      <c:valAx>
        <c:axId val="929931504"/>
        <c:scaling>
          <c:orientation val="minMax"/>
          <c:max val="25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1637680"/>
        <c:crosses val="autoZero"/>
        <c:crossBetween val="between"/>
      </c:valAx>
      <c:valAx>
        <c:axId val="854927584"/>
        <c:scaling>
          <c:orientation val="minMax"/>
          <c:max val="40"/>
          <c:min val="-10"/>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6625360"/>
        <c:crosses val="max"/>
        <c:crossBetween val="between"/>
        <c:majorUnit val="10"/>
      </c:valAx>
      <c:catAx>
        <c:axId val="856625360"/>
        <c:scaling>
          <c:orientation val="minMax"/>
        </c:scaling>
        <c:delete val="1"/>
        <c:axPos val="b"/>
        <c:majorTickMark val="out"/>
        <c:minorTickMark val="none"/>
        <c:tickLblPos val="nextTo"/>
        <c:crossAx val="85492758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2"/>
          <c:tx>
            <c:strRef>
              <c:f>Data!$Q$28</c:f>
              <c:strCache>
                <c:ptCount val="1"/>
                <c:pt idx="0">
                  <c:v>Event Hours</c:v>
                </c:pt>
              </c:strCache>
            </c:strRef>
          </c:tx>
          <c:spPr>
            <a:solidFill>
              <a:schemeClr val="accent5">
                <a:lumMod val="40000"/>
                <a:lumOff val="60000"/>
                <a:alpha val="50000"/>
              </a:schemeClr>
            </a:solidFill>
            <a:ln w="28575">
              <a:noFill/>
            </a:ln>
            <a:effectLst/>
          </c:spPr>
          <c:invertIfNegative val="0"/>
          <c:val>
            <c:numRef>
              <c:f>Data!$Q$29:$Q$52</c:f>
              <c:numCache>
                <c:formatCode>General</c:formatCode>
                <c:ptCount val="24"/>
                <c:pt idx="14" formatCode="#,##0">
                  <c:v>700</c:v>
                </c:pt>
                <c:pt idx="15" formatCode="#,##0">
                  <c:v>700</c:v>
                </c:pt>
                <c:pt idx="16" formatCode="#,##0">
                  <c:v>700</c:v>
                </c:pt>
                <c:pt idx="17" formatCode="#,##0">
                  <c:v>700</c:v>
                </c:pt>
              </c:numCache>
            </c:numRef>
          </c:val>
          <c:extLst>
            <c:ext xmlns:c16="http://schemas.microsoft.com/office/drawing/2014/chart" uri="{C3380CC4-5D6E-409C-BE32-E72D297353CC}">
              <c16:uniqueId val="{00000000-A0C4-45CD-B45E-14F8BF08EBFA}"/>
            </c:ext>
          </c:extLst>
        </c:ser>
        <c:dLbls>
          <c:showLegendKey val="0"/>
          <c:showVal val="0"/>
          <c:showCatName val="0"/>
          <c:showSerName val="0"/>
          <c:showPercent val="0"/>
          <c:showBubbleSize val="0"/>
        </c:dLbls>
        <c:gapWidth val="0"/>
        <c:axId val="961637680"/>
        <c:axId val="929931504"/>
      </c:barChart>
      <c:lineChart>
        <c:grouping val="standard"/>
        <c:varyColors val="0"/>
        <c:ser>
          <c:idx val="3"/>
          <c:order val="0"/>
          <c:tx>
            <c:strRef>
              <c:f>Data!$O$28</c:f>
              <c:strCache>
                <c:ptCount val="1"/>
                <c:pt idx="0">
                  <c:v>Reference</c:v>
                </c:pt>
              </c:strCache>
            </c:strRef>
          </c:tx>
          <c:spPr>
            <a:ln w="38100" cap="rnd">
              <a:solidFill>
                <a:schemeClr val="accent5"/>
              </a:solidFill>
              <a:round/>
            </a:ln>
            <a:effectLst/>
          </c:spPr>
          <c:marker>
            <c:symbol val="none"/>
          </c:marker>
          <c:cat>
            <c:numRef>
              <c:f>Data!$N$29:$N$52</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Data!$O$29:$O$52</c:f>
              <c:numCache>
                <c:formatCode>#,##0.0</c:formatCode>
                <c:ptCount val="24"/>
                <c:pt idx="0">
                  <c:v>268.29014999999998</c:v>
                </c:pt>
                <c:pt idx="1">
                  <c:v>258.46445</c:v>
                </c:pt>
                <c:pt idx="2">
                  <c:v>251.15072000000001</c:v>
                </c:pt>
                <c:pt idx="3">
                  <c:v>247.92921000000001</c:v>
                </c:pt>
                <c:pt idx="4">
                  <c:v>252.21008</c:v>
                </c:pt>
                <c:pt idx="5">
                  <c:v>261.78942999999998</c:v>
                </c:pt>
                <c:pt idx="6">
                  <c:v>268.14102000000003</c:v>
                </c:pt>
                <c:pt idx="7">
                  <c:v>302.12652000000003</c:v>
                </c:pt>
                <c:pt idx="8">
                  <c:v>385.92104</c:v>
                </c:pt>
                <c:pt idx="9">
                  <c:v>464.25740000000002</c:v>
                </c:pt>
                <c:pt idx="10">
                  <c:v>523.08182999999997</c:v>
                </c:pt>
                <c:pt idx="11">
                  <c:v>563.85245999999995</c:v>
                </c:pt>
                <c:pt idx="12">
                  <c:v>586.34821999999997</c:v>
                </c:pt>
                <c:pt idx="13">
                  <c:v>614.53071</c:v>
                </c:pt>
                <c:pt idx="14">
                  <c:v>635.61388999999997</c:v>
                </c:pt>
                <c:pt idx="15">
                  <c:v>633.74575000000004</c:v>
                </c:pt>
                <c:pt idx="16">
                  <c:v>600.15981999999997</c:v>
                </c:pt>
                <c:pt idx="17">
                  <c:v>507.22147000000001</c:v>
                </c:pt>
                <c:pt idx="18">
                  <c:v>425.29129</c:v>
                </c:pt>
                <c:pt idx="19">
                  <c:v>381.93977999999998</c:v>
                </c:pt>
                <c:pt idx="20">
                  <c:v>365.76058999999998</c:v>
                </c:pt>
                <c:pt idx="21">
                  <c:v>335.58136999999999</c:v>
                </c:pt>
                <c:pt idx="22">
                  <c:v>302.43092000000001</c:v>
                </c:pt>
                <c:pt idx="23">
                  <c:v>281.32780000000002</c:v>
                </c:pt>
              </c:numCache>
            </c:numRef>
          </c:val>
          <c:smooth val="0"/>
          <c:extLst>
            <c:ext xmlns:c16="http://schemas.microsoft.com/office/drawing/2014/chart" uri="{C3380CC4-5D6E-409C-BE32-E72D297353CC}">
              <c16:uniqueId val="{00000001-A0C4-45CD-B45E-14F8BF08EBFA}"/>
            </c:ext>
          </c:extLst>
        </c:ser>
        <c:ser>
          <c:idx val="0"/>
          <c:order val="1"/>
          <c:tx>
            <c:strRef>
              <c:f>Data!$P$28</c:f>
              <c:strCache>
                <c:ptCount val="1"/>
                <c:pt idx="0">
                  <c:v>Observed</c:v>
                </c:pt>
              </c:strCache>
            </c:strRef>
          </c:tx>
          <c:spPr>
            <a:ln w="38100" cap="rnd">
              <a:solidFill>
                <a:schemeClr val="accent2"/>
              </a:solidFill>
              <a:prstDash val="dash"/>
              <a:round/>
            </a:ln>
            <a:effectLst/>
          </c:spPr>
          <c:marker>
            <c:symbol val="none"/>
          </c:marker>
          <c:cat>
            <c:numRef>
              <c:f>Data!$N$29:$N$52</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Data!$P$29:$P$52</c:f>
              <c:numCache>
                <c:formatCode>#,##0.0</c:formatCode>
                <c:ptCount val="24"/>
                <c:pt idx="0">
                  <c:v>268.14834000000002</c:v>
                </c:pt>
                <c:pt idx="1">
                  <c:v>258.34739999999999</c:v>
                </c:pt>
                <c:pt idx="2">
                  <c:v>251.26311000000001</c:v>
                </c:pt>
                <c:pt idx="3">
                  <c:v>248.17026999999999</c:v>
                </c:pt>
                <c:pt idx="4">
                  <c:v>252.53801000000001</c:v>
                </c:pt>
                <c:pt idx="5">
                  <c:v>262.00310000000002</c:v>
                </c:pt>
                <c:pt idx="6">
                  <c:v>268.49493000000001</c:v>
                </c:pt>
                <c:pt idx="7">
                  <c:v>303.14861000000002</c:v>
                </c:pt>
                <c:pt idx="8">
                  <c:v>384.87956000000003</c:v>
                </c:pt>
                <c:pt idx="9">
                  <c:v>463.52901000000003</c:v>
                </c:pt>
                <c:pt idx="10">
                  <c:v>520.93897000000004</c:v>
                </c:pt>
                <c:pt idx="11">
                  <c:v>560.94806000000005</c:v>
                </c:pt>
                <c:pt idx="12">
                  <c:v>584.01976999999999</c:v>
                </c:pt>
                <c:pt idx="13">
                  <c:v>615.11027999999999</c:v>
                </c:pt>
                <c:pt idx="14">
                  <c:v>633.33947000000001</c:v>
                </c:pt>
                <c:pt idx="15">
                  <c:v>629.45740000000001</c:v>
                </c:pt>
                <c:pt idx="16">
                  <c:v>596.40634</c:v>
                </c:pt>
                <c:pt idx="17">
                  <c:v>504.34888000000001</c:v>
                </c:pt>
                <c:pt idx="18">
                  <c:v>425.78789999999998</c:v>
                </c:pt>
                <c:pt idx="19">
                  <c:v>383.33550000000002</c:v>
                </c:pt>
                <c:pt idx="20">
                  <c:v>367.50740000000002</c:v>
                </c:pt>
                <c:pt idx="21">
                  <c:v>336.10806000000002</c:v>
                </c:pt>
                <c:pt idx="22">
                  <c:v>303.07109000000003</c:v>
                </c:pt>
                <c:pt idx="23">
                  <c:v>281.54038000000003</c:v>
                </c:pt>
              </c:numCache>
            </c:numRef>
          </c:val>
          <c:smooth val="0"/>
          <c:extLst>
            <c:ext xmlns:c16="http://schemas.microsoft.com/office/drawing/2014/chart" uri="{C3380CC4-5D6E-409C-BE32-E72D297353CC}">
              <c16:uniqueId val="{00000002-A0C4-45CD-B45E-14F8BF08EBFA}"/>
            </c:ext>
          </c:extLst>
        </c:ser>
        <c:dLbls>
          <c:showLegendKey val="0"/>
          <c:showVal val="0"/>
          <c:showCatName val="0"/>
          <c:showSerName val="0"/>
          <c:showPercent val="0"/>
          <c:showBubbleSize val="0"/>
        </c:dLbls>
        <c:marker val="1"/>
        <c:smooth val="0"/>
        <c:axId val="961637680"/>
        <c:axId val="929931504"/>
      </c:lineChart>
      <c:lineChart>
        <c:grouping val="standard"/>
        <c:varyColors val="0"/>
        <c:ser>
          <c:idx val="2"/>
          <c:order val="3"/>
          <c:tx>
            <c:strRef>
              <c:f>Data!$R$28</c:f>
              <c:strCache>
                <c:ptCount val="1"/>
                <c:pt idx="0">
                  <c:v>Load_Impact</c:v>
                </c:pt>
              </c:strCache>
            </c:strRef>
          </c:tx>
          <c:spPr>
            <a:ln w="38100" cap="rnd">
              <a:solidFill>
                <a:srgbClr val="92D050"/>
              </a:solidFill>
              <a:round/>
            </a:ln>
            <a:effectLst/>
          </c:spPr>
          <c:marker>
            <c:symbol val="square"/>
            <c:size val="5"/>
            <c:spPr>
              <a:solidFill>
                <a:srgbClr val="92D050"/>
              </a:solidFill>
              <a:ln w="9525">
                <a:noFill/>
              </a:ln>
              <a:effectLst/>
            </c:spPr>
          </c:marker>
          <c:val>
            <c:numRef>
              <c:f>Data!$R$29:$R$52</c:f>
              <c:numCache>
                <c:formatCode>#,##0.0</c:formatCode>
                <c:ptCount val="24"/>
                <c:pt idx="0">
                  <c:v>0.14181245000000001</c:v>
                </c:pt>
                <c:pt idx="1">
                  <c:v>0.11704630000000001</c:v>
                </c:pt>
                <c:pt idx="2">
                  <c:v>-0.11238152</c:v>
                </c:pt>
                <c:pt idx="3">
                  <c:v>-0.24105699</c:v>
                </c:pt>
                <c:pt idx="4">
                  <c:v>-0.32793103000000001</c:v>
                </c:pt>
                <c:pt idx="5">
                  <c:v>-0.21366425</c:v>
                </c:pt>
                <c:pt idx="6">
                  <c:v>-0.35390750999999998</c:v>
                </c:pt>
                <c:pt idx="7">
                  <c:v>-1.0220937999999999</c:v>
                </c:pt>
                <c:pt idx="8">
                  <c:v>1.0414767</c:v>
                </c:pt>
                <c:pt idx="9">
                  <c:v>0.72838994000000001</c:v>
                </c:pt>
                <c:pt idx="10">
                  <c:v>2.1428661</c:v>
                </c:pt>
                <c:pt idx="11">
                  <c:v>2.9044017000000002</c:v>
                </c:pt>
                <c:pt idx="12">
                  <c:v>2.3284465000000001</c:v>
                </c:pt>
                <c:pt idx="13">
                  <c:v>-0.57956238999999998</c:v>
                </c:pt>
                <c:pt idx="14">
                  <c:v>2.2744127999999999</c:v>
                </c:pt>
                <c:pt idx="15">
                  <c:v>4.2883547000000002</c:v>
                </c:pt>
                <c:pt idx="16">
                  <c:v>3.7534798</c:v>
                </c:pt>
                <c:pt idx="17">
                  <c:v>2.8725852999999999</c:v>
                </c:pt>
                <c:pt idx="18">
                  <c:v>-0.49660367</c:v>
                </c:pt>
                <c:pt idx="19">
                  <c:v>-1.3957174000000001</c:v>
                </c:pt>
                <c:pt idx="20">
                  <c:v>-1.7468121000000001</c:v>
                </c:pt>
                <c:pt idx="21">
                  <c:v>-0.52669363000000002</c:v>
                </c:pt>
                <c:pt idx="22">
                  <c:v>-0.64017095000000002</c:v>
                </c:pt>
                <c:pt idx="23">
                  <c:v>-0.21258041999999999</c:v>
                </c:pt>
              </c:numCache>
            </c:numRef>
          </c:val>
          <c:smooth val="0"/>
          <c:extLst>
            <c:ext xmlns:c16="http://schemas.microsoft.com/office/drawing/2014/chart" uri="{C3380CC4-5D6E-409C-BE32-E72D297353CC}">
              <c16:uniqueId val="{00000003-A0C4-45CD-B45E-14F8BF08EBFA}"/>
            </c:ext>
          </c:extLst>
        </c:ser>
        <c:dLbls>
          <c:showLegendKey val="0"/>
          <c:showVal val="0"/>
          <c:showCatName val="0"/>
          <c:showSerName val="0"/>
          <c:showPercent val="0"/>
          <c:showBubbleSize val="0"/>
        </c:dLbls>
        <c:marker val="1"/>
        <c:smooth val="0"/>
        <c:axId val="856625360"/>
        <c:axId val="854927584"/>
      </c:lineChart>
      <c:catAx>
        <c:axId val="961637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931504"/>
        <c:crosses val="autoZero"/>
        <c:auto val="1"/>
        <c:lblAlgn val="ctr"/>
        <c:lblOffset val="100"/>
        <c:noMultiLvlLbl val="0"/>
      </c:catAx>
      <c:valAx>
        <c:axId val="929931504"/>
        <c:scaling>
          <c:orientation val="minMax"/>
          <c:max val="7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1637680"/>
        <c:crosses val="autoZero"/>
        <c:crossBetween val="between"/>
      </c:valAx>
      <c:valAx>
        <c:axId val="854927584"/>
        <c:scaling>
          <c:orientation val="minMax"/>
          <c:max val="10"/>
          <c:min val="-4"/>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6625360"/>
        <c:crosses val="max"/>
        <c:crossBetween val="between"/>
        <c:majorUnit val="2"/>
      </c:valAx>
      <c:catAx>
        <c:axId val="856625360"/>
        <c:scaling>
          <c:orientation val="minMax"/>
        </c:scaling>
        <c:delete val="1"/>
        <c:axPos val="b"/>
        <c:majorTickMark val="out"/>
        <c:minorTickMark val="none"/>
        <c:tickLblPos val="nextTo"/>
        <c:crossAx val="85492758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56984543598717"/>
          <c:y val="3.509331631839209E-2"/>
          <c:w val="0.87691163604549449"/>
          <c:h val="0.77222076383856064"/>
        </c:manualLayout>
      </c:layout>
      <c:barChart>
        <c:barDir val="col"/>
        <c:grouping val="clustered"/>
        <c:varyColors val="0"/>
        <c:ser>
          <c:idx val="3"/>
          <c:order val="0"/>
          <c:tx>
            <c:strRef>
              <c:f>Data!$U$29</c:f>
              <c:strCache>
                <c:ptCount val="1"/>
                <c:pt idx="0">
                  <c:v>20 to 199.99 kW</c:v>
                </c:pt>
              </c:strCache>
            </c:strRef>
          </c:tx>
          <c:spPr>
            <a:solidFill>
              <a:srgbClr val="0C2577"/>
            </a:solidFill>
            <a:ln>
              <a:noFill/>
            </a:ln>
            <a:effectLst/>
          </c:spPr>
          <c:invertIfNegative val="0"/>
          <c:cat>
            <c:strRef>
              <c:f>Data!$V$29:$V$40</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Data!$Z$29:$Z$40</c:f>
              <c:numCache>
                <c:formatCode>0.0</c:formatCode>
                <c:ptCount val="12"/>
                <c:pt idx="0">
                  <c:v>3.7506089</c:v>
                </c:pt>
                <c:pt idx="1">
                  <c:v>3.6951703</c:v>
                </c:pt>
                <c:pt idx="2">
                  <c:v>3.6836535000000001</c:v>
                </c:pt>
                <c:pt idx="3">
                  <c:v>16.093221</c:v>
                </c:pt>
                <c:pt idx="4">
                  <c:v>17.832812000000001</c:v>
                </c:pt>
                <c:pt idx="5">
                  <c:v>19.661118999999999</c:v>
                </c:pt>
                <c:pt idx="6">
                  <c:v>19.881710000000002</c:v>
                </c:pt>
                <c:pt idx="7">
                  <c:v>20.082170000000001</c:v>
                </c:pt>
                <c:pt idx="8">
                  <c:v>19.794594</c:v>
                </c:pt>
                <c:pt idx="9">
                  <c:v>17.437075</c:v>
                </c:pt>
                <c:pt idx="10">
                  <c:v>3.7922351000000001</c:v>
                </c:pt>
                <c:pt idx="11">
                  <c:v>3.8204121</c:v>
                </c:pt>
              </c:numCache>
            </c:numRef>
          </c:val>
          <c:extLst>
            <c:ext xmlns:c16="http://schemas.microsoft.com/office/drawing/2014/chart" uri="{C3380CC4-5D6E-409C-BE32-E72D297353CC}">
              <c16:uniqueId val="{00000000-8D26-4384-B172-DB417C4EA6EA}"/>
            </c:ext>
          </c:extLst>
        </c:ser>
        <c:dLbls>
          <c:showLegendKey val="0"/>
          <c:showVal val="0"/>
          <c:showCatName val="0"/>
          <c:showSerName val="0"/>
          <c:showPercent val="0"/>
          <c:showBubbleSize val="0"/>
        </c:dLbls>
        <c:gapWidth val="219"/>
        <c:overlap val="-27"/>
        <c:axId val="957762816"/>
        <c:axId val="1052070752"/>
      </c:barChart>
      <c:catAx>
        <c:axId val="957762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52070752"/>
        <c:crosses val="autoZero"/>
        <c:auto val="1"/>
        <c:lblAlgn val="ctr"/>
        <c:lblOffset val="100"/>
        <c:noMultiLvlLbl val="0"/>
      </c:catAx>
      <c:valAx>
        <c:axId val="105207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776281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982447506561679"/>
          <c:y val="3.509331631839209E-2"/>
          <c:w val="0.87397182123067951"/>
          <c:h val="0.75626925642110976"/>
        </c:manualLayout>
      </c:layout>
      <c:barChart>
        <c:barDir val="col"/>
        <c:grouping val="clustered"/>
        <c:varyColors val="0"/>
        <c:ser>
          <c:idx val="3"/>
          <c:order val="0"/>
          <c:tx>
            <c:strRef>
              <c:f>Data!$U$22</c:f>
              <c:strCache>
                <c:ptCount val="1"/>
                <c:pt idx="0">
                  <c:v>Below 20 kW</c:v>
                </c:pt>
              </c:strCache>
            </c:strRef>
          </c:tx>
          <c:spPr>
            <a:solidFill>
              <a:srgbClr val="0C2577"/>
            </a:solidFill>
            <a:ln>
              <a:noFill/>
            </a:ln>
            <a:effectLst/>
          </c:spPr>
          <c:invertIfNegative val="0"/>
          <c:cat>
            <c:strRef>
              <c:f>Data!$V$16:$V$27</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Data!$Z$16:$Z$27</c:f>
              <c:numCache>
                <c:formatCode>0.0</c:formatCode>
                <c:ptCount val="12"/>
                <c:pt idx="0">
                  <c:v>0.19164616000000001</c:v>
                </c:pt>
                <c:pt idx="1">
                  <c:v>0.16879656000000001</c:v>
                </c:pt>
                <c:pt idx="2">
                  <c:v>0.15325156000000001</c:v>
                </c:pt>
                <c:pt idx="3">
                  <c:v>1.6699459999999999</c:v>
                </c:pt>
                <c:pt idx="4">
                  <c:v>2.1134354000000002</c:v>
                </c:pt>
                <c:pt idx="5">
                  <c:v>2.4590920000000001</c:v>
                </c:pt>
                <c:pt idx="6">
                  <c:v>2.5596546999999998</c:v>
                </c:pt>
                <c:pt idx="7">
                  <c:v>2.5489386999999999</c:v>
                </c:pt>
                <c:pt idx="8">
                  <c:v>2.4226641</c:v>
                </c:pt>
                <c:pt idx="9">
                  <c:v>2.0244466000000001</c:v>
                </c:pt>
                <c:pt idx="10">
                  <c:v>0.16862153999999999</c:v>
                </c:pt>
                <c:pt idx="11">
                  <c:v>0.20735534999999999</c:v>
                </c:pt>
              </c:numCache>
            </c:numRef>
          </c:val>
          <c:extLst>
            <c:ext xmlns:c16="http://schemas.microsoft.com/office/drawing/2014/chart" uri="{C3380CC4-5D6E-409C-BE32-E72D297353CC}">
              <c16:uniqueId val="{00000000-5627-40AC-8A8B-A7016A485C92}"/>
            </c:ext>
          </c:extLst>
        </c:ser>
        <c:dLbls>
          <c:showLegendKey val="0"/>
          <c:showVal val="0"/>
          <c:showCatName val="0"/>
          <c:showSerName val="0"/>
          <c:showPercent val="0"/>
          <c:showBubbleSize val="0"/>
        </c:dLbls>
        <c:gapWidth val="219"/>
        <c:overlap val="-27"/>
        <c:axId val="957762816"/>
        <c:axId val="1052070752"/>
      </c:barChart>
      <c:catAx>
        <c:axId val="957762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52070752"/>
        <c:crosses val="autoZero"/>
        <c:auto val="1"/>
        <c:lblAlgn val="ctr"/>
        <c:lblOffset val="100"/>
        <c:noMultiLvlLbl val="0"/>
      </c:catAx>
      <c:valAx>
        <c:axId val="105207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776281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Data!$AE$28</c:f>
              <c:strCache>
                <c:ptCount val="1"/>
                <c:pt idx="0">
                  <c:v>Utility 1-in-10</c:v>
                </c:pt>
              </c:strCache>
            </c:strRef>
          </c:tx>
          <c:spPr>
            <a:solidFill>
              <a:schemeClr val="accent3"/>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Data!$AE$29:$AE$39</c:f>
              <c:numCache>
                <c:formatCode>0.0</c:formatCode>
                <c:ptCount val="11"/>
                <c:pt idx="0" formatCode="General">
                  <c:v>13.264158999999999</c:v>
                </c:pt>
                <c:pt idx="1">
                  <c:v>15.172086999999999</c:v>
                </c:pt>
                <c:pt idx="2">
                  <c:v>20.700174000000001</c:v>
                </c:pt>
                <c:pt idx="3">
                  <c:v>20.011968</c:v>
                </c:pt>
                <c:pt idx="4">
                  <c:v>21.04937</c:v>
                </c:pt>
                <c:pt idx="5">
                  <c:v>21.070036000000002</c:v>
                </c:pt>
                <c:pt idx="6">
                  <c:v>21.212996</c:v>
                </c:pt>
                <c:pt idx="7">
                  <c:v>21.361827999999999</c:v>
                </c:pt>
                <c:pt idx="8">
                  <c:v>21.513833999999999</c:v>
                </c:pt>
                <c:pt idx="9">
                  <c:v>21.665890999999998</c:v>
                </c:pt>
                <c:pt idx="10">
                  <c:v>21.811506999999999</c:v>
                </c:pt>
              </c:numCache>
            </c:numRef>
          </c:val>
          <c:extLst>
            <c:ext xmlns:c16="http://schemas.microsoft.com/office/drawing/2014/chart" uri="{C3380CC4-5D6E-409C-BE32-E72D297353CC}">
              <c16:uniqueId val="{00000000-D405-4BB4-BF0F-098581B2B318}"/>
            </c:ext>
          </c:extLst>
        </c:ser>
        <c:ser>
          <c:idx val="3"/>
          <c:order val="1"/>
          <c:tx>
            <c:strRef>
              <c:f>Data!$AF$28</c:f>
              <c:strCache>
                <c:ptCount val="1"/>
                <c:pt idx="0">
                  <c:v>Utility 1-in-2</c:v>
                </c:pt>
              </c:strCache>
            </c:strRef>
          </c:tx>
          <c:spPr>
            <a:solidFill>
              <a:schemeClr val="accent4"/>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Data!$AF$29:$AF$39</c:f>
              <c:numCache>
                <c:formatCode>0.0</c:formatCode>
                <c:ptCount val="11"/>
                <c:pt idx="0" formatCode="General">
                  <c:v>12.629829000000001</c:v>
                </c:pt>
                <c:pt idx="1">
                  <c:v>14.445384000000001</c:v>
                </c:pt>
                <c:pt idx="2">
                  <c:v>19.676832000000001</c:v>
                </c:pt>
                <c:pt idx="3">
                  <c:v>19.025604999999999</c:v>
                </c:pt>
                <c:pt idx="4">
                  <c:v>19.998325999999999</c:v>
                </c:pt>
                <c:pt idx="5">
                  <c:v>20.019501000000002</c:v>
                </c:pt>
                <c:pt idx="6">
                  <c:v>20.155097999999999</c:v>
                </c:pt>
                <c:pt idx="7">
                  <c:v>20.296261999999999</c:v>
                </c:pt>
                <c:pt idx="8">
                  <c:v>20.440438</c:v>
                </c:pt>
                <c:pt idx="9">
                  <c:v>20.584661000000001</c:v>
                </c:pt>
                <c:pt idx="10">
                  <c:v>20.722777000000001</c:v>
                </c:pt>
              </c:numCache>
            </c:numRef>
          </c:val>
          <c:extLst>
            <c:ext xmlns:c16="http://schemas.microsoft.com/office/drawing/2014/chart" uri="{C3380CC4-5D6E-409C-BE32-E72D297353CC}">
              <c16:uniqueId val="{00000001-D405-4BB4-BF0F-098581B2B318}"/>
            </c:ext>
          </c:extLst>
        </c:ser>
        <c:ser>
          <c:idx val="4"/>
          <c:order val="2"/>
          <c:tx>
            <c:strRef>
              <c:f>Data!$AG$28</c:f>
              <c:strCache>
                <c:ptCount val="1"/>
                <c:pt idx="0">
                  <c:v>CAISO 1-in-10</c:v>
                </c:pt>
              </c:strCache>
            </c:strRef>
          </c:tx>
          <c:spPr>
            <a:solidFill>
              <a:schemeClr val="accent5"/>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Data!$AG$29:$AG$39</c:f>
              <c:numCache>
                <c:formatCode>0.0</c:formatCode>
                <c:ptCount val="11"/>
                <c:pt idx="0" formatCode="General">
                  <c:v>12.762207999999999</c:v>
                </c:pt>
                <c:pt idx="1">
                  <c:v>14.597203</c:v>
                </c:pt>
                <c:pt idx="2">
                  <c:v>19.882740999999999</c:v>
                </c:pt>
                <c:pt idx="3">
                  <c:v>19.224720999999999</c:v>
                </c:pt>
                <c:pt idx="4">
                  <c:v>20.206921999999999</c:v>
                </c:pt>
                <c:pt idx="5">
                  <c:v>20.228342000000001</c:v>
                </c:pt>
                <c:pt idx="6">
                  <c:v>20.365293000000001</c:v>
                </c:pt>
                <c:pt idx="7">
                  <c:v>20.507867999999998</c:v>
                </c:pt>
                <c:pt idx="8">
                  <c:v>20.653485</c:v>
                </c:pt>
                <c:pt idx="9">
                  <c:v>20.799150000000001</c:v>
                </c:pt>
                <c:pt idx="10">
                  <c:v>20.938645999999999</c:v>
                </c:pt>
              </c:numCache>
            </c:numRef>
          </c:val>
          <c:extLst>
            <c:ext xmlns:c16="http://schemas.microsoft.com/office/drawing/2014/chart" uri="{C3380CC4-5D6E-409C-BE32-E72D297353CC}">
              <c16:uniqueId val="{00000002-D405-4BB4-BF0F-098581B2B318}"/>
            </c:ext>
          </c:extLst>
        </c:ser>
        <c:ser>
          <c:idx val="5"/>
          <c:order val="3"/>
          <c:tx>
            <c:strRef>
              <c:f>Data!$AH$28</c:f>
              <c:strCache>
                <c:ptCount val="1"/>
                <c:pt idx="0">
                  <c:v>CAISO 1-in-2</c:v>
                </c:pt>
              </c:strCache>
            </c:strRef>
          </c:tx>
          <c:spPr>
            <a:solidFill>
              <a:schemeClr val="accent2"/>
            </a:solidFill>
            <a:ln>
              <a:noFill/>
            </a:ln>
            <a:effectLst/>
          </c:spPr>
          <c:invertIfNegative val="0"/>
          <c:cat>
            <c:numRef>
              <c:f>Data!$AD$29:$AD$39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Data!$AH$29:$AH$39</c:f>
              <c:numCache>
                <c:formatCode>0.0</c:formatCode>
                <c:ptCount val="11"/>
                <c:pt idx="0" formatCode="General">
                  <c:v>12.223409999999999</c:v>
                </c:pt>
                <c:pt idx="1">
                  <c:v>13.984154999999999</c:v>
                </c:pt>
                <c:pt idx="2">
                  <c:v>19.046717000000001</c:v>
                </c:pt>
                <c:pt idx="3">
                  <c:v>18.416428</c:v>
                </c:pt>
                <c:pt idx="4">
                  <c:v>19.355471000000001</c:v>
                </c:pt>
                <c:pt idx="5">
                  <c:v>19.376273000000001</c:v>
                </c:pt>
                <c:pt idx="6">
                  <c:v>19.507484999999999</c:v>
                </c:pt>
                <c:pt idx="7">
                  <c:v>19.644085</c:v>
                </c:pt>
                <c:pt idx="8">
                  <c:v>19.7836</c:v>
                </c:pt>
                <c:pt idx="9">
                  <c:v>19.923159999999999</c:v>
                </c:pt>
                <c:pt idx="10">
                  <c:v>20.056809000000001</c:v>
                </c:pt>
              </c:numCache>
            </c:numRef>
          </c:val>
          <c:extLst>
            <c:ext xmlns:c16="http://schemas.microsoft.com/office/drawing/2014/chart" uri="{C3380CC4-5D6E-409C-BE32-E72D297353CC}">
              <c16:uniqueId val="{00000003-D405-4BB4-BF0F-098581B2B318}"/>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(MWh/hour)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Data!$AE$15</c:f>
              <c:strCache>
                <c:ptCount val="1"/>
                <c:pt idx="0">
                  <c:v>Utility 1-in-10</c:v>
                </c:pt>
              </c:strCache>
            </c:strRef>
          </c:tx>
          <c:spPr>
            <a:solidFill>
              <a:schemeClr val="accent3"/>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Data!$AE$16:$AE$26</c:f>
              <c:numCache>
                <c:formatCode>0.0</c:formatCode>
                <c:ptCount val="11"/>
                <c:pt idx="0">
                  <c:v>2.1745513000000001</c:v>
                </c:pt>
                <c:pt idx="1">
                  <c:v>2.4487103000000001</c:v>
                </c:pt>
                <c:pt idx="2">
                  <c:v>2.7861736000000001</c:v>
                </c:pt>
                <c:pt idx="3">
                  <c:v>2.7506306</c:v>
                </c:pt>
                <c:pt idx="4">
                  <c:v>2.6352376</c:v>
                </c:pt>
                <c:pt idx="5">
                  <c:v>2.6743964</c:v>
                </c:pt>
                <c:pt idx="6">
                  <c:v>2.6942191000000002</c:v>
                </c:pt>
                <c:pt idx="7">
                  <c:v>2.7148558999999999</c:v>
                </c:pt>
                <c:pt idx="8">
                  <c:v>2.7359328999999999</c:v>
                </c:pt>
                <c:pt idx="9">
                  <c:v>2.7570168000000002</c:v>
                </c:pt>
                <c:pt idx="10">
                  <c:v>2.7772079000000001</c:v>
                </c:pt>
              </c:numCache>
            </c:numRef>
          </c:val>
          <c:extLst>
            <c:ext xmlns:c16="http://schemas.microsoft.com/office/drawing/2014/chart" uri="{C3380CC4-5D6E-409C-BE32-E72D297353CC}">
              <c16:uniqueId val="{00000000-1BE4-4A92-801E-9C4DE8E1D3EF}"/>
            </c:ext>
          </c:extLst>
        </c:ser>
        <c:ser>
          <c:idx val="3"/>
          <c:order val="1"/>
          <c:tx>
            <c:strRef>
              <c:f>Data!$AF$15</c:f>
              <c:strCache>
                <c:ptCount val="1"/>
                <c:pt idx="0">
                  <c:v>Utility 1-in-2</c:v>
                </c:pt>
              </c:strCache>
            </c:strRef>
          </c:tx>
          <c:spPr>
            <a:solidFill>
              <a:schemeClr val="accent4"/>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Data!$AF$16:$AF$26</c:f>
              <c:numCache>
                <c:formatCode>0.0</c:formatCode>
                <c:ptCount val="11"/>
                <c:pt idx="0">
                  <c:v>2.0684757</c:v>
                </c:pt>
                <c:pt idx="1">
                  <c:v>2.3294168000000002</c:v>
                </c:pt>
                <c:pt idx="2">
                  <c:v>2.6584390999999998</c:v>
                </c:pt>
                <c:pt idx="3">
                  <c:v>2.6235686</c:v>
                </c:pt>
                <c:pt idx="4">
                  <c:v>2.5218541000000001</c:v>
                </c:pt>
                <c:pt idx="5">
                  <c:v>2.5580585999999998</c:v>
                </c:pt>
                <c:pt idx="6">
                  <c:v>2.5769856999999998</c:v>
                </c:pt>
                <c:pt idx="7">
                  <c:v>2.5966900000000002</c:v>
                </c:pt>
                <c:pt idx="8">
                  <c:v>2.6168148000000002</c:v>
                </c:pt>
                <c:pt idx="9">
                  <c:v>2.6369460999999998</c:v>
                </c:pt>
                <c:pt idx="10">
                  <c:v>2.6562248999999998</c:v>
                </c:pt>
              </c:numCache>
            </c:numRef>
          </c:val>
          <c:extLst>
            <c:ext xmlns:c16="http://schemas.microsoft.com/office/drawing/2014/chart" uri="{C3380CC4-5D6E-409C-BE32-E72D297353CC}">
              <c16:uniqueId val="{00000001-1BE4-4A92-801E-9C4DE8E1D3EF}"/>
            </c:ext>
          </c:extLst>
        </c:ser>
        <c:ser>
          <c:idx val="4"/>
          <c:order val="2"/>
          <c:tx>
            <c:strRef>
              <c:f>Data!$AG$15</c:f>
              <c:strCache>
                <c:ptCount val="1"/>
                <c:pt idx="0">
                  <c:v>CAISO 1-in-10</c:v>
                </c:pt>
              </c:strCache>
            </c:strRef>
          </c:tx>
          <c:spPr>
            <a:solidFill>
              <a:schemeClr val="accent5"/>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Data!$AG$16:$AG$26</c:f>
              <c:numCache>
                <c:formatCode>0.0</c:formatCode>
                <c:ptCount val="11"/>
                <c:pt idx="0">
                  <c:v>2.0999596</c:v>
                </c:pt>
                <c:pt idx="1">
                  <c:v>2.3648291000000001</c:v>
                </c:pt>
                <c:pt idx="2">
                  <c:v>2.6975663999999999</c:v>
                </c:pt>
                <c:pt idx="3">
                  <c:v>2.6623095000000001</c:v>
                </c:pt>
                <c:pt idx="4">
                  <c:v>2.5588153</c:v>
                </c:pt>
                <c:pt idx="5">
                  <c:v>2.5955560000000002</c:v>
                </c:pt>
                <c:pt idx="6">
                  <c:v>2.6147304999999998</c:v>
                </c:pt>
                <c:pt idx="7">
                  <c:v>2.6346923000000002</c:v>
                </c:pt>
                <c:pt idx="8">
                  <c:v>2.6550801000000002</c:v>
                </c:pt>
                <c:pt idx="9">
                  <c:v>2.6754745</c:v>
                </c:pt>
                <c:pt idx="10">
                  <c:v>2.6950052000000002</c:v>
                </c:pt>
              </c:numCache>
            </c:numRef>
          </c:val>
          <c:extLst>
            <c:ext xmlns:c16="http://schemas.microsoft.com/office/drawing/2014/chart" uri="{C3380CC4-5D6E-409C-BE32-E72D297353CC}">
              <c16:uniqueId val="{00000002-1BE4-4A92-801E-9C4DE8E1D3EF}"/>
            </c:ext>
          </c:extLst>
        </c:ser>
        <c:ser>
          <c:idx val="5"/>
          <c:order val="3"/>
          <c:tx>
            <c:strRef>
              <c:f>Data!$AH$15</c:f>
              <c:strCache>
                <c:ptCount val="1"/>
                <c:pt idx="0">
                  <c:v>CAISO 1-in-2</c:v>
                </c:pt>
              </c:strCache>
            </c:strRef>
          </c:tx>
          <c:spPr>
            <a:solidFill>
              <a:schemeClr val="accent2"/>
            </a:solidFill>
            <a:ln>
              <a:noFill/>
            </a:ln>
            <a:effectLst/>
          </c:spPr>
          <c:invertIfNegative val="0"/>
          <c:cat>
            <c:numRef>
              <c:f>Data!$AD$3:$AD$13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Data!$AH$16:$AH$26</c:f>
              <c:numCache>
                <c:formatCode>0.0</c:formatCode>
                <c:ptCount val="11"/>
                <c:pt idx="0">
                  <c:v>1.9849374</c:v>
                </c:pt>
                <c:pt idx="1">
                  <c:v>2.2356353000000002</c:v>
                </c:pt>
                <c:pt idx="2">
                  <c:v>2.5529128999999999</c:v>
                </c:pt>
                <c:pt idx="3">
                  <c:v>2.5192220000000001</c:v>
                </c:pt>
                <c:pt idx="4">
                  <c:v>2.4234049</c:v>
                </c:pt>
                <c:pt idx="5">
                  <c:v>2.4578894</c:v>
                </c:pt>
                <c:pt idx="6">
                  <c:v>2.4760458000000001</c:v>
                </c:pt>
                <c:pt idx="7">
                  <c:v>2.4949477999999998</c:v>
                </c:pt>
                <c:pt idx="8">
                  <c:v>2.5142530999999999</c:v>
                </c:pt>
                <c:pt idx="9">
                  <c:v>2.5335646999999999</c:v>
                </c:pt>
                <c:pt idx="10">
                  <c:v>2.5520583999999999</c:v>
                </c:pt>
              </c:numCache>
            </c:numRef>
          </c:val>
          <c:extLst>
            <c:ext xmlns:c16="http://schemas.microsoft.com/office/drawing/2014/chart" uri="{C3380CC4-5D6E-409C-BE32-E72D297353CC}">
              <c16:uniqueId val="{00000003-1BE4-4A92-801E-9C4DE8E1D3EF}"/>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(MWh/hour)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'Main LIs'!$N$113</c:f>
              <c:strCache>
                <c:ptCount val="1"/>
                <c:pt idx="0">
                  <c:v>Load Impact</c:v>
                </c:pt>
              </c:strCache>
            </c:strRef>
          </c:tx>
          <c:spPr>
            <a:solidFill>
              <a:srgbClr val="0C2577"/>
            </a:solidFill>
            <a:ln>
              <a:noFill/>
            </a:ln>
            <a:effectLst/>
          </c:spPr>
          <c:invertIfNegative val="0"/>
          <c:errBars>
            <c:errBarType val="both"/>
            <c:errValType val="cust"/>
            <c:noEndCap val="0"/>
            <c:plus>
              <c:numRef>
                <c:f>'Main LIs'!$P$114:$P$125</c:f>
                <c:numCache>
                  <c:formatCode>General</c:formatCode>
                  <c:ptCount val="12"/>
                  <c:pt idx="0">
                    <c:v>5.0500420000000013</c:v>
                  </c:pt>
                  <c:pt idx="1">
                    <c:v>5.2291500000000006</c:v>
                  </c:pt>
                  <c:pt idx="2">
                    <c:v>5.5304879999999983</c:v>
                  </c:pt>
                  <c:pt idx="3">
                    <c:v>4.9479229999999994</c:v>
                  </c:pt>
                  <c:pt idx="4">
                    <c:v>3.8928390000000004</c:v>
                  </c:pt>
                  <c:pt idx="5">
                    <c:v>4.5957380000000008</c:v>
                  </c:pt>
                  <c:pt idx="6">
                    <c:v>4.3541889999999981</c:v>
                  </c:pt>
                  <c:pt idx="7">
                    <c:v>5.2526030000000006</c:v>
                  </c:pt>
                  <c:pt idx="8">
                    <c:v>5.1043919999999972</c:v>
                  </c:pt>
                  <c:pt idx="9">
                    <c:v>5.3182849999999995</c:v>
                  </c:pt>
                  <c:pt idx="10">
                    <c:v>4.8700149999999987</c:v>
                  </c:pt>
                  <c:pt idx="11">
                    <c:v>4.8135890000000003</c:v>
                  </c:pt>
                </c:numCache>
              </c:numRef>
            </c:plus>
            <c:minus>
              <c:numRef>
                <c:f>'Main LIs'!$P$114:$P$125</c:f>
                <c:numCache>
                  <c:formatCode>General</c:formatCode>
                  <c:ptCount val="12"/>
                  <c:pt idx="0">
                    <c:v>5.0500420000000013</c:v>
                  </c:pt>
                  <c:pt idx="1">
                    <c:v>5.2291500000000006</c:v>
                  </c:pt>
                  <c:pt idx="2">
                    <c:v>5.5304879999999983</c:v>
                  </c:pt>
                  <c:pt idx="3">
                    <c:v>4.9479229999999994</c:v>
                  </c:pt>
                  <c:pt idx="4">
                    <c:v>3.8928390000000004</c:v>
                  </c:pt>
                  <c:pt idx="5">
                    <c:v>4.5957380000000008</c:v>
                  </c:pt>
                  <c:pt idx="6">
                    <c:v>4.3541889999999981</c:v>
                  </c:pt>
                  <c:pt idx="7">
                    <c:v>5.2526030000000006</c:v>
                  </c:pt>
                  <c:pt idx="8">
                    <c:v>5.1043919999999972</c:v>
                  </c:pt>
                  <c:pt idx="9">
                    <c:v>5.3182849999999995</c:v>
                  </c:pt>
                  <c:pt idx="10">
                    <c:v>4.8700149999999987</c:v>
                  </c:pt>
                  <c:pt idx="11">
                    <c:v>4.8135890000000003</c:v>
                  </c:pt>
                </c:numCache>
              </c:numRef>
            </c:minus>
            <c:spPr>
              <a:noFill/>
              <a:ln w="25400" cap="flat" cmpd="sng" algn="ctr">
                <a:solidFill>
                  <a:srgbClr val="92D050"/>
                </a:solidFill>
                <a:round/>
              </a:ln>
              <a:effectLst/>
            </c:spPr>
          </c:errBars>
          <c:cat>
            <c:numRef>
              <c:f>'Main LIs'!$M$114:$M$125</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LIs'!$N$114:$N$125</c:f>
              <c:numCache>
                <c:formatCode>0.0</c:formatCode>
                <c:ptCount val="12"/>
                <c:pt idx="0">
                  <c:v>21.566223999999998</c:v>
                </c:pt>
                <c:pt idx="1">
                  <c:v>18.884461999999999</c:v>
                </c:pt>
                <c:pt idx="2">
                  <c:v>24.67314</c:v>
                </c:pt>
                <c:pt idx="3">
                  <c:v>24.096035000000001</c:v>
                </c:pt>
                <c:pt idx="4">
                  <c:v>15.886397000000001</c:v>
                </c:pt>
                <c:pt idx="5">
                  <c:v>16.199556999999999</c:v>
                </c:pt>
                <c:pt idx="6">
                  <c:v>22.110569000000002</c:v>
                </c:pt>
                <c:pt idx="7">
                  <c:v>25.672986999999999</c:v>
                </c:pt>
                <c:pt idx="8">
                  <c:v>29.441642000000002</c:v>
                </c:pt>
                <c:pt idx="9">
                  <c:v>23.971250999999999</c:v>
                </c:pt>
                <c:pt idx="10">
                  <c:v>18.348476000000002</c:v>
                </c:pt>
                <c:pt idx="11">
                  <c:v>22.468909</c:v>
                </c:pt>
              </c:numCache>
            </c:numRef>
          </c:val>
          <c:extLst>
            <c:ext xmlns:c16="http://schemas.microsoft.com/office/drawing/2014/chart" uri="{C3380CC4-5D6E-409C-BE32-E72D297353CC}">
              <c16:uniqueId val="{00000000-2620-444F-B08F-A312B2DF9EA6}"/>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LIs'!$O$113</c:f>
              <c:strCache>
                <c:ptCount val="1"/>
                <c:pt idx="0">
                  <c:v>Event Temp.</c:v>
                </c:pt>
              </c:strCache>
            </c:strRef>
          </c:tx>
          <c:spPr>
            <a:ln w="28575" cap="rnd">
              <a:solidFill>
                <a:schemeClr val="accent2"/>
              </a:solidFill>
              <a:round/>
            </a:ln>
            <a:effectLst/>
          </c:spPr>
          <c:marker>
            <c:symbol val="none"/>
          </c:marker>
          <c:cat>
            <c:numRef>
              <c:f>'Main LIs'!$M$114:$M$125</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LIs'!$O$114:$O$125</c:f>
              <c:numCache>
                <c:formatCode>0.0</c:formatCode>
                <c:ptCount val="12"/>
                <c:pt idx="0">
                  <c:v>88.184869000000006</c:v>
                </c:pt>
                <c:pt idx="1">
                  <c:v>90.506884999999997</c:v>
                </c:pt>
                <c:pt idx="2">
                  <c:v>90.458398000000003</c:v>
                </c:pt>
                <c:pt idx="3">
                  <c:v>95.157615000000007</c:v>
                </c:pt>
                <c:pt idx="4">
                  <c:v>87.283413999999993</c:v>
                </c:pt>
                <c:pt idx="5">
                  <c:v>86.408536999999995</c:v>
                </c:pt>
                <c:pt idx="6">
                  <c:v>89.873244</c:v>
                </c:pt>
                <c:pt idx="7">
                  <c:v>93.955011999999996</c:v>
                </c:pt>
                <c:pt idx="8">
                  <c:v>95.430462000000006</c:v>
                </c:pt>
                <c:pt idx="9">
                  <c:v>94.582657999999995</c:v>
                </c:pt>
                <c:pt idx="10">
                  <c:v>86.059227000000007</c:v>
                </c:pt>
                <c:pt idx="11">
                  <c:v>83.591031999999998</c:v>
                </c:pt>
              </c:numCache>
            </c:numRef>
          </c:val>
          <c:smooth val="0"/>
          <c:extLst>
            <c:ext xmlns:c16="http://schemas.microsoft.com/office/drawing/2014/chart" uri="{C3380CC4-5D6E-409C-BE32-E72D297353CC}">
              <c16:uniqueId val="{00000001-2620-444F-B08F-A312B2DF9EA6}"/>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a:t>
                </a:r>
                <a:r>
                  <a:rPr lang="en-US" baseline="0"/>
                  <a:t>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10"/>
      </c:valAx>
      <c:valAx>
        <c:axId val="955389087"/>
        <c:scaling>
          <c:orientation val="minMax"/>
          <c:min val="6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 Temperature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3"/>
          <c:order val="3"/>
          <c:tx>
            <c:strRef>
              <c:f>'Figure data'!$K$2</c:f>
              <c:strCache>
                <c:ptCount val="1"/>
                <c:pt idx="0">
                  <c:v>Event Hours</c:v>
                </c:pt>
              </c:strCache>
            </c:strRef>
          </c:tx>
          <c:spPr>
            <a:solidFill>
              <a:schemeClr val="accent5">
                <a:lumMod val="40000"/>
                <a:lumOff val="60000"/>
                <a:alpha val="50000"/>
              </a:schemeClr>
            </a:solidFill>
            <a:ln>
              <a:noFill/>
            </a:ln>
            <a:effectLst/>
          </c:spPr>
          <c:invertIfNegative val="0"/>
          <c:val>
            <c:numRef>
              <c:f>'Figure data'!$K$3:$K$26</c:f>
              <c:numCache>
                <c:formatCode>General</c:formatCode>
                <c:ptCount val="24"/>
                <c:pt idx="14" formatCode="0.0">
                  <c:v>700</c:v>
                </c:pt>
                <c:pt idx="15" formatCode="0.0">
                  <c:v>700</c:v>
                </c:pt>
                <c:pt idx="16" formatCode="0.0">
                  <c:v>700</c:v>
                </c:pt>
                <c:pt idx="17" formatCode="0.0">
                  <c:v>700</c:v>
                </c:pt>
              </c:numCache>
            </c:numRef>
          </c:val>
          <c:extLst>
            <c:ext xmlns:c16="http://schemas.microsoft.com/office/drawing/2014/chart" uri="{C3380CC4-5D6E-409C-BE32-E72D297353CC}">
              <c16:uniqueId val="{00000000-AD58-4B4A-874E-AB31C83CFE70}"/>
            </c:ext>
          </c:extLst>
        </c:ser>
        <c:dLbls>
          <c:showLegendKey val="0"/>
          <c:showVal val="0"/>
          <c:showCatName val="0"/>
          <c:showSerName val="0"/>
          <c:showPercent val="0"/>
          <c:showBubbleSize val="0"/>
        </c:dLbls>
        <c:gapWidth val="0"/>
        <c:axId val="682637968"/>
        <c:axId val="522553360"/>
      </c:barChart>
      <c:lineChart>
        <c:grouping val="standard"/>
        <c:varyColors val="0"/>
        <c:ser>
          <c:idx val="0"/>
          <c:order val="0"/>
          <c:tx>
            <c:strRef>
              <c:f>'Figure data'!$H$2</c:f>
              <c:strCache>
                <c:ptCount val="1"/>
                <c:pt idx="0">
                  <c:v>Reference</c:v>
                </c:pt>
              </c:strCache>
            </c:strRef>
          </c:tx>
          <c:spPr>
            <a:ln w="38100" cap="rnd">
              <a:solidFill>
                <a:schemeClr val="accent1"/>
              </a:solidFill>
              <a:round/>
            </a:ln>
            <a:effectLst/>
          </c:spPr>
          <c:marker>
            <c:symbol val="none"/>
          </c:marker>
          <c:val>
            <c:numRef>
              <c:f>'Figure data'!$H$3:$H$26</c:f>
              <c:numCache>
                <c:formatCode>0.0</c:formatCode>
                <c:ptCount val="24"/>
                <c:pt idx="0">
                  <c:v>336.06927999999999</c:v>
                </c:pt>
                <c:pt idx="1">
                  <c:v>324.76758000000001</c:v>
                </c:pt>
                <c:pt idx="2">
                  <c:v>319.22181999999998</c:v>
                </c:pt>
                <c:pt idx="3">
                  <c:v>322.68472000000003</c:v>
                </c:pt>
                <c:pt idx="4">
                  <c:v>354.89037999999999</c:v>
                </c:pt>
                <c:pt idx="5">
                  <c:v>419.55110000000002</c:v>
                </c:pt>
                <c:pt idx="6">
                  <c:v>484.74259999999998</c:v>
                </c:pt>
                <c:pt idx="7">
                  <c:v>529.28237999999999</c:v>
                </c:pt>
                <c:pt idx="8">
                  <c:v>567.38706000000002</c:v>
                </c:pt>
                <c:pt idx="9">
                  <c:v>590.80314999999996</c:v>
                </c:pt>
                <c:pt idx="10">
                  <c:v>611.69865000000004</c:v>
                </c:pt>
                <c:pt idx="11">
                  <c:v>621.13373999999999</c:v>
                </c:pt>
                <c:pt idx="12">
                  <c:v>616.02419999999995</c:v>
                </c:pt>
                <c:pt idx="13">
                  <c:v>617.80116999999996</c:v>
                </c:pt>
                <c:pt idx="14">
                  <c:v>603.19473000000005</c:v>
                </c:pt>
                <c:pt idx="15">
                  <c:v>579.56260999999995</c:v>
                </c:pt>
                <c:pt idx="16">
                  <c:v>547.75027</c:v>
                </c:pt>
                <c:pt idx="17">
                  <c:v>512.71343000000002</c:v>
                </c:pt>
                <c:pt idx="18">
                  <c:v>477.36192</c:v>
                </c:pt>
                <c:pt idx="19">
                  <c:v>460.99556999999999</c:v>
                </c:pt>
                <c:pt idx="20">
                  <c:v>447.05948999999998</c:v>
                </c:pt>
                <c:pt idx="21">
                  <c:v>424.00659000000002</c:v>
                </c:pt>
                <c:pt idx="22">
                  <c:v>395.48165999999998</c:v>
                </c:pt>
                <c:pt idx="23">
                  <c:v>376.90717000000001</c:v>
                </c:pt>
              </c:numCache>
            </c:numRef>
          </c:val>
          <c:smooth val="0"/>
          <c:extLst>
            <c:ext xmlns:c16="http://schemas.microsoft.com/office/drawing/2014/chart" uri="{C3380CC4-5D6E-409C-BE32-E72D297353CC}">
              <c16:uniqueId val="{00000001-AD58-4B4A-874E-AB31C83CFE70}"/>
            </c:ext>
          </c:extLst>
        </c:ser>
        <c:ser>
          <c:idx val="1"/>
          <c:order val="1"/>
          <c:tx>
            <c:strRef>
              <c:f>'Figure data'!$I$2</c:f>
              <c:strCache>
                <c:ptCount val="1"/>
                <c:pt idx="0">
                  <c:v>Observed</c:v>
                </c:pt>
              </c:strCache>
            </c:strRef>
          </c:tx>
          <c:spPr>
            <a:ln w="38100" cap="rnd">
              <a:solidFill>
                <a:schemeClr val="accent2"/>
              </a:solidFill>
              <a:prstDash val="dash"/>
              <a:round/>
            </a:ln>
            <a:effectLst/>
          </c:spPr>
          <c:marker>
            <c:symbol val="none"/>
          </c:marker>
          <c:val>
            <c:numRef>
              <c:f>'Figure data'!$I$3:$I$26</c:f>
              <c:numCache>
                <c:formatCode>0.0</c:formatCode>
                <c:ptCount val="24"/>
                <c:pt idx="0">
                  <c:v>335.05685999999997</c:v>
                </c:pt>
                <c:pt idx="1">
                  <c:v>325.49993000000001</c:v>
                </c:pt>
                <c:pt idx="2">
                  <c:v>318.50630999999998</c:v>
                </c:pt>
                <c:pt idx="3">
                  <c:v>322.82531999999998</c:v>
                </c:pt>
                <c:pt idx="4">
                  <c:v>356.28109999999998</c:v>
                </c:pt>
                <c:pt idx="5">
                  <c:v>421.45994000000002</c:v>
                </c:pt>
                <c:pt idx="6">
                  <c:v>485.16656999999998</c:v>
                </c:pt>
                <c:pt idx="7">
                  <c:v>529.10974999999996</c:v>
                </c:pt>
                <c:pt idx="8">
                  <c:v>566.23823000000004</c:v>
                </c:pt>
                <c:pt idx="9">
                  <c:v>589.25041999999996</c:v>
                </c:pt>
                <c:pt idx="10">
                  <c:v>610.21420000000001</c:v>
                </c:pt>
                <c:pt idx="11">
                  <c:v>617.99512000000004</c:v>
                </c:pt>
                <c:pt idx="12">
                  <c:v>612.06740000000002</c:v>
                </c:pt>
                <c:pt idx="13">
                  <c:v>608.05426999999997</c:v>
                </c:pt>
                <c:pt idx="14">
                  <c:v>578.56767000000002</c:v>
                </c:pt>
                <c:pt idx="15">
                  <c:v>556.36946</c:v>
                </c:pt>
                <c:pt idx="16">
                  <c:v>526.40093999999999</c:v>
                </c:pt>
                <c:pt idx="17">
                  <c:v>494.10975000000002</c:v>
                </c:pt>
                <c:pt idx="18">
                  <c:v>473.23480999999998</c:v>
                </c:pt>
                <c:pt idx="19">
                  <c:v>461.58391999999998</c:v>
                </c:pt>
                <c:pt idx="20">
                  <c:v>448.99338999999998</c:v>
                </c:pt>
                <c:pt idx="21">
                  <c:v>425.38344000000001</c:v>
                </c:pt>
                <c:pt idx="22">
                  <c:v>396.95425999999998</c:v>
                </c:pt>
                <c:pt idx="23">
                  <c:v>379.29539999999997</c:v>
                </c:pt>
              </c:numCache>
            </c:numRef>
          </c:val>
          <c:smooth val="0"/>
          <c:extLst>
            <c:ext xmlns:c16="http://schemas.microsoft.com/office/drawing/2014/chart" uri="{C3380CC4-5D6E-409C-BE32-E72D297353CC}">
              <c16:uniqueId val="{00000002-AD58-4B4A-874E-AB31C83CFE70}"/>
            </c:ext>
          </c:extLst>
        </c:ser>
        <c:dLbls>
          <c:showLegendKey val="0"/>
          <c:showVal val="0"/>
          <c:showCatName val="0"/>
          <c:showSerName val="0"/>
          <c:showPercent val="0"/>
          <c:showBubbleSize val="0"/>
        </c:dLbls>
        <c:marker val="1"/>
        <c:smooth val="0"/>
        <c:axId val="682637968"/>
        <c:axId val="522553360"/>
      </c:lineChart>
      <c:lineChart>
        <c:grouping val="standard"/>
        <c:varyColors val="0"/>
        <c:ser>
          <c:idx val="2"/>
          <c:order val="2"/>
          <c:tx>
            <c:strRef>
              <c:f>'Figure data'!$J$2</c:f>
              <c:strCache>
                <c:ptCount val="1"/>
                <c:pt idx="0">
                  <c:v>Load Impact</c:v>
                </c:pt>
              </c:strCache>
            </c:strRef>
          </c:tx>
          <c:spPr>
            <a:ln w="38100" cap="rnd">
              <a:solidFill>
                <a:srgbClr val="92D050"/>
              </a:solidFill>
              <a:round/>
            </a:ln>
            <a:effectLst/>
          </c:spPr>
          <c:marker>
            <c:symbol val="diamond"/>
            <c:size val="8"/>
            <c:spPr>
              <a:solidFill>
                <a:srgbClr val="92D050"/>
              </a:solidFill>
              <a:ln w="9525">
                <a:solidFill>
                  <a:srgbClr val="92D050"/>
                </a:solidFill>
              </a:ln>
              <a:effectLst/>
            </c:spPr>
          </c:marker>
          <c:val>
            <c:numRef>
              <c:f>'Figure data'!$J$3:$J$26</c:f>
              <c:numCache>
                <c:formatCode>0.0</c:formatCode>
                <c:ptCount val="24"/>
                <c:pt idx="0">
                  <c:v>1.0124195</c:v>
                </c:pt>
                <c:pt idx="1">
                  <c:v>-0.7323461</c:v>
                </c:pt>
                <c:pt idx="2">
                  <c:v>0.71551224000000002</c:v>
                </c:pt>
                <c:pt idx="3">
                  <c:v>-0.14060010000000001</c:v>
                </c:pt>
                <c:pt idx="4">
                  <c:v>-1.3907176000000001</c:v>
                </c:pt>
                <c:pt idx="5">
                  <c:v>-1.9088392000000001</c:v>
                </c:pt>
                <c:pt idx="6">
                  <c:v>-0.42397650999999997</c:v>
                </c:pt>
                <c:pt idx="7">
                  <c:v>0.17263023</c:v>
                </c:pt>
                <c:pt idx="8">
                  <c:v>1.14883</c:v>
                </c:pt>
                <c:pt idx="9">
                  <c:v>1.5527276999999999</c:v>
                </c:pt>
                <c:pt idx="10">
                  <c:v>1.4844525</c:v>
                </c:pt>
                <c:pt idx="11">
                  <c:v>3.1386208999999998</c:v>
                </c:pt>
                <c:pt idx="12">
                  <c:v>3.9567942999999999</c:v>
                </c:pt>
                <c:pt idx="13">
                  <c:v>9.7468994000000002</c:v>
                </c:pt>
                <c:pt idx="14">
                  <c:v>24.62706</c:v>
                </c:pt>
                <c:pt idx="15">
                  <c:v>23.193148999999998</c:v>
                </c:pt>
                <c:pt idx="16">
                  <c:v>21.349329000000001</c:v>
                </c:pt>
                <c:pt idx="17">
                  <c:v>18.603677999999999</c:v>
                </c:pt>
                <c:pt idx="18">
                  <c:v>4.1271110000000002</c:v>
                </c:pt>
                <c:pt idx="19">
                  <c:v>-0.58835535000000005</c:v>
                </c:pt>
                <c:pt idx="20">
                  <c:v>-1.9339002000000001</c:v>
                </c:pt>
                <c:pt idx="21">
                  <c:v>-1.3768480000000001</c:v>
                </c:pt>
                <c:pt idx="22">
                  <c:v>-1.4725979</c:v>
                </c:pt>
                <c:pt idx="23">
                  <c:v>-2.3882302000000002</c:v>
                </c:pt>
              </c:numCache>
            </c:numRef>
          </c:val>
          <c:smooth val="0"/>
          <c:extLst>
            <c:ext xmlns:c16="http://schemas.microsoft.com/office/drawing/2014/chart" uri="{C3380CC4-5D6E-409C-BE32-E72D297353CC}">
              <c16:uniqueId val="{00000003-AD58-4B4A-874E-AB31C83CFE70}"/>
            </c:ext>
          </c:extLst>
        </c:ser>
        <c:dLbls>
          <c:showLegendKey val="0"/>
          <c:showVal val="0"/>
          <c:showCatName val="0"/>
          <c:showSerName val="0"/>
          <c:showPercent val="0"/>
          <c:showBubbleSize val="0"/>
        </c:dLbls>
        <c:marker val="1"/>
        <c:smooth val="0"/>
        <c:axId val="735019872"/>
        <c:axId val="764469040"/>
      </c:lineChart>
      <c:catAx>
        <c:axId val="682637968"/>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522553360"/>
        <c:crosses val="autoZero"/>
        <c:auto val="1"/>
        <c:lblAlgn val="ctr"/>
        <c:lblOffset val="100"/>
        <c:noMultiLvlLbl val="0"/>
      </c:catAx>
      <c:valAx>
        <c:axId val="522553360"/>
        <c:scaling>
          <c:orientation val="minMax"/>
          <c:max val="7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682637968"/>
        <c:crosses val="autoZero"/>
        <c:crossBetween val="between"/>
      </c:valAx>
      <c:valAx>
        <c:axId val="764469040"/>
        <c:scaling>
          <c:orientation val="minMax"/>
          <c:max val="30"/>
          <c:min val="-5"/>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735019872"/>
        <c:crosses val="max"/>
        <c:crossBetween val="between"/>
      </c:valAx>
      <c:catAx>
        <c:axId val="735019872"/>
        <c:scaling>
          <c:orientation val="minMax"/>
        </c:scaling>
        <c:delete val="1"/>
        <c:axPos val="b"/>
        <c:majorTickMark val="out"/>
        <c:minorTickMark val="none"/>
        <c:tickLblPos val="nextTo"/>
        <c:crossAx val="764469040"/>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0386-4855-9CC4-BDACDB4712B4}"/>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'Main LIs'!$AA$12</c:f>
              <c:strCache>
                <c:ptCount val="1"/>
                <c:pt idx="0">
                  <c:v>Share of Enrollment</c:v>
                </c:pt>
              </c:strCache>
            </c:strRef>
          </c:tx>
          <c:spPr>
            <a:solidFill>
              <a:schemeClr val="accent1"/>
            </a:solidFill>
            <a:ln>
              <a:noFill/>
            </a:ln>
            <a:effectLst/>
          </c:spPr>
          <c:invertIfNegative val="0"/>
          <c:dPt>
            <c:idx val="0"/>
            <c:invertIfNegative val="0"/>
            <c:bubble3D val="0"/>
            <c:spPr>
              <a:solidFill>
                <a:srgbClr val="0C2577"/>
              </a:solidFill>
              <a:ln>
                <a:noFill/>
              </a:ln>
              <a:effectLst/>
            </c:spPr>
            <c:extLst>
              <c:ext xmlns:c16="http://schemas.microsoft.com/office/drawing/2014/chart" uri="{C3380CC4-5D6E-409C-BE32-E72D297353CC}">
                <c16:uniqueId val="{00000001-89E8-4300-A94B-0261ED646CF6}"/>
              </c:ext>
            </c:extLst>
          </c:dPt>
          <c:dPt>
            <c:idx val="1"/>
            <c:invertIfNegative val="0"/>
            <c:bubble3D val="0"/>
            <c:spPr>
              <a:solidFill>
                <a:srgbClr val="0C2577"/>
              </a:solidFill>
              <a:ln>
                <a:noFill/>
              </a:ln>
              <a:effectLst/>
            </c:spPr>
            <c:extLst>
              <c:ext xmlns:c16="http://schemas.microsoft.com/office/drawing/2014/chart" uri="{C3380CC4-5D6E-409C-BE32-E72D297353CC}">
                <c16:uniqueId val="{00000003-89E8-4300-A94B-0261ED646CF6}"/>
              </c:ext>
            </c:extLst>
          </c:dPt>
          <c:dPt>
            <c:idx val="2"/>
            <c:invertIfNegative val="0"/>
            <c:bubble3D val="0"/>
            <c:spPr>
              <a:solidFill>
                <a:srgbClr val="0C2577"/>
              </a:solidFill>
              <a:ln>
                <a:noFill/>
              </a:ln>
              <a:effectLst/>
            </c:spPr>
            <c:extLst>
              <c:ext xmlns:c16="http://schemas.microsoft.com/office/drawing/2014/chart" uri="{C3380CC4-5D6E-409C-BE32-E72D297353CC}">
                <c16:uniqueId val="{00000005-89E8-4300-A94B-0261ED646CF6}"/>
              </c:ext>
            </c:extLst>
          </c:dPt>
          <c:cat>
            <c:strRef>
              <c:f>'Main LIs'!$Z$13:$Z$15</c:f>
              <c:strCache>
                <c:ptCount val="3"/>
                <c:pt idx="0">
                  <c:v>LA Basin</c:v>
                </c:pt>
                <c:pt idx="1">
                  <c:v>Outside Basin</c:v>
                </c:pt>
                <c:pt idx="2">
                  <c:v>Ventura</c:v>
                </c:pt>
              </c:strCache>
            </c:strRef>
          </c:cat>
          <c:val>
            <c:numRef>
              <c:f>'Main LIs'!$AA$13:$AA$15</c:f>
              <c:numCache>
                <c:formatCode>0.0%</c:formatCode>
                <c:ptCount val="3"/>
                <c:pt idx="0">
                  <c:v>0.84835260746236085</c:v>
                </c:pt>
                <c:pt idx="1">
                  <c:v>5.1203709360680777E-2</c:v>
                </c:pt>
                <c:pt idx="2">
                  <c:v>0.10044368317695831</c:v>
                </c:pt>
              </c:numCache>
            </c:numRef>
          </c:val>
          <c:extLst>
            <c:ext xmlns:c16="http://schemas.microsoft.com/office/drawing/2014/chart" uri="{C3380CC4-5D6E-409C-BE32-E72D297353CC}">
              <c16:uniqueId val="{00000006-89E8-4300-A94B-0261ED646CF6}"/>
            </c:ext>
          </c:extLst>
        </c:ser>
        <c:ser>
          <c:idx val="1"/>
          <c:order val="1"/>
          <c:tx>
            <c:strRef>
              <c:f>'Main LIs'!$AB$12</c:f>
              <c:strCache>
                <c:ptCount val="1"/>
                <c:pt idx="0">
                  <c:v>Share of Reference Load</c:v>
                </c:pt>
              </c:strCache>
            </c:strRef>
          </c:tx>
          <c:spPr>
            <a:solidFill>
              <a:schemeClr val="accent2"/>
            </a:solidFill>
            <a:ln>
              <a:noFill/>
            </a:ln>
            <a:effectLst/>
          </c:spPr>
          <c:invertIfNegative val="0"/>
          <c:cat>
            <c:strRef>
              <c:f>'Main LIs'!$Z$13:$Z$15</c:f>
              <c:strCache>
                <c:ptCount val="3"/>
                <c:pt idx="0">
                  <c:v>LA Basin</c:v>
                </c:pt>
                <c:pt idx="1">
                  <c:v>Outside Basin</c:v>
                </c:pt>
                <c:pt idx="2">
                  <c:v>Ventura</c:v>
                </c:pt>
              </c:strCache>
            </c:strRef>
          </c:cat>
          <c:val>
            <c:numRef>
              <c:f>'Main LIs'!$AB$13:$AB$15</c:f>
              <c:numCache>
                <c:formatCode>0.0%</c:formatCode>
                <c:ptCount val="3"/>
                <c:pt idx="0">
                  <c:v>0.8605659831254483</c:v>
                </c:pt>
                <c:pt idx="1">
                  <c:v>5.205567123831132E-2</c:v>
                </c:pt>
                <c:pt idx="2">
                  <c:v>8.7378345636240445E-2</c:v>
                </c:pt>
              </c:numCache>
            </c:numRef>
          </c:val>
          <c:extLst>
            <c:ext xmlns:c16="http://schemas.microsoft.com/office/drawing/2014/chart" uri="{C3380CC4-5D6E-409C-BE32-E72D297353CC}">
              <c16:uniqueId val="{00000007-89E8-4300-A94B-0261ED646CF6}"/>
            </c:ext>
          </c:extLst>
        </c:ser>
        <c:ser>
          <c:idx val="2"/>
          <c:order val="2"/>
          <c:tx>
            <c:strRef>
              <c:f>'Main LIs'!$AC$12</c:f>
              <c:strCache>
                <c:ptCount val="1"/>
                <c:pt idx="0">
                  <c:v>Share of Load Impact</c:v>
                </c:pt>
              </c:strCache>
            </c:strRef>
          </c:tx>
          <c:spPr>
            <a:solidFill>
              <a:schemeClr val="accent3"/>
            </a:solidFill>
            <a:ln>
              <a:noFill/>
            </a:ln>
            <a:effectLst/>
          </c:spPr>
          <c:invertIfNegative val="0"/>
          <c:cat>
            <c:strRef>
              <c:f>'Main LIs'!$Z$13:$Z$15</c:f>
              <c:strCache>
                <c:ptCount val="3"/>
                <c:pt idx="0">
                  <c:v>LA Basin</c:v>
                </c:pt>
                <c:pt idx="1">
                  <c:v>Outside Basin</c:v>
                </c:pt>
                <c:pt idx="2">
                  <c:v>Ventura</c:v>
                </c:pt>
              </c:strCache>
            </c:strRef>
          </c:cat>
          <c:val>
            <c:numRef>
              <c:f>'Main LIs'!$AC$13:$AC$15</c:f>
              <c:numCache>
                <c:formatCode>0.0%</c:formatCode>
                <c:ptCount val="3"/>
                <c:pt idx="0">
                  <c:v>0.81060800359579033</c:v>
                </c:pt>
                <c:pt idx="1">
                  <c:v>9.2629266429711282E-2</c:v>
                </c:pt>
                <c:pt idx="2">
                  <c:v>9.6762729974498501E-2</c:v>
                </c:pt>
              </c:numCache>
            </c:numRef>
          </c:val>
          <c:extLst>
            <c:ext xmlns:c16="http://schemas.microsoft.com/office/drawing/2014/chart" uri="{C3380CC4-5D6E-409C-BE32-E72D297353CC}">
              <c16:uniqueId val="{00000008-89E8-4300-A94B-0261ED646CF6}"/>
            </c:ext>
          </c:extLst>
        </c:ser>
        <c:dLbls>
          <c:showLegendKey val="0"/>
          <c:showVal val="0"/>
          <c:showCatName val="0"/>
          <c:showSerName val="0"/>
          <c:showPercent val="0"/>
          <c:showBubbleSize val="0"/>
        </c:dLbls>
        <c:gapWidth val="182"/>
        <c:axId val="1705660735"/>
        <c:axId val="1943404335"/>
      </c:barChart>
      <c:catAx>
        <c:axId val="1705660735"/>
        <c:scaling>
          <c:orientation val="maxMin"/>
        </c:scaling>
        <c:delete val="0"/>
        <c:axPos val="l"/>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943404335"/>
        <c:crosses val="autoZero"/>
        <c:auto val="1"/>
        <c:lblAlgn val="ctr"/>
        <c:lblOffset val="100"/>
        <c:noMultiLvlLbl val="0"/>
      </c:catAx>
      <c:valAx>
        <c:axId val="1943404335"/>
        <c:scaling>
          <c:orientation val="minMax"/>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w="0">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705660735"/>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'Main LIs'!$N$156</c:f>
              <c:strCache>
                <c:ptCount val="1"/>
                <c:pt idx="0">
                  <c:v>Load Impact</c:v>
                </c:pt>
              </c:strCache>
            </c:strRef>
          </c:tx>
          <c:spPr>
            <a:solidFill>
              <a:srgbClr val="0C2577"/>
            </a:solidFill>
            <a:ln>
              <a:noFill/>
            </a:ln>
            <a:effectLst/>
          </c:spPr>
          <c:invertIfNegative val="0"/>
          <c:errBars>
            <c:errBarType val="both"/>
            <c:errValType val="cust"/>
            <c:noEndCap val="0"/>
            <c:plus>
              <c:numRef>
                <c:f>'Main LIs'!$P$157:$P$168</c:f>
                <c:numCache>
                  <c:formatCode>General</c:formatCode>
                  <c:ptCount val="12"/>
                  <c:pt idx="0">
                    <c:v>0.67686059999999992</c:v>
                  </c:pt>
                  <c:pt idx="1">
                    <c:v>0.66301720000000008</c:v>
                  </c:pt>
                  <c:pt idx="2">
                    <c:v>0.54607884000000007</c:v>
                  </c:pt>
                  <c:pt idx="3">
                    <c:v>0.63236643999999986</c:v>
                  </c:pt>
                  <c:pt idx="4">
                    <c:v>0.53732961000000001</c:v>
                  </c:pt>
                  <c:pt idx="5">
                    <c:v>0.55347945999999992</c:v>
                  </c:pt>
                  <c:pt idx="6">
                    <c:v>0.6287507</c:v>
                  </c:pt>
                  <c:pt idx="7">
                    <c:v>0.68432869000000007</c:v>
                  </c:pt>
                  <c:pt idx="8">
                    <c:v>0.69860147999999989</c:v>
                  </c:pt>
                  <c:pt idx="9">
                    <c:v>0.78748107000000001</c:v>
                  </c:pt>
                  <c:pt idx="10">
                    <c:v>0.69852979000000004</c:v>
                  </c:pt>
                  <c:pt idx="11">
                    <c:v>0.68363845999999995</c:v>
                  </c:pt>
                </c:numCache>
              </c:numRef>
            </c:plus>
            <c:minus>
              <c:numRef>
                <c:f>'Main LIs'!$P$157:$P$168</c:f>
                <c:numCache>
                  <c:formatCode>General</c:formatCode>
                  <c:ptCount val="12"/>
                  <c:pt idx="0">
                    <c:v>0.67686059999999992</c:v>
                  </c:pt>
                  <c:pt idx="1">
                    <c:v>0.66301720000000008</c:v>
                  </c:pt>
                  <c:pt idx="2">
                    <c:v>0.54607884000000007</c:v>
                  </c:pt>
                  <c:pt idx="3">
                    <c:v>0.63236643999999986</c:v>
                  </c:pt>
                  <c:pt idx="4">
                    <c:v>0.53732961000000001</c:v>
                  </c:pt>
                  <c:pt idx="5">
                    <c:v>0.55347945999999992</c:v>
                  </c:pt>
                  <c:pt idx="6">
                    <c:v>0.6287507</c:v>
                  </c:pt>
                  <c:pt idx="7">
                    <c:v>0.68432869000000007</c:v>
                  </c:pt>
                  <c:pt idx="8">
                    <c:v>0.69860147999999989</c:v>
                  </c:pt>
                  <c:pt idx="9">
                    <c:v>0.78748107000000001</c:v>
                  </c:pt>
                  <c:pt idx="10">
                    <c:v>0.69852979000000004</c:v>
                  </c:pt>
                  <c:pt idx="11">
                    <c:v>0.68363845999999995</c:v>
                  </c:pt>
                </c:numCache>
              </c:numRef>
            </c:minus>
            <c:spPr>
              <a:noFill/>
              <a:ln w="25400" cap="flat" cmpd="sng" algn="ctr">
                <a:solidFill>
                  <a:srgbClr val="92D050"/>
                </a:solidFill>
                <a:round/>
              </a:ln>
              <a:effectLst/>
            </c:spPr>
          </c:errBars>
          <c:cat>
            <c:numRef>
              <c:f>'Main LIs'!$M$157:$M$168</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LIs'!$N$157:$N$168</c:f>
              <c:numCache>
                <c:formatCode>0.0</c:formatCode>
                <c:ptCount val="12"/>
                <c:pt idx="0">
                  <c:v>1.1718170000000001</c:v>
                </c:pt>
                <c:pt idx="1">
                  <c:v>1.3710532</c:v>
                </c:pt>
                <c:pt idx="2">
                  <c:v>0.94403915999999999</c:v>
                </c:pt>
                <c:pt idx="3">
                  <c:v>0.91670006000000004</c:v>
                </c:pt>
                <c:pt idx="4">
                  <c:v>0.28424697999999998</c:v>
                </c:pt>
                <c:pt idx="5">
                  <c:v>0.71616323999999998</c:v>
                </c:pt>
                <c:pt idx="6">
                  <c:v>-0.27471234999999999</c:v>
                </c:pt>
                <c:pt idx="7">
                  <c:v>0.39833141</c:v>
                </c:pt>
                <c:pt idx="8">
                  <c:v>0.71981642000000001</c:v>
                </c:pt>
                <c:pt idx="9">
                  <c:v>-8.4319100000000008E-3</c:v>
                </c:pt>
                <c:pt idx="10">
                  <c:v>0.36679930999999999</c:v>
                </c:pt>
                <c:pt idx="11">
                  <c:v>0.83286724000000001</c:v>
                </c:pt>
              </c:numCache>
            </c:numRef>
          </c:val>
          <c:extLst>
            <c:ext xmlns:c16="http://schemas.microsoft.com/office/drawing/2014/chart" uri="{C3380CC4-5D6E-409C-BE32-E72D297353CC}">
              <c16:uniqueId val="{00000000-A1D6-4338-8720-E8C7A6CB4CAB}"/>
            </c:ext>
          </c:extLst>
        </c:ser>
        <c:dLbls>
          <c:showLegendKey val="0"/>
          <c:showVal val="0"/>
          <c:showCatName val="0"/>
          <c:showSerName val="0"/>
          <c:showPercent val="0"/>
          <c:showBubbleSize val="0"/>
        </c:dLbls>
        <c:gapWidth val="219"/>
        <c:overlap val="-27"/>
        <c:axId val="858135855"/>
        <c:axId val="879999503"/>
      </c:barChart>
      <c:lineChart>
        <c:grouping val="standard"/>
        <c:varyColors val="0"/>
        <c:ser>
          <c:idx val="1"/>
          <c:order val="1"/>
          <c:tx>
            <c:strRef>
              <c:f>'Main LIs'!$O$156</c:f>
              <c:strCache>
                <c:ptCount val="1"/>
                <c:pt idx="0">
                  <c:v>Event Temp.</c:v>
                </c:pt>
              </c:strCache>
            </c:strRef>
          </c:tx>
          <c:spPr>
            <a:ln w="28575" cap="rnd">
              <a:solidFill>
                <a:schemeClr val="accent2"/>
              </a:solidFill>
              <a:round/>
            </a:ln>
            <a:effectLst/>
          </c:spPr>
          <c:marker>
            <c:symbol val="none"/>
          </c:marker>
          <c:cat>
            <c:numRef>
              <c:f>'Main LIs'!$M$157:$M$168</c:f>
              <c:numCache>
                <c:formatCode>[$-409]d\-mmm;@</c:formatCode>
                <c:ptCount val="12"/>
                <c:pt idx="0">
                  <c:v>42905</c:v>
                </c:pt>
                <c:pt idx="1">
                  <c:v>42906</c:v>
                </c:pt>
                <c:pt idx="2">
                  <c:v>42922</c:v>
                </c:pt>
                <c:pt idx="3">
                  <c:v>42923</c:v>
                </c:pt>
                <c:pt idx="4">
                  <c:v>42943</c:v>
                </c:pt>
                <c:pt idx="5">
                  <c:v>42947</c:v>
                </c:pt>
                <c:pt idx="6">
                  <c:v>42948</c:v>
                </c:pt>
                <c:pt idx="7">
                  <c:v>42975</c:v>
                </c:pt>
                <c:pt idx="8">
                  <c:v>42976</c:v>
                </c:pt>
                <c:pt idx="9">
                  <c:v>42978</c:v>
                </c:pt>
                <c:pt idx="10">
                  <c:v>42983</c:v>
                </c:pt>
                <c:pt idx="11">
                  <c:v>42990</c:v>
                </c:pt>
              </c:numCache>
            </c:numRef>
          </c:cat>
          <c:val>
            <c:numRef>
              <c:f>'Main LIs'!$O$157:$O$168</c:f>
              <c:numCache>
                <c:formatCode>0.0</c:formatCode>
                <c:ptCount val="12"/>
                <c:pt idx="0">
                  <c:v>87.258823000000007</c:v>
                </c:pt>
                <c:pt idx="1">
                  <c:v>89.404152999999994</c:v>
                </c:pt>
                <c:pt idx="2">
                  <c:v>89.250501</c:v>
                </c:pt>
                <c:pt idx="3">
                  <c:v>93.896721999999997</c:v>
                </c:pt>
                <c:pt idx="4">
                  <c:v>86.371285999999998</c:v>
                </c:pt>
                <c:pt idx="5">
                  <c:v>85.062008000000006</c:v>
                </c:pt>
                <c:pt idx="6">
                  <c:v>89.089457999999993</c:v>
                </c:pt>
                <c:pt idx="7">
                  <c:v>92.993140999999994</c:v>
                </c:pt>
                <c:pt idx="8">
                  <c:v>94.671446000000003</c:v>
                </c:pt>
                <c:pt idx="9">
                  <c:v>93.997653</c:v>
                </c:pt>
                <c:pt idx="10">
                  <c:v>85.615570000000005</c:v>
                </c:pt>
                <c:pt idx="11">
                  <c:v>81.784272999999999</c:v>
                </c:pt>
              </c:numCache>
            </c:numRef>
          </c:val>
          <c:smooth val="0"/>
          <c:extLst>
            <c:ext xmlns:c16="http://schemas.microsoft.com/office/drawing/2014/chart" uri="{C3380CC4-5D6E-409C-BE32-E72D297353CC}">
              <c16:uniqueId val="{00000001-A1D6-4338-8720-E8C7A6CB4CAB}"/>
            </c:ext>
          </c:extLst>
        </c:ser>
        <c:dLbls>
          <c:showLegendKey val="0"/>
          <c:showVal val="0"/>
          <c:showCatName val="0"/>
          <c:showSerName val="0"/>
          <c:showPercent val="0"/>
          <c:showBubbleSize val="0"/>
        </c:dLbls>
        <c:marker val="1"/>
        <c:smooth val="0"/>
        <c:axId val="858141679"/>
        <c:axId val="955389087"/>
      </c:lineChart>
      <c:catAx>
        <c:axId val="858135855"/>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Event Date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409]d\-mmm;@" sourceLinked="1"/>
        <c:majorTickMark val="none"/>
        <c:minorTickMark val="none"/>
        <c:tickLblPos val="nextTo"/>
        <c:spPr>
          <a:noFill/>
          <a:ln w="0" cap="flat" cmpd="sng" algn="ctr">
            <a:solidFill>
              <a:schemeClr val="tx1"/>
            </a:solidFill>
            <a:round/>
          </a:ln>
          <a:effectLst/>
        </c:spPr>
        <c:txPr>
          <a:bodyPr rot="-5400000" spcFirstLastPara="1" vertOverflow="ellipsis"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79999503"/>
        <c:crosses val="autoZero"/>
        <c:auto val="0"/>
        <c:lblAlgn val="ctr"/>
        <c:lblOffset val="100"/>
        <c:tickLblSkip val="1"/>
        <c:noMultiLvlLbl val="0"/>
      </c:catAx>
      <c:valAx>
        <c:axId val="879999503"/>
        <c:scaling>
          <c:orientation val="minMax"/>
          <c:min val="-1.5"/>
        </c:scaling>
        <c:delete val="0"/>
        <c:axPos val="l"/>
        <c:majorGridlines>
          <c:spPr>
            <a:ln w="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 Event-hour</a:t>
                </a:r>
                <a:r>
                  <a:rPr lang="en-US" baseline="0"/>
                  <a:t> 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35855"/>
        <c:crosses val="autoZero"/>
        <c:crossBetween val="between"/>
        <c:majorUnit val="0.5"/>
      </c:valAx>
      <c:valAx>
        <c:axId val="955389087"/>
        <c:scaling>
          <c:orientation val="minMax"/>
          <c:min val="60"/>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Average</a:t>
                </a:r>
                <a:r>
                  <a:rPr lang="en-US" baseline="0"/>
                  <a:t> Event-hour Temperature</a:t>
                </a:r>
                <a:endParaRPr lang="en-US"/>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58141679"/>
        <c:crosses val="max"/>
        <c:crossBetween val="between"/>
        <c:majorUnit val="10"/>
      </c:valAx>
      <c:dateAx>
        <c:axId val="858141679"/>
        <c:scaling>
          <c:orientation val="minMax"/>
        </c:scaling>
        <c:delete val="1"/>
        <c:axPos val="b"/>
        <c:numFmt formatCode="[$-409]d\-mmm;@" sourceLinked="1"/>
        <c:majorTickMark val="out"/>
        <c:minorTickMark val="none"/>
        <c:tickLblPos val="nextTo"/>
        <c:crossAx val="955389087"/>
        <c:crosses val="autoZero"/>
        <c:auto val="1"/>
        <c:lblOffset val="100"/>
        <c:baseTimeUnit val="days"/>
      </c:date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3"/>
          <c:order val="3"/>
          <c:tx>
            <c:strRef>
              <c:f>'Figure data'!$Q$2</c:f>
              <c:strCache>
                <c:ptCount val="1"/>
                <c:pt idx="0">
                  <c:v>Event Hours</c:v>
                </c:pt>
              </c:strCache>
            </c:strRef>
          </c:tx>
          <c:spPr>
            <a:solidFill>
              <a:schemeClr val="accent5">
                <a:lumMod val="40000"/>
                <a:lumOff val="60000"/>
                <a:alpha val="50000"/>
              </a:schemeClr>
            </a:solidFill>
            <a:ln>
              <a:noFill/>
            </a:ln>
            <a:effectLst/>
          </c:spPr>
          <c:invertIfNegative val="0"/>
          <c:val>
            <c:numRef>
              <c:f>'Figure data'!$Q$3:$Q$26</c:f>
              <c:numCache>
                <c:formatCode>General</c:formatCode>
                <c:ptCount val="24"/>
                <c:pt idx="14" formatCode="0.0">
                  <c:v>80</c:v>
                </c:pt>
                <c:pt idx="15" formatCode="0.0">
                  <c:v>80</c:v>
                </c:pt>
                <c:pt idx="16" formatCode="0.0">
                  <c:v>80</c:v>
                </c:pt>
                <c:pt idx="17" formatCode="0.0">
                  <c:v>80</c:v>
                </c:pt>
              </c:numCache>
            </c:numRef>
          </c:val>
          <c:extLst>
            <c:ext xmlns:c16="http://schemas.microsoft.com/office/drawing/2014/chart" uri="{C3380CC4-5D6E-409C-BE32-E72D297353CC}">
              <c16:uniqueId val="{00000000-B2BE-429C-BC2B-C30EFDC522B7}"/>
            </c:ext>
          </c:extLst>
        </c:ser>
        <c:dLbls>
          <c:showLegendKey val="0"/>
          <c:showVal val="0"/>
          <c:showCatName val="0"/>
          <c:showSerName val="0"/>
          <c:showPercent val="0"/>
          <c:showBubbleSize val="0"/>
        </c:dLbls>
        <c:gapWidth val="0"/>
        <c:axId val="764125344"/>
        <c:axId val="764800896"/>
      </c:barChart>
      <c:lineChart>
        <c:grouping val="standard"/>
        <c:varyColors val="0"/>
        <c:ser>
          <c:idx val="0"/>
          <c:order val="0"/>
          <c:tx>
            <c:strRef>
              <c:f>'Figure data'!$N$2</c:f>
              <c:strCache>
                <c:ptCount val="1"/>
                <c:pt idx="0">
                  <c:v>Reference</c:v>
                </c:pt>
              </c:strCache>
            </c:strRef>
          </c:tx>
          <c:spPr>
            <a:ln w="38100" cap="rnd">
              <a:solidFill>
                <a:schemeClr val="accent1"/>
              </a:solidFill>
              <a:round/>
            </a:ln>
            <a:effectLst/>
          </c:spPr>
          <c:marker>
            <c:symbol val="none"/>
          </c:marker>
          <c:val>
            <c:numRef>
              <c:f>'Figure data'!$N$3:$N$26</c:f>
              <c:numCache>
                <c:formatCode>0.0</c:formatCode>
                <c:ptCount val="24"/>
                <c:pt idx="0">
                  <c:v>32.509492999999999</c:v>
                </c:pt>
                <c:pt idx="1">
                  <c:v>30.934277999999999</c:v>
                </c:pt>
                <c:pt idx="2">
                  <c:v>30.299156</c:v>
                </c:pt>
                <c:pt idx="3">
                  <c:v>30.733720000000002</c:v>
                </c:pt>
                <c:pt idx="4">
                  <c:v>33.452027999999999</c:v>
                </c:pt>
                <c:pt idx="5">
                  <c:v>39.822800999999998</c:v>
                </c:pt>
                <c:pt idx="6">
                  <c:v>47.140590000000003</c:v>
                </c:pt>
                <c:pt idx="7">
                  <c:v>54.522199999999998</c:v>
                </c:pt>
                <c:pt idx="8">
                  <c:v>60.087121000000003</c:v>
                </c:pt>
                <c:pt idx="9">
                  <c:v>64.111221</c:v>
                </c:pt>
                <c:pt idx="10">
                  <c:v>67.240791999999999</c:v>
                </c:pt>
                <c:pt idx="11">
                  <c:v>69.177925000000002</c:v>
                </c:pt>
                <c:pt idx="12">
                  <c:v>70.066475999999994</c:v>
                </c:pt>
                <c:pt idx="13">
                  <c:v>70.869118</c:v>
                </c:pt>
                <c:pt idx="14">
                  <c:v>69.935834</c:v>
                </c:pt>
                <c:pt idx="15">
                  <c:v>66.912858999999997</c:v>
                </c:pt>
                <c:pt idx="16">
                  <c:v>62.510302000000003</c:v>
                </c:pt>
                <c:pt idx="17">
                  <c:v>57.699133000000003</c:v>
                </c:pt>
                <c:pt idx="18">
                  <c:v>52.219631</c:v>
                </c:pt>
                <c:pt idx="19">
                  <c:v>49.179530999999997</c:v>
                </c:pt>
                <c:pt idx="20">
                  <c:v>47.136076000000003</c:v>
                </c:pt>
                <c:pt idx="21">
                  <c:v>43.965170999999998</c:v>
                </c:pt>
                <c:pt idx="22">
                  <c:v>39.961184000000003</c:v>
                </c:pt>
                <c:pt idx="23">
                  <c:v>36.664312000000002</c:v>
                </c:pt>
              </c:numCache>
            </c:numRef>
          </c:val>
          <c:smooth val="0"/>
          <c:extLst>
            <c:ext xmlns:c16="http://schemas.microsoft.com/office/drawing/2014/chart" uri="{C3380CC4-5D6E-409C-BE32-E72D297353CC}">
              <c16:uniqueId val="{00000001-B2BE-429C-BC2B-C30EFDC522B7}"/>
            </c:ext>
          </c:extLst>
        </c:ser>
        <c:ser>
          <c:idx val="1"/>
          <c:order val="1"/>
          <c:tx>
            <c:strRef>
              <c:f>'Figure data'!$O$2</c:f>
              <c:strCache>
                <c:ptCount val="1"/>
                <c:pt idx="0">
                  <c:v>Observed</c:v>
                </c:pt>
              </c:strCache>
            </c:strRef>
          </c:tx>
          <c:spPr>
            <a:ln w="38100" cap="rnd">
              <a:solidFill>
                <a:schemeClr val="accent2"/>
              </a:solidFill>
              <a:prstDash val="dash"/>
              <a:round/>
            </a:ln>
            <a:effectLst/>
          </c:spPr>
          <c:marker>
            <c:symbol val="none"/>
          </c:marker>
          <c:val>
            <c:numRef>
              <c:f>'Figure data'!$O$3:$O$26</c:f>
              <c:numCache>
                <c:formatCode>0.0</c:formatCode>
                <c:ptCount val="24"/>
                <c:pt idx="0">
                  <c:v>32.363050999999999</c:v>
                </c:pt>
                <c:pt idx="1">
                  <c:v>30.851772</c:v>
                </c:pt>
                <c:pt idx="2">
                  <c:v>30.277462</c:v>
                </c:pt>
                <c:pt idx="3">
                  <c:v>30.742927000000002</c:v>
                </c:pt>
                <c:pt idx="4">
                  <c:v>33.468324000000003</c:v>
                </c:pt>
                <c:pt idx="5">
                  <c:v>39.941567999999997</c:v>
                </c:pt>
                <c:pt idx="6">
                  <c:v>47.314340000000001</c:v>
                </c:pt>
                <c:pt idx="7">
                  <c:v>54.439987000000002</c:v>
                </c:pt>
                <c:pt idx="8">
                  <c:v>60.171396999999999</c:v>
                </c:pt>
                <c:pt idx="9">
                  <c:v>64.041781999999998</c:v>
                </c:pt>
                <c:pt idx="10">
                  <c:v>67.260118000000006</c:v>
                </c:pt>
                <c:pt idx="11">
                  <c:v>69.077393999999998</c:v>
                </c:pt>
                <c:pt idx="12">
                  <c:v>69.908305999999996</c:v>
                </c:pt>
                <c:pt idx="13">
                  <c:v>70.519354000000007</c:v>
                </c:pt>
                <c:pt idx="14">
                  <c:v>69.129540000000006</c:v>
                </c:pt>
                <c:pt idx="15">
                  <c:v>66.117007999999998</c:v>
                </c:pt>
                <c:pt idx="16">
                  <c:v>62.065699000000002</c:v>
                </c:pt>
                <c:pt idx="17">
                  <c:v>57.256329000000001</c:v>
                </c:pt>
                <c:pt idx="18">
                  <c:v>52.137622</c:v>
                </c:pt>
                <c:pt idx="19">
                  <c:v>49.177393000000002</c:v>
                </c:pt>
                <c:pt idx="20">
                  <c:v>47.084378999999998</c:v>
                </c:pt>
                <c:pt idx="21">
                  <c:v>43.69191</c:v>
                </c:pt>
                <c:pt idx="22">
                  <c:v>39.651086999999997</c:v>
                </c:pt>
                <c:pt idx="23">
                  <c:v>36.367151</c:v>
                </c:pt>
              </c:numCache>
            </c:numRef>
          </c:val>
          <c:smooth val="0"/>
          <c:extLst>
            <c:ext xmlns:c16="http://schemas.microsoft.com/office/drawing/2014/chart" uri="{C3380CC4-5D6E-409C-BE32-E72D297353CC}">
              <c16:uniqueId val="{00000002-B2BE-429C-BC2B-C30EFDC522B7}"/>
            </c:ext>
          </c:extLst>
        </c:ser>
        <c:dLbls>
          <c:showLegendKey val="0"/>
          <c:showVal val="0"/>
          <c:showCatName val="0"/>
          <c:showSerName val="0"/>
          <c:showPercent val="0"/>
          <c:showBubbleSize val="0"/>
        </c:dLbls>
        <c:marker val="1"/>
        <c:smooth val="0"/>
        <c:axId val="764125344"/>
        <c:axId val="764800896"/>
      </c:lineChart>
      <c:lineChart>
        <c:grouping val="standard"/>
        <c:varyColors val="0"/>
        <c:ser>
          <c:idx val="2"/>
          <c:order val="2"/>
          <c:tx>
            <c:strRef>
              <c:f>'Figure data'!$P$2</c:f>
              <c:strCache>
                <c:ptCount val="1"/>
                <c:pt idx="0">
                  <c:v>Load Impact</c:v>
                </c:pt>
              </c:strCache>
            </c:strRef>
          </c:tx>
          <c:spPr>
            <a:ln w="38100" cap="rnd">
              <a:solidFill>
                <a:srgbClr val="92D050"/>
              </a:solidFill>
              <a:round/>
            </a:ln>
            <a:effectLst/>
          </c:spPr>
          <c:marker>
            <c:symbol val="diamond"/>
            <c:size val="8"/>
            <c:spPr>
              <a:solidFill>
                <a:srgbClr val="92D050"/>
              </a:solidFill>
              <a:ln w="9525">
                <a:solidFill>
                  <a:srgbClr val="92D050"/>
                </a:solidFill>
              </a:ln>
              <a:effectLst/>
            </c:spPr>
          </c:marker>
          <c:val>
            <c:numRef>
              <c:f>'Figure data'!$P$3:$P$26</c:f>
              <c:numCache>
                <c:formatCode>0.0</c:formatCode>
                <c:ptCount val="24"/>
                <c:pt idx="0">
                  <c:v>0.14644161</c:v>
                </c:pt>
                <c:pt idx="1">
                  <c:v>8.2506170000000004E-2</c:v>
                </c:pt>
                <c:pt idx="2">
                  <c:v>2.1694479999999999E-2</c:v>
                </c:pt>
                <c:pt idx="3">
                  <c:v>-9.2070999999999993E-3</c:v>
                </c:pt>
                <c:pt idx="4">
                  <c:v>-1.629533E-2</c:v>
                </c:pt>
                <c:pt idx="5">
                  <c:v>-0.11876602</c:v>
                </c:pt>
                <c:pt idx="6">
                  <c:v>-0.17374993</c:v>
                </c:pt>
                <c:pt idx="7">
                  <c:v>8.2212919999999995E-2</c:v>
                </c:pt>
                <c:pt idx="8">
                  <c:v>-8.4276240000000002E-2</c:v>
                </c:pt>
                <c:pt idx="9">
                  <c:v>6.9439440000000005E-2</c:v>
                </c:pt>
                <c:pt idx="10">
                  <c:v>-1.9326039999999999E-2</c:v>
                </c:pt>
                <c:pt idx="11">
                  <c:v>0.10053160999999999</c:v>
                </c:pt>
                <c:pt idx="12">
                  <c:v>0.15817033</c:v>
                </c:pt>
                <c:pt idx="13">
                  <c:v>0.34976491999999998</c:v>
                </c:pt>
                <c:pt idx="14">
                  <c:v>0.80629441000000002</c:v>
                </c:pt>
                <c:pt idx="15">
                  <c:v>0.79585123000000002</c:v>
                </c:pt>
                <c:pt idx="16">
                  <c:v>0.44460322000000002</c:v>
                </c:pt>
                <c:pt idx="17">
                  <c:v>0.44280363</c:v>
                </c:pt>
                <c:pt idx="18">
                  <c:v>8.2008869999999998E-2</c:v>
                </c:pt>
                <c:pt idx="19">
                  <c:v>2.1387099999999998E-3</c:v>
                </c:pt>
                <c:pt idx="20">
                  <c:v>5.169667E-2</c:v>
                </c:pt>
                <c:pt idx="21">
                  <c:v>0.27326157000000001</c:v>
                </c:pt>
                <c:pt idx="22">
                  <c:v>0.31009746999999999</c:v>
                </c:pt>
                <c:pt idx="23">
                  <c:v>0.29716083999999998</c:v>
                </c:pt>
              </c:numCache>
            </c:numRef>
          </c:val>
          <c:smooth val="0"/>
          <c:extLst>
            <c:ext xmlns:c16="http://schemas.microsoft.com/office/drawing/2014/chart" uri="{C3380CC4-5D6E-409C-BE32-E72D297353CC}">
              <c16:uniqueId val="{00000003-B2BE-429C-BC2B-C30EFDC522B7}"/>
            </c:ext>
          </c:extLst>
        </c:ser>
        <c:dLbls>
          <c:showLegendKey val="0"/>
          <c:showVal val="0"/>
          <c:showCatName val="0"/>
          <c:showSerName val="0"/>
          <c:showPercent val="0"/>
          <c:showBubbleSize val="0"/>
        </c:dLbls>
        <c:marker val="1"/>
        <c:smooth val="0"/>
        <c:axId val="517027248"/>
        <c:axId val="673407264"/>
      </c:lineChart>
      <c:catAx>
        <c:axId val="764125344"/>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764800896"/>
        <c:crosses val="autoZero"/>
        <c:auto val="1"/>
        <c:lblAlgn val="ctr"/>
        <c:lblOffset val="100"/>
        <c:noMultiLvlLbl val="0"/>
      </c:catAx>
      <c:valAx>
        <c:axId val="764800896"/>
        <c:scaling>
          <c:orientation val="minMax"/>
          <c:max val="8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764125344"/>
        <c:crosses val="autoZero"/>
        <c:crossBetween val="between"/>
      </c:valAx>
      <c:valAx>
        <c:axId val="673407264"/>
        <c:scaling>
          <c:orientation val="minMax"/>
          <c:max val="1.4"/>
          <c:min val="-0.2"/>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17027248"/>
        <c:crosses val="max"/>
        <c:crossBetween val="between"/>
      </c:valAx>
      <c:catAx>
        <c:axId val="517027248"/>
        <c:scaling>
          <c:orientation val="minMax"/>
        </c:scaling>
        <c:delete val="1"/>
        <c:axPos val="b"/>
        <c:majorTickMark val="out"/>
        <c:minorTickMark val="none"/>
        <c:tickLblPos val="nextTo"/>
        <c:crossAx val="67340726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1200"/>
      </a:pPr>
      <a:endParaRPr lang="en-US"/>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3"/>
          <c:order val="3"/>
          <c:tx>
            <c:strRef>
              <c:f>'Figure data'!$W$2</c:f>
              <c:strCache>
                <c:ptCount val="1"/>
                <c:pt idx="0">
                  <c:v>Event Hours</c:v>
                </c:pt>
              </c:strCache>
            </c:strRef>
          </c:tx>
          <c:spPr>
            <a:solidFill>
              <a:schemeClr val="accent5">
                <a:lumMod val="40000"/>
                <a:lumOff val="60000"/>
                <a:alpha val="50000"/>
              </a:schemeClr>
            </a:solidFill>
            <a:ln>
              <a:noFill/>
            </a:ln>
            <a:effectLst/>
          </c:spPr>
          <c:invertIfNegative val="0"/>
          <c:val>
            <c:numRef>
              <c:f>'Figure data'!$W$3:$W$26</c:f>
              <c:numCache>
                <c:formatCode>General</c:formatCode>
                <c:ptCount val="24"/>
                <c:pt idx="14" formatCode="0.00">
                  <c:v>0.25</c:v>
                </c:pt>
                <c:pt idx="15" formatCode="0.00">
                  <c:v>0.25</c:v>
                </c:pt>
                <c:pt idx="16" formatCode="0.00">
                  <c:v>0.25</c:v>
                </c:pt>
                <c:pt idx="17" formatCode="0.00">
                  <c:v>0.25</c:v>
                </c:pt>
              </c:numCache>
            </c:numRef>
          </c:val>
          <c:extLst>
            <c:ext xmlns:c16="http://schemas.microsoft.com/office/drawing/2014/chart" uri="{C3380CC4-5D6E-409C-BE32-E72D297353CC}">
              <c16:uniqueId val="{00000000-61AC-4A11-B63A-A24D1436A3CA}"/>
            </c:ext>
          </c:extLst>
        </c:ser>
        <c:dLbls>
          <c:showLegendKey val="0"/>
          <c:showVal val="0"/>
          <c:showCatName val="0"/>
          <c:showSerName val="0"/>
          <c:showPercent val="0"/>
          <c:showBubbleSize val="0"/>
        </c:dLbls>
        <c:gapWidth val="0"/>
        <c:axId val="516990640"/>
        <c:axId val="673409856"/>
      </c:barChart>
      <c:lineChart>
        <c:grouping val="standard"/>
        <c:varyColors val="0"/>
        <c:ser>
          <c:idx val="0"/>
          <c:order val="0"/>
          <c:tx>
            <c:strRef>
              <c:f>'Figure data'!$T$2</c:f>
              <c:strCache>
                <c:ptCount val="1"/>
                <c:pt idx="0">
                  <c:v>Reference</c:v>
                </c:pt>
              </c:strCache>
            </c:strRef>
          </c:tx>
          <c:spPr>
            <a:ln w="38100" cap="rnd">
              <a:solidFill>
                <a:schemeClr val="accent1"/>
              </a:solidFill>
              <a:round/>
            </a:ln>
            <a:effectLst/>
          </c:spPr>
          <c:marker>
            <c:symbol val="none"/>
          </c:marker>
          <c:val>
            <c:numRef>
              <c:f>'Figure data'!$T$3:$T$26</c:f>
              <c:numCache>
                <c:formatCode>0.00</c:formatCode>
                <c:ptCount val="24"/>
                <c:pt idx="0">
                  <c:v>0.17283434</c:v>
                </c:pt>
                <c:pt idx="1">
                  <c:v>0.17745585999999999</c:v>
                </c:pt>
                <c:pt idx="2">
                  <c:v>0.17416540999999999</c:v>
                </c:pt>
                <c:pt idx="3">
                  <c:v>0.15196424</c:v>
                </c:pt>
                <c:pt idx="4">
                  <c:v>0.15161611</c:v>
                </c:pt>
                <c:pt idx="5">
                  <c:v>0.14785671</c:v>
                </c:pt>
                <c:pt idx="6">
                  <c:v>0.10723487</c:v>
                </c:pt>
                <c:pt idx="7">
                  <c:v>8.9417339999999998E-2</c:v>
                </c:pt>
                <c:pt idx="8">
                  <c:v>0.12002222999999999</c:v>
                </c:pt>
                <c:pt idx="9">
                  <c:v>0.15383625000000001</c:v>
                </c:pt>
                <c:pt idx="10">
                  <c:v>0.1597507</c:v>
                </c:pt>
                <c:pt idx="11">
                  <c:v>0.18274657999999999</c:v>
                </c:pt>
                <c:pt idx="12">
                  <c:v>0.18554100000000001</c:v>
                </c:pt>
                <c:pt idx="13">
                  <c:v>0.19032642999999999</c:v>
                </c:pt>
                <c:pt idx="14">
                  <c:v>0.18482572999999999</c:v>
                </c:pt>
                <c:pt idx="15">
                  <c:v>0.19283707999999999</c:v>
                </c:pt>
                <c:pt idx="16">
                  <c:v>0.17341332000000001</c:v>
                </c:pt>
                <c:pt idx="17">
                  <c:v>0.12667146000000001</c:v>
                </c:pt>
                <c:pt idx="18">
                  <c:v>0.14031405</c:v>
                </c:pt>
                <c:pt idx="19">
                  <c:v>0.16677156000000001</c:v>
                </c:pt>
                <c:pt idx="20">
                  <c:v>0.17451272000000001</c:v>
                </c:pt>
                <c:pt idx="21">
                  <c:v>0.14421534</c:v>
                </c:pt>
                <c:pt idx="22">
                  <c:v>0.12659532000000001</c:v>
                </c:pt>
                <c:pt idx="23">
                  <c:v>0.13319666999999999</c:v>
                </c:pt>
              </c:numCache>
            </c:numRef>
          </c:val>
          <c:smooth val="0"/>
          <c:extLst>
            <c:ext xmlns:c16="http://schemas.microsoft.com/office/drawing/2014/chart" uri="{C3380CC4-5D6E-409C-BE32-E72D297353CC}">
              <c16:uniqueId val="{00000001-61AC-4A11-B63A-A24D1436A3CA}"/>
            </c:ext>
          </c:extLst>
        </c:ser>
        <c:ser>
          <c:idx val="1"/>
          <c:order val="1"/>
          <c:tx>
            <c:strRef>
              <c:f>'Figure data'!$U$2</c:f>
              <c:strCache>
                <c:ptCount val="1"/>
                <c:pt idx="0">
                  <c:v>Observed</c:v>
                </c:pt>
              </c:strCache>
            </c:strRef>
          </c:tx>
          <c:spPr>
            <a:ln w="38100" cap="rnd">
              <a:solidFill>
                <a:schemeClr val="accent2"/>
              </a:solidFill>
              <a:prstDash val="dash"/>
              <a:round/>
            </a:ln>
            <a:effectLst/>
          </c:spPr>
          <c:marker>
            <c:symbol val="none"/>
          </c:marker>
          <c:val>
            <c:numRef>
              <c:f>'Figure data'!$U$3:$U$26</c:f>
              <c:numCache>
                <c:formatCode>0.00</c:formatCode>
                <c:ptCount val="24"/>
                <c:pt idx="0">
                  <c:v>0.17184688000000001</c:v>
                </c:pt>
                <c:pt idx="1">
                  <c:v>0.17123424000000001</c:v>
                </c:pt>
                <c:pt idx="2">
                  <c:v>0.16926499</c:v>
                </c:pt>
                <c:pt idx="3">
                  <c:v>0.15323745</c:v>
                </c:pt>
                <c:pt idx="4">
                  <c:v>0.15019858</c:v>
                </c:pt>
                <c:pt idx="5">
                  <c:v>0.14781383000000001</c:v>
                </c:pt>
                <c:pt idx="6">
                  <c:v>0.10826302</c:v>
                </c:pt>
                <c:pt idx="7">
                  <c:v>9.150229E-2</c:v>
                </c:pt>
                <c:pt idx="8">
                  <c:v>0.12323318</c:v>
                </c:pt>
                <c:pt idx="9">
                  <c:v>0.15807014</c:v>
                </c:pt>
                <c:pt idx="10">
                  <c:v>0.17712141000000001</c:v>
                </c:pt>
                <c:pt idx="11">
                  <c:v>0.18464717999999999</c:v>
                </c:pt>
                <c:pt idx="12">
                  <c:v>0.19807817</c:v>
                </c:pt>
                <c:pt idx="13">
                  <c:v>0.19926012000000001</c:v>
                </c:pt>
                <c:pt idx="14">
                  <c:v>0.19587905999999999</c:v>
                </c:pt>
                <c:pt idx="15">
                  <c:v>0.18490804</c:v>
                </c:pt>
                <c:pt idx="16">
                  <c:v>0.17291502</c:v>
                </c:pt>
                <c:pt idx="17">
                  <c:v>0.13403469000000001</c:v>
                </c:pt>
                <c:pt idx="18">
                  <c:v>0.13154245000000001</c:v>
                </c:pt>
                <c:pt idx="19">
                  <c:v>0.15296092999999999</c:v>
                </c:pt>
                <c:pt idx="20">
                  <c:v>0.15825924999999999</c:v>
                </c:pt>
                <c:pt idx="21">
                  <c:v>0.15297237</c:v>
                </c:pt>
                <c:pt idx="22">
                  <c:v>0.13358147000000001</c:v>
                </c:pt>
                <c:pt idx="23">
                  <c:v>0.13319038</c:v>
                </c:pt>
              </c:numCache>
            </c:numRef>
          </c:val>
          <c:smooth val="0"/>
          <c:extLst>
            <c:ext xmlns:c16="http://schemas.microsoft.com/office/drawing/2014/chart" uri="{C3380CC4-5D6E-409C-BE32-E72D297353CC}">
              <c16:uniqueId val="{00000002-61AC-4A11-B63A-A24D1436A3CA}"/>
            </c:ext>
          </c:extLst>
        </c:ser>
        <c:dLbls>
          <c:showLegendKey val="0"/>
          <c:showVal val="0"/>
          <c:showCatName val="0"/>
          <c:showSerName val="0"/>
          <c:showPercent val="0"/>
          <c:showBubbleSize val="0"/>
        </c:dLbls>
        <c:marker val="1"/>
        <c:smooth val="0"/>
        <c:axId val="516990640"/>
        <c:axId val="673409856"/>
      </c:lineChart>
      <c:lineChart>
        <c:grouping val="standard"/>
        <c:varyColors val="0"/>
        <c:ser>
          <c:idx val="2"/>
          <c:order val="2"/>
          <c:tx>
            <c:strRef>
              <c:f>'Figure data'!$V$2</c:f>
              <c:strCache>
                <c:ptCount val="1"/>
                <c:pt idx="0">
                  <c:v>Load Impact</c:v>
                </c:pt>
              </c:strCache>
            </c:strRef>
          </c:tx>
          <c:spPr>
            <a:ln w="38100" cap="rnd">
              <a:solidFill>
                <a:srgbClr val="92D050"/>
              </a:solidFill>
              <a:round/>
            </a:ln>
            <a:effectLst/>
          </c:spPr>
          <c:marker>
            <c:symbol val="diamond"/>
            <c:size val="7"/>
            <c:spPr>
              <a:solidFill>
                <a:srgbClr val="92D050"/>
              </a:solidFill>
              <a:ln w="9525">
                <a:solidFill>
                  <a:srgbClr val="92D050"/>
                </a:solidFill>
              </a:ln>
              <a:effectLst/>
            </c:spPr>
          </c:marker>
          <c:val>
            <c:numRef>
              <c:f>'Figure data'!$V$3:$V$26</c:f>
              <c:numCache>
                <c:formatCode>0.00</c:formatCode>
                <c:ptCount val="24"/>
                <c:pt idx="0">
                  <c:v>9.8744999999999996E-4</c:v>
                </c:pt>
                <c:pt idx="1">
                  <c:v>6.2216099999999998E-3</c:v>
                </c:pt>
                <c:pt idx="2">
                  <c:v>4.9004199999999999E-3</c:v>
                </c:pt>
                <c:pt idx="3">
                  <c:v>-1.2732100000000001E-3</c:v>
                </c:pt>
                <c:pt idx="4">
                  <c:v>1.41753E-3</c:v>
                </c:pt>
                <c:pt idx="5">
                  <c:v>4.2880000000000003E-5</c:v>
                </c:pt>
                <c:pt idx="6">
                  <c:v>-1.02816E-3</c:v>
                </c:pt>
                <c:pt idx="7">
                  <c:v>-2.0849499999999999E-3</c:v>
                </c:pt>
                <c:pt idx="8">
                  <c:v>-3.2109500000000002E-3</c:v>
                </c:pt>
                <c:pt idx="9">
                  <c:v>-4.2338899999999997E-3</c:v>
                </c:pt>
                <c:pt idx="10">
                  <c:v>-1.7370699999999999E-2</c:v>
                </c:pt>
                <c:pt idx="11">
                  <c:v>-1.9006100000000001E-3</c:v>
                </c:pt>
                <c:pt idx="12">
                  <c:v>-1.253717E-2</c:v>
                </c:pt>
                <c:pt idx="13">
                  <c:v>-8.9336899999999993E-3</c:v>
                </c:pt>
                <c:pt idx="14">
                  <c:v>-1.105332E-2</c:v>
                </c:pt>
                <c:pt idx="15">
                  <c:v>7.92904E-3</c:v>
                </c:pt>
                <c:pt idx="16">
                  <c:v>4.9830000000000002E-4</c:v>
                </c:pt>
                <c:pt idx="17">
                  <c:v>-7.3632300000000001E-3</c:v>
                </c:pt>
                <c:pt idx="18">
                  <c:v>8.7715999999999992E-3</c:v>
                </c:pt>
                <c:pt idx="19">
                  <c:v>1.3810630000000001E-2</c:v>
                </c:pt>
                <c:pt idx="20">
                  <c:v>1.6253469999999999E-2</c:v>
                </c:pt>
                <c:pt idx="21">
                  <c:v>-8.7570200000000008E-3</c:v>
                </c:pt>
                <c:pt idx="22">
                  <c:v>-6.98615E-3</c:v>
                </c:pt>
                <c:pt idx="23">
                  <c:v>6.2910000000000004E-6</c:v>
                </c:pt>
              </c:numCache>
            </c:numRef>
          </c:val>
          <c:smooth val="0"/>
          <c:extLst>
            <c:ext xmlns:c16="http://schemas.microsoft.com/office/drawing/2014/chart" uri="{C3380CC4-5D6E-409C-BE32-E72D297353CC}">
              <c16:uniqueId val="{00000003-61AC-4A11-B63A-A24D1436A3CA}"/>
            </c:ext>
          </c:extLst>
        </c:ser>
        <c:dLbls>
          <c:showLegendKey val="0"/>
          <c:showVal val="0"/>
          <c:showCatName val="0"/>
          <c:showSerName val="0"/>
          <c:showPercent val="0"/>
          <c:showBubbleSize val="0"/>
        </c:dLbls>
        <c:marker val="1"/>
        <c:smooth val="0"/>
        <c:axId val="764625984"/>
        <c:axId val="515926768"/>
      </c:lineChart>
      <c:catAx>
        <c:axId val="516990640"/>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Hour</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673409856"/>
        <c:crosses val="autoZero"/>
        <c:auto val="1"/>
        <c:lblAlgn val="ctr"/>
        <c:lblOffset val="100"/>
        <c:noMultiLvlLbl val="0"/>
      </c:catAx>
      <c:valAx>
        <c:axId val="673409856"/>
        <c:scaling>
          <c:orientation val="minMax"/>
          <c:max val="0.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16990640"/>
        <c:crosses val="autoZero"/>
        <c:crossBetween val="between"/>
      </c:valAx>
      <c:valAx>
        <c:axId val="515926768"/>
        <c:scaling>
          <c:orientation val="minMax"/>
          <c:max val="3.0000000000000006E-2"/>
          <c:min val="-2.0000000000000004E-2"/>
        </c:scaling>
        <c:delete val="0"/>
        <c:axPos val="r"/>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Load Impact (MWh/hr)</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00" sourceLinked="0"/>
        <c:majorTickMark val="out"/>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764625984"/>
        <c:crosses val="max"/>
        <c:crossBetween val="between"/>
      </c:valAx>
      <c:catAx>
        <c:axId val="764625984"/>
        <c:scaling>
          <c:orientation val="minMax"/>
        </c:scaling>
        <c:delete val="1"/>
        <c:axPos val="b"/>
        <c:majorTickMark val="out"/>
        <c:minorTickMark val="none"/>
        <c:tickLblPos val="nextTo"/>
        <c:crossAx val="515926768"/>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7151-4206-9A6A-B54AD707762B}"/>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'Main LIs'!$AA$32</c:f>
              <c:strCache>
                <c:ptCount val="1"/>
                <c:pt idx="0">
                  <c:v>Share of Enrollment</c:v>
                </c:pt>
              </c:strCache>
            </c:strRef>
          </c:tx>
          <c:spPr>
            <a:solidFill>
              <a:srgbClr val="0C2577"/>
            </a:solidFill>
            <a:ln>
              <a:noFill/>
            </a:ln>
            <a:effectLst/>
          </c:spPr>
          <c:invertIfNegative val="0"/>
          <c:cat>
            <c:strRef>
              <c:f>'Main LIs'!$Z$33:$Z$35</c:f>
              <c:strCache>
                <c:ptCount val="3"/>
                <c:pt idx="0">
                  <c:v>LA Basin</c:v>
                </c:pt>
                <c:pt idx="1">
                  <c:v>Outside Basin</c:v>
                </c:pt>
                <c:pt idx="2">
                  <c:v>Ventura</c:v>
                </c:pt>
              </c:strCache>
            </c:strRef>
          </c:cat>
          <c:val>
            <c:numRef>
              <c:f>'Main LIs'!$AA$33:$AA$35</c:f>
              <c:numCache>
                <c:formatCode>0.0%</c:formatCode>
                <c:ptCount val="3"/>
                <c:pt idx="0">
                  <c:v>0.82166190617256796</c:v>
                </c:pt>
                <c:pt idx="1">
                  <c:v>6.3699469431194242E-2</c:v>
                </c:pt>
                <c:pt idx="2">
                  <c:v>0.11463862439623775</c:v>
                </c:pt>
              </c:numCache>
            </c:numRef>
          </c:val>
          <c:extLst>
            <c:ext xmlns:c16="http://schemas.microsoft.com/office/drawing/2014/chart" uri="{C3380CC4-5D6E-409C-BE32-E72D297353CC}">
              <c16:uniqueId val="{00000000-ECB9-4966-8CD9-EAC99BCA33E3}"/>
            </c:ext>
          </c:extLst>
        </c:ser>
        <c:ser>
          <c:idx val="1"/>
          <c:order val="1"/>
          <c:tx>
            <c:strRef>
              <c:f>'Main LIs'!$AB$32</c:f>
              <c:strCache>
                <c:ptCount val="1"/>
                <c:pt idx="0">
                  <c:v>Share of Reference Load</c:v>
                </c:pt>
              </c:strCache>
            </c:strRef>
          </c:tx>
          <c:spPr>
            <a:solidFill>
              <a:schemeClr val="accent2"/>
            </a:solidFill>
            <a:ln>
              <a:noFill/>
            </a:ln>
            <a:effectLst/>
          </c:spPr>
          <c:invertIfNegative val="0"/>
          <c:cat>
            <c:strRef>
              <c:f>'Main LIs'!$Z$33:$Z$35</c:f>
              <c:strCache>
                <c:ptCount val="3"/>
                <c:pt idx="0">
                  <c:v>LA Basin</c:v>
                </c:pt>
                <c:pt idx="1">
                  <c:v>Outside Basin</c:v>
                </c:pt>
                <c:pt idx="2">
                  <c:v>Ventura</c:v>
                </c:pt>
              </c:strCache>
            </c:strRef>
          </c:cat>
          <c:val>
            <c:numRef>
              <c:f>'Main LIs'!$AB$33:$AB$35</c:f>
              <c:numCache>
                <c:formatCode>0.0%</c:formatCode>
                <c:ptCount val="3"/>
                <c:pt idx="0">
                  <c:v>0.88319451530738846</c:v>
                </c:pt>
                <c:pt idx="1">
                  <c:v>2.985577522406347E-2</c:v>
                </c:pt>
                <c:pt idx="2">
                  <c:v>8.6949709468548173E-2</c:v>
                </c:pt>
              </c:numCache>
            </c:numRef>
          </c:val>
          <c:extLst>
            <c:ext xmlns:c16="http://schemas.microsoft.com/office/drawing/2014/chart" uri="{C3380CC4-5D6E-409C-BE32-E72D297353CC}">
              <c16:uniqueId val="{00000001-ECB9-4966-8CD9-EAC99BCA33E3}"/>
            </c:ext>
          </c:extLst>
        </c:ser>
        <c:ser>
          <c:idx val="2"/>
          <c:order val="2"/>
          <c:tx>
            <c:strRef>
              <c:f>'Main LIs'!$AC$32</c:f>
              <c:strCache>
                <c:ptCount val="1"/>
                <c:pt idx="0">
                  <c:v>Share of Load Impact</c:v>
                </c:pt>
              </c:strCache>
            </c:strRef>
          </c:tx>
          <c:spPr>
            <a:solidFill>
              <a:schemeClr val="accent3"/>
            </a:solidFill>
            <a:ln>
              <a:noFill/>
            </a:ln>
            <a:effectLst/>
          </c:spPr>
          <c:invertIfNegative val="0"/>
          <c:cat>
            <c:strRef>
              <c:f>'Main LIs'!$Z$33:$Z$35</c:f>
              <c:strCache>
                <c:ptCount val="3"/>
                <c:pt idx="0">
                  <c:v>LA Basin</c:v>
                </c:pt>
                <c:pt idx="1">
                  <c:v>Outside Basin</c:v>
                </c:pt>
                <c:pt idx="2">
                  <c:v>Ventura</c:v>
                </c:pt>
              </c:strCache>
            </c:strRef>
          </c:cat>
          <c:val>
            <c:numRef>
              <c:f>'Main LIs'!$AC$33:$AC$35</c:f>
              <c:numCache>
                <c:formatCode>0.0%</c:formatCode>
                <c:ptCount val="3"/>
                <c:pt idx="0">
                  <c:v>0.92516138060711461</c:v>
                </c:pt>
                <c:pt idx="1">
                  <c:v>7.48386193928854E-2</c:v>
                </c:pt>
                <c:pt idx="2">
                  <c:v>0</c:v>
                </c:pt>
              </c:numCache>
            </c:numRef>
          </c:val>
          <c:extLst>
            <c:ext xmlns:c16="http://schemas.microsoft.com/office/drawing/2014/chart" uri="{C3380CC4-5D6E-409C-BE32-E72D297353CC}">
              <c16:uniqueId val="{00000002-ECB9-4966-8CD9-EAC99BCA33E3}"/>
            </c:ext>
          </c:extLst>
        </c:ser>
        <c:dLbls>
          <c:showLegendKey val="0"/>
          <c:showVal val="0"/>
          <c:showCatName val="0"/>
          <c:showSerName val="0"/>
          <c:showPercent val="0"/>
          <c:showBubbleSize val="0"/>
        </c:dLbls>
        <c:gapWidth val="182"/>
        <c:axId val="1705660735"/>
        <c:axId val="1943404335"/>
      </c:barChart>
      <c:catAx>
        <c:axId val="1705660735"/>
        <c:scaling>
          <c:orientation val="maxMin"/>
        </c:scaling>
        <c:delete val="0"/>
        <c:axPos val="l"/>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943404335"/>
        <c:crosses val="autoZero"/>
        <c:auto val="1"/>
        <c:lblAlgn val="ctr"/>
        <c:lblOffset val="100"/>
        <c:noMultiLvlLbl val="0"/>
      </c:catAx>
      <c:valAx>
        <c:axId val="1943404335"/>
        <c:scaling>
          <c:orientation val="minMax"/>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w="0">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705660735"/>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F0B6-4198-ADD5-EEC77FCBAE47}"/>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69BF-400B-AA1F-FD3B94C6A0C4}"/>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A564-486B-AAF4-73E9FC01D122}"/>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C1AB-4AF1-95D8-8BBACBDC4253}"/>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888B-4FE9-84AC-D6A0D705F1D1}"/>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4"/>
          <c:order val="0"/>
          <c:tx>
            <c:strRef>
              <c:f>Data!$E$54</c:f>
              <c:strCache>
                <c:ptCount val="1"/>
                <c:pt idx="0">
                  <c:v>200 kW and above</c:v>
                </c:pt>
              </c:strCache>
            </c:strRef>
          </c:tx>
          <c:spPr>
            <a:solidFill>
              <a:srgbClr val="0C2577"/>
            </a:solidFill>
            <a:ln>
              <a:noFill/>
            </a:ln>
            <a:effectLst/>
          </c:spPr>
          <c:invertIfNegative val="0"/>
          <c:cat>
            <c:numRef>
              <c:f>Data!$A$55:$A$65</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Data!$E$55:$E$65</c:f>
              <c:numCache>
                <c:formatCode>#,##0</c:formatCode>
                <c:ptCount val="11"/>
                <c:pt idx="0">
                  <c:v>3300.0001000000002</c:v>
                </c:pt>
                <c:pt idx="1">
                  <c:v>3309.9</c:v>
                </c:pt>
                <c:pt idx="2">
                  <c:v>3319.8296999999998</c:v>
                </c:pt>
                <c:pt idx="3">
                  <c:v>3329.7892000000002</c:v>
                </c:pt>
                <c:pt idx="4">
                  <c:v>3339.7786000000001</c:v>
                </c:pt>
                <c:pt idx="5">
                  <c:v>3349.7979</c:v>
                </c:pt>
                <c:pt idx="6">
                  <c:v>3359.8472999999999</c:v>
                </c:pt>
                <c:pt idx="7">
                  <c:v>3369.9268000000002</c:v>
                </c:pt>
                <c:pt idx="8">
                  <c:v>3380.0365999999999</c:v>
                </c:pt>
                <c:pt idx="9">
                  <c:v>3390.1767</c:v>
                </c:pt>
                <c:pt idx="10">
                  <c:v>3400.3472000000002</c:v>
                </c:pt>
              </c:numCache>
            </c:numRef>
          </c:val>
          <c:extLst>
            <c:ext xmlns:c16="http://schemas.microsoft.com/office/drawing/2014/chart" uri="{C3380CC4-5D6E-409C-BE32-E72D297353CC}">
              <c16:uniqueId val="{00000000-5C80-49AD-BCF0-6C26BD5D3EB4}"/>
            </c:ext>
          </c:extLst>
        </c:ser>
        <c:dLbls>
          <c:showLegendKey val="0"/>
          <c:showVal val="0"/>
          <c:showCatName val="0"/>
          <c:showSerName val="0"/>
          <c:showPercent val="0"/>
          <c:showBubbleSize val="0"/>
        </c:dLbls>
        <c:gapWidth val="21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Number</a:t>
                </a:r>
                <a:r>
                  <a:rPr lang="en-US" baseline="0"/>
                  <a:t> of Enrolled Service Accounts</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3"/>
          <c:tx>
            <c:strRef>
              <c:f>Data!$N$80</c:f>
              <c:strCache>
                <c:ptCount val="1"/>
                <c:pt idx="0">
                  <c:v>Event Hours</c:v>
                </c:pt>
              </c:strCache>
            </c:strRef>
          </c:tx>
          <c:spPr>
            <a:solidFill>
              <a:schemeClr val="accent5">
                <a:lumMod val="40000"/>
                <a:lumOff val="60000"/>
                <a:alpha val="50000"/>
              </a:schemeClr>
            </a:solidFill>
            <a:ln w="25400">
              <a:noFill/>
            </a:ln>
            <a:effectLst/>
          </c:spPr>
          <c:invertIfNegative val="0"/>
          <c:val>
            <c:numRef>
              <c:f>Data!$N$81:$N$104</c:f>
              <c:numCache>
                <c:formatCode>General</c:formatCode>
                <c:ptCount val="24"/>
                <c:pt idx="14">
                  <c:v>1000</c:v>
                </c:pt>
                <c:pt idx="15">
                  <c:v>1000</c:v>
                </c:pt>
                <c:pt idx="16">
                  <c:v>1000</c:v>
                </c:pt>
                <c:pt idx="17">
                  <c:v>1000</c:v>
                </c:pt>
              </c:numCache>
            </c:numRef>
          </c:val>
          <c:extLst>
            <c:ext xmlns:c16="http://schemas.microsoft.com/office/drawing/2014/chart" uri="{C3380CC4-5D6E-409C-BE32-E72D297353CC}">
              <c16:uniqueId val="{00000000-EFEF-441B-8BE0-71C427CEA40E}"/>
            </c:ext>
          </c:extLst>
        </c:ser>
        <c:dLbls>
          <c:showLegendKey val="0"/>
          <c:showVal val="0"/>
          <c:showCatName val="0"/>
          <c:showSerName val="0"/>
          <c:showPercent val="0"/>
          <c:showBubbleSize val="0"/>
        </c:dLbls>
        <c:gapWidth val="0"/>
        <c:axId val="961637680"/>
        <c:axId val="929931504"/>
      </c:barChart>
      <c:lineChart>
        <c:grouping val="standard"/>
        <c:varyColors val="0"/>
        <c:ser>
          <c:idx val="3"/>
          <c:order val="0"/>
          <c:tx>
            <c:strRef>
              <c:f>Data!$L$54</c:f>
              <c:strCache>
                <c:ptCount val="1"/>
                <c:pt idx="0">
                  <c:v>Reference</c:v>
                </c:pt>
              </c:strCache>
            </c:strRef>
          </c:tx>
          <c:spPr>
            <a:ln w="38100" cap="rnd">
              <a:solidFill>
                <a:schemeClr val="accent5"/>
              </a:solidFill>
              <a:round/>
            </a:ln>
            <a:effectLst/>
          </c:spPr>
          <c:marker>
            <c:symbol val="none"/>
          </c:marker>
          <c:cat>
            <c:numRef>
              <c:f>Data!$K$3:$K$26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Data!$L$81:$L$104</c:f>
              <c:numCache>
                <c:formatCode>0.0</c:formatCode>
                <c:ptCount val="24"/>
                <c:pt idx="0">
                  <c:v>533.95565999999997</c:v>
                </c:pt>
                <c:pt idx="1">
                  <c:v>514.42372</c:v>
                </c:pt>
                <c:pt idx="2">
                  <c:v>500.26949999999999</c:v>
                </c:pt>
                <c:pt idx="3">
                  <c:v>498.96620000000001</c:v>
                </c:pt>
                <c:pt idx="4">
                  <c:v>538.58104000000003</c:v>
                </c:pt>
                <c:pt idx="5">
                  <c:v>627.73638000000005</c:v>
                </c:pt>
                <c:pt idx="6">
                  <c:v>715.11488999999995</c:v>
                </c:pt>
                <c:pt idx="7">
                  <c:v>775.31133</c:v>
                </c:pt>
                <c:pt idx="8">
                  <c:v>825.43908999999996</c:v>
                </c:pt>
                <c:pt idx="9">
                  <c:v>856.22316999999998</c:v>
                </c:pt>
                <c:pt idx="10">
                  <c:v>883.40270999999996</c:v>
                </c:pt>
                <c:pt idx="11">
                  <c:v>894.86676</c:v>
                </c:pt>
                <c:pt idx="12">
                  <c:v>886.91070000000002</c:v>
                </c:pt>
                <c:pt idx="13">
                  <c:v>890.36722999999995</c:v>
                </c:pt>
                <c:pt idx="14">
                  <c:v>871.34532000000002</c:v>
                </c:pt>
                <c:pt idx="15">
                  <c:v>839.65662999999995</c:v>
                </c:pt>
                <c:pt idx="16">
                  <c:v>794.87072000000001</c:v>
                </c:pt>
                <c:pt idx="17">
                  <c:v>745.75914999999998</c:v>
                </c:pt>
                <c:pt idx="18">
                  <c:v>700.47271000000001</c:v>
                </c:pt>
                <c:pt idx="19">
                  <c:v>678.65268000000003</c:v>
                </c:pt>
                <c:pt idx="20">
                  <c:v>661.44269999999995</c:v>
                </c:pt>
                <c:pt idx="21">
                  <c:v>628.22131000000002</c:v>
                </c:pt>
                <c:pt idx="22">
                  <c:v>587.57735000000002</c:v>
                </c:pt>
                <c:pt idx="23">
                  <c:v>562.03683000000001</c:v>
                </c:pt>
              </c:numCache>
            </c:numRef>
          </c:val>
          <c:smooth val="0"/>
          <c:extLst>
            <c:ext xmlns:c16="http://schemas.microsoft.com/office/drawing/2014/chart" uri="{C3380CC4-5D6E-409C-BE32-E72D297353CC}">
              <c16:uniqueId val="{00000001-EFEF-441B-8BE0-71C427CEA40E}"/>
            </c:ext>
          </c:extLst>
        </c:ser>
        <c:ser>
          <c:idx val="0"/>
          <c:order val="1"/>
          <c:tx>
            <c:strRef>
              <c:f>Data!$M$80</c:f>
              <c:strCache>
                <c:ptCount val="1"/>
                <c:pt idx="0">
                  <c:v>Observed</c:v>
                </c:pt>
              </c:strCache>
            </c:strRef>
          </c:tx>
          <c:spPr>
            <a:ln w="38100" cap="rnd">
              <a:solidFill>
                <a:schemeClr val="accent2"/>
              </a:solidFill>
              <a:prstDash val="dash"/>
              <a:round/>
            </a:ln>
            <a:effectLst/>
          </c:spPr>
          <c:marker>
            <c:symbol val="none"/>
          </c:marker>
          <c:cat>
            <c:numRef>
              <c:f>Data!$K$3:$K$26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Data!$M$81:$M$104</c:f>
              <c:numCache>
                <c:formatCode>0.0</c:formatCode>
                <c:ptCount val="24"/>
                <c:pt idx="0">
                  <c:v>532.4348</c:v>
                </c:pt>
                <c:pt idx="1">
                  <c:v>516.08781999999997</c:v>
                </c:pt>
                <c:pt idx="2">
                  <c:v>499.30693000000002</c:v>
                </c:pt>
                <c:pt idx="3">
                  <c:v>499.51199000000003</c:v>
                </c:pt>
                <c:pt idx="4">
                  <c:v>541.98622</c:v>
                </c:pt>
                <c:pt idx="5">
                  <c:v>630.90446999999995</c:v>
                </c:pt>
                <c:pt idx="6">
                  <c:v>715.12189999999998</c:v>
                </c:pt>
                <c:pt idx="7">
                  <c:v>774.05467999999996</c:v>
                </c:pt>
                <c:pt idx="8">
                  <c:v>823.41144999999995</c:v>
                </c:pt>
                <c:pt idx="9">
                  <c:v>853.31813999999997</c:v>
                </c:pt>
                <c:pt idx="10">
                  <c:v>880.83474000000001</c:v>
                </c:pt>
                <c:pt idx="11">
                  <c:v>889.41359</c:v>
                </c:pt>
                <c:pt idx="12">
                  <c:v>881.18958999999995</c:v>
                </c:pt>
                <c:pt idx="13">
                  <c:v>877.12913000000003</c:v>
                </c:pt>
                <c:pt idx="14">
                  <c:v>838.13397999999995</c:v>
                </c:pt>
                <c:pt idx="15">
                  <c:v>808.50996999999995</c:v>
                </c:pt>
                <c:pt idx="16">
                  <c:v>765.66205000000002</c:v>
                </c:pt>
                <c:pt idx="17">
                  <c:v>718.87240999999995</c:v>
                </c:pt>
                <c:pt idx="18">
                  <c:v>695.32303000000002</c:v>
                </c:pt>
                <c:pt idx="19">
                  <c:v>679.88095999999996</c:v>
                </c:pt>
                <c:pt idx="20">
                  <c:v>664.84747000000004</c:v>
                </c:pt>
                <c:pt idx="21">
                  <c:v>630.31313</c:v>
                </c:pt>
                <c:pt idx="22">
                  <c:v>589.50765999999999</c:v>
                </c:pt>
                <c:pt idx="23">
                  <c:v>566.38112999999998</c:v>
                </c:pt>
              </c:numCache>
            </c:numRef>
          </c:val>
          <c:smooth val="0"/>
          <c:extLst>
            <c:ext xmlns:c16="http://schemas.microsoft.com/office/drawing/2014/chart" uri="{C3380CC4-5D6E-409C-BE32-E72D297353CC}">
              <c16:uniqueId val="{00000002-EFEF-441B-8BE0-71C427CEA40E}"/>
            </c:ext>
          </c:extLst>
        </c:ser>
        <c:dLbls>
          <c:showLegendKey val="0"/>
          <c:showVal val="0"/>
          <c:showCatName val="0"/>
          <c:showSerName val="0"/>
          <c:showPercent val="0"/>
          <c:showBubbleSize val="0"/>
        </c:dLbls>
        <c:marker val="1"/>
        <c:smooth val="0"/>
        <c:axId val="961637680"/>
        <c:axId val="929931504"/>
      </c:lineChart>
      <c:lineChart>
        <c:grouping val="standard"/>
        <c:varyColors val="0"/>
        <c:ser>
          <c:idx val="1"/>
          <c:order val="2"/>
          <c:tx>
            <c:strRef>
              <c:f>Data!$O$80</c:f>
              <c:strCache>
                <c:ptCount val="1"/>
                <c:pt idx="0">
                  <c:v>Load_Impact</c:v>
                </c:pt>
              </c:strCache>
            </c:strRef>
          </c:tx>
          <c:spPr>
            <a:ln w="38100" cap="rnd">
              <a:solidFill>
                <a:srgbClr val="92D050"/>
              </a:solidFill>
              <a:round/>
            </a:ln>
            <a:effectLst/>
          </c:spPr>
          <c:marker>
            <c:symbol val="square"/>
            <c:size val="5"/>
            <c:spPr>
              <a:solidFill>
                <a:srgbClr val="92D050"/>
              </a:solidFill>
              <a:ln w="9525">
                <a:noFill/>
              </a:ln>
              <a:effectLst/>
            </c:spPr>
          </c:marker>
          <c:cat>
            <c:numRef>
              <c:f>Data!$K$81:$K$104</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Data!$O$81:$O$104</c:f>
              <c:numCache>
                <c:formatCode>0.0</c:formatCode>
                <c:ptCount val="24"/>
                <c:pt idx="0">
                  <c:v>1.5208626999999999</c:v>
                </c:pt>
                <c:pt idx="1">
                  <c:v>-1.6640952</c:v>
                </c:pt>
                <c:pt idx="2">
                  <c:v>0.96257378000000005</c:v>
                </c:pt>
                <c:pt idx="3">
                  <c:v>-0.54578141000000002</c:v>
                </c:pt>
                <c:pt idx="4">
                  <c:v>-3.4051803999999999</c:v>
                </c:pt>
                <c:pt idx="5">
                  <c:v>-3.1680861999999999</c:v>
                </c:pt>
                <c:pt idx="6">
                  <c:v>-7.0143499999999999E-3</c:v>
                </c:pt>
                <c:pt idx="7">
                  <c:v>1.2566542000000001</c:v>
                </c:pt>
                <c:pt idx="8">
                  <c:v>2.0276323000000001</c:v>
                </c:pt>
                <c:pt idx="9">
                  <c:v>2.9050305000000001</c:v>
                </c:pt>
                <c:pt idx="10">
                  <c:v>2.5679641000000002</c:v>
                </c:pt>
                <c:pt idx="11">
                  <c:v>5.4531768999999999</c:v>
                </c:pt>
                <c:pt idx="12">
                  <c:v>5.7211164999999999</c:v>
                </c:pt>
                <c:pt idx="13">
                  <c:v>13.238106999999999</c:v>
                </c:pt>
                <c:pt idx="14">
                  <c:v>33.21134</c:v>
                </c:pt>
                <c:pt idx="15">
                  <c:v>31.146657000000001</c:v>
                </c:pt>
                <c:pt idx="16">
                  <c:v>29.208669</c:v>
                </c:pt>
                <c:pt idx="17">
                  <c:v>26.886748000000001</c:v>
                </c:pt>
                <c:pt idx="18">
                  <c:v>5.1496849999999998</c:v>
                </c:pt>
                <c:pt idx="19">
                  <c:v>-1.2282795</c:v>
                </c:pt>
                <c:pt idx="20">
                  <c:v>-3.4047678000000001</c:v>
                </c:pt>
                <c:pt idx="21">
                  <c:v>-2.0918203000000002</c:v>
                </c:pt>
                <c:pt idx="22">
                  <c:v>-1.9303110000000001</c:v>
                </c:pt>
                <c:pt idx="23">
                  <c:v>-4.3443002999999996</c:v>
                </c:pt>
              </c:numCache>
            </c:numRef>
          </c:val>
          <c:smooth val="0"/>
          <c:extLst>
            <c:ext xmlns:c16="http://schemas.microsoft.com/office/drawing/2014/chart" uri="{C3380CC4-5D6E-409C-BE32-E72D297353CC}">
              <c16:uniqueId val="{00000003-EFEF-441B-8BE0-71C427CEA40E}"/>
            </c:ext>
          </c:extLst>
        </c:ser>
        <c:dLbls>
          <c:showLegendKey val="0"/>
          <c:showVal val="0"/>
          <c:showCatName val="0"/>
          <c:showSerName val="0"/>
          <c:showPercent val="0"/>
          <c:showBubbleSize val="0"/>
        </c:dLbls>
        <c:marker val="1"/>
        <c:smooth val="0"/>
        <c:axId val="856625360"/>
        <c:axId val="854927584"/>
      </c:lineChart>
      <c:catAx>
        <c:axId val="961637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931504"/>
        <c:crosses val="autoZero"/>
        <c:auto val="1"/>
        <c:lblAlgn val="ctr"/>
        <c:lblOffset val="100"/>
        <c:noMultiLvlLbl val="0"/>
      </c:catAx>
      <c:valAx>
        <c:axId val="929931504"/>
        <c:scaling>
          <c:orientation val="minMax"/>
          <c:max val="1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(MWh/h)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1637680"/>
        <c:crosses val="autoZero"/>
        <c:crossBetween val="between"/>
      </c:valAx>
      <c:valAx>
        <c:axId val="854927584"/>
        <c:scaling>
          <c:orientation val="minMax"/>
          <c:max val="45"/>
          <c:min val="-5"/>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6625360"/>
        <c:crosses val="max"/>
        <c:crossBetween val="between"/>
        <c:majorUnit val="5"/>
      </c:valAx>
      <c:catAx>
        <c:axId val="856625360"/>
        <c:scaling>
          <c:orientation val="minMax"/>
        </c:scaling>
        <c:delete val="1"/>
        <c:axPos val="b"/>
        <c:numFmt formatCode="General" sourceLinked="1"/>
        <c:majorTickMark val="out"/>
        <c:minorTickMark val="none"/>
        <c:tickLblPos val="nextTo"/>
        <c:crossAx val="85492758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225981047983893E-2"/>
          <c:y val="1.8167331133226619E-2"/>
          <c:w val="0.90765058616814909"/>
          <c:h val="0.82843932841196888"/>
        </c:manualLayout>
      </c:layout>
      <c:barChart>
        <c:barDir val="col"/>
        <c:grouping val="clustered"/>
        <c:varyColors val="0"/>
        <c:ser>
          <c:idx val="3"/>
          <c:order val="0"/>
          <c:spPr>
            <a:solidFill>
              <a:srgbClr val="0C2577"/>
            </a:solidFill>
            <a:ln>
              <a:noFill/>
            </a:ln>
            <a:effectLst/>
          </c:spPr>
          <c:invertIfNegative val="0"/>
          <c:cat>
            <c:strRef>
              <c:f>Data!$U$42:$U$53</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Data!$Y$42:$Y$53</c:f>
              <c:numCache>
                <c:formatCode>#,##0.0</c:formatCode>
                <c:ptCount val="12"/>
                <c:pt idx="0">
                  <c:v>8.7733138999999998</c:v>
                </c:pt>
                <c:pt idx="1">
                  <c:v>9.0177025999999998</c:v>
                </c:pt>
                <c:pt idx="2">
                  <c:v>9.1784374</c:v>
                </c:pt>
                <c:pt idx="3">
                  <c:v>23.972362</c:v>
                </c:pt>
                <c:pt idx="4">
                  <c:v>24.719211999999999</c:v>
                </c:pt>
                <c:pt idx="5">
                  <c:v>25.572448000000001</c:v>
                </c:pt>
                <c:pt idx="6">
                  <c:v>26.492853</c:v>
                </c:pt>
                <c:pt idx="7">
                  <c:v>27.091038999999999</c:v>
                </c:pt>
                <c:pt idx="8">
                  <c:v>26.324857000000002</c:v>
                </c:pt>
                <c:pt idx="9">
                  <c:v>25.705701000000001</c:v>
                </c:pt>
                <c:pt idx="10">
                  <c:v>9.6495826999999998</c:v>
                </c:pt>
                <c:pt idx="11">
                  <c:v>8.6967610000000004</c:v>
                </c:pt>
              </c:numCache>
            </c:numRef>
          </c:val>
          <c:extLst>
            <c:ext xmlns:c16="http://schemas.microsoft.com/office/drawing/2014/chart" uri="{C3380CC4-5D6E-409C-BE32-E72D297353CC}">
              <c16:uniqueId val="{00000000-EE60-4958-8294-627E2A8B5E35}"/>
            </c:ext>
          </c:extLst>
        </c:ser>
        <c:dLbls>
          <c:showLegendKey val="0"/>
          <c:showVal val="0"/>
          <c:showCatName val="0"/>
          <c:showSerName val="0"/>
          <c:showPercent val="0"/>
          <c:showBubbleSize val="0"/>
        </c:dLbls>
        <c:gapWidth val="219"/>
        <c:overlap val="-27"/>
        <c:axId val="957762816"/>
        <c:axId val="1052070752"/>
      </c:barChart>
      <c:catAx>
        <c:axId val="957762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layout>
            <c:manualLayout>
              <c:xMode val="edge"/>
              <c:yMode val="edge"/>
              <c:x val="0.50536401332901226"/>
              <c:y val="0.9414608219040475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52070752"/>
        <c:crosses val="autoZero"/>
        <c:auto val="1"/>
        <c:lblAlgn val="ctr"/>
        <c:lblOffset val="100"/>
        <c:noMultiLvlLbl val="0"/>
      </c:catAx>
      <c:valAx>
        <c:axId val="105207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776281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Data!$AD$41</c:f>
              <c:strCache>
                <c:ptCount val="1"/>
                <c:pt idx="0">
                  <c:v>Utility 1-in-10</c:v>
                </c:pt>
              </c:strCache>
            </c:strRef>
          </c:tx>
          <c:spPr>
            <a:solidFill>
              <a:schemeClr val="accent3"/>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Data!$AD$42:$AD$52</c:f>
              <c:numCache>
                <c:formatCode>0.0</c:formatCode>
                <c:ptCount val="11"/>
                <c:pt idx="0">
                  <c:v>26.872927000000001</c:v>
                </c:pt>
                <c:pt idx="1">
                  <c:v>26.940770000000001</c:v>
                </c:pt>
                <c:pt idx="2">
                  <c:v>27.008817000000001</c:v>
                </c:pt>
                <c:pt idx="3">
                  <c:v>27.077068000000001</c:v>
                </c:pt>
                <c:pt idx="4">
                  <c:v>27.145523000000001</c:v>
                </c:pt>
                <c:pt idx="5">
                  <c:v>27.214183999999999</c:v>
                </c:pt>
                <c:pt idx="6">
                  <c:v>27.283051</c:v>
                </c:pt>
                <c:pt idx="7">
                  <c:v>27.352124</c:v>
                </c:pt>
                <c:pt idx="8">
                  <c:v>27.421405</c:v>
                </c:pt>
                <c:pt idx="9">
                  <c:v>27.490894000000001</c:v>
                </c:pt>
                <c:pt idx="10">
                  <c:v>27.560590999999999</c:v>
                </c:pt>
              </c:numCache>
            </c:numRef>
          </c:val>
          <c:extLst>
            <c:ext xmlns:c16="http://schemas.microsoft.com/office/drawing/2014/chart" uri="{C3380CC4-5D6E-409C-BE32-E72D297353CC}">
              <c16:uniqueId val="{00000000-1B4D-4600-AD92-9C82D02578D8}"/>
            </c:ext>
          </c:extLst>
        </c:ser>
        <c:ser>
          <c:idx val="3"/>
          <c:order val="1"/>
          <c:tx>
            <c:strRef>
              <c:f>Data!$AE$41</c:f>
              <c:strCache>
                <c:ptCount val="1"/>
                <c:pt idx="0">
                  <c:v>Utility 1-in-2</c:v>
                </c:pt>
              </c:strCache>
            </c:strRef>
          </c:tx>
          <c:spPr>
            <a:solidFill>
              <a:schemeClr val="accent4"/>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Data!$AE$42:$AE$52</c:f>
              <c:numCache>
                <c:formatCode>0.0</c:formatCode>
                <c:ptCount val="11"/>
                <c:pt idx="0">
                  <c:v>26.47099</c:v>
                </c:pt>
                <c:pt idx="1">
                  <c:v>26.537517999999999</c:v>
                </c:pt>
                <c:pt idx="2">
                  <c:v>26.604247000000001</c:v>
                </c:pt>
                <c:pt idx="3">
                  <c:v>26.671175000000002</c:v>
                </c:pt>
                <c:pt idx="4">
                  <c:v>26.738303999999999</c:v>
                </c:pt>
                <c:pt idx="5">
                  <c:v>26.805634999999999</c:v>
                </c:pt>
                <c:pt idx="6">
                  <c:v>26.873166999999999</c:v>
                </c:pt>
                <c:pt idx="7">
                  <c:v>26.940902999999999</c:v>
                </c:pt>
                <c:pt idx="8">
                  <c:v>27.008841</c:v>
                </c:pt>
                <c:pt idx="9">
                  <c:v>27.076982999999998</c:v>
                </c:pt>
                <c:pt idx="10">
                  <c:v>27.145330000000001</c:v>
                </c:pt>
              </c:numCache>
            </c:numRef>
          </c:val>
          <c:extLst>
            <c:ext xmlns:c16="http://schemas.microsoft.com/office/drawing/2014/chart" uri="{C3380CC4-5D6E-409C-BE32-E72D297353CC}">
              <c16:uniqueId val="{00000001-1B4D-4600-AD92-9C82D02578D8}"/>
            </c:ext>
          </c:extLst>
        </c:ser>
        <c:ser>
          <c:idx val="4"/>
          <c:order val="2"/>
          <c:tx>
            <c:strRef>
              <c:f>Data!$AF$41</c:f>
              <c:strCache>
                <c:ptCount val="1"/>
                <c:pt idx="0">
                  <c:v>CAISO 1-in-10</c:v>
                </c:pt>
              </c:strCache>
            </c:strRef>
          </c:tx>
          <c:spPr>
            <a:solidFill>
              <a:schemeClr val="accent5"/>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Data!$AF$42:$AF$52</c:f>
              <c:numCache>
                <c:formatCode>0.0</c:formatCode>
                <c:ptCount val="11"/>
                <c:pt idx="0">
                  <c:v>26.864359</c:v>
                </c:pt>
                <c:pt idx="1">
                  <c:v>26.932188</c:v>
                </c:pt>
                <c:pt idx="2">
                  <c:v>27.000219999999999</c:v>
                </c:pt>
                <c:pt idx="3">
                  <c:v>27.068456999999999</c:v>
                </c:pt>
                <c:pt idx="4">
                  <c:v>27.136899</c:v>
                </c:pt>
                <c:pt idx="5">
                  <c:v>27.205545999999998</c:v>
                </c:pt>
                <c:pt idx="6">
                  <c:v>27.274398999999999</c:v>
                </c:pt>
                <c:pt idx="7">
                  <c:v>27.343457999999998</c:v>
                </c:pt>
                <c:pt idx="8">
                  <c:v>27.412724999999998</c:v>
                </c:pt>
                <c:pt idx="9">
                  <c:v>27.482199000000001</c:v>
                </c:pt>
                <c:pt idx="10">
                  <c:v>27.551881999999999</c:v>
                </c:pt>
              </c:numCache>
            </c:numRef>
          </c:val>
          <c:extLst>
            <c:ext xmlns:c16="http://schemas.microsoft.com/office/drawing/2014/chart" uri="{C3380CC4-5D6E-409C-BE32-E72D297353CC}">
              <c16:uniqueId val="{00000002-1B4D-4600-AD92-9C82D02578D8}"/>
            </c:ext>
          </c:extLst>
        </c:ser>
        <c:ser>
          <c:idx val="5"/>
          <c:order val="3"/>
          <c:tx>
            <c:strRef>
              <c:f>Data!$AG$41</c:f>
              <c:strCache>
                <c:ptCount val="1"/>
                <c:pt idx="0">
                  <c:v>CAISO 1-in-2</c:v>
                </c:pt>
              </c:strCache>
            </c:strRef>
          </c:tx>
          <c:spPr>
            <a:solidFill>
              <a:schemeClr val="accent2"/>
            </a:solidFill>
            <a:ln>
              <a:noFill/>
            </a:ln>
            <a:effectLst/>
          </c:spPr>
          <c:invertIfNegative val="0"/>
          <c:cat>
            <c:numRef>
              <c:f>Data!$AC$42:$AC$52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Data!$AG$42:$AG$52</c:f>
              <c:numCache>
                <c:formatCode>0.0</c:formatCode>
                <c:ptCount val="11"/>
                <c:pt idx="0">
                  <c:v>26.573996999999999</c:v>
                </c:pt>
                <c:pt idx="1">
                  <c:v>26.640892999999998</c:v>
                </c:pt>
                <c:pt idx="2">
                  <c:v>26.707991</c:v>
                </c:pt>
                <c:pt idx="3">
                  <c:v>26.775289999999998</c:v>
                </c:pt>
                <c:pt idx="4">
                  <c:v>26.842790999999998</c:v>
                </c:pt>
                <c:pt idx="5">
                  <c:v>26.910494</c:v>
                </c:pt>
                <c:pt idx="6">
                  <c:v>26.978400000000001</c:v>
                </c:pt>
                <c:pt idx="7">
                  <c:v>27.046510000000001</c:v>
                </c:pt>
                <c:pt idx="8">
                  <c:v>27.114825</c:v>
                </c:pt>
                <c:pt idx="9">
                  <c:v>27.183344000000002</c:v>
                </c:pt>
                <c:pt idx="10">
                  <c:v>27.252068999999999</c:v>
                </c:pt>
              </c:numCache>
            </c:numRef>
          </c:val>
          <c:extLst>
            <c:ext xmlns:c16="http://schemas.microsoft.com/office/drawing/2014/chart" uri="{C3380CC4-5D6E-409C-BE32-E72D297353CC}">
              <c16:uniqueId val="{00000003-1B4D-4600-AD92-9C82D02578D8}"/>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Data!$C$54</c:f>
              <c:strCache>
                <c:ptCount val="1"/>
                <c:pt idx="0">
                  <c:v>Below 20 kW</c:v>
                </c:pt>
              </c:strCache>
            </c:strRef>
          </c:tx>
          <c:spPr>
            <a:solidFill>
              <a:srgbClr val="0C2577"/>
            </a:solidFill>
            <a:ln>
              <a:noFill/>
            </a:ln>
            <a:effectLst/>
          </c:spPr>
          <c:invertIfNegative val="0"/>
          <c:cat>
            <c:numRef>
              <c:f>Data!$A$55:$A$65</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Data!$C$55:$C$65</c:f>
              <c:numCache>
                <c:formatCode>#,##0</c:formatCode>
                <c:ptCount val="11"/>
                <c:pt idx="0">
                  <c:v>0</c:v>
                </c:pt>
                <c:pt idx="1">
                  <c:v>215205</c:v>
                </c:pt>
                <c:pt idx="2">
                  <c:v>86082</c:v>
                </c:pt>
                <c:pt idx="3">
                  <c:v>86082</c:v>
                </c:pt>
                <c:pt idx="4">
                  <c:v>86082</c:v>
                </c:pt>
                <c:pt idx="5">
                  <c:v>86082</c:v>
                </c:pt>
                <c:pt idx="6">
                  <c:v>86082</c:v>
                </c:pt>
                <c:pt idx="7">
                  <c:v>86082</c:v>
                </c:pt>
                <c:pt idx="8">
                  <c:v>86082</c:v>
                </c:pt>
                <c:pt idx="9">
                  <c:v>86082</c:v>
                </c:pt>
                <c:pt idx="10">
                  <c:v>86082</c:v>
                </c:pt>
              </c:numCache>
            </c:numRef>
          </c:val>
          <c:extLst>
            <c:ext xmlns:c16="http://schemas.microsoft.com/office/drawing/2014/chart" uri="{C3380CC4-5D6E-409C-BE32-E72D297353CC}">
              <c16:uniqueId val="{00000000-2896-4BAE-ADBA-730F68BACA79}"/>
            </c:ext>
          </c:extLst>
        </c:ser>
        <c:ser>
          <c:idx val="3"/>
          <c:order val="1"/>
          <c:tx>
            <c:strRef>
              <c:f>Data!$D$54</c:f>
              <c:strCache>
                <c:ptCount val="1"/>
                <c:pt idx="0">
                  <c:v>20 to 199.99 kW</c:v>
                </c:pt>
              </c:strCache>
            </c:strRef>
          </c:tx>
          <c:spPr>
            <a:solidFill>
              <a:schemeClr val="accent2"/>
            </a:solidFill>
            <a:ln>
              <a:noFill/>
            </a:ln>
            <a:effectLst/>
          </c:spPr>
          <c:invertIfNegative val="0"/>
          <c:val>
            <c:numRef>
              <c:f>Data!$D$55:$D$65</c:f>
              <c:numCache>
                <c:formatCode>#,##0</c:formatCode>
                <c:ptCount val="11"/>
                <c:pt idx="0">
                  <c:v>0</c:v>
                </c:pt>
                <c:pt idx="1">
                  <c:v>34795</c:v>
                </c:pt>
                <c:pt idx="2">
                  <c:v>13918</c:v>
                </c:pt>
                <c:pt idx="3">
                  <c:v>13918</c:v>
                </c:pt>
                <c:pt idx="4">
                  <c:v>13918</c:v>
                </c:pt>
                <c:pt idx="5">
                  <c:v>13918</c:v>
                </c:pt>
                <c:pt idx="6">
                  <c:v>13918</c:v>
                </c:pt>
                <c:pt idx="7">
                  <c:v>13918</c:v>
                </c:pt>
                <c:pt idx="8">
                  <c:v>13918</c:v>
                </c:pt>
                <c:pt idx="9">
                  <c:v>13918</c:v>
                </c:pt>
                <c:pt idx="10">
                  <c:v>13918</c:v>
                </c:pt>
              </c:numCache>
            </c:numRef>
          </c:val>
          <c:extLst>
            <c:ext xmlns:c16="http://schemas.microsoft.com/office/drawing/2014/chart" uri="{C3380CC4-5D6E-409C-BE32-E72D297353CC}">
              <c16:uniqueId val="{00000001-2896-4BAE-ADBA-730F68BACA79}"/>
            </c:ext>
          </c:extLst>
        </c:ser>
        <c:dLbls>
          <c:showLegendKey val="0"/>
          <c:showVal val="0"/>
          <c:showCatName val="0"/>
          <c:showSerName val="0"/>
          <c:showPercent val="0"/>
          <c:showBubbleSize val="0"/>
        </c:dLbls>
        <c:gapWidth val="150"/>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Number</a:t>
                </a:r>
                <a:r>
                  <a:rPr lang="en-US" baseline="0"/>
                  <a:t> of Enrolled Service Accounts</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3"/>
          <c:tx>
            <c:strRef>
              <c:f>Data!$N$54</c:f>
              <c:strCache>
                <c:ptCount val="1"/>
                <c:pt idx="0">
                  <c:v>Event Hours</c:v>
                </c:pt>
              </c:strCache>
            </c:strRef>
          </c:tx>
          <c:spPr>
            <a:solidFill>
              <a:schemeClr val="accent5">
                <a:lumMod val="40000"/>
                <a:lumOff val="60000"/>
                <a:alpha val="50000"/>
              </a:schemeClr>
            </a:solidFill>
            <a:ln w="25400">
              <a:noFill/>
            </a:ln>
            <a:effectLst/>
          </c:spPr>
          <c:invertIfNegative val="0"/>
          <c:val>
            <c:numRef>
              <c:f>Data!$N$55:$N$78</c:f>
              <c:numCache>
                <c:formatCode>General</c:formatCode>
                <c:ptCount val="24"/>
                <c:pt idx="14">
                  <c:v>250</c:v>
                </c:pt>
                <c:pt idx="15">
                  <c:v>250</c:v>
                </c:pt>
                <c:pt idx="16">
                  <c:v>250</c:v>
                </c:pt>
                <c:pt idx="17">
                  <c:v>250</c:v>
                </c:pt>
              </c:numCache>
            </c:numRef>
          </c:val>
          <c:extLst>
            <c:ext xmlns:c16="http://schemas.microsoft.com/office/drawing/2014/chart" uri="{C3380CC4-5D6E-409C-BE32-E72D297353CC}">
              <c16:uniqueId val="{00000000-1465-473A-8386-B5EB21A119C2}"/>
            </c:ext>
          </c:extLst>
        </c:ser>
        <c:dLbls>
          <c:showLegendKey val="0"/>
          <c:showVal val="0"/>
          <c:showCatName val="0"/>
          <c:showSerName val="0"/>
          <c:showPercent val="0"/>
          <c:showBubbleSize val="0"/>
        </c:dLbls>
        <c:gapWidth val="0"/>
        <c:axId val="961637680"/>
        <c:axId val="929931504"/>
      </c:barChart>
      <c:lineChart>
        <c:grouping val="standard"/>
        <c:varyColors val="0"/>
        <c:ser>
          <c:idx val="3"/>
          <c:order val="0"/>
          <c:tx>
            <c:strRef>
              <c:f>Data!$L$54</c:f>
              <c:strCache>
                <c:ptCount val="1"/>
                <c:pt idx="0">
                  <c:v>Reference</c:v>
                </c:pt>
              </c:strCache>
            </c:strRef>
          </c:tx>
          <c:spPr>
            <a:ln w="38100" cap="rnd">
              <a:solidFill>
                <a:schemeClr val="accent5"/>
              </a:solidFill>
              <a:round/>
            </a:ln>
            <a:effectLst/>
          </c:spPr>
          <c:marker>
            <c:symbol val="none"/>
          </c:marker>
          <c:cat>
            <c:numRef>
              <c:f>Data!$K$3:$K$26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Data!$L$55:$L$78</c:f>
              <c:numCache>
                <c:formatCode>0.0</c:formatCode>
                <c:ptCount val="24"/>
                <c:pt idx="0">
                  <c:v>97.179582999999994</c:v>
                </c:pt>
                <c:pt idx="1">
                  <c:v>93.393527000000006</c:v>
                </c:pt>
                <c:pt idx="2">
                  <c:v>91.339039</c:v>
                </c:pt>
                <c:pt idx="3">
                  <c:v>92.652939000000003</c:v>
                </c:pt>
                <c:pt idx="4">
                  <c:v>98.784685999999994</c:v>
                </c:pt>
                <c:pt idx="5">
                  <c:v>111.02364</c:v>
                </c:pt>
                <c:pt idx="6">
                  <c:v>124.63455999999999</c:v>
                </c:pt>
                <c:pt idx="7">
                  <c:v>148.21880999999999</c:v>
                </c:pt>
                <c:pt idx="8">
                  <c:v>171.44904</c:v>
                </c:pt>
                <c:pt idx="9">
                  <c:v>191.25142</c:v>
                </c:pt>
                <c:pt idx="10">
                  <c:v>206.14465000000001</c:v>
                </c:pt>
                <c:pt idx="11">
                  <c:v>215.52969999999999</c:v>
                </c:pt>
                <c:pt idx="12">
                  <c:v>221.17243999999999</c:v>
                </c:pt>
                <c:pt idx="13">
                  <c:v>226.71992</c:v>
                </c:pt>
                <c:pt idx="14">
                  <c:v>227.18681000000001</c:v>
                </c:pt>
                <c:pt idx="15">
                  <c:v>221.01082</c:v>
                </c:pt>
                <c:pt idx="16">
                  <c:v>209.49849</c:v>
                </c:pt>
                <c:pt idx="17">
                  <c:v>190.56061</c:v>
                </c:pt>
                <c:pt idx="18">
                  <c:v>171.54198</c:v>
                </c:pt>
                <c:pt idx="19">
                  <c:v>165.41103000000001</c:v>
                </c:pt>
                <c:pt idx="20">
                  <c:v>154.75604999999999</c:v>
                </c:pt>
                <c:pt idx="21">
                  <c:v>137.21836999999999</c:v>
                </c:pt>
                <c:pt idx="22">
                  <c:v>117.55916999999999</c:v>
                </c:pt>
                <c:pt idx="23">
                  <c:v>105.00933999999999</c:v>
                </c:pt>
              </c:numCache>
            </c:numRef>
          </c:val>
          <c:smooth val="0"/>
          <c:extLst>
            <c:ext xmlns:c16="http://schemas.microsoft.com/office/drawing/2014/chart" uri="{C3380CC4-5D6E-409C-BE32-E72D297353CC}">
              <c16:uniqueId val="{00000001-1465-473A-8386-B5EB21A119C2}"/>
            </c:ext>
          </c:extLst>
        </c:ser>
        <c:ser>
          <c:idx val="0"/>
          <c:order val="1"/>
          <c:tx>
            <c:strRef>
              <c:f>Data!$M$54</c:f>
              <c:strCache>
                <c:ptCount val="1"/>
                <c:pt idx="0">
                  <c:v>Observed</c:v>
                </c:pt>
              </c:strCache>
            </c:strRef>
          </c:tx>
          <c:spPr>
            <a:ln w="38100" cap="rnd">
              <a:solidFill>
                <a:schemeClr val="accent2"/>
              </a:solidFill>
              <a:prstDash val="dash"/>
              <a:round/>
            </a:ln>
            <a:effectLst/>
          </c:spPr>
          <c:marker>
            <c:symbol val="none"/>
          </c:marker>
          <c:cat>
            <c:numRef>
              <c:f>Data!$K$3:$K$26</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Data!$M$55:$M$78</c:f>
              <c:numCache>
                <c:formatCode>0.0</c:formatCode>
                <c:ptCount val="24"/>
                <c:pt idx="0">
                  <c:v>97.447419999999994</c:v>
                </c:pt>
                <c:pt idx="1">
                  <c:v>93.708764000000002</c:v>
                </c:pt>
                <c:pt idx="2">
                  <c:v>91.760897999999997</c:v>
                </c:pt>
                <c:pt idx="3">
                  <c:v>93.147199999999998</c:v>
                </c:pt>
                <c:pt idx="4">
                  <c:v>99.199787000000001</c:v>
                </c:pt>
                <c:pt idx="5">
                  <c:v>111.36305</c:v>
                </c:pt>
                <c:pt idx="6">
                  <c:v>125.11806</c:v>
                </c:pt>
                <c:pt idx="7">
                  <c:v>149.26846</c:v>
                </c:pt>
                <c:pt idx="8">
                  <c:v>172.54145</c:v>
                </c:pt>
                <c:pt idx="9">
                  <c:v>191.98169999999999</c:v>
                </c:pt>
                <c:pt idx="10">
                  <c:v>206.01662999999999</c:v>
                </c:pt>
                <c:pt idx="11">
                  <c:v>214.25629000000001</c:v>
                </c:pt>
                <c:pt idx="12">
                  <c:v>218.82980000000001</c:v>
                </c:pt>
                <c:pt idx="13">
                  <c:v>223.57974999999999</c:v>
                </c:pt>
                <c:pt idx="14">
                  <c:v>222.70150000000001</c:v>
                </c:pt>
                <c:pt idx="15">
                  <c:v>216.46340000000001</c:v>
                </c:pt>
                <c:pt idx="16">
                  <c:v>205.23903000000001</c:v>
                </c:pt>
                <c:pt idx="17">
                  <c:v>187.26327000000001</c:v>
                </c:pt>
                <c:pt idx="18">
                  <c:v>170.35391999999999</c:v>
                </c:pt>
                <c:pt idx="19">
                  <c:v>165.18176</c:v>
                </c:pt>
                <c:pt idx="20">
                  <c:v>154.77927</c:v>
                </c:pt>
                <c:pt idx="21">
                  <c:v>137.44669999999999</c:v>
                </c:pt>
                <c:pt idx="22">
                  <c:v>119.39841</c:v>
                </c:pt>
                <c:pt idx="23">
                  <c:v>105.4687</c:v>
                </c:pt>
              </c:numCache>
            </c:numRef>
          </c:val>
          <c:smooth val="0"/>
          <c:extLst>
            <c:ext xmlns:c16="http://schemas.microsoft.com/office/drawing/2014/chart" uri="{C3380CC4-5D6E-409C-BE32-E72D297353CC}">
              <c16:uniqueId val="{00000002-1465-473A-8386-B5EB21A119C2}"/>
            </c:ext>
          </c:extLst>
        </c:ser>
        <c:dLbls>
          <c:showLegendKey val="0"/>
          <c:showVal val="0"/>
          <c:showCatName val="0"/>
          <c:showSerName val="0"/>
          <c:showPercent val="0"/>
          <c:showBubbleSize val="0"/>
        </c:dLbls>
        <c:marker val="1"/>
        <c:smooth val="0"/>
        <c:axId val="961637680"/>
        <c:axId val="929931504"/>
      </c:lineChart>
      <c:lineChart>
        <c:grouping val="standard"/>
        <c:varyColors val="0"/>
        <c:ser>
          <c:idx val="1"/>
          <c:order val="2"/>
          <c:tx>
            <c:strRef>
              <c:f>Data!$O$54</c:f>
              <c:strCache>
                <c:ptCount val="1"/>
                <c:pt idx="0">
                  <c:v>Load_Impact</c:v>
                </c:pt>
              </c:strCache>
            </c:strRef>
          </c:tx>
          <c:spPr>
            <a:ln w="38100" cap="rnd">
              <a:solidFill>
                <a:srgbClr val="92D050"/>
              </a:solidFill>
              <a:round/>
            </a:ln>
            <a:effectLst/>
          </c:spPr>
          <c:marker>
            <c:symbol val="square"/>
            <c:size val="5"/>
            <c:spPr>
              <a:solidFill>
                <a:srgbClr val="92D050"/>
              </a:solidFill>
              <a:ln w="9525">
                <a:noFill/>
              </a:ln>
              <a:effectLst/>
            </c:spPr>
          </c:marker>
          <c:val>
            <c:numRef>
              <c:f>Data!$O$55:$O$78</c:f>
              <c:numCache>
                <c:formatCode>0.0</c:formatCode>
                <c:ptCount val="24"/>
                <c:pt idx="0">
                  <c:v>-0.26783752</c:v>
                </c:pt>
                <c:pt idx="1">
                  <c:v>-0.31523718000000001</c:v>
                </c:pt>
                <c:pt idx="2">
                  <c:v>-0.42185939</c:v>
                </c:pt>
                <c:pt idx="3">
                  <c:v>-0.49426101</c:v>
                </c:pt>
                <c:pt idx="4">
                  <c:v>-0.41510101999999999</c:v>
                </c:pt>
                <c:pt idx="5">
                  <c:v>-0.33940527999999998</c:v>
                </c:pt>
                <c:pt idx="6">
                  <c:v>-0.48350156</c:v>
                </c:pt>
                <c:pt idx="7">
                  <c:v>-1.0496531</c:v>
                </c:pt>
                <c:pt idx="8">
                  <c:v>-1.092411</c:v>
                </c:pt>
                <c:pt idx="9">
                  <c:v>-0.73028135000000005</c:v>
                </c:pt>
                <c:pt idx="10">
                  <c:v>0.12801686000000001</c:v>
                </c:pt>
                <c:pt idx="11">
                  <c:v>1.2734133000000001</c:v>
                </c:pt>
                <c:pt idx="12">
                  <c:v>2.3426418</c:v>
                </c:pt>
                <c:pt idx="13">
                  <c:v>3.1401653</c:v>
                </c:pt>
                <c:pt idx="14">
                  <c:v>4.4853066999999998</c:v>
                </c:pt>
                <c:pt idx="15">
                  <c:v>4.5474152999999999</c:v>
                </c:pt>
                <c:pt idx="16">
                  <c:v>4.2594690999999996</c:v>
                </c:pt>
                <c:pt idx="17">
                  <c:v>3.2973439999999998</c:v>
                </c:pt>
                <c:pt idx="18">
                  <c:v>1.1880626000000001</c:v>
                </c:pt>
                <c:pt idx="19">
                  <c:v>0.22926737</c:v>
                </c:pt>
                <c:pt idx="20">
                  <c:v>-2.3221749999999999E-2</c:v>
                </c:pt>
                <c:pt idx="21">
                  <c:v>-0.22832883000000001</c:v>
                </c:pt>
                <c:pt idx="22">
                  <c:v>-1.8392413999999999</c:v>
                </c:pt>
                <c:pt idx="23">
                  <c:v>-0.45936769999999999</c:v>
                </c:pt>
              </c:numCache>
            </c:numRef>
          </c:val>
          <c:smooth val="0"/>
          <c:extLst>
            <c:ext xmlns:c16="http://schemas.microsoft.com/office/drawing/2014/chart" uri="{C3380CC4-5D6E-409C-BE32-E72D297353CC}">
              <c16:uniqueId val="{00000003-1465-473A-8386-B5EB21A119C2}"/>
            </c:ext>
          </c:extLst>
        </c:ser>
        <c:dLbls>
          <c:showLegendKey val="0"/>
          <c:showVal val="0"/>
          <c:showCatName val="0"/>
          <c:showSerName val="0"/>
          <c:showPercent val="0"/>
          <c:showBubbleSize val="0"/>
        </c:dLbls>
        <c:marker val="1"/>
        <c:smooth val="0"/>
        <c:axId val="856625360"/>
        <c:axId val="854927584"/>
      </c:lineChart>
      <c:catAx>
        <c:axId val="961637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931504"/>
        <c:crosses val="autoZero"/>
        <c:auto val="1"/>
        <c:lblAlgn val="ctr"/>
        <c:lblOffset val="100"/>
        <c:noMultiLvlLbl val="0"/>
      </c:catAx>
      <c:valAx>
        <c:axId val="929931504"/>
        <c:scaling>
          <c:orientation val="minMax"/>
          <c:max val="2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(MWh/h)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1637680"/>
        <c:crosses val="autoZero"/>
        <c:crossBetween val="between"/>
        <c:majorUnit val="25"/>
      </c:valAx>
      <c:valAx>
        <c:axId val="854927584"/>
        <c:scaling>
          <c:orientation val="minMax"/>
          <c:max val="8"/>
          <c:min val="-2"/>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6625360"/>
        <c:crosses val="max"/>
        <c:crossBetween val="between"/>
        <c:majorUnit val="1"/>
      </c:valAx>
      <c:catAx>
        <c:axId val="856625360"/>
        <c:scaling>
          <c:orientation val="minMax"/>
        </c:scaling>
        <c:delete val="1"/>
        <c:axPos val="b"/>
        <c:majorTickMark val="out"/>
        <c:minorTickMark val="none"/>
        <c:tickLblPos val="nextTo"/>
        <c:crossAx val="85492758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2"/>
          <c:tx>
            <c:strRef>
              <c:f>Data!$N$28</c:f>
              <c:strCache>
                <c:ptCount val="1"/>
                <c:pt idx="0">
                  <c:v>Event Hours</c:v>
                </c:pt>
              </c:strCache>
            </c:strRef>
          </c:tx>
          <c:spPr>
            <a:solidFill>
              <a:schemeClr val="accent5">
                <a:lumMod val="40000"/>
                <a:lumOff val="60000"/>
                <a:alpha val="50000"/>
              </a:schemeClr>
            </a:solidFill>
            <a:ln w="28575">
              <a:noFill/>
            </a:ln>
            <a:effectLst/>
          </c:spPr>
          <c:invertIfNegative val="0"/>
          <c:val>
            <c:numRef>
              <c:f>Data!$N$29:$N$52</c:f>
              <c:numCache>
                <c:formatCode>General</c:formatCode>
                <c:ptCount val="24"/>
                <c:pt idx="14">
                  <c:v>100</c:v>
                </c:pt>
                <c:pt idx="15">
                  <c:v>100</c:v>
                </c:pt>
                <c:pt idx="16">
                  <c:v>100</c:v>
                </c:pt>
                <c:pt idx="17">
                  <c:v>100</c:v>
                </c:pt>
              </c:numCache>
            </c:numRef>
          </c:val>
          <c:extLst>
            <c:ext xmlns:c16="http://schemas.microsoft.com/office/drawing/2014/chart" uri="{C3380CC4-5D6E-409C-BE32-E72D297353CC}">
              <c16:uniqueId val="{00000000-AB69-42B2-8EAC-C7DCFD319E47}"/>
            </c:ext>
          </c:extLst>
        </c:ser>
        <c:dLbls>
          <c:showLegendKey val="0"/>
          <c:showVal val="0"/>
          <c:showCatName val="0"/>
          <c:showSerName val="0"/>
          <c:showPercent val="0"/>
          <c:showBubbleSize val="0"/>
        </c:dLbls>
        <c:gapWidth val="0"/>
        <c:axId val="961637680"/>
        <c:axId val="929931504"/>
      </c:barChart>
      <c:lineChart>
        <c:grouping val="standard"/>
        <c:varyColors val="0"/>
        <c:ser>
          <c:idx val="3"/>
          <c:order val="0"/>
          <c:tx>
            <c:strRef>
              <c:f>Data!$L$28</c:f>
              <c:strCache>
                <c:ptCount val="1"/>
                <c:pt idx="0">
                  <c:v>Reference</c:v>
                </c:pt>
              </c:strCache>
            </c:strRef>
          </c:tx>
          <c:spPr>
            <a:ln w="38100" cap="rnd">
              <a:solidFill>
                <a:schemeClr val="accent5"/>
              </a:solidFill>
              <a:round/>
            </a:ln>
            <a:effectLst/>
          </c:spPr>
          <c:marker>
            <c:symbol val="none"/>
          </c:marker>
          <c:cat>
            <c:numRef>
              <c:f>Data!$K$29:$K$52</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Data!$L$29:$L$52</c:f>
              <c:numCache>
                <c:formatCode>0.0</c:formatCode>
                <c:ptCount val="24"/>
                <c:pt idx="0">
                  <c:v>38.783447000000002</c:v>
                </c:pt>
                <c:pt idx="1">
                  <c:v>37.187804</c:v>
                </c:pt>
                <c:pt idx="2">
                  <c:v>36.233158000000003</c:v>
                </c:pt>
                <c:pt idx="3">
                  <c:v>36.045005000000003</c:v>
                </c:pt>
                <c:pt idx="4">
                  <c:v>36.758080999999997</c:v>
                </c:pt>
                <c:pt idx="5">
                  <c:v>37.879804999999998</c:v>
                </c:pt>
                <c:pt idx="6">
                  <c:v>34.372047000000002</c:v>
                </c:pt>
                <c:pt idx="7">
                  <c:v>42.460816999999999</c:v>
                </c:pt>
                <c:pt idx="8">
                  <c:v>56.984155999999999</c:v>
                </c:pt>
                <c:pt idx="9">
                  <c:v>70.926497999999995</c:v>
                </c:pt>
                <c:pt idx="10">
                  <c:v>80.329577999999998</c:v>
                </c:pt>
                <c:pt idx="11">
                  <c:v>85.704077999999996</c:v>
                </c:pt>
                <c:pt idx="12">
                  <c:v>88.919726999999995</c:v>
                </c:pt>
                <c:pt idx="13">
                  <c:v>91.306033999999997</c:v>
                </c:pt>
                <c:pt idx="14">
                  <c:v>92.237341999999998</c:v>
                </c:pt>
                <c:pt idx="15">
                  <c:v>89.969301999999999</c:v>
                </c:pt>
                <c:pt idx="16">
                  <c:v>83.653739999999999</c:v>
                </c:pt>
                <c:pt idx="17">
                  <c:v>70.066743000000002</c:v>
                </c:pt>
                <c:pt idx="18">
                  <c:v>60.005363000000003</c:v>
                </c:pt>
                <c:pt idx="19">
                  <c:v>58.824303999999998</c:v>
                </c:pt>
                <c:pt idx="20">
                  <c:v>54.490062999999999</c:v>
                </c:pt>
                <c:pt idx="21">
                  <c:v>48.101185000000001</c:v>
                </c:pt>
                <c:pt idx="22">
                  <c:v>43.904676000000002</c:v>
                </c:pt>
                <c:pt idx="23">
                  <c:v>41.003231</c:v>
                </c:pt>
              </c:numCache>
            </c:numRef>
          </c:val>
          <c:smooth val="0"/>
          <c:extLst>
            <c:ext xmlns:c16="http://schemas.microsoft.com/office/drawing/2014/chart" uri="{C3380CC4-5D6E-409C-BE32-E72D297353CC}">
              <c16:uniqueId val="{00000001-AB69-42B2-8EAC-C7DCFD319E47}"/>
            </c:ext>
          </c:extLst>
        </c:ser>
        <c:ser>
          <c:idx val="0"/>
          <c:order val="1"/>
          <c:tx>
            <c:strRef>
              <c:f>Data!$M$28</c:f>
              <c:strCache>
                <c:ptCount val="1"/>
                <c:pt idx="0">
                  <c:v>Observed</c:v>
                </c:pt>
              </c:strCache>
            </c:strRef>
          </c:tx>
          <c:spPr>
            <a:ln w="38100" cap="rnd">
              <a:solidFill>
                <a:schemeClr val="accent2"/>
              </a:solidFill>
              <a:prstDash val="dash"/>
              <a:round/>
            </a:ln>
            <a:effectLst/>
          </c:spPr>
          <c:marker>
            <c:symbol val="none"/>
          </c:marker>
          <c:cat>
            <c:numRef>
              <c:f>Data!$K$29:$K$52</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Data!$M$29:$M$52</c:f>
              <c:numCache>
                <c:formatCode>0.0</c:formatCode>
                <c:ptCount val="24"/>
                <c:pt idx="0">
                  <c:v>38.042349999999999</c:v>
                </c:pt>
                <c:pt idx="1">
                  <c:v>36.420786999999997</c:v>
                </c:pt>
                <c:pt idx="2">
                  <c:v>35.545082000000001</c:v>
                </c:pt>
                <c:pt idx="3">
                  <c:v>35.256236000000001</c:v>
                </c:pt>
                <c:pt idx="4">
                  <c:v>35.952222999999996</c:v>
                </c:pt>
                <c:pt idx="5">
                  <c:v>37.042813000000002</c:v>
                </c:pt>
                <c:pt idx="6">
                  <c:v>33.658987000000003</c:v>
                </c:pt>
                <c:pt idx="7">
                  <c:v>41.870489999999997</c:v>
                </c:pt>
                <c:pt idx="8">
                  <c:v>56.525247</c:v>
                </c:pt>
                <c:pt idx="9">
                  <c:v>70.552833000000007</c:v>
                </c:pt>
                <c:pt idx="10">
                  <c:v>79.538786999999999</c:v>
                </c:pt>
                <c:pt idx="11">
                  <c:v>84.348541999999995</c:v>
                </c:pt>
                <c:pt idx="12">
                  <c:v>87.121477999999996</c:v>
                </c:pt>
                <c:pt idx="13">
                  <c:v>89.126819999999995</c:v>
                </c:pt>
                <c:pt idx="14">
                  <c:v>89.240960999999999</c:v>
                </c:pt>
                <c:pt idx="15">
                  <c:v>86.821211000000005</c:v>
                </c:pt>
                <c:pt idx="16">
                  <c:v>80.618770999999995</c:v>
                </c:pt>
                <c:pt idx="17">
                  <c:v>67.353643000000005</c:v>
                </c:pt>
                <c:pt idx="18">
                  <c:v>57.982402</c:v>
                </c:pt>
                <c:pt idx="19">
                  <c:v>57.125138999999997</c:v>
                </c:pt>
                <c:pt idx="20">
                  <c:v>53.219164999999997</c:v>
                </c:pt>
                <c:pt idx="21">
                  <c:v>47.048366000000001</c:v>
                </c:pt>
                <c:pt idx="22">
                  <c:v>42.901623000000001</c:v>
                </c:pt>
                <c:pt idx="23">
                  <c:v>40.123311999999999</c:v>
                </c:pt>
              </c:numCache>
            </c:numRef>
          </c:val>
          <c:smooth val="0"/>
          <c:extLst>
            <c:ext xmlns:c16="http://schemas.microsoft.com/office/drawing/2014/chart" uri="{C3380CC4-5D6E-409C-BE32-E72D297353CC}">
              <c16:uniqueId val="{00000002-AB69-42B2-8EAC-C7DCFD319E47}"/>
            </c:ext>
          </c:extLst>
        </c:ser>
        <c:dLbls>
          <c:showLegendKey val="0"/>
          <c:showVal val="0"/>
          <c:showCatName val="0"/>
          <c:showSerName val="0"/>
          <c:showPercent val="0"/>
          <c:showBubbleSize val="0"/>
        </c:dLbls>
        <c:marker val="1"/>
        <c:smooth val="0"/>
        <c:axId val="961637680"/>
        <c:axId val="929931504"/>
      </c:lineChart>
      <c:lineChart>
        <c:grouping val="standard"/>
        <c:varyColors val="0"/>
        <c:ser>
          <c:idx val="2"/>
          <c:order val="3"/>
          <c:tx>
            <c:strRef>
              <c:f>Data!$O$28</c:f>
              <c:strCache>
                <c:ptCount val="1"/>
                <c:pt idx="0">
                  <c:v>Load_Impact</c:v>
                </c:pt>
              </c:strCache>
            </c:strRef>
          </c:tx>
          <c:spPr>
            <a:ln w="38100" cap="rnd">
              <a:solidFill>
                <a:srgbClr val="92D050"/>
              </a:solidFill>
              <a:round/>
            </a:ln>
            <a:effectLst/>
          </c:spPr>
          <c:marker>
            <c:symbol val="square"/>
            <c:size val="5"/>
            <c:spPr>
              <a:solidFill>
                <a:srgbClr val="92D050"/>
              </a:solidFill>
              <a:ln w="9525">
                <a:noFill/>
              </a:ln>
              <a:effectLst/>
            </c:spPr>
          </c:marker>
          <c:val>
            <c:numRef>
              <c:f>Data!$O$29:$O$52</c:f>
              <c:numCache>
                <c:formatCode>0.0</c:formatCode>
                <c:ptCount val="24"/>
                <c:pt idx="0">
                  <c:v>0.74109771000000002</c:v>
                </c:pt>
                <c:pt idx="1">
                  <c:v>0.76701673999999997</c:v>
                </c:pt>
                <c:pt idx="2">
                  <c:v>0.68807627000000005</c:v>
                </c:pt>
                <c:pt idx="3">
                  <c:v>0.78876952</c:v>
                </c:pt>
                <c:pt idx="4">
                  <c:v>0.80585812999999995</c:v>
                </c:pt>
                <c:pt idx="5">
                  <c:v>0.83699195999999998</c:v>
                </c:pt>
                <c:pt idx="6">
                  <c:v>0.71305991999999996</c:v>
                </c:pt>
                <c:pt idx="7">
                  <c:v>0.59032686999999995</c:v>
                </c:pt>
                <c:pt idx="8">
                  <c:v>0.45890906999999997</c:v>
                </c:pt>
                <c:pt idx="9">
                  <c:v>0.37366575000000002</c:v>
                </c:pt>
                <c:pt idx="10">
                  <c:v>0.79079034999999998</c:v>
                </c:pt>
                <c:pt idx="11">
                  <c:v>1.3555356999999999</c:v>
                </c:pt>
                <c:pt idx="12">
                  <c:v>1.7982487</c:v>
                </c:pt>
                <c:pt idx="13">
                  <c:v>2.1792140999999998</c:v>
                </c:pt>
                <c:pt idx="14">
                  <c:v>2.9963803000000002</c:v>
                </c:pt>
                <c:pt idx="15">
                  <c:v>3.1480912999999999</c:v>
                </c:pt>
                <c:pt idx="16">
                  <c:v>3.0349685000000002</c:v>
                </c:pt>
                <c:pt idx="17">
                  <c:v>2.7130999999999998</c:v>
                </c:pt>
                <c:pt idx="18">
                  <c:v>2.0229604999999999</c:v>
                </c:pt>
                <c:pt idx="19">
                  <c:v>1.6991649</c:v>
                </c:pt>
                <c:pt idx="20">
                  <c:v>1.2708984000000001</c:v>
                </c:pt>
                <c:pt idx="21">
                  <c:v>1.0528195</c:v>
                </c:pt>
                <c:pt idx="22">
                  <c:v>1.0030538</c:v>
                </c:pt>
                <c:pt idx="23">
                  <c:v>0.87991911</c:v>
                </c:pt>
              </c:numCache>
            </c:numRef>
          </c:val>
          <c:smooth val="0"/>
          <c:extLst>
            <c:ext xmlns:c16="http://schemas.microsoft.com/office/drawing/2014/chart" uri="{C3380CC4-5D6E-409C-BE32-E72D297353CC}">
              <c16:uniqueId val="{00000003-AB69-42B2-8EAC-C7DCFD319E47}"/>
            </c:ext>
          </c:extLst>
        </c:ser>
        <c:dLbls>
          <c:showLegendKey val="0"/>
          <c:showVal val="0"/>
          <c:showCatName val="0"/>
          <c:showSerName val="0"/>
          <c:showPercent val="0"/>
          <c:showBubbleSize val="0"/>
        </c:dLbls>
        <c:marker val="1"/>
        <c:smooth val="0"/>
        <c:axId val="856625360"/>
        <c:axId val="854927584"/>
      </c:lineChart>
      <c:catAx>
        <c:axId val="961637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931504"/>
        <c:crosses val="autoZero"/>
        <c:auto val="1"/>
        <c:lblAlgn val="ctr"/>
        <c:lblOffset val="100"/>
        <c:noMultiLvlLbl val="0"/>
      </c:catAx>
      <c:valAx>
        <c:axId val="929931504"/>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(MWh/h)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1637680"/>
        <c:crosses val="autoZero"/>
        <c:crossBetween val="between"/>
      </c:valAx>
      <c:valAx>
        <c:axId val="854927584"/>
        <c:scaling>
          <c:orientation val="minMax"/>
          <c:max val="5"/>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6625360"/>
        <c:crosses val="max"/>
        <c:crossBetween val="between"/>
      </c:valAx>
      <c:catAx>
        <c:axId val="856625360"/>
        <c:scaling>
          <c:orientation val="minMax"/>
        </c:scaling>
        <c:delete val="1"/>
        <c:axPos val="b"/>
        <c:majorTickMark val="out"/>
        <c:minorTickMark val="none"/>
        <c:tickLblPos val="nextTo"/>
        <c:crossAx val="854927584"/>
        <c:crosses val="autoZero"/>
        <c:auto val="1"/>
        <c:lblAlgn val="ctr"/>
        <c:lblOffset val="100"/>
        <c:noMultiLvlLbl val="0"/>
      </c:cat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19484543598717"/>
          <c:y val="3.5065349059611096E-2"/>
          <c:w val="0.87628663604549428"/>
          <c:h val="0.77240229016639095"/>
        </c:manualLayout>
      </c:layout>
      <c:barChart>
        <c:barDir val="col"/>
        <c:grouping val="clustered"/>
        <c:varyColors val="0"/>
        <c:ser>
          <c:idx val="3"/>
          <c:order val="0"/>
          <c:spPr>
            <a:solidFill>
              <a:srgbClr val="0C2577"/>
            </a:solidFill>
            <a:ln>
              <a:noFill/>
            </a:ln>
            <a:effectLst/>
          </c:spPr>
          <c:invertIfNegative val="0"/>
          <c:cat>
            <c:strRef>
              <c:f>Data!$U$29:$U$40</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Data!$Y$29:$Y$40</c:f>
              <c:numCache>
                <c:formatCode>#,##0.0</c:formatCode>
                <c:ptCount val="12"/>
                <c:pt idx="0">
                  <c:v>1.2605154000000001</c:v>
                </c:pt>
                <c:pt idx="1">
                  <c:v>1.2819438999999999</c:v>
                </c:pt>
                <c:pt idx="2">
                  <c:v>1.2781822</c:v>
                </c:pt>
                <c:pt idx="3">
                  <c:v>3.1946495000000001</c:v>
                </c:pt>
                <c:pt idx="4">
                  <c:v>3.3323225000000001</c:v>
                </c:pt>
                <c:pt idx="5">
                  <c:v>3.6293034999999998</c:v>
                </c:pt>
                <c:pt idx="6">
                  <c:v>3.8879184000000002</c:v>
                </c:pt>
                <c:pt idx="7">
                  <c:v>4.1679129000000001</c:v>
                </c:pt>
                <c:pt idx="8">
                  <c:v>3.7760009999999999</c:v>
                </c:pt>
                <c:pt idx="9">
                  <c:v>3.6143841999999999</c:v>
                </c:pt>
                <c:pt idx="10">
                  <c:v>1.4041920999999999</c:v>
                </c:pt>
                <c:pt idx="11">
                  <c:v>1.2301814</c:v>
                </c:pt>
              </c:numCache>
            </c:numRef>
          </c:val>
          <c:extLst>
            <c:ext xmlns:c16="http://schemas.microsoft.com/office/drawing/2014/chart" uri="{C3380CC4-5D6E-409C-BE32-E72D297353CC}">
              <c16:uniqueId val="{00000000-B649-4B3D-9B48-55DF54D42E0B}"/>
            </c:ext>
          </c:extLst>
        </c:ser>
        <c:dLbls>
          <c:showLegendKey val="0"/>
          <c:showVal val="0"/>
          <c:showCatName val="0"/>
          <c:showSerName val="0"/>
          <c:showPercent val="0"/>
          <c:showBubbleSize val="0"/>
        </c:dLbls>
        <c:gapWidth val="219"/>
        <c:overlap val="-27"/>
        <c:axId val="957762816"/>
        <c:axId val="1052070752"/>
      </c:barChart>
      <c:catAx>
        <c:axId val="957762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52070752"/>
        <c:crosses val="autoZero"/>
        <c:auto val="1"/>
        <c:lblAlgn val="ctr"/>
        <c:lblOffset val="100"/>
        <c:noMultiLvlLbl val="0"/>
      </c:catAx>
      <c:valAx>
        <c:axId val="105207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a:t>
                </a:r>
                <a:r>
                  <a:rPr lang="en-US" baseline="0"/>
                  <a:t>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776281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982447506561679"/>
          <c:y val="3.5065349059611096E-2"/>
          <c:w val="0.87397182123067951"/>
          <c:h val="0.77240229016639095"/>
        </c:manualLayout>
      </c:layout>
      <c:barChart>
        <c:barDir val="col"/>
        <c:grouping val="clustered"/>
        <c:varyColors val="0"/>
        <c:ser>
          <c:idx val="3"/>
          <c:order val="0"/>
          <c:spPr>
            <a:solidFill>
              <a:srgbClr val="0C2577"/>
            </a:solidFill>
            <a:ln>
              <a:noFill/>
            </a:ln>
            <a:effectLst/>
          </c:spPr>
          <c:invertIfNegative val="0"/>
          <c:cat>
            <c:strRef>
              <c:f>Data!$U$16:$U$27</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Data!$Y$16:$Y$27</c:f>
              <c:numCache>
                <c:formatCode>#,##0.0</c:formatCode>
                <c:ptCount val="12"/>
                <c:pt idx="0">
                  <c:v>1.6994351000000001</c:v>
                </c:pt>
                <c:pt idx="1">
                  <c:v>1.6591722</c:v>
                </c:pt>
                <c:pt idx="2">
                  <c:v>1.5949948</c:v>
                </c:pt>
                <c:pt idx="3">
                  <c:v>2.0603653</c:v>
                </c:pt>
                <c:pt idx="4">
                  <c:v>2.1733014000000002</c:v>
                </c:pt>
                <c:pt idx="5">
                  <c:v>2.4934748999999998</c:v>
                </c:pt>
                <c:pt idx="6">
                  <c:v>2.7563344999999999</c:v>
                </c:pt>
                <c:pt idx="7">
                  <c:v>3.0221756000000002</c:v>
                </c:pt>
                <c:pt idx="8">
                  <c:v>2.6087004</c:v>
                </c:pt>
                <c:pt idx="9">
                  <c:v>2.4210669999999999</c:v>
                </c:pt>
                <c:pt idx="10">
                  <c:v>1.7130737</c:v>
                </c:pt>
                <c:pt idx="11">
                  <c:v>1.7427348</c:v>
                </c:pt>
              </c:numCache>
            </c:numRef>
          </c:val>
          <c:extLst>
            <c:ext xmlns:c16="http://schemas.microsoft.com/office/drawing/2014/chart" uri="{C3380CC4-5D6E-409C-BE32-E72D297353CC}">
              <c16:uniqueId val="{00000000-6C5B-422C-814E-E91BEA0F06DF}"/>
            </c:ext>
          </c:extLst>
        </c:ser>
        <c:dLbls>
          <c:showLegendKey val="0"/>
          <c:showVal val="0"/>
          <c:showCatName val="0"/>
          <c:showSerName val="0"/>
          <c:showPercent val="0"/>
          <c:showBubbleSize val="0"/>
        </c:dLbls>
        <c:gapWidth val="219"/>
        <c:overlap val="-27"/>
        <c:axId val="957762816"/>
        <c:axId val="1052070752"/>
      </c:barChart>
      <c:catAx>
        <c:axId val="957762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52070752"/>
        <c:crosses val="autoZero"/>
        <c:auto val="1"/>
        <c:lblAlgn val="ctr"/>
        <c:lblOffset val="100"/>
        <c:noMultiLvlLbl val="0"/>
      </c:catAx>
      <c:valAx>
        <c:axId val="105207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7762816"/>
        <c:crosses val="autoZero"/>
        <c:crossBetween val="between"/>
      </c:valAx>
      <c:spPr>
        <a:noFill/>
        <a:ln w="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Data!$AD$28</c:f>
              <c:strCache>
                <c:ptCount val="1"/>
                <c:pt idx="0">
                  <c:v>Utility 1-in-10</c:v>
                </c:pt>
              </c:strCache>
            </c:strRef>
          </c:tx>
          <c:spPr>
            <a:solidFill>
              <a:schemeClr val="accent3"/>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Data!$AD$29:$AD$39</c:f>
              <c:numCache>
                <c:formatCode>0.0</c:formatCode>
                <c:ptCount val="11"/>
                <c:pt idx="0">
                  <c:v>0</c:v>
                </c:pt>
                <c:pt idx="1">
                  <c:v>10.487083</c:v>
                </c:pt>
                <c:pt idx="2">
                  <c:v>4.1948331000000003</c:v>
                </c:pt>
                <c:pt idx="3">
                  <c:v>4.1948331000000003</c:v>
                </c:pt>
                <c:pt idx="4">
                  <c:v>4.1948331000000003</c:v>
                </c:pt>
                <c:pt idx="5">
                  <c:v>4.1948331000000003</c:v>
                </c:pt>
                <c:pt idx="6">
                  <c:v>4.1948331000000003</c:v>
                </c:pt>
                <c:pt idx="7">
                  <c:v>4.1948331000000003</c:v>
                </c:pt>
                <c:pt idx="8">
                  <c:v>4.1948331000000003</c:v>
                </c:pt>
                <c:pt idx="9">
                  <c:v>4.1948331000000003</c:v>
                </c:pt>
                <c:pt idx="10">
                  <c:v>4.1948331000000003</c:v>
                </c:pt>
              </c:numCache>
            </c:numRef>
          </c:val>
          <c:extLst>
            <c:ext xmlns:c16="http://schemas.microsoft.com/office/drawing/2014/chart" uri="{C3380CC4-5D6E-409C-BE32-E72D297353CC}">
              <c16:uniqueId val="{00000000-3FD4-4844-9B7A-497DD55025B7}"/>
            </c:ext>
          </c:extLst>
        </c:ser>
        <c:ser>
          <c:idx val="3"/>
          <c:order val="1"/>
          <c:tx>
            <c:strRef>
              <c:f>Data!$AE$28</c:f>
              <c:strCache>
                <c:ptCount val="1"/>
                <c:pt idx="0">
                  <c:v>Utility 1-in-2</c:v>
                </c:pt>
              </c:strCache>
            </c:strRef>
          </c:tx>
          <c:spPr>
            <a:solidFill>
              <a:schemeClr val="accent4"/>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Data!$AE$29:$AE$39</c:f>
              <c:numCache>
                <c:formatCode>0.0</c:formatCode>
                <c:ptCount val="11"/>
                <c:pt idx="0">
                  <c:v>0</c:v>
                </c:pt>
                <c:pt idx="1">
                  <c:v>9.8648501999999993</c:v>
                </c:pt>
                <c:pt idx="2">
                  <c:v>3.9459401000000001</c:v>
                </c:pt>
                <c:pt idx="3">
                  <c:v>3.9459401000000001</c:v>
                </c:pt>
                <c:pt idx="4">
                  <c:v>3.9459401000000001</c:v>
                </c:pt>
                <c:pt idx="5">
                  <c:v>3.9459401000000001</c:v>
                </c:pt>
                <c:pt idx="6">
                  <c:v>3.9459401000000001</c:v>
                </c:pt>
                <c:pt idx="7">
                  <c:v>3.9459401000000001</c:v>
                </c:pt>
                <c:pt idx="8">
                  <c:v>3.9459401000000001</c:v>
                </c:pt>
                <c:pt idx="9">
                  <c:v>3.9459401000000001</c:v>
                </c:pt>
                <c:pt idx="10">
                  <c:v>3.9459401000000001</c:v>
                </c:pt>
              </c:numCache>
            </c:numRef>
          </c:val>
          <c:extLst>
            <c:ext xmlns:c16="http://schemas.microsoft.com/office/drawing/2014/chart" uri="{C3380CC4-5D6E-409C-BE32-E72D297353CC}">
              <c16:uniqueId val="{00000001-3FD4-4844-9B7A-497DD55025B7}"/>
            </c:ext>
          </c:extLst>
        </c:ser>
        <c:ser>
          <c:idx val="4"/>
          <c:order val="2"/>
          <c:tx>
            <c:strRef>
              <c:f>Data!$AF$28</c:f>
              <c:strCache>
                <c:ptCount val="1"/>
                <c:pt idx="0">
                  <c:v>CAISO 1-in-10</c:v>
                </c:pt>
              </c:strCache>
            </c:strRef>
          </c:tx>
          <c:spPr>
            <a:solidFill>
              <a:schemeClr val="accent5"/>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Data!$AF$29:$AF$39</c:f>
              <c:numCache>
                <c:formatCode>0.0</c:formatCode>
                <c:ptCount val="11"/>
                <c:pt idx="0">
                  <c:v>0</c:v>
                </c:pt>
                <c:pt idx="1">
                  <c:v>10.469322</c:v>
                </c:pt>
                <c:pt idx="2">
                  <c:v>4.1877288999999998</c:v>
                </c:pt>
                <c:pt idx="3">
                  <c:v>4.1877288999999998</c:v>
                </c:pt>
                <c:pt idx="4">
                  <c:v>4.1877288999999998</c:v>
                </c:pt>
                <c:pt idx="5">
                  <c:v>4.1877288999999998</c:v>
                </c:pt>
                <c:pt idx="6">
                  <c:v>4.1877288999999998</c:v>
                </c:pt>
                <c:pt idx="7">
                  <c:v>4.1877288999999998</c:v>
                </c:pt>
                <c:pt idx="8">
                  <c:v>4.1877288999999998</c:v>
                </c:pt>
                <c:pt idx="9">
                  <c:v>4.1877288999999998</c:v>
                </c:pt>
                <c:pt idx="10">
                  <c:v>4.1877288999999998</c:v>
                </c:pt>
              </c:numCache>
            </c:numRef>
          </c:val>
          <c:extLst>
            <c:ext xmlns:c16="http://schemas.microsoft.com/office/drawing/2014/chart" uri="{C3380CC4-5D6E-409C-BE32-E72D297353CC}">
              <c16:uniqueId val="{00000002-3FD4-4844-9B7A-497DD55025B7}"/>
            </c:ext>
          </c:extLst>
        </c:ser>
        <c:ser>
          <c:idx val="5"/>
          <c:order val="3"/>
          <c:tx>
            <c:strRef>
              <c:f>Data!$AG$28</c:f>
              <c:strCache>
                <c:ptCount val="1"/>
                <c:pt idx="0">
                  <c:v>CAISO 1-in-2</c:v>
                </c:pt>
              </c:strCache>
            </c:strRef>
          </c:tx>
          <c:spPr>
            <a:solidFill>
              <a:schemeClr val="accent2"/>
            </a:solidFill>
            <a:ln>
              <a:noFill/>
            </a:ln>
            <a:effectLst/>
          </c:spPr>
          <c:invertIfNegative val="0"/>
          <c:cat>
            <c:numRef>
              <c:f>Data!$AC$29:$AC$39</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Data!$AG$29:$AG$39</c:f>
              <c:numCache>
                <c:formatCode>0.0</c:formatCode>
                <c:ptCount val="11"/>
                <c:pt idx="0">
                  <c:v>0</c:v>
                </c:pt>
                <c:pt idx="1">
                  <c:v>10.043555</c:v>
                </c:pt>
                <c:pt idx="2">
                  <c:v>4.0174219000000004</c:v>
                </c:pt>
                <c:pt idx="3">
                  <c:v>4.0174219000000004</c:v>
                </c:pt>
                <c:pt idx="4">
                  <c:v>4.0174219000000004</c:v>
                </c:pt>
                <c:pt idx="5">
                  <c:v>4.0174219000000004</c:v>
                </c:pt>
                <c:pt idx="6">
                  <c:v>4.0174219000000004</c:v>
                </c:pt>
                <c:pt idx="7">
                  <c:v>4.0174219000000004</c:v>
                </c:pt>
                <c:pt idx="8">
                  <c:v>4.0174219000000004</c:v>
                </c:pt>
                <c:pt idx="9">
                  <c:v>4.0174219000000004</c:v>
                </c:pt>
                <c:pt idx="10">
                  <c:v>4.0174219000000004</c:v>
                </c:pt>
              </c:numCache>
            </c:numRef>
          </c:val>
          <c:extLst>
            <c:ext xmlns:c16="http://schemas.microsoft.com/office/drawing/2014/chart" uri="{C3380CC4-5D6E-409C-BE32-E72D297353CC}">
              <c16:uniqueId val="{00000003-3FD4-4844-9B7A-497DD55025B7}"/>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At val="0"/>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 Window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Data!$AD$15</c:f>
              <c:strCache>
                <c:ptCount val="1"/>
                <c:pt idx="0">
                  <c:v>Utility 1-in-10</c:v>
                </c:pt>
              </c:strCache>
            </c:strRef>
          </c:tx>
          <c:spPr>
            <a:solidFill>
              <a:schemeClr val="accent3"/>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Data!$AD$16:$AD$26</c:f>
              <c:numCache>
                <c:formatCode>0.0</c:formatCode>
                <c:ptCount val="11"/>
                <c:pt idx="0">
                  <c:v>0</c:v>
                </c:pt>
                <c:pt idx="1">
                  <c:v>7.6328157000000001</c:v>
                </c:pt>
                <c:pt idx="2">
                  <c:v>3.0531263000000002</c:v>
                </c:pt>
                <c:pt idx="3">
                  <c:v>3.0531263000000002</c:v>
                </c:pt>
                <c:pt idx="4">
                  <c:v>3.0531263000000002</c:v>
                </c:pt>
                <c:pt idx="5">
                  <c:v>3.0531263000000002</c:v>
                </c:pt>
                <c:pt idx="6">
                  <c:v>3.0531263000000002</c:v>
                </c:pt>
                <c:pt idx="7">
                  <c:v>3.0531263000000002</c:v>
                </c:pt>
                <c:pt idx="8">
                  <c:v>3.0531263000000002</c:v>
                </c:pt>
                <c:pt idx="9">
                  <c:v>3.0531263000000002</c:v>
                </c:pt>
                <c:pt idx="10">
                  <c:v>3.0531263000000002</c:v>
                </c:pt>
              </c:numCache>
            </c:numRef>
          </c:val>
          <c:extLst>
            <c:ext xmlns:c16="http://schemas.microsoft.com/office/drawing/2014/chart" uri="{C3380CC4-5D6E-409C-BE32-E72D297353CC}">
              <c16:uniqueId val="{00000000-5C89-4527-94E3-22B6789BE9DA}"/>
            </c:ext>
          </c:extLst>
        </c:ser>
        <c:ser>
          <c:idx val="3"/>
          <c:order val="1"/>
          <c:tx>
            <c:strRef>
              <c:f>Data!$AE$15</c:f>
              <c:strCache>
                <c:ptCount val="1"/>
                <c:pt idx="0">
                  <c:v>Utility 1-in-2</c:v>
                </c:pt>
              </c:strCache>
            </c:strRef>
          </c:tx>
          <c:spPr>
            <a:solidFill>
              <a:schemeClr val="accent4"/>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Data!$AE$16:$AE$26</c:f>
              <c:numCache>
                <c:formatCode>0.0</c:formatCode>
                <c:ptCount val="11"/>
                <c:pt idx="0">
                  <c:v>0</c:v>
                </c:pt>
                <c:pt idx="1">
                  <c:v>7.0358771000000004</c:v>
                </c:pt>
                <c:pt idx="2">
                  <c:v>2.8143508000000002</c:v>
                </c:pt>
                <c:pt idx="3">
                  <c:v>2.8143508000000002</c:v>
                </c:pt>
                <c:pt idx="4">
                  <c:v>2.8143508000000002</c:v>
                </c:pt>
                <c:pt idx="5">
                  <c:v>2.8143508000000002</c:v>
                </c:pt>
                <c:pt idx="6">
                  <c:v>2.8143508000000002</c:v>
                </c:pt>
                <c:pt idx="7">
                  <c:v>2.8143508000000002</c:v>
                </c:pt>
                <c:pt idx="8">
                  <c:v>2.8143508000000002</c:v>
                </c:pt>
                <c:pt idx="9">
                  <c:v>2.8143508000000002</c:v>
                </c:pt>
                <c:pt idx="10">
                  <c:v>2.8143508000000002</c:v>
                </c:pt>
              </c:numCache>
            </c:numRef>
          </c:val>
          <c:extLst>
            <c:ext xmlns:c16="http://schemas.microsoft.com/office/drawing/2014/chart" uri="{C3380CC4-5D6E-409C-BE32-E72D297353CC}">
              <c16:uniqueId val="{00000001-5C89-4527-94E3-22B6789BE9DA}"/>
            </c:ext>
          </c:extLst>
        </c:ser>
        <c:ser>
          <c:idx val="4"/>
          <c:order val="2"/>
          <c:tx>
            <c:strRef>
              <c:f>Data!$AF$15</c:f>
              <c:strCache>
                <c:ptCount val="1"/>
                <c:pt idx="0">
                  <c:v>CAISO 1-in-10</c:v>
                </c:pt>
              </c:strCache>
            </c:strRef>
          </c:tx>
          <c:spPr>
            <a:solidFill>
              <a:schemeClr val="accent5"/>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Data!$AF$16:$AF$26</c:f>
              <c:numCache>
                <c:formatCode>0.0</c:formatCode>
                <c:ptCount val="11"/>
                <c:pt idx="0">
                  <c:v>0</c:v>
                </c:pt>
                <c:pt idx="1">
                  <c:v>7.6165552999999999</c:v>
                </c:pt>
                <c:pt idx="2">
                  <c:v>3.0466221</c:v>
                </c:pt>
                <c:pt idx="3">
                  <c:v>3.0466221</c:v>
                </c:pt>
                <c:pt idx="4">
                  <c:v>3.0466221</c:v>
                </c:pt>
                <c:pt idx="5">
                  <c:v>3.0466221</c:v>
                </c:pt>
                <c:pt idx="6">
                  <c:v>3.0466221</c:v>
                </c:pt>
                <c:pt idx="7">
                  <c:v>3.0466221</c:v>
                </c:pt>
                <c:pt idx="8">
                  <c:v>3.0466221</c:v>
                </c:pt>
                <c:pt idx="9">
                  <c:v>3.0466221</c:v>
                </c:pt>
                <c:pt idx="10">
                  <c:v>3.0466221</c:v>
                </c:pt>
              </c:numCache>
            </c:numRef>
          </c:val>
          <c:extLst>
            <c:ext xmlns:c16="http://schemas.microsoft.com/office/drawing/2014/chart" uri="{C3380CC4-5D6E-409C-BE32-E72D297353CC}">
              <c16:uniqueId val="{00000002-5C89-4527-94E3-22B6789BE9DA}"/>
            </c:ext>
          </c:extLst>
        </c:ser>
        <c:ser>
          <c:idx val="5"/>
          <c:order val="3"/>
          <c:tx>
            <c:strRef>
              <c:f>Data!$AG$15</c:f>
              <c:strCache>
                <c:ptCount val="1"/>
                <c:pt idx="0">
                  <c:v>CAISO 1-in-2</c:v>
                </c:pt>
              </c:strCache>
            </c:strRef>
          </c:tx>
          <c:spPr>
            <a:solidFill>
              <a:schemeClr val="accent2"/>
            </a:solidFill>
            <a:ln>
              <a:noFill/>
            </a:ln>
            <a:effectLst/>
          </c:spPr>
          <c:invertIfNegative val="0"/>
          <c:cat>
            <c:numRef>
              <c:f>Data!$AC$3:$AC$13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Data!$AG$16:$AG$26</c:f>
              <c:numCache>
                <c:formatCode>0.0</c:formatCode>
                <c:ptCount val="11"/>
                <c:pt idx="0">
                  <c:v>0</c:v>
                </c:pt>
                <c:pt idx="1">
                  <c:v>7.2061219999999997</c:v>
                </c:pt>
                <c:pt idx="2">
                  <c:v>2.8824488000000001</c:v>
                </c:pt>
                <c:pt idx="3">
                  <c:v>2.8824488000000001</c:v>
                </c:pt>
                <c:pt idx="4">
                  <c:v>2.8824488000000001</c:v>
                </c:pt>
                <c:pt idx="5">
                  <c:v>2.8824488000000001</c:v>
                </c:pt>
                <c:pt idx="6">
                  <c:v>2.8824488000000001</c:v>
                </c:pt>
                <c:pt idx="7">
                  <c:v>2.8824488000000001</c:v>
                </c:pt>
                <c:pt idx="8">
                  <c:v>2.8824488000000001</c:v>
                </c:pt>
                <c:pt idx="9">
                  <c:v>2.8824488000000001</c:v>
                </c:pt>
                <c:pt idx="10">
                  <c:v>2.8824488000000001</c:v>
                </c:pt>
              </c:numCache>
            </c:numRef>
          </c:val>
          <c:extLst>
            <c:ext xmlns:c16="http://schemas.microsoft.com/office/drawing/2014/chart" uri="{C3380CC4-5D6E-409C-BE32-E72D297353CC}">
              <c16:uniqueId val="{00000003-5C89-4527-94E3-22B6789BE9DA}"/>
            </c:ext>
          </c:extLst>
        </c:ser>
        <c:dLbls>
          <c:showLegendKey val="0"/>
          <c:showVal val="0"/>
          <c:showCatName val="0"/>
          <c:showSerName val="0"/>
          <c:showPercent val="0"/>
          <c:showBubbleSize val="0"/>
        </c:dLbls>
        <c:gapWidth val="219"/>
        <c:overlap val="-29"/>
        <c:axId val="857277536"/>
        <c:axId val="925910832"/>
      </c:barChart>
      <c:catAx>
        <c:axId val="857277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Forecast 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5910832"/>
        <c:crosses val="autoZero"/>
        <c:auto val="1"/>
        <c:lblAlgn val="ctr"/>
        <c:lblOffset val="100"/>
        <c:noMultiLvlLbl val="0"/>
      </c:catAx>
      <c:valAx>
        <c:axId val="925910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RA</a:t>
                </a:r>
                <a:r>
                  <a:rPr lang="en-US" baseline="0"/>
                  <a:t> Window</a:t>
                </a:r>
                <a:r>
                  <a:rPr lang="en-US"/>
                  <a:t> Load Impact (MWh/hr)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77536"/>
        <c:crosses val="autoZero"/>
        <c:crossBetween val="between"/>
      </c:valAx>
      <c:spPr>
        <a:noFill/>
        <a:ln w="0">
          <a:solidFill>
            <a:schemeClr val="tx1"/>
          </a:solidFill>
        </a:ln>
        <a:effectLst/>
      </c:spPr>
    </c:plotArea>
    <c:legend>
      <c:legendPos val="b"/>
      <c:overlay val="0"/>
      <c:spPr>
        <a:noFill/>
        <a:ln w="0">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8888888888889E-2"/>
          <c:y val="5.5555555555555552E-2"/>
          <c:w val="0.93888888888888888"/>
          <c:h val="0.89814814814814814"/>
        </c:manualLayout>
      </c:layout>
      <c:barChart>
        <c:barDir val="col"/>
        <c:grouping val="clustered"/>
        <c:varyColors val="0"/>
        <c:ser>
          <c:idx val="0"/>
          <c:order val="0"/>
          <c:spPr>
            <a:solidFill>
              <a:schemeClr val="accent1"/>
            </a:solidFill>
            <a:ln>
              <a:noFill/>
            </a:ln>
            <a:effectLst/>
          </c:spPr>
          <c:invertIfNegative val="0"/>
          <c:val>
            <c:numRef>
              <c:f>Sheet1!$O$9</c:f>
              <c:numCache>
                <c:formatCode>General</c:formatCode>
                <c:ptCount val="1"/>
                <c:pt idx="0">
                  <c:v>0</c:v>
                </c:pt>
              </c:numCache>
            </c:numRef>
          </c:val>
          <c:extLst>
            <c:ext xmlns:c16="http://schemas.microsoft.com/office/drawing/2014/chart" uri="{C3380CC4-5D6E-409C-BE32-E72D297353CC}">
              <c16:uniqueId val="{00000000-AEF9-4E71-9E2C-8BE10D391B46}"/>
            </c:ext>
          </c:extLst>
        </c:ser>
        <c:dLbls>
          <c:showLegendKey val="0"/>
          <c:showVal val="0"/>
          <c:showCatName val="0"/>
          <c:showSerName val="0"/>
          <c:showPercent val="0"/>
          <c:showBubbleSize val="0"/>
        </c:dLbls>
        <c:gapWidth val="219"/>
        <c:overlap val="-27"/>
        <c:axId val="1133943728"/>
        <c:axId val="1195903040"/>
      </c:barChart>
      <c:catAx>
        <c:axId val="1133943728"/>
        <c:scaling>
          <c:orientation val="minMax"/>
        </c:scaling>
        <c:delete val="1"/>
        <c:axPos val="b"/>
        <c:numFmt formatCode="General" sourceLinked="1"/>
        <c:majorTickMark val="none"/>
        <c:minorTickMark val="none"/>
        <c:tickLblPos val="nextTo"/>
        <c:crossAx val="1195903040"/>
        <c:crosses val="autoZero"/>
        <c:auto val="1"/>
        <c:lblAlgn val="ctr"/>
        <c:lblOffset val="100"/>
        <c:noMultiLvlLbl val="0"/>
      </c:catAx>
      <c:valAx>
        <c:axId val="1195903040"/>
        <c:scaling>
          <c:orientation val="minMax"/>
        </c:scaling>
        <c:delete val="1"/>
        <c:axPos val="l"/>
        <c:majorGridlines>
          <c:spPr>
            <a:ln w="9525" cap="flat" cmpd="sng" algn="ctr">
              <a:noFill/>
              <a:round/>
            </a:ln>
            <a:effectLst/>
          </c:spPr>
        </c:majorGridlines>
        <c:numFmt formatCode="General" sourceLinked="1"/>
        <c:majorTickMark val="none"/>
        <c:minorTickMark val="none"/>
        <c:tickLblPos val="nextTo"/>
        <c:crossAx val="1133943728"/>
        <c:crosses val="autoZero"/>
        <c:crossBetween val="between"/>
      </c:valAx>
      <c:spPr>
        <a:solidFill>
          <a:schemeClr val="tx1"/>
        </a:solidFill>
        <a:ln w="25400">
          <a:noFill/>
        </a:ln>
        <a:effectLst/>
      </c:spPr>
    </c:plotArea>
    <c:plotVisOnly val="1"/>
    <c:dispBlanksAs val="gap"/>
    <c:showDLblsOverMax val="0"/>
  </c:chart>
  <c:spPr>
    <a:solidFill>
      <a:schemeClr val="tx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ABFC46-1AD5-484B-9CAB-1DFF59F42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164</Pages>
  <Words>29333</Words>
  <Characters>191312</Characters>
  <Application>Microsoft Office Word</Application>
  <DocSecurity>0</DocSecurity>
  <Lines>1594</Lines>
  <Paragraphs>440</Paragraphs>
  <ScaleCrop>false</ScaleCrop>
  <HeadingPairs>
    <vt:vector size="2" baseType="variant">
      <vt:variant>
        <vt:lpstr>Title</vt:lpstr>
      </vt:variant>
      <vt:variant>
        <vt:i4>1</vt:i4>
      </vt:variant>
    </vt:vector>
  </HeadingPairs>
  <TitlesOfParts>
    <vt:vector size="1" baseType="lpstr">
      <vt:lpstr/>
    </vt:vector>
  </TitlesOfParts>
  <Company>Sempra Energy</Company>
  <LinksUpToDate>false</LinksUpToDate>
  <CharactersWithSpaces>220205</CharactersWithSpaces>
  <SharedDoc>false</SharedDoc>
  <HLinks>
    <vt:vector size="1026" baseType="variant">
      <vt:variant>
        <vt:i4>1966134</vt:i4>
      </vt:variant>
      <vt:variant>
        <vt:i4>1022</vt:i4>
      </vt:variant>
      <vt:variant>
        <vt:i4>0</vt:i4>
      </vt:variant>
      <vt:variant>
        <vt:i4>5</vt:i4>
      </vt:variant>
      <vt:variant>
        <vt:lpwstr/>
      </vt:variant>
      <vt:variant>
        <vt:lpwstr>_Toc380052037</vt:lpwstr>
      </vt:variant>
      <vt:variant>
        <vt:i4>1966134</vt:i4>
      </vt:variant>
      <vt:variant>
        <vt:i4>1016</vt:i4>
      </vt:variant>
      <vt:variant>
        <vt:i4>0</vt:i4>
      </vt:variant>
      <vt:variant>
        <vt:i4>5</vt:i4>
      </vt:variant>
      <vt:variant>
        <vt:lpwstr/>
      </vt:variant>
      <vt:variant>
        <vt:lpwstr>_Toc380052036</vt:lpwstr>
      </vt:variant>
      <vt:variant>
        <vt:i4>1966134</vt:i4>
      </vt:variant>
      <vt:variant>
        <vt:i4>1010</vt:i4>
      </vt:variant>
      <vt:variant>
        <vt:i4>0</vt:i4>
      </vt:variant>
      <vt:variant>
        <vt:i4>5</vt:i4>
      </vt:variant>
      <vt:variant>
        <vt:lpwstr/>
      </vt:variant>
      <vt:variant>
        <vt:lpwstr>_Toc380052035</vt:lpwstr>
      </vt:variant>
      <vt:variant>
        <vt:i4>1966134</vt:i4>
      </vt:variant>
      <vt:variant>
        <vt:i4>1004</vt:i4>
      </vt:variant>
      <vt:variant>
        <vt:i4>0</vt:i4>
      </vt:variant>
      <vt:variant>
        <vt:i4>5</vt:i4>
      </vt:variant>
      <vt:variant>
        <vt:lpwstr/>
      </vt:variant>
      <vt:variant>
        <vt:lpwstr>_Toc380052034</vt:lpwstr>
      </vt:variant>
      <vt:variant>
        <vt:i4>1966134</vt:i4>
      </vt:variant>
      <vt:variant>
        <vt:i4>998</vt:i4>
      </vt:variant>
      <vt:variant>
        <vt:i4>0</vt:i4>
      </vt:variant>
      <vt:variant>
        <vt:i4>5</vt:i4>
      </vt:variant>
      <vt:variant>
        <vt:lpwstr/>
      </vt:variant>
      <vt:variant>
        <vt:lpwstr>_Toc380052033</vt:lpwstr>
      </vt:variant>
      <vt:variant>
        <vt:i4>1966134</vt:i4>
      </vt:variant>
      <vt:variant>
        <vt:i4>992</vt:i4>
      </vt:variant>
      <vt:variant>
        <vt:i4>0</vt:i4>
      </vt:variant>
      <vt:variant>
        <vt:i4>5</vt:i4>
      </vt:variant>
      <vt:variant>
        <vt:lpwstr/>
      </vt:variant>
      <vt:variant>
        <vt:lpwstr>_Toc380052032</vt:lpwstr>
      </vt:variant>
      <vt:variant>
        <vt:i4>1966134</vt:i4>
      </vt:variant>
      <vt:variant>
        <vt:i4>986</vt:i4>
      </vt:variant>
      <vt:variant>
        <vt:i4>0</vt:i4>
      </vt:variant>
      <vt:variant>
        <vt:i4>5</vt:i4>
      </vt:variant>
      <vt:variant>
        <vt:lpwstr/>
      </vt:variant>
      <vt:variant>
        <vt:lpwstr>_Toc380052031</vt:lpwstr>
      </vt:variant>
      <vt:variant>
        <vt:i4>1966134</vt:i4>
      </vt:variant>
      <vt:variant>
        <vt:i4>980</vt:i4>
      </vt:variant>
      <vt:variant>
        <vt:i4>0</vt:i4>
      </vt:variant>
      <vt:variant>
        <vt:i4>5</vt:i4>
      </vt:variant>
      <vt:variant>
        <vt:lpwstr/>
      </vt:variant>
      <vt:variant>
        <vt:lpwstr>_Toc380052030</vt:lpwstr>
      </vt:variant>
      <vt:variant>
        <vt:i4>2031670</vt:i4>
      </vt:variant>
      <vt:variant>
        <vt:i4>974</vt:i4>
      </vt:variant>
      <vt:variant>
        <vt:i4>0</vt:i4>
      </vt:variant>
      <vt:variant>
        <vt:i4>5</vt:i4>
      </vt:variant>
      <vt:variant>
        <vt:lpwstr/>
      </vt:variant>
      <vt:variant>
        <vt:lpwstr>_Toc380052029</vt:lpwstr>
      </vt:variant>
      <vt:variant>
        <vt:i4>2031670</vt:i4>
      </vt:variant>
      <vt:variant>
        <vt:i4>968</vt:i4>
      </vt:variant>
      <vt:variant>
        <vt:i4>0</vt:i4>
      </vt:variant>
      <vt:variant>
        <vt:i4>5</vt:i4>
      </vt:variant>
      <vt:variant>
        <vt:lpwstr/>
      </vt:variant>
      <vt:variant>
        <vt:lpwstr>_Toc380052028</vt:lpwstr>
      </vt:variant>
      <vt:variant>
        <vt:i4>2031670</vt:i4>
      </vt:variant>
      <vt:variant>
        <vt:i4>962</vt:i4>
      </vt:variant>
      <vt:variant>
        <vt:i4>0</vt:i4>
      </vt:variant>
      <vt:variant>
        <vt:i4>5</vt:i4>
      </vt:variant>
      <vt:variant>
        <vt:lpwstr/>
      </vt:variant>
      <vt:variant>
        <vt:lpwstr>_Toc380052027</vt:lpwstr>
      </vt:variant>
      <vt:variant>
        <vt:i4>2031670</vt:i4>
      </vt:variant>
      <vt:variant>
        <vt:i4>956</vt:i4>
      </vt:variant>
      <vt:variant>
        <vt:i4>0</vt:i4>
      </vt:variant>
      <vt:variant>
        <vt:i4>5</vt:i4>
      </vt:variant>
      <vt:variant>
        <vt:lpwstr/>
      </vt:variant>
      <vt:variant>
        <vt:lpwstr>_Toc380052026</vt:lpwstr>
      </vt:variant>
      <vt:variant>
        <vt:i4>2031670</vt:i4>
      </vt:variant>
      <vt:variant>
        <vt:i4>950</vt:i4>
      </vt:variant>
      <vt:variant>
        <vt:i4>0</vt:i4>
      </vt:variant>
      <vt:variant>
        <vt:i4>5</vt:i4>
      </vt:variant>
      <vt:variant>
        <vt:lpwstr/>
      </vt:variant>
      <vt:variant>
        <vt:lpwstr>_Toc380052025</vt:lpwstr>
      </vt:variant>
      <vt:variant>
        <vt:i4>2031670</vt:i4>
      </vt:variant>
      <vt:variant>
        <vt:i4>944</vt:i4>
      </vt:variant>
      <vt:variant>
        <vt:i4>0</vt:i4>
      </vt:variant>
      <vt:variant>
        <vt:i4>5</vt:i4>
      </vt:variant>
      <vt:variant>
        <vt:lpwstr/>
      </vt:variant>
      <vt:variant>
        <vt:lpwstr>_Toc380052024</vt:lpwstr>
      </vt:variant>
      <vt:variant>
        <vt:i4>2031670</vt:i4>
      </vt:variant>
      <vt:variant>
        <vt:i4>938</vt:i4>
      </vt:variant>
      <vt:variant>
        <vt:i4>0</vt:i4>
      </vt:variant>
      <vt:variant>
        <vt:i4>5</vt:i4>
      </vt:variant>
      <vt:variant>
        <vt:lpwstr/>
      </vt:variant>
      <vt:variant>
        <vt:lpwstr>_Toc380052023</vt:lpwstr>
      </vt:variant>
      <vt:variant>
        <vt:i4>2031670</vt:i4>
      </vt:variant>
      <vt:variant>
        <vt:i4>932</vt:i4>
      </vt:variant>
      <vt:variant>
        <vt:i4>0</vt:i4>
      </vt:variant>
      <vt:variant>
        <vt:i4>5</vt:i4>
      </vt:variant>
      <vt:variant>
        <vt:lpwstr/>
      </vt:variant>
      <vt:variant>
        <vt:lpwstr>_Toc380052022</vt:lpwstr>
      </vt:variant>
      <vt:variant>
        <vt:i4>2031670</vt:i4>
      </vt:variant>
      <vt:variant>
        <vt:i4>926</vt:i4>
      </vt:variant>
      <vt:variant>
        <vt:i4>0</vt:i4>
      </vt:variant>
      <vt:variant>
        <vt:i4>5</vt:i4>
      </vt:variant>
      <vt:variant>
        <vt:lpwstr/>
      </vt:variant>
      <vt:variant>
        <vt:lpwstr>_Toc380052021</vt:lpwstr>
      </vt:variant>
      <vt:variant>
        <vt:i4>2031670</vt:i4>
      </vt:variant>
      <vt:variant>
        <vt:i4>920</vt:i4>
      </vt:variant>
      <vt:variant>
        <vt:i4>0</vt:i4>
      </vt:variant>
      <vt:variant>
        <vt:i4>5</vt:i4>
      </vt:variant>
      <vt:variant>
        <vt:lpwstr/>
      </vt:variant>
      <vt:variant>
        <vt:lpwstr>_Toc380052020</vt:lpwstr>
      </vt:variant>
      <vt:variant>
        <vt:i4>1835062</vt:i4>
      </vt:variant>
      <vt:variant>
        <vt:i4>914</vt:i4>
      </vt:variant>
      <vt:variant>
        <vt:i4>0</vt:i4>
      </vt:variant>
      <vt:variant>
        <vt:i4>5</vt:i4>
      </vt:variant>
      <vt:variant>
        <vt:lpwstr/>
      </vt:variant>
      <vt:variant>
        <vt:lpwstr>_Toc380052019</vt:lpwstr>
      </vt:variant>
      <vt:variant>
        <vt:i4>1835062</vt:i4>
      </vt:variant>
      <vt:variant>
        <vt:i4>908</vt:i4>
      </vt:variant>
      <vt:variant>
        <vt:i4>0</vt:i4>
      </vt:variant>
      <vt:variant>
        <vt:i4>5</vt:i4>
      </vt:variant>
      <vt:variant>
        <vt:lpwstr/>
      </vt:variant>
      <vt:variant>
        <vt:lpwstr>_Toc380052018</vt:lpwstr>
      </vt:variant>
      <vt:variant>
        <vt:i4>1835062</vt:i4>
      </vt:variant>
      <vt:variant>
        <vt:i4>902</vt:i4>
      </vt:variant>
      <vt:variant>
        <vt:i4>0</vt:i4>
      </vt:variant>
      <vt:variant>
        <vt:i4>5</vt:i4>
      </vt:variant>
      <vt:variant>
        <vt:lpwstr/>
      </vt:variant>
      <vt:variant>
        <vt:lpwstr>_Toc380052017</vt:lpwstr>
      </vt:variant>
      <vt:variant>
        <vt:i4>1835062</vt:i4>
      </vt:variant>
      <vt:variant>
        <vt:i4>896</vt:i4>
      </vt:variant>
      <vt:variant>
        <vt:i4>0</vt:i4>
      </vt:variant>
      <vt:variant>
        <vt:i4>5</vt:i4>
      </vt:variant>
      <vt:variant>
        <vt:lpwstr/>
      </vt:variant>
      <vt:variant>
        <vt:lpwstr>_Toc380052016</vt:lpwstr>
      </vt:variant>
      <vt:variant>
        <vt:i4>1835062</vt:i4>
      </vt:variant>
      <vt:variant>
        <vt:i4>890</vt:i4>
      </vt:variant>
      <vt:variant>
        <vt:i4>0</vt:i4>
      </vt:variant>
      <vt:variant>
        <vt:i4>5</vt:i4>
      </vt:variant>
      <vt:variant>
        <vt:lpwstr/>
      </vt:variant>
      <vt:variant>
        <vt:lpwstr>_Toc380052015</vt:lpwstr>
      </vt:variant>
      <vt:variant>
        <vt:i4>1835062</vt:i4>
      </vt:variant>
      <vt:variant>
        <vt:i4>884</vt:i4>
      </vt:variant>
      <vt:variant>
        <vt:i4>0</vt:i4>
      </vt:variant>
      <vt:variant>
        <vt:i4>5</vt:i4>
      </vt:variant>
      <vt:variant>
        <vt:lpwstr/>
      </vt:variant>
      <vt:variant>
        <vt:lpwstr>_Toc380052014</vt:lpwstr>
      </vt:variant>
      <vt:variant>
        <vt:i4>1835062</vt:i4>
      </vt:variant>
      <vt:variant>
        <vt:i4>878</vt:i4>
      </vt:variant>
      <vt:variant>
        <vt:i4>0</vt:i4>
      </vt:variant>
      <vt:variant>
        <vt:i4>5</vt:i4>
      </vt:variant>
      <vt:variant>
        <vt:lpwstr/>
      </vt:variant>
      <vt:variant>
        <vt:lpwstr>_Toc380052013</vt:lpwstr>
      </vt:variant>
      <vt:variant>
        <vt:i4>1835062</vt:i4>
      </vt:variant>
      <vt:variant>
        <vt:i4>872</vt:i4>
      </vt:variant>
      <vt:variant>
        <vt:i4>0</vt:i4>
      </vt:variant>
      <vt:variant>
        <vt:i4>5</vt:i4>
      </vt:variant>
      <vt:variant>
        <vt:lpwstr/>
      </vt:variant>
      <vt:variant>
        <vt:lpwstr>_Toc380052012</vt:lpwstr>
      </vt:variant>
      <vt:variant>
        <vt:i4>1835062</vt:i4>
      </vt:variant>
      <vt:variant>
        <vt:i4>866</vt:i4>
      </vt:variant>
      <vt:variant>
        <vt:i4>0</vt:i4>
      </vt:variant>
      <vt:variant>
        <vt:i4>5</vt:i4>
      </vt:variant>
      <vt:variant>
        <vt:lpwstr/>
      </vt:variant>
      <vt:variant>
        <vt:lpwstr>_Toc380052011</vt:lpwstr>
      </vt:variant>
      <vt:variant>
        <vt:i4>1835062</vt:i4>
      </vt:variant>
      <vt:variant>
        <vt:i4>860</vt:i4>
      </vt:variant>
      <vt:variant>
        <vt:i4>0</vt:i4>
      </vt:variant>
      <vt:variant>
        <vt:i4>5</vt:i4>
      </vt:variant>
      <vt:variant>
        <vt:lpwstr/>
      </vt:variant>
      <vt:variant>
        <vt:lpwstr>_Toc380052010</vt:lpwstr>
      </vt:variant>
      <vt:variant>
        <vt:i4>1900598</vt:i4>
      </vt:variant>
      <vt:variant>
        <vt:i4>854</vt:i4>
      </vt:variant>
      <vt:variant>
        <vt:i4>0</vt:i4>
      </vt:variant>
      <vt:variant>
        <vt:i4>5</vt:i4>
      </vt:variant>
      <vt:variant>
        <vt:lpwstr/>
      </vt:variant>
      <vt:variant>
        <vt:lpwstr>_Toc380052009</vt:lpwstr>
      </vt:variant>
      <vt:variant>
        <vt:i4>1900598</vt:i4>
      </vt:variant>
      <vt:variant>
        <vt:i4>848</vt:i4>
      </vt:variant>
      <vt:variant>
        <vt:i4>0</vt:i4>
      </vt:variant>
      <vt:variant>
        <vt:i4>5</vt:i4>
      </vt:variant>
      <vt:variant>
        <vt:lpwstr/>
      </vt:variant>
      <vt:variant>
        <vt:lpwstr>_Toc380052008</vt:lpwstr>
      </vt:variant>
      <vt:variant>
        <vt:i4>1900598</vt:i4>
      </vt:variant>
      <vt:variant>
        <vt:i4>842</vt:i4>
      </vt:variant>
      <vt:variant>
        <vt:i4>0</vt:i4>
      </vt:variant>
      <vt:variant>
        <vt:i4>5</vt:i4>
      </vt:variant>
      <vt:variant>
        <vt:lpwstr/>
      </vt:variant>
      <vt:variant>
        <vt:lpwstr>_Toc380052007</vt:lpwstr>
      </vt:variant>
      <vt:variant>
        <vt:i4>1900598</vt:i4>
      </vt:variant>
      <vt:variant>
        <vt:i4>836</vt:i4>
      </vt:variant>
      <vt:variant>
        <vt:i4>0</vt:i4>
      </vt:variant>
      <vt:variant>
        <vt:i4>5</vt:i4>
      </vt:variant>
      <vt:variant>
        <vt:lpwstr/>
      </vt:variant>
      <vt:variant>
        <vt:lpwstr>_Toc380052006</vt:lpwstr>
      </vt:variant>
      <vt:variant>
        <vt:i4>1900598</vt:i4>
      </vt:variant>
      <vt:variant>
        <vt:i4>830</vt:i4>
      </vt:variant>
      <vt:variant>
        <vt:i4>0</vt:i4>
      </vt:variant>
      <vt:variant>
        <vt:i4>5</vt:i4>
      </vt:variant>
      <vt:variant>
        <vt:lpwstr/>
      </vt:variant>
      <vt:variant>
        <vt:lpwstr>_Toc380052005</vt:lpwstr>
      </vt:variant>
      <vt:variant>
        <vt:i4>1900598</vt:i4>
      </vt:variant>
      <vt:variant>
        <vt:i4>824</vt:i4>
      </vt:variant>
      <vt:variant>
        <vt:i4>0</vt:i4>
      </vt:variant>
      <vt:variant>
        <vt:i4>5</vt:i4>
      </vt:variant>
      <vt:variant>
        <vt:lpwstr/>
      </vt:variant>
      <vt:variant>
        <vt:lpwstr>_Toc380052004</vt:lpwstr>
      </vt:variant>
      <vt:variant>
        <vt:i4>1900598</vt:i4>
      </vt:variant>
      <vt:variant>
        <vt:i4>818</vt:i4>
      </vt:variant>
      <vt:variant>
        <vt:i4>0</vt:i4>
      </vt:variant>
      <vt:variant>
        <vt:i4>5</vt:i4>
      </vt:variant>
      <vt:variant>
        <vt:lpwstr/>
      </vt:variant>
      <vt:variant>
        <vt:lpwstr>_Toc380052003</vt:lpwstr>
      </vt:variant>
      <vt:variant>
        <vt:i4>1572927</vt:i4>
      </vt:variant>
      <vt:variant>
        <vt:i4>809</vt:i4>
      </vt:variant>
      <vt:variant>
        <vt:i4>0</vt:i4>
      </vt:variant>
      <vt:variant>
        <vt:i4>5</vt:i4>
      </vt:variant>
      <vt:variant>
        <vt:lpwstr/>
      </vt:variant>
      <vt:variant>
        <vt:lpwstr>_Toc380051966</vt:lpwstr>
      </vt:variant>
      <vt:variant>
        <vt:i4>1572927</vt:i4>
      </vt:variant>
      <vt:variant>
        <vt:i4>803</vt:i4>
      </vt:variant>
      <vt:variant>
        <vt:i4>0</vt:i4>
      </vt:variant>
      <vt:variant>
        <vt:i4>5</vt:i4>
      </vt:variant>
      <vt:variant>
        <vt:lpwstr/>
      </vt:variant>
      <vt:variant>
        <vt:lpwstr>_Toc380051965</vt:lpwstr>
      </vt:variant>
      <vt:variant>
        <vt:i4>1572927</vt:i4>
      </vt:variant>
      <vt:variant>
        <vt:i4>797</vt:i4>
      </vt:variant>
      <vt:variant>
        <vt:i4>0</vt:i4>
      </vt:variant>
      <vt:variant>
        <vt:i4>5</vt:i4>
      </vt:variant>
      <vt:variant>
        <vt:lpwstr/>
      </vt:variant>
      <vt:variant>
        <vt:lpwstr>_Toc380051964</vt:lpwstr>
      </vt:variant>
      <vt:variant>
        <vt:i4>1572927</vt:i4>
      </vt:variant>
      <vt:variant>
        <vt:i4>791</vt:i4>
      </vt:variant>
      <vt:variant>
        <vt:i4>0</vt:i4>
      </vt:variant>
      <vt:variant>
        <vt:i4>5</vt:i4>
      </vt:variant>
      <vt:variant>
        <vt:lpwstr/>
      </vt:variant>
      <vt:variant>
        <vt:lpwstr>_Toc380051963</vt:lpwstr>
      </vt:variant>
      <vt:variant>
        <vt:i4>1572927</vt:i4>
      </vt:variant>
      <vt:variant>
        <vt:i4>785</vt:i4>
      </vt:variant>
      <vt:variant>
        <vt:i4>0</vt:i4>
      </vt:variant>
      <vt:variant>
        <vt:i4>5</vt:i4>
      </vt:variant>
      <vt:variant>
        <vt:lpwstr/>
      </vt:variant>
      <vt:variant>
        <vt:lpwstr>_Toc380051962</vt:lpwstr>
      </vt:variant>
      <vt:variant>
        <vt:i4>1572927</vt:i4>
      </vt:variant>
      <vt:variant>
        <vt:i4>779</vt:i4>
      </vt:variant>
      <vt:variant>
        <vt:i4>0</vt:i4>
      </vt:variant>
      <vt:variant>
        <vt:i4>5</vt:i4>
      </vt:variant>
      <vt:variant>
        <vt:lpwstr/>
      </vt:variant>
      <vt:variant>
        <vt:lpwstr>_Toc380051961</vt:lpwstr>
      </vt:variant>
      <vt:variant>
        <vt:i4>1572927</vt:i4>
      </vt:variant>
      <vt:variant>
        <vt:i4>773</vt:i4>
      </vt:variant>
      <vt:variant>
        <vt:i4>0</vt:i4>
      </vt:variant>
      <vt:variant>
        <vt:i4>5</vt:i4>
      </vt:variant>
      <vt:variant>
        <vt:lpwstr/>
      </vt:variant>
      <vt:variant>
        <vt:lpwstr>_Toc380051960</vt:lpwstr>
      </vt:variant>
      <vt:variant>
        <vt:i4>1769535</vt:i4>
      </vt:variant>
      <vt:variant>
        <vt:i4>767</vt:i4>
      </vt:variant>
      <vt:variant>
        <vt:i4>0</vt:i4>
      </vt:variant>
      <vt:variant>
        <vt:i4>5</vt:i4>
      </vt:variant>
      <vt:variant>
        <vt:lpwstr/>
      </vt:variant>
      <vt:variant>
        <vt:lpwstr>_Toc380051959</vt:lpwstr>
      </vt:variant>
      <vt:variant>
        <vt:i4>1769535</vt:i4>
      </vt:variant>
      <vt:variant>
        <vt:i4>761</vt:i4>
      </vt:variant>
      <vt:variant>
        <vt:i4>0</vt:i4>
      </vt:variant>
      <vt:variant>
        <vt:i4>5</vt:i4>
      </vt:variant>
      <vt:variant>
        <vt:lpwstr/>
      </vt:variant>
      <vt:variant>
        <vt:lpwstr>_Toc380051958</vt:lpwstr>
      </vt:variant>
      <vt:variant>
        <vt:i4>1769535</vt:i4>
      </vt:variant>
      <vt:variant>
        <vt:i4>755</vt:i4>
      </vt:variant>
      <vt:variant>
        <vt:i4>0</vt:i4>
      </vt:variant>
      <vt:variant>
        <vt:i4>5</vt:i4>
      </vt:variant>
      <vt:variant>
        <vt:lpwstr/>
      </vt:variant>
      <vt:variant>
        <vt:lpwstr>_Toc380051957</vt:lpwstr>
      </vt:variant>
      <vt:variant>
        <vt:i4>1769535</vt:i4>
      </vt:variant>
      <vt:variant>
        <vt:i4>749</vt:i4>
      </vt:variant>
      <vt:variant>
        <vt:i4>0</vt:i4>
      </vt:variant>
      <vt:variant>
        <vt:i4>5</vt:i4>
      </vt:variant>
      <vt:variant>
        <vt:lpwstr/>
      </vt:variant>
      <vt:variant>
        <vt:lpwstr>_Toc380051956</vt:lpwstr>
      </vt:variant>
      <vt:variant>
        <vt:i4>1769535</vt:i4>
      </vt:variant>
      <vt:variant>
        <vt:i4>743</vt:i4>
      </vt:variant>
      <vt:variant>
        <vt:i4>0</vt:i4>
      </vt:variant>
      <vt:variant>
        <vt:i4>5</vt:i4>
      </vt:variant>
      <vt:variant>
        <vt:lpwstr/>
      </vt:variant>
      <vt:variant>
        <vt:lpwstr>_Toc380051955</vt:lpwstr>
      </vt:variant>
      <vt:variant>
        <vt:i4>1769535</vt:i4>
      </vt:variant>
      <vt:variant>
        <vt:i4>737</vt:i4>
      </vt:variant>
      <vt:variant>
        <vt:i4>0</vt:i4>
      </vt:variant>
      <vt:variant>
        <vt:i4>5</vt:i4>
      </vt:variant>
      <vt:variant>
        <vt:lpwstr/>
      </vt:variant>
      <vt:variant>
        <vt:lpwstr>_Toc380051954</vt:lpwstr>
      </vt:variant>
      <vt:variant>
        <vt:i4>1769535</vt:i4>
      </vt:variant>
      <vt:variant>
        <vt:i4>731</vt:i4>
      </vt:variant>
      <vt:variant>
        <vt:i4>0</vt:i4>
      </vt:variant>
      <vt:variant>
        <vt:i4>5</vt:i4>
      </vt:variant>
      <vt:variant>
        <vt:lpwstr/>
      </vt:variant>
      <vt:variant>
        <vt:lpwstr>_Toc380051953</vt:lpwstr>
      </vt:variant>
      <vt:variant>
        <vt:i4>1769535</vt:i4>
      </vt:variant>
      <vt:variant>
        <vt:i4>725</vt:i4>
      </vt:variant>
      <vt:variant>
        <vt:i4>0</vt:i4>
      </vt:variant>
      <vt:variant>
        <vt:i4>5</vt:i4>
      </vt:variant>
      <vt:variant>
        <vt:lpwstr/>
      </vt:variant>
      <vt:variant>
        <vt:lpwstr>_Toc380051952</vt:lpwstr>
      </vt:variant>
      <vt:variant>
        <vt:i4>1769535</vt:i4>
      </vt:variant>
      <vt:variant>
        <vt:i4>719</vt:i4>
      </vt:variant>
      <vt:variant>
        <vt:i4>0</vt:i4>
      </vt:variant>
      <vt:variant>
        <vt:i4>5</vt:i4>
      </vt:variant>
      <vt:variant>
        <vt:lpwstr/>
      </vt:variant>
      <vt:variant>
        <vt:lpwstr>_Toc380051951</vt:lpwstr>
      </vt:variant>
      <vt:variant>
        <vt:i4>1769535</vt:i4>
      </vt:variant>
      <vt:variant>
        <vt:i4>713</vt:i4>
      </vt:variant>
      <vt:variant>
        <vt:i4>0</vt:i4>
      </vt:variant>
      <vt:variant>
        <vt:i4>5</vt:i4>
      </vt:variant>
      <vt:variant>
        <vt:lpwstr/>
      </vt:variant>
      <vt:variant>
        <vt:lpwstr>_Toc380051950</vt:lpwstr>
      </vt:variant>
      <vt:variant>
        <vt:i4>1703999</vt:i4>
      </vt:variant>
      <vt:variant>
        <vt:i4>707</vt:i4>
      </vt:variant>
      <vt:variant>
        <vt:i4>0</vt:i4>
      </vt:variant>
      <vt:variant>
        <vt:i4>5</vt:i4>
      </vt:variant>
      <vt:variant>
        <vt:lpwstr/>
      </vt:variant>
      <vt:variant>
        <vt:lpwstr>_Toc380051949</vt:lpwstr>
      </vt:variant>
      <vt:variant>
        <vt:i4>1703999</vt:i4>
      </vt:variant>
      <vt:variant>
        <vt:i4>701</vt:i4>
      </vt:variant>
      <vt:variant>
        <vt:i4>0</vt:i4>
      </vt:variant>
      <vt:variant>
        <vt:i4>5</vt:i4>
      </vt:variant>
      <vt:variant>
        <vt:lpwstr/>
      </vt:variant>
      <vt:variant>
        <vt:lpwstr>_Toc380051948</vt:lpwstr>
      </vt:variant>
      <vt:variant>
        <vt:i4>1703999</vt:i4>
      </vt:variant>
      <vt:variant>
        <vt:i4>695</vt:i4>
      </vt:variant>
      <vt:variant>
        <vt:i4>0</vt:i4>
      </vt:variant>
      <vt:variant>
        <vt:i4>5</vt:i4>
      </vt:variant>
      <vt:variant>
        <vt:lpwstr/>
      </vt:variant>
      <vt:variant>
        <vt:lpwstr>_Toc380051947</vt:lpwstr>
      </vt:variant>
      <vt:variant>
        <vt:i4>1703999</vt:i4>
      </vt:variant>
      <vt:variant>
        <vt:i4>689</vt:i4>
      </vt:variant>
      <vt:variant>
        <vt:i4>0</vt:i4>
      </vt:variant>
      <vt:variant>
        <vt:i4>5</vt:i4>
      </vt:variant>
      <vt:variant>
        <vt:lpwstr/>
      </vt:variant>
      <vt:variant>
        <vt:lpwstr>_Toc380051946</vt:lpwstr>
      </vt:variant>
      <vt:variant>
        <vt:i4>1703999</vt:i4>
      </vt:variant>
      <vt:variant>
        <vt:i4>683</vt:i4>
      </vt:variant>
      <vt:variant>
        <vt:i4>0</vt:i4>
      </vt:variant>
      <vt:variant>
        <vt:i4>5</vt:i4>
      </vt:variant>
      <vt:variant>
        <vt:lpwstr/>
      </vt:variant>
      <vt:variant>
        <vt:lpwstr>_Toc380051945</vt:lpwstr>
      </vt:variant>
      <vt:variant>
        <vt:i4>1703999</vt:i4>
      </vt:variant>
      <vt:variant>
        <vt:i4>677</vt:i4>
      </vt:variant>
      <vt:variant>
        <vt:i4>0</vt:i4>
      </vt:variant>
      <vt:variant>
        <vt:i4>5</vt:i4>
      </vt:variant>
      <vt:variant>
        <vt:lpwstr/>
      </vt:variant>
      <vt:variant>
        <vt:lpwstr>_Toc380051944</vt:lpwstr>
      </vt:variant>
      <vt:variant>
        <vt:i4>1703999</vt:i4>
      </vt:variant>
      <vt:variant>
        <vt:i4>671</vt:i4>
      </vt:variant>
      <vt:variant>
        <vt:i4>0</vt:i4>
      </vt:variant>
      <vt:variant>
        <vt:i4>5</vt:i4>
      </vt:variant>
      <vt:variant>
        <vt:lpwstr/>
      </vt:variant>
      <vt:variant>
        <vt:lpwstr>_Toc380051943</vt:lpwstr>
      </vt:variant>
      <vt:variant>
        <vt:i4>1703999</vt:i4>
      </vt:variant>
      <vt:variant>
        <vt:i4>665</vt:i4>
      </vt:variant>
      <vt:variant>
        <vt:i4>0</vt:i4>
      </vt:variant>
      <vt:variant>
        <vt:i4>5</vt:i4>
      </vt:variant>
      <vt:variant>
        <vt:lpwstr/>
      </vt:variant>
      <vt:variant>
        <vt:lpwstr>_Toc380051942</vt:lpwstr>
      </vt:variant>
      <vt:variant>
        <vt:i4>1703999</vt:i4>
      </vt:variant>
      <vt:variant>
        <vt:i4>659</vt:i4>
      </vt:variant>
      <vt:variant>
        <vt:i4>0</vt:i4>
      </vt:variant>
      <vt:variant>
        <vt:i4>5</vt:i4>
      </vt:variant>
      <vt:variant>
        <vt:lpwstr/>
      </vt:variant>
      <vt:variant>
        <vt:lpwstr>_Toc380051941</vt:lpwstr>
      </vt:variant>
      <vt:variant>
        <vt:i4>1703999</vt:i4>
      </vt:variant>
      <vt:variant>
        <vt:i4>653</vt:i4>
      </vt:variant>
      <vt:variant>
        <vt:i4>0</vt:i4>
      </vt:variant>
      <vt:variant>
        <vt:i4>5</vt:i4>
      </vt:variant>
      <vt:variant>
        <vt:lpwstr/>
      </vt:variant>
      <vt:variant>
        <vt:lpwstr>_Toc380051940</vt:lpwstr>
      </vt:variant>
      <vt:variant>
        <vt:i4>1900607</vt:i4>
      </vt:variant>
      <vt:variant>
        <vt:i4>647</vt:i4>
      </vt:variant>
      <vt:variant>
        <vt:i4>0</vt:i4>
      </vt:variant>
      <vt:variant>
        <vt:i4>5</vt:i4>
      </vt:variant>
      <vt:variant>
        <vt:lpwstr/>
      </vt:variant>
      <vt:variant>
        <vt:lpwstr>_Toc380051939</vt:lpwstr>
      </vt:variant>
      <vt:variant>
        <vt:i4>1900607</vt:i4>
      </vt:variant>
      <vt:variant>
        <vt:i4>641</vt:i4>
      </vt:variant>
      <vt:variant>
        <vt:i4>0</vt:i4>
      </vt:variant>
      <vt:variant>
        <vt:i4>5</vt:i4>
      </vt:variant>
      <vt:variant>
        <vt:lpwstr/>
      </vt:variant>
      <vt:variant>
        <vt:lpwstr>_Toc380051938</vt:lpwstr>
      </vt:variant>
      <vt:variant>
        <vt:i4>1900607</vt:i4>
      </vt:variant>
      <vt:variant>
        <vt:i4>635</vt:i4>
      </vt:variant>
      <vt:variant>
        <vt:i4>0</vt:i4>
      </vt:variant>
      <vt:variant>
        <vt:i4>5</vt:i4>
      </vt:variant>
      <vt:variant>
        <vt:lpwstr/>
      </vt:variant>
      <vt:variant>
        <vt:lpwstr>_Toc380051937</vt:lpwstr>
      </vt:variant>
      <vt:variant>
        <vt:i4>1900607</vt:i4>
      </vt:variant>
      <vt:variant>
        <vt:i4>629</vt:i4>
      </vt:variant>
      <vt:variant>
        <vt:i4>0</vt:i4>
      </vt:variant>
      <vt:variant>
        <vt:i4>5</vt:i4>
      </vt:variant>
      <vt:variant>
        <vt:lpwstr/>
      </vt:variant>
      <vt:variant>
        <vt:lpwstr>_Toc380051936</vt:lpwstr>
      </vt:variant>
      <vt:variant>
        <vt:i4>1900607</vt:i4>
      </vt:variant>
      <vt:variant>
        <vt:i4>623</vt:i4>
      </vt:variant>
      <vt:variant>
        <vt:i4>0</vt:i4>
      </vt:variant>
      <vt:variant>
        <vt:i4>5</vt:i4>
      </vt:variant>
      <vt:variant>
        <vt:lpwstr/>
      </vt:variant>
      <vt:variant>
        <vt:lpwstr>_Toc380051935</vt:lpwstr>
      </vt:variant>
      <vt:variant>
        <vt:i4>1900607</vt:i4>
      </vt:variant>
      <vt:variant>
        <vt:i4>617</vt:i4>
      </vt:variant>
      <vt:variant>
        <vt:i4>0</vt:i4>
      </vt:variant>
      <vt:variant>
        <vt:i4>5</vt:i4>
      </vt:variant>
      <vt:variant>
        <vt:lpwstr/>
      </vt:variant>
      <vt:variant>
        <vt:lpwstr>_Toc380051934</vt:lpwstr>
      </vt:variant>
      <vt:variant>
        <vt:i4>1900607</vt:i4>
      </vt:variant>
      <vt:variant>
        <vt:i4>611</vt:i4>
      </vt:variant>
      <vt:variant>
        <vt:i4>0</vt:i4>
      </vt:variant>
      <vt:variant>
        <vt:i4>5</vt:i4>
      </vt:variant>
      <vt:variant>
        <vt:lpwstr/>
      </vt:variant>
      <vt:variant>
        <vt:lpwstr>_Toc380051933</vt:lpwstr>
      </vt:variant>
      <vt:variant>
        <vt:i4>1900607</vt:i4>
      </vt:variant>
      <vt:variant>
        <vt:i4>605</vt:i4>
      </vt:variant>
      <vt:variant>
        <vt:i4>0</vt:i4>
      </vt:variant>
      <vt:variant>
        <vt:i4>5</vt:i4>
      </vt:variant>
      <vt:variant>
        <vt:lpwstr/>
      </vt:variant>
      <vt:variant>
        <vt:lpwstr>_Toc380051932</vt:lpwstr>
      </vt:variant>
      <vt:variant>
        <vt:i4>1900607</vt:i4>
      </vt:variant>
      <vt:variant>
        <vt:i4>599</vt:i4>
      </vt:variant>
      <vt:variant>
        <vt:i4>0</vt:i4>
      </vt:variant>
      <vt:variant>
        <vt:i4>5</vt:i4>
      </vt:variant>
      <vt:variant>
        <vt:lpwstr/>
      </vt:variant>
      <vt:variant>
        <vt:lpwstr>_Toc380051931</vt:lpwstr>
      </vt:variant>
      <vt:variant>
        <vt:i4>1900607</vt:i4>
      </vt:variant>
      <vt:variant>
        <vt:i4>593</vt:i4>
      </vt:variant>
      <vt:variant>
        <vt:i4>0</vt:i4>
      </vt:variant>
      <vt:variant>
        <vt:i4>5</vt:i4>
      </vt:variant>
      <vt:variant>
        <vt:lpwstr/>
      </vt:variant>
      <vt:variant>
        <vt:lpwstr>_Toc380051930</vt:lpwstr>
      </vt:variant>
      <vt:variant>
        <vt:i4>1835071</vt:i4>
      </vt:variant>
      <vt:variant>
        <vt:i4>587</vt:i4>
      </vt:variant>
      <vt:variant>
        <vt:i4>0</vt:i4>
      </vt:variant>
      <vt:variant>
        <vt:i4>5</vt:i4>
      </vt:variant>
      <vt:variant>
        <vt:lpwstr/>
      </vt:variant>
      <vt:variant>
        <vt:lpwstr>_Toc380051929</vt:lpwstr>
      </vt:variant>
      <vt:variant>
        <vt:i4>1835071</vt:i4>
      </vt:variant>
      <vt:variant>
        <vt:i4>581</vt:i4>
      </vt:variant>
      <vt:variant>
        <vt:i4>0</vt:i4>
      </vt:variant>
      <vt:variant>
        <vt:i4>5</vt:i4>
      </vt:variant>
      <vt:variant>
        <vt:lpwstr/>
      </vt:variant>
      <vt:variant>
        <vt:lpwstr>_Toc380051928</vt:lpwstr>
      </vt:variant>
      <vt:variant>
        <vt:i4>1835071</vt:i4>
      </vt:variant>
      <vt:variant>
        <vt:i4>575</vt:i4>
      </vt:variant>
      <vt:variant>
        <vt:i4>0</vt:i4>
      </vt:variant>
      <vt:variant>
        <vt:i4>5</vt:i4>
      </vt:variant>
      <vt:variant>
        <vt:lpwstr/>
      </vt:variant>
      <vt:variant>
        <vt:lpwstr>_Toc380051927</vt:lpwstr>
      </vt:variant>
      <vt:variant>
        <vt:i4>1835071</vt:i4>
      </vt:variant>
      <vt:variant>
        <vt:i4>569</vt:i4>
      </vt:variant>
      <vt:variant>
        <vt:i4>0</vt:i4>
      </vt:variant>
      <vt:variant>
        <vt:i4>5</vt:i4>
      </vt:variant>
      <vt:variant>
        <vt:lpwstr/>
      </vt:variant>
      <vt:variant>
        <vt:lpwstr>_Toc380051926</vt:lpwstr>
      </vt:variant>
      <vt:variant>
        <vt:i4>1835071</vt:i4>
      </vt:variant>
      <vt:variant>
        <vt:i4>563</vt:i4>
      </vt:variant>
      <vt:variant>
        <vt:i4>0</vt:i4>
      </vt:variant>
      <vt:variant>
        <vt:i4>5</vt:i4>
      </vt:variant>
      <vt:variant>
        <vt:lpwstr/>
      </vt:variant>
      <vt:variant>
        <vt:lpwstr>_Toc380051925</vt:lpwstr>
      </vt:variant>
      <vt:variant>
        <vt:i4>1835071</vt:i4>
      </vt:variant>
      <vt:variant>
        <vt:i4>557</vt:i4>
      </vt:variant>
      <vt:variant>
        <vt:i4>0</vt:i4>
      </vt:variant>
      <vt:variant>
        <vt:i4>5</vt:i4>
      </vt:variant>
      <vt:variant>
        <vt:lpwstr/>
      </vt:variant>
      <vt:variant>
        <vt:lpwstr>_Toc380051924</vt:lpwstr>
      </vt:variant>
      <vt:variant>
        <vt:i4>1835071</vt:i4>
      </vt:variant>
      <vt:variant>
        <vt:i4>551</vt:i4>
      </vt:variant>
      <vt:variant>
        <vt:i4>0</vt:i4>
      </vt:variant>
      <vt:variant>
        <vt:i4>5</vt:i4>
      </vt:variant>
      <vt:variant>
        <vt:lpwstr/>
      </vt:variant>
      <vt:variant>
        <vt:lpwstr>_Toc380051923</vt:lpwstr>
      </vt:variant>
      <vt:variant>
        <vt:i4>1835071</vt:i4>
      </vt:variant>
      <vt:variant>
        <vt:i4>545</vt:i4>
      </vt:variant>
      <vt:variant>
        <vt:i4>0</vt:i4>
      </vt:variant>
      <vt:variant>
        <vt:i4>5</vt:i4>
      </vt:variant>
      <vt:variant>
        <vt:lpwstr/>
      </vt:variant>
      <vt:variant>
        <vt:lpwstr>_Toc380051922</vt:lpwstr>
      </vt:variant>
      <vt:variant>
        <vt:i4>1835071</vt:i4>
      </vt:variant>
      <vt:variant>
        <vt:i4>539</vt:i4>
      </vt:variant>
      <vt:variant>
        <vt:i4>0</vt:i4>
      </vt:variant>
      <vt:variant>
        <vt:i4>5</vt:i4>
      </vt:variant>
      <vt:variant>
        <vt:lpwstr/>
      </vt:variant>
      <vt:variant>
        <vt:lpwstr>_Toc380051921</vt:lpwstr>
      </vt:variant>
      <vt:variant>
        <vt:i4>1835071</vt:i4>
      </vt:variant>
      <vt:variant>
        <vt:i4>533</vt:i4>
      </vt:variant>
      <vt:variant>
        <vt:i4>0</vt:i4>
      </vt:variant>
      <vt:variant>
        <vt:i4>5</vt:i4>
      </vt:variant>
      <vt:variant>
        <vt:lpwstr/>
      </vt:variant>
      <vt:variant>
        <vt:lpwstr>_Toc380051920</vt:lpwstr>
      </vt:variant>
      <vt:variant>
        <vt:i4>2031679</vt:i4>
      </vt:variant>
      <vt:variant>
        <vt:i4>527</vt:i4>
      </vt:variant>
      <vt:variant>
        <vt:i4>0</vt:i4>
      </vt:variant>
      <vt:variant>
        <vt:i4>5</vt:i4>
      </vt:variant>
      <vt:variant>
        <vt:lpwstr/>
      </vt:variant>
      <vt:variant>
        <vt:lpwstr>_Toc380051919</vt:lpwstr>
      </vt:variant>
      <vt:variant>
        <vt:i4>2031679</vt:i4>
      </vt:variant>
      <vt:variant>
        <vt:i4>521</vt:i4>
      </vt:variant>
      <vt:variant>
        <vt:i4>0</vt:i4>
      </vt:variant>
      <vt:variant>
        <vt:i4>5</vt:i4>
      </vt:variant>
      <vt:variant>
        <vt:lpwstr/>
      </vt:variant>
      <vt:variant>
        <vt:lpwstr>_Toc380051918</vt:lpwstr>
      </vt:variant>
      <vt:variant>
        <vt:i4>2031679</vt:i4>
      </vt:variant>
      <vt:variant>
        <vt:i4>515</vt:i4>
      </vt:variant>
      <vt:variant>
        <vt:i4>0</vt:i4>
      </vt:variant>
      <vt:variant>
        <vt:i4>5</vt:i4>
      </vt:variant>
      <vt:variant>
        <vt:lpwstr/>
      </vt:variant>
      <vt:variant>
        <vt:lpwstr>_Toc380051917</vt:lpwstr>
      </vt:variant>
      <vt:variant>
        <vt:i4>2031679</vt:i4>
      </vt:variant>
      <vt:variant>
        <vt:i4>509</vt:i4>
      </vt:variant>
      <vt:variant>
        <vt:i4>0</vt:i4>
      </vt:variant>
      <vt:variant>
        <vt:i4>5</vt:i4>
      </vt:variant>
      <vt:variant>
        <vt:lpwstr/>
      </vt:variant>
      <vt:variant>
        <vt:lpwstr>_Toc380051916</vt:lpwstr>
      </vt:variant>
      <vt:variant>
        <vt:i4>2031679</vt:i4>
      </vt:variant>
      <vt:variant>
        <vt:i4>503</vt:i4>
      </vt:variant>
      <vt:variant>
        <vt:i4>0</vt:i4>
      </vt:variant>
      <vt:variant>
        <vt:i4>5</vt:i4>
      </vt:variant>
      <vt:variant>
        <vt:lpwstr/>
      </vt:variant>
      <vt:variant>
        <vt:lpwstr>_Toc380051915</vt:lpwstr>
      </vt:variant>
      <vt:variant>
        <vt:i4>2031679</vt:i4>
      </vt:variant>
      <vt:variant>
        <vt:i4>497</vt:i4>
      </vt:variant>
      <vt:variant>
        <vt:i4>0</vt:i4>
      </vt:variant>
      <vt:variant>
        <vt:i4>5</vt:i4>
      </vt:variant>
      <vt:variant>
        <vt:lpwstr/>
      </vt:variant>
      <vt:variant>
        <vt:lpwstr>_Toc380051914</vt:lpwstr>
      </vt:variant>
      <vt:variant>
        <vt:i4>2031679</vt:i4>
      </vt:variant>
      <vt:variant>
        <vt:i4>491</vt:i4>
      </vt:variant>
      <vt:variant>
        <vt:i4>0</vt:i4>
      </vt:variant>
      <vt:variant>
        <vt:i4>5</vt:i4>
      </vt:variant>
      <vt:variant>
        <vt:lpwstr/>
      </vt:variant>
      <vt:variant>
        <vt:lpwstr>_Toc380051913</vt:lpwstr>
      </vt:variant>
      <vt:variant>
        <vt:i4>2031679</vt:i4>
      </vt:variant>
      <vt:variant>
        <vt:i4>485</vt:i4>
      </vt:variant>
      <vt:variant>
        <vt:i4>0</vt:i4>
      </vt:variant>
      <vt:variant>
        <vt:i4>5</vt:i4>
      </vt:variant>
      <vt:variant>
        <vt:lpwstr/>
      </vt:variant>
      <vt:variant>
        <vt:lpwstr>_Toc380051912</vt:lpwstr>
      </vt:variant>
      <vt:variant>
        <vt:i4>1769534</vt:i4>
      </vt:variant>
      <vt:variant>
        <vt:i4>476</vt:i4>
      </vt:variant>
      <vt:variant>
        <vt:i4>0</vt:i4>
      </vt:variant>
      <vt:variant>
        <vt:i4>5</vt:i4>
      </vt:variant>
      <vt:variant>
        <vt:lpwstr/>
      </vt:variant>
      <vt:variant>
        <vt:lpwstr>_Toc380051856</vt:lpwstr>
      </vt:variant>
      <vt:variant>
        <vt:i4>1769534</vt:i4>
      </vt:variant>
      <vt:variant>
        <vt:i4>470</vt:i4>
      </vt:variant>
      <vt:variant>
        <vt:i4>0</vt:i4>
      </vt:variant>
      <vt:variant>
        <vt:i4>5</vt:i4>
      </vt:variant>
      <vt:variant>
        <vt:lpwstr/>
      </vt:variant>
      <vt:variant>
        <vt:lpwstr>_Toc380051855</vt:lpwstr>
      </vt:variant>
      <vt:variant>
        <vt:i4>1769534</vt:i4>
      </vt:variant>
      <vt:variant>
        <vt:i4>464</vt:i4>
      </vt:variant>
      <vt:variant>
        <vt:i4>0</vt:i4>
      </vt:variant>
      <vt:variant>
        <vt:i4>5</vt:i4>
      </vt:variant>
      <vt:variant>
        <vt:lpwstr/>
      </vt:variant>
      <vt:variant>
        <vt:lpwstr>_Toc380051854</vt:lpwstr>
      </vt:variant>
      <vt:variant>
        <vt:i4>1769534</vt:i4>
      </vt:variant>
      <vt:variant>
        <vt:i4>458</vt:i4>
      </vt:variant>
      <vt:variant>
        <vt:i4>0</vt:i4>
      </vt:variant>
      <vt:variant>
        <vt:i4>5</vt:i4>
      </vt:variant>
      <vt:variant>
        <vt:lpwstr/>
      </vt:variant>
      <vt:variant>
        <vt:lpwstr>_Toc380051853</vt:lpwstr>
      </vt:variant>
      <vt:variant>
        <vt:i4>1769534</vt:i4>
      </vt:variant>
      <vt:variant>
        <vt:i4>452</vt:i4>
      </vt:variant>
      <vt:variant>
        <vt:i4>0</vt:i4>
      </vt:variant>
      <vt:variant>
        <vt:i4>5</vt:i4>
      </vt:variant>
      <vt:variant>
        <vt:lpwstr/>
      </vt:variant>
      <vt:variant>
        <vt:lpwstr>_Toc380051852</vt:lpwstr>
      </vt:variant>
      <vt:variant>
        <vt:i4>1769534</vt:i4>
      </vt:variant>
      <vt:variant>
        <vt:i4>446</vt:i4>
      </vt:variant>
      <vt:variant>
        <vt:i4>0</vt:i4>
      </vt:variant>
      <vt:variant>
        <vt:i4>5</vt:i4>
      </vt:variant>
      <vt:variant>
        <vt:lpwstr/>
      </vt:variant>
      <vt:variant>
        <vt:lpwstr>_Toc380051851</vt:lpwstr>
      </vt:variant>
      <vt:variant>
        <vt:i4>1769534</vt:i4>
      </vt:variant>
      <vt:variant>
        <vt:i4>440</vt:i4>
      </vt:variant>
      <vt:variant>
        <vt:i4>0</vt:i4>
      </vt:variant>
      <vt:variant>
        <vt:i4>5</vt:i4>
      </vt:variant>
      <vt:variant>
        <vt:lpwstr/>
      </vt:variant>
      <vt:variant>
        <vt:lpwstr>_Toc380051850</vt:lpwstr>
      </vt:variant>
      <vt:variant>
        <vt:i4>1703998</vt:i4>
      </vt:variant>
      <vt:variant>
        <vt:i4>434</vt:i4>
      </vt:variant>
      <vt:variant>
        <vt:i4>0</vt:i4>
      </vt:variant>
      <vt:variant>
        <vt:i4>5</vt:i4>
      </vt:variant>
      <vt:variant>
        <vt:lpwstr/>
      </vt:variant>
      <vt:variant>
        <vt:lpwstr>_Toc380051849</vt:lpwstr>
      </vt:variant>
      <vt:variant>
        <vt:i4>1703998</vt:i4>
      </vt:variant>
      <vt:variant>
        <vt:i4>428</vt:i4>
      </vt:variant>
      <vt:variant>
        <vt:i4>0</vt:i4>
      </vt:variant>
      <vt:variant>
        <vt:i4>5</vt:i4>
      </vt:variant>
      <vt:variant>
        <vt:lpwstr/>
      </vt:variant>
      <vt:variant>
        <vt:lpwstr>_Toc380051848</vt:lpwstr>
      </vt:variant>
      <vt:variant>
        <vt:i4>1703998</vt:i4>
      </vt:variant>
      <vt:variant>
        <vt:i4>422</vt:i4>
      </vt:variant>
      <vt:variant>
        <vt:i4>0</vt:i4>
      </vt:variant>
      <vt:variant>
        <vt:i4>5</vt:i4>
      </vt:variant>
      <vt:variant>
        <vt:lpwstr/>
      </vt:variant>
      <vt:variant>
        <vt:lpwstr>_Toc380051847</vt:lpwstr>
      </vt:variant>
      <vt:variant>
        <vt:i4>1703998</vt:i4>
      </vt:variant>
      <vt:variant>
        <vt:i4>416</vt:i4>
      </vt:variant>
      <vt:variant>
        <vt:i4>0</vt:i4>
      </vt:variant>
      <vt:variant>
        <vt:i4>5</vt:i4>
      </vt:variant>
      <vt:variant>
        <vt:lpwstr/>
      </vt:variant>
      <vt:variant>
        <vt:lpwstr>_Toc380051846</vt:lpwstr>
      </vt:variant>
      <vt:variant>
        <vt:i4>1703998</vt:i4>
      </vt:variant>
      <vt:variant>
        <vt:i4>410</vt:i4>
      </vt:variant>
      <vt:variant>
        <vt:i4>0</vt:i4>
      </vt:variant>
      <vt:variant>
        <vt:i4>5</vt:i4>
      </vt:variant>
      <vt:variant>
        <vt:lpwstr/>
      </vt:variant>
      <vt:variant>
        <vt:lpwstr>_Toc380051845</vt:lpwstr>
      </vt:variant>
      <vt:variant>
        <vt:i4>1703998</vt:i4>
      </vt:variant>
      <vt:variant>
        <vt:i4>404</vt:i4>
      </vt:variant>
      <vt:variant>
        <vt:i4>0</vt:i4>
      </vt:variant>
      <vt:variant>
        <vt:i4>5</vt:i4>
      </vt:variant>
      <vt:variant>
        <vt:lpwstr/>
      </vt:variant>
      <vt:variant>
        <vt:lpwstr>_Toc380051844</vt:lpwstr>
      </vt:variant>
      <vt:variant>
        <vt:i4>1703998</vt:i4>
      </vt:variant>
      <vt:variant>
        <vt:i4>398</vt:i4>
      </vt:variant>
      <vt:variant>
        <vt:i4>0</vt:i4>
      </vt:variant>
      <vt:variant>
        <vt:i4>5</vt:i4>
      </vt:variant>
      <vt:variant>
        <vt:lpwstr/>
      </vt:variant>
      <vt:variant>
        <vt:lpwstr>_Toc380051843</vt:lpwstr>
      </vt:variant>
      <vt:variant>
        <vt:i4>1703998</vt:i4>
      </vt:variant>
      <vt:variant>
        <vt:i4>392</vt:i4>
      </vt:variant>
      <vt:variant>
        <vt:i4>0</vt:i4>
      </vt:variant>
      <vt:variant>
        <vt:i4>5</vt:i4>
      </vt:variant>
      <vt:variant>
        <vt:lpwstr/>
      </vt:variant>
      <vt:variant>
        <vt:lpwstr>_Toc380051842</vt:lpwstr>
      </vt:variant>
      <vt:variant>
        <vt:i4>1703998</vt:i4>
      </vt:variant>
      <vt:variant>
        <vt:i4>386</vt:i4>
      </vt:variant>
      <vt:variant>
        <vt:i4>0</vt:i4>
      </vt:variant>
      <vt:variant>
        <vt:i4>5</vt:i4>
      </vt:variant>
      <vt:variant>
        <vt:lpwstr/>
      </vt:variant>
      <vt:variant>
        <vt:lpwstr>_Toc380051841</vt:lpwstr>
      </vt:variant>
      <vt:variant>
        <vt:i4>1703998</vt:i4>
      </vt:variant>
      <vt:variant>
        <vt:i4>380</vt:i4>
      </vt:variant>
      <vt:variant>
        <vt:i4>0</vt:i4>
      </vt:variant>
      <vt:variant>
        <vt:i4>5</vt:i4>
      </vt:variant>
      <vt:variant>
        <vt:lpwstr/>
      </vt:variant>
      <vt:variant>
        <vt:lpwstr>_Toc380051840</vt:lpwstr>
      </vt:variant>
      <vt:variant>
        <vt:i4>1900606</vt:i4>
      </vt:variant>
      <vt:variant>
        <vt:i4>374</vt:i4>
      </vt:variant>
      <vt:variant>
        <vt:i4>0</vt:i4>
      </vt:variant>
      <vt:variant>
        <vt:i4>5</vt:i4>
      </vt:variant>
      <vt:variant>
        <vt:lpwstr/>
      </vt:variant>
      <vt:variant>
        <vt:lpwstr>_Toc380051839</vt:lpwstr>
      </vt:variant>
      <vt:variant>
        <vt:i4>1900606</vt:i4>
      </vt:variant>
      <vt:variant>
        <vt:i4>368</vt:i4>
      </vt:variant>
      <vt:variant>
        <vt:i4>0</vt:i4>
      </vt:variant>
      <vt:variant>
        <vt:i4>5</vt:i4>
      </vt:variant>
      <vt:variant>
        <vt:lpwstr/>
      </vt:variant>
      <vt:variant>
        <vt:lpwstr>_Toc380051838</vt:lpwstr>
      </vt:variant>
      <vt:variant>
        <vt:i4>1900606</vt:i4>
      </vt:variant>
      <vt:variant>
        <vt:i4>362</vt:i4>
      </vt:variant>
      <vt:variant>
        <vt:i4>0</vt:i4>
      </vt:variant>
      <vt:variant>
        <vt:i4>5</vt:i4>
      </vt:variant>
      <vt:variant>
        <vt:lpwstr/>
      </vt:variant>
      <vt:variant>
        <vt:lpwstr>_Toc380051837</vt:lpwstr>
      </vt:variant>
      <vt:variant>
        <vt:i4>1900606</vt:i4>
      </vt:variant>
      <vt:variant>
        <vt:i4>356</vt:i4>
      </vt:variant>
      <vt:variant>
        <vt:i4>0</vt:i4>
      </vt:variant>
      <vt:variant>
        <vt:i4>5</vt:i4>
      </vt:variant>
      <vt:variant>
        <vt:lpwstr/>
      </vt:variant>
      <vt:variant>
        <vt:lpwstr>_Toc380051836</vt:lpwstr>
      </vt:variant>
      <vt:variant>
        <vt:i4>1900606</vt:i4>
      </vt:variant>
      <vt:variant>
        <vt:i4>350</vt:i4>
      </vt:variant>
      <vt:variant>
        <vt:i4>0</vt:i4>
      </vt:variant>
      <vt:variant>
        <vt:i4>5</vt:i4>
      </vt:variant>
      <vt:variant>
        <vt:lpwstr/>
      </vt:variant>
      <vt:variant>
        <vt:lpwstr>_Toc380051835</vt:lpwstr>
      </vt:variant>
      <vt:variant>
        <vt:i4>1900606</vt:i4>
      </vt:variant>
      <vt:variant>
        <vt:i4>344</vt:i4>
      </vt:variant>
      <vt:variant>
        <vt:i4>0</vt:i4>
      </vt:variant>
      <vt:variant>
        <vt:i4>5</vt:i4>
      </vt:variant>
      <vt:variant>
        <vt:lpwstr/>
      </vt:variant>
      <vt:variant>
        <vt:lpwstr>_Toc380051834</vt:lpwstr>
      </vt:variant>
      <vt:variant>
        <vt:i4>1900606</vt:i4>
      </vt:variant>
      <vt:variant>
        <vt:i4>338</vt:i4>
      </vt:variant>
      <vt:variant>
        <vt:i4>0</vt:i4>
      </vt:variant>
      <vt:variant>
        <vt:i4>5</vt:i4>
      </vt:variant>
      <vt:variant>
        <vt:lpwstr/>
      </vt:variant>
      <vt:variant>
        <vt:lpwstr>_Toc380051833</vt:lpwstr>
      </vt:variant>
      <vt:variant>
        <vt:i4>1900606</vt:i4>
      </vt:variant>
      <vt:variant>
        <vt:i4>332</vt:i4>
      </vt:variant>
      <vt:variant>
        <vt:i4>0</vt:i4>
      </vt:variant>
      <vt:variant>
        <vt:i4>5</vt:i4>
      </vt:variant>
      <vt:variant>
        <vt:lpwstr/>
      </vt:variant>
      <vt:variant>
        <vt:lpwstr>_Toc380051832</vt:lpwstr>
      </vt:variant>
      <vt:variant>
        <vt:i4>1900606</vt:i4>
      </vt:variant>
      <vt:variant>
        <vt:i4>326</vt:i4>
      </vt:variant>
      <vt:variant>
        <vt:i4>0</vt:i4>
      </vt:variant>
      <vt:variant>
        <vt:i4>5</vt:i4>
      </vt:variant>
      <vt:variant>
        <vt:lpwstr/>
      </vt:variant>
      <vt:variant>
        <vt:lpwstr>_Toc380051831</vt:lpwstr>
      </vt:variant>
      <vt:variant>
        <vt:i4>1900606</vt:i4>
      </vt:variant>
      <vt:variant>
        <vt:i4>320</vt:i4>
      </vt:variant>
      <vt:variant>
        <vt:i4>0</vt:i4>
      </vt:variant>
      <vt:variant>
        <vt:i4>5</vt:i4>
      </vt:variant>
      <vt:variant>
        <vt:lpwstr/>
      </vt:variant>
      <vt:variant>
        <vt:lpwstr>_Toc380051830</vt:lpwstr>
      </vt:variant>
      <vt:variant>
        <vt:i4>1835070</vt:i4>
      </vt:variant>
      <vt:variant>
        <vt:i4>314</vt:i4>
      </vt:variant>
      <vt:variant>
        <vt:i4>0</vt:i4>
      </vt:variant>
      <vt:variant>
        <vt:i4>5</vt:i4>
      </vt:variant>
      <vt:variant>
        <vt:lpwstr/>
      </vt:variant>
      <vt:variant>
        <vt:lpwstr>_Toc380051829</vt:lpwstr>
      </vt:variant>
      <vt:variant>
        <vt:i4>1835070</vt:i4>
      </vt:variant>
      <vt:variant>
        <vt:i4>308</vt:i4>
      </vt:variant>
      <vt:variant>
        <vt:i4>0</vt:i4>
      </vt:variant>
      <vt:variant>
        <vt:i4>5</vt:i4>
      </vt:variant>
      <vt:variant>
        <vt:lpwstr/>
      </vt:variant>
      <vt:variant>
        <vt:lpwstr>_Toc380051828</vt:lpwstr>
      </vt:variant>
      <vt:variant>
        <vt:i4>1835070</vt:i4>
      </vt:variant>
      <vt:variant>
        <vt:i4>302</vt:i4>
      </vt:variant>
      <vt:variant>
        <vt:i4>0</vt:i4>
      </vt:variant>
      <vt:variant>
        <vt:i4>5</vt:i4>
      </vt:variant>
      <vt:variant>
        <vt:lpwstr/>
      </vt:variant>
      <vt:variant>
        <vt:lpwstr>_Toc380051827</vt:lpwstr>
      </vt:variant>
      <vt:variant>
        <vt:i4>1835070</vt:i4>
      </vt:variant>
      <vt:variant>
        <vt:i4>296</vt:i4>
      </vt:variant>
      <vt:variant>
        <vt:i4>0</vt:i4>
      </vt:variant>
      <vt:variant>
        <vt:i4>5</vt:i4>
      </vt:variant>
      <vt:variant>
        <vt:lpwstr/>
      </vt:variant>
      <vt:variant>
        <vt:lpwstr>_Toc380051826</vt:lpwstr>
      </vt:variant>
      <vt:variant>
        <vt:i4>1835070</vt:i4>
      </vt:variant>
      <vt:variant>
        <vt:i4>290</vt:i4>
      </vt:variant>
      <vt:variant>
        <vt:i4>0</vt:i4>
      </vt:variant>
      <vt:variant>
        <vt:i4>5</vt:i4>
      </vt:variant>
      <vt:variant>
        <vt:lpwstr/>
      </vt:variant>
      <vt:variant>
        <vt:lpwstr>_Toc380051825</vt:lpwstr>
      </vt:variant>
      <vt:variant>
        <vt:i4>1835070</vt:i4>
      </vt:variant>
      <vt:variant>
        <vt:i4>284</vt:i4>
      </vt:variant>
      <vt:variant>
        <vt:i4>0</vt:i4>
      </vt:variant>
      <vt:variant>
        <vt:i4>5</vt:i4>
      </vt:variant>
      <vt:variant>
        <vt:lpwstr/>
      </vt:variant>
      <vt:variant>
        <vt:lpwstr>_Toc380051824</vt:lpwstr>
      </vt:variant>
      <vt:variant>
        <vt:i4>1835070</vt:i4>
      </vt:variant>
      <vt:variant>
        <vt:i4>278</vt:i4>
      </vt:variant>
      <vt:variant>
        <vt:i4>0</vt:i4>
      </vt:variant>
      <vt:variant>
        <vt:i4>5</vt:i4>
      </vt:variant>
      <vt:variant>
        <vt:lpwstr/>
      </vt:variant>
      <vt:variant>
        <vt:lpwstr>_Toc380051823</vt:lpwstr>
      </vt:variant>
      <vt:variant>
        <vt:i4>1835070</vt:i4>
      </vt:variant>
      <vt:variant>
        <vt:i4>272</vt:i4>
      </vt:variant>
      <vt:variant>
        <vt:i4>0</vt:i4>
      </vt:variant>
      <vt:variant>
        <vt:i4>5</vt:i4>
      </vt:variant>
      <vt:variant>
        <vt:lpwstr/>
      </vt:variant>
      <vt:variant>
        <vt:lpwstr>_Toc380051822</vt:lpwstr>
      </vt:variant>
      <vt:variant>
        <vt:i4>1835070</vt:i4>
      </vt:variant>
      <vt:variant>
        <vt:i4>266</vt:i4>
      </vt:variant>
      <vt:variant>
        <vt:i4>0</vt:i4>
      </vt:variant>
      <vt:variant>
        <vt:i4>5</vt:i4>
      </vt:variant>
      <vt:variant>
        <vt:lpwstr/>
      </vt:variant>
      <vt:variant>
        <vt:lpwstr>_Toc380051821</vt:lpwstr>
      </vt:variant>
      <vt:variant>
        <vt:i4>1835070</vt:i4>
      </vt:variant>
      <vt:variant>
        <vt:i4>260</vt:i4>
      </vt:variant>
      <vt:variant>
        <vt:i4>0</vt:i4>
      </vt:variant>
      <vt:variant>
        <vt:i4>5</vt:i4>
      </vt:variant>
      <vt:variant>
        <vt:lpwstr/>
      </vt:variant>
      <vt:variant>
        <vt:lpwstr>_Toc380051820</vt:lpwstr>
      </vt:variant>
      <vt:variant>
        <vt:i4>2031678</vt:i4>
      </vt:variant>
      <vt:variant>
        <vt:i4>254</vt:i4>
      </vt:variant>
      <vt:variant>
        <vt:i4>0</vt:i4>
      </vt:variant>
      <vt:variant>
        <vt:i4>5</vt:i4>
      </vt:variant>
      <vt:variant>
        <vt:lpwstr/>
      </vt:variant>
      <vt:variant>
        <vt:lpwstr>_Toc380051819</vt:lpwstr>
      </vt:variant>
      <vt:variant>
        <vt:i4>2031678</vt:i4>
      </vt:variant>
      <vt:variant>
        <vt:i4>248</vt:i4>
      </vt:variant>
      <vt:variant>
        <vt:i4>0</vt:i4>
      </vt:variant>
      <vt:variant>
        <vt:i4>5</vt:i4>
      </vt:variant>
      <vt:variant>
        <vt:lpwstr/>
      </vt:variant>
      <vt:variant>
        <vt:lpwstr>_Toc380051818</vt:lpwstr>
      </vt:variant>
      <vt:variant>
        <vt:i4>2031678</vt:i4>
      </vt:variant>
      <vt:variant>
        <vt:i4>242</vt:i4>
      </vt:variant>
      <vt:variant>
        <vt:i4>0</vt:i4>
      </vt:variant>
      <vt:variant>
        <vt:i4>5</vt:i4>
      </vt:variant>
      <vt:variant>
        <vt:lpwstr/>
      </vt:variant>
      <vt:variant>
        <vt:lpwstr>_Toc380051817</vt:lpwstr>
      </vt:variant>
      <vt:variant>
        <vt:i4>2031678</vt:i4>
      </vt:variant>
      <vt:variant>
        <vt:i4>236</vt:i4>
      </vt:variant>
      <vt:variant>
        <vt:i4>0</vt:i4>
      </vt:variant>
      <vt:variant>
        <vt:i4>5</vt:i4>
      </vt:variant>
      <vt:variant>
        <vt:lpwstr/>
      </vt:variant>
      <vt:variant>
        <vt:lpwstr>_Toc380051816</vt:lpwstr>
      </vt:variant>
      <vt:variant>
        <vt:i4>2031678</vt:i4>
      </vt:variant>
      <vt:variant>
        <vt:i4>230</vt:i4>
      </vt:variant>
      <vt:variant>
        <vt:i4>0</vt:i4>
      </vt:variant>
      <vt:variant>
        <vt:i4>5</vt:i4>
      </vt:variant>
      <vt:variant>
        <vt:lpwstr/>
      </vt:variant>
      <vt:variant>
        <vt:lpwstr>_Toc380051815</vt:lpwstr>
      </vt:variant>
      <vt:variant>
        <vt:i4>2031678</vt:i4>
      </vt:variant>
      <vt:variant>
        <vt:i4>224</vt:i4>
      </vt:variant>
      <vt:variant>
        <vt:i4>0</vt:i4>
      </vt:variant>
      <vt:variant>
        <vt:i4>5</vt:i4>
      </vt:variant>
      <vt:variant>
        <vt:lpwstr/>
      </vt:variant>
      <vt:variant>
        <vt:lpwstr>_Toc380051814</vt:lpwstr>
      </vt:variant>
      <vt:variant>
        <vt:i4>2031678</vt:i4>
      </vt:variant>
      <vt:variant>
        <vt:i4>218</vt:i4>
      </vt:variant>
      <vt:variant>
        <vt:i4>0</vt:i4>
      </vt:variant>
      <vt:variant>
        <vt:i4>5</vt:i4>
      </vt:variant>
      <vt:variant>
        <vt:lpwstr/>
      </vt:variant>
      <vt:variant>
        <vt:lpwstr>_Toc380051813</vt:lpwstr>
      </vt:variant>
      <vt:variant>
        <vt:i4>2031678</vt:i4>
      </vt:variant>
      <vt:variant>
        <vt:i4>212</vt:i4>
      </vt:variant>
      <vt:variant>
        <vt:i4>0</vt:i4>
      </vt:variant>
      <vt:variant>
        <vt:i4>5</vt:i4>
      </vt:variant>
      <vt:variant>
        <vt:lpwstr/>
      </vt:variant>
      <vt:variant>
        <vt:lpwstr>_Toc380051812</vt:lpwstr>
      </vt:variant>
      <vt:variant>
        <vt:i4>2031678</vt:i4>
      </vt:variant>
      <vt:variant>
        <vt:i4>206</vt:i4>
      </vt:variant>
      <vt:variant>
        <vt:i4>0</vt:i4>
      </vt:variant>
      <vt:variant>
        <vt:i4>5</vt:i4>
      </vt:variant>
      <vt:variant>
        <vt:lpwstr/>
      </vt:variant>
      <vt:variant>
        <vt:lpwstr>_Toc380051811</vt:lpwstr>
      </vt:variant>
      <vt:variant>
        <vt:i4>2031678</vt:i4>
      </vt:variant>
      <vt:variant>
        <vt:i4>200</vt:i4>
      </vt:variant>
      <vt:variant>
        <vt:i4>0</vt:i4>
      </vt:variant>
      <vt:variant>
        <vt:i4>5</vt:i4>
      </vt:variant>
      <vt:variant>
        <vt:lpwstr/>
      </vt:variant>
      <vt:variant>
        <vt:lpwstr>_Toc380051810</vt:lpwstr>
      </vt:variant>
      <vt:variant>
        <vt:i4>1966142</vt:i4>
      </vt:variant>
      <vt:variant>
        <vt:i4>194</vt:i4>
      </vt:variant>
      <vt:variant>
        <vt:i4>0</vt:i4>
      </vt:variant>
      <vt:variant>
        <vt:i4>5</vt:i4>
      </vt:variant>
      <vt:variant>
        <vt:lpwstr/>
      </vt:variant>
      <vt:variant>
        <vt:lpwstr>_Toc380051809</vt:lpwstr>
      </vt:variant>
      <vt:variant>
        <vt:i4>1966142</vt:i4>
      </vt:variant>
      <vt:variant>
        <vt:i4>188</vt:i4>
      </vt:variant>
      <vt:variant>
        <vt:i4>0</vt:i4>
      </vt:variant>
      <vt:variant>
        <vt:i4>5</vt:i4>
      </vt:variant>
      <vt:variant>
        <vt:lpwstr/>
      </vt:variant>
      <vt:variant>
        <vt:lpwstr>_Toc380051808</vt:lpwstr>
      </vt:variant>
      <vt:variant>
        <vt:i4>1966142</vt:i4>
      </vt:variant>
      <vt:variant>
        <vt:i4>182</vt:i4>
      </vt:variant>
      <vt:variant>
        <vt:i4>0</vt:i4>
      </vt:variant>
      <vt:variant>
        <vt:i4>5</vt:i4>
      </vt:variant>
      <vt:variant>
        <vt:lpwstr/>
      </vt:variant>
      <vt:variant>
        <vt:lpwstr>_Toc380051807</vt:lpwstr>
      </vt:variant>
      <vt:variant>
        <vt:i4>1966142</vt:i4>
      </vt:variant>
      <vt:variant>
        <vt:i4>176</vt:i4>
      </vt:variant>
      <vt:variant>
        <vt:i4>0</vt:i4>
      </vt:variant>
      <vt:variant>
        <vt:i4>5</vt:i4>
      </vt:variant>
      <vt:variant>
        <vt:lpwstr/>
      </vt:variant>
      <vt:variant>
        <vt:lpwstr>_Toc380051806</vt:lpwstr>
      </vt:variant>
      <vt:variant>
        <vt:i4>1966142</vt:i4>
      </vt:variant>
      <vt:variant>
        <vt:i4>170</vt:i4>
      </vt:variant>
      <vt:variant>
        <vt:i4>0</vt:i4>
      </vt:variant>
      <vt:variant>
        <vt:i4>5</vt:i4>
      </vt:variant>
      <vt:variant>
        <vt:lpwstr/>
      </vt:variant>
      <vt:variant>
        <vt:lpwstr>_Toc380051805</vt:lpwstr>
      </vt:variant>
      <vt:variant>
        <vt:i4>1966142</vt:i4>
      </vt:variant>
      <vt:variant>
        <vt:i4>164</vt:i4>
      </vt:variant>
      <vt:variant>
        <vt:i4>0</vt:i4>
      </vt:variant>
      <vt:variant>
        <vt:i4>5</vt:i4>
      </vt:variant>
      <vt:variant>
        <vt:lpwstr/>
      </vt:variant>
      <vt:variant>
        <vt:lpwstr>_Toc380051804</vt:lpwstr>
      </vt:variant>
      <vt:variant>
        <vt:i4>1966142</vt:i4>
      </vt:variant>
      <vt:variant>
        <vt:i4>158</vt:i4>
      </vt:variant>
      <vt:variant>
        <vt:i4>0</vt:i4>
      </vt:variant>
      <vt:variant>
        <vt:i4>5</vt:i4>
      </vt:variant>
      <vt:variant>
        <vt:lpwstr/>
      </vt:variant>
      <vt:variant>
        <vt:lpwstr>_Toc380051803</vt:lpwstr>
      </vt:variant>
      <vt:variant>
        <vt:i4>1966142</vt:i4>
      </vt:variant>
      <vt:variant>
        <vt:i4>152</vt:i4>
      </vt:variant>
      <vt:variant>
        <vt:i4>0</vt:i4>
      </vt:variant>
      <vt:variant>
        <vt:i4>5</vt:i4>
      </vt:variant>
      <vt:variant>
        <vt:lpwstr/>
      </vt:variant>
      <vt:variant>
        <vt:lpwstr>_Toc380051802</vt:lpwstr>
      </vt:variant>
      <vt:variant>
        <vt:i4>1966142</vt:i4>
      </vt:variant>
      <vt:variant>
        <vt:i4>146</vt:i4>
      </vt:variant>
      <vt:variant>
        <vt:i4>0</vt:i4>
      </vt:variant>
      <vt:variant>
        <vt:i4>5</vt:i4>
      </vt:variant>
      <vt:variant>
        <vt:lpwstr/>
      </vt:variant>
      <vt:variant>
        <vt:lpwstr>_Toc380051801</vt:lpwstr>
      </vt:variant>
      <vt:variant>
        <vt:i4>1966142</vt:i4>
      </vt:variant>
      <vt:variant>
        <vt:i4>140</vt:i4>
      </vt:variant>
      <vt:variant>
        <vt:i4>0</vt:i4>
      </vt:variant>
      <vt:variant>
        <vt:i4>5</vt:i4>
      </vt:variant>
      <vt:variant>
        <vt:lpwstr/>
      </vt:variant>
      <vt:variant>
        <vt:lpwstr>_Toc380051800</vt:lpwstr>
      </vt:variant>
      <vt:variant>
        <vt:i4>1507377</vt:i4>
      </vt:variant>
      <vt:variant>
        <vt:i4>134</vt:i4>
      </vt:variant>
      <vt:variant>
        <vt:i4>0</vt:i4>
      </vt:variant>
      <vt:variant>
        <vt:i4>5</vt:i4>
      </vt:variant>
      <vt:variant>
        <vt:lpwstr/>
      </vt:variant>
      <vt:variant>
        <vt:lpwstr>_Toc380051799</vt:lpwstr>
      </vt:variant>
      <vt:variant>
        <vt:i4>1507377</vt:i4>
      </vt:variant>
      <vt:variant>
        <vt:i4>128</vt:i4>
      </vt:variant>
      <vt:variant>
        <vt:i4>0</vt:i4>
      </vt:variant>
      <vt:variant>
        <vt:i4>5</vt:i4>
      </vt:variant>
      <vt:variant>
        <vt:lpwstr/>
      </vt:variant>
      <vt:variant>
        <vt:lpwstr>_Toc380051798</vt:lpwstr>
      </vt:variant>
      <vt:variant>
        <vt:i4>1507377</vt:i4>
      </vt:variant>
      <vt:variant>
        <vt:i4>122</vt:i4>
      </vt:variant>
      <vt:variant>
        <vt:i4>0</vt:i4>
      </vt:variant>
      <vt:variant>
        <vt:i4>5</vt:i4>
      </vt:variant>
      <vt:variant>
        <vt:lpwstr/>
      </vt:variant>
      <vt:variant>
        <vt:lpwstr>_Toc380051797</vt:lpwstr>
      </vt:variant>
      <vt:variant>
        <vt:i4>1507377</vt:i4>
      </vt:variant>
      <vt:variant>
        <vt:i4>116</vt:i4>
      </vt:variant>
      <vt:variant>
        <vt:i4>0</vt:i4>
      </vt:variant>
      <vt:variant>
        <vt:i4>5</vt:i4>
      </vt:variant>
      <vt:variant>
        <vt:lpwstr/>
      </vt:variant>
      <vt:variant>
        <vt:lpwstr>_Toc380051796</vt:lpwstr>
      </vt:variant>
      <vt:variant>
        <vt:i4>1507377</vt:i4>
      </vt:variant>
      <vt:variant>
        <vt:i4>110</vt:i4>
      </vt:variant>
      <vt:variant>
        <vt:i4>0</vt:i4>
      </vt:variant>
      <vt:variant>
        <vt:i4>5</vt:i4>
      </vt:variant>
      <vt:variant>
        <vt:lpwstr/>
      </vt:variant>
      <vt:variant>
        <vt:lpwstr>_Toc380051795</vt:lpwstr>
      </vt:variant>
      <vt:variant>
        <vt:i4>1507377</vt:i4>
      </vt:variant>
      <vt:variant>
        <vt:i4>104</vt:i4>
      </vt:variant>
      <vt:variant>
        <vt:i4>0</vt:i4>
      </vt:variant>
      <vt:variant>
        <vt:i4>5</vt:i4>
      </vt:variant>
      <vt:variant>
        <vt:lpwstr/>
      </vt:variant>
      <vt:variant>
        <vt:lpwstr>_Toc380051794</vt:lpwstr>
      </vt:variant>
      <vt:variant>
        <vt:i4>1507377</vt:i4>
      </vt:variant>
      <vt:variant>
        <vt:i4>98</vt:i4>
      </vt:variant>
      <vt:variant>
        <vt:i4>0</vt:i4>
      </vt:variant>
      <vt:variant>
        <vt:i4>5</vt:i4>
      </vt:variant>
      <vt:variant>
        <vt:lpwstr/>
      </vt:variant>
      <vt:variant>
        <vt:lpwstr>_Toc380051793</vt:lpwstr>
      </vt:variant>
      <vt:variant>
        <vt:i4>1507377</vt:i4>
      </vt:variant>
      <vt:variant>
        <vt:i4>92</vt:i4>
      </vt:variant>
      <vt:variant>
        <vt:i4>0</vt:i4>
      </vt:variant>
      <vt:variant>
        <vt:i4>5</vt:i4>
      </vt:variant>
      <vt:variant>
        <vt:lpwstr/>
      </vt:variant>
      <vt:variant>
        <vt:lpwstr>_Toc380051792</vt:lpwstr>
      </vt:variant>
      <vt:variant>
        <vt:i4>1507377</vt:i4>
      </vt:variant>
      <vt:variant>
        <vt:i4>86</vt:i4>
      </vt:variant>
      <vt:variant>
        <vt:i4>0</vt:i4>
      </vt:variant>
      <vt:variant>
        <vt:i4>5</vt:i4>
      </vt:variant>
      <vt:variant>
        <vt:lpwstr/>
      </vt:variant>
      <vt:variant>
        <vt:lpwstr>_Toc380051791</vt:lpwstr>
      </vt:variant>
      <vt:variant>
        <vt:i4>1507377</vt:i4>
      </vt:variant>
      <vt:variant>
        <vt:i4>80</vt:i4>
      </vt:variant>
      <vt:variant>
        <vt:i4>0</vt:i4>
      </vt:variant>
      <vt:variant>
        <vt:i4>5</vt:i4>
      </vt:variant>
      <vt:variant>
        <vt:lpwstr/>
      </vt:variant>
      <vt:variant>
        <vt:lpwstr>_Toc380051790</vt:lpwstr>
      </vt:variant>
      <vt:variant>
        <vt:i4>1441841</vt:i4>
      </vt:variant>
      <vt:variant>
        <vt:i4>74</vt:i4>
      </vt:variant>
      <vt:variant>
        <vt:i4>0</vt:i4>
      </vt:variant>
      <vt:variant>
        <vt:i4>5</vt:i4>
      </vt:variant>
      <vt:variant>
        <vt:lpwstr/>
      </vt:variant>
      <vt:variant>
        <vt:lpwstr>_Toc380051789</vt:lpwstr>
      </vt:variant>
      <vt:variant>
        <vt:i4>1441841</vt:i4>
      </vt:variant>
      <vt:variant>
        <vt:i4>68</vt:i4>
      </vt:variant>
      <vt:variant>
        <vt:i4>0</vt:i4>
      </vt:variant>
      <vt:variant>
        <vt:i4>5</vt:i4>
      </vt:variant>
      <vt:variant>
        <vt:lpwstr/>
      </vt:variant>
      <vt:variant>
        <vt:lpwstr>_Toc380051788</vt:lpwstr>
      </vt:variant>
      <vt:variant>
        <vt:i4>1441841</vt:i4>
      </vt:variant>
      <vt:variant>
        <vt:i4>62</vt:i4>
      </vt:variant>
      <vt:variant>
        <vt:i4>0</vt:i4>
      </vt:variant>
      <vt:variant>
        <vt:i4>5</vt:i4>
      </vt:variant>
      <vt:variant>
        <vt:lpwstr/>
      </vt:variant>
      <vt:variant>
        <vt:lpwstr>_Toc380051787</vt:lpwstr>
      </vt:variant>
      <vt:variant>
        <vt:i4>1441841</vt:i4>
      </vt:variant>
      <vt:variant>
        <vt:i4>56</vt:i4>
      </vt:variant>
      <vt:variant>
        <vt:i4>0</vt:i4>
      </vt:variant>
      <vt:variant>
        <vt:i4>5</vt:i4>
      </vt:variant>
      <vt:variant>
        <vt:lpwstr/>
      </vt:variant>
      <vt:variant>
        <vt:lpwstr>_Toc380051786</vt:lpwstr>
      </vt:variant>
      <vt:variant>
        <vt:i4>1441841</vt:i4>
      </vt:variant>
      <vt:variant>
        <vt:i4>50</vt:i4>
      </vt:variant>
      <vt:variant>
        <vt:i4>0</vt:i4>
      </vt:variant>
      <vt:variant>
        <vt:i4>5</vt:i4>
      </vt:variant>
      <vt:variant>
        <vt:lpwstr/>
      </vt:variant>
      <vt:variant>
        <vt:lpwstr>_Toc380051785</vt:lpwstr>
      </vt:variant>
      <vt:variant>
        <vt:i4>1441841</vt:i4>
      </vt:variant>
      <vt:variant>
        <vt:i4>44</vt:i4>
      </vt:variant>
      <vt:variant>
        <vt:i4>0</vt:i4>
      </vt:variant>
      <vt:variant>
        <vt:i4>5</vt:i4>
      </vt:variant>
      <vt:variant>
        <vt:lpwstr/>
      </vt:variant>
      <vt:variant>
        <vt:lpwstr>_Toc380051784</vt:lpwstr>
      </vt:variant>
      <vt:variant>
        <vt:i4>1441841</vt:i4>
      </vt:variant>
      <vt:variant>
        <vt:i4>38</vt:i4>
      </vt:variant>
      <vt:variant>
        <vt:i4>0</vt:i4>
      </vt:variant>
      <vt:variant>
        <vt:i4>5</vt:i4>
      </vt:variant>
      <vt:variant>
        <vt:lpwstr/>
      </vt:variant>
      <vt:variant>
        <vt:lpwstr>_Toc380051783</vt:lpwstr>
      </vt:variant>
      <vt:variant>
        <vt:i4>1441841</vt:i4>
      </vt:variant>
      <vt:variant>
        <vt:i4>32</vt:i4>
      </vt:variant>
      <vt:variant>
        <vt:i4>0</vt:i4>
      </vt:variant>
      <vt:variant>
        <vt:i4>5</vt:i4>
      </vt:variant>
      <vt:variant>
        <vt:lpwstr/>
      </vt:variant>
      <vt:variant>
        <vt:lpwstr>_Toc380051782</vt:lpwstr>
      </vt:variant>
      <vt:variant>
        <vt:i4>1441841</vt:i4>
      </vt:variant>
      <vt:variant>
        <vt:i4>26</vt:i4>
      </vt:variant>
      <vt:variant>
        <vt:i4>0</vt:i4>
      </vt:variant>
      <vt:variant>
        <vt:i4>5</vt:i4>
      </vt:variant>
      <vt:variant>
        <vt:lpwstr/>
      </vt:variant>
      <vt:variant>
        <vt:lpwstr>_Toc380051781</vt:lpwstr>
      </vt:variant>
      <vt:variant>
        <vt:i4>1441841</vt:i4>
      </vt:variant>
      <vt:variant>
        <vt:i4>20</vt:i4>
      </vt:variant>
      <vt:variant>
        <vt:i4>0</vt:i4>
      </vt:variant>
      <vt:variant>
        <vt:i4>5</vt:i4>
      </vt:variant>
      <vt:variant>
        <vt:lpwstr/>
      </vt:variant>
      <vt:variant>
        <vt:lpwstr>_Toc380051780</vt:lpwstr>
      </vt:variant>
      <vt:variant>
        <vt:i4>1638449</vt:i4>
      </vt:variant>
      <vt:variant>
        <vt:i4>14</vt:i4>
      </vt:variant>
      <vt:variant>
        <vt:i4>0</vt:i4>
      </vt:variant>
      <vt:variant>
        <vt:i4>5</vt:i4>
      </vt:variant>
      <vt:variant>
        <vt:lpwstr/>
      </vt:variant>
      <vt:variant>
        <vt:lpwstr>_Toc380051779</vt:lpwstr>
      </vt:variant>
      <vt:variant>
        <vt:i4>1638449</vt:i4>
      </vt:variant>
      <vt:variant>
        <vt:i4>8</vt:i4>
      </vt:variant>
      <vt:variant>
        <vt:i4>0</vt:i4>
      </vt:variant>
      <vt:variant>
        <vt:i4>5</vt:i4>
      </vt:variant>
      <vt:variant>
        <vt:lpwstr/>
      </vt:variant>
      <vt:variant>
        <vt:lpwstr>_Toc380051778</vt:lpwstr>
      </vt:variant>
      <vt:variant>
        <vt:i4>1638449</vt:i4>
      </vt:variant>
      <vt:variant>
        <vt:i4>2</vt:i4>
      </vt:variant>
      <vt:variant>
        <vt:i4>0</vt:i4>
      </vt:variant>
      <vt:variant>
        <vt:i4>5</vt:i4>
      </vt:variant>
      <vt:variant>
        <vt:lpwstr/>
      </vt:variant>
      <vt:variant>
        <vt:lpwstr>_Toc380051777</vt:lpwstr>
      </vt:variant>
      <vt:variant>
        <vt:i4>4325417</vt:i4>
      </vt:variant>
      <vt:variant>
        <vt:i4>0</vt:i4>
      </vt:variant>
      <vt:variant>
        <vt:i4>0</vt:i4>
      </vt:variant>
      <vt:variant>
        <vt:i4>5</vt:i4>
      </vt:variant>
      <vt:variant>
        <vt:lpwstr>http://en.wikipedia.org/wiki/Heat_index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Braithwait</dc:creator>
  <cp:lastModifiedBy>Dan Hansen</cp:lastModifiedBy>
  <cp:revision>4</cp:revision>
  <cp:lastPrinted>2018-03-27T16:02:00Z</cp:lastPrinted>
  <dcterms:created xsi:type="dcterms:W3CDTF">2018-03-27T21:41:00Z</dcterms:created>
  <dcterms:modified xsi:type="dcterms:W3CDTF">2018-03-27T21:44:00Z</dcterms:modified>
</cp:coreProperties>
</file>