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32329" w14:textId="26A6F029" w:rsidR="002A790E" w:rsidRPr="002A6099" w:rsidRDefault="00AE6869" w:rsidP="3D241EAE">
      <w:pPr>
        <w:spacing w:after="0" w:line="240" w:lineRule="auto"/>
        <w:jc w:val="center"/>
        <w:rPr>
          <w:rFonts w:ascii="Calibri" w:eastAsia="Calibri" w:hAnsi="Calibri" w:cs="Calibri"/>
          <w:i/>
          <w:iCs/>
          <w:lang w:val="es-ES_tradnl"/>
        </w:rPr>
      </w:pPr>
      <w:r w:rsidRPr="002A6099">
        <w:rPr>
          <w:rFonts w:ascii="Calibri" w:eastAsia="Calibri" w:hAnsi="Calibri" w:cs="Calibri"/>
          <w:i/>
          <w:iCs/>
          <w:lang w:val="es-ES_tradnl"/>
        </w:rPr>
        <w:t>Éste es un anuncio de que sus tarifas pueden aumentar. Para más detalles en español, llame al 1-800-311-7343</w:t>
      </w:r>
    </w:p>
    <w:p w14:paraId="49750BBF" w14:textId="77777777" w:rsidR="008D2FEA" w:rsidRPr="002A6099" w:rsidRDefault="008D2FEA" w:rsidP="002A790E">
      <w:pPr>
        <w:spacing w:after="0" w:line="240" w:lineRule="auto"/>
        <w:jc w:val="center"/>
        <w:rPr>
          <w:rFonts w:ascii="Calibri" w:eastAsia="Calibri" w:hAnsi="Calibri" w:cs="Calibri"/>
          <w:i/>
          <w:iCs/>
          <w:color w:val="FF0000"/>
          <w:lang w:val="es-ES_tradnl"/>
        </w:rPr>
      </w:pPr>
    </w:p>
    <w:p w14:paraId="369DF88F" w14:textId="19E64EA3" w:rsidR="00FB2763" w:rsidRPr="002A6099" w:rsidRDefault="00AE6869" w:rsidP="002A790E">
      <w:pPr>
        <w:spacing w:after="0" w:line="240" w:lineRule="auto"/>
        <w:jc w:val="center"/>
        <w:rPr>
          <w:b/>
          <w:bCs/>
          <w:lang w:val="es-ES_tradnl"/>
        </w:rPr>
      </w:pPr>
      <w:r w:rsidRPr="002A6099">
        <w:rPr>
          <w:rFonts w:ascii="Calibri" w:eastAsia="Calibri" w:hAnsi="Calibri" w:cs="Arial"/>
          <w:b/>
          <w:bCs/>
          <w:lang w:val="es-ES_tradnl"/>
        </w:rPr>
        <w:t>AVISO DE SOLICITUD</w:t>
      </w:r>
    </w:p>
    <w:p w14:paraId="5A204094" w14:textId="60CAB835" w:rsidR="008D2FEA" w:rsidRPr="002A6099" w:rsidRDefault="00AE6869" w:rsidP="00983EEA">
      <w:pPr>
        <w:spacing w:after="0"/>
        <w:jc w:val="center"/>
        <w:rPr>
          <w:lang w:val="es-ES_tradnl"/>
        </w:rPr>
      </w:pPr>
      <w:r w:rsidRPr="002A6099">
        <w:rPr>
          <w:rFonts w:ascii="Calibri" w:eastAsia="Calibri" w:hAnsi="Calibri" w:cs="Arial"/>
          <w:lang w:val="es-ES_tradnl"/>
        </w:rPr>
        <w:t xml:space="preserve">PETICIÓN DE SAN DIEGO GAS &amp; ELECTRIC COMPANY A FIN DE OBTENER LA APROBACIÓN DE UNA TARIFA MARÍTIMA A LARGO PLAZO PARA LA CUENTA DE LA </w:t>
      </w:r>
      <w:r w:rsidR="00E66094" w:rsidRPr="002A6099">
        <w:rPr>
          <w:rFonts w:ascii="Calibri" w:eastAsia="Calibri" w:hAnsi="Calibri" w:cs="Arial"/>
          <w:lang w:val="es-ES_tradnl"/>
        </w:rPr>
        <w:t xml:space="preserve">TERMINAL DE CRUCEROS </w:t>
      </w:r>
      <w:r w:rsidR="00E66094" w:rsidRPr="002A6099">
        <w:rPr>
          <w:rFonts w:ascii="Calibri" w:eastAsia="Calibri" w:hAnsi="Calibri" w:cs="Arial"/>
          <w:lang w:val="es-ES_tradnl"/>
        </w:rPr>
        <w:br/>
        <w:t>DEL DISTRITO PORTUARIO UNIFICADO DE SAN DIEGO</w:t>
      </w:r>
      <w:bookmarkStart w:id="0" w:name="_Hlk33004932"/>
    </w:p>
    <w:bookmarkEnd w:id="0"/>
    <w:p w14:paraId="50DF0E2A" w14:textId="4F856CA8" w:rsidR="39B6B629" w:rsidRPr="002A6099" w:rsidRDefault="00AE6869">
      <w:pPr>
        <w:spacing w:after="0" w:line="240" w:lineRule="auto"/>
        <w:jc w:val="center"/>
        <w:rPr>
          <w:b/>
          <w:bCs/>
          <w:lang w:val="es-ES_tradnl"/>
        </w:rPr>
      </w:pPr>
      <w:r w:rsidRPr="002A6099">
        <w:rPr>
          <w:rFonts w:ascii="Calibri" w:eastAsia="Calibri" w:hAnsi="Calibri" w:cs="Arial"/>
          <w:b/>
          <w:bCs/>
          <w:lang w:val="es-ES_tradnl"/>
        </w:rPr>
        <w:t>SOLICITUD A.20-12-009</w:t>
      </w:r>
    </w:p>
    <w:p w14:paraId="27BE69B4" w14:textId="77777777" w:rsidR="008656A5" w:rsidRPr="002A6099" w:rsidRDefault="008656A5" w:rsidP="002A790E">
      <w:pPr>
        <w:spacing w:after="0" w:line="240" w:lineRule="auto"/>
        <w:rPr>
          <w:b/>
          <w:bCs/>
          <w:lang w:val="es-ES_tradnl"/>
        </w:rPr>
      </w:pPr>
    </w:p>
    <w:p w14:paraId="7940A4BD" w14:textId="3EC2DB2A" w:rsidR="0C6EBB1B" w:rsidRPr="002A6099" w:rsidRDefault="00E66094" w:rsidP="002A790E">
      <w:pPr>
        <w:spacing w:after="0" w:line="240" w:lineRule="auto"/>
        <w:rPr>
          <w:lang w:val="es-ES_tradnl"/>
        </w:rPr>
      </w:pPr>
      <w:r w:rsidRPr="002A6099">
        <w:rPr>
          <w:rFonts w:ascii="Calibri" w:eastAsia="Calibri" w:hAnsi="Calibri" w:cs="Arial"/>
          <w:b/>
          <w:bCs/>
          <w:lang w:val="es-ES_tradnl"/>
        </w:rPr>
        <w:t>¿Por qué estoy recibiendo este aviso?</w:t>
      </w:r>
    </w:p>
    <w:p w14:paraId="6B2765FA" w14:textId="45D62861" w:rsidR="008D2FEA" w:rsidRPr="002A6099" w:rsidRDefault="00AE6869" w:rsidP="008D2FEA">
      <w:pPr>
        <w:spacing w:after="0" w:line="240" w:lineRule="auto"/>
        <w:rPr>
          <w:lang w:val="es-ES_tradnl"/>
        </w:rPr>
      </w:pPr>
      <w:r w:rsidRPr="002A6099">
        <w:rPr>
          <w:rFonts w:ascii="Calibri" w:eastAsia="Calibri" w:hAnsi="Calibri" w:cs="Arial"/>
          <w:lang w:val="es-ES_tradnl"/>
        </w:rPr>
        <w:t xml:space="preserve">El 18 de diciembre de 2020, San Diego Gas &amp; Electric Company (SDG&amp;E®) presentó una solicitud ante la Comisión de Servicios Públicos de California (CPUC) con la que se busca modificar la tarifa de transmisión y la tarifa por confiabilidad de la </w:t>
      </w:r>
      <w:r w:rsidR="00E66094" w:rsidRPr="002A6099">
        <w:rPr>
          <w:rFonts w:ascii="Calibri" w:eastAsia="Calibri" w:hAnsi="Calibri" w:cs="Arial"/>
          <w:lang w:val="es-ES_tradnl"/>
        </w:rPr>
        <w:t xml:space="preserve">Cuenta </w:t>
      </w:r>
      <w:r w:rsidRPr="002A6099">
        <w:rPr>
          <w:rFonts w:ascii="Calibri" w:eastAsia="Calibri" w:hAnsi="Calibri" w:cs="Arial"/>
          <w:lang w:val="es-ES_tradnl"/>
        </w:rPr>
        <w:t xml:space="preserve">de la </w:t>
      </w:r>
      <w:r w:rsidR="00E66094" w:rsidRPr="002A6099">
        <w:rPr>
          <w:rFonts w:ascii="Calibri" w:eastAsia="Calibri" w:hAnsi="Calibri" w:cs="Arial"/>
          <w:lang w:val="es-ES_tradnl"/>
        </w:rPr>
        <w:t>Terminal de</w:t>
      </w:r>
      <w:r w:rsidRPr="002A6099">
        <w:rPr>
          <w:rFonts w:ascii="Calibri" w:eastAsia="Calibri" w:hAnsi="Calibri" w:cs="Arial"/>
          <w:lang w:val="es-ES_tradnl"/>
        </w:rPr>
        <w:t xml:space="preserve"> </w:t>
      </w:r>
      <w:r w:rsidR="00E66094" w:rsidRPr="002A6099">
        <w:rPr>
          <w:rFonts w:ascii="Calibri" w:eastAsia="Calibri" w:hAnsi="Calibri" w:cs="Arial"/>
          <w:lang w:val="es-ES_tradnl"/>
        </w:rPr>
        <w:t xml:space="preserve">Cruceros </w:t>
      </w:r>
      <w:r w:rsidRPr="002A6099">
        <w:rPr>
          <w:rFonts w:ascii="Calibri" w:eastAsia="Calibri" w:hAnsi="Calibri" w:cs="Arial"/>
          <w:lang w:val="es-ES_tradnl"/>
        </w:rPr>
        <w:t xml:space="preserve">del Distrito Portuario Unificado de San Diego. Esta solicitud tal vez impacte las tarifas </w:t>
      </w:r>
      <w:r w:rsidR="00E66094" w:rsidRPr="002A6099">
        <w:rPr>
          <w:rFonts w:ascii="Calibri" w:eastAsia="Calibri" w:hAnsi="Calibri" w:cs="Arial"/>
          <w:lang w:val="es-ES_tradnl"/>
        </w:rPr>
        <w:t>eléctricas</w:t>
      </w:r>
      <w:r w:rsidRPr="002A6099">
        <w:rPr>
          <w:rFonts w:ascii="Calibri" w:eastAsia="Calibri" w:hAnsi="Calibri" w:cs="Arial"/>
          <w:lang w:val="es-ES_tradnl"/>
        </w:rPr>
        <w:t xml:space="preserve"> de clientes comerciales e industriales medianos </w:t>
      </w:r>
      <w:r w:rsidR="00E66094" w:rsidRPr="002A6099">
        <w:rPr>
          <w:rFonts w:ascii="Calibri" w:eastAsia="Calibri" w:hAnsi="Calibri" w:cs="Arial"/>
          <w:lang w:val="es-ES_tradnl"/>
        </w:rPr>
        <w:t>y</w:t>
      </w:r>
      <w:r w:rsidRPr="002A6099">
        <w:rPr>
          <w:rFonts w:ascii="Calibri" w:eastAsia="Calibri" w:hAnsi="Calibri" w:cs="Arial"/>
          <w:lang w:val="es-ES_tradnl"/>
        </w:rPr>
        <w:t xml:space="preserve"> grandes. Esta solicitud no afectará las tarifas de gas.</w:t>
      </w:r>
    </w:p>
    <w:p w14:paraId="1BE7EE4F" w14:textId="53996BE2" w:rsidR="00207666" w:rsidRPr="002A6099" w:rsidRDefault="00207666" w:rsidP="008D2FEA">
      <w:pPr>
        <w:spacing w:after="0" w:line="240" w:lineRule="auto"/>
        <w:rPr>
          <w:lang w:val="es-ES_tradnl"/>
        </w:rPr>
      </w:pPr>
    </w:p>
    <w:p w14:paraId="4409533A" w14:textId="3AB3B9B3" w:rsidR="008D2FEA" w:rsidRPr="002A6099" w:rsidRDefault="00AE6869" w:rsidP="008D2FEA">
      <w:pPr>
        <w:spacing w:after="0" w:line="240" w:lineRule="auto"/>
        <w:rPr>
          <w:lang w:val="es-ES_tradnl"/>
        </w:rPr>
      </w:pPr>
      <w:r w:rsidRPr="002A6099">
        <w:rPr>
          <w:rFonts w:ascii="Calibri" w:eastAsia="Calibri" w:hAnsi="Calibri" w:cs="Arial"/>
          <w:lang w:val="es-ES_tradnl"/>
        </w:rPr>
        <w:t xml:space="preserve">Si la CPUC aprueba la petición de SDG&amp;E para una Tarifa Marítima contenida en esta solicitud, SDG&amp;E presentará una solicitud adicional ante la Federal Energy Regulatory </w:t>
      </w:r>
      <w:r w:rsidRPr="00C81620">
        <w:rPr>
          <w:rFonts w:ascii="Calibri" w:eastAsia="Calibri" w:hAnsi="Calibri" w:cs="Arial"/>
          <w:lang w:val="es-ES_tradnl"/>
        </w:rPr>
        <w:t>Commission</w:t>
      </w:r>
      <w:r w:rsidRPr="002A6099">
        <w:rPr>
          <w:rFonts w:ascii="Calibri" w:eastAsia="Calibri" w:hAnsi="Calibri" w:cs="Arial"/>
          <w:lang w:val="es-ES_tradnl"/>
        </w:rPr>
        <w:t xml:space="preserve"> (FERC) para obtener la aprobación de las tarifas reales. </w:t>
      </w:r>
    </w:p>
    <w:p w14:paraId="010FDF2B" w14:textId="77777777" w:rsidR="008656A5" w:rsidRPr="002A6099" w:rsidRDefault="008656A5" w:rsidP="002A790E">
      <w:pPr>
        <w:spacing w:after="0" w:line="240" w:lineRule="auto"/>
        <w:rPr>
          <w:b/>
          <w:bCs/>
          <w:lang w:val="es-ES_tradnl"/>
        </w:rPr>
      </w:pPr>
    </w:p>
    <w:p w14:paraId="0C6B7A4D" w14:textId="2763F57D" w:rsidR="002A2DCC" w:rsidRPr="002A6099" w:rsidRDefault="00AE6869" w:rsidP="002A2DCC">
      <w:pPr>
        <w:spacing w:after="0" w:line="240" w:lineRule="auto"/>
        <w:rPr>
          <w:b/>
          <w:bCs/>
          <w:lang w:val="es-ES_tradnl"/>
        </w:rPr>
      </w:pPr>
      <w:r w:rsidRPr="002A6099">
        <w:rPr>
          <w:rFonts w:ascii="Calibri" w:eastAsia="Calibri" w:hAnsi="Calibri" w:cs="Arial"/>
          <w:b/>
          <w:bCs/>
          <w:lang w:val="es-ES_tradnl"/>
        </w:rPr>
        <w:t>¿Por qué está solicitando SDG&amp;E este cambio en las tarifas?</w:t>
      </w:r>
    </w:p>
    <w:p w14:paraId="415B4D09" w14:textId="77777777" w:rsidR="00BE7F97" w:rsidRPr="002A6099" w:rsidRDefault="00AE6869" w:rsidP="00BE7F97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lang w:val="es-ES_tradnl"/>
        </w:rPr>
      </w:pPr>
      <w:r w:rsidRPr="002A6099">
        <w:rPr>
          <w:rFonts w:ascii="Calibri" w:eastAsia="Calibri" w:hAnsi="Calibri" w:cs="Calibri"/>
          <w:lang w:val="es-ES_tradnl"/>
        </w:rPr>
        <w:t xml:space="preserve">En la Commission Decision 19-12-022, la CPUC solicitó a SDG&amp;E que propusiera una Tarifa Marítima de largo plazo. </w:t>
      </w:r>
    </w:p>
    <w:p w14:paraId="66A71BFF" w14:textId="77777777" w:rsidR="00BE7F97" w:rsidRPr="002A6099" w:rsidRDefault="00AE6869" w:rsidP="00BE7F97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lang w:val="es-ES_tradnl"/>
        </w:rPr>
      </w:pPr>
      <w:r w:rsidRPr="002A6099">
        <w:rPr>
          <w:rFonts w:ascii="Calibri" w:eastAsia="Calibri" w:hAnsi="Calibri" w:cs="Calibri"/>
          <w:lang w:val="es-ES_tradnl"/>
        </w:rPr>
        <w:t>SDG&amp;E propone crear tarifas por separado con base en los costos reales para proporcionar servicio a esta sola cuenta, propiedad del Distrito Portuario Unificado de San Diego.</w:t>
      </w:r>
    </w:p>
    <w:p w14:paraId="7A98C665" w14:textId="3AC25039" w:rsidR="4E5FCC20" w:rsidRPr="002A6099" w:rsidRDefault="4E5FCC20" w:rsidP="002A790E">
      <w:pPr>
        <w:spacing w:after="0" w:line="240" w:lineRule="auto"/>
        <w:rPr>
          <w:b/>
          <w:bCs/>
          <w:lang w:val="es-ES_tradnl"/>
        </w:rPr>
      </w:pPr>
    </w:p>
    <w:p w14:paraId="66D38785" w14:textId="403318B0" w:rsidR="005F623C" w:rsidRPr="002A6099" w:rsidRDefault="00AE6869" w:rsidP="00EC4823">
      <w:pPr>
        <w:spacing w:after="0" w:line="240" w:lineRule="auto"/>
        <w:rPr>
          <w:b/>
          <w:bCs/>
          <w:lang w:val="es-ES_tradnl"/>
        </w:rPr>
      </w:pPr>
      <w:r w:rsidRPr="002A6099">
        <w:rPr>
          <w:rFonts w:ascii="Calibri" w:eastAsia="Calibri" w:hAnsi="Calibri" w:cs="Arial"/>
          <w:b/>
          <w:bCs/>
          <w:lang w:val="es-ES_tradnl"/>
        </w:rPr>
        <w:t xml:space="preserve">¿Cómo podría afectar </w:t>
      </w:r>
      <w:r w:rsidR="00E66094" w:rsidRPr="002A6099">
        <w:rPr>
          <w:rFonts w:ascii="Calibri" w:eastAsia="Calibri" w:hAnsi="Calibri" w:cs="Arial"/>
          <w:b/>
          <w:bCs/>
          <w:lang w:val="es-ES_tradnl"/>
        </w:rPr>
        <w:t xml:space="preserve">esto </w:t>
      </w:r>
      <w:r w:rsidRPr="002A6099">
        <w:rPr>
          <w:rFonts w:ascii="Calibri" w:eastAsia="Calibri" w:hAnsi="Calibri" w:cs="Arial"/>
          <w:b/>
          <w:bCs/>
          <w:lang w:val="es-ES_tradnl"/>
        </w:rPr>
        <w:t>mis tarifas eléctricas mensuales?</w:t>
      </w:r>
    </w:p>
    <w:p w14:paraId="731E3524" w14:textId="18C03706" w:rsidR="005F623C" w:rsidRPr="002A6099" w:rsidRDefault="00AE6869" w:rsidP="005F623C">
      <w:pPr>
        <w:spacing w:after="0" w:line="240" w:lineRule="auto"/>
        <w:rPr>
          <w:rFonts w:ascii="Calibri" w:eastAsia="Calibri" w:hAnsi="Calibri" w:cs="Calibri"/>
          <w:lang w:val="es-ES_tradnl"/>
        </w:rPr>
      </w:pPr>
      <w:r w:rsidRPr="002A6099">
        <w:rPr>
          <w:rFonts w:ascii="Calibri" w:eastAsia="Calibri" w:hAnsi="Calibri" w:cs="Calibri"/>
          <w:lang w:val="es-ES_tradnl"/>
        </w:rPr>
        <w:t>Si la CPUC aprueba la petición de tarifa de SDG&amp;E, la factura promedio mensual residencial no presentaría ningún cambio. Algunos clientes comerciales tal vez vean un pequeño incremento en la tarifa, pero los incrementos exactos se desconocen por el momento y estarán determinados por la FERC.</w:t>
      </w:r>
    </w:p>
    <w:p w14:paraId="0B5781A5" w14:textId="77777777" w:rsidR="004A6FE7" w:rsidRPr="002A6099" w:rsidRDefault="004A6FE7" w:rsidP="005F623C">
      <w:pPr>
        <w:spacing w:after="0" w:line="240" w:lineRule="auto"/>
        <w:rPr>
          <w:rFonts w:ascii="Calibri" w:eastAsia="Calibri" w:hAnsi="Calibri" w:cs="Calibri"/>
          <w:lang w:val="es-ES_tradnl"/>
        </w:rPr>
      </w:pPr>
    </w:p>
    <w:p w14:paraId="27109B81" w14:textId="3BB93A67" w:rsidR="00207666" w:rsidRPr="002A6099" w:rsidRDefault="00AE6869" w:rsidP="002A790E">
      <w:pPr>
        <w:spacing w:after="0" w:line="240" w:lineRule="auto"/>
        <w:rPr>
          <w:lang w:val="es-ES_tradnl"/>
        </w:rPr>
      </w:pPr>
      <w:r w:rsidRPr="002A6099">
        <w:rPr>
          <w:rFonts w:ascii="Calibri" w:eastAsia="Calibri" w:hAnsi="Calibri" w:cs="Calibri"/>
          <w:lang w:val="es-ES_tradnl"/>
        </w:rPr>
        <w:t xml:space="preserve">Si la CPUC aprueba la petición de tarifa de SDG&amp;E, la factura promedio mensual para </w:t>
      </w:r>
      <w:r w:rsidRPr="002A6099">
        <w:rPr>
          <w:rFonts w:ascii="Calibri" w:eastAsia="Calibri" w:hAnsi="Calibri" w:cs="Arial"/>
          <w:lang w:val="es-ES_tradnl"/>
        </w:rPr>
        <w:t>clientes residenciales, comerciales pequeños, agrícolas o de alumbrado público no cambiaría.</w:t>
      </w:r>
    </w:p>
    <w:p w14:paraId="644C1638" w14:textId="77777777" w:rsidR="008656A5" w:rsidRPr="002A6099" w:rsidRDefault="008656A5" w:rsidP="002A790E">
      <w:pPr>
        <w:spacing w:after="0" w:line="240" w:lineRule="auto"/>
        <w:rPr>
          <w:rFonts w:ascii="Calibri" w:eastAsia="Calibri" w:hAnsi="Calibri" w:cs="Calibri"/>
          <w:lang w:val="es-ES_tradn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1171"/>
        <w:gridCol w:w="1260"/>
      </w:tblGrid>
      <w:tr w:rsidR="007C4055" w:rsidRPr="002A6099" w14:paraId="00931D25" w14:textId="77777777" w:rsidTr="00ED1BAA">
        <w:trPr>
          <w:jc w:val="center"/>
        </w:trPr>
        <w:tc>
          <w:tcPr>
            <w:tcW w:w="3780" w:type="dxa"/>
            <w:vAlign w:val="bottom"/>
          </w:tcPr>
          <w:p w14:paraId="68279D63" w14:textId="4A5D41FA" w:rsidR="00ED1BAA" w:rsidRPr="002A6099" w:rsidRDefault="00AE6869" w:rsidP="00ED1BAA">
            <w:pPr>
              <w:rPr>
                <w:b/>
                <w:bCs/>
                <w:u w:val="single"/>
                <w:lang w:val="es-ES_tradnl"/>
              </w:rPr>
            </w:pPr>
            <w:r w:rsidRPr="002A6099">
              <w:rPr>
                <w:rFonts w:ascii="Calibri" w:eastAsia="Calibri" w:hAnsi="Calibri" w:cs="Arial"/>
                <w:b/>
                <w:bCs/>
                <w:u w:val="single"/>
                <w:lang w:val="es-ES_tradnl"/>
              </w:rPr>
              <w:t>Clases de clientes</w:t>
            </w:r>
          </w:p>
        </w:tc>
        <w:tc>
          <w:tcPr>
            <w:tcW w:w="1080" w:type="dxa"/>
            <w:vAlign w:val="bottom"/>
          </w:tcPr>
          <w:p w14:paraId="14BA3713" w14:textId="43C9A048" w:rsidR="00ED1BAA" w:rsidRPr="002A6099" w:rsidRDefault="00AE6869" w:rsidP="00ED1BAA">
            <w:pPr>
              <w:jc w:val="center"/>
              <w:rPr>
                <w:b/>
                <w:bCs/>
                <w:u w:val="single"/>
                <w:lang w:val="es-ES_tradnl"/>
              </w:rPr>
            </w:pPr>
            <w:r w:rsidRPr="002A6099">
              <w:rPr>
                <w:rFonts w:ascii="Calibri" w:eastAsia="Calibri" w:hAnsi="Calibri" w:cs="Arial"/>
                <w:b/>
                <w:bCs/>
                <w:u w:val="single"/>
                <w:lang w:val="es-ES_tradnl"/>
              </w:rPr>
              <w:t>¿Impacto?</w:t>
            </w:r>
          </w:p>
          <w:p w14:paraId="52CDCA43" w14:textId="3ECC8273" w:rsidR="00ED1BAA" w:rsidRPr="002A6099" w:rsidRDefault="00AE6869" w:rsidP="00ED1BAA">
            <w:pPr>
              <w:jc w:val="center"/>
              <w:rPr>
                <w:b/>
                <w:bCs/>
                <w:u w:val="single"/>
                <w:lang w:val="es-ES_tradnl"/>
              </w:rPr>
            </w:pPr>
            <w:r w:rsidRPr="002A6099">
              <w:rPr>
                <w:rFonts w:ascii="Calibri" w:eastAsia="Calibri" w:hAnsi="Calibri" w:cs="Arial"/>
                <w:b/>
                <w:bCs/>
                <w:u w:val="single"/>
                <w:lang w:val="es-ES_tradnl"/>
              </w:rPr>
              <w:t>(Sí/No)</w:t>
            </w:r>
          </w:p>
        </w:tc>
        <w:tc>
          <w:tcPr>
            <w:tcW w:w="1260" w:type="dxa"/>
            <w:vAlign w:val="bottom"/>
          </w:tcPr>
          <w:p w14:paraId="23B0CB20" w14:textId="1CA4BA81" w:rsidR="00ED1BAA" w:rsidRPr="002A6099" w:rsidRDefault="00E66094" w:rsidP="00ED1BAA">
            <w:pPr>
              <w:jc w:val="center"/>
              <w:rPr>
                <w:b/>
                <w:bCs/>
                <w:u w:val="single"/>
                <w:lang w:val="es-ES_tradnl"/>
              </w:rPr>
            </w:pPr>
            <w:r w:rsidRPr="002A6099">
              <w:rPr>
                <w:rFonts w:ascii="Calibri" w:eastAsia="Calibri" w:hAnsi="Calibri" w:cs="Arial"/>
                <w:b/>
                <w:bCs/>
                <w:u w:val="single"/>
                <w:lang w:val="es-ES_tradnl"/>
              </w:rPr>
              <w:t>Monto</w:t>
            </w:r>
          </w:p>
          <w:p w14:paraId="2B28CBB8" w14:textId="77777777" w:rsidR="00ED1BAA" w:rsidRPr="002A6099" w:rsidRDefault="00AE6869" w:rsidP="00ED1BAA">
            <w:pPr>
              <w:jc w:val="center"/>
              <w:rPr>
                <w:b/>
                <w:bCs/>
                <w:u w:val="single"/>
                <w:lang w:val="es-ES_tradnl"/>
              </w:rPr>
            </w:pPr>
            <w:r w:rsidRPr="002A6099">
              <w:rPr>
                <w:rFonts w:ascii="Calibri" w:eastAsia="Calibri" w:hAnsi="Calibri" w:cs="Arial"/>
                <w:b/>
                <w:bCs/>
                <w:u w:val="single"/>
                <w:lang w:val="es-ES_tradnl"/>
              </w:rPr>
              <w:t>del impacto</w:t>
            </w:r>
          </w:p>
          <w:p w14:paraId="3BD54A60" w14:textId="59A38C89" w:rsidR="00ED1BAA" w:rsidRPr="002A6099" w:rsidRDefault="00AE6869" w:rsidP="00ED1BAA">
            <w:pPr>
              <w:jc w:val="center"/>
              <w:rPr>
                <w:b/>
                <w:bCs/>
                <w:u w:val="single"/>
                <w:lang w:val="es-ES_tradnl"/>
              </w:rPr>
            </w:pPr>
            <w:r w:rsidRPr="002A6099">
              <w:rPr>
                <w:b/>
                <w:bCs/>
                <w:u w:val="single"/>
                <w:lang w:val="es-ES_tradnl"/>
              </w:rPr>
              <w:t>($)</w:t>
            </w:r>
          </w:p>
        </w:tc>
      </w:tr>
      <w:tr w:rsidR="007C4055" w:rsidRPr="002A6099" w14:paraId="1AB3948A" w14:textId="77777777" w:rsidTr="00ED1BAA">
        <w:trPr>
          <w:jc w:val="center"/>
        </w:trPr>
        <w:tc>
          <w:tcPr>
            <w:tcW w:w="3780" w:type="dxa"/>
            <w:vAlign w:val="bottom"/>
          </w:tcPr>
          <w:p w14:paraId="26D1C6DF" w14:textId="78477C9C" w:rsidR="00ED1BAA" w:rsidRPr="002A6099" w:rsidRDefault="00AE6869" w:rsidP="00ED1BAA">
            <w:pPr>
              <w:rPr>
                <w:lang w:val="es-ES_tradnl"/>
              </w:rPr>
            </w:pPr>
            <w:r w:rsidRPr="002A6099">
              <w:rPr>
                <w:rFonts w:ascii="Calibri" w:eastAsia="Calibri" w:hAnsi="Calibri" w:cs="Arial"/>
                <w:lang w:val="es-ES_tradnl"/>
              </w:rPr>
              <w:t>Residencial</w:t>
            </w:r>
          </w:p>
        </w:tc>
        <w:tc>
          <w:tcPr>
            <w:tcW w:w="1080" w:type="dxa"/>
          </w:tcPr>
          <w:p w14:paraId="58C715DA" w14:textId="6F89D3CD" w:rsidR="00ED1BAA" w:rsidRPr="002A6099" w:rsidRDefault="00AE6869" w:rsidP="00354D49">
            <w:pPr>
              <w:jc w:val="center"/>
              <w:rPr>
                <w:lang w:val="es-ES_tradnl"/>
              </w:rPr>
            </w:pPr>
            <w:r w:rsidRPr="002A6099">
              <w:rPr>
                <w:rFonts w:ascii="Calibri" w:eastAsia="Calibri" w:hAnsi="Calibri" w:cs="Arial"/>
                <w:lang w:val="es-ES_tradnl"/>
              </w:rPr>
              <w:t>No</w:t>
            </w:r>
          </w:p>
        </w:tc>
        <w:tc>
          <w:tcPr>
            <w:tcW w:w="1260" w:type="dxa"/>
          </w:tcPr>
          <w:p w14:paraId="689E446A" w14:textId="4930CC2A" w:rsidR="00ED1BAA" w:rsidRPr="002A6099" w:rsidRDefault="00AE6869" w:rsidP="00354D49">
            <w:pPr>
              <w:jc w:val="center"/>
              <w:rPr>
                <w:lang w:val="es-ES_tradnl"/>
              </w:rPr>
            </w:pPr>
            <w:r w:rsidRPr="002A6099">
              <w:rPr>
                <w:rFonts w:ascii="Calibri" w:eastAsia="Calibri" w:hAnsi="Calibri" w:cs="Arial"/>
                <w:lang w:val="es-ES_tradnl"/>
              </w:rPr>
              <w:t>0.00%</w:t>
            </w:r>
          </w:p>
        </w:tc>
      </w:tr>
      <w:tr w:rsidR="007C4055" w:rsidRPr="002A6099" w14:paraId="301D2D96" w14:textId="77777777" w:rsidTr="00ED1BAA">
        <w:trPr>
          <w:jc w:val="center"/>
        </w:trPr>
        <w:tc>
          <w:tcPr>
            <w:tcW w:w="3780" w:type="dxa"/>
            <w:vAlign w:val="bottom"/>
          </w:tcPr>
          <w:p w14:paraId="76563989" w14:textId="274500CF" w:rsidR="00ED1BAA" w:rsidRPr="002A6099" w:rsidRDefault="00AE6869" w:rsidP="00ED1BAA">
            <w:pPr>
              <w:rPr>
                <w:lang w:val="es-ES_tradnl"/>
              </w:rPr>
            </w:pPr>
            <w:r w:rsidRPr="002A6099">
              <w:rPr>
                <w:rFonts w:ascii="Calibri" w:eastAsia="Calibri" w:hAnsi="Calibri" w:cs="Arial"/>
                <w:lang w:val="es-ES_tradnl"/>
              </w:rPr>
              <w:t>Comercial pequeño</w:t>
            </w:r>
          </w:p>
        </w:tc>
        <w:tc>
          <w:tcPr>
            <w:tcW w:w="1080" w:type="dxa"/>
          </w:tcPr>
          <w:p w14:paraId="64EA40F1" w14:textId="33B31715" w:rsidR="00ED1BAA" w:rsidRPr="002A6099" w:rsidRDefault="00AE6869" w:rsidP="00354D49">
            <w:pPr>
              <w:jc w:val="center"/>
              <w:rPr>
                <w:lang w:val="es-ES_tradnl"/>
              </w:rPr>
            </w:pPr>
            <w:r w:rsidRPr="002A6099">
              <w:rPr>
                <w:rFonts w:ascii="Calibri" w:eastAsia="Calibri" w:hAnsi="Calibri" w:cs="Arial"/>
                <w:lang w:val="es-ES_tradnl"/>
              </w:rPr>
              <w:t>No</w:t>
            </w:r>
          </w:p>
        </w:tc>
        <w:tc>
          <w:tcPr>
            <w:tcW w:w="1260" w:type="dxa"/>
          </w:tcPr>
          <w:p w14:paraId="09CA4747" w14:textId="645C7CCB" w:rsidR="00ED1BAA" w:rsidRPr="002A6099" w:rsidRDefault="00AE6869" w:rsidP="00354D49">
            <w:pPr>
              <w:jc w:val="center"/>
              <w:rPr>
                <w:lang w:val="es-ES_tradnl"/>
              </w:rPr>
            </w:pPr>
            <w:r w:rsidRPr="002A6099">
              <w:rPr>
                <w:rFonts w:ascii="Calibri" w:eastAsia="Calibri" w:hAnsi="Calibri" w:cs="Arial"/>
                <w:lang w:val="es-ES_tradnl"/>
              </w:rPr>
              <w:t>0.00%</w:t>
            </w:r>
          </w:p>
        </w:tc>
      </w:tr>
      <w:tr w:rsidR="007C4055" w:rsidRPr="002A6099" w14:paraId="6CE614BF" w14:textId="77777777" w:rsidTr="00ED1BAA">
        <w:trPr>
          <w:jc w:val="center"/>
        </w:trPr>
        <w:tc>
          <w:tcPr>
            <w:tcW w:w="3780" w:type="dxa"/>
            <w:vAlign w:val="bottom"/>
          </w:tcPr>
          <w:p w14:paraId="6A6A8F35" w14:textId="0867627D" w:rsidR="00ED1BAA" w:rsidRPr="002A6099" w:rsidRDefault="00AE6869" w:rsidP="00ED1BAA">
            <w:pPr>
              <w:rPr>
                <w:lang w:val="es-ES_tradnl"/>
              </w:rPr>
            </w:pPr>
            <w:r w:rsidRPr="002A6099">
              <w:rPr>
                <w:rFonts w:ascii="Calibri" w:eastAsia="Calibri" w:hAnsi="Calibri" w:cs="Arial"/>
                <w:lang w:val="es-ES_tradnl"/>
              </w:rPr>
              <w:t>Comercial e industrial mediano y grande</w:t>
            </w:r>
          </w:p>
        </w:tc>
        <w:tc>
          <w:tcPr>
            <w:tcW w:w="1080" w:type="dxa"/>
          </w:tcPr>
          <w:p w14:paraId="1504DB8B" w14:textId="431D3306" w:rsidR="00ED1BAA" w:rsidRPr="002A6099" w:rsidRDefault="00AE6869" w:rsidP="00354D49">
            <w:pPr>
              <w:jc w:val="center"/>
              <w:rPr>
                <w:lang w:val="es-ES_tradnl"/>
              </w:rPr>
            </w:pPr>
            <w:r w:rsidRPr="002A6099">
              <w:rPr>
                <w:rFonts w:ascii="Calibri" w:eastAsia="Calibri" w:hAnsi="Calibri" w:cs="Arial"/>
                <w:lang w:val="es-ES_tradnl"/>
              </w:rPr>
              <w:t>Sí</w:t>
            </w:r>
          </w:p>
        </w:tc>
        <w:tc>
          <w:tcPr>
            <w:tcW w:w="1260" w:type="dxa"/>
          </w:tcPr>
          <w:p w14:paraId="76671D90" w14:textId="75ABFF58" w:rsidR="00ED1BAA" w:rsidRPr="002A6099" w:rsidRDefault="00AE6869" w:rsidP="00354D49">
            <w:pPr>
              <w:jc w:val="center"/>
              <w:rPr>
                <w:lang w:val="es-ES_tradnl"/>
              </w:rPr>
            </w:pPr>
            <w:r w:rsidRPr="002A6099">
              <w:rPr>
                <w:rFonts w:ascii="Calibri" w:eastAsia="Calibri" w:hAnsi="Calibri" w:cs="Arial"/>
                <w:lang w:val="es-ES_tradnl"/>
              </w:rPr>
              <w:t>0.05%</w:t>
            </w:r>
          </w:p>
        </w:tc>
      </w:tr>
      <w:tr w:rsidR="007C4055" w:rsidRPr="002A6099" w14:paraId="5DEF1FBC" w14:textId="77777777" w:rsidTr="00ED1BAA">
        <w:trPr>
          <w:jc w:val="center"/>
        </w:trPr>
        <w:tc>
          <w:tcPr>
            <w:tcW w:w="3780" w:type="dxa"/>
            <w:vAlign w:val="bottom"/>
          </w:tcPr>
          <w:p w14:paraId="51B6D1E8" w14:textId="17A54D75" w:rsidR="00ED1BAA" w:rsidRPr="002A6099" w:rsidRDefault="00AE6869" w:rsidP="00ED1BAA">
            <w:pPr>
              <w:rPr>
                <w:lang w:val="es-ES_tradnl"/>
              </w:rPr>
            </w:pPr>
            <w:r w:rsidRPr="002A6099">
              <w:rPr>
                <w:rFonts w:ascii="Calibri" w:eastAsia="Calibri" w:hAnsi="Calibri" w:cs="Arial"/>
                <w:lang w:val="es-ES_tradnl"/>
              </w:rPr>
              <w:t>Agricultura</w:t>
            </w:r>
          </w:p>
        </w:tc>
        <w:tc>
          <w:tcPr>
            <w:tcW w:w="1080" w:type="dxa"/>
          </w:tcPr>
          <w:p w14:paraId="6D9F881F" w14:textId="4409E00E" w:rsidR="00ED1BAA" w:rsidRPr="002A6099" w:rsidRDefault="00AE6869" w:rsidP="00354D49">
            <w:pPr>
              <w:jc w:val="center"/>
              <w:rPr>
                <w:lang w:val="es-ES_tradnl"/>
              </w:rPr>
            </w:pPr>
            <w:r w:rsidRPr="002A6099">
              <w:rPr>
                <w:rFonts w:ascii="Calibri" w:eastAsia="Calibri" w:hAnsi="Calibri" w:cs="Arial"/>
                <w:lang w:val="es-ES_tradnl"/>
              </w:rPr>
              <w:t>No</w:t>
            </w:r>
          </w:p>
        </w:tc>
        <w:tc>
          <w:tcPr>
            <w:tcW w:w="1260" w:type="dxa"/>
          </w:tcPr>
          <w:p w14:paraId="1C35FB1C" w14:textId="34EBD70A" w:rsidR="00ED1BAA" w:rsidRPr="002A6099" w:rsidRDefault="00AE6869" w:rsidP="00354D49">
            <w:pPr>
              <w:jc w:val="center"/>
              <w:rPr>
                <w:lang w:val="es-ES_tradnl"/>
              </w:rPr>
            </w:pPr>
            <w:r w:rsidRPr="002A6099">
              <w:rPr>
                <w:rFonts w:ascii="Calibri" w:eastAsia="Calibri" w:hAnsi="Calibri" w:cs="Arial"/>
                <w:lang w:val="es-ES_tradnl"/>
              </w:rPr>
              <w:t>0.00%</w:t>
            </w:r>
          </w:p>
        </w:tc>
      </w:tr>
      <w:tr w:rsidR="007C4055" w:rsidRPr="002A6099" w14:paraId="4E8F76D5" w14:textId="77777777" w:rsidTr="00ED1BAA">
        <w:trPr>
          <w:jc w:val="center"/>
        </w:trPr>
        <w:tc>
          <w:tcPr>
            <w:tcW w:w="3780" w:type="dxa"/>
            <w:vAlign w:val="bottom"/>
          </w:tcPr>
          <w:p w14:paraId="39A162D6" w14:textId="39C6DAC9" w:rsidR="00ED1BAA" w:rsidRPr="002A6099" w:rsidRDefault="00AE6869" w:rsidP="00ED1BAA">
            <w:pPr>
              <w:rPr>
                <w:lang w:val="es-ES_tradnl"/>
              </w:rPr>
            </w:pPr>
            <w:r w:rsidRPr="002A6099">
              <w:rPr>
                <w:rFonts w:ascii="Calibri" w:eastAsia="Calibri" w:hAnsi="Calibri" w:cs="Arial"/>
                <w:lang w:val="es-ES_tradnl"/>
              </w:rPr>
              <w:t>Alumbrado público</w:t>
            </w:r>
          </w:p>
        </w:tc>
        <w:tc>
          <w:tcPr>
            <w:tcW w:w="1080" w:type="dxa"/>
          </w:tcPr>
          <w:p w14:paraId="7F598906" w14:textId="7AF65EEF" w:rsidR="00ED1BAA" w:rsidRPr="002A6099" w:rsidRDefault="00AE6869" w:rsidP="00354D49">
            <w:pPr>
              <w:jc w:val="center"/>
              <w:rPr>
                <w:lang w:val="es-ES_tradnl"/>
              </w:rPr>
            </w:pPr>
            <w:r w:rsidRPr="002A6099">
              <w:rPr>
                <w:rFonts w:ascii="Calibri" w:eastAsia="Calibri" w:hAnsi="Calibri" w:cs="Arial"/>
                <w:lang w:val="es-ES_tradnl"/>
              </w:rPr>
              <w:t>No</w:t>
            </w:r>
          </w:p>
        </w:tc>
        <w:tc>
          <w:tcPr>
            <w:tcW w:w="1260" w:type="dxa"/>
          </w:tcPr>
          <w:p w14:paraId="28EAB0DA" w14:textId="01F4292C" w:rsidR="00ED1BAA" w:rsidRPr="002A6099" w:rsidRDefault="00AE6869" w:rsidP="00354D49">
            <w:pPr>
              <w:jc w:val="center"/>
              <w:rPr>
                <w:lang w:val="es-ES_tradnl"/>
              </w:rPr>
            </w:pPr>
            <w:r w:rsidRPr="002A6099">
              <w:rPr>
                <w:rFonts w:ascii="Calibri" w:eastAsia="Calibri" w:hAnsi="Calibri" w:cs="Arial"/>
                <w:lang w:val="es-ES_tradnl"/>
              </w:rPr>
              <w:t>0.00%</w:t>
            </w:r>
          </w:p>
        </w:tc>
      </w:tr>
    </w:tbl>
    <w:p w14:paraId="06E1DF61" w14:textId="3A28E3F5" w:rsidR="4E5FCC20" w:rsidRPr="002A6099" w:rsidRDefault="4E5FCC20" w:rsidP="00354D49">
      <w:pPr>
        <w:spacing w:after="0" w:line="240" w:lineRule="auto"/>
        <w:jc w:val="center"/>
        <w:rPr>
          <w:lang w:val="es-ES_tradnl"/>
        </w:rPr>
      </w:pPr>
    </w:p>
    <w:p w14:paraId="4DBE1029" w14:textId="0F7ECCCA" w:rsidR="00ED1BAA" w:rsidRPr="002A6099" w:rsidRDefault="00ED1BAA" w:rsidP="00354D49">
      <w:pPr>
        <w:spacing w:after="0" w:line="240" w:lineRule="auto"/>
        <w:jc w:val="center"/>
        <w:rPr>
          <w:lang w:val="es-ES_tradnl"/>
        </w:rPr>
      </w:pPr>
    </w:p>
    <w:p w14:paraId="0E831756" w14:textId="5622E953" w:rsidR="00ED1BAA" w:rsidRPr="002A6099" w:rsidRDefault="00ED1BAA" w:rsidP="00354D49">
      <w:pPr>
        <w:spacing w:after="0" w:line="240" w:lineRule="auto"/>
        <w:jc w:val="center"/>
        <w:rPr>
          <w:lang w:val="es-ES_tradnl"/>
        </w:rPr>
      </w:pPr>
    </w:p>
    <w:p w14:paraId="27BF6288" w14:textId="0000BA00" w:rsidR="008D2FEA" w:rsidRPr="002A6099" w:rsidRDefault="00AE6869" w:rsidP="008D2FEA">
      <w:pPr>
        <w:spacing w:after="0" w:line="240" w:lineRule="auto"/>
        <w:rPr>
          <w:lang w:val="es-ES_tradnl"/>
        </w:rPr>
      </w:pPr>
      <w:r w:rsidRPr="002A6099">
        <w:rPr>
          <w:rFonts w:ascii="Calibri" w:eastAsia="Calibri" w:hAnsi="Calibri" w:cs="Arial"/>
          <w:lang w:val="es-ES_tradnl"/>
        </w:rPr>
        <w:lastRenderedPageBreak/>
        <w:t xml:space="preserve">La solicitud de SDG&amp;E no aumenta los ingresos que la empresa de servicios públicos está autorizada a recaudar a través de sus tarifas. Si la CPUC aprueba la solicitud de SDG&amp;E, es posible que los clientes que reciben servicio en esquemas tarifarios de clientes comerciales e industriales medianos y grandes vean un incremento insignificante en sus tarifas de transmisión o confiabilidad. Sin embargo, la cantidad exacta del aumento no se conocerá hasta que las tarifas sean aprobadas por la FERC. En promedio, un cliente comercial </w:t>
      </w:r>
      <w:r w:rsidR="00E66094" w:rsidRPr="002A6099">
        <w:rPr>
          <w:rFonts w:ascii="Calibri" w:eastAsia="Calibri" w:hAnsi="Calibri" w:cs="Arial"/>
          <w:lang w:val="es-ES_tradnl"/>
        </w:rPr>
        <w:t>e</w:t>
      </w:r>
      <w:r w:rsidRPr="002A6099">
        <w:rPr>
          <w:rFonts w:ascii="Calibri" w:eastAsia="Calibri" w:hAnsi="Calibri" w:cs="Arial"/>
          <w:lang w:val="es-ES_tradnl"/>
        </w:rPr>
        <w:t xml:space="preserve"> industrial mediano </w:t>
      </w:r>
      <w:r w:rsidR="00E66094" w:rsidRPr="002A6099">
        <w:rPr>
          <w:rFonts w:ascii="Calibri" w:eastAsia="Calibri" w:hAnsi="Calibri" w:cs="Arial"/>
          <w:lang w:val="es-ES_tradnl"/>
        </w:rPr>
        <w:t>y</w:t>
      </w:r>
      <w:r w:rsidRPr="002A6099">
        <w:rPr>
          <w:rFonts w:ascii="Calibri" w:eastAsia="Calibri" w:hAnsi="Calibri" w:cs="Arial"/>
          <w:lang w:val="es-ES_tradnl"/>
        </w:rPr>
        <w:t xml:space="preserve"> grande no vería un impacto significativo en la factura sobre una base anual. Las facturas por cliente individual pueden variar. No habrá ningún impacto en las tarifas </w:t>
      </w:r>
      <w:r w:rsidR="00E66094" w:rsidRPr="002A6099">
        <w:rPr>
          <w:rFonts w:ascii="Calibri" w:eastAsia="Calibri" w:hAnsi="Calibri" w:cs="Arial"/>
          <w:lang w:val="es-ES_tradnl"/>
        </w:rPr>
        <w:t xml:space="preserve">de clientes </w:t>
      </w:r>
      <w:r w:rsidRPr="002A6099">
        <w:rPr>
          <w:rFonts w:ascii="Calibri" w:eastAsia="Calibri" w:hAnsi="Calibri" w:cs="Arial"/>
          <w:lang w:val="es-ES_tradnl"/>
        </w:rPr>
        <w:t>residenciales, comerciales pequeños, agrícolas o de alumbrado público.</w:t>
      </w:r>
    </w:p>
    <w:p w14:paraId="08789188" w14:textId="77777777" w:rsidR="00161529" w:rsidRPr="002A6099" w:rsidRDefault="00161529" w:rsidP="00161529">
      <w:pPr>
        <w:spacing w:after="0" w:line="240" w:lineRule="auto"/>
        <w:rPr>
          <w:b/>
          <w:bCs/>
          <w:lang w:val="es-ES_tradnl"/>
        </w:rPr>
      </w:pPr>
    </w:p>
    <w:p w14:paraId="1473BE10" w14:textId="047AD6EE" w:rsidR="00161529" w:rsidRPr="002A6099" w:rsidRDefault="00AE6869" w:rsidP="00161529">
      <w:pPr>
        <w:spacing w:after="0" w:line="240" w:lineRule="auto"/>
        <w:rPr>
          <w:b/>
          <w:bCs/>
          <w:lang w:val="es-ES_tradnl"/>
        </w:rPr>
      </w:pPr>
      <w:r w:rsidRPr="002A6099">
        <w:rPr>
          <w:rFonts w:ascii="Calibri" w:eastAsia="Calibri" w:hAnsi="Calibri" w:cs="Arial"/>
          <w:b/>
          <w:bCs/>
          <w:lang w:val="es-ES_tradnl"/>
        </w:rPr>
        <w:t>¿Cómo podría afectar</w:t>
      </w:r>
      <w:r w:rsidR="00E66094" w:rsidRPr="002A6099">
        <w:rPr>
          <w:rFonts w:ascii="Calibri" w:eastAsia="Calibri" w:hAnsi="Calibri" w:cs="Arial"/>
          <w:b/>
          <w:bCs/>
          <w:lang w:val="es-ES_tradnl"/>
        </w:rPr>
        <w:t xml:space="preserve"> esto</w:t>
      </w:r>
      <w:r w:rsidRPr="002A6099">
        <w:rPr>
          <w:rFonts w:ascii="Calibri" w:eastAsia="Calibri" w:hAnsi="Calibri" w:cs="Arial"/>
          <w:b/>
          <w:bCs/>
          <w:lang w:val="es-ES_tradnl"/>
        </w:rPr>
        <w:t xml:space="preserve"> mis tarifas mensuales de gas?</w:t>
      </w:r>
    </w:p>
    <w:p w14:paraId="42503454" w14:textId="7433C00A" w:rsidR="008D2FEA" w:rsidRPr="002A6099" w:rsidRDefault="00AE6869" w:rsidP="008D2FEA">
      <w:pPr>
        <w:spacing w:after="0" w:line="240" w:lineRule="auto"/>
        <w:rPr>
          <w:lang w:val="es-ES_tradnl"/>
        </w:rPr>
      </w:pPr>
      <w:r w:rsidRPr="002A6099">
        <w:rPr>
          <w:rFonts w:ascii="Calibri" w:eastAsia="Calibri" w:hAnsi="Calibri" w:cs="Arial"/>
          <w:lang w:val="es-ES_tradnl"/>
        </w:rPr>
        <w:t xml:space="preserve">La petición de SDG&amp;E no tendrá ninguna repercusión en las tarifas de gas. </w:t>
      </w:r>
    </w:p>
    <w:p w14:paraId="0539EDFA" w14:textId="77777777" w:rsidR="008D2FEA" w:rsidRPr="002A6099" w:rsidRDefault="008D2FEA" w:rsidP="002A790E">
      <w:pPr>
        <w:spacing w:after="0" w:line="240" w:lineRule="auto"/>
        <w:rPr>
          <w:b/>
          <w:bCs/>
          <w:lang w:val="es-ES_tradnl"/>
        </w:rPr>
      </w:pPr>
    </w:p>
    <w:p w14:paraId="7D656D89" w14:textId="77777777" w:rsidR="003844D4" w:rsidRPr="002A6099" w:rsidRDefault="00AE6869" w:rsidP="002A790E">
      <w:pPr>
        <w:pStyle w:val="NormalWeb"/>
        <w:rPr>
          <w:lang w:val="es-ES_tradnl"/>
        </w:rPr>
      </w:pPr>
      <w:r w:rsidRPr="002A6099">
        <w:rPr>
          <w:rFonts w:eastAsia="Calibri"/>
          <w:b/>
          <w:bCs/>
          <w:color w:val="000000"/>
          <w:lang w:val="es-ES_tradnl"/>
        </w:rPr>
        <w:t>¿Cómo funciona el resto del proceso?</w:t>
      </w:r>
    </w:p>
    <w:p w14:paraId="3EED5CD0" w14:textId="7A17FF8F" w:rsidR="004275E6" w:rsidRPr="002A6099" w:rsidRDefault="00AE6869" w:rsidP="002A790E">
      <w:pPr>
        <w:pStyle w:val="NormalWeb"/>
        <w:rPr>
          <w:lang w:val="es-ES_tradnl"/>
        </w:rPr>
      </w:pPr>
      <w:r w:rsidRPr="002A6099">
        <w:rPr>
          <w:rFonts w:eastAsia="Calibri"/>
          <w:color w:val="000000"/>
          <w:lang w:val="es-ES_tradnl"/>
        </w:rPr>
        <w:t>La presente solicitud se asignará a un Juez de Derecho Administrativo de la CPUC, quien considerará las propuestas y pruebas</w:t>
      </w:r>
      <w:r w:rsidRPr="002A6099">
        <w:rPr>
          <w:rFonts w:eastAsia="Calibri"/>
          <w:color w:val="FF0000"/>
          <w:lang w:val="es-ES_tradnl"/>
        </w:rPr>
        <w:t xml:space="preserve"> </w:t>
      </w:r>
      <w:r w:rsidRPr="002A6099">
        <w:rPr>
          <w:rFonts w:eastAsia="Calibri"/>
          <w:color w:val="000000"/>
          <w:lang w:val="es-ES_tradnl"/>
        </w:rPr>
        <w:t xml:space="preserve">presentadas durante el proceso formal de las audiencias. El Juez de Derecho Administrativo emitirá una propuesta de decisión que tal vez adopte la solicitud de SDG&amp;E, la modifique o la deniegue. Cualquier Comisionado de la CPUC puede proponer una decisión alterna con un resultado distinto. La decisión propuesta y cualquier decisión alterna serán sometidas a la discusión y votación de los Comisionados de la CPUC en una Reunión de Votación pública de la CPUC. </w:t>
      </w:r>
    </w:p>
    <w:p w14:paraId="1556E433" w14:textId="77777777" w:rsidR="002A790E" w:rsidRPr="002A6099" w:rsidRDefault="002A790E" w:rsidP="002A790E">
      <w:pPr>
        <w:pStyle w:val="NormalWeb"/>
        <w:rPr>
          <w:color w:val="000000"/>
          <w:lang w:val="es-ES_tradnl"/>
        </w:rPr>
      </w:pPr>
    </w:p>
    <w:p w14:paraId="330E7A52" w14:textId="0CD403C2" w:rsidR="004275E6" w:rsidRPr="002A6099" w:rsidRDefault="00AE6869" w:rsidP="002A790E">
      <w:pPr>
        <w:pStyle w:val="NormalWeb"/>
        <w:rPr>
          <w:rFonts w:eastAsia="Calibri"/>
          <w:color w:val="000000"/>
          <w:lang w:val="es-ES_tradnl"/>
        </w:rPr>
      </w:pPr>
      <w:r w:rsidRPr="002A6099">
        <w:rPr>
          <w:rFonts w:eastAsia="Calibri"/>
          <w:color w:val="000000"/>
          <w:lang w:val="es-ES_tradnl"/>
        </w:rPr>
        <w:t xml:space="preserve">Las partes en el procedimiento actualmente examinan la solicitud de SDG&amp;E; entre ellas se incluye la Oficina de Defensores Públicos, que es un defensor independiente de los consumidores dentro de la CPUC que representa a los clientes para obtener la tarifa más baja posible por un servicio acorde con niveles de servicio confiables y seguros. Para más información acerca de la Oficina de Defensores Públicos, sírvase llamar al </w:t>
      </w:r>
      <w:r w:rsidRPr="002A6099">
        <w:rPr>
          <w:rFonts w:eastAsia="Calibri"/>
          <w:b/>
          <w:bCs/>
          <w:color w:val="000000"/>
          <w:lang w:val="es-ES_tradnl"/>
        </w:rPr>
        <w:t>1-415-703-1584</w:t>
      </w:r>
      <w:r w:rsidRPr="002A6099">
        <w:rPr>
          <w:rFonts w:eastAsia="Calibri"/>
          <w:color w:val="000000"/>
          <w:lang w:val="es-ES_tradnl"/>
        </w:rPr>
        <w:t>, enviar un mensaje por correo electrónico a</w:t>
      </w:r>
      <w:r w:rsidR="001C4965" w:rsidRPr="002A6099">
        <w:rPr>
          <w:rFonts w:eastAsia="Calibri"/>
          <w:color w:val="000000"/>
          <w:lang w:val="es-ES_tradnl"/>
        </w:rPr>
        <w:t xml:space="preserve"> </w:t>
      </w:r>
      <w:hyperlink r:id="rId8" w:history="1">
        <w:r w:rsidR="001C4965" w:rsidRPr="002A6099">
          <w:rPr>
            <w:rStyle w:val="Hyperlink"/>
            <w:rFonts w:eastAsia="Calibri"/>
            <w:lang w:val="es-ES_tradnl"/>
          </w:rPr>
          <w:t>PublicAdvocatesOffice@cpuc.ca.gov</w:t>
        </w:r>
      </w:hyperlink>
      <w:r w:rsidRPr="002A6099">
        <w:rPr>
          <w:rFonts w:eastAsia="Calibri"/>
          <w:color w:val="000000"/>
          <w:lang w:val="es-ES_tradnl"/>
        </w:rPr>
        <w:t xml:space="preserve"> o visitar </w:t>
      </w:r>
      <w:r w:rsidRPr="002A6099">
        <w:rPr>
          <w:rFonts w:eastAsia="Calibri"/>
          <w:b/>
          <w:bCs/>
          <w:color w:val="000000"/>
          <w:lang w:val="es-ES_tradnl"/>
        </w:rPr>
        <w:t>PublicAdvocates.cpuc.ca.gov</w:t>
      </w:r>
      <w:r w:rsidRPr="002A6099">
        <w:rPr>
          <w:rFonts w:eastAsia="Calibri"/>
          <w:color w:val="000000"/>
          <w:lang w:val="es-ES_tradnl"/>
        </w:rPr>
        <w:t>.</w:t>
      </w:r>
    </w:p>
    <w:p w14:paraId="6A75EC52" w14:textId="77777777" w:rsidR="00AA7B01" w:rsidRPr="002A6099" w:rsidRDefault="00AA7B01" w:rsidP="002A790E">
      <w:pPr>
        <w:spacing w:after="0" w:line="240" w:lineRule="auto"/>
        <w:rPr>
          <w:b/>
          <w:bCs/>
          <w:lang w:val="es-ES_tradnl"/>
        </w:rPr>
      </w:pPr>
    </w:p>
    <w:p w14:paraId="231D73F6" w14:textId="4077D4D9" w:rsidR="4E5FCC20" w:rsidRPr="002A6099" w:rsidRDefault="001C4965" w:rsidP="002A790E">
      <w:pPr>
        <w:spacing w:after="0" w:line="240" w:lineRule="auto"/>
        <w:rPr>
          <w:b/>
          <w:lang w:val="es-ES_tradnl"/>
        </w:rPr>
      </w:pPr>
      <w:r w:rsidRPr="002A6099">
        <w:rPr>
          <w:rFonts w:ascii="Calibri" w:eastAsia="Calibri" w:hAnsi="Calibri" w:cs="Arial"/>
          <w:b/>
          <w:bCs/>
          <w:lang w:val="es-ES_tradnl"/>
        </w:rPr>
        <w:t>¿Dónde puedo obtener más información?</w:t>
      </w:r>
    </w:p>
    <w:p w14:paraId="1FDF2035" w14:textId="77777777" w:rsidR="005C2349" w:rsidRPr="002A6099" w:rsidRDefault="00AE6869" w:rsidP="005C2349">
      <w:pPr>
        <w:spacing w:after="0"/>
        <w:rPr>
          <w:b/>
          <w:lang w:val="es-ES_tradnl"/>
        </w:rPr>
      </w:pPr>
      <w:r w:rsidRPr="002A6099">
        <w:rPr>
          <w:rFonts w:ascii="Calibri" w:eastAsia="Calibri" w:hAnsi="Calibri" w:cs="Arial"/>
          <w:b/>
          <w:lang w:val="es-ES_tradnl"/>
        </w:rPr>
        <w:t>PÓNGASE EN CONTACTO CON SDG&amp;E</w:t>
      </w:r>
    </w:p>
    <w:p w14:paraId="4DE366E5" w14:textId="4CDDF5E3" w:rsidR="005C2349" w:rsidRPr="002A6099" w:rsidRDefault="00AE6869" w:rsidP="005C2349">
      <w:pPr>
        <w:numPr>
          <w:ilvl w:val="0"/>
          <w:numId w:val="2"/>
        </w:numPr>
        <w:spacing w:after="0" w:line="240" w:lineRule="auto"/>
        <w:rPr>
          <w:rFonts w:ascii="Calibri" w:eastAsia="Calibri" w:hAnsi="Calibri" w:cs="Arial"/>
          <w:color w:val="0563C1"/>
          <w:lang w:val="es-ES_tradnl"/>
        </w:rPr>
      </w:pPr>
      <w:r w:rsidRPr="002A6099">
        <w:rPr>
          <w:rFonts w:ascii="Calibri" w:eastAsia="Calibri" w:hAnsi="Calibri" w:cs="Arial"/>
          <w:lang w:val="es-ES_tradnl"/>
        </w:rPr>
        <w:t xml:space="preserve">Enviando un mensaje por correo electrónico a: </w:t>
      </w:r>
      <w:hyperlink r:id="rId9" w:history="1">
        <w:r w:rsidRPr="002A6099">
          <w:rPr>
            <w:rStyle w:val="Hyperlink"/>
            <w:rFonts w:ascii="Calibri" w:eastAsia="Calibri" w:hAnsi="Calibri" w:cs="Arial"/>
            <w:lang w:val="es-ES_tradnl"/>
          </w:rPr>
          <w:t>kbarlow@sdge.com</w:t>
        </w:r>
      </w:hyperlink>
    </w:p>
    <w:p w14:paraId="27EF50A2" w14:textId="77777777" w:rsidR="005C2349" w:rsidRPr="002A6099" w:rsidRDefault="00AE6869" w:rsidP="005C2349">
      <w:pPr>
        <w:numPr>
          <w:ilvl w:val="0"/>
          <w:numId w:val="2"/>
        </w:numPr>
        <w:spacing w:after="0" w:line="240" w:lineRule="auto"/>
        <w:rPr>
          <w:lang w:val="es-ES_tradnl"/>
        </w:rPr>
      </w:pPr>
      <w:r w:rsidRPr="002A6099">
        <w:rPr>
          <w:rFonts w:ascii="Calibri" w:eastAsia="Calibri" w:hAnsi="Calibri" w:cs="Arial"/>
          <w:lang w:val="es-ES_tradnl"/>
        </w:rPr>
        <w:t>Escribiendo a: Kaitlin Barlow</w:t>
      </w:r>
    </w:p>
    <w:p w14:paraId="22F530D8" w14:textId="77777777" w:rsidR="005C2349" w:rsidRPr="002A6099" w:rsidRDefault="00AE6869" w:rsidP="005C2349">
      <w:pPr>
        <w:spacing w:after="0"/>
        <w:ind w:left="720"/>
        <w:rPr>
          <w:lang w:val="es-ES_tradnl"/>
        </w:rPr>
      </w:pPr>
      <w:r w:rsidRPr="002A6099">
        <w:rPr>
          <w:rFonts w:ascii="Calibri" w:eastAsia="Calibri" w:hAnsi="Calibri" w:cs="Arial"/>
          <w:lang w:val="es-ES_tradnl"/>
        </w:rPr>
        <w:t>Regulatory Case Manager for SDG&amp;E</w:t>
      </w:r>
    </w:p>
    <w:p w14:paraId="72E648A0" w14:textId="673CF18B" w:rsidR="005C2349" w:rsidRPr="002A6099" w:rsidRDefault="00AE6869" w:rsidP="005C2349">
      <w:pPr>
        <w:spacing w:after="0"/>
        <w:ind w:left="720"/>
        <w:rPr>
          <w:lang w:val="es-ES_tradnl"/>
        </w:rPr>
      </w:pPr>
      <w:r w:rsidRPr="002A6099">
        <w:rPr>
          <w:rFonts w:ascii="Calibri" w:eastAsia="Calibri" w:hAnsi="Calibri" w:cs="Arial"/>
          <w:lang w:val="es-ES_tradnl"/>
        </w:rPr>
        <w:t>8330 Century Park Court, San Diego, CA 92123</w:t>
      </w:r>
    </w:p>
    <w:p w14:paraId="077D1777" w14:textId="75C52DF5" w:rsidR="005C2349" w:rsidRPr="002A6099" w:rsidRDefault="00AE6869" w:rsidP="005C2349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Arial"/>
          <w:lang w:val="es-ES_tradnl"/>
        </w:rPr>
      </w:pPr>
      <w:r w:rsidRPr="002A6099">
        <w:rPr>
          <w:rFonts w:ascii="Calibri" w:eastAsia="Calibri" w:hAnsi="Calibri" w:cs="Arial"/>
          <w:lang w:val="es-ES_tradnl"/>
        </w:rPr>
        <w:t xml:space="preserve">Una copia de la Solicitud de Tarifa Marítima y cualesquier documentos relacionados se pueden examinar también en </w:t>
      </w:r>
      <w:hyperlink r:id="rId10" w:history="1">
        <w:r w:rsidRPr="002A6099">
          <w:rPr>
            <w:rFonts w:ascii="Calibri" w:eastAsia="Calibri" w:hAnsi="Calibri" w:cs="Arial"/>
            <w:color w:val="0563C1"/>
            <w:u w:val="single"/>
            <w:lang w:val="es-ES_tradnl"/>
          </w:rPr>
          <w:t>https://www.sdge.com/rates-and-regulations/proceedings</w:t>
        </w:r>
      </w:hyperlink>
      <w:r w:rsidRPr="002A6099">
        <w:rPr>
          <w:rFonts w:ascii="Calibri" w:eastAsia="Calibri" w:hAnsi="Calibri" w:cs="Arial"/>
          <w:lang w:val="es-ES_tradnl"/>
        </w:rPr>
        <w:t xml:space="preserve"> </w:t>
      </w:r>
    </w:p>
    <w:p w14:paraId="1685AB89" w14:textId="77777777" w:rsidR="00F72708" w:rsidRPr="002A6099" w:rsidRDefault="00F72708" w:rsidP="002A790E">
      <w:pPr>
        <w:spacing w:after="0" w:line="240" w:lineRule="auto"/>
        <w:rPr>
          <w:b/>
          <w:bCs/>
          <w:lang w:val="es-ES_tradnl"/>
        </w:rPr>
      </w:pPr>
    </w:p>
    <w:p w14:paraId="74591D8B" w14:textId="733CDD36" w:rsidR="4E5FCC20" w:rsidRPr="002A6099" w:rsidRDefault="00AE6869" w:rsidP="002A790E">
      <w:pPr>
        <w:spacing w:after="0" w:line="240" w:lineRule="auto"/>
        <w:rPr>
          <w:b/>
          <w:lang w:val="es-ES_tradnl"/>
        </w:rPr>
      </w:pPr>
      <w:r w:rsidRPr="002A6099">
        <w:rPr>
          <w:rFonts w:ascii="Calibri" w:eastAsia="Calibri" w:hAnsi="Calibri" w:cs="Arial"/>
          <w:b/>
          <w:lang w:val="es-ES_tradnl"/>
        </w:rPr>
        <w:t>PÓNGASE EN CONTACTO CON LA CPUC</w:t>
      </w:r>
    </w:p>
    <w:p w14:paraId="3B8F46ED" w14:textId="09319AD4" w:rsidR="00072A09" w:rsidRPr="002A6099" w:rsidRDefault="00AE6869" w:rsidP="002A790E">
      <w:pPr>
        <w:pStyle w:val="xmsonormal"/>
        <w:rPr>
          <w:color w:val="000000"/>
          <w:lang w:val="es-ES_tradnl"/>
        </w:rPr>
      </w:pPr>
      <w:r w:rsidRPr="002A6099">
        <w:rPr>
          <w:rFonts w:eastAsia="Calibri"/>
          <w:color w:val="000000"/>
          <w:lang w:val="es-ES_tradnl"/>
        </w:rPr>
        <w:t xml:space="preserve">Por favor, visite </w:t>
      </w:r>
      <w:r w:rsidRPr="002A6099">
        <w:rPr>
          <w:rFonts w:eastAsia="Calibri"/>
          <w:b/>
          <w:bCs/>
          <w:color w:val="000000"/>
          <w:lang w:val="es-ES_tradnl"/>
        </w:rPr>
        <w:t>cpuc.ca.gov/A2012009comments</w:t>
      </w:r>
      <w:r w:rsidRPr="002A6099">
        <w:rPr>
          <w:rFonts w:eastAsia="Calibri"/>
          <w:color w:val="000000"/>
          <w:lang w:val="es-ES_tradnl"/>
        </w:rPr>
        <w:t xml:space="preserve"> para enviar un comentario acerca de este procedimiento en la Ficha del Expediente de la CPUC. Aquí también puede ver documentos y otros comentarios públicos relacionados con este procedimiento. </w:t>
      </w:r>
    </w:p>
    <w:p w14:paraId="6B0D86C4" w14:textId="77777777" w:rsidR="00072A09" w:rsidRPr="002A6099" w:rsidRDefault="00072A09" w:rsidP="002A790E">
      <w:pPr>
        <w:pStyle w:val="xmsonormal"/>
        <w:rPr>
          <w:color w:val="000000"/>
          <w:lang w:val="es-ES_tradnl"/>
        </w:rPr>
      </w:pPr>
    </w:p>
    <w:p w14:paraId="6496496C" w14:textId="6A985AE6" w:rsidR="00102460" w:rsidRPr="002A6099" w:rsidRDefault="00AE6869" w:rsidP="002A790E">
      <w:pPr>
        <w:pStyle w:val="xmsonormal"/>
        <w:rPr>
          <w:color w:val="000000"/>
          <w:lang w:val="es-ES_tradnl"/>
        </w:rPr>
      </w:pPr>
      <w:r w:rsidRPr="002A6099">
        <w:rPr>
          <w:rFonts w:eastAsia="Calibri"/>
          <w:color w:val="000000"/>
          <w:lang w:val="es-ES_tradnl"/>
        </w:rPr>
        <w:t xml:space="preserve">Su participación al </w:t>
      </w:r>
      <w:r w:rsidR="001C4965" w:rsidRPr="002A6099">
        <w:rPr>
          <w:rFonts w:eastAsia="Calibri"/>
          <w:color w:val="000000"/>
          <w:lang w:val="es-ES_tradnl"/>
        </w:rPr>
        <w:t>compartir</w:t>
      </w:r>
      <w:r w:rsidRPr="002A6099">
        <w:rPr>
          <w:rFonts w:eastAsia="Calibri"/>
          <w:color w:val="000000"/>
          <w:lang w:val="es-ES_tradnl"/>
        </w:rPr>
        <w:t xml:space="preserve"> su opinión acerca de la petición de SDG&amp;E puede ayudar a la CPUC a tomar una decisión fundamentada.</w:t>
      </w:r>
    </w:p>
    <w:p w14:paraId="23AD7E2A" w14:textId="77777777" w:rsidR="006C7C57" w:rsidRPr="002A6099" w:rsidRDefault="006C7C57" w:rsidP="002A790E">
      <w:pPr>
        <w:pStyle w:val="xmsonormal"/>
        <w:rPr>
          <w:color w:val="000000"/>
          <w:lang w:val="es-ES_tradnl"/>
        </w:rPr>
      </w:pPr>
    </w:p>
    <w:p w14:paraId="5884B043" w14:textId="77777777" w:rsidR="001C4965" w:rsidRPr="002A6099" w:rsidRDefault="001C4965">
      <w:pPr>
        <w:rPr>
          <w:rFonts w:ascii="Calibri" w:eastAsia="Calibri" w:hAnsi="Calibri" w:cs="Calibri"/>
          <w:lang w:val="es-ES_tradnl"/>
        </w:rPr>
      </w:pPr>
      <w:r w:rsidRPr="002A6099">
        <w:rPr>
          <w:rFonts w:ascii="Calibri" w:eastAsia="Calibri" w:hAnsi="Calibri" w:cs="Calibri"/>
          <w:lang w:val="es-ES_tradnl"/>
        </w:rPr>
        <w:br w:type="page"/>
      </w:r>
    </w:p>
    <w:p w14:paraId="6E8E55BF" w14:textId="71E425A2" w:rsidR="4E5FCC20" w:rsidRPr="002A6099" w:rsidRDefault="00AE6869" w:rsidP="002A790E">
      <w:pPr>
        <w:spacing w:after="0" w:line="240" w:lineRule="auto"/>
        <w:rPr>
          <w:lang w:val="es-ES_tradnl"/>
        </w:rPr>
      </w:pPr>
      <w:r w:rsidRPr="002A6099">
        <w:rPr>
          <w:rFonts w:ascii="Calibri" w:eastAsia="Calibri" w:hAnsi="Calibri" w:cs="Calibri"/>
          <w:lang w:val="es-ES_tradnl"/>
        </w:rPr>
        <w:lastRenderedPageBreak/>
        <w:t>Si tiene preguntas acerca de los procesos de la CPUC, puede comunicarse a la Oficina del Asesor Público de la CPUC:</w:t>
      </w:r>
    </w:p>
    <w:p w14:paraId="33FA69CE" w14:textId="0584791D" w:rsidR="4E5FCC20" w:rsidRPr="002A6099" w:rsidRDefault="00AE6869" w:rsidP="002A790E">
      <w:pPr>
        <w:spacing w:after="0" w:line="240" w:lineRule="auto"/>
        <w:ind w:left="720"/>
        <w:rPr>
          <w:b/>
          <w:bCs/>
          <w:lang w:val="es-ES_tradnl"/>
        </w:rPr>
      </w:pPr>
      <w:r w:rsidRPr="002A6099">
        <w:rPr>
          <w:rFonts w:ascii="Calibri" w:eastAsia="Calibri" w:hAnsi="Calibri" w:cs="Calibri"/>
          <w:lang w:val="es-ES_tradnl"/>
        </w:rPr>
        <w:t xml:space="preserve">Llamando al: </w:t>
      </w:r>
      <w:r w:rsidRPr="002A6099">
        <w:rPr>
          <w:rFonts w:ascii="Calibri" w:eastAsia="Calibri" w:hAnsi="Calibri" w:cs="Calibri"/>
          <w:b/>
          <w:bCs/>
          <w:lang w:val="es-ES_tradnl"/>
        </w:rPr>
        <w:t>1-866-849-8390</w:t>
      </w:r>
      <w:r w:rsidRPr="002A6099">
        <w:rPr>
          <w:rFonts w:ascii="Calibri" w:eastAsia="Calibri" w:hAnsi="Calibri" w:cs="Calibri"/>
          <w:lang w:val="es-ES_tradnl"/>
        </w:rPr>
        <w:t xml:space="preserve"> (sin costo) o al </w:t>
      </w:r>
      <w:r w:rsidRPr="002A6099">
        <w:rPr>
          <w:rFonts w:ascii="Calibri" w:eastAsia="Calibri" w:hAnsi="Calibri" w:cs="Calibri"/>
          <w:b/>
          <w:bCs/>
          <w:lang w:val="es-ES_tradnl"/>
        </w:rPr>
        <w:t>1-415-703-2074</w:t>
      </w:r>
    </w:p>
    <w:p w14:paraId="05B2B57C" w14:textId="1DC5411C" w:rsidR="0DC8C6A9" w:rsidRPr="002A6099" w:rsidRDefault="00AE6869" w:rsidP="002A790E">
      <w:pPr>
        <w:spacing w:after="0" w:line="240" w:lineRule="auto"/>
        <w:ind w:left="720"/>
        <w:rPr>
          <w:lang w:val="es-ES_tradnl"/>
        </w:rPr>
      </w:pPr>
      <w:r w:rsidRPr="002A6099">
        <w:rPr>
          <w:rFonts w:ascii="Calibri" w:eastAsia="Calibri" w:hAnsi="Calibri" w:cs="Calibri"/>
          <w:lang w:val="es-ES_tradnl"/>
        </w:rPr>
        <w:t>Enviando un mensaje de correo electrónico a:</w:t>
      </w:r>
      <w:r w:rsidR="001C4965" w:rsidRPr="002A6099">
        <w:rPr>
          <w:rFonts w:ascii="Calibri" w:eastAsia="Calibri" w:hAnsi="Calibri" w:cs="Calibri"/>
          <w:lang w:val="es-ES_tradnl"/>
        </w:rPr>
        <w:t xml:space="preserve"> </w:t>
      </w:r>
      <w:r w:rsidRPr="002A6099">
        <w:rPr>
          <w:rFonts w:ascii="Calibri" w:eastAsia="Calibri" w:hAnsi="Calibri" w:cs="Arial"/>
          <w:b/>
          <w:bCs/>
          <w:lang w:val="es-ES_tradnl"/>
        </w:rPr>
        <w:t>Public.Advisor@cpuc.ca.gov</w:t>
      </w:r>
      <w:r w:rsidRPr="002A6099">
        <w:rPr>
          <w:rFonts w:ascii="Calibri" w:eastAsia="Calibri" w:hAnsi="Calibri" w:cs="Calibri"/>
          <w:b/>
          <w:bCs/>
          <w:lang w:val="es-ES_tradnl"/>
        </w:rPr>
        <w:t xml:space="preserve"> </w:t>
      </w:r>
    </w:p>
    <w:p w14:paraId="7C5A6AFB" w14:textId="1DA23427" w:rsidR="4E5FCC20" w:rsidRPr="002A6099" w:rsidRDefault="00AE6869" w:rsidP="002A790E">
      <w:pPr>
        <w:spacing w:after="0" w:line="240" w:lineRule="auto"/>
        <w:ind w:left="720"/>
        <w:rPr>
          <w:lang w:val="es-ES_tradnl"/>
        </w:rPr>
      </w:pPr>
      <w:r w:rsidRPr="002A6099">
        <w:rPr>
          <w:rFonts w:ascii="Calibri" w:eastAsia="Calibri" w:hAnsi="Calibri" w:cs="Calibri"/>
          <w:lang w:val="es-ES_tradnl"/>
        </w:rPr>
        <w:t xml:space="preserve">Escribiendo a: </w:t>
      </w:r>
      <w:r w:rsidRPr="002A6099">
        <w:rPr>
          <w:rFonts w:ascii="Calibri" w:eastAsia="Calibri" w:hAnsi="Calibri" w:cs="Calibri"/>
          <w:lang w:val="es-ES_tradnl"/>
        </w:rPr>
        <w:tab/>
        <w:t>CPUC Public Advisor’s Office</w:t>
      </w:r>
    </w:p>
    <w:p w14:paraId="5037BF13" w14:textId="7FF2BD1A" w:rsidR="4E5FCC20" w:rsidRPr="002A6099" w:rsidRDefault="00AE6869" w:rsidP="001C4965">
      <w:pPr>
        <w:spacing w:after="0" w:line="240" w:lineRule="auto"/>
        <w:ind w:left="1440" w:firstLine="720"/>
        <w:rPr>
          <w:lang w:val="es-ES_tradnl"/>
        </w:rPr>
      </w:pPr>
      <w:r w:rsidRPr="002A6099">
        <w:rPr>
          <w:rFonts w:ascii="Calibri" w:eastAsia="Calibri" w:hAnsi="Calibri" w:cs="Calibri"/>
          <w:lang w:val="es-ES_tradnl"/>
        </w:rPr>
        <w:t>505 Van Ness Avenue</w:t>
      </w:r>
    </w:p>
    <w:p w14:paraId="325F00CE" w14:textId="1F59DF95" w:rsidR="4E5FCC20" w:rsidRPr="002A6099" w:rsidRDefault="00AE6869" w:rsidP="001C4965">
      <w:pPr>
        <w:spacing w:after="0" w:line="240" w:lineRule="auto"/>
        <w:ind w:left="1440" w:firstLine="720"/>
        <w:rPr>
          <w:lang w:val="es-ES_tradnl"/>
        </w:rPr>
      </w:pPr>
      <w:r w:rsidRPr="002A6099">
        <w:rPr>
          <w:rFonts w:ascii="Calibri" w:eastAsia="Calibri" w:hAnsi="Calibri" w:cs="Calibri"/>
          <w:lang w:val="es-ES_tradnl"/>
        </w:rPr>
        <w:t>San Francisco, CA 94102</w:t>
      </w:r>
    </w:p>
    <w:p w14:paraId="5E30404D" w14:textId="364ADD49" w:rsidR="77F120CB" w:rsidRPr="002A6099" w:rsidRDefault="77F120CB" w:rsidP="002A790E">
      <w:pPr>
        <w:spacing w:after="0" w:line="240" w:lineRule="auto"/>
        <w:rPr>
          <w:rFonts w:ascii="Calibri" w:eastAsia="Calibri" w:hAnsi="Calibri" w:cs="Calibri"/>
          <w:lang w:val="es-ES_tradnl"/>
        </w:rPr>
      </w:pPr>
    </w:p>
    <w:p w14:paraId="52845A56" w14:textId="21B3A529" w:rsidR="4E5FCC20" w:rsidRPr="002A6099" w:rsidRDefault="00AE6869" w:rsidP="002A790E">
      <w:pPr>
        <w:spacing w:after="0" w:line="240" w:lineRule="auto"/>
        <w:rPr>
          <w:rFonts w:ascii="Calibri" w:eastAsia="Calibri" w:hAnsi="Calibri" w:cs="Calibri"/>
          <w:lang w:val="es-ES_tradnl"/>
        </w:rPr>
      </w:pPr>
      <w:r w:rsidRPr="002A6099">
        <w:rPr>
          <w:rFonts w:ascii="Calibri" w:eastAsia="Calibri" w:hAnsi="Calibri" w:cs="Calibri"/>
          <w:lang w:val="es-ES_tradnl"/>
        </w:rPr>
        <w:t xml:space="preserve">Por favor, haga referencia a la solicitud </w:t>
      </w:r>
      <w:r w:rsidRPr="002A6099">
        <w:rPr>
          <w:rFonts w:ascii="Calibri" w:eastAsia="Calibri" w:hAnsi="Calibri" w:cs="Calibri"/>
          <w:b/>
          <w:bCs/>
          <w:lang w:val="es-ES_tradnl"/>
        </w:rPr>
        <w:t xml:space="preserve">Application A.20-12-009 </w:t>
      </w:r>
      <w:r w:rsidRPr="002A6099">
        <w:rPr>
          <w:rFonts w:ascii="Calibri" w:eastAsia="Calibri" w:hAnsi="Calibri" w:cs="Calibri"/>
          <w:lang w:val="es-ES_tradnl"/>
        </w:rPr>
        <w:t>en cualesquiera comunicaciones que sostenga con la CPUC en relación con este asunto.</w:t>
      </w:r>
    </w:p>
    <w:p w14:paraId="5E6F4B7F" w14:textId="48F9E6FF" w:rsidR="77F120CB" w:rsidRPr="002A6099" w:rsidRDefault="77F120CB" w:rsidP="002A790E">
      <w:pPr>
        <w:spacing w:after="0" w:line="240" w:lineRule="auto"/>
        <w:rPr>
          <w:b/>
          <w:bCs/>
          <w:lang w:val="es-ES_tradnl"/>
        </w:rPr>
      </w:pPr>
    </w:p>
    <w:sectPr w:rsidR="77F120CB" w:rsidRPr="002A6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30478"/>
    <w:multiLevelType w:val="hybridMultilevel"/>
    <w:tmpl w:val="4B8CC61A"/>
    <w:lvl w:ilvl="0" w:tplc="256E5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842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AB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41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ECB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3ED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45C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6A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B4E2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E3C33"/>
    <w:multiLevelType w:val="hybridMultilevel"/>
    <w:tmpl w:val="1F821DB2"/>
    <w:lvl w:ilvl="0" w:tplc="2DBCE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E20B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C600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A4D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2246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FA0C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649F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E04A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F0E3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57D3F"/>
    <w:multiLevelType w:val="hybridMultilevel"/>
    <w:tmpl w:val="68108E58"/>
    <w:lvl w:ilvl="0" w:tplc="29180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32CB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D082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B217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16BA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12D1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74C1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4A21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BE5C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94018C"/>
    <w:rsid w:val="0000326C"/>
    <w:rsid w:val="000636BC"/>
    <w:rsid w:val="00071CC2"/>
    <w:rsid w:val="00072A09"/>
    <w:rsid w:val="000C1E2F"/>
    <w:rsid w:val="000C4178"/>
    <w:rsid w:val="00102460"/>
    <w:rsid w:val="00124B2E"/>
    <w:rsid w:val="00137F33"/>
    <w:rsid w:val="0014158E"/>
    <w:rsid w:val="00161529"/>
    <w:rsid w:val="00167797"/>
    <w:rsid w:val="001A233B"/>
    <w:rsid w:val="001C4965"/>
    <w:rsid w:val="00207666"/>
    <w:rsid w:val="002150CF"/>
    <w:rsid w:val="00225706"/>
    <w:rsid w:val="002406A4"/>
    <w:rsid w:val="00246377"/>
    <w:rsid w:val="002954AD"/>
    <w:rsid w:val="002A2DCC"/>
    <w:rsid w:val="002A6099"/>
    <w:rsid w:val="002A790E"/>
    <w:rsid w:val="00317324"/>
    <w:rsid w:val="00337452"/>
    <w:rsid w:val="003474EE"/>
    <w:rsid w:val="00354D49"/>
    <w:rsid w:val="0038259A"/>
    <w:rsid w:val="003844D4"/>
    <w:rsid w:val="003F488E"/>
    <w:rsid w:val="004128D1"/>
    <w:rsid w:val="00412CD8"/>
    <w:rsid w:val="00422779"/>
    <w:rsid w:val="004275E6"/>
    <w:rsid w:val="004626E5"/>
    <w:rsid w:val="00473411"/>
    <w:rsid w:val="004746F5"/>
    <w:rsid w:val="00481F3A"/>
    <w:rsid w:val="00485BD2"/>
    <w:rsid w:val="004A0AD2"/>
    <w:rsid w:val="004A6FE7"/>
    <w:rsid w:val="004B1C3E"/>
    <w:rsid w:val="00526577"/>
    <w:rsid w:val="005349EA"/>
    <w:rsid w:val="005B1875"/>
    <w:rsid w:val="005C2349"/>
    <w:rsid w:val="005E0F76"/>
    <w:rsid w:val="005F623C"/>
    <w:rsid w:val="005F7FEA"/>
    <w:rsid w:val="006218E6"/>
    <w:rsid w:val="00696A2D"/>
    <w:rsid w:val="006C79B5"/>
    <w:rsid w:val="006C7C57"/>
    <w:rsid w:val="0070283E"/>
    <w:rsid w:val="00746F67"/>
    <w:rsid w:val="00747D10"/>
    <w:rsid w:val="00760140"/>
    <w:rsid w:val="00767786"/>
    <w:rsid w:val="00795B77"/>
    <w:rsid w:val="00797835"/>
    <w:rsid w:val="007C4055"/>
    <w:rsid w:val="007E141D"/>
    <w:rsid w:val="007F3CD8"/>
    <w:rsid w:val="008113F3"/>
    <w:rsid w:val="008656A5"/>
    <w:rsid w:val="00876793"/>
    <w:rsid w:val="008A4C89"/>
    <w:rsid w:val="008AFE75"/>
    <w:rsid w:val="008B45C0"/>
    <w:rsid w:val="008D28E1"/>
    <w:rsid w:val="008D2FEA"/>
    <w:rsid w:val="008E2202"/>
    <w:rsid w:val="008E363A"/>
    <w:rsid w:val="008F387D"/>
    <w:rsid w:val="00911A40"/>
    <w:rsid w:val="009125C5"/>
    <w:rsid w:val="00930D9A"/>
    <w:rsid w:val="00960FB8"/>
    <w:rsid w:val="009723BF"/>
    <w:rsid w:val="00983EEA"/>
    <w:rsid w:val="009954A1"/>
    <w:rsid w:val="009A30F8"/>
    <w:rsid w:val="00A14B67"/>
    <w:rsid w:val="00A52C65"/>
    <w:rsid w:val="00A84BF2"/>
    <w:rsid w:val="00AA7B01"/>
    <w:rsid w:val="00AB0FFC"/>
    <w:rsid w:val="00AB5240"/>
    <w:rsid w:val="00AE6869"/>
    <w:rsid w:val="00AF291D"/>
    <w:rsid w:val="00B0263C"/>
    <w:rsid w:val="00B306F6"/>
    <w:rsid w:val="00B42222"/>
    <w:rsid w:val="00B4350F"/>
    <w:rsid w:val="00B62A03"/>
    <w:rsid w:val="00BC4D52"/>
    <w:rsid w:val="00BE7F97"/>
    <w:rsid w:val="00C2371F"/>
    <w:rsid w:val="00C30A15"/>
    <w:rsid w:val="00C64163"/>
    <w:rsid w:val="00C81620"/>
    <w:rsid w:val="00CA4FEF"/>
    <w:rsid w:val="00CC3B99"/>
    <w:rsid w:val="00CC64FF"/>
    <w:rsid w:val="00D1077A"/>
    <w:rsid w:val="00D13EBA"/>
    <w:rsid w:val="00D67CCB"/>
    <w:rsid w:val="00D94AE6"/>
    <w:rsid w:val="00DE4FCB"/>
    <w:rsid w:val="00E10F65"/>
    <w:rsid w:val="00E6089A"/>
    <w:rsid w:val="00E66094"/>
    <w:rsid w:val="00E7262F"/>
    <w:rsid w:val="00E900DF"/>
    <w:rsid w:val="00EC4823"/>
    <w:rsid w:val="00ED1BAA"/>
    <w:rsid w:val="00EE28E5"/>
    <w:rsid w:val="00F113C5"/>
    <w:rsid w:val="00F361F7"/>
    <w:rsid w:val="00F42DF5"/>
    <w:rsid w:val="00F72708"/>
    <w:rsid w:val="00FB2763"/>
    <w:rsid w:val="00FB6775"/>
    <w:rsid w:val="01A3B0A1"/>
    <w:rsid w:val="02240415"/>
    <w:rsid w:val="031736DF"/>
    <w:rsid w:val="033A56A5"/>
    <w:rsid w:val="03C4BDED"/>
    <w:rsid w:val="0404ADDD"/>
    <w:rsid w:val="04258FDE"/>
    <w:rsid w:val="0460819A"/>
    <w:rsid w:val="049E1B7A"/>
    <w:rsid w:val="04BB41CF"/>
    <w:rsid w:val="04BD2DC6"/>
    <w:rsid w:val="0544D7A3"/>
    <w:rsid w:val="05BB9313"/>
    <w:rsid w:val="0667D6F1"/>
    <w:rsid w:val="06923BE4"/>
    <w:rsid w:val="06E5E88C"/>
    <w:rsid w:val="080E189C"/>
    <w:rsid w:val="098C22E3"/>
    <w:rsid w:val="09AAA287"/>
    <w:rsid w:val="09C6701F"/>
    <w:rsid w:val="09CF6C4C"/>
    <w:rsid w:val="0A1EF1BA"/>
    <w:rsid w:val="0A33FF71"/>
    <w:rsid w:val="0AC9F0F7"/>
    <w:rsid w:val="0BE48420"/>
    <w:rsid w:val="0C0E8046"/>
    <w:rsid w:val="0C6EBB1B"/>
    <w:rsid w:val="0C7E9234"/>
    <w:rsid w:val="0CB83502"/>
    <w:rsid w:val="0CD15D85"/>
    <w:rsid w:val="0D0A6C6D"/>
    <w:rsid w:val="0D0CD438"/>
    <w:rsid w:val="0D34A6D6"/>
    <w:rsid w:val="0D3715FA"/>
    <w:rsid w:val="0DC20190"/>
    <w:rsid w:val="0DC8C6A9"/>
    <w:rsid w:val="0F3400A8"/>
    <w:rsid w:val="0F9AAACD"/>
    <w:rsid w:val="108282C5"/>
    <w:rsid w:val="110CC04A"/>
    <w:rsid w:val="1157FE87"/>
    <w:rsid w:val="11FEA313"/>
    <w:rsid w:val="1220837D"/>
    <w:rsid w:val="122CDE4F"/>
    <w:rsid w:val="125F5DC9"/>
    <w:rsid w:val="12753F9D"/>
    <w:rsid w:val="12A772E1"/>
    <w:rsid w:val="132FE97A"/>
    <w:rsid w:val="1350F123"/>
    <w:rsid w:val="137396A3"/>
    <w:rsid w:val="13C5F43A"/>
    <w:rsid w:val="146715F5"/>
    <w:rsid w:val="14719E30"/>
    <w:rsid w:val="1500AD82"/>
    <w:rsid w:val="15A5C776"/>
    <w:rsid w:val="15BD6FE9"/>
    <w:rsid w:val="16FF98CD"/>
    <w:rsid w:val="17DB79B7"/>
    <w:rsid w:val="17E64436"/>
    <w:rsid w:val="186661D9"/>
    <w:rsid w:val="1874749D"/>
    <w:rsid w:val="18C485DF"/>
    <w:rsid w:val="1985876A"/>
    <w:rsid w:val="1A471BD7"/>
    <w:rsid w:val="1A788503"/>
    <w:rsid w:val="1B71A055"/>
    <w:rsid w:val="1DA2379B"/>
    <w:rsid w:val="1E535EC5"/>
    <w:rsid w:val="1F184B80"/>
    <w:rsid w:val="1F480775"/>
    <w:rsid w:val="204313A6"/>
    <w:rsid w:val="204D34B0"/>
    <w:rsid w:val="20A5DD7F"/>
    <w:rsid w:val="20AF6257"/>
    <w:rsid w:val="20B22FA5"/>
    <w:rsid w:val="20BBCE9F"/>
    <w:rsid w:val="2155C606"/>
    <w:rsid w:val="216AD76A"/>
    <w:rsid w:val="22028209"/>
    <w:rsid w:val="22F2EE51"/>
    <w:rsid w:val="23615921"/>
    <w:rsid w:val="23AB83A3"/>
    <w:rsid w:val="23F75264"/>
    <w:rsid w:val="242C1A71"/>
    <w:rsid w:val="248A2092"/>
    <w:rsid w:val="24C432AA"/>
    <w:rsid w:val="2586D8FC"/>
    <w:rsid w:val="25EBD56D"/>
    <w:rsid w:val="26BB11EB"/>
    <w:rsid w:val="27452761"/>
    <w:rsid w:val="27658C8D"/>
    <w:rsid w:val="2799A473"/>
    <w:rsid w:val="280FBFF5"/>
    <w:rsid w:val="28617264"/>
    <w:rsid w:val="2866DB1A"/>
    <w:rsid w:val="296A30A5"/>
    <w:rsid w:val="2A047267"/>
    <w:rsid w:val="2A293B48"/>
    <w:rsid w:val="2A75F4DB"/>
    <w:rsid w:val="2AFC796B"/>
    <w:rsid w:val="2BAFBBA6"/>
    <w:rsid w:val="2C495338"/>
    <w:rsid w:val="2C9C81B2"/>
    <w:rsid w:val="2CB045C7"/>
    <w:rsid w:val="2CE89210"/>
    <w:rsid w:val="2D2E2A45"/>
    <w:rsid w:val="2DA38BC7"/>
    <w:rsid w:val="2DC9053F"/>
    <w:rsid w:val="2DFE28FC"/>
    <w:rsid w:val="2E16AC03"/>
    <w:rsid w:val="2F6B17A8"/>
    <w:rsid w:val="2FB75138"/>
    <w:rsid w:val="2FBA51E5"/>
    <w:rsid w:val="307C4AF2"/>
    <w:rsid w:val="3080B62E"/>
    <w:rsid w:val="30B07131"/>
    <w:rsid w:val="3177D5A5"/>
    <w:rsid w:val="3197E3EF"/>
    <w:rsid w:val="319E20AB"/>
    <w:rsid w:val="321558FF"/>
    <w:rsid w:val="322CE1B2"/>
    <w:rsid w:val="32D9438A"/>
    <w:rsid w:val="330221DF"/>
    <w:rsid w:val="331E6A66"/>
    <w:rsid w:val="333CE6EC"/>
    <w:rsid w:val="33D1D8A6"/>
    <w:rsid w:val="346A12BC"/>
    <w:rsid w:val="34D81FC4"/>
    <w:rsid w:val="35A5911B"/>
    <w:rsid w:val="35B9D5AF"/>
    <w:rsid w:val="375D9964"/>
    <w:rsid w:val="37D20B4B"/>
    <w:rsid w:val="37FA4BB1"/>
    <w:rsid w:val="38549ECD"/>
    <w:rsid w:val="38CFA1C3"/>
    <w:rsid w:val="39226DA1"/>
    <w:rsid w:val="3929C9D0"/>
    <w:rsid w:val="3993392F"/>
    <w:rsid w:val="39B6B629"/>
    <w:rsid w:val="3A151B7E"/>
    <w:rsid w:val="3A1537EF"/>
    <w:rsid w:val="3B4F501B"/>
    <w:rsid w:val="3C053A97"/>
    <w:rsid w:val="3C1B3435"/>
    <w:rsid w:val="3C41737B"/>
    <w:rsid w:val="3C4FFF26"/>
    <w:rsid w:val="3D1B411F"/>
    <w:rsid w:val="3D241EAE"/>
    <w:rsid w:val="3D42C5C4"/>
    <w:rsid w:val="3E4E208B"/>
    <w:rsid w:val="3E776B50"/>
    <w:rsid w:val="3EA14229"/>
    <w:rsid w:val="3F42A1ED"/>
    <w:rsid w:val="3F5387C7"/>
    <w:rsid w:val="400D6E45"/>
    <w:rsid w:val="40133BB1"/>
    <w:rsid w:val="402363A1"/>
    <w:rsid w:val="4085C6A4"/>
    <w:rsid w:val="414F2243"/>
    <w:rsid w:val="41D85B3E"/>
    <w:rsid w:val="420A443F"/>
    <w:rsid w:val="4242A7D1"/>
    <w:rsid w:val="428F37B6"/>
    <w:rsid w:val="42A64904"/>
    <w:rsid w:val="4314C5B6"/>
    <w:rsid w:val="43558CDB"/>
    <w:rsid w:val="438FC6DC"/>
    <w:rsid w:val="4394018C"/>
    <w:rsid w:val="44F1C620"/>
    <w:rsid w:val="45274580"/>
    <w:rsid w:val="452C9A2D"/>
    <w:rsid w:val="4557C5D8"/>
    <w:rsid w:val="45D71E04"/>
    <w:rsid w:val="45FAD157"/>
    <w:rsid w:val="46757A21"/>
    <w:rsid w:val="4760C57B"/>
    <w:rsid w:val="4798B7D8"/>
    <w:rsid w:val="47FA8FBC"/>
    <w:rsid w:val="4825769E"/>
    <w:rsid w:val="482E0216"/>
    <w:rsid w:val="48447E93"/>
    <w:rsid w:val="495FFC7B"/>
    <w:rsid w:val="4A26F8EC"/>
    <w:rsid w:val="4A6964D2"/>
    <w:rsid w:val="4C2B2F13"/>
    <w:rsid w:val="4CD4FF1C"/>
    <w:rsid w:val="4E1C284F"/>
    <w:rsid w:val="4E5FCC20"/>
    <w:rsid w:val="4F1B8560"/>
    <w:rsid w:val="509B05DD"/>
    <w:rsid w:val="50B6E2A3"/>
    <w:rsid w:val="50D5D34D"/>
    <w:rsid w:val="510DD929"/>
    <w:rsid w:val="513C0E04"/>
    <w:rsid w:val="5161E5EF"/>
    <w:rsid w:val="51A48996"/>
    <w:rsid w:val="51C4848F"/>
    <w:rsid w:val="51EB0B1C"/>
    <w:rsid w:val="51F98276"/>
    <w:rsid w:val="530E7F5E"/>
    <w:rsid w:val="534D6B12"/>
    <w:rsid w:val="53ADA92A"/>
    <w:rsid w:val="53C3241D"/>
    <w:rsid w:val="55CA46DA"/>
    <w:rsid w:val="5669CEE8"/>
    <w:rsid w:val="58674D06"/>
    <w:rsid w:val="58DFA3A0"/>
    <w:rsid w:val="596D81FA"/>
    <w:rsid w:val="59B8EEB3"/>
    <w:rsid w:val="59EDC020"/>
    <w:rsid w:val="5A5EA7E8"/>
    <w:rsid w:val="5A7216F7"/>
    <w:rsid w:val="5AE017DA"/>
    <w:rsid w:val="5B2F00A5"/>
    <w:rsid w:val="5C2061AE"/>
    <w:rsid w:val="5C932350"/>
    <w:rsid w:val="5CB58B23"/>
    <w:rsid w:val="5D12EB1A"/>
    <w:rsid w:val="5D496435"/>
    <w:rsid w:val="5D6CD6FD"/>
    <w:rsid w:val="5E02FB84"/>
    <w:rsid w:val="5E184902"/>
    <w:rsid w:val="5E5C790D"/>
    <w:rsid w:val="5FB3F594"/>
    <w:rsid w:val="60490035"/>
    <w:rsid w:val="6063C956"/>
    <w:rsid w:val="60A33D95"/>
    <w:rsid w:val="60FFB266"/>
    <w:rsid w:val="6158AEE5"/>
    <w:rsid w:val="61615C25"/>
    <w:rsid w:val="61789E06"/>
    <w:rsid w:val="61C341DF"/>
    <w:rsid w:val="622E4D6E"/>
    <w:rsid w:val="63EB3AEE"/>
    <w:rsid w:val="641DF9AE"/>
    <w:rsid w:val="6464FEAD"/>
    <w:rsid w:val="64C69FB8"/>
    <w:rsid w:val="651FBF4E"/>
    <w:rsid w:val="6570E7A1"/>
    <w:rsid w:val="65C4C715"/>
    <w:rsid w:val="65E5EBDC"/>
    <w:rsid w:val="66177531"/>
    <w:rsid w:val="66214A20"/>
    <w:rsid w:val="665163BE"/>
    <w:rsid w:val="66C01FC3"/>
    <w:rsid w:val="67552B2C"/>
    <w:rsid w:val="67B8AE0B"/>
    <w:rsid w:val="689B2D78"/>
    <w:rsid w:val="6979869B"/>
    <w:rsid w:val="69E2592F"/>
    <w:rsid w:val="6A397526"/>
    <w:rsid w:val="6A47F465"/>
    <w:rsid w:val="6A5B3C4D"/>
    <w:rsid w:val="6BCC0B25"/>
    <w:rsid w:val="6BD589ED"/>
    <w:rsid w:val="6C11DB7D"/>
    <w:rsid w:val="6C9CF8CD"/>
    <w:rsid w:val="6DAEFDBC"/>
    <w:rsid w:val="6E975A60"/>
    <w:rsid w:val="6F17FF9C"/>
    <w:rsid w:val="6F5698BC"/>
    <w:rsid w:val="6F9C5ECA"/>
    <w:rsid w:val="70BDDAA1"/>
    <w:rsid w:val="70E97218"/>
    <w:rsid w:val="718C7AD5"/>
    <w:rsid w:val="71AD3BB6"/>
    <w:rsid w:val="722B46A7"/>
    <w:rsid w:val="72D3634B"/>
    <w:rsid w:val="72D9D262"/>
    <w:rsid w:val="73738E7D"/>
    <w:rsid w:val="74238B2C"/>
    <w:rsid w:val="758BAECC"/>
    <w:rsid w:val="761279F2"/>
    <w:rsid w:val="7649663E"/>
    <w:rsid w:val="7686B77B"/>
    <w:rsid w:val="769E27F6"/>
    <w:rsid w:val="76EAAE2E"/>
    <w:rsid w:val="7780F6DE"/>
    <w:rsid w:val="77820B78"/>
    <w:rsid w:val="779ED073"/>
    <w:rsid w:val="77B9011C"/>
    <w:rsid w:val="77F120CB"/>
    <w:rsid w:val="78480696"/>
    <w:rsid w:val="78520CDD"/>
    <w:rsid w:val="78911EFD"/>
    <w:rsid w:val="796E191A"/>
    <w:rsid w:val="7981A5C3"/>
    <w:rsid w:val="79BBB7A4"/>
    <w:rsid w:val="79CDD3F8"/>
    <w:rsid w:val="7A860ED4"/>
    <w:rsid w:val="7AFA5DAA"/>
    <w:rsid w:val="7B1D5A40"/>
    <w:rsid w:val="7BBE78D9"/>
    <w:rsid w:val="7C171BEB"/>
    <w:rsid w:val="7CE5B210"/>
    <w:rsid w:val="7CE6D37D"/>
    <w:rsid w:val="7D9B9333"/>
    <w:rsid w:val="7D9F81E8"/>
    <w:rsid w:val="7E97F8D1"/>
    <w:rsid w:val="7F2BC5DF"/>
    <w:rsid w:val="7F9DCFB2"/>
    <w:rsid w:val="7FAE9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80F4A"/>
  <w15:chartTrackingRefBased/>
  <w15:docId w15:val="{F010A035-FE84-44C7-8CB0-F1395EDC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C6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4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4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4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4F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4FF"/>
    <w:rPr>
      <w:rFonts w:ascii="Times New Roman" w:hAnsi="Times New Roman" w:cs="Times New Roman"/>
      <w:sz w:val="18"/>
      <w:szCs w:val="18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2954A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844D4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3844D4"/>
    <w:pPr>
      <w:spacing w:after="0" w:line="240" w:lineRule="auto"/>
    </w:pPr>
    <w:rPr>
      <w:rFonts w:ascii="Calibri" w:hAnsi="Calibri" w:cs="Calibri"/>
    </w:rPr>
  </w:style>
  <w:style w:type="paragraph" w:customStyle="1" w:styleId="TableCaption">
    <w:name w:val="Table Caption"/>
    <w:basedOn w:val="Normal"/>
    <w:next w:val="Normal"/>
    <w:uiPriority w:val="99"/>
    <w:rsid w:val="008D2FEA"/>
    <w:pPr>
      <w:keepNext/>
      <w:keepLines/>
      <w:spacing w:before="440" w:after="440" w:line="240" w:lineRule="atLeast"/>
      <w:jc w:val="center"/>
    </w:pPr>
    <w:rPr>
      <w:rFonts w:ascii="Arial" w:eastAsia="Times New Roman" w:hAnsi="Arial" w:cs="Arial"/>
      <w:b/>
      <w:bCs/>
      <w:caps/>
      <w:sz w:val="20"/>
      <w:szCs w:val="20"/>
    </w:rPr>
  </w:style>
  <w:style w:type="table" w:styleId="TableGrid">
    <w:name w:val="Table Grid"/>
    <w:basedOn w:val="TableNormal"/>
    <w:uiPriority w:val="39"/>
    <w:rsid w:val="004A6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AE6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AdvocatesOffice@cpuc.c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sdge.com/rates-and-regulations/proceedings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kbarlow@sdge.com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6D59A010A8340A2E25458694F2546" ma:contentTypeVersion="13" ma:contentTypeDescription="Create a new document." ma:contentTypeScope="" ma:versionID="f61d9b518c31f4c0e4bac744a72e547e">
  <xsd:schema xmlns:xsd="http://www.w3.org/2001/XMLSchema" xmlns:xs="http://www.w3.org/2001/XMLSchema" xmlns:p="http://schemas.microsoft.com/office/2006/metadata/properties" xmlns:ns3="98b5a774-93ad-48ed-b3d9-82c8ebc4ce66" xmlns:ns4="376ec73f-1993-4e02-907e-bf921f40ae42" targetNamespace="http://schemas.microsoft.com/office/2006/metadata/properties" ma:root="true" ma:fieldsID="67dd0b1e4eea0d4c0871935e8f35db6b" ns3:_="" ns4:_="">
    <xsd:import namespace="98b5a774-93ad-48ed-b3d9-82c8ebc4ce66"/>
    <xsd:import namespace="376ec73f-1993-4e02-907e-bf921f40ae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5a774-93ad-48ed-b3d9-82c8ebc4c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ec73f-1993-4e02-907e-bf921f40a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544C19-D60E-457A-A5B1-D5235C6F1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b5a774-93ad-48ed-b3d9-82c8ebc4ce66"/>
    <ds:schemaRef ds:uri="376ec73f-1993-4e02-907e-bf921f40a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729B1-7F8B-46EA-939E-C62D7F80A8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8912C1-D747-4C49-84B7-2C69F5D78F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4945</Characters>
  <Application>Microsoft Office Word</Application>
  <DocSecurity>0</DocSecurity>
  <Lines>137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Palmeira, Monica</dc:creator>
  <cp:lastModifiedBy>Rogelio Camacho</cp:lastModifiedBy>
  <cp:revision>2</cp:revision>
  <dcterms:created xsi:type="dcterms:W3CDTF">2020-12-28T19:41:00Z</dcterms:created>
  <dcterms:modified xsi:type="dcterms:W3CDTF">2020-12-28T19:41:00Z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0x0101005026D59A010A8340A2E25458694F2546</vt:lpwstr>
  </property>
</Properties>
</file>