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516B" w14:textId="50EBD6BA" w:rsidR="00876793" w:rsidRPr="00DC737B" w:rsidRDefault="00BE25BE" w:rsidP="003474EE">
      <w:pPr>
        <w:spacing w:after="0" w:line="240" w:lineRule="auto"/>
        <w:jc w:val="center"/>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Para más información sobre cómo este cambio impactará su factura, llame al 1-800-311-7343.</w:t>
      </w:r>
    </w:p>
    <w:p w14:paraId="5F732329" w14:textId="77777777" w:rsidR="002A790E" w:rsidRPr="00DC737B" w:rsidRDefault="002A790E" w:rsidP="002A790E">
      <w:pPr>
        <w:spacing w:after="0" w:line="240" w:lineRule="auto"/>
        <w:jc w:val="center"/>
        <w:rPr>
          <w:rFonts w:ascii="Times New Roman" w:eastAsia="Calibri" w:hAnsi="Times New Roman" w:cs="Times New Roman"/>
          <w:i/>
          <w:iCs/>
          <w:color w:val="FF0000"/>
          <w:sz w:val="24"/>
          <w:szCs w:val="24"/>
          <w:lang w:val="es-ES_tradnl"/>
        </w:rPr>
      </w:pPr>
    </w:p>
    <w:p w14:paraId="369DF88F" w14:textId="19E64EA3" w:rsidR="00FB2763" w:rsidRPr="00DC737B" w:rsidRDefault="00BE25BE" w:rsidP="002A790E">
      <w:pPr>
        <w:spacing w:after="0" w:line="240" w:lineRule="auto"/>
        <w:jc w:val="center"/>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t>AVISO DE SOLICITUD</w:t>
      </w:r>
    </w:p>
    <w:p w14:paraId="0594E10E" w14:textId="76E3878E" w:rsidR="00600BBA" w:rsidRPr="00E03C63" w:rsidRDefault="00BE25BE" w:rsidP="00600BBA">
      <w:pPr>
        <w:pStyle w:val="TableCaption"/>
        <w:keepNext w:val="0"/>
        <w:keepLines w:val="0"/>
        <w:autoSpaceDE w:val="0"/>
        <w:autoSpaceDN w:val="0"/>
        <w:adjustRightInd w:val="0"/>
        <w:spacing w:before="0" w:after="0" w:line="240" w:lineRule="auto"/>
        <w:outlineLvl w:val="0"/>
        <w:rPr>
          <w:rFonts w:ascii="Times New Roman" w:hAnsi="Times New Roman" w:cs="Times New Roman"/>
          <w:bCs w:val="0"/>
          <w:caps w:val="0"/>
          <w:sz w:val="24"/>
          <w:szCs w:val="24"/>
          <w:lang w:val="es-ES_tradnl"/>
        </w:rPr>
      </w:pPr>
      <w:r w:rsidRPr="00E03C63">
        <w:rPr>
          <w:rFonts w:ascii="Times New Roman" w:hAnsi="Times New Roman" w:cs="Times New Roman"/>
          <w:bCs w:val="0"/>
          <w:caps w:val="0"/>
          <w:sz w:val="24"/>
          <w:szCs w:val="24"/>
          <w:lang w:val="es-ES_tradnl"/>
        </w:rPr>
        <w:t>PETICIÓN DE SAN DIEGO GAS &amp; ELECTRIC COMPANY A FIN DE AUMENTAR LAS TARIFAS Y LOS INGRESOS PARA LA REVISIÓN GENERAL DE TARIFAS 2024</w:t>
      </w:r>
    </w:p>
    <w:p w14:paraId="3B8A9A45" w14:textId="0E609CDF" w:rsidR="00600BBA" w:rsidRPr="00DC737B" w:rsidRDefault="00BE25BE" w:rsidP="00600BBA">
      <w:pPr>
        <w:pStyle w:val="TableCaption"/>
        <w:keepNext w:val="0"/>
        <w:keepLines w:val="0"/>
        <w:autoSpaceDE w:val="0"/>
        <w:autoSpaceDN w:val="0"/>
        <w:adjustRightInd w:val="0"/>
        <w:spacing w:before="0" w:after="0" w:line="240" w:lineRule="auto"/>
        <w:outlineLvl w:val="0"/>
        <w:rPr>
          <w:rFonts w:ascii="Times New Roman" w:hAnsi="Times New Roman" w:cs="Times New Roman"/>
          <w:caps w:val="0"/>
          <w:sz w:val="24"/>
          <w:szCs w:val="24"/>
          <w:lang w:val="es-ES_tradnl"/>
        </w:rPr>
      </w:pPr>
      <w:r w:rsidRPr="00DC737B">
        <w:rPr>
          <w:rFonts w:ascii="Times New Roman" w:hAnsi="Times New Roman" w:cs="Times New Roman"/>
          <w:caps w:val="0"/>
          <w:sz w:val="24"/>
          <w:szCs w:val="24"/>
          <w:lang w:val="es-ES_tradnl"/>
        </w:rPr>
        <w:t xml:space="preserve">PRESENTACIÓN DE SOLICITUD </w:t>
      </w:r>
      <w:r w:rsidRPr="00DC737B">
        <w:rPr>
          <w:rFonts w:ascii="Times New Roman" w:hAnsi="Times New Roman" w:cs="Times New Roman"/>
          <w:sz w:val="24"/>
          <w:szCs w:val="24"/>
          <w:lang w:val="es-ES_tradnl"/>
        </w:rPr>
        <w:t>A.22-05-016</w:t>
      </w:r>
    </w:p>
    <w:p w14:paraId="27BE69B4" w14:textId="77777777" w:rsidR="008656A5" w:rsidRPr="00DC737B" w:rsidRDefault="008656A5" w:rsidP="002A790E">
      <w:pPr>
        <w:spacing w:after="0" w:line="240" w:lineRule="auto"/>
        <w:rPr>
          <w:rFonts w:ascii="Times New Roman" w:hAnsi="Times New Roman" w:cs="Times New Roman"/>
          <w:b/>
          <w:bCs/>
          <w:sz w:val="24"/>
          <w:szCs w:val="24"/>
          <w:lang w:val="es-ES_tradnl"/>
        </w:rPr>
      </w:pPr>
    </w:p>
    <w:p w14:paraId="7940A4BD" w14:textId="3FA64062" w:rsidR="0C6EBB1B" w:rsidRPr="00DC737B" w:rsidRDefault="00BE25BE" w:rsidP="002A790E">
      <w:pPr>
        <w:spacing w:after="0" w:line="240" w:lineRule="auto"/>
        <w:rPr>
          <w:rFonts w:ascii="Times New Roman" w:hAnsi="Times New Roman" w:cs="Times New Roman"/>
          <w:sz w:val="24"/>
          <w:szCs w:val="24"/>
          <w:lang w:val="es-ES_tradnl"/>
        </w:rPr>
      </w:pPr>
      <w:r w:rsidRPr="00DC737B">
        <w:rPr>
          <w:rFonts w:ascii="Times New Roman" w:eastAsia="Times New Roman" w:hAnsi="Times New Roman" w:cs="Times New Roman"/>
          <w:b/>
          <w:bCs/>
          <w:sz w:val="24"/>
          <w:szCs w:val="24"/>
          <w:lang w:val="es-ES_tradnl"/>
        </w:rPr>
        <w:t>¿</w:t>
      </w:r>
      <w:r w:rsidR="000A497C">
        <w:rPr>
          <w:rFonts w:ascii="Times New Roman" w:eastAsia="Times New Roman" w:hAnsi="Times New Roman" w:cs="Times New Roman"/>
          <w:b/>
          <w:bCs/>
          <w:sz w:val="24"/>
          <w:szCs w:val="24"/>
          <w:lang w:val="es-ES_tradnl"/>
        </w:rPr>
        <w:t>P</w:t>
      </w:r>
      <w:r w:rsidR="000A497C" w:rsidRPr="00DC737B">
        <w:rPr>
          <w:rFonts w:ascii="Times New Roman" w:eastAsia="Times New Roman" w:hAnsi="Times New Roman" w:cs="Times New Roman"/>
          <w:b/>
          <w:bCs/>
          <w:sz w:val="24"/>
          <w:szCs w:val="24"/>
          <w:lang w:val="es-ES_tradnl"/>
        </w:rPr>
        <w:t>or qué estoy recibiendo este aviso</w:t>
      </w:r>
      <w:r w:rsidRPr="00DC737B">
        <w:rPr>
          <w:rFonts w:ascii="Times New Roman" w:eastAsia="Times New Roman" w:hAnsi="Times New Roman" w:cs="Times New Roman"/>
          <w:b/>
          <w:bCs/>
          <w:sz w:val="24"/>
          <w:szCs w:val="24"/>
          <w:lang w:val="es-ES_tradnl"/>
        </w:rPr>
        <w:t>?</w:t>
      </w:r>
    </w:p>
    <w:p w14:paraId="3C239489" w14:textId="687C1F5F" w:rsidR="00104DE9" w:rsidRPr="00DC737B" w:rsidRDefault="00BE25BE" w:rsidP="00104DE9">
      <w:pPr>
        <w:spacing w:after="0" w:line="240" w:lineRule="auto"/>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El 16 de mayo de 2022, San Diego Gas &amp; Electric (SDG&amp;E</w:t>
      </w:r>
      <w:r w:rsidRPr="00DC737B">
        <w:rPr>
          <w:rFonts w:ascii="Times New Roman" w:eastAsia="Times New Roman" w:hAnsi="Times New Roman" w:cs="Times New Roman"/>
          <w:sz w:val="24"/>
          <w:szCs w:val="24"/>
          <w:vertAlign w:val="superscript"/>
          <w:lang w:val="es-ES_tradnl"/>
        </w:rPr>
        <w:t>®</w:t>
      </w:r>
      <w:r w:rsidRPr="00DC737B">
        <w:rPr>
          <w:rFonts w:ascii="Times New Roman" w:eastAsia="Times New Roman" w:hAnsi="Times New Roman" w:cs="Times New Roman"/>
          <w:sz w:val="24"/>
          <w:szCs w:val="24"/>
          <w:lang w:val="es-ES_tradnl"/>
        </w:rPr>
        <w:t xml:space="preserve">) presentó ante la Comisión de Servicios Públicos de California (CPUC) una solicitud de Revisión General de Tarifas (GRC) en la que solicita autorización con el fin de aumentar los ingresos para 2024-2027. SDG&amp;E está solicitando aumentar los ingresos en $475 millones (un aumento del 18.7% en comparación con los ingresos previstos para 2023) en 2024. La presente solicitud también incluye los aumentos solicitados de $363.2 millones (12.0%) en 2025, $338.1 millones (10.0%) en 2026 y $306.9 millones (8.2%) en 2027. El aumento acumulativo solicitado en los ingresos es de $3,972 millones. </w:t>
      </w:r>
    </w:p>
    <w:p w14:paraId="45491698" w14:textId="77777777" w:rsidR="00270C7C" w:rsidRPr="00DC737B" w:rsidRDefault="00270C7C" w:rsidP="00270C7C">
      <w:pPr>
        <w:spacing w:after="0" w:line="240" w:lineRule="auto"/>
        <w:rPr>
          <w:rFonts w:ascii="Times New Roman" w:hAnsi="Times New Roman" w:cs="Times New Roman"/>
          <w:sz w:val="24"/>
          <w:szCs w:val="24"/>
          <w:lang w:val="es-ES_tradnl"/>
        </w:rPr>
      </w:pPr>
    </w:p>
    <w:p w14:paraId="1FF4A966" w14:textId="4A2A39B9" w:rsidR="00270C7C" w:rsidRPr="00DC737B" w:rsidRDefault="00BE25BE" w:rsidP="00270C7C">
      <w:pPr>
        <w:spacing w:after="0" w:line="240" w:lineRule="auto"/>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Cada cuatro años, SDG&amp;E debe presentar ante la CPUC una solicitud de GRC para establecer los ingresos anuales. Los ingresos anuales corresponden a la cantidad total de dinero que a una empresa de servicios públicos se le permite recaudar por medio de tarifas en un año dado. Los ingresos solicitados en la presente solicitud cubren los costos por poseer y operar instalaciones de distribución y generación de electricidad y dar mantenimiento a infraestructura de gas. Esta solicitud no incluye el costo por adquirir gas natural y electricidad para los clientes de SDG&amp;E y no determina en qué forma los ingresos se asignan a los grupos de clientes.</w:t>
      </w:r>
      <w:r w:rsidR="00416F7D">
        <w:rPr>
          <w:rFonts w:ascii="Times New Roman" w:eastAsia="Times New Roman" w:hAnsi="Times New Roman" w:cs="Times New Roman"/>
          <w:sz w:val="24"/>
          <w:szCs w:val="24"/>
          <w:lang w:val="es-ES_tradnl"/>
        </w:rPr>
        <w:t xml:space="preserve"> </w:t>
      </w:r>
      <w:r w:rsidRPr="00DC737B">
        <w:rPr>
          <w:rFonts w:ascii="Times New Roman" w:eastAsia="Times New Roman" w:hAnsi="Times New Roman" w:cs="Times New Roman"/>
          <w:sz w:val="24"/>
          <w:szCs w:val="24"/>
          <w:lang w:val="es-ES_tradnl"/>
        </w:rPr>
        <w:t>Esos costos se evalúan y autorizan en procedimientos por separado.</w:t>
      </w:r>
    </w:p>
    <w:p w14:paraId="3C06113B" w14:textId="77777777" w:rsidR="00104DE9" w:rsidRPr="00DC737B" w:rsidRDefault="00104DE9" w:rsidP="00104DE9">
      <w:pPr>
        <w:spacing w:after="0" w:line="240" w:lineRule="auto"/>
        <w:rPr>
          <w:rFonts w:ascii="Times New Roman" w:hAnsi="Times New Roman" w:cs="Times New Roman"/>
          <w:sz w:val="24"/>
          <w:szCs w:val="24"/>
          <w:lang w:val="es-ES_tradnl"/>
        </w:rPr>
      </w:pPr>
    </w:p>
    <w:p w14:paraId="4FCFC685" w14:textId="2EE733E0" w:rsidR="00104DE9" w:rsidRPr="00DC737B" w:rsidRDefault="00BE25BE" w:rsidP="00104DE9">
      <w:pPr>
        <w:spacing w:after="0" w:line="240" w:lineRule="auto"/>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Si la CPUC aprueba esta solicitud, SDG&amp;E implementará nuevos ingresos en las tarifas eléctricas y de gas a partir del 1 de enero de 2024. Esto impactará su factura mensual.</w:t>
      </w:r>
    </w:p>
    <w:p w14:paraId="010FDF2B" w14:textId="77777777" w:rsidR="008656A5" w:rsidRPr="00DC737B" w:rsidRDefault="008656A5" w:rsidP="002A790E">
      <w:pPr>
        <w:spacing w:after="0" w:line="240" w:lineRule="auto"/>
        <w:rPr>
          <w:rFonts w:ascii="Times New Roman" w:hAnsi="Times New Roman" w:cs="Times New Roman"/>
          <w:b/>
          <w:bCs/>
          <w:sz w:val="24"/>
          <w:szCs w:val="24"/>
          <w:lang w:val="es-ES_tradnl"/>
        </w:rPr>
      </w:pPr>
    </w:p>
    <w:p w14:paraId="4EB99824" w14:textId="1C987EDF" w:rsidR="4E5FCC20" w:rsidRPr="00DC737B" w:rsidRDefault="00BE25BE" w:rsidP="002A790E">
      <w:pPr>
        <w:spacing w:after="0" w:line="240" w:lineRule="auto"/>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t>¿</w:t>
      </w:r>
      <w:r w:rsidR="00F6534C" w:rsidRPr="00DC737B">
        <w:rPr>
          <w:rFonts w:ascii="Times New Roman" w:eastAsia="Times New Roman" w:hAnsi="Times New Roman" w:cs="Times New Roman"/>
          <w:b/>
          <w:bCs/>
          <w:sz w:val="24"/>
          <w:szCs w:val="24"/>
          <w:lang w:val="es-ES_tradnl"/>
        </w:rPr>
        <w:t>Por qué está solicitando</w:t>
      </w:r>
      <w:r w:rsidRPr="00DC737B">
        <w:rPr>
          <w:rFonts w:ascii="Times New Roman" w:eastAsia="Times New Roman" w:hAnsi="Times New Roman" w:cs="Times New Roman"/>
          <w:b/>
          <w:bCs/>
          <w:sz w:val="24"/>
          <w:szCs w:val="24"/>
          <w:lang w:val="es-ES_tradnl"/>
        </w:rPr>
        <w:t xml:space="preserve"> SDG&amp;E </w:t>
      </w:r>
      <w:r w:rsidR="00F6534C" w:rsidRPr="00DC737B">
        <w:rPr>
          <w:rFonts w:ascii="Times New Roman" w:eastAsia="Times New Roman" w:hAnsi="Times New Roman" w:cs="Times New Roman"/>
          <w:b/>
          <w:bCs/>
          <w:sz w:val="24"/>
          <w:szCs w:val="24"/>
          <w:lang w:val="es-ES_tradnl"/>
        </w:rPr>
        <w:t>este aumento tarifario</w:t>
      </w:r>
      <w:r w:rsidRPr="00DC737B">
        <w:rPr>
          <w:rFonts w:ascii="Times New Roman" w:eastAsia="Times New Roman" w:hAnsi="Times New Roman" w:cs="Times New Roman"/>
          <w:b/>
          <w:bCs/>
          <w:sz w:val="24"/>
          <w:szCs w:val="24"/>
          <w:lang w:val="es-ES_tradnl"/>
        </w:rPr>
        <w:t>?</w:t>
      </w:r>
    </w:p>
    <w:p w14:paraId="1081A959" w14:textId="203AED3E" w:rsidR="005A5541" w:rsidRPr="00DC737B" w:rsidRDefault="00BE25BE" w:rsidP="005A5541">
      <w:pPr>
        <w:pStyle w:val="ListParagraph"/>
        <w:numPr>
          <w:ilvl w:val="0"/>
          <w:numId w:val="2"/>
        </w:numPr>
        <w:spacing w:after="240" w:line="240" w:lineRule="auto"/>
        <w:contextualSpacing w:val="0"/>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A efecto de continuar invirtiendo en sus sistemas de gas y electricidad para aumentar la seguridad y confiabilidad, y para manejar los riesgos que podrían afectar a sus empleados, clientes o sistema;</w:t>
      </w:r>
    </w:p>
    <w:p w14:paraId="1A9D6970" w14:textId="2FCF35A2" w:rsidR="005A5541" w:rsidRPr="00DC737B" w:rsidRDefault="00BE25BE" w:rsidP="005A5541">
      <w:pPr>
        <w:pStyle w:val="ListParagraph"/>
        <w:numPr>
          <w:ilvl w:val="0"/>
          <w:numId w:val="2"/>
        </w:numPr>
        <w:spacing w:after="240" w:line="240" w:lineRule="auto"/>
        <w:contextualSpacing w:val="0"/>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Para invertir en sus sistemas y tecnologías de electricidad y gas que impulsan la energía limpia en favor de los clientes y el medio ambiente.</w:t>
      </w:r>
    </w:p>
    <w:p w14:paraId="4B7DF533" w14:textId="1E317951" w:rsidR="005A5541" w:rsidRPr="00DC737B" w:rsidRDefault="00BE25BE" w:rsidP="005A5541">
      <w:pPr>
        <w:pStyle w:val="ListParagraph"/>
        <w:numPr>
          <w:ilvl w:val="0"/>
          <w:numId w:val="2"/>
        </w:numPr>
        <w:spacing w:after="240" w:line="240" w:lineRule="auto"/>
        <w:contextualSpacing w:val="0"/>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Con el fin de financiar servicios de apoyo y proporcionar a los clientes de SDG&amp;E un servicio al cliente seguro, confiable y que responde. </w:t>
      </w:r>
    </w:p>
    <w:p w14:paraId="0DCA2B02" w14:textId="4CB69E3F" w:rsidR="005A5541" w:rsidRPr="00DC737B" w:rsidRDefault="00BE25BE" w:rsidP="005A5541">
      <w:pPr>
        <w:pStyle w:val="ListParagraph"/>
        <w:numPr>
          <w:ilvl w:val="0"/>
          <w:numId w:val="2"/>
        </w:numPr>
        <w:spacing w:after="240" w:line="240" w:lineRule="auto"/>
        <w:contextualSpacing w:val="0"/>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Para cumplir con requisitos de regulación y cumplimiento impulsados por la seguridad y confiabilidad del sistema y el cumplimiento en materia ambiental.</w:t>
      </w:r>
    </w:p>
    <w:p w14:paraId="38C6DFCC" w14:textId="63BAB204" w:rsidR="008656A5" w:rsidRPr="00DC737B" w:rsidRDefault="00BE25BE" w:rsidP="005A5541">
      <w:pPr>
        <w:pStyle w:val="ListParagraph"/>
        <w:numPr>
          <w:ilvl w:val="0"/>
          <w:numId w:val="2"/>
        </w:numPr>
        <w:spacing w:after="240" w:line="240" w:lineRule="auto"/>
        <w:contextualSpacing w:val="0"/>
        <w:rPr>
          <w:rFonts w:ascii="Times New Roman" w:hAnsi="Times New Roman" w:cs="Times New Roman"/>
          <w:b/>
          <w:bCs/>
          <w:sz w:val="24"/>
          <w:szCs w:val="24"/>
          <w:lang w:val="es-ES_tradnl"/>
        </w:rPr>
      </w:pPr>
      <w:r w:rsidRPr="00DC737B">
        <w:rPr>
          <w:rFonts w:ascii="Times New Roman" w:eastAsia="Times New Roman" w:hAnsi="Times New Roman" w:cs="Times New Roman"/>
          <w:sz w:val="24"/>
          <w:szCs w:val="24"/>
          <w:lang w:val="es-ES_tradnl"/>
        </w:rPr>
        <w:t>A fin de invertir en esfuerzos y programas orientados a mantener a una fuerza de trabajo altamente capacitada, calificada y diversa.</w:t>
      </w:r>
    </w:p>
    <w:p w14:paraId="0C4C4023" w14:textId="43B6DC64" w:rsidR="00EC3E4A" w:rsidRPr="00DC737B" w:rsidRDefault="00EC3E4A" w:rsidP="00EC3E4A">
      <w:pPr>
        <w:spacing w:after="240" w:line="240" w:lineRule="auto"/>
        <w:rPr>
          <w:rFonts w:ascii="Times New Roman" w:hAnsi="Times New Roman" w:cs="Times New Roman"/>
          <w:b/>
          <w:bCs/>
          <w:sz w:val="24"/>
          <w:szCs w:val="24"/>
          <w:lang w:val="es-ES_tradnl"/>
        </w:rPr>
      </w:pPr>
    </w:p>
    <w:p w14:paraId="5931D2CD" w14:textId="77777777" w:rsidR="00EC3E4A" w:rsidRPr="00DC737B" w:rsidRDefault="00EC3E4A" w:rsidP="00EC3E4A">
      <w:pPr>
        <w:spacing w:after="240" w:line="240" w:lineRule="auto"/>
        <w:rPr>
          <w:rFonts w:ascii="Times New Roman" w:hAnsi="Times New Roman" w:cs="Times New Roman"/>
          <w:b/>
          <w:bCs/>
          <w:sz w:val="24"/>
          <w:szCs w:val="24"/>
          <w:lang w:val="es-ES_tradnl"/>
        </w:rPr>
      </w:pPr>
    </w:p>
    <w:p w14:paraId="173598D4" w14:textId="77777777" w:rsidR="005A5541" w:rsidRPr="00DC737B" w:rsidRDefault="005A5541" w:rsidP="005A5541">
      <w:pPr>
        <w:pStyle w:val="ListParagraph"/>
        <w:spacing w:after="0" w:line="240" w:lineRule="auto"/>
        <w:rPr>
          <w:rFonts w:ascii="Times New Roman" w:hAnsi="Times New Roman" w:cs="Times New Roman"/>
          <w:b/>
          <w:bCs/>
          <w:sz w:val="24"/>
          <w:szCs w:val="24"/>
          <w:lang w:val="es-ES_tradnl"/>
        </w:rPr>
      </w:pPr>
    </w:p>
    <w:p w14:paraId="7A98C665" w14:textId="5A48192C" w:rsidR="4E5FCC20" w:rsidRPr="00DC737B" w:rsidRDefault="00BE25BE" w:rsidP="002A790E">
      <w:pPr>
        <w:spacing w:after="0" w:line="240" w:lineRule="auto"/>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t>¿Cómo podría esto afectar mis tarifas eléctricas mensuales?</w:t>
      </w:r>
    </w:p>
    <w:p w14:paraId="1BC05B05" w14:textId="34684300" w:rsidR="596D81FA" w:rsidRPr="00DC737B" w:rsidRDefault="00BE25BE" w:rsidP="002A790E">
      <w:pPr>
        <w:spacing w:after="0" w:line="240" w:lineRule="auto"/>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Si la CPUC aprueba la solicitud tarifaria de SDG&amp;E, la factura mensual residencial típica de verano para la costa con un consumo de 400 kWh al mes aumentaría en aproximadamente $9.11 o 5.6% al mes en 2024, en comparación con lo estimado para 2023. Las facturas por cliente individual pueden variar. </w:t>
      </w:r>
    </w:p>
    <w:p w14:paraId="644C1638" w14:textId="77777777" w:rsidR="008656A5" w:rsidRPr="00DC737B" w:rsidRDefault="008656A5" w:rsidP="002A790E">
      <w:pPr>
        <w:spacing w:after="0" w:line="240" w:lineRule="auto"/>
        <w:rPr>
          <w:rFonts w:ascii="Times New Roman" w:eastAsia="Calibri" w:hAnsi="Times New Roman" w:cs="Times New Roman"/>
          <w:sz w:val="24"/>
          <w:szCs w:val="24"/>
          <w:lang w:val="es-ES_tradnl"/>
        </w:rPr>
      </w:pPr>
    </w:p>
    <w:p w14:paraId="6AD6B7B4" w14:textId="77777777" w:rsidR="00A06171" w:rsidRPr="00DC737B" w:rsidRDefault="00BE25BE" w:rsidP="00A06171">
      <w:pPr>
        <w:spacing w:after="0" w:line="240" w:lineRule="auto"/>
        <w:jc w:val="center"/>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Aumento propuesto en la tarifa eléctrica </w:t>
      </w:r>
    </w:p>
    <w:tbl>
      <w:tblPr>
        <w:tblW w:w="10349" w:type="dxa"/>
        <w:tblLook w:val="04A0" w:firstRow="1" w:lastRow="0" w:firstColumn="1" w:lastColumn="0" w:noHBand="0" w:noVBand="1"/>
      </w:tblPr>
      <w:tblGrid>
        <w:gridCol w:w="270"/>
        <w:gridCol w:w="178"/>
        <w:gridCol w:w="585"/>
        <w:gridCol w:w="175"/>
        <w:gridCol w:w="1332"/>
        <w:gridCol w:w="301"/>
        <w:gridCol w:w="1158"/>
        <w:gridCol w:w="1117"/>
        <w:gridCol w:w="1256"/>
        <w:gridCol w:w="973"/>
        <w:gridCol w:w="65"/>
        <w:gridCol w:w="842"/>
        <w:gridCol w:w="477"/>
        <w:gridCol w:w="513"/>
        <w:gridCol w:w="40"/>
        <w:gridCol w:w="478"/>
        <w:gridCol w:w="257"/>
        <w:gridCol w:w="60"/>
        <w:gridCol w:w="208"/>
        <w:gridCol w:w="49"/>
        <w:gridCol w:w="257"/>
      </w:tblGrid>
      <w:tr w:rsidR="0089435C" w:rsidRPr="00DC737B" w14:paraId="44B0FCCE" w14:textId="77777777" w:rsidTr="008916CE">
        <w:trPr>
          <w:trHeight w:val="150"/>
        </w:trPr>
        <w:tc>
          <w:tcPr>
            <w:tcW w:w="424" w:type="dxa"/>
            <w:gridSpan w:val="2"/>
            <w:tcBorders>
              <w:top w:val="nil"/>
              <w:left w:val="nil"/>
              <w:bottom w:val="nil"/>
              <w:right w:val="nil"/>
            </w:tcBorders>
            <w:shd w:val="clear" w:color="auto" w:fill="auto"/>
            <w:noWrap/>
            <w:vAlign w:val="bottom"/>
            <w:hideMark/>
          </w:tcPr>
          <w:p w14:paraId="7AB66827" w14:textId="77777777" w:rsidR="002D1AF2" w:rsidRPr="00DC737B" w:rsidRDefault="002D1AF2" w:rsidP="005541B5">
            <w:pPr>
              <w:spacing w:after="0" w:line="240" w:lineRule="auto"/>
              <w:rPr>
                <w:rFonts w:ascii="Times New Roman" w:eastAsia="Times New Roman" w:hAnsi="Times New Roman" w:cs="Times New Roman"/>
                <w:sz w:val="20"/>
                <w:szCs w:val="20"/>
                <w:lang w:val="es-ES_tradnl"/>
              </w:rPr>
            </w:pPr>
          </w:p>
        </w:tc>
        <w:tc>
          <w:tcPr>
            <w:tcW w:w="680" w:type="dxa"/>
            <w:gridSpan w:val="2"/>
            <w:tcBorders>
              <w:top w:val="nil"/>
              <w:left w:val="nil"/>
              <w:bottom w:val="single" w:sz="4" w:space="0" w:color="auto"/>
              <w:right w:val="nil"/>
            </w:tcBorders>
            <w:shd w:val="clear" w:color="auto" w:fill="FFFFFF" w:themeFill="background1"/>
            <w:noWrap/>
            <w:vAlign w:val="bottom"/>
            <w:hideMark/>
          </w:tcPr>
          <w:p w14:paraId="42C6A9D0" w14:textId="77777777" w:rsidR="002D1AF2" w:rsidRPr="00DC737B" w:rsidRDefault="00BE25BE" w:rsidP="005541B5">
            <w:pPr>
              <w:spacing w:after="0" w:line="240" w:lineRule="auto"/>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1332" w:type="dxa"/>
            <w:tcBorders>
              <w:top w:val="nil"/>
              <w:left w:val="nil"/>
              <w:bottom w:val="single" w:sz="4" w:space="0" w:color="auto"/>
              <w:right w:val="nil"/>
            </w:tcBorders>
            <w:shd w:val="clear" w:color="auto" w:fill="FFFFFF" w:themeFill="background1"/>
            <w:noWrap/>
            <w:vAlign w:val="bottom"/>
            <w:hideMark/>
          </w:tcPr>
          <w:p w14:paraId="5A6D5DF6" w14:textId="77777777" w:rsidR="002D1AF2" w:rsidRPr="00DC737B" w:rsidRDefault="00BE25BE" w:rsidP="005541B5">
            <w:pPr>
              <w:spacing w:after="0" w:line="240" w:lineRule="auto"/>
              <w:jc w:val="center"/>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301" w:type="dxa"/>
            <w:tcBorders>
              <w:top w:val="nil"/>
              <w:left w:val="nil"/>
              <w:bottom w:val="single" w:sz="4" w:space="0" w:color="auto"/>
              <w:right w:val="nil"/>
            </w:tcBorders>
            <w:shd w:val="clear" w:color="auto" w:fill="FFFFFF" w:themeFill="background1"/>
            <w:noWrap/>
            <w:vAlign w:val="bottom"/>
            <w:hideMark/>
          </w:tcPr>
          <w:p w14:paraId="30BA988F" w14:textId="77777777" w:rsidR="002D1AF2" w:rsidRPr="00DC737B" w:rsidRDefault="00BE25BE" w:rsidP="005541B5">
            <w:pPr>
              <w:spacing w:after="0" w:line="240" w:lineRule="auto"/>
              <w:jc w:val="center"/>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1158" w:type="dxa"/>
            <w:tcBorders>
              <w:top w:val="nil"/>
              <w:left w:val="nil"/>
              <w:bottom w:val="nil"/>
              <w:right w:val="nil"/>
            </w:tcBorders>
            <w:shd w:val="clear" w:color="auto" w:fill="FFFFFF" w:themeFill="background1"/>
            <w:noWrap/>
            <w:vAlign w:val="bottom"/>
            <w:hideMark/>
          </w:tcPr>
          <w:p w14:paraId="017B78E6" w14:textId="77777777" w:rsidR="002D1AF2" w:rsidRPr="00DC737B" w:rsidRDefault="00BE25BE" w:rsidP="005541B5">
            <w:pPr>
              <w:spacing w:after="0" w:line="240" w:lineRule="auto"/>
              <w:jc w:val="center"/>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1117" w:type="dxa"/>
            <w:tcBorders>
              <w:top w:val="nil"/>
              <w:left w:val="nil"/>
              <w:bottom w:val="nil"/>
              <w:right w:val="nil"/>
            </w:tcBorders>
            <w:shd w:val="clear" w:color="auto" w:fill="FFFFFF" w:themeFill="background1"/>
            <w:noWrap/>
            <w:vAlign w:val="bottom"/>
            <w:hideMark/>
          </w:tcPr>
          <w:p w14:paraId="78D9C5F3" w14:textId="77777777" w:rsidR="002D1AF2" w:rsidRPr="00DC737B" w:rsidRDefault="00BE25BE" w:rsidP="005541B5">
            <w:pPr>
              <w:spacing w:after="0" w:line="240" w:lineRule="auto"/>
              <w:jc w:val="center"/>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1118" w:type="dxa"/>
            <w:tcBorders>
              <w:top w:val="nil"/>
              <w:left w:val="nil"/>
              <w:bottom w:val="nil"/>
              <w:right w:val="nil"/>
            </w:tcBorders>
            <w:shd w:val="clear" w:color="auto" w:fill="FFFFFF" w:themeFill="background1"/>
            <w:noWrap/>
            <w:vAlign w:val="bottom"/>
            <w:hideMark/>
          </w:tcPr>
          <w:p w14:paraId="558BF689" w14:textId="77777777" w:rsidR="002D1AF2" w:rsidRPr="00DC737B" w:rsidRDefault="00BE25BE" w:rsidP="005541B5">
            <w:pPr>
              <w:spacing w:after="0" w:line="240" w:lineRule="auto"/>
              <w:jc w:val="center"/>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973" w:type="dxa"/>
            <w:tcBorders>
              <w:top w:val="nil"/>
              <w:left w:val="nil"/>
              <w:bottom w:val="nil"/>
              <w:right w:val="nil"/>
            </w:tcBorders>
            <w:shd w:val="clear" w:color="auto" w:fill="FFFFFF" w:themeFill="background1"/>
            <w:noWrap/>
            <w:vAlign w:val="bottom"/>
            <w:hideMark/>
          </w:tcPr>
          <w:p w14:paraId="757DC380" w14:textId="77777777" w:rsidR="002D1AF2" w:rsidRPr="00DC737B" w:rsidRDefault="00BE25BE" w:rsidP="005541B5">
            <w:pPr>
              <w:spacing w:after="0" w:line="240" w:lineRule="auto"/>
              <w:jc w:val="center"/>
              <w:rPr>
                <w:rFonts w:ascii="Arial" w:eastAsia="Times New Roman" w:hAnsi="Arial" w:cs="Arial"/>
                <w:sz w:val="16"/>
                <w:szCs w:val="16"/>
                <w:lang w:val="es-ES_tradnl"/>
              </w:rPr>
            </w:pPr>
            <w:r w:rsidRPr="00DC737B">
              <w:rPr>
                <w:rFonts w:ascii="Arial" w:eastAsia="Times New Roman" w:hAnsi="Arial" w:cs="Arial"/>
                <w:sz w:val="16"/>
                <w:szCs w:val="16"/>
                <w:lang w:val="es-ES_tradnl"/>
              </w:rPr>
              <w:t> </w:t>
            </w:r>
          </w:p>
        </w:tc>
        <w:tc>
          <w:tcPr>
            <w:tcW w:w="1384" w:type="dxa"/>
            <w:gridSpan w:val="3"/>
            <w:tcBorders>
              <w:top w:val="nil"/>
              <w:left w:val="nil"/>
              <w:bottom w:val="nil"/>
              <w:right w:val="nil"/>
            </w:tcBorders>
          </w:tcPr>
          <w:p w14:paraId="74C20E9E" w14:textId="77777777" w:rsidR="002D1AF2" w:rsidRPr="00DC737B" w:rsidRDefault="002D1AF2" w:rsidP="005541B5">
            <w:pPr>
              <w:spacing w:after="0" w:line="240" w:lineRule="auto"/>
              <w:jc w:val="center"/>
              <w:rPr>
                <w:rFonts w:ascii="Arial" w:eastAsia="Times New Roman" w:hAnsi="Arial" w:cs="Arial"/>
                <w:sz w:val="16"/>
                <w:szCs w:val="16"/>
                <w:lang w:val="es-ES_tradnl"/>
              </w:rPr>
            </w:pPr>
          </w:p>
        </w:tc>
        <w:tc>
          <w:tcPr>
            <w:tcW w:w="1031" w:type="dxa"/>
            <w:gridSpan w:val="3"/>
            <w:tcBorders>
              <w:top w:val="nil"/>
              <w:left w:val="nil"/>
              <w:bottom w:val="nil"/>
              <w:right w:val="nil"/>
            </w:tcBorders>
            <w:shd w:val="clear" w:color="auto" w:fill="auto"/>
            <w:noWrap/>
            <w:vAlign w:val="bottom"/>
            <w:hideMark/>
          </w:tcPr>
          <w:p w14:paraId="53B7ACD2" w14:textId="77777777" w:rsidR="002D1AF2" w:rsidRPr="00DC737B" w:rsidRDefault="002D1AF2" w:rsidP="005541B5">
            <w:pPr>
              <w:spacing w:after="0" w:line="240" w:lineRule="auto"/>
              <w:jc w:val="center"/>
              <w:rPr>
                <w:rFonts w:ascii="Arial" w:eastAsia="Times New Roman" w:hAnsi="Arial" w:cs="Arial"/>
                <w:sz w:val="16"/>
                <w:szCs w:val="16"/>
                <w:lang w:val="es-ES_tradnl"/>
              </w:rPr>
            </w:pPr>
          </w:p>
        </w:tc>
        <w:tc>
          <w:tcPr>
            <w:tcW w:w="317" w:type="dxa"/>
            <w:gridSpan w:val="2"/>
            <w:tcBorders>
              <w:top w:val="nil"/>
              <w:left w:val="nil"/>
              <w:bottom w:val="nil"/>
              <w:right w:val="nil"/>
            </w:tcBorders>
            <w:shd w:val="clear" w:color="auto" w:fill="auto"/>
            <w:noWrap/>
            <w:vAlign w:val="bottom"/>
            <w:hideMark/>
          </w:tcPr>
          <w:p w14:paraId="486DE402" w14:textId="77777777" w:rsidR="002D1AF2" w:rsidRPr="00DC737B" w:rsidRDefault="002D1AF2" w:rsidP="005541B5">
            <w:pPr>
              <w:spacing w:after="0" w:line="240" w:lineRule="auto"/>
              <w:rPr>
                <w:rFonts w:ascii="Times New Roman" w:eastAsia="Times New Roman" w:hAnsi="Times New Roman" w:cs="Times New Roman"/>
                <w:sz w:val="20"/>
                <w:szCs w:val="20"/>
                <w:lang w:val="es-ES_tradnl"/>
              </w:rPr>
            </w:pPr>
          </w:p>
        </w:tc>
        <w:tc>
          <w:tcPr>
            <w:tcW w:w="257" w:type="dxa"/>
            <w:gridSpan w:val="2"/>
            <w:tcBorders>
              <w:top w:val="nil"/>
              <w:left w:val="nil"/>
              <w:bottom w:val="nil"/>
              <w:right w:val="nil"/>
            </w:tcBorders>
            <w:shd w:val="clear" w:color="auto" w:fill="auto"/>
            <w:noWrap/>
            <w:vAlign w:val="bottom"/>
            <w:hideMark/>
          </w:tcPr>
          <w:p w14:paraId="3AD0F3E6" w14:textId="77777777" w:rsidR="002D1AF2" w:rsidRPr="00DC737B" w:rsidRDefault="002D1AF2" w:rsidP="005541B5">
            <w:pPr>
              <w:spacing w:after="0" w:line="240" w:lineRule="auto"/>
              <w:rPr>
                <w:rFonts w:ascii="Times New Roman" w:eastAsia="Times New Roman" w:hAnsi="Times New Roman" w:cs="Times New Roman"/>
                <w:sz w:val="20"/>
                <w:szCs w:val="20"/>
                <w:lang w:val="es-ES_tradnl"/>
              </w:rPr>
            </w:pPr>
          </w:p>
        </w:tc>
        <w:tc>
          <w:tcPr>
            <w:tcW w:w="257" w:type="dxa"/>
            <w:tcBorders>
              <w:top w:val="nil"/>
              <w:left w:val="nil"/>
              <w:bottom w:val="nil"/>
              <w:right w:val="nil"/>
            </w:tcBorders>
            <w:shd w:val="clear" w:color="auto" w:fill="auto"/>
            <w:noWrap/>
            <w:vAlign w:val="bottom"/>
            <w:hideMark/>
          </w:tcPr>
          <w:p w14:paraId="7D2989DB" w14:textId="77777777" w:rsidR="002D1AF2" w:rsidRPr="00DC737B" w:rsidRDefault="002D1AF2" w:rsidP="005541B5">
            <w:pPr>
              <w:spacing w:after="0" w:line="240" w:lineRule="auto"/>
              <w:rPr>
                <w:rFonts w:ascii="Times New Roman" w:eastAsia="Times New Roman" w:hAnsi="Times New Roman" w:cs="Times New Roman"/>
                <w:sz w:val="20"/>
                <w:szCs w:val="20"/>
                <w:lang w:val="es-ES_tradnl"/>
              </w:rPr>
            </w:pPr>
          </w:p>
        </w:tc>
      </w:tr>
      <w:tr w:rsidR="0089435C" w:rsidRPr="00DC737B" w14:paraId="6B66D7FF" w14:textId="77777777" w:rsidTr="008916CE">
        <w:trPr>
          <w:gridAfter w:val="4"/>
          <w:wAfter w:w="574" w:type="dxa"/>
          <w:trHeight w:val="277"/>
        </w:trPr>
        <w:tc>
          <w:tcPr>
            <w:tcW w:w="270" w:type="dxa"/>
            <w:tcBorders>
              <w:top w:val="nil"/>
              <w:left w:val="nil"/>
              <w:bottom w:val="single" w:sz="4" w:space="0" w:color="FFFFFF" w:themeColor="background1"/>
              <w:right w:val="single" w:sz="4" w:space="0" w:color="auto"/>
            </w:tcBorders>
            <w:shd w:val="clear" w:color="auto" w:fill="auto"/>
            <w:noWrap/>
            <w:vAlign w:val="bottom"/>
            <w:hideMark/>
          </w:tcPr>
          <w:p w14:paraId="6BFE8662" w14:textId="77777777" w:rsidR="002D1AF2" w:rsidRPr="00DC737B" w:rsidRDefault="002D1AF2" w:rsidP="005541B5">
            <w:pPr>
              <w:spacing w:after="0" w:line="240" w:lineRule="auto"/>
              <w:rPr>
                <w:rFonts w:ascii="Times New Roman" w:eastAsia="Times New Roman" w:hAnsi="Times New Roman" w:cs="Times New Roman"/>
                <w:sz w:val="20"/>
                <w:szCs w:val="20"/>
                <w:lang w:val="es-ES_tradnl"/>
              </w:rPr>
            </w:pPr>
          </w:p>
        </w:tc>
        <w:tc>
          <w:tcPr>
            <w:tcW w:w="659" w:type="dxa"/>
            <w:gridSpan w:val="2"/>
            <w:tcBorders>
              <w:top w:val="single" w:sz="4" w:space="0" w:color="auto"/>
              <w:left w:val="single" w:sz="4" w:space="0" w:color="auto"/>
              <w:bottom w:val="nil"/>
              <w:right w:val="nil"/>
            </w:tcBorders>
            <w:shd w:val="clear" w:color="auto" w:fill="FFFFFF" w:themeFill="background1"/>
            <w:noWrap/>
            <w:vAlign w:val="bottom"/>
            <w:hideMark/>
          </w:tcPr>
          <w:p w14:paraId="1E76563D" w14:textId="77777777" w:rsidR="002D1AF2"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507" w:type="dxa"/>
            <w:gridSpan w:val="2"/>
            <w:tcBorders>
              <w:top w:val="single" w:sz="4" w:space="0" w:color="auto"/>
              <w:left w:val="nil"/>
              <w:bottom w:val="nil"/>
              <w:right w:val="nil"/>
            </w:tcBorders>
            <w:shd w:val="clear" w:color="auto" w:fill="FFFFFF" w:themeFill="background1"/>
            <w:noWrap/>
            <w:vAlign w:val="bottom"/>
            <w:hideMark/>
          </w:tcPr>
          <w:p w14:paraId="3CD726B8" w14:textId="77777777" w:rsidR="002D1AF2"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301" w:type="dxa"/>
            <w:tcBorders>
              <w:top w:val="single" w:sz="4" w:space="0" w:color="auto"/>
              <w:left w:val="nil"/>
              <w:bottom w:val="nil"/>
              <w:right w:val="nil"/>
            </w:tcBorders>
            <w:shd w:val="clear" w:color="auto" w:fill="FFFFFF" w:themeFill="background1"/>
            <w:noWrap/>
            <w:vAlign w:val="bottom"/>
            <w:hideMark/>
          </w:tcPr>
          <w:p w14:paraId="24F54267" w14:textId="77777777" w:rsidR="002D1AF2"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3393"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0012FEC" w14:textId="74624120"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Tarifas totales</w:t>
            </w:r>
          </w:p>
        </w:tc>
        <w:tc>
          <w:tcPr>
            <w:tcW w:w="1880" w:type="dxa"/>
            <w:gridSpan w:val="3"/>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14:paraId="78986E03" w14:textId="36051FC6"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Aumento </w:t>
            </w:r>
            <w:r w:rsidR="00416F7D">
              <w:rPr>
                <w:rFonts w:ascii="Times New Roman" w:eastAsia="Times New Roman" w:hAnsi="Times New Roman" w:cs="Times New Roman"/>
                <w:sz w:val="24"/>
                <w:szCs w:val="24"/>
                <w:lang w:val="es-ES_tradnl"/>
              </w:rPr>
              <w:br/>
            </w:r>
            <w:r w:rsidRPr="00DC737B">
              <w:rPr>
                <w:rFonts w:ascii="Times New Roman" w:eastAsia="Times New Roman" w:hAnsi="Times New Roman" w:cs="Times New Roman"/>
                <w:sz w:val="24"/>
                <w:szCs w:val="24"/>
                <w:lang w:val="es-ES_tradnl"/>
              </w:rPr>
              <w:t>2022 a 2024</w:t>
            </w:r>
          </w:p>
        </w:tc>
        <w:tc>
          <w:tcPr>
            <w:tcW w:w="1765" w:type="dxa"/>
            <w:gridSpan w:val="5"/>
            <w:tcBorders>
              <w:top w:val="single" w:sz="4" w:space="0" w:color="auto"/>
              <w:left w:val="nil"/>
              <w:bottom w:val="single" w:sz="4" w:space="0" w:color="auto"/>
              <w:right w:val="single" w:sz="4" w:space="0" w:color="000000" w:themeColor="text1"/>
            </w:tcBorders>
            <w:shd w:val="clear" w:color="auto" w:fill="FFFFFF" w:themeFill="background1"/>
            <w:vAlign w:val="bottom"/>
          </w:tcPr>
          <w:p w14:paraId="0AC15DE8" w14:textId="182F8E30"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Aumento </w:t>
            </w:r>
            <w:r w:rsidR="00416F7D">
              <w:rPr>
                <w:rFonts w:ascii="Times New Roman" w:eastAsia="Times New Roman" w:hAnsi="Times New Roman" w:cs="Times New Roman"/>
                <w:sz w:val="24"/>
                <w:szCs w:val="24"/>
                <w:lang w:val="es-ES_tradnl"/>
              </w:rPr>
              <w:br/>
            </w:r>
            <w:r w:rsidRPr="00DC737B">
              <w:rPr>
                <w:rFonts w:ascii="Times New Roman" w:eastAsia="Times New Roman" w:hAnsi="Times New Roman" w:cs="Times New Roman"/>
                <w:sz w:val="24"/>
                <w:szCs w:val="24"/>
                <w:lang w:val="es-ES_tradnl"/>
              </w:rPr>
              <w:t>2023 a 2024</w:t>
            </w:r>
          </w:p>
        </w:tc>
      </w:tr>
      <w:tr w:rsidR="0089435C" w:rsidRPr="00DC737B" w14:paraId="679693E5" w14:textId="77777777" w:rsidTr="008916CE">
        <w:trPr>
          <w:gridAfter w:val="4"/>
          <w:wAfter w:w="574" w:type="dxa"/>
          <w:trHeight w:val="657"/>
        </w:trPr>
        <w:tc>
          <w:tcPr>
            <w:tcW w:w="270" w:type="dxa"/>
            <w:tcBorders>
              <w:top w:val="single" w:sz="4" w:space="0" w:color="FFFFFF" w:themeColor="background1"/>
              <w:left w:val="nil"/>
              <w:bottom w:val="nil"/>
              <w:right w:val="single" w:sz="4" w:space="0" w:color="auto"/>
            </w:tcBorders>
            <w:shd w:val="clear" w:color="auto" w:fill="auto"/>
            <w:noWrap/>
            <w:vAlign w:val="bottom"/>
            <w:hideMark/>
          </w:tcPr>
          <w:p w14:paraId="1E959841" w14:textId="77777777" w:rsidR="002D1AF2" w:rsidRPr="00DC737B" w:rsidRDefault="002D1AF2" w:rsidP="005541B5">
            <w:pPr>
              <w:spacing w:after="0" w:line="240" w:lineRule="auto"/>
              <w:jc w:val="center"/>
              <w:rPr>
                <w:rFonts w:ascii="Arial" w:eastAsia="Times New Roman" w:hAnsi="Arial" w:cs="Arial"/>
                <w:sz w:val="16"/>
                <w:szCs w:val="16"/>
                <w:lang w:val="es-ES_tradnl"/>
              </w:rPr>
            </w:pPr>
          </w:p>
        </w:tc>
        <w:tc>
          <w:tcPr>
            <w:tcW w:w="659" w:type="dxa"/>
            <w:gridSpan w:val="2"/>
            <w:tcBorders>
              <w:top w:val="single" w:sz="4" w:space="0" w:color="auto"/>
              <w:left w:val="single" w:sz="4" w:space="0" w:color="auto"/>
              <w:bottom w:val="nil"/>
              <w:right w:val="nil"/>
            </w:tcBorders>
            <w:shd w:val="clear" w:color="auto" w:fill="FFFFFF" w:themeFill="background1"/>
            <w:noWrap/>
            <w:vAlign w:val="bottom"/>
            <w:hideMark/>
          </w:tcPr>
          <w:p w14:paraId="6BFEAD22" w14:textId="77777777" w:rsidR="002D1AF2"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507" w:type="dxa"/>
            <w:gridSpan w:val="2"/>
            <w:tcBorders>
              <w:top w:val="single" w:sz="4" w:space="0" w:color="auto"/>
              <w:left w:val="nil"/>
              <w:bottom w:val="nil"/>
              <w:right w:val="nil"/>
            </w:tcBorders>
            <w:shd w:val="clear" w:color="auto" w:fill="FFFFFF" w:themeFill="background1"/>
            <w:noWrap/>
            <w:vAlign w:val="bottom"/>
            <w:hideMark/>
          </w:tcPr>
          <w:p w14:paraId="2444E20C" w14:textId="77777777" w:rsidR="002D1AF2"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301" w:type="dxa"/>
            <w:tcBorders>
              <w:top w:val="single" w:sz="4" w:space="0" w:color="auto"/>
              <w:left w:val="nil"/>
              <w:bottom w:val="nil"/>
              <w:right w:val="nil"/>
            </w:tcBorders>
            <w:shd w:val="clear" w:color="auto" w:fill="FFFFFF" w:themeFill="background1"/>
            <w:noWrap/>
            <w:vAlign w:val="bottom"/>
            <w:hideMark/>
          </w:tcPr>
          <w:p w14:paraId="01A0A108" w14:textId="77777777" w:rsidR="002D1AF2"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158" w:type="dxa"/>
            <w:tcBorders>
              <w:top w:val="single" w:sz="4" w:space="0" w:color="auto"/>
              <w:left w:val="single" w:sz="4" w:space="0" w:color="auto"/>
              <w:bottom w:val="nil"/>
              <w:right w:val="nil"/>
            </w:tcBorders>
            <w:shd w:val="clear" w:color="auto" w:fill="FFFFFF" w:themeFill="background1"/>
            <w:vAlign w:val="bottom"/>
            <w:hideMark/>
          </w:tcPr>
          <w:p w14:paraId="0A4E6C01" w14:textId="77777777"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Actuales (¢/kWh)</w:t>
            </w:r>
          </w:p>
        </w:tc>
        <w:tc>
          <w:tcPr>
            <w:tcW w:w="1117" w:type="dxa"/>
            <w:tcBorders>
              <w:top w:val="single" w:sz="4" w:space="0" w:color="auto"/>
              <w:left w:val="nil"/>
              <w:bottom w:val="nil"/>
              <w:right w:val="nil"/>
            </w:tcBorders>
            <w:shd w:val="clear" w:color="auto" w:fill="FFFFFF" w:themeFill="background1"/>
            <w:vAlign w:val="bottom"/>
            <w:hideMark/>
          </w:tcPr>
          <w:p w14:paraId="7D920966" w14:textId="77777777"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Según lo previsto</w:t>
            </w:r>
            <w:r w:rsidRPr="00DC737B">
              <w:rPr>
                <w:rFonts w:ascii="Times New Roman" w:eastAsia="Times New Roman" w:hAnsi="Times New Roman" w:cs="Times New Roman"/>
                <w:sz w:val="24"/>
                <w:szCs w:val="24"/>
                <w:lang w:val="es-ES_tradnl"/>
              </w:rPr>
              <w:br/>
              <w:t>(¢/kWh)</w:t>
            </w:r>
          </w:p>
        </w:tc>
        <w:tc>
          <w:tcPr>
            <w:tcW w:w="1118" w:type="dxa"/>
            <w:tcBorders>
              <w:top w:val="single" w:sz="4" w:space="0" w:color="auto"/>
              <w:left w:val="nil"/>
              <w:bottom w:val="nil"/>
              <w:right w:val="single" w:sz="4" w:space="0" w:color="auto"/>
            </w:tcBorders>
            <w:shd w:val="clear" w:color="auto" w:fill="FFFFFF" w:themeFill="background1"/>
            <w:vAlign w:val="bottom"/>
            <w:hideMark/>
          </w:tcPr>
          <w:p w14:paraId="667F8BBF" w14:textId="77777777"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Propuestas (¢/kWh)</w:t>
            </w:r>
          </w:p>
        </w:tc>
        <w:tc>
          <w:tcPr>
            <w:tcW w:w="1880" w:type="dxa"/>
            <w:gridSpan w:val="3"/>
            <w:tcBorders>
              <w:top w:val="single" w:sz="4" w:space="0" w:color="auto"/>
              <w:left w:val="nil"/>
              <w:bottom w:val="nil"/>
              <w:right w:val="single" w:sz="4" w:space="0" w:color="auto"/>
            </w:tcBorders>
            <w:shd w:val="clear" w:color="auto" w:fill="FFFFFF" w:themeFill="background1"/>
            <w:noWrap/>
            <w:vAlign w:val="bottom"/>
            <w:hideMark/>
          </w:tcPr>
          <w:p w14:paraId="46210005" w14:textId="2AFBB5A6"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Aumento</w:t>
            </w:r>
          </w:p>
        </w:tc>
        <w:tc>
          <w:tcPr>
            <w:tcW w:w="1765" w:type="dxa"/>
            <w:gridSpan w:val="5"/>
            <w:tcBorders>
              <w:top w:val="single" w:sz="4" w:space="0" w:color="auto"/>
              <w:left w:val="single" w:sz="4" w:space="0" w:color="auto"/>
              <w:right w:val="single" w:sz="4" w:space="0" w:color="auto"/>
            </w:tcBorders>
            <w:shd w:val="clear" w:color="auto" w:fill="FFFFFF" w:themeFill="background1"/>
            <w:vAlign w:val="bottom"/>
          </w:tcPr>
          <w:p w14:paraId="7B0A8D4A" w14:textId="15747740" w:rsidR="002D1AF2"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Aumento</w:t>
            </w:r>
          </w:p>
        </w:tc>
      </w:tr>
      <w:tr w:rsidR="0089435C" w:rsidRPr="00DC737B" w14:paraId="0B9F9CA6" w14:textId="77777777" w:rsidTr="008916CE">
        <w:trPr>
          <w:gridAfter w:val="2"/>
          <w:wAfter w:w="306" w:type="dxa"/>
          <w:trHeight w:val="441"/>
        </w:trPr>
        <w:tc>
          <w:tcPr>
            <w:tcW w:w="270" w:type="dxa"/>
            <w:tcBorders>
              <w:top w:val="nil"/>
              <w:left w:val="nil"/>
              <w:bottom w:val="nil"/>
              <w:right w:val="single" w:sz="4" w:space="0" w:color="auto"/>
            </w:tcBorders>
            <w:shd w:val="clear" w:color="auto" w:fill="auto"/>
            <w:noWrap/>
            <w:vAlign w:val="bottom"/>
            <w:hideMark/>
          </w:tcPr>
          <w:p w14:paraId="1D8DF9E6" w14:textId="77777777" w:rsidR="009D5669" w:rsidRPr="00DC737B" w:rsidRDefault="009D5669"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single" w:sz="4" w:space="0" w:color="auto"/>
              <w:right w:val="nil"/>
            </w:tcBorders>
            <w:shd w:val="clear" w:color="auto" w:fill="FFFFFF" w:themeFill="background1"/>
            <w:vAlign w:val="bottom"/>
            <w:hideMark/>
          </w:tcPr>
          <w:p w14:paraId="6AB8AA4B" w14:textId="77777777" w:rsidR="009D5669"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Línea núm.</w:t>
            </w:r>
          </w:p>
        </w:tc>
        <w:tc>
          <w:tcPr>
            <w:tcW w:w="1808" w:type="dxa"/>
            <w:gridSpan w:val="3"/>
            <w:tcBorders>
              <w:top w:val="nil"/>
              <w:left w:val="nil"/>
              <w:bottom w:val="single" w:sz="4" w:space="0" w:color="auto"/>
              <w:right w:val="nil"/>
            </w:tcBorders>
            <w:shd w:val="clear" w:color="auto" w:fill="FFFFFF" w:themeFill="background1"/>
            <w:noWrap/>
            <w:vAlign w:val="bottom"/>
            <w:hideMark/>
          </w:tcPr>
          <w:p w14:paraId="7F63540A" w14:textId="77777777" w:rsidR="009D5669"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Clase de cliente</w:t>
            </w:r>
          </w:p>
          <w:p w14:paraId="0096C62E" w14:textId="5CFD6046" w:rsidR="009D5669"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158" w:type="dxa"/>
            <w:tcBorders>
              <w:top w:val="nil"/>
              <w:left w:val="single" w:sz="4" w:space="0" w:color="auto"/>
              <w:bottom w:val="single" w:sz="4" w:space="0" w:color="auto"/>
              <w:right w:val="nil"/>
            </w:tcBorders>
            <w:shd w:val="clear" w:color="auto" w:fill="FFFFFF" w:themeFill="background1"/>
            <w:noWrap/>
            <w:vAlign w:val="bottom"/>
            <w:hideMark/>
          </w:tcPr>
          <w:p w14:paraId="333D8789"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1/1/2022</w:t>
            </w:r>
            <w:r w:rsidRPr="00DC737B">
              <w:rPr>
                <w:rFonts w:ascii="Times New Roman" w:eastAsia="Times New Roman" w:hAnsi="Times New Roman" w:cs="Times New Roman"/>
                <w:sz w:val="24"/>
                <w:szCs w:val="24"/>
                <w:vertAlign w:val="superscript"/>
                <w:lang w:val="es-ES_tradnl"/>
              </w:rPr>
              <w:t>1</w:t>
            </w:r>
          </w:p>
        </w:tc>
        <w:tc>
          <w:tcPr>
            <w:tcW w:w="1117" w:type="dxa"/>
            <w:tcBorders>
              <w:top w:val="nil"/>
              <w:left w:val="nil"/>
              <w:bottom w:val="single" w:sz="4" w:space="0" w:color="auto"/>
              <w:right w:val="nil"/>
            </w:tcBorders>
            <w:shd w:val="clear" w:color="auto" w:fill="FFFFFF" w:themeFill="background1"/>
            <w:noWrap/>
            <w:vAlign w:val="bottom"/>
            <w:hideMark/>
          </w:tcPr>
          <w:p w14:paraId="5A856EC8"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2023</w:t>
            </w:r>
            <w:r w:rsidRPr="00DC737B">
              <w:rPr>
                <w:rFonts w:ascii="Times New Roman" w:eastAsia="Times New Roman" w:hAnsi="Times New Roman" w:cs="Times New Roman"/>
                <w:sz w:val="24"/>
                <w:szCs w:val="24"/>
                <w:vertAlign w:val="superscript"/>
                <w:lang w:val="es-ES_tradnl"/>
              </w:rPr>
              <w:t>2</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4BF7D618"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2024</w:t>
            </w:r>
            <w:r w:rsidRPr="00DC737B">
              <w:rPr>
                <w:rFonts w:ascii="Times New Roman" w:eastAsia="Times New Roman" w:hAnsi="Times New Roman" w:cs="Times New Roman"/>
                <w:sz w:val="24"/>
                <w:szCs w:val="24"/>
                <w:vertAlign w:val="superscript"/>
                <w:lang w:val="es-ES_tradnl"/>
              </w:rPr>
              <w:t>3</w:t>
            </w:r>
          </w:p>
        </w:tc>
        <w:tc>
          <w:tcPr>
            <w:tcW w:w="1038" w:type="dxa"/>
            <w:gridSpan w:val="2"/>
            <w:tcBorders>
              <w:top w:val="nil"/>
              <w:left w:val="nil"/>
              <w:bottom w:val="single" w:sz="4" w:space="0" w:color="auto"/>
              <w:right w:val="nil"/>
            </w:tcBorders>
            <w:shd w:val="clear" w:color="auto" w:fill="FFFFFF" w:themeFill="background1"/>
            <w:noWrap/>
            <w:vAlign w:val="bottom"/>
            <w:hideMark/>
          </w:tcPr>
          <w:p w14:paraId="7DDD3A5F"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(¢/kWh)</w:t>
            </w:r>
          </w:p>
        </w:tc>
        <w:tc>
          <w:tcPr>
            <w:tcW w:w="842" w:type="dxa"/>
            <w:tcBorders>
              <w:top w:val="nil"/>
              <w:left w:val="nil"/>
              <w:bottom w:val="single" w:sz="4" w:space="0" w:color="auto"/>
              <w:right w:val="single" w:sz="4" w:space="0" w:color="auto"/>
            </w:tcBorders>
            <w:shd w:val="clear" w:color="auto" w:fill="FFFFFF" w:themeFill="background1"/>
            <w:noWrap/>
            <w:vAlign w:val="bottom"/>
            <w:hideMark/>
          </w:tcPr>
          <w:p w14:paraId="2B153EAE"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w:t>
            </w:r>
          </w:p>
        </w:tc>
        <w:tc>
          <w:tcPr>
            <w:tcW w:w="1030" w:type="dxa"/>
            <w:gridSpan w:val="3"/>
            <w:tcBorders>
              <w:top w:val="nil"/>
              <w:left w:val="single" w:sz="4" w:space="0" w:color="auto"/>
              <w:bottom w:val="single" w:sz="4" w:space="0" w:color="auto"/>
            </w:tcBorders>
            <w:shd w:val="clear" w:color="auto" w:fill="FFFFFF" w:themeFill="background1"/>
            <w:vAlign w:val="bottom"/>
          </w:tcPr>
          <w:p w14:paraId="69126FE7"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(¢/kWh)</w:t>
            </w:r>
          </w:p>
        </w:tc>
        <w:tc>
          <w:tcPr>
            <w:tcW w:w="735" w:type="dxa"/>
            <w:gridSpan w:val="2"/>
            <w:tcBorders>
              <w:top w:val="nil"/>
              <w:bottom w:val="single" w:sz="4" w:space="0" w:color="auto"/>
              <w:right w:val="single" w:sz="4" w:space="0" w:color="auto"/>
            </w:tcBorders>
            <w:shd w:val="clear" w:color="auto" w:fill="FFFFFF" w:themeFill="background1"/>
            <w:vAlign w:val="bottom"/>
          </w:tcPr>
          <w:p w14:paraId="035BD0D5" w14:textId="77777777" w:rsidR="009D5669"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w:t>
            </w:r>
          </w:p>
        </w:tc>
        <w:tc>
          <w:tcPr>
            <w:tcW w:w="268" w:type="dxa"/>
            <w:gridSpan w:val="2"/>
            <w:tcBorders>
              <w:left w:val="single" w:sz="4" w:space="0" w:color="auto"/>
            </w:tcBorders>
            <w:vAlign w:val="bottom"/>
          </w:tcPr>
          <w:p w14:paraId="74671BAC" w14:textId="77777777" w:rsidR="009D5669" w:rsidRPr="00DC737B" w:rsidRDefault="009D5669" w:rsidP="005541B5">
            <w:pPr>
              <w:rPr>
                <w:lang w:val="es-ES_tradnl"/>
              </w:rPr>
            </w:pPr>
          </w:p>
        </w:tc>
      </w:tr>
      <w:tr w:rsidR="0089435C" w:rsidRPr="00DC737B" w14:paraId="3FC06B1E" w14:textId="77777777" w:rsidTr="008916CE">
        <w:trPr>
          <w:gridAfter w:val="4"/>
          <w:wAfter w:w="574" w:type="dxa"/>
          <w:trHeight w:val="277"/>
        </w:trPr>
        <w:tc>
          <w:tcPr>
            <w:tcW w:w="270" w:type="dxa"/>
            <w:tcBorders>
              <w:top w:val="nil"/>
              <w:left w:val="nil"/>
              <w:bottom w:val="nil"/>
              <w:right w:val="single" w:sz="4" w:space="0" w:color="auto"/>
            </w:tcBorders>
            <w:shd w:val="clear" w:color="auto" w:fill="auto"/>
            <w:noWrap/>
            <w:vAlign w:val="bottom"/>
            <w:hideMark/>
          </w:tcPr>
          <w:p w14:paraId="5E6B21F6" w14:textId="77777777" w:rsidR="00E608EE" w:rsidRPr="00DC737B" w:rsidRDefault="00E608EE"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nil"/>
              <w:right w:val="nil"/>
            </w:tcBorders>
            <w:shd w:val="clear" w:color="auto" w:fill="FFFFFF" w:themeFill="background1"/>
            <w:noWrap/>
            <w:hideMark/>
          </w:tcPr>
          <w:p w14:paraId="4F02C9B6" w14:textId="77777777" w:rsidR="00E608EE"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w:t>
            </w:r>
          </w:p>
        </w:tc>
        <w:tc>
          <w:tcPr>
            <w:tcW w:w="1808" w:type="dxa"/>
            <w:gridSpan w:val="3"/>
            <w:tcBorders>
              <w:top w:val="nil"/>
              <w:left w:val="nil"/>
              <w:bottom w:val="nil"/>
              <w:right w:val="nil"/>
            </w:tcBorders>
            <w:shd w:val="clear" w:color="auto" w:fill="FFFFFF" w:themeFill="background1"/>
            <w:noWrap/>
            <w:vAlign w:val="center"/>
            <w:hideMark/>
          </w:tcPr>
          <w:p w14:paraId="7B7AE21B" w14:textId="4E614AAF" w:rsidR="00E608EE" w:rsidRPr="00DC737B" w:rsidRDefault="00BE25BE" w:rsidP="005541B5">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Residencial</w:t>
            </w:r>
          </w:p>
        </w:tc>
        <w:tc>
          <w:tcPr>
            <w:tcW w:w="1158" w:type="dxa"/>
            <w:tcBorders>
              <w:top w:val="nil"/>
              <w:left w:val="single" w:sz="4" w:space="0" w:color="auto"/>
              <w:bottom w:val="nil"/>
              <w:right w:val="nil"/>
            </w:tcBorders>
            <w:shd w:val="clear" w:color="auto" w:fill="FFFFFF" w:themeFill="background1"/>
            <w:noWrap/>
            <w:hideMark/>
          </w:tcPr>
          <w:p w14:paraId="344112D5"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34.523</w:t>
            </w:r>
          </w:p>
        </w:tc>
        <w:tc>
          <w:tcPr>
            <w:tcW w:w="1117" w:type="dxa"/>
            <w:tcBorders>
              <w:top w:val="nil"/>
              <w:left w:val="nil"/>
              <w:bottom w:val="nil"/>
              <w:right w:val="nil"/>
            </w:tcBorders>
            <w:shd w:val="clear" w:color="auto" w:fill="FFFFFF" w:themeFill="background1"/>
            <w:noWrap/>
            <w:hideMark/>
          </w:tcPr>
          <w:p w14:paraId="3F7C33F2"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35.772</w:t>
            </w:r>
          </w:p>
        </w:tc>
        <w:tc>
          <w:tcPr>
            <w:tcW w:w="1118" w:type="dxa"/>
            <w:tcBorders>
              <w:top w:val="nil"/>
              <w:left w:val="nil"/>
              <w:bottom w:val="nil"/>
              <w:right w:val="single" w:sz="4" w:space="0" w:color="auto"/>
            </w:tcBorders>
            <w:shd w:val="clear" w:color="auto" w:fill="FFFFFF" w:themeFill="background1"/>
            <w:noWrap/>
            <w:hideMark/>
          </w:tcPr>
          <w:p w14:paraId="1AE19818"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38.078</w:t>
            </w:r>
          </w:p>
        </w:tc>
        <w:tc>
          <w:tcPr>
            <w:tcW w:w="1038" w:type="dxa"/>
            <w:gridSpan w:val="2"/>
            <w:tcBorders>
              <w:top w:val="single" w:sz="4" w:space="0" w:color="auto"/>
              <w:left w:val="nil"/>
              <w:bottom w:val="nil"/>
              <w:right w:val="single" w:sz="4" w:space="0" w:color="auto"/>
            </w:tcBorders>
            <w:shd w:val="clear" w:color="auto" w:fill="FFFFFF" w:themeFill="background1"/>
            <w:noWrap/>
            <w:hideMark/>
          </w:tcPr>
          <w:p w14:paraId="5B9487A4"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3.555</w:t>
            </w:r>
          </w:p>
        </w:tc>
        <w:tc>
          <w:tcPr>
            <w:tcW w:w="842" w:type="dxa"/>
            <w:tcBorders>
              <w:left w:val="single" w:sz="4" w:space="0" w:color="auto"/>
              <w:bottom w:val="nil"/>
              <w:right w:val="single" w:sz="4" w:space="0" w:color="auto"/>
            </w:tcBorders>
            <w:shd w:val="clear" w:color="auto" w:fill="FFFFFF" w:themeFill="background1"/>
            <w:noWrap/>
            <w:hideMark/>
          </w:tcPr>
          <w:p w14:paraId="6C247DE2"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10.3%</w:t>
            </w:r>
          </w:p>
        </w:tc>
        <w:tc>
          <w:tcPr>
            <w:tcW w:w="990" w:type="dxa"/>
            <w:gridSpan w:val="2"/>
            <w:tcBorders>
              <w:top w:val="single" w:sz="4" w:space="0" w:color="auto"/>
              <w:left w:val="nil"/>
              <w:bottom w:val="nil"/>
              <w:right w:val="single" w:sz="4" w:space="0" w:color="auto"/>
            </w:tcBorders>
            <w:shd w:val="clear" w:color="auto" w:fill="FFFFFF" w:themeFill="background1"/>
          </w:tcPr>
          <w:p w14:paraId="4EFE491A"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2.306</w:t>
            </w:r>
          </w:p>
        </w:tc>
        <w:tc>
          <w:tcPr>
            <w:tcW w:w="775" w:type="dxa"/>
            <w:gridSpan w:val="3"/>
            <w:tcBorders>
              <w:top w:val="single" w:sz="4" w:space="0" w:color="auto"/>
              <w:left w:val="nil"/>
              <w:bottom w:val="nil"/>
              <w:right w:val="single" w:sz="4" w:space="0" w:color="auto"/>
            </w:tcBorders>
            <w:shd w:val="clear" w:color="auto" w:fill="FFFFFF" w:themeFill="background1"/>
          </w:tcPr>
          <w:p w14:paraId="0C4749FB"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6.5%</w:t>
            </w:r>
          </w:p>
        </w:tc>
      </w:tr>
      <w:tr w:rsidR="0089435C" w:rsidRPr="00DC737B" w14:paraId="3BEA428D" w14:textId="77777777" w:rsidTr="008916CE">
        <w:trPr>
          <w:gridAfter w:val="4"/>
          <w:wAfter w:w="574" w:type="dxa"/>
          <w:trHeight w:val="277"/>
        </w:trPr>
        <w:tc>
          <w:tcPr>
            <w:tcW w:w="270" w:type="dxa"/>
            <w:tcBorders>
              <w:top w:val="nil"/>
              <w:left w:val="nil"/>
              <w:bottom w:val="nil"/>
              <w:right w:val="single" w:sz="4" w:space="0" w:color="auto"/>
            </w:tcBorders>
            <w:shd w:val="clear" w:color="auto" w:fill="auto"/>
            <w:noWrap/>
            <w:vAlign w:val="bottom"/>
            <w:hideMark/>
          </w:tcPr>
          <w:p w14:paraId="33917EE2" w14:textId="77777777" w:rsidR="00E608EE" w:rsidRPr="00DC737B" w:rsidRDefault="00E608EE"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nil"/>
              <w:right w:val="nil"/>
            </w:tcBorders>
            <w:shd w:val="clear" w:color="auto" w:fill="FFFFFF" w:themeFill="background1"/>
            <w:noWrap/>
            <w:hideMark/>
          </w:tcPr>
          <w:p w14:paraId="6FBD686F" w14:textId="77777777" w:rsidR="00E608EE"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w:t>
            </w:r>
          </w:p>
        </w:tc>
        <w:tc>
          <w:tcPr>
            <w:tcW w:w="1808" w:type="dxa"/>
            <w:gridSpan w:val="3"/>
            <w:tcBorders>
              <w:top w:val="nil"/>
              <w:left w:val="nil"/>
              <w:bottom w:val="nil"/>
              <w:right w:val="nil"/>
            </w:tcBorders>
            <w:shd w:val="clear" w:color="auto" w:fill="FFFFFF" w:themeFill="background1"/>
            <w:noWrap/>
            <w:vAlign w:val="center"/>
            <w:hideMark/>
          </w:tcPr>
          <w:p w14:paraId="0275A58E" w14:textId="5CBB7096" w:rsidR="00E608EE" w:rsidRPr="00DC737B" w:rsidRDefault="00BE25BE" w:rsidP="005541B5">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Comercial pequeño</w:t>
            </w:r>
          </w:p>
        </w:tc>
        <w:tc>
          <w:tcPr>
            <w:tcW w:w="1158" w:type="dxa"/>
            <w:tcBorders>
              <w:top w:val="nil"/>
              <w:left w:val="single" w:sz="4" w:space="0" w:color="auto"/>
              <w:bottom w:val="nil"/>
              <w:right w:val="nil"/>
            </w:tcBorders>
            <w:shd w:val="clear" w:color="auto" w:fill="FFFFFF" w:themeFill="background1"/>
            <w:noWrap/>
            <w:hideMark/>
          </w:tcPr>
          <w:p w14:paraId="765CEEFB"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32.243</w:t>
            </w:r>
          </w:p>
        </w:tc>
        <w:tc>
          <w:tcPr>
            <w:tcW w:w="1117" w:type="dxa"/>
            <w:tcBorders>
              <w:top w:val="nil"/>
              <w:left w:val="nil"/>
              <w:bottom w:val="nil"/>
              <w:right w:val="nil"/>
            </w:tcBorders>
            <w:shd w:val="clear" w:color="auto" w:fill="FFFFFF" w:themeFill="background1"/>
            <w:noWrap/>
            <w:hideMark/>
          </w:tcPr>
          <w:p w14:paraId="66490E71"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33.433</w:t>
            </w:r>
          </w:p>
        </w:tc>
        <w:tc>
          <w:tcPr>
            <w:tcW w:w="1118" w:type="dxa"/>
            <w:tcBorders>
              <w:top w:val="nil"/>
              <w:left w:val="nil"/>
              <w:bottom w:val="nil"/>
              <w:right w:val="single" w:sz="4" w:space="0" w:color="auto"/>
            </w:tcBorders>
            <w:shd w:val="clear" w:color="auto" w:fill="FFFFFF" w:themeFill="background1"/>
            <w:noWrap/>
            <w:hideMark/>
          </w:tcPr>
          <w:p w14:paraId="1BBBEE2D"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35.611</w:t>
            </w:r>
          </w:p>
        </w:tc>
        <w:tc>
          <w:tcPr>
            <w:tcW w:w="1038" w:type="dxa"/>
            <w:gridSpan w:val="2"/>
            <w:tcBorders>
              <w:top w:val="nil"/>
              <w:left w:val="nil"/>
              <w:bottom w:val="nil"/>
              <w:right w:val="single" w:sz="4" w:space="0" w:color="auto"/>
            </w:tcBorders>
            <w:shd w:val="clear" w:color="auto" w:fill="FFFFFF" w:themeFill="background1"/>
            <w:noWrap/>
            <w:hideMark/>
          </w:tcPr>
          <w:p w14:paraId="13AD081F"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3.368</w:t>
            </w:r>
          </w:p>
        </w:tc>
        <w:tc>
          <w:tcPr>
            <w:tcW w:w="842" w:type="dxa"/>
            <w:tcBorders>
              <w:top w:val="nil"/>
              <w:left w:val="single" w:sz="4" w:space="0" w:color="auto"/>
              <w:bottom w:val="nil"/>
              <w:right w:val="single" w:sz="4" w:space="0" w:color="auto"/>
            </w:tcBorders>
            <w:shd w:val="clear" w:color="auto" w:fill="FFFFFF" w:themeFill="background1"/>
            <w:noWrap/>
            <w:hideMark/>
          </w:tcPr>
          <w:p w14:paraId="701D4395"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10.4%</w:t>
            </w:r>
          </w:p>
        </w:tc>
        <w:tc>
          <w:tcPr>
            <w:tcW w:w="990" w:type="dxa"/>
            <w:gridSpan w:val="2"/>
            <w:tcBorders>
              <w:top w:val="nil"/>
              <w:left w:val="nil"/>
              <w:bottom w:val="nil"/>
              <w:right w:val="single" w:sz="4" w:space="0" w:color="auto"/>
            </w:tcBorders>
            <w:shd w:val="clear" w:color="auto" w:fill="FFFFFF" w:themeFill="background1"/>
          </w:tcPr>
          <w:p w14:paraId="2DB69F6B"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2.178</w:t>
            </w:r>
          </w:p>
        </w:tc>
        <w:tc>
          <w:tcPr>
            <w:tcW w:w="775" w:type="dxa"/>
            <w:gridSpan w:val="3"/>
            <w:tcBorders>
              <w:top w:val="nil"/>
              <w:left w:val="nil"/>
              <w:bottom w:val="nil"/>
              <w:right w:val="single" w:sz="4" w:space="0" w:color="auto"/>
            </w:tcBorders>
            <w:shd w:val="clear" w:color="auto" w:fill="FFFFFF" w:themeFill="background1"/>
          </w:tcPr>
          <w:p w14:paraId="520EA21D"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6.5%</w:t>
            </w:r>
          </w:p>
        </w:tc>
      </w:tr>
      <w:tr w:rsidR="0089435C" w:rsidRPr="00DC737B" w14:paraId="734427E5" w14:textId="77777777" w:rsidTr="008916CE">
        <w:trPr>
          <w:gridAfter w:val="4"/>
          <w:wAfter w:w="574" w:type="dxa"/>
          <w:trHeight w:val="277"/>
        </w:trPr>
        <w:tc>
          <w:tcPr>
            <w:tcW w:w="270" w:type="dxa"/>
            <w:tcBorders>
              <w:top w:val="nil"/>
              <w:left w:val="nil"/>
              <w:bottom w:val="nil"/>
              <w:right w:val="single" w:sz="4" w:space="0" w:color="auto"/>
            </w:tcBorders>
            <w:shd w:val="clear" w:color="auto" w:fill="auto"/>
            <w:noWrap/>
            <w:vAlign w:val="bottom"/>
            <w:hideMark/>
          </w:tcPr>
          <w:p w14:paraId="17422C06" w14:textId="77777777" w:rsidR="00E608EE" w:rsidRPr="00DC737B" w:rsidRDefault="00E608EE"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nil"/>
              <w:right w:val="nil"/>
            </w:tcBorders>
            <w:shd w:val="clear" w:color="auto" w:fill="FFFFFF" w:themeFill="background1"/>
            <w:noWrap/>
            <w:hideMark/>
          </w:tcPr>
          <w:p w14:paraId="609F9E6C" w14:textId="77777777" w:rsidR="00E608EE"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w:t>
            </w:r>
          </w:p>
        </w:tc>
        <w:tc>
          <w:tcPr>
            <w:tcW w:w="1808" w:type="dxa"/>
            <w:gridSpan w:val="3"/>
            <w:tcBorders>
              <w:top w:val="nil"/>
              <w:left w:val="nil"/>
              <w:bottom w:val="nil"/>
              <w:right w:val="nil"/>
            </w:tcBorders>
            <w:shd w:val="clear" w:color="auto" w:fill="FFFFFF" w:themeFill="background1"/>
            <w:noWrap/>
            <w:vAlign w:val="center"/>
            <w:hideMark/>
          </w:tcPr>
          <w:p w14:paraId="5B247AFD" w14:textId="68EB9C23" w:rsidR="00E608EE" w:rsidRPr="00DC737B" w:rsidRDefault="00BE25BE" w:rsidP="00C87338">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CeI mediano y grande principal*</w:t>
            </w:r>
          </w:p>
        </w:tc>
        <w:tc>
          <w:tcPr>
            <w:tcW w:w="1158" w:type="dxa"/>
            <w:tcBorders>
              <w:top w:val="nil"/>
              <w:left w:val="single" w:sz="4" w:space="0" w:color="auto"/>
              <w:bottom w:val="nil"/>
              <w:right w:val="nil"/>
            </w:tcBorders>
            <w:shd w:val="clear" w:color="auto" w:fill="FFFFFF" w:themeFill="background1"/>
            <w:noWrap/>
            <w:hideMark/>
          </w:tcPr>
          <w:p w14:paraId="218F0F9B"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29.113</w:t>
            </w:r>
          </w:p>
        </w:tc>
        <w:tc>
          <w:tcPr>
            <w:tcW w:w="1117" w:type="dxa"/>
            <w:tcBorders>
              <w:top w:val="nil"/>
              <w:left w:val="nil"/>
              <w:bottom w:val="nil"/>
              <w:right w:val="nil"/>
            </w:tcBorders>
            <w:shd w:val="clear" w:color="auto" w:fill="FFFFFF" w:themeFill="background1"/>
            <w:noWrap/>
            <w:hideMark/>
          </w:tcPr>
          <w:p w14:paraId="08568308"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29.811</w:t>
            </w:r>
          </w:p>
        </w:tc>
        <w:tc>
          <w:tcPr>
            <w:tcW w:w="1118" w:type="dxa"/>
            <w:tcBorders>
              <w:top w:val="nil"/>
              <w:left w:val="nil"/>
              <w:bottom w:val="nil"/>
              <w:right w:val="single" w:sz="4" w:space="0" w:color="auto"/>
            </w:tcBorders>
            <w:shd w:val="clear" w:color="auto" w:fill="FFFFFF" w:themeFill="background1"/>
            <w:noWrap/>
            <w:hideMark/>
          </w:tcPr>
          <w:p w14:paraId="79ED7596"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31.219</w:t>
            </w:r>
          </w:p>
        </w:tc>
        <w:tc>
          <w:tcPr>
            <w:tcW w:w="1038" w:type="dxa"/>
            <w:gridSpan w:val="2"/>
            <w:tcBorders>
              <w:top w:val="nil"/>
              <w:left w:val="nil"/>
              <w:bottom w:val="nil"/>
              <w:right w:val="single" w:sz="4" w:space="0" w:color="auto"/>
            </w:tcBorders>
            <w:shd w:val="clear" w:color="auto" w:fill="FFFFFF" w:themeFill="background1"/>
            <w:noWrap/>
            <w:hideMark/>
          </w:tcPr>
          <w:p w14:paraId="25C4F7BA"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2.106</w:t>
            </w:r>
          </w:p>
        </w:tc>
        <w:tc>
          <w:tcPr>
            <w:tcW w:w="842" w:type="dxa"/>
            <w:tcBorders>
              <w:top w:val="nil"/>
              <w:left w:val="single" w:sz="4" w:space="0" w:color="auto"/>
              <w:bottom w:val="nil"/>
              <w:right w:val="single" w:sz="4" w:space="0" w:color="auto"/>
            </w:tcBorders>
            <w:shd w:val="clear" w:color="auto" w:fill="FFFFFF" w:themeFill="background1"/>
            <w:noWrap/>
            <w:hideMark/>
          </w:tcPr>
          <w:p w14:paraId="10605458"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7.2%</w:t>
            </w:r>
          </w:p>
        </w:tc>
        <w:tc>
          <w:tcPr>
            <w:tcW w:w="990" w:type="dxa"/>
            <w:gridSpan w:val="2"/>
            <w:tcBorders>
              <w:top w:val="nil"/>
              <w:left w:val="nil"/>
              <w:bottom w:val="nil"/>
              <w:right w:val="single" w:sz="4" w:space="0" w:color="auto"/>
            </w:tcBorders>
            <w:shd w:val="clear" w:color="auto" w:fill="FFFFFF" w:themeFill="background1"/>
          </w:tcPr>
          <w:p w14:paraId="5A90692B"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1.408</w:t>
            </w:r>
          </w:p>
        </w:tc>
        <w:tc>
          <w:tcPr>
            <w:tcW w:w="775" w:type="dxa"/>
            <w:gridSpan w:val="3"/>
            <w:tcBorders>
              <w:top w:val="nil"/>
              <w:left w:val="nil"/>
              <w:bottom w:val="nil"/>
              <w:right w:val="single" w:sz="4" w:space="0" w:color="auto"/>
            </w:tcBorders>
            <w:shd w:val="clear" w:color="auto" w:fill="FFFFFF" w:themeFill="background1"/>
          </w:tcPr>
          <w:p w14:paraId="711F6F1C"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4.7%</w:t>
            </w:r>
          </w:p>
        </w:tc>
      </w:tr>
      <w:tr w:rsidR="0089435C" w:rsidRPr="00DC737B" w14:paraId="467EAC2D" w14:textId="77777777" w:rsidTr="008916CE">
        <w:trPr>
          <w:gridAfter w:val="4"/>
          <w:wAfter w:w="574" w:type="dxa"/>
          <w:trHeight w:val="277"/>
        </w:trPr>
        <w:tc>
          <w:tcPr>
            <w:tcW w:w="270" w:type="dxa"/>
            <w:tcBorders>
              <w:top w:val="nil"/>
              <w:left w:val="nil"/>
              <w:bottom w:val="nil"/>
              <w:right w:val="single" w:sz="4" w:space="0" w:color="auto"/>
            </w:tcBorders>
            <w:shd w:val="clear" w:color="auto" w:fill="auto"/>
            <w:noWrap/>
            <w:vAlign w:val="bottom"/>
            <w:hideMark/>
          </w:tcPr>
          <w:p w14:paraId="52A1857D" w14:textId="77777777" w:rsidR="00E608EE" w:rsidRPr="00DC737B" w:rsidRDefault="00E608EE"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nil"/>
              <w:right w:val="nil"/>
            </w:tcBorders>
            <w:shd w:val="clear" w:color="auto" w:fill="FFFFFF" w:themeFill="background1"/>
            <w:noWrap/>
            <w:hideMark/>
          </w:tcPr>
          <w:p w14:paraId="198AFA42" w14:textId="77777777" w:rsidR="00E608EE"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4</w:t>
            </w:r>
          </w:p>
        </w:tc>
        <w:tc>
          <w:tcPr>
            <w:tcW w:w="1808" w:type="dxa"/>
            <w:gridSpan w:val="3"/>
            <w:tcBorders>
              <w:top w:val="nil"/>
              <w:left w:val="nil"/>
              <w:bottom w:val="nil"/>
              <w:right w:val="nil"/>
            </w:tcBorders>
            <w:shd w:val="clear" w:color="auto" w:fill="FFFFFF" w:themeFill="background1"/>
            <w:noWrap/>
            <w:vAlign w:val="center"/>
            <w:hideMark/>
          </w:tcPr>
          <w:p w14:paraId="7D1105ED" w14:textId="21EBC17C" w:rsidR="00E608EE" w:rsidRPr="00DC737B" w:rsidRDefault="00BE25BE" w:rsidP="005541B5">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Agricultura</w:t>
            </w:r>
          </w:p>
        </w:tc>
        <w:tc>
          <w:tcPr>
            <w:tcW w:w="1158" w:type="dxa"/>
            <w:tcBorders>
              <w:top w:val="nil"/>
              <w:left w:val="single" w:sz="4" w:space="0" w:color="auto"/>
              <w:bottom w:val="nil"/>
              <w:right w:val="nil"/>
            </w:tcBorders>
            <w:shd w:val="clear" w:color="auto" w:fill="FFFFFF" w:themeFill="background1"/>
            <w:noWrap/>
            <w:hideMark/>
          </w:tcPr>
          <w:p w14:paraId="111D60FE"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23.165</w:t>
            </w:r>
          </w:p>
        </w:tc>
        <w:tc>
          <w:tcPr>
            <w:tcW w:w="1117" w:type="dxa"/>
            <w:tcBorders>
              <w:top w:val="nil"/>
              <w:left w:val="nil"/>
              <w:bottom w:val="nil"/>
              <w:right w:val="nil"/>
            </w:tcBorders>
            <w:shd w:val="clear" w:color="auto" w:fill="FFFFFF" w:themeFill="background1"/>
            <w:noWrap/>
            <w:hideMark/>
          </w:tcPr>
          <w:p w14:paraId="2F1EA88C"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23.876</w:t>
            </w:r>
          </w:p>
        </w:tc>
        <w:tc>
          <w:tcPr>
            <w:tcW w:w="1118" w:type="dxa"/>
            <w:tcBorders>
              <w:top w:val="nil"/>
              <w:left w:val="nil"/>
              <w:bottom w:val="nil"/>
              <w:right w:val="single" w:sz="4" w:space="0" w:color="auto"/>
            </w:tcBorders>
            <w:shd w:val="clear" w:color="auto" w:fill="FFFFFF" w:themeFill="background1"/>
            <w:noWrap/>
            <w:hideMark/>
          </w:tcPr>
          <w:p w14:paraId="4634C625"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25.228</w:t>
            </w:r>
          </w:p>
        </w:tc>
        <w:tc>
          <w:tcPr>
            <w:tcW w:w="1038" w:type="dxa"/>
            <w:gridSpan w:val="2"/>
            <w:tcBorders>
              <w:top w:val="nil"/>
              <w:left w:val="nil"/>
              <w:bottom w:val="nil"/>
              <w:right w:val="single" w:sz="4" w:space="0" w:color="auto"/>
            </w:tcBorders>
            <w:shd w:val="clear" w:color="auto" w:fill="FFFFFF" w:themeFill="background1"/>
            <w:noWrap/>
            <w:hideMark/>
          </w:tcPr>
          <w:p w14:paraId="71A257A0"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2.063</w:t>
            </w:r>
          </w:p>
        </w:tc>
        <w:tc>
          <w:tcPr>
            <w:tcW w:w="842" w:type="dxa"/>
            <w:tcBorders>
              <w:top w:val="nil"/>
              <w:left w:val="single" w:sz="4" w:space="0" w:color="auto"/>
              <w:bottom w:val="nil"/>
              <w:right w:val="single" w:sz="4" w:space="0" w:color="auto"/>
            </w:tcBorders>
            <w:shd w:val="clear" w:color="auto" w:fill="FFFFFF" w:themeFill="background1"/>
            <w:noWrap/>
            <w:hideMark/>
          </w:tcPr>
          <w:p w14:paraId="7C087B53"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8.9%</w:t>
            </w:r>
          </w:p>
        </w:tc>
        <w:tc>
          <w:tcPr>
            <w:tcW w:w="990" w:type="dxa"/>
            <w:gridSpan w:val="2"/>
            <w:tcBorders>
              <w:top w:val="nil"/>
              <w:left w:val="nil"/>
              <w:bottom w:val="nil"/>
              <w:right w:val="single" w:sz="4" w:space="0" w:color="auto"/>
            </w:tcBorders>
            <w:shd w:val="clear" w:color="auto" w:fill="FFFFFF" w:themeFill="background1"/>
          </w:tcPr>
          <w:p w14:paraId="6C701610"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1.352</w:t>
            </w:r>
          </w:p>
        </w:tc>
        <w:tc>
          <w:tcPr>
            <w:tcW w:w="775" w:type="dxa"/>
            <w:gridSpan w:val="3"/>
            <w:tcBorders>
              <w:top w:val="nil"/>
              <w:left w:val="nil"/>
              <w:bottom w:val="nil"/>
              <w:right w:val="single" w:sz="4" w:space="0" w:color="auto"/>
            </w:tcBorders>
            <w:shd w:val="clear" w:color="auto" w:fill="FFFFFF" w:themeFill="background1"/>
          </w:tcPr>
          <w:p w14:paraId="230B47D8"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5.7%</w:t>
            </w:r>
          </w:p>
        </w:tc>
      </w:tr>
      <w:tr w:rsidR="0089435C" w:rsidRPr="00DC737B" w14:paraId="6B254397" w14:textId="77777777" w:rsidTr="008916CE">
        <w:trPr>
          <w:gridAfter w:val="4"/>
          <w:wAfter w:w="574" w:type="dxa"/>
          <w:trHeight w:val="277"/>
        </w:trPr>
        <w:tc>
          <w:tcPr>
            <w:tcW w:w="270" w:type="dxa"/>
            <w:tcBorders>
              <w:top w:val="nil"/>
              <w:left w:val="nil"/>
              <w:bottom w:val="nil"/>
              <w:right w:val="single" w:sz="4" w:space="0" w:color="auto"/>
            </w:tcBorders>
            <w:shd w:val="clear" w:color="auto" w:fill="auto"/>
            <w:noWrap/>
            <w:vAlign w:val="bottom"/>
            <w:hideMark/>
          </w:tcPr>
          <w:p w14:paraId="7E3060FE" w14:textId="77777777" w:rsidR="00E608EE" w:rsidRPr="00DC737B" w:rsidRDefault="00E608EE"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nil"/>
              <w:right w:val="nil"/>
            </w:tcBorders>
            <w:shd w:val="clear" w:color="auto" w:fill="FFFFFF" w:themeFill="background1"/>
            <w:noWrap/>
            <w:hideMark/>
          </w:tcPr>
          <w:p w14:paraId="2105ED55" w14:textId="77777777" w:rsidR="00E608EE"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5</w:t>
            </w:r>
          </w:p>
        </w:tc>
        <w:tc>
          <w:tcPr>
            <w:tcW w:w="1808" w:type="dxa"/>
            <w:gridSpan w:val="3"/>
            <w:tcBorders>
              <w:top w:val="nil"/>
              <w:left w:val="nil"/>
              <w:bottom w:val="nil"/>
              <w:right w:val="nil"/>
            </w:tcBorders>
            <w:shd w:val="clear" w:color="auto" w:fill="FFFFFF" w:themeFill="background1"/>
            <w:noWrap/>
            <w:vAlign w:val="center"/>
            <w:hideMark/>
          </w:tcPr>
          <w:p w14:paraId="5EF3878D" w14:textId="5B839EA6" w:rsidR="00E608EE" w:rsidRPr="00DC737B" w:rsidRDefault="00BE25BE" w:rsidP="005541B5">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Iluminación</w:t>
            </w:r>
          </w:p>
        </w:tc>
        <w:tc>
          <w:tcPr>
            <w:tcW w:w="1158" w:type="dxa"/>
            <w:tcBorders>
              <w:top w:val="nil"/>
              <w:left w:val="single" w:sz="4" w:space="0" w:color="auto"/>
              <w:bottom w:val="nil"/>
              <w:right w:val="nil"/>
            </w:tcBorders>
            <w:shd w:val="clear" w:color="auto" w:fill="FFFFFF" w:themeFill="background1"/>
            <w:noWrap/>
            <w:hideMark/>
          </w:tcPr>
          <w:p w14:paraId="3FA4120D"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29.009</w:t>
            </w:r>
          </w:p>
        </w:tc>
        <w:tc>
          <w:tcPr>
            <w:tcW w:w="1117" w:type="dxa"/>
            <w:tcBorders>
              <w:top w:val="nil"/>
              <w:left w:val="nil"/>
              <w:bottom w:val="nil"/>
              <w:right w:val="nil"/>
            </w:tcBorders>
            <w:shd w:val="clear" w:color="auto" w:fill="FFFFFF" w:themeFill="background1"/>
            <w:noWrap/>
            <w:hideMark/>
          </w:tcPr>
          <w:p w14:paraId="145550CC"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30.408</w:t>
            </w:r>
          </w:p>
        </w:tc>
        <w:tc>
          <w:tcPr>
            <w:tcW w:w="1118" w:type="dxa"/>
            <w:tcBorders>
              <w:top w:val="nil"/>
              <w:left w:val="nil"/>
              <w:bottom w:val="nil"/>
              <w:right w:val="single" w:sz="4" w:space="0" w:color="auto"/>
            </w:tcBorders>
            <w:shd w:val="clear" w:color="auto" w:fill="FFFFFF" w:themeFill="background1"/>
            <w:noWrap/>
            <w:hideMark/>
          </w:tcPr>
          <w:p w14:paraId="28094DF2"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32.865</w:t>
            </w:r>
          </w:p>
        </w:tc>
        <w:tc>
          <w:tcPr>
            <w:tcW w:w="1038" w:type="dxa"/>
            <w:gridSpan w:val="2"/>
            <w:tcBorders>
              <w:top w:val="nil"/>
              <w:left w:val="nil"/>
              <w:bottom w:val="nil"/>
              <w:right w:val="single" w:sz="4" w:space="0" w:color="auto"/>
            </w:tcBorders>
            <w:shd w:val="clear" w:color="auto" w:fill="FFFFFF" w:themeFill="background1"/>
            <w:noWrap/>
            <w:hideMark/>
          </w:tcPr>
          <w:p w14:paraId="07FFFA5C"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3.856</w:t>
            </w:r>
          </w:p>
        </w:tc>
        <w:tc>
          <w:tcPr>
            <w:tcW w:w="842" w:type="dxa"/>
            <w:tcBorders>
              <w:top w:val="nil"/>
              <w:left w:val="single" w:sz="4" w:space="0" w:color="auto"/>
              <w:bottom w:val="nil"/>
              <w:right w:val="single" w:sz="4" w:space="0" w:color="auto"/>
            </w:tcBorders>
            <w:shd w:val="clear" w:color="auto" w:fill="FFFFFF" w:themeFill="background1"/>
            <w:noWrap/>
            <w:hideMark/>
          </w:tcPr>
          <w:p w14:paraId="02344CCE"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13.3%</w:t>
            </w:r>
          </w:p>
        </w:tc>
        <w:tc>
          <w:tcPr>
            <w:tcW w:w="990" w:type="dxa"/>
            <w:gridSpan w:val="2"/>
            <w:tcBorders>
              <w:top w:val="nil"/>
              <w:left w:val="nil"/>
              <w:bottom w:val="nil"/>
              <w:right w:val="single" w:sz="4" w:space="0" w:color="auto"/>
            </w:tcBorders>
            <w:shd w:val="clear" w:color="auto" w:fill="FFFFFF" w:themeFill="background1"/>
          </w:tcPr>
          <w:p w14:paraId="2B7322D9"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2.457</w:t>
            </w:r>
          </w:p>
        </w:tc>
        <w:tc>
          <w:tcPr>
            <w:tcW w:w="775" w:type="dxa"/>
            <w:gridSpan w:val="3"/>
            <w:tcBorders>
              <w:top w:val="nil"/>
              <w:left w:val="nil"/>
              <w:bottom w:val="nil"/>
              <w:right w:val="single" w:sz="4" w:space="0" w:color="auto"/>
            </w:tcBorders>
            <w:shd w:val="clear" w:color="auto" w:fill="FFFFFF" w:themeFill="background1"/>
          </w:tcPr>
          <w:p w14:paraId="7B0CB885"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8.1%</w:t>
            </w:r>
          </w:p>
        </w:tc>
      </w:tr>
      <w:tr w:rsidR="0089435C" w:rsidRPr="00DC737B" w14:paraId="2C0BC612" w14:textId="77777777" w:rsidTr="008916CE">
        <w:trPr>
          <w:gridAfter w:val="4"/>
          <w:wAfter w:w="574" w:type="dxa"/>
          <w:trHeight w:val="289"/>
        </w:trPr>
        <w:tc>
          <w:tcPr>
            <w:tcW w:w="270" w:type="dxa"/>
            <w:tcBorders>
              <w:top w:val="nil"/>
              <w:left w:val="nil"/>
              <w:bottom w:val="nil"/>
              <w:right w:val="single" w:sz="4" w:space="0" w:color="auto"/>
            </w:tcBorders>
            <w:shd w:val="clear" w:color="auto" w:fill="auto"/>
            <w:noWrap/>
            <w:vAlign w:val="bottom"/>
            <w:hideMark/>
          </w:tcPr>
          <w:p w14:paraId="22622C83" w14:textId="77777777" w:rsidR="00E608EE" w:rsidRPr="00DC737B" w:rsidRDefault="00E608EE" w:rsidP="005541B5">
            <w:pPr>
              <w:spacing w:after="0" w:line="240" w:lineRule="auto"/>
              <w:jc w:val="center"/>
              <w:rPr>
                <w:rFonts w:ascii="Arial" w:eastAsia="Times New Roman" w:hAnsi="Arial" w:cs="Arial"/>
                <w:sz w:val="16"/>
                <w:szCs w:val="16"/>
                <w:lang w:val="es-ES_tradnl"/>
              </w:rPr>
            </w:pPr>
          </w:p>
        </w:tc>
        <w:tc>
          <w:tcPr>
            <w:tcW w:w="659" w:type="dxa"/>
            <w:gridSpan w:val="2"/>
            <w:tcBorders>
              <w:top w:val="nil"/>
              <w:left w:val="single" w:sz="4" w:space="0" w:color="auto"/>
              <w:bottom w:val="single" w:sz="4" w:space="0" w:color="auto"/>
              <w:right w:val="nil"/>
            </w:tcBorders>
            <w:shd w:val="clear" w:color="auto" w:fill="FFFFFF" w:themeFill="background1"/>
            <w:noWrap/>
            <w:hideMark/>
          </w:tcPr>
          <w:p w14:paraId="2B5272DC" w14:textId="77777777" w:rsidR="00E608EE"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6</w:t>
            </w:r>
          </w:p>
        </w:tc>
        <w:tc>
          <w:tcPr>
            <w:tcW w:w="1808" w:type="dxa"/>
            <w:gridSpan w:val="3"/>
            <w:tcBorders>
              <w:top w:val="nil"/>
              <w:left w:val="nil"/>
              <w:bottom w:val="single" w:sz="4" w:space="0" w:color="auto"/>
              <w:right w:val="nil"/>
            </w:tcBorders>
            <w:shd w:val="clear" w:color="auto" w:fill="FFFFFF" w:themeFill="background1"/>
            <w:noWrap/>
            <w:vAlign w:val="center"/>
            <w:hideMark/>
          </w:tcPr>
          <w:p w14:paraId="360B4CE9" w14:textId="01F1F5BF" w:rsidR="00E608EE" w:rsidRPr="00DC737B" w:rsidRDefault="00BE25BE" w:rsidP="005541B5">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Total del sistema</w:t>
            </w:r>
          </w:p>
        </w:tc>
        <w:tc>
          <w:tcPr>
            <w:tcW w:w="1158" w:type="dxa"/>
            <w:tcBorders>
              <w:top w:val="nil"/>
              <w:left w:val="single" w:sz="4" w:space="0" w:color="auto"/>
              <w:bottom w:val="single" w:sz="4" w:space="0" w:color="auto"/>
              <w:right w:val="nil"/>
            </w:tcBorders>
            <w:shd w:val="clear" w:color="auto" w:fill="FFFFFF" w:themeFill="background1"/>
            <w:noWrap/>
            <w:hideMark/>
          </w:tcPr>
          <w:p w14:paraId="6A926461"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31.059</w:t>
            </w:r>
          </w:p>
        </w:tc>
        <w:tc>
          <w:tcPr>
            <w:tcW w:w="1117" w:type="dxa"/>
            <w:tcBorders>
              <w:top w:val="nil"/>
              <w:left w:val="nil"/>
              <w:bottom w:val="single" w:sz="4" w:space="0" w:color="auto"/>
              <w:right w:val="nil"/>
            </w:tcBorders>
            <w:shd w:val="clear" w:color="auto" w:fill="FFFFFF" w:themeFill="background1"/>
            <w:noWrap/>
            <w:hideMark/>
          </w:tcPr>
          <w:p w14:paraId="0D21BFFF"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31.996</w:t>
            </w:r>
          </w:p>
        </w:tc>
        <w:tc>
          <w:tcPr>
            <w:tcW w:w="1118" w:type="dxa"/>
            <w:tcBorders>
              <w:top w:val="nil"/>
              <w:left w:val="nil"/>
              <w:bottom w:val="single" w:sz="4" w:space="0" w:color="auto"/>
              <w:right w:val="single" w:sz="4" w:space="0" w:color="auto"/>
            </w:tcBorders>
            <w:shd w:val="clear" w:color="auto" w:fill="FFFFFF" w:themeFill="background1"/>
            <w:noWrap/>
            <w:hideMark/>
          </w:tcPr>
          <w:p w14:paraId="62CF5C8C"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33.786</w:t>
            </w:r>
          </w:p>
        </w:tc>
        <w:tc>
          <w:tcPr>
            <w:tcW w:w="1038" w:type="dxa"/>
            <w:gridSpan w:val="2"/>
            <w:tcBorders>
              <w:top w:val="nil"/>
              <w:left w:val="nil"/>
              <w:bottom w:val="single" w:sz="4" w:space="0" w:color="auto"/>
              <w:right w:val="single" w:sz="4" w:space="0" w:color="auto"/>
            </w:tcBorders>
            <w:shd w:val="clear" w:color="auto" w:fill="FFFFFF" w:themeFill="background1"/>
            <w:noWrap/>
            <w:hideMark/>
          </w:tcPr>
          <w:p w14:paraId="481E4891"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2.727</w:t>
            </w:r>
          </w:p>
        </w:tc>
        <w:tc>
          <w:tcPr>
            <w:tcW w:w="842" w:type="dxa"/>
            <w:tcBorders>
              <w:top w:val="nil"/>
              <w:left w:val="single" w:sz="4" w:space="0" w:color="auto"/>
              <w:bottom w:val="single" w:sz="4" w:space="0" w:color="auto"/>
              <w:right w:val="single" w:sz="4" w:space="0" w:color="auto"/>
            </w:tcBorders>
            <w:shd w:val="clear" w:color="auto" w:fill="FFFFFF" w:themeFill="background1"/>
            <w:noWrap/>
            <w:hideMark/>
          </w:tcPr>
          <w:p w14:paraId="4CD2B71F"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8.8%</w:t>
            </w:r>
          </w:p>
        </w:tc>
        <w:tc>
          <w:tcPr>
            <w:tcW w:w="990" w:type="dxa"/>
            <w:gridSpan w:val="2"/>
            <w:tcBorders>
              <w:top w:val="nil"/>
              <w:left w:val="nil"/>
              <w:bottom w:val="single" w:sz="4" w:space="0" w:color="auto"/>
              <w:right w:val="single" w:sz="4" w:space="0" w:color="auto"/>
            </w:tcBorders>
            <w:shd w:val="clear" w:color="auto" w:fill="FFFFFF" w:themeFill="background1"/>
          </w:tcPr>
          <w:p w14:paraId="4AC7EEF0"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1.790</w:t>
            </w:r>
          </w:p>
        </w:tc>
        <w:tc>
          <w:tcPr>
            <w:tcW w:w="775" w:type="dxa"/>
            <w:gridSpan w:val="3"/>
            <w:tcBorders>
              <w:top w:val="nil"/>
              <w:left w:val="nil"/>
              <w:bottom w:val="single" w:sz="4" w:space="0" w:color="auto"/>
              <w:right w:val="single" w:sz="4" w:space="0" w:color="auto"/>
            </w:tcBorders>
            <w:shd w:val="clear" w:color="auto" w:fill="FFFFFF" w:themeFill="background1"/>
          </w:tcPr>
          <w:p w14:paraId="73263C62" w14:textId="77777777" w:rsidR="00E608EE"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5.6%</w:t>
            </w:r>
          </w:p>
        </w:tc>
      </w:tr>
      <w:tr w:rsidR="0089435C" w:rsidRPr="00DC737B" w14:paraId="29DAD9C9" w14:textId="77777777" w:rsidTr="00C87338">
        <w:trPr>
          <w:trHeight w:val="230"/>
        </w:trPr>
        <w:tc>
          <w:tcPr>
            <w:tcW w:w="424" w:type="dxa"/>
            <w:gridSpan w:val="2"/>
            <w:tcBorders>
              <w:top w:val="nil"/>
              <w:left w:val="nil"/>
              <w:bottom w:val="nil"/>
              <w:right w:val="nil"/>
            </w:tcBorders>
          </w:tcPr>
          <w:p w14:paraId="6850A62A" w14:textId="77777777" w:rsidR="002D1AF2" w:rsidRPr="00DC737B" w:rsidRDefault="002D1AF2" w:rsidP="005541B5">
            <w:pPr>
              <w:spacing w:after="0" w:line="240" w:lineRule="auto"/>
              <w:rPr>
                <w:rFonts w:ascii="Times New Roman" w:hAnsi="Times New Roman" w:cs="Times New Roman"/>
                <w:color w:val="000000"/>
                <w:sz w:val="20"/>
                <w:szCs w:val="20"/>
                <w:vertAlign w:val="superscript"/>
                <w:lang w:val="es-ES_tradnl"/>
              </w:rPr>
            </w:pPr>
          </w:p>
        </w:tc>
        <w:tc>
          <w:tcPr>
            <w:tcW w:w="9925" w:type="dxa"/>
            <w:gridSpan w:val="19"/>
            <w:vAlign w:val="bottom"/>
          </w:tcPr>
          <w:p w14:paraId="79037D82" w14:textId="02EB8553" w:rsidR="002D1AF2" w:rsidRPr="00DC737B" w:rsidRDefault="00B33D94" w:rsidP="00C87338">
            <w:pPr>
              <w:spacing w:after="120" w:line="240" w:lineRule="auto"/>
              <w:rPr>
                <w:rFonts w:ascii="Times New Roman" w:hAnsi="Times New Roman" w:cs="Times New Roman"/>
                <w:sz w:val="20"/>
                <w:szCs w:val="20"/>
                <w:lang w:val="es-ES_tradnl"/>
              </w:rPr>
            </w:pPr>
            <w:r w:rsidRPr="00B33D94">
              <w:rPr>
                <w:rFonts w:ascii="Times New Roman" w:eastAsia="Times New Roman" w:hAnsi="Times New Roman" w:cs="Times New Roman"/>
                <w:color w:val="000000"/>
                <w:sz w:val="20"/>
                <w:szCs w:val="20"/>
                <w:vertAlign w:val="superscript"/>
                <w:lang w:val="es-ES_tradnl"/>
              </w:rPr>
              <w:t>1</w:t>
            </w:r>
            <w:r w:rsidR="00BE25BE" w:rsidRPr="00DC737B">
              <w:rPr>
                <w:rFonts w:ascii="Times New Roman" w:eastAsia="Times New Roman" w:hAnsi="Times New Roman" w:cs="Times New Roman"/>
                <w:color w:val="000000"/>
                <w:sz w:val="20"/>
                <w:szCs w:val="20"/>
                <w:lang w:val="es-ES_tradnl"/>
              </w:rPr>
              <w:t xml:space="preserve"> Tarifas en vigor a partir del 1/1/2022 conforme a las cartas de aviso Advice Letters (AL) 3928-E, AL 3928-E-A, AL 3928-E-B.</w:t>
            </w:r>
          </w:p>
        </w:tc>
      </w:tr>
      <w:tr w:rsidR="0089435C" w:rsidRPr="00DC737B" w14:paraId="698505C7" w14:textId="77777777" w:rsidTr="00C87338">
        <w:trPr>
          <w:trHeight w:val="277"/>
        </w:trPr>
        <w:tc>
          <w:tcPr>
            <w:tcW w:w="424" w:type="dxa"/>
            <w:gridSpan w:val="2"/>
            <w:tcBorders>
              <w:top w:val="nil"/>
              <w:left w:val="nil"/>
              <w:bottom w:val="nil"/>
            </w:tcBorders>
          </w:tcPr>
          <w:p w14:paraId="2265DF62" w14:textId="77777777" w:rsidR="002D1AF2" w:rsidRPr="00DC737B" w:rsidRDefault="002D1AF2" w:rsidP="005541B5">
            <w:pPr>
              <w:spacing w:after="0" w:line="240" w:lineRule="auto"/>
              <w:rPr>
                <w:rFonts w:ascii="Times New Roman" w:hAnsi="Times New Roman" w:cs="Times New Roman"/>
                <w:color w:val="000000"/>
                <w:sz w:val="20"/>
                <w:szCs w:val="20"/>
                <w:vertAlign w:val="superscript"/>
                <w:lang w:val="es-ES_tradnl"/>
              </w:rPr>
            </w:pPr>
          </w:p>
        </w:tc>
        <w:tc>
          <w:tcPr>
            <w:tcW w:w="0" w:type="auto"/>
            <w:gridSpan w:val="19"/>
            <w:vAlign w:val="bottom"/>
          </w:tcPr>
          <w:p w14:paraId="39376F25" w14:textId="612826A2" w:rsidR="002D1AF2" w:rsidRPr="00DC737B" w:rsidRDefault="00BE25BE" w:rsidP="00C87338">
            <w:pPr>
              <w:spacing w:after="120" w:line="240" w:lineRule="auto"/>
              <w:ind w:left="90" w:hanging="90"/>
              <w:rPr>
                <w:rFonts w:ascii="Times New Roman" w:hAnsi="Times New Roman" w:cs="Times New Roman"/>
                <w:sz w:val="20"/>
                <w:szCs w:val="20"/>
                <w:lang w:val="es-ES_tradnl"/>
              </w:rPr>
            </w:pPr>
            <w:r w:rsidRPr="00DC737B">
              <w:rPr>
                <w:rFonts w:ascii="Times New Roman" w:eastAsia="Times New Roman" w:hAnsi="Times New Roman" w:cs="Times New Roman"/>
                <w:color w:val="000000"/>
                <w:sz w:val="20"/>
                <w:szCs w:val="20"/>
                <w:vertAlign w:val="superscript"/>
                <w:lang w:val="es-ES_tradnl"/>
              </w:rPr>
              <w:t>2</w:t>
            </w:r>
            <w:r w:rsidR="00B33D94">
              <w:rPr>
                <w:rFonts w:ascii="Times New Roman" w:eastAsia="Times New Roman" w:hAnsi="Times New Roman" w:cs="Times New Roman"/>
                <w:color w:val="000000"/>
                <w:sz w:val="20"/>
                <w:szCs w:val="20"/>
                <w:vertAlign w:val="superscript"/>
                <w:lang w:val="es-ES_tradnl"/>
              </w:rPr>
              <w:t xml:space="preserve">  </w:t>
            </w:r>
            <w:r w:rsidRPr="00DC737B">
              <w:rPr>
                <w:rFonts w:ascii="Times New Roman" w:eastAsia="Times New Roman" w:hAnsi="Times New Roman" w:cs="Times New Roman"/>
                <w:color w:val="000000"/>
                <w:sz w:val="20"/>
                <w:szCs w:val="20"/>
                <w:lang w:val="es-ES_tradnl"/>
              </w:rPr>
              <w:t>Incluye ingresos vigentes a partir del 1/1/2022 conforme a la AL 3928-E-A ajustados según los requisitos de ingresos de la GRC 2023 previstos y otros ingresos que se espera implementar en 2023.</w:t>
            </w:r>
          </w:p>
        </w:tc>
      </w:tr>
      <w:tr w:rsidR="0089435C" w:rsidRPr="00DC737B" w14:paraId="588345D8" w14:textId="77777777" w:rsidTr="00C87338">
        <w:trPr>
          <w:trHeight w:val="277"/>
        </w:trPr>
        <w:tc>
          <w:tcPr>
            <w:tcW w:w="424" w:type="dxa"/>
            <w:gridSpan w:val="2"/>
            <w:tcBorders>
              <w:top w:val="nil"/>
              <w:left w:val="nil"/>
              <w:bottom w:val="nil"/>
            </w:tcBorders>
          </w:tcPr>
          <w:p w14:paraId="54E48359" w14:textId="77777777" w:rsidR="002D1AF2" w:rsidRPr="00DC737B" w:rsidRDefault="002D1AF2" w:rsidP="005541B5">
            <w:pPr>
              <w:spacing w:after="0" w:line="240" w:lineRule="auto"/>
              <w:rPr>
                <w:rFonts w:ascii="Times New Roman" w:hAnsi="Times New Roman" w:cs="Times New Roman"/>
                <w:color w:val="000000"/>
                <w:sz w:val="20"/>
                <w:szCs w:val="20"/>
                <w:vertAlign w:val="superscript"/>
                <w:lang w:val="es-ES_tradnl"/>
              </w:rPr>
            </w:pPr>
          </w:p>
        </w:tc>
        <w:tc>
          <w:tcPr>
            <w:tcW w:w="0" w:type="auto"/>
            <w:gridSpan w:val="19"/>
            <w:vAlign w:val="bottom"/>
          </w:tcPr>
          <w:p w14:paraId="4FD4FAC9" w14:textId="77777777" w:rsidR="002D1AF2" w:rsidRPr="00DC737B" w:rsidRDefault="00BE25BE" w:rsidP="00C87338">
            <w:pPr>
              <w:spacing w:after="120" w:line="240" w:lineRule="auto"/>
              <w:ind w:left="90" w:hanging="90"/>
              <w:rPr>
                <w:rFonts w:ascii="Times New Roman" w:hAnsi="Times New Roman" w:cs="Times New Roman"/>
                <w:sz w:val="20"/>
                <w:szCs w:val="20"/>
                <w:lang w:val="es-ES_tradnl"/>
              </w:rPr>
            </w:pPr>
            <w:r w:rsidRPr="00DC737B">
              <w:rPr>
                <w:rFonts w:ascii="Times New Roman" w:eastAsia="Times New Roman" w:hAnsi="Times New Roman" w:cs="Times New Roman"/>
                <w:sz w:val="20"/>
                <w:szCs w:val="20"/>
                <w:vertAlign w:val="superscript"/>
                <w:lang w:val="es-ES_tradnl"/>
              </w:rPr>
              <w:t xml:space="preserve">3 </w:t>
            </w:r>
            <w:r w:rsidRPr="00DC737B">
              <w:rPr>
                <w:rFonts w:ascii="Times New Roman" w:eastAsia="Times New Roman" w:hAnsi="Times New Roman" w:cs="Times New Roman"/>
                <w:sz w:val="20"/>
                <w:szCs w:val="20"/>
                <w:lang w:val="es-ES_tradnl"/>
              </w:rPr>
              <w:t>Incluye los ingresos Utility Distribution Company más los ingresos por Generación/Materia prima con base en las ventas actuales autorizadas.</w:t>
            </w:r>
          </w:p>
          <w:p w14:paraId="5D8FC286" w14:textId="38A5C29E" w:rsidR="003021B0" w:rsidRPr="00DC737B" w:rsidRDefault="00BE25BE" w:rsidP="00C87338">
            <w:pPr>
              <w:spacing w:after="120" w:line="240" w:lineRule="auto"/>
              <w:ind w:left="90" w:hanging="90"/>
              <w:rPr>
                <w:rFonts w:ascii="Times New Roman" w:hAnsi="Times New Roman" w:cs="Times New Roman"/>
                <w:color w:val="000000"/>
                <w:sz w:val="20"/>
                <w:szCs w:val="20"/>
                <w:lang w:val="es-ES_tradnl"/>
              </w:rPr>
            </w:pPr>
            <w:r w:rsidRPr="00DC737B">
              <w:rPr>
                <w:rFonts w:ascii="InterstateCondensed-Regular" w:eastAsia="InterstateCondensed-Regular" w:hAnsi="InterstateCondensed-Regular" w:cs="InterstateCondensed-Regular"/>
                <w:sz w:val="14"/>
                <w:szCs w:val="14"/>
                <w:lang w:val="es-ES_tradnl"/>
              </w:rPr>
              <w:t>* Comercial e industrial</w:t>
            </w:r>
          </w:p>
        </w:tc>
      </w:tr>
    </w:tbl>
    <w:p w14:paraId="7E9110F9" w14:textId="51A740C7" w:rsidR="00A06171" w:rsidRPr="00DC737B" w:rsidRDefault="00BE25BE" w:rsidP="00A06171">
      <w:pPr>
        <w:spacing w:after="0" w:line="240" w:lineRule="auto"/>
        <w:rPr>
          <w:rFonts w:ascii="Times New Roman" w:hAnsi="Times New Roman" w:cs="Times New Roman"/>
          <w:b/>
          <w:bCs/>
          <w:sz w:val="24"/>
          <w:szCs w:val="24"/>
          <w:lang w:val="es-ES_tradnl"/>
        </w:rPr>
      </w:pPr>
      <w:r w:rsidRPr="00DC737B">
        <w:rPr>
          <w:rFonts w:ascii="Times New Roman" w:hAnsi="Times New Roman" w:cs="Times New Roman"/>
          <w:sz w:val="24"/>
          <w:szCs w:val="24"/>
          <w:lang w:val="es-ES_tradnl"/>
        </w:rPr>
        <w:t xml:space="preserve"> </w:t>
      </w:r>
    </w:p>
    <w:p w14:paraId="2E84A76C" w14:textId="77777777" w:rsidR="00041E18" w:rsidRPr="00DC737B" w:rsidRDefault="00BE25BE">
      <w:pPr>
        <w:rPr>
          <w:rFonts w:ascii="Times New Roman" w:hAnsi="Times New Roman" w:cs="Times New Roman"/>
          <w:b/>
          <w:bCs/>
          <w:sz w:val="24"/>
          <w:szCs w:val="24"/>
          <w:lang w:val="es-ES_tradnl"/>
        </w:rPr>
      </w:pPr>
      <w:r w:rsidRPr="00DC737B">
        <w:rPr>
          <w:rFonts w:ascii="Times New Roman" w:hAnsi="Times New Roman" w:cs="Times New Roman"/>
          <w:b/>
          <w:bCs/>
          <w:sz w:val="24"/>
          <w:szCs w:val="24"/>
          <w:lang w:val="es-ES_tradnl"/>
        </w:rPr>
        <w:br w:type="page"/>
      </w:r>
    </w:p>
    <w:p w14:paraId="381180F6" w14:textId="65F2CBE3" w:rsidR="00A06171" w:rsidRPr="00DC737B" w:rsidRDefault="00BE25BE" w:rsidP="00A06171">
      <w:pPr>
        <w:spacing w:after="0" w:line="240" w:lineRule="auto"/>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lastRenderedPageBreak/>
        <w:t>¿Cómo podría esto afectar mis tarifas mensuales de gas?</w:t>
      </w:r>
    </w:p>
    <w:p w14:paraId="4B27A4FB" w14:textId="777A8A46" w:rsidR="00A06171" w:rsidRPr="00DC737B" w:rsidRDefault="00BE25BE" w:rsidP="00A06171">
      <w:pPr>
        <w:spacing w:after="0" w:line="240" w:lineRule="auto"/>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Si la CPUC aprueba la solicitud tarifaria de SDG&amp;E, la factura mensual residencial típica con un consumo de 24 termias al mes aumentaría en aproximadamente $9.57 o 18.1% al mes en 2024, en comparación con lo estimado para 2023. Las facturas por cliente individual pueden variar.</w:t>
      </w:r>
    </w:p>
    <w:p w14:paraId="0C93358B" w14:textId="77777777" w:rsidR="009A323C" w:rsidRPr="00DC737B" w:rsidRDefault="009A323C" w:rsidP="00A06171">
      <w:pPr>
        <w:spacing w:after="0" w:line="240" w:lineRule="auto"/>
        <w:rPr>
          <w:rFonts w:ascii="Times New Roman" w:eastAsia="Calibri" w:hAnsi="Times New Roman" w:cs="Times New Roman"/>
          <w:sz w:val="24"/>
          <w:szCs w:val="24"/>
          <w:lang w:val="es-ES_tradnl"/>
        </w:rPr>
      </w:pPr>
    </w:p>
    <w:p w14:paraId="6ED91A08" w14:textId="77777777" w:rsidR="00A06171" w:rsidRPr="00DC737B" w:rsidRDefault="00BE25BE" w:rsidP="00A06171">
      <w:pPr>
        <w:spacing w:after="0" w:line="240" w:lineRule="auto"/>
        <w:jc w:val="center"/>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Aumento propuesto en la tarifa de gas </w:t>
      </w:r>
    </w:p>
    <w:tbl>
      <w:tblPr>
        <w:tblW w:w="11179" w:type="dxa"/>
        <w:tblInd w:w="-480" w:type="dxa"/>
        <w:tblLook w:val="04A0" w:firstRow="1" w:lastRow="0" w:firstColumn="1" w:lastColumn="0" w:noHBand="0" w:noVBand="1"/>
      </w:tblPr>
      <w:tblGrid>
        <w:gridCol w:w="270"/>
        <w:gridCol w:w="171"/>
        <w:gridCol w:w="592"/>
        <w:gridCol w:w="184"/>
        <w:gridCol w:w="1409"/>
        <w:gridCol w:w="318"/>
        <w:gridCol w:w="1225"/>
        <w:gridCol w:w="1203"/>
        <w:gridCol w:w="1256"/>
        <w:gridCol w:w="1127"/>
        <w:gridCol w:w="76"/>
        <w:gridCol w:w="890"/>
        <w:gridCol w:w="314"/>
        <w:gridCol w:w="800"/>
        <w:gridCol w:w="62"/>
        <w:gridCol w:w="505"/>
        <w:gridCol w:w="272"/>
        <w:gridCol w:w="64"/>
        <w:gridCol w:w="119"/>
        <w:gridCol w:w="110"/>
        <w:gridCol w:w="42"/>
        <w:gridCol w:w="272"/>
      </w:tblGrid>
      <w:tr w:rsidR="0089435C" w:rsidRPr="00DC737B" w14:paraId="647F4912" w14:textId="77777777" w:rsidTr="00907D42">
        <w:trPr>
          <w:trHeight w:val="150"/>
        </w:trPr>
        <w:tc>
          <w:tcPr>
            <w:tcW w:w="424" w:type="dxa"/>
            <w:gridSpan w:val="2"/>
            <w:tcBorders>
              <w:top w:val="nil"/>
              <w:left w:val="nil"/>
              <w:bottom w:val="nil"/>
              <w:right w:val="nil"/>
            </w:tcBorders>
            <w:shd w:val="clear" w:color="auto" w:fill="auto"/>
            <w:noWrap/>
            <w:vAlign w:val="bottom"/>
          </w:tcPr>
          <w:p w14:paraId="3A5973B4" w14:textId="2D736FFB" w:rsidR="00C900FD" w:rsidRPr="00DC737B" w:rsidRDefault="00C900FD" w:rsidP="00F23E66">
            <w:pPr>
              <w:rPr>
                <w:rFonts w:ascii="Times New Roman" w:eastAsia="Times New Roman" w:hAnsi="Times New Roman" w:cs="Times New Roman"/>
                <w:sz w:val="20"/>
                <w:szCs w:val="20"/>
                <w:lang w:val="es-ES_tradnl"/>
              </w:rPr>
            </w:pPr>
          </w:p>
        </w:tc>
        <w:tc>
          <w:tcPr>
            <w:tcW w:w="717" w:type="dxa"/>
            <w:gridSpan w:val="2"/>
            <w:tcBorders>
              <w:top w:val="nil"/>
              <w:left w:val="nil"/>
              <w:bottom w:val="single" w:sz="4" w:space="0" w:color="auto"/>
              <w:right w:val="nil"/>
            </w:tcBorders>
            <w:shd w:val="clear" w:color="auto" w:fill="FFFFFF" w:themeFill="background1"/>
            <w:noWrap/>
            <w:vAlign w:val="bottom"/>
          </w:tcPr>
          <w:p w14:paraId="14B894FD" w14:textId="2492C3EF" w:rsidR="00C900FD" w:rsidRPr="00DC737B" w:rsidRDefault="00C900FD" w:rsidP="005541B5">
            <w:pPr>
              <w:spacing w:after="0" w:line="240" w:lineRule="auto"/>
              <w:rPr>
                <w:rFonts w:ascii="Arial" w:eastAsia="Times New Roman" w:hAnsi="Arial" w:cs="Arial"/>
                <w:sz w:val="16"/>
                <w:szCs w:val="16"/>
                <w:lang w:val="es-ES_tradnl"/>
              </w:rPr>
            </w:pPr>
          </w:p>
        </w:tc>
        <w:tc>
          <w:tcPr>
            <w:tcW w:w="1409" w:type="dxa"/>
            <w:tcBorders>
              <w:top w:val="nil"/>
              <w:left w:val="nil"/>
              <w:bottom w:val="single" w:sz="4" w:space="0" w:color="auto"/>
              <w:right w:val="nil"/>
            </w:tcBorders>
            <w:shd w:val="clear" w:color="auto" w:fill="FFFFFF" w:themeFill="background1"/>
            <w:noWrap/>
            <w:vAlign w:val="bottom"/>
          </w:tcPr>
          <w:p w14:paraId="08386429" w14:textId="4D893A6A"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318" w:type="dxa"/>
            <w:tcBorders>
              <w:top w:val="nil"/>
              <w:left w:val="nil"/>
              <w:bottom w:val="single" w:sz="4" w:space="0" w:color="auto"/>
              <w:right w:val="nil"/>
            </w:tcBorders>
            <w:shd w:val="clear" w:color="auto" w:fill="FFFFFF" w:themeFill="background1"/>
            <w:noWrap/>
            <w:vAlign w:val="bottom"/>
          </w:tcPr>
          <w:p w14:paraId="76673FD9" w14:textId="1BB017AE"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1225" w:type="dxa"/>
            <w:tcBorders>
              <w:top w:val="nil"/>
              <w:left w:val="nil"/>
              <w:bottom w:val="nil"/>
              <w:right w:val="nil"/>
            </w:tcBorders>
            <w:shd w:val="clear" w:color="auto" w:fill="FFFFFF" w:themeFill="background1"/>
            <w:noWrap/>
            <w:vAlign w:val="bottom"/>
          </w:tcPr>
          <w:p w14:paraId="7209688E" w14:textId="109E159E"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1203" w:type="dxa"/>
            <w:tcBorders>
              <w:top w:val="nil"/>
              <w:left w:val="nil"/>
              <w:bottom w:val="nil"/>
              <w:right w:val="nil"/>
            </w:tcBorders>
            <w:shd w:val="clear" w:color="auto" w:fill="FFFFFF" w:themeFill="background1"/>
            <w:noWrap/>
            <w:vAlign w:val="bottom"/>
          </w:tcPr>
          <w:p w14:paraId="6DFD122F" w14:textId="112697E6"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1203" w:type="dxa"/>
            <w:tcBorders>
              <w:top w:val="nil"/>
              <w:left w:val="nil"/>
              <w:bottom w:val="nil"/>
              <w:right w:val="nil"/>
            </w:tcBorders>
            <w:shd w:val="clear" w:color="auto" w:fill="FFFFFF" w:themeFill="background1"/>
            <w:noWrap/>
            <w:vAlign w:val="bottom"/>
          </w:tcPr>
          <w:p w14:paraId="20AF85FE" w14:textId="33A662BC"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1127" w:type="dxa"/>
            <w:tcBorders>
              <w:top w:val="nil"/>
              <w:left w:val="nil"/>
              <w:bottom w:val="nil"/>
              <w:right w:val="nil"/>
            </w:tcBorders>
            <w:shd w:val="clear" w:color="auto" w:fill="FFFFFF" w:themeFill="background1"/>
            <w:noWrap/>
            <w:vAlign w:val="bottom"/>
          </w:tcPr>
          <w:p w14:paraId="08B430ED" w14:textId="0338C33B"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1307" w:type="dxa"/>
            <w:gridSpan w:val="3"/>
            <w:tcBorders>
              <w:top w:val="nil"/>
              <w:left w:val="nil"/>
              <w:bottom w:val="nil"/>
              <w:right w:val="nil"/>
            </w:tcBorders>
          </w:tcPr>
          <w:p w14:paraId="03C5AACD" w14:textId="77777777"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1367" w:type="dxa"/>
            <w:gridSpan w:val="3"/>
            <w:tcBorders>
              <w:top w:val="nil"/>
              <w:left w:val="nil"/>
              <w:bottom w:val="nil"/>
              <w:right w:val="nil"/>
            </w:tcBorders>
            <w:shd w:val="clear" w:color="auto" w:fill="auto"/>
            <w:noWrap/>
            <w:vAlign w:val="bottom"/>
          </w:tcPr>
          <w:p w14:paraId="51361E83" w14:textId="77777777"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336" w:type="dxa"/>
            <w:gridSpan w:val="2"/>
            <w:tcBorders>
              <w:top w:val="nil"/>
              <w:left w:val="nil"/>
              <w:bottom w:val="nil"/>
              <w:right w:val="nil"/>
            </w:tcBorders>
            <w:shd w:val="clear" w:color="auto" w:fill="auto"/>
            <w:noWrap/>
            <w:vAlign w:val="bottom"/>
          </w:tcPr>
          <w:p w14:paraId="243D6F98" w14:textId="77777777" w:rsidR="00C900FD" w:rsidRPr="00DC737B" w:rsidRDefault="00C900FD" w:rsidP="005541B5">
            <w:pPr>
              <w:spacing w:after="0" w:line="240" w:lineRule="auto"/>
              <w:rPr>
                <w:rFonts w:ascii="Times New Roman" w:eastAsia="Times New Roman" w:hAnsi="Times New Roman" w:cs="Times New Roman"/>
                <w:sz w:val="20"/>
                <w:szCs w:val="20"/>
                <w:lang w:val="es-ES_tradnl"/>
              </w:rPr>
            </w:pPr>
          </w:p>
        </w:tc>
        <w:tc>
          <w:tcPr>
            <w:tcW w:w="271" w:type="dxa"/>
            <w:gridSpan w:val="3"/>
            <w:tcBorders>
              <w:top w:val="nil"/>
              <w:left w:val="nil"/>
              <w:bottom w:val="nil"/>
              <w:right w:val="nil"/>
            </w:tcBorders>
            <w:shd w:val="clear" w:color="auto" w:fill="auto"/>
            <w:noWrap/>
            <w:vAlign w:val="bottom"/>
          </w:tcPr>
          <w:p w14:paraId="63EED230" w14:textId="77777777" w:rsidR="00C900FD" w:rsidRPr="00DC737B" w:rsidRDefault="00C900FD" w:rsidP="005541B5">
            <w:pPr>
              <w:spacing w:after="0" w:line="240" w:lineRule="auto"/>
              <w:rPr>
                <w:rFonts w:ascii="Times New Roman" w:eastAsia="Times New Roman" w:hAnsi="Times New Roman" w:cs="Times New Roman"/>
                <w:sz w:val="20"/>
                <w:szCs w:val="20"/>
                <w:lang w:val="es-ES_tradnl"/>
              </w:rPr>
            </w:pPr>
          </w:p>
        </w:tc>
        <w:tc>
          <w:tcPr>
            <w:tcW w:w="272" w:type="dxa"/>
            <w:tcBorders>
              <w:top w:val="nil"/>
              <w:left w:val="nil"/>
              <w:bottom w:val="nil"/>
              <w:right w:val="nil"/>
            </w:tcBorders>
            <w:shd w:val="clear" w:color="auto" w:fill="auto"/>
            <w:noWrap/>
            <w:vAlign w:val="bottom"/>
          </w:tcPr>
          <w:p w14:paraId="5C026F93" w14:textId="77777777" w:rsidR="00C900FD" w:rsidRPr="00DC737B" w:rsidRDefault="00C900FD" w:rsidP="005541B5">
            <w:pPr>
              <w:spacing w:after="0" w:line="240" w:lineRule="auto"/>
              <w:rPr>
                <w:rFonts w:ascii="Times New Roman" w:eastAsia="Times New Roman" w:hAnsi="Times New Roman" w:cs="Times New Roman"/>
                <w:sz w:val="20"/>
                <w:szCs w:val="20"/>
                <w:lang w:val="es-ES_tradnl"/>
              </w:rPr>
            </w:pPr>
          </w:p>
        </w:tc>
      </w:tr>
      <w:tr w:rsidR="0089435C" w:rsidRPr="00DC737B" w14:paraId="0970C180" w14:textId="77777777" w:rsidTr="00907D42">
        <w:trPr>
          <w:gridAfter w:val="5"/>
          <w:wAfter w:w="607" w:type="dxa"/>
          <w:trHeight w:val="277"/>
        </w:trPr>
        <w:tc>
          <w:tcPr>
            <w:tcW w:w="270" w:type="dxa"/>
            <w:tcBorders>
              <w:top w:val="nil"/>
              <w:left w:val="nil"/>
              <w:bottom w:val="single" w:sz="4" w:space="0" w:color="FFFFFF" w:themeColor="background1"/>
              <w:right w:val="single" w:sz="4" w:space="0" w:color="auto"/>
            </w:tcBorders>
            <w:shd w:val="clear" w:color="auto" w:fill="auto"/>
            <w:noWrap/>
            <w:vAlign w:val="bottom"/>
            <w:hideMark/>
          </w:tcPr>
          <w:p w14:paraId="02231C3F" w14:textId="77777777" w:rsidR="00C900FD" w:rsidRPr="00DC737B" w:rsidRDefault="00C900FD" w:rsidP="005541B5">
            <w:pPr>
              <w:spacing w:after="0" w:line="240" w:lineRule="auto"/>
              <w:rPr>
                <w:rFonts w:ascii="Times New Roman" w:eastAsia="Times New Roman" w:hAnsi="Times New Roman" w:cs="Times New Roman"/>
                <w:sz w:val="20"/>
                <w:szCs w:val="20"/>
                <w:lang w:val="es-ES_tradnl"/>
              </w:rPr>
            </w:pPr>
          </w:p>
        </w:tc>
        <w:tc>
          <w:tcPr>
            <w:tcW w:w="687" w:type="dxa"/>
            <w:gridSpan w:val="2"/>
            <w:tcBorders>
              <w:top w:val="single" w:sz="4" w:space="0" w:color="auto"/>
              <w:left w:val="single" w:sz="4" w:space="0" w:color="auto"/>
              <w:bottom w:val="nil"/>
              <w:right w:val="nil"/>
            </w:tcBorders>
            <w:shd w:val="clear" w:color="auto" w:fill="FFFFFF" w:themeFill="background1"/>
            <w:noWrap/>
            <w:vAlign w:val="bottom"/>
            <w:hideMark/>
          </w:tcPr>
          <w:p w14:paraId="17FF5529"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593" w:type="dxa"/>
            <w:gridSpan w:val="2"/>
            <w:tcBorders>
              <w:top w:val="single" w:sz="4" w:space="0" w:color="auto"/>
              <w:left w:val="nil"/>
              <w:bottom w:val="nil"/>
              <w:right w:val="nil"/>
            </w:tcBorders>
            <w:shd w:val="clear" w:color="auto" w:fill="FFFFFF" w:themeFill="background1"/>
            <w:noWrap/>
            <w:vAlign w:val="bottom"/>
            <w:hideMark/>
          </w:tcPr>
          <w:p w14:paraId="3972C92F"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318" w:type="dxa"/>
            <w:tcBorders>
              <w:top w:val="single" w:sz="4" w:space="0" w:color="auto"/>
              <w:left w:val="nil"/>
              <w:bottom w:val="nil"/>
              <w:right w:val="nil"/>
            </w:tcBorders>
            <w:shd w:val="clear" w:color="auto" w:fill="FFFFFF" w:themeFill="background1"/>
            <w:noWrap/>
            <w:vAlign w:val="bottom"/>
            <w:hideMark/>
          </w:tcPr>
          <w:p w14:paraId="039CDEE7"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3631"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1FFAB1" w14:textId="736E7A50"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Tarifas totales</w:t>
            </w:r>
            <w:r w:rsidRPr="00DC737B">
              <w:rPr>
                <w:rFonts w:ascii="Times New Roman" w:eastAsia="Times New Roman" w:hAnsi="Times New Roman" w:cs="Times New Roman"/>
                <w:sz w:val="24"/>
                <w:szCs w:val="24"/>
                <w:vertAlign w:val="superscript"/>
                <w:lang w:val="es-ES_tradnl"/>
              </w:rPr>
              <w:t>1</w:t>
            </w:r>
          </w:p>
        </w:tc>
        <w:tc>
          <w:tcPr>
            <w:tcW w:w="2093" w:type="dxa"/>
            <w:gridSpan w:val="3"/>
            <w:tcBorders>
              <w:top w:val="single" w:sz="4" w:space="0" w:color="auto"/>
              <w:left w:val="nil"/>
              <w:bottom w:val="single" w:sz="4" w:space="0" w:color="auto"/>
              <w:right w:val="single" w:sz="4" w:space="0" w:color="000000" w:themeColor="text1"/>
            </w:tcBorders>
            <w:shd w:val="clear" w:color="auto" w:fill="FFFFFF" w:themeFill="background1"/>
            <w:noWrap/>
            <w:vAlign w:val="bottom"/>
            <w:hideMark/>
          </w:tcPr>
          <w:p w14:paraId="49E129AC" w14:textId="705735B6"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Aumento </w:t>
            </w:r>
            <w:r w:rsidR="006F2EA4">
              <w:rPr>
                <w:rFonts w:ascii="Times New Roman" w:eastAsia="Times New Roman" w:hAnsi="Times New Roman" w:cs="Times New Roman"/>
                <w:sz w:val="24"/>
                <w:szCs w:val="24"/>
                <w:lang w:val="es-ES_tradnl"/>
              </w:rPr>
              <w:br/>
            </w:r>
            <w:r w:rsidRPr="00DC737B">
              <w:rPr>
                <w:rFonts w:ascii="Times New Roman" w:eastAsia="Times New Roman" w:hAnsi="Times New Roman" w:cs="Times New Roman"/>
                <w:sz w:val="24"/>
                <w:szCs w:val="24"/>
                <w:lang w:val="es-ES_tradnl"/>
              </w:rPr>
              <w:t>2022 a 2024</w:t>
            </w:r>
          </w:p>
        </w:tc>
        <w:tc>
          <w:tcPr>
            <w:tcW w:w="1980" w:type="dxa"/>
            <w:gridSpan w:val="5"/>
            <w:tcBorders>
              <w:top w:val="single" w:sz="4" w:space="0" w:color="auto"/>
              <w:left w:val="nil"/>
              <w:bottom w:val="single" w:sz="4" w:space="0" w:color="auto"/>
              <w:right w:val="single" w:sz="4" w:space="0" w:color="000000" w:themeColor="text1"/>
            </w:tcBorders>
            <w:shd w:val="clear" w:color="auto" w:fill="FFFFFF" w:themeFill="background1"/>
            <w:vAlign w:val="bottom"/>
          </w:tcPr>
          <w:p w14:paraId="5E088F5D" w14:textId="5CB481A0"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Aumento </w:t>
            </w:r>
            <w:r w:rsidR="006F2EA4">
              <w:rPr>
                <w:rFonts w:ascii="Times New Roman" w:eastAsia="Times New Roman" w:hAnsi="Times New Roman" w:cs="Times New Roman"/>
                <w:sz w:val="24"/>
                <w:szCs w:val="24"/>
                <w:lang w:val="es-ES_tradnl"/>
              </w:rPr>
              <w:br/>
            </w:r>
            <w:r w:rsidRPr="00DC737B">
              <w:rPr>
                <w:rFonts w:ascii="Times New Roman" w:eastAsia="Times New Roman" w:hAnsi="Times New Roman" w:cs="Times New Roman"/>
                <w:sz w:val="24"/>
                <w:szCs w:val="24"/>
                <w:lang w:val="es-ES_tradnl"/>
              </w:rPr>
              <w:t>2023 a 2024</w:t>
            </w:r>
          </w:p>
        </w:tc>
      </w:tr>
      <w:tr w:rsidR="0089435C" w:rsidRPr="00DC737B" w14:paraId="003C8BC1" w14:textId="77777777" w:rsidTr="00907D42">
        <w:trPr>
          <w:gridAfter w:val="5"/>
          <w:wAfter w:w="607" w:type="dxa"/>
          <w:trHeight w:val="657"/>
        </w:trPr>
        <w:tc>
          <w:tcPr>
            <w:tcW w:w="270" w:type="dxa"/>
            <w:tcBorders>
              <w:top w:val="single" w:sz="4" w:space="0" w:color="FFFFFF" w:themeColor="background1"/>
              <w:left w:val="nil"/>
              <w:bottom w:val="nil"/>
              <w:right w:val="single" w:sz="4" w:space="0" w:color="auto"/>
            </w:tcBorders>
            <w:shd w:val="clear" w:color="auto" w:fill="auto"/>
            <w:noWrap/>
            <w:vAlign w:val="bottom"/>
            <w:hideMark/>
          </w:tcPr>
          <w:p w14:paraId="45BBEF64" w14:textId="77777777"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687" w:type="dxa"/>
            <w:gridSpan w:val="2"/>
            <w:tcBorders>
              <w:top w:val="single" w:sz="4" w:space="0" w:color="auto"/>
              <w:left w:val="single" w:sz="4" w:space="0" w:color="auto"/>
              <w:bottom w:val="nil"/>
              <w:right w:val="nil"/>
            </w:tcBorders>
            <w:shd w:val="clear" w:color="auto" w:fill="FFFFFF" w:themeFill="background1"/>
            <w:noWrap/>
            <w:vAlign w:val="bottom"/>
            <w:hideMark/>
          </w:tcPr>
          <w:p w14:paraId="55DBA964"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593" w:type="dxa"/>
            <w:gridSpan w:val="2"/>
            <w:tcBorders>
              <w:top w:val="single" w:sz="4" w:space="0" w:color="auto"/>
              <w:left w:val="nil"/>
              <w:bottom w:val="nil"/>
              <w:right w:val="nil"/>
            </w:tcBorders>
            <w:shd w:val="clear" w:color="auto" w:fill="FFFFFF" w:themeFill="background1"/>
            <w:noWrap/>
            <w:vAlign w:val="bottom"/>
            <w:hideMark/>
          </w:tcPr>
          <w:p w14:paraId="66FE47E7"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318" w:type="dxa"/>
            <w:tcBorders>
              <w:top w:val="single" w:sz="4" w:space="0" w:color="auto"/>
              <w:left w:val="nil"/>
              <w:bottom w:val="nil"/>
              <w:right w:val="nil"/>
            </w:tcBorders>
            <w:shd w:val="clear" w:color="auto" w:fill="FFFFFF" w:themeFill="background1"/>
            <w:noWrap/>
            <w:vAlign w:val="bottom"/>
            <w:hideMark/>
          </w:tcPr>
          <w:p w14:paraId="44195C4F"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225" w:type="dxa"/>
            <w:tcBorders>
              <w:top w:val="single" w:sz="4" w:space="0" w:color="auto"/>
              <w:left w:val="single" w:sz="4" w:space="0" w:color="auto"/>
              <w:bottom w:val="nil"/>
              <w:right w:val="nil"/>
            </w:tcBorders>
            <w:shd w:val="clear" w:color="auto" w:fill="FFFFFF" w:themeFill="background1"/>
            <w:vAlign w:val="bottom"/>
            <w:hideMark/>
          </w:tcPr>
          <w:p w14:paraId="1BF7120D" w14:textId="2EC9E443"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Actual</w:t>
            </w:r>
            <w:r w:rsidR="006F2EA4">
              <w:rPr>
                <w:rFonts w:ascii="Times New Roman" w:eastAsia="Times New Roman" w:hAnsi="Times New Roman" w:cs="Times New Roman"/>
                <w:sz w:val="24"/>
                <w:szCs w:val="24"/>
                <w:lang w:val="es-ES_tradnl"/>
              </w:rPr>
              <w:t>es</w:t>
            </w:r>
            <w:r w:rsidRPr="00DC737B">
              <w:rPr>
                <w:rFonts w:ascii="Times New Roman" w:eastAsia="Times New Roman" w:hAnsi="Times New Roman" w:cs="Times New Roman"/>
                <w:sz w:val="24"/>
                <w:szCs w:val="24"/>
                <w:lang w:val="es-ES_tradnl"/>
              </w:rPr>
              <w:t xml:space="preserve"> ($/termia) </w:t>
            </w:r>
          </w:p>
        </w:tc>
        <w:tc>
          <w:tcPr>
            <w:tcW w:w="1203" w:type="dxa"/>
            <w:tcBorders>
              <w:top w:val="single" w:sz="4" w:space="0" w:color="auto"/>
              <w:left w:val="nil"/>
              <w:bottom w:val="nil"/>
              <w:right w:val="nil"/>
            </w:tcBorders>
            <w:shd w:val="clear" w:color="auto" w:fill="FFFFFF" w:themeFill="background1"/>
            <w:vAlign w:val="bottom"/>
            <w:hideMark/>
          </w:tcPr>
          <w:p w14:paraId="707C3DE8" w14:textId="6AC49FD4"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Según lo esperado </w:t>
            </w:r>
            <w:r w:rsidRPr="00DC737B">
              <w:rPr>
                <w:rFonts w:ascii="Times New Roman" w:eastAsia="Times New Roman" w:hAnsi="Times New Roman" w:cs="Times New Roman"/>
                <w:sz w:val="24"/>
                <w:szCs w:val="24"/>
                <w:lang w:val="es-ES_tradnl"/>
              </w:rPr>
              <w:br/>
              <w:t xml:space="preserve">($/termia) </w:t>
            </w:r>
          </w:p>
        </w:tc>
        <w:tc>
          <w:tcPr>
            <w:tcW w:w="1203" w:type="dxa"/>
            <w:tcBorders>
              <w:top w:val="single" w:sz="4" w:space="0" w:color="auto"/>
              <w:left w:val="nil"/>
              <w:bottom w:val="nil"/>
              <w:right w:val="single" w:sz="4" w:space="0" w:color="auto"/>
            </w:tcBorders>
            <w:shd w:val="clear" w:color="auto" w:fill="FFFFFF" w:themeFill="background1"/>
            <w:vAlign w:val="bottom"/>
            <w:hideMark/>
          </w:tcPr>
          <w:p w14:paraId="695FEE88" w14:textId="1AC86BE3"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Propuest</w:t>
            </w:r>
            <w:r w:rsidR="006F2EA4">
              <w:rPr>
                <w:rFonts w:ascii="Times New Roman" w:eastAsia="Times New Roman" w:hAnsi="Times New Roman" w:cs="Times New Roman"/>
                <w:sz w:val="24"/>
                <w:szCs w:val="24"/>
                <w:lang w:val="es-ES_tradnl"/>
              </w:rPr>
              <w:t>as</w:t>
            </w:r>
            <w:r w:rsidRPr="00DC737B">
              <w:rPr>
                <w:rFonts w:ascii="Times New Roman" w:eastAsia="Times New Roman" w:hAnsi="Times New Roman" w:cs="Times New Roman"/>
                <w:sz w:val="24"/>
                <w:szCs w:val="24"/>
                <w:lang w:val="es-ES_tradnl"/>
              </w:rPr>
              <w:t xml:space="preserve"> ($/termia) </w:t>
            </w:r>
          </w:p>
        </w:tc>
        <w:tc>
          <w:tcPr>
            <w:tcW w:w="2093" w:type="dxa"/>
            <w:gridSpan w:val="3"/>
            <w:tcBorders>
              <w:top w:val="single" w:sz="4" w:space="0" w:color="auto"/>
              <w:left w:val="nil"/>
              <w:bottom w:val="nil"/>
              <w:right w:val="single" w:sz="4" w:space="0" w:color="auto"/>
            </w:tcBorders>
            <w:shd w:val="clear" w:color="auto" w:fill="FFFFFF" w:themeFill="background1"/>
            <w:noWrap/>
            <w:vAlign w:val="bottom"/>
            <w:hideMark/>
          </w:tcPr>
          <w:p w14:paraId="204EBDFC" w14:textId="24A90C44"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Aumento</w:t>
            </w:r>
          </w:p>
        </w:tc>
        <w:tc>
          <w:tcPr>
            <w:tcW w:w="1980" w:type="dxa"/>
            <w:gridSpan w:val="5"/>
            <w:tcBorders>
              <w:top w:val="single" w:sz="4" w:space="0" w:color="auto"/>
              <w:left w:val="single" w:sz="4" w:space="0" w:color="auto"/>
              <w:right w:val="single" w:sz="4" w:space="0" w:color="auto"/>
            </w:tcBorders>
            <w:shd w:val="clear" w:color="auto" w:fill="FFFFFF" w:themeFill="background1"/>
            <w:vAlign w:val="bottom"/>
          </w:tcPr>
          <w:p w14:paraId="07DB3994" w14:textId="044843A1"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Aumento</w:t>
            </w:r>
          </w:p>
        </w:tc>
      </w:tr>
      <w:tr w:rsidR="0089435C" w:rsidRPr="00DC737B" w14:paraId="7282D008" w14:textId="77777777" w:rsidTr="00907D42">
        <w:trPr>
          <w:gridAfter w:val="2"/>
          <w:wAfter w:w="314" w:type="dxa"/>
          <w:trHeight w:val="441"/>
        </w:trPr>
        <w:tc>
          <w:tcPr>
            <w:tcW w:w="270" w:type="dxa"/>
            <w:tcBorders>
              <w:top w:val="nil"/>
              <w:left w:val="nil"/>
              <w:bottom w:val="nil"/>
              <w:right w:val="single" w:sz="4" w:space="0" w:color="auto"/>
            </w:tcBorders>
            <w:shd w:val="clear" w:color="auto" w:fill="auto"/>
            <w:noWrap/>
            <w:vAlign w:val="bottom"/>
            <w:hideMark/>
          </w:tcPr>
          <w:p w14:paraId="2DCA2C4D" w14:textId="77777777" w:rsidR="00C900FD" w:rsidRPr="00DC737B" w:rsidRDefault="00C900FD" w:rsidP="005541B5">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bottom w:val="single" w:sz="4" w:space="0" w:color="auto"/>
              <w:right w:val="nil"/>
            </w:tcBorders>
            <w:shd w:val="clear" w:color="auto" w:fill="FFFFFF" w:themeFill="background1"/>
            <w:vAlign w:val="bottom"/>
            <w:hideMark/>
          </w:tcPr>
          <w:p w14:paraId="401260DD"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Línea núm.</w:t>
            </w:r>
          </w:p>
        </w:tc>
        <w:tc>
          <w:tcPr>
            <w:tcW w:w="1911" w:type="dxa"/>
            <w:gridSpan w:val="3"/>
            <w:tcBorders>
              <w:top w:val="nil"/>
              <w:left w:val="nil"/>
              <w:bottom w:val="single" w:sz="4" w:space="0" w:color="auto"/>
              <w:right w:val="nil"/>
            </w:tcBorders>
            <w:shd w:val="clear" w:color="auto" w:fill="FFFFFF" w:themeFill="background1"/>
            <w:noWrap/>
            <w:vAlign w:val="bottom"/>
            <w:hideMark/>
          </w:tcPr>
          <w:p w14:paraId="1C1ACCD0"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Clase de cliente</w:t>
            </w:r>
          </w:p>
          <w:p w14:paraId="4B3008D3" w14:textId="77777777" w:rsidR="00C900FD" w:rsidRPr="00DC737B" w:rsidRDefault="00BE25BE" w:rsidP="005541B5">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w:t>
            </w:r>
          </w:p>
        </w:tc>
        <w:tc>
          <w:tcPr>
            <w:tcW w:w="1225" w:type="dxa"/>
            <w:tcBorders>
              <w:top w:val="nil"/>
              <w:left w:val="single" w:sz="4" w:space="0" w:color="auto"/>
              <w:bottom w:val="single" w:sz="4" w:space="0" w:color="auto"/>
              <w:right w:val="nil"/>
            </w:tcBorders>
            <w:shd w:val="clear" w:color="auto" w:fill="FFFFFF" w:themeFill="background1"/>
            <w:noWrap/>
            <w:vAlign w:val="bottom"/>
            <w:hideMark/>
          </w:tcPr>
          <w:p w14:paraId="0CCF6883" w14:textId="706FC0BF"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3/1/2022</w:t>
            </w:r>
            <w:r w:rsidRPr="00DC737B">
              <w:rPr>
                <w:rFonts w:ascii="Times New Roman" w:eastAsia="Times New Roman" w:hAnsi="Times New Roman" w:cs="Times New Roman"/>
                <w:sz w:val="24"/>
                <w:szCs w:val="24"/>
                <w:vertAlign w:val="superscript"/>
                <w:lang w:val="es-ES_tradnl"/>
              </w:rPr>
              <w:t>2</w:t>
            </w:r>
          </w:p>
        </w:tc>
        <w:tc>
          <w:tcPr>
            <w:tcW w:w="1203" w:type="dxa"/>
            <w:tcBorders>
              <w:top w:val="nil"/>
              <w:left w:val="nil"/>
              <w:bottom w:val="single" w:sz="4" w:space="0" w:color="auto"/>
              <w:right w:val="nil"/>
            </w:tcBorders>
            <w:shd w:val="clear" w:color="auto" w:fill="FFFFFF" w:themeFill="background1"/>
            <w:noWrap/>
            <w:vAlign w:val="bottom"/>
            <w:hideMark/>
          </w:tcPr>
          <w:p w14:paraId="0BE9259C" w14:textId="3B449044"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2023</w:t>
            </w:r>
            <w:r w:rsidRPr="00DC737B">
              <w:rPr>
                <w:rFonts w:ascii="Times New Roman" w:eastAsia="Times New Roman" w:hAnsi="Times New Roman" w:cs="Times New Roman"/>
                <w:sz w:val="24"/>
                <w:szCs w:val="24"/>
                <w:vertAlign w:val="superscript"/>
                <w:lang w:val="es-ES_tradnl"/>
              </w:rPr>
              <w:t>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A54981C" w14:textId="505F4629"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2024</w:t>
            </w:r>
          </w:p>
        </w:tc>
        <w:tc>
          <w:tcPr>
            <w:tcW w:w="1203" w:type="dxa"/>
            <w:gridSpan w:val="2"/>
            <w:tcBorders>
              <w:top w:val="nil"/>
              <w:left w:val="nil"/>
              <w:bottom w:val="single" w:sz="4" w:space="0" w:color="auto"/>
              <w:right w:val="nil"/>
            </w:tcBorders>
            <w:shd w:val="clear" w:color="auto" w:fill="FFFFFF" w:themeFill="background1"/>
            <w:noWrap/>
            <w:vAlign w:val="bottom"/>
            <w:hideMark/>
          </w:tcPr>
          <w:p w14:paraId="6A5C13C1" w14:textId="49F4215E"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($/termia)</w:t>
            </w:r>
          </w:p>
        </w:tc>
        <w:tc>
          <w:tcPr>
            <w:tcW w:w="890" w:type="dxa"/>
            <w:tcBorders>
              <w:top w:val="nil"/>
              <w:left w:val="nil"/>
              <w:bottom w:val="single" w:sz="4" w:space="0" w:color="auto"/>
              <w:right w:val="single" w:sz="4" w:space="0" w:color="auto"/>
            </w:tcBorders>
            <w:shd w:val="clear" w:color="auto" w:fill="FFFFFF" w:themeFill="background1"/>
            <w:noWrap/>
            <w:vAlign w:val="bottom"/>
            <w:hideMark/>
          </w:tcPr>
          <w:p w14:paraId="696ECC0C" w14:textId="77777777"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w:t>
            </w:r>
          </w:p>
        </w:tc>
        <w:tc>
          <w:tcPr>
            <w:tcW w:w="1203" w:type="dxa"/>
            <w:gridSpan w:val="3"/>
            <w:tcBorders>
              <w:top w:val="nil"/>
              <w:left w:val="single" w:sz="4" w:space="0" w:color="auto"/>
              <w:bottom w:val="single" w:sz="4" w:space="0" w:color="auto"/>
            </w:tcBorders>
            <w:shd w:val="clear" w:color="auto" w:fill="FFFFFF" w:themeFill="background1"/>
            <w:vAlign w:val="bottom"/>
          </w:tcPr>
          <w:p w14:paraId="5A96C8A4" w14:textId="768039C2"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($/termia)</w:t>
            </w:r>
          </w:p>
        </w:tc>
        <w:tc>
          <w:tcPr>
            <w:tcW w:w="777" w:type="dxa"/>
            <w:gridSpan w:val="2"/>
            <w:tcBorders>
              <w:top w:val="nil"/>
              <w:bottom w:val="single" w:sz="4" w:space="0" w:color="auto"/>
              <w:right w:val="single" w:sz="4" w:space="0" w:color="auto"/>
            </w:tcBorders>
            <w:shd w:val="clear" w:color="auto" w:fill="FFFFFF" w:themeFill="background1"/>
            <w:vAlign w:val="bottom"/>
          </w:tcPr>
          <w:p w14:paraId="659C2513" w14:textId="77777777" w:rsidR="00C900FD" w:rsidRPr="00DC737B" w:rsidRDefault="00BE25BE" w:rsidP="005541B5">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w:t>
            </w:r>
          </w:p>
        </w:tc>
        <w:tc>
          <w:tcPr>
            <w:tcW w:w="293" w:type="dxa"/>
            <w:gridSpan w:val="3"/>
            <w:tcBorders>
              <w:left w:val="single" w:sz="4" w:space="0" w:color="auto"/>
            </w:tcBorders>
            <w:vAlign w:val="bottom"/>
          </w:tcPr>
          <w:p w14:paraId="32474084" w14:textId="77777777" w:rsidR="00C900FD" w:rsidRPr="00DC737B" w:rsidRDefault="00C900FD" w:rsidP="005541B5">
            <w:pPr>
              <w:rPr>
                <w:lang w:val="es-ES_tradnl"/>
              </w:rPr>
            </w:pPr>
          </w:p>
        </w:tc>
      </w:tr>
      <w:tr w:rsidR="0089435C" w:rsidRPr="00DC737B" w14:paraId="278DF258"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hideMark/>
          </w:tcPr>
          <w:p w14:paraId="1F73B912"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bottom w:val="nil"/>
              <w:right w:val="nil"/>
            </w:tcBorders>
            <w:shd w:val="clear" w:color="auto" w:fill="FFFFFF" w:themeFill="background1"/>
            <w:noWrap/>
            <w:hideMark/>
          </w:tcPr>
          <w:p w14:paraId="358FAC40" w14:textId="06BAC50C"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1</w:t>
            </w:r>
          </w:p>
        </w:tc>
        <w:tc>
          <w:tcPr>
            <w:tcW w:w="1911" w:type="dxa"/>
            <w:gridSpan w:val="3"/>
            <w:tcBorders>
              <w:top w:val="nil"/>
              <w:left w:val="nil"/>
              <w:bottom w:val="nil"/>
              <w:right w:val="nil"/>
            </w:tcBorders>
            <w:shd w:val="clear" w:color="auto" w:fill="FFFFFF" w:themeFill="background1"/>
            <w:noWrap/>
            <w:vAlign w:val="center"/>
            <w:hideMark/>
          </w:tcPr>
          <w:p w14:paraId="63CFDC61" w14:textId="3EED6191"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Residencial</w:t>
            </w:r>
          </w:p>
        </w:tc>
        <w:tc>
          <w:tcPr>
            <w:tcW w:w="1225" w:type="dxa"/>
            <w:tcBorders>
              <w:top w:val="nil"/>
              <w:left w:val="single" w:sz="4" w:space="0" w:color="auto"/>
              <w:bottom w:val="nil"/>
              <w:right w:val="nil"/>
            </w:tcBorders>
            <w:shd w:val="clear" w:color="auto" w:fill="FFFFFF" w:themeFill="background1"/>
            <w:noWrap/>
            <w:vAlign w:val="bottom"/>
          </w:tcPr>
          <w:p w14:paraId="384659DE" w14:textId="7ECC603E"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$2.00804</w:t>
            </w:r>
          </w:p>
        </w:tc>
        <w:tc>
          <w:tcPr>
            <w:tcW w:w="1203" w:type="dxa"/>
            <w:tcBorders>
              <w:top w:val="nil"/>
              <w:left w:val="nil"/>
              <w:bottom w:val="nil"/>
              <w:right w:val="nil"/>
            </w:tcBorders>
            <w:shd w:val="clear" w:color="auto" w:fill="FFFFFF" w:themeFill="background1"/>
            <w:noWrap/>
            <w:vAlign w:val="bottom"/>
          </w:tcPr>
          <w:p w14:paraId="7DF27150" w14:textId="01952556"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$2.19490</w:t>
            </w:r>
          </w:p>
        </w:tc>
        <w:tc>
          <w:tcPr>
            <w:tcW w:w="1203" w:type="dxa"/>
            <w:tcBorders>
              <w:top w:val="nil"/>
              <w:left w:val="nil"/>
              <w:bottom w:val="nil"/>
              <w:right w:val="single" w:sz="4" w:space="0" w:color="auto"/>
            </w:tcBorders>
            <w:shd w:val="clear" w:color="auto" w:fill="FFFFFF" w:themeFill="background1"/>
            <w:noWrap/>
            <w:vAlign w:val="bottom"/>
          </w:tcPr>
          <w:p w14:paraId="58F1F7D5" w14:textId="51C5FCA1"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$2.60242</w:t>
            </w:r>
          </w:p>
        </w:tc>
        <w:tc>
          <w:tcPr>
            <w:tcW w:w="1203" w:type="dxa"/>
            <w:gridSpan w:val="2"/>
            <w:tcBorders>
              <w:top w:val="single" w:sz="4" w:space="0" w:color="auto"/>
              <w:left w:val="nil"/>
              <w:bottom w:val="nil"/>
              <w:right w:val="single" w:sz="4" w:space="0" w:color="auto"/>
            </w:tcBorders>
            <w:shd w:val="clear" w:color="auto" w:fill="FFFFFF" w:themeFill="background1"/>
            <w:noWrap/>
            <w:vAlign w:val="bottom"/>
          </w:tcPr>
          <w:p w14:paraId="55BD8443" w14:textId="337982A8"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$0.59437</w:t>
            </w:r>
          </w:p>
        </w:tc>
        <w:tc>
          <w:tcPr>
            <w:tcW w:w="890" w:type="dxa"/>
            <w:tcBorders>
              <w:left w:val="single" w:sz="4" w:space="0" w:color="auto"/>
              <w:bottom w:val="nil"/>
              <w:right w:val="single" w:sz="4" w:space="0" w:color="auto"/>
            </w:tcBorders>
            <w:shd w:val="clear" w:color="auto" w:fill="FFFFFF" w:themeFill="background1"/>
            <w:noWrap/>
            <w:vAlign w:val="bottom"/>
          </w:tcPr>
          <w:p w14:paraId="6287EF08" w14:textId="579647FD"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29.6%</w:t>
            </w:r>
          </w:p>
        </w:tc>
        <w:tc>
          <w:tcPr>
            <w:tcW w:w="1141" w:type="dxa"/>
            <w:gridSpan w:val="2"/>
            <w:tcBorders>
              <w:top w:val="single" w:sz="4" w:space="0" w:color="auto"/>
              <w:left w:val="nil"/>
              <w:bottom w:val="nil"/>
              <w:right w:val="single" w:sz="4" w:space="0" w:color="auto"/>
            </w:tcBorders>
            <w:shd w:val="clear" w:color="auto" w:fill="FFFFFF" w:themeFill="background1"/>
            <w:vAlign w:val="bottom"/>
          </w:tcPr>
          <w:p w14:paraId="13E9E6F1" w14:textId="3B549066"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$0.40751</w:t>
            </w:r>
          </w:p>
        </w:tc>
        <w:tc>
          <w:tcPr>
            <w:tcW w:w="839" w:type="dxa"/>
            <w:gridSpan w:val="3"/>
            <w:tcBorders>
              <w:top w:val="single" w:sz="4" w:space="0" w:color="auto"/>
              <w:left w:val="nil"/>
              <w:bottom w:val="nil"/>
              <w:right w:val="single" w:sz="4" w:space="0" w:color="auto"/>
            </w:tcBorders>
            <w:shd w:val="clear" w:color="auto" w:fill="FFFFFF" w:themeFill="background1"/>
            <w:vAlign w:val="bottom"/>
          </w:tcPr>
          <w:p w14:paraId="0F4D67A6" w14:textId="36346A94"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18.6%</w:t>
            </w:r>
          </w:p>
        </w:tc>
      </w:tr>
      <w:tr w:rsidR="0089435C" w:rsidRPr="00DC737B" w14:paraId="0060C398"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hideMark/>
          </w:tcPr>
          <w:p w14:paraId="0B96E5CD"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right w:val="nil"/>
            </w:tcBorders>
            <w:shd w:val="clear" w:color="auto" w:fill="FFFFFF" w:themeFill="background1"/>
            <w:noWrap/>
            <w:hideMark/>
          </w:tcPr>
          <w:p w14:paraId="36FA960E" w14:textId="2197FBC4"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2</w:t>
            </w:r>
          </w:p>
        </w:tc>
        <w:tc>
          <w:tcPr>
            <w:tcW w:w="1911" w:type="dxa"/>
            <w:gridSpan w:val="3"/>
            <w:tcBorders>
              <w:top w:val="nil"/>
              <w:left w:val="nil"/>
              <w:right w:val="nil"/>
            </w:tcBorders>
            <w:shd w:val="clear" w:color="auto" w:fill="FFFFFF" w:themeFill="background1"/>
            <w:noWrap/>
            <w:vAlign w:val="center"/>
            <w:hideMark/>
          </w:tcPr>
          <w:p w14:paraId="465B73D9" w14:textId="193F5608"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CeI principal*</w:t>
            </w:r>
          </w:p>
        </w:tc>
        <w:tc>
          <w:tcPr>
            <w:tcW w:w="1225" w:type="dxa"/>
            <w:tcBorders>
              <w:top w:val="nil"/>
              <w:left w:val="single" w:sz="4" w:space="0" w:color="auto"/>
              <w:right w:val="nil"/>
            </w:tcBorders>
            <w:shd w:val="clear" w:color="auto" w:fill="FFFFFF" w:themeFill="background1"/>
            <w:noWrap/>
            <w:vAlign w:val="bottom"/>
          </w:tcPr>
          <w:p w14:paraId="3D7820BA" w14:textId="13E97B39"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$1.06667</w:t>
            </w:r>
          </w:p>
        </w:tc>
        <w:tc>
          <w:tcPr>
            <w:tcW w:w="1203" w:type="dxa"/>
            <w:tcBorders>
              <w:top w:val="nil"/>
              <w:left w:val="nil"/>
              <w:right w:val="nil"/>
            </w:tcBorders>
            <w:shd w:val="clear" w:color="auto" w:fill="FFFFFF" w:themeFill="background1"/>
            <w:noWrap/>
            <w:vAlign w:val="bottom"/>
          </w:tcPr>
          <w:p w14:paraId="448C51B1" w14:textId="7F28E9CF"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$1.13531</w:t>
            </w:r>
          </w:p>
        </w:tc>
        <w:tc>
          <w:tcPr>
            <w:tcW w:w="1203" w:type="dxa"/>
            <w:tcBorders>
              <w:top w:val="nil"/>
              <w:left w:val="nil"/>
              <w:right w:val="single" w:sz="4" w:space="0" w:color="auto"/>
            </w:tcBorders>
            <w:shd w:val="clear" w:color="auto" w:fill="FFFFFF" w:themeFill="background1"/>
            <w:noWrap/>
            <w:vAlign w:val="bottom"/>
          </w:tcPr>
          <w:p w14:paraId="5626D023" w14:textId="5F9E9B9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$1.27836</w:t>
            </w:r>
          </w:p>
        </w:tc>
        <w:tc>
          <w:tcPr>
            <w:tcW w:w="1203" w:type="dxa"/>
            <w:gridSpan w:val="2"/>
            <w:tcBorders>
              <w:top w:val="nil"/>
              <w:left w:val="nil"/>
              <w:right w:val="single" w:sz="4" w:space="0" w:color="auto"/>
            </w:tcBorders>
            <w:shd w:val="clear" w:color="auto" w:fill="FFFFFF" w:themeFill="background1"/>
            <w:noWrap/>
            <w:vAlign w:val="bottom"/>
          </w:tcPr>
          <w:p w14:paraId="2A0BAA94" w14:textId="62C2DCC5"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$0.21168</w:t>
            </w:r>
          </w:p>
        </w:tc>
        <w:tc>
          <w:tcPr>
            <w:tcW w:w="890" w:type="dxa"/>
            <w:tcBorders>
              <w:top w:val="nil"/>
              <w:left w:val="single" w:sz="4" w:space="0" w:color="auto"/>
              <w:right w:val="single" w:sz="4" w:space="0" w:color="auto"/>
            </w:tcBorders>
            <w:shd w:val="clear" w:color="auto" w:fill="FFFFFF" w:themeFill="background1"/>
            <w:noWrap/>
            <w:vAlign w:val="bottom"/>
          </w:tcPr>
          <w:p w14:paraId="1C9BBDC5" w14:textId="689C5C43"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19.8%</w:t>
            </w:r>
          </w:p>
        </w:tc>
        <w:tc>
          <w:tcPr>
            <w:tcW w:w="1141" w:type="dxa"/>
            <w:gridSpan w:val="2"/>
            <w:tcBorders>
              <w:top w:val="nil"/>
              <w:left w:val="nil"/>
              <w:right w:val="single" w:sz="4" w:space="0" w:color="auto"/>
            </w:tcBorders>
            <w:shd w:val="clear" w:color="auto" w:fill="FFFFFF" w:themeFill="background1"/>
            <w:vAlign w:val="bottom"/>
          </w:tcPr>
          <w:p w14:paraId="1DCBE56B" w14:textId="518C695B"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$0.14304</w:t>
            </w:r>
          </w:p>
        </w:tc>
        <w:tc>
          <w:tcPr>
            <w:tcW w:w="839" w:type="dxa"/>
            <w:gridSpan w:val="3"/>
            <w:tcBorders>
              <w:top w:val="nil"/>
              <w:left w:val="nil"/>
              <w:right w:val="single" w:sz="4" w:space="0" w:color="auto"/>
            </w:tcBorders>
            <w:shd w:val="clear" w:color="auto" w:fill="FFFFFF" w:themeFill="background1"/>
            <w:vAlign w:val="bottom"/>
          </w:tcPr>
          <w:p w14:paraId="322CEBD9" w14:textId="12B29AEF"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12.6%</w:t>
            </w:r>
          </w:p>
        </w:tc>
      </w:tr>
      <w:tr w:rsidR="0089435C" w:rsidRPr="00DC737B" w14:paraId="52631F61"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hideMark/>
          </w:tcPr>
          <w:p w14:paraId="1B3C56F1"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bottom w:val="single" w:sz="4" w:space="0" w:color="auto"/>
              <w:right w:val="nil"/>
            </w:tcBorders>
            <w:shd w:val="clear" w:color="auto" w:fill="FFFFFF" w:themeFill="background1"/>
            <w:noWrap/>
            <w:hideMark/>
          </w:tcPr>
          <w:p w14:paraId="74E02248" w14:textId="01B4D05A"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3</w:t>
            </w:r>
          </w:p>
        </w:tc>
        <w:tc>
          <w:tcPr>
            <w:tcW w:w="1911" w:type="dxa"/>
            <w:gridSpan w:val="3"/>
            <w:tcBorders>
              <w:top w:val="nil"/>
              <w:left w:val="nil"/>
              <w:bottom w:val="single" w:sz="4" w:space="0" w:color="auto"/>
              <w:right w:val="nil"/>
            </w:tcBorders>
            <w:shd w:val="clear" w:color="auto" w:fill="FFFFFF" w:themeFill="background1"/>
            <w:noWrap/>
            <w:vAlign w:val="center"/>
            <w:hideMark/>
          </w:tcPr>
          <w:p w14:paraId="55901E5D" w14:textId="732439DD"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Interstate-RegularCondMono" w:eastAsia="Interstate-RegularCondMono" w:hAnsi="Interstate-RegularCondMono" w:cs="Interstate-RegularCondMono"/>
                <w:sz w:val="17"/>
                <w:szCs w:val="17"/>
                <w:lang w:val="es-ES_tradnl"/>
              </w:rPr>
              <w:t>Vehículo de gas natural (VGN)</w:t>
            </w:r>
          </w:p>
        </w:tc>
        <w:tc>
          <w:tcPr>
            <w:tcW w:w="1225" w:type="dxa"/>
            <w:tcBorders>
              <w:top w:val="nil"/>
              <w:left w:val="single" w:sz="4" w:space="0" w:color="auto"/>
              <w:bottom w:val="single" w:sz="4" w:space="0" w:color="auto"/>
              <w:right w:val="nil"/>
            </w:tcBorders>
            <w:shd w:val="clear" w:color="auto" w:fill="FFFFFF" w:themeFill="background1"/>
            <w:noWrap/>
            <w:vAlign w:val="bottom"/>
          </w:tcPr>
          <w:p w14:paraId="14E9B985" w14:textId="68EE724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$0.58585</w:t>
            </w:r>
          </w:p>
        </w:tc>
        <w:tc>
          <w:tcPr>
            <w:tcW w:w="1203" w:type="dxa"/>
            <w:tcBorders>
              <w:top w:val="nil"/>
              <w:left w:val="nil"/>
              <w:bottom w:val="single" w:sz="4" w:space="0" w:color="auto"/>
              <w:right w:val="nil"/>
            </w:tcBorders>
            <w:shd w:val="clear" w:color="auto" w:fill="FFFFFF" w:themeFill="background1"/>
            <w:noWrap/>
            <w:vAlign w:val="bottom"/>
          </w:tcPr>
          <w:p w14:paraId="657ECDB9" w14:textId="1EA200A1"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$0.61057</w:t>
            </w:r>
          </w:p>
        </w:tc>
        <w:tc>
          <w:tcPr>
            <w:tcW w:w="1203" w:type="dxa"/>
            <w:tcBorders>
              <w:top w:val="nil"/>
              <w:left w:val="nil"/>
              <w:bottom w:val="single" w:sz="4" w:space="0" w:color="auto"/>
              <w:right w:val="single" w:sz="4" w:space="0" w:color="auto"/>
            </w:tcBorders>
            <w:shd w:val="clear" w:color="auto" w:fill="FFFFFF" w:themeFill="background1"/>
            <w:noWrap/>
            <w:vAlign w:val="bottom"/>
          </w:tcPr>
          <w:p w14:paraId="4CA72B11" w14:textId="47FEF23C"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$0.64710</w:t>
            </w:r>
          </w:p>
        </w:tc>
        <w:tc>
          <w:tcPr>
            <w:tcW w:w="1203" w:type="dxa"/>
            <w:gridSpan w:val="2"/>
            <w:tcBorders>
              <w:top w:val="nil"/>
              <w:left w:val="nil"/>
              <w:bottom w:val="single" w:sz="4" w:space="0" w:color="auto"/>
              <w:right w:val="single" w:sz="4" w:space="0" w:color="auto"/>
            </w:tcBorders>
            <w:shd w:val="clear" w:color="auto" w:fill="FFFFFF" w:themeFill="background1"/>
            <w:noWrap/>
            <w:vAlign w:val="bottom"/>
          </w:tcPr>
          <w:p w14:paraId="442C047E" w14:textId="1A9FC828"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$0.06125</w:t>
            </w:r>
          </w:p>
        </w:tc>
        <w:tc>
          <w:tcPr>
            <w:tcW w:w="890" w:type="dxa"/>
            <w:tcBorders>
              <w:top w:val="nil"/>
              <w:left w:val="single" w:sz="4" w:space="0" w:color="auto"/>
              <w:bottom w:val="single" w:sz="4" w:space="0" w:color="auto"/>
              <w:right w:val="single" w:sz="4" w:space="0" w:color="auto"/>
            </w:tcBorders>
            <w:shd w:val="clear" w:color="auto" w:fill="FFFFFF" w:themeFill="background1"/>
            <w:noWrap/>
            <w:vAlign w:val="bottom"/>
          </w:tcPr>
          <w:p w14:paraId="67B51D07" w14:textId="7ECE70A2"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10.5%</w:t>
            </w:r>
          </w:p>
        </w:tc>
        <w:tc>
          <w:tcPr>
            <w:tcW w:w="1141" w:type="dxa"/>
            <w:gridSpan w:val="2"/>
            <w:tcBorders>
              <w:top w:val="nil"/>
              <w:left w:val="nil"/>
              <w:bottom w:val="single" w:sz="4" w:space="0" w:color="auto"/>
              <w:right w:val="single" w:sz="4" w:space="0" w:color="auto"/>
            </w:tcBorders>
            <w:shd w:val="clear" w:color="auto" w:fill="FFFFFF" w:themeFill="background1"/>
            <w:vAlign w:val="bottom"/>
          </w:tcPr>
          <w:p w14:paraId="2A278BC8" w14:textId="50C3E957"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$0.03652</w:t>
            </w:r>
          </w:p>
        </w:tc>
        <w:tc>
          <w:tcPr>
            <w:tcW w:w="839" w:type="dxa"/>
            <w:gridSpan w:val="3"/>
            <w:tcBorders>
              <w:top w:val="nil"/>
              <w:left w:val="nil"/>
              <w:bottom w:val="single" w:sz="4" w:space="0" w:color="auto"/>
              <w:right w:val="single" w:sz="4" w:space="0" w:color="auto"/>
            </w:tcBorders>
            <w:shd w:val="clear" w:color="auto" w:fill="FFFFFF" w:themeFill="background1"/>
            <w:vAlign w:val="bottom"/>
          </w:tcPr>
          <w:p w14:paraId="4A2A4342" w14:textId="06DB9D6E"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6.0%</w:t>
            </w:r>
          </w:p>
        </w:tc>
      </w:tr>
      <w:tr w:rsidR="0089435C" w:rsidRPr="00DC737B" w14:paraId="69B5D946"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tcPr>
          <w:p w14:paraId="1FD43FF6"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single" w:sz="4" w:space="0" w:color="auto"/>
              <w:left w:val="single" w:sz="4" w:space="0" w:color="auto"/>
              <w:bottom w:val="nil"/>
              <w:right w:val="nil"/>
            </w:tcBorders>
            <w:shd w:val="clear" w:color="auto" w:fill="FFFFFF" w:themeFill="background1"/>
            <w:noWrap/>
          </w:tcPr>
          <w:p w14:paraId="2CA6798A" w14:textId="20DC925D"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4</w:t>
            </w:r>
          </w:p>
        </w:tc>
        <w:tc>
          <w:tcPr>
            <w:tcW w:w="1911" w:type="dxa"/>
            <w:gridSpan w:val="3"/>
            <w:tcBorders>
              <w:top w:val="single" w:sz="4" w:space="0" w:color="auto"/>
              <w:left w:val="nil"/>
              <w:bottom w:val="nil"/>
              <w:right w:val="nil"/>
            </w:tcBorders>
            <w:shd w:val="clear" w:color="auto" w:fill="FFFFFF" w:themeFill="background1"/>
            <w:noWrap/>
            <w:vAlign w:val="center"/>
          </w:tcPr>
          <w:p w14:paraId="09916D51" w14:textId="7C618453"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Total principal</w:t>
            </w:r>
          </w:p>
        </w:tc>
        <w:tc>
          <w:tcPr>
            <w:tcW w:w="1225" w:type="dxa"/>
            <w:tcBorders>
              <w:top w:val="single" w:sz="4" w:space="0" w:color="auto"/>
              <w:left w:val="single" w:sz="4" w:space="0" w:color="auto"/>
              <w:bottom w:val="nil"/>
              <w:right w:val="nil"/>
            </w:tcBorders>
            <w:shd w:val="clear" w:color="auto" w:fill="FFFFFF" w:themeFill="background1"/>
            <w:noWrap/>
            <w:vAlign w:val="bottom"/>
          </w:tcPr>
          <w:p w14:paraId="2B1B6929" w14:textId="32332AE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$1.59899</w:t>
            </w:r>
          </w:p>
        </w:tc>
        <w:tc>
          <w:tcPr>
            <w:tcW w:w="1203" w:type="dxa"/>
            <w:tcBorders>
              <w:top w:val="single" w:sz="4" w:space="0" w:color="auto"/>
              <w:left w:val="nil"/>
              <w:bottom w:val="nil"/>
              <w:right w:val="nil"/>
            </w:tcBorders>
            <w:shd w:val="clear" w:color="auto" w:fill="FFFFFF" w:themeFill="background1"/>
            <w:noWrap/>
            <w:vAlign w:val="bottom"/>
          </w:tcPr>
          <w:p w14:paraId="559E0E3A" w14:textId="7000A9C4"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$1.73523</w:t>
            </w:r>
          </w:p>
        </w:tc>
        <w:tc>
          <w:tcPr>
            <w:tcW w:w="1203" w:type="dxa"/>
            <w:tcBorders>
              <w:top w:val="single" w:sz="4" w:space="0" w:color="auto"/>
              <w:left w:val="nil"/>
              <w:bottom w:val="nil"/>
              <w:right w:val="single" w:sz="4" w:space="0" w:color="auto"/>
            </w:tcBorders>
            <w:shd w:val="clear" w:color="auto" w:fill="FFFFFF" w:themeFill="background1"/>
            <w:noWrap/>
            <w:vAlign w:val="bottom"/>
          </w:tcPr>
          <w:p w14:paraId="2B94BA16" w14:textId="647DAE99"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$2.02912</w:t>
            </w:r>
          </w:p>
        </w:tc>
        <w:tc>
          <w:tcPr>
            <w:tcW w:w="1203" w:type="dxa"/>
            <w:gridSpan w:val="2"/>
            <w:tcBorders>
              <w:top w:val="single" w:sz="4" w:space="0" w:color="auto"/>
              <w:left w:val="nil"/>
              <w:bottom w:val="nil"/>
              <w:right w:val="single" w:sz="4" w:space="0" w:color="auto"/>
            </w:tcBorders>
            <w:shd w:val="clear" w:color="auto" w:fill="FFFFFF" w:themeFill="background1"/>
            <w:noWrap/>
            <w:vAlign w:val="bottom"/>
          </w:tcPr>
          <w:p w14:paraId="03B3B0DE" w14:textId="44A02116"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$0.43013</w:t>
            </w:r>
          </w:p>
        </w:tc>
        <w:tc>
          <w:tcPr>
            <w:tcW w:w="890" w:type="dxa"/>
            <w:tcBorders>
              <w:top w:val="single" w:sz="4" w:space="0" w:color="auto"/>
              <w:left w:val="single" w:sz="4" w:space="0" w:color="auto"/>
              <w:bottom w:val="nil"/>
              <w:right w:val="single" w:sz="4" w:space="0" w:color="auto"/>
            </w:tcBorders>
            <w:shd w:val="clear" w:color="auto" w:fill="FFFFFF" w:themeFill="background1"/>
            <w:noWrap/>
            <w:vAlign w:val="bottom"/>
          </w:tcPr>
          <w:p w14:paraId="1F94E415" w14:textId="4E222C59"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26.9%</w:t>
            </w:r>
          </w:p>
        </w:tc>
        <w:tc>
          <w:tcPr>
            <w:tcW w:w="1141" w:type="dxa"/>
            <w:gridSpan w:val="2"/>
            <w:tcBorders>
              <w:top w:val="single" w:sz="4" w:space="0" w:color="auto"/>
              <w:left w:val="nil"/>
              <w:bottom w:val="nil"/>
              <w:right w:val="single" w:sz="4" w:space="0" w:color="auto"/>
            </w:tcBorders>
            <w:shd w:val="clear" w:color="auto" w:fill="FFFFFF" w:themeFill="background1"/>
            <w:vAlign w:val="bottom"/>
          </w:tcPr>
          <w:p w14:paraId="2DFEAC48" w14:textId="100C26A1"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$0.29389</w:t>
            </w:r>
          </w:p>
        </w:tc>
        <w:tc>
          <w:tcPr>
            <w:tcW w:w="839" w:type="dxa"/>
            <w:gridSpan w:val="3"/>
            <w:tcBorders>
              <w:top w:val="single" w:sz="4" w:space="0" w:color="auto"/>
              <w:left w:val="nil"/>
              <w:bottom w:val="nil"/>
              <w:right w:val="single" w:sz="4" w:space="0" w:color="auto"/>
            </w:tcBorders>
            <w:shd w:val="clear" w:color="auto" w:fill="FFFFFF" w:themeFill="background1"/>
            <w:vAlign w:val="bottom"/>
          </w:tcPr>
          <w:p w14:paraId="1E2417E8" w14:textId="3D32AF3A"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16.9%</w:t>
            </w:r>
          </w:p>
        </w:tc>
      </w:tr>
      <w:tr w:rsidR="0089435C" w:rsidRPr="00DC737B" w14:paraId="64DD5097"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tcPr>
          <w:p w14:paraId="3BA40A3B"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bottom w:val="nil"/>
              <w:right w:val="nil"/>
            </w:tcBorders>
            <w:shd w:val="clear" w:color="auto" w:fill="FFFFFF" w:themeFill="background1"/>
            <w:noWrap/>
          </w:tcPr>
          <w:p w14:paraId="1F295599" w14:textId="77777777" w:rsidR="00193C50" w:rsidRPr="00DC737B" w:rsidRDefault="00193C50" w:rsidP="00193C50">
            <w:pPr>
              <w:spacing w:after="0" w:line="240" w:lineRule="auto"/>
              <w:rPr>
                <w:rFonts w:ascii="Times New Roman" w:eastAsia="Times New Roman" w:hAnsi="Times New Roman" w:cs="Times New Roman"/>
                <w:sz w:val="24"/>
                <w:szCs w:val="24"/>
                <w:lang w:val="es-ES_tradnl"/>
              </w:rPr>
            </w:pPr>
          </w:p>
        </w:tc>
        <w:tc>
          <w:tcPr>
            <w:tcW w:w="1911" w:type="dxa"/>
            <w:gridSpan w:val="3"/>
            <w:tcBorders>
              <w:top w:val="nil"/>
              <w:left w:val="nil"/>
              <w:bottom w:val="nil"/>
              <w:right w:val="nil"/>
            </w:tcBorders>
            <w:shd w:val="clear" w:color="auto" w:fill="FFFFFF" w:themeFill="background1"/>
            <w:noWrap/>
            <w:vAlign w:val="center"/>
          </w:tcPr>
          <w:p w14:paraId="0FC59218" w14:textId="77777777" w:rsidR="00193C50" w:rsidRPr="00DC737B" w:rsidRDefault="00193C50" w:rsidP="00193C50">
            <w:pPr>
              <w:spacing w:after="0" w:line="240" w:lineRule="auto"/>
              <w:rPr>
                <w:rFonts w:ascii="Times New Roman" w:eastAsia="Times New Roman" w:hAnsi="Times New Roman" w:cs="Times New Roman"/>
                <w:color w:val="000000"/>
                <w:sz w:val="24"/>
                <w:szCs w:val="24"/>
                <w:lang w:val="es-ES_tradnl"/>
              </w:rPr>
            </w:pPr>
          </w:p>
        </w:tc>
        <w:tc>
          <w:tcPr>
            <w:tcW w:w="1225" w:type="dxa"/>
            <w:tcBorders>
              <w:top w:val="nil"/>
              <w:left w:val="single" w:sz="4" w:space="0" w:color="auto"/>
              <w:bottom w:val="nil"/>
              <w:right w:val="nil"/>
            </w:tcBorders>
            <w:shd w:val="clear" w:color="auto" w:fill="FFFFFF" w:themeFill="background1"/>
            <w:noWrap/>
            <w:vAlign w:val="bottom"/>
          </w:tcPr>
          <w:p w14:paraId="29826F72" w14:textId="5C791B83"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203" w:type="dxa"/>
            <w:tcBorders>
              <w:top w:val="nil"/>
              <w:left w:val="nil"/>
              <w:bottom w:val="nil"/>
              <w:right w:val="nil"/>
            </w:tcBorders>
            <w:shd w:val="clear" w:color="auto" w:fill="FFFFFF" w:themeFill="background1"/>
            <w:noWrap/>
            <w:vAlign w:val="bottom"/>
          </w:tcPr>
          <w:p w14:paraId="0BFA4242" w14:textId="2D214975"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203" w:type="dxa"/>
            <w:tcBorders>
              <w:top w:val="nil"/>
              <w:left w:val="nil"/>
              <w:bottom w:val="nil"/>
              <w:right w:val="single" w:sz="4" w:space="0" w:color="auto"/>
            </w:tcBorders>
            <w:shd w:val="clear" w:color="auto" w:fill="FFFFFF" w:themeFill="background1"/>
            <w:noWrap/>
            <w:vAlign w:val="bottom"/>
          </w:tcPr>
          <w:p w14:paraId="1ACC894A" w14:textId="710BD15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203" w:type="dxa"/>
            <w:gridSpan w:val="2"/>
            <w:tcBorders>
              <w:top w:val="nil"/>
              <w:left w:val="nil"/>
              <w:bottom w:val="nil"/>
              <w:right w:val="single" w:sz="4" w:space="0" w:color="auto"/>
            </w:tcBorders>
            <w:shd w:val="clear" w:color="auto" w:fill="FFFFFF" w:themeFill="background1"/>
            <w:noWrap/>
            <w:vAlign w:val="bottom"/>
          </w:tcPr>
          <w:p w14:paraId="33BB8EE9" w14:textId="6D69D2A9"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890" w:type="dxa"/>
            <w:tcBorders>
              <w:top w:val="nil"/>
              <w:left w:val="single" w:sz="4" w:space="0" w:color="auto"/>
              <w:bottom w:val="nil"/>
              <w:right w:val="single" w:sz="4" w:space="0" w:color="auto"/>
            </w:tcBorders>
            <w:shd w:val="clear" w:color="auto" w:fill="FFFFFF" w:themeFill="background1"/>
            <w:noWrap/>
            <w:vAlign w:val="bottom"/>
          </w:tcPr>
          <w:p w14:paraId="3D664EDF" w14:textId="0FC38D1E"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141" w:type="dxa"/>
            <w:gridSpan w:val="2"/>
            <w:tcBorders>
              <w:top w:val="nil"/>
              <w:left w:val="nil"/>
              <w:bottom w:val="nil"/>
              <w:right w:val="single" w:sz="4" w:space="0" w:color="auto"/>
            </w:tcBorders>
            <w:shd w:val="clear" w:color="auto" w:fill="FFFFFF" w:themeFill="background1"/>
            <w:vAlign w:val="bottom"/>
          </w:tcPr>
          <w:p w14:paraId="18EC8CC4" w14:textId="5C0964C7"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839" w:type="dxa"/>
            <w:gridSpan w:val="3"/>
            <w:tcBorders>
              <w:top w:val="nil"/>
              <w:left w:val="nil"/>
              <w:bottom w:val="nil"/>
              <w:right w:val="single" w:sz="4" w:space="0" w:color="auto"/>
            </w:tcBorders>
            <w:shd w:val="clear" w:color="auto" w:fill="FFFFFF" w:themeFill="background1"/>
            <w:vAlign w:val="bottom"/>
          </w:tcPr>
          <w:p w14:paraId="45E1072E" w14:textId="6F6C1EED"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r>
      <w:tr w:rsidR="0089435C" w:rsidRPr="00DC737B" w14:paraId="56B5C7DC"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tcPr>
          <w:p w14:paraId="27E1E6F3"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right w:val="nil"/>
            </w:tcBorders>
            <w:shd w:val="clear" w:color="auto" w:fill="FFFFFF" w:themeFill="background1"/>
            <w:noWrap/>
          </w:tcPr>
          <w:p w14:paraId="2065BA85" w14:textId="441E6960"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5</w:t>
            </w:r>
          </w:p>
        </w:tc>
        <w:tc>
          <w:tcPr>
            <w:tcW w:w="1911" w:type="dxa"/>
            <w:gridSpan w:val="3"/>
            <w:tcBorders>
              <w:top w:val="nil"/>
              <w:left w:val="nil"/>
              <w:right w:val="nil"/>
            </w:tcBorders>
            <w:shd w:val="clear" w:color="auto" w:fill="FFFFFF" w:themeFill="background1"/>
            <w:noWrap/>
            <w:vAlign w:val="center"/>
          </w:tcPr>
          <w:p w14:paraId="79B13A4F" w14:textId="2DD42608"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CeI no principal*</w:t>
            </w:r>
          </w:p>
        </w:tc>
        <w:tc>
          <w:tcPr>
            <w:tcW w:w="1225" w:type="dxa"/>
            <w:tcBorders>
              <w:top w:val="nil"/>
              <w:left w:val="single" w:sz="4" w:space="0" w:color="auto"/>
              <w:right w:val="nil"/>
            </w:tcBorders>
            <w:shd w:val="clear" w:color="auto" w:fill="FFFFFF" w:themeFill="background1"/>
            <w:noWrap/>
            <w:vAlign w:val="bottom"/>
          </w:tcPr>
          <w:p w14:paraId="1F16D92B" w14:textId="21EB54DF"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$0.20935</w:t>
            </w:r>
          </w:p>
        </w:tc>
        <w:tc>
          <w:tcPr>
            <w:tcW w:w="1203" w:type="dxa"/>
            <w:tcBorders>
              <w:top w:val="nil"/>
              <w:left w:val="nil"/>
              <w:right w:val="nil"/>
            </w:tcBorders>
            <w:shd w:val="clear" w:color="auto" w:fill="FFFFFF" w:themeFill="background1"/>
            <w:noWrap/>
            <w:vAlign w:val="bottom"/>
          </w:tcPr>
          <w:p w14:paraId="4A9612D3" w14:textId="5C23C2B5"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$0.24781</w:t>
            </w:r>
          </w:p>
        </w:tc>
        <w:tc>
          <w:tcPr>
            <w:tcW w:w="1203" w:type="dxa"/>
            <w:tcBorders>
              <w:top w:val="nil"/>
              <w:left w:val="nil"/>
              <w:right w:val="single" w:sz="4" w:space="0" w:color="auto"/>
            </w:tcBorders>
            <w:shd w:val="clear" w:color="auto" w:fill="FFFFFF" w:themeFill="background1"/>
            <w:noWrap/>
            <w:vAlign w:val="bottom"/>
          </w:tcPr>
          <w:p w14:paraId="7A5CF813" w14:textId="62F16F78"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$0.27889</w:t>
            </w:r>
          </w:p>
        </w:tc>
        <w:tc>
          <w:tcPr>
            <w:tcW w:w="1203" w:type="dxa"/>
            <w:gridSpan w:val="2"/>
            <w:tcBorders>
              <w:top w:val="nil"/>
              <w:left w:val="nil"/>
              <w:right w:val="single" w:sz="4" w:space="0" w:color="auto"/>
            </w:tcBorders>
            <w:shd w:val="clear" w:color="auto" w:fill="FFFFFF" w:themeFill="background1"/>
            <w:noWrap/>
            <w:vAlign w:val="bottom"/>
          </w:tcPr>
          <w:p w14:paraId="5BA5DF6C" w14:textId="634E470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$0.06954</w:t>
            </w:r>
          </w:p>
        </w:tc>
        <w:tc>
          <w:tcPr>
            <w:tcW w:w="890" w:type="dxa"/>
            <w:tcBorders>
              <w:top w:val="nil"/>
              <w:left w:val="single" w:sz="4" w:space="0" w:color="auto"/>
              <w:right w:val="single" w:sz="4" w:space="0" w:color="auto"/>
            </w:tcBorders>
            <w:shd w:val="clear" w:color="auto" w:fill="FFFFFF" w:themeFill="background1"/>
            <w:noWrap/>
            <w:vAlign w:val="bottom"/>
          </w:tcPr>
          <w:p w14:paraId="05790915" w14:textId="4D06C73B"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33.2%</w:t>
            </w:r>
          </w:p>
        </w:tc>
        <w:tc>
          <w:tcPr>
            <w:tcW w:w="1141" w:type="dxa"/>
            <w:gridSpan w:val="2"/>
            <w:tcBorders>
              <w:top w:val="nil"/>
              <w:left w:val="nil"/>
              <w:right w:val="single" w:sz="4" w:space="0" w:color="auto"/>
            </w:tcBorders>
            <w:shd w:val="clear" w:color="auto" w:fill="FFFFFF" w:themeFill="background1"/>
            <w:vAlign w:val="bottom"/>
          </w:tcPr>
          <w:p w14:paraId="0F5E0BC0" w14:textId="1816026B"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$0.03109</w:t>
            </w:r>
          </w:p>
        </w:tc>
        <w:tc>
          <w:tcPr>
            <w:tcW w:w="839" w:type="dxa"/>
            <w:gridSpan w:val="3"/>
            <w:tcBorders>
              <w:top w:val="nil"/>
              <w:left w:val="nil"/>
              <w:right w:val="single" w:sz="4" w:space="0" w:color="auto"/>
            </w:tcBorders>
            <w:shd w:val="clear" w:color="auto" w:fill="FFFFFF" w:themeFill="background1"/>
            <w:vAlign w:val="bottom"/>
          </w:tcPr>
          <w:p w14:paraId="25F5832B" w14:textId="1F67908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12.5%</w:t>
            </w:r>
          </w:p>
        </w:tc>
      </w:tr>
      <w:tr w:rsidR="0089435C" w:rsidRPr="00DC737B" w14:paraId="462DE81C"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tcPr>
          <w:p w14:paraId="005D42E7"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bottom w:val="single" w:sz="4" w:space="0" w:color="auto"/>
              <w:right w:val="nil"/>
            </w:tcBorders>
            <w:shd w:val="clear" w:color="auto" w:fill="FFFFFF" w:themeFill="background1"/>
            <w:noWrap/>
          </w:tcPr>
          <w:p w14:paraId="14DC3DAF" w14:textId="1DB31ABF"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6</w:t>
            </w:r>
          </w:p>
        </w:tc>
        <w:tc>
          <w:tcPr>
            <w:tcW w:w="1911" w:type="dxa"/>
            <w:gridSpan w:val="3"/>
            <w:tcBorders>
              <w:top w:val="nil"/>
              <w:left w:val="nil"/>
              <w:bottom w:val="single" w:sz="4" w:space="0" w:color="auto"/>
              <w:right w:val="nil"/>
            </w:tcBorders>
            <w:shd w:val="clear" w:color="auto" w:fill="FFFFFF" w:themeFill="background1"/>
            <w:noWrap/>
            <w:vAlign w:val="center"/>
          </w:tcPr>
          <w:p w14:paraId="60372B08" w14:textId="4FCCCF37"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Interstate-RegularCondMono" w:eastAsia="Interstate-RegularCondMono" w:hAnsi="Interstate-RegularCondMono" w:cs="Interstate-RegularCondMono"/>
                <w:sz w:val="17"/>
                <w:szCs w:val="17"/>
                <w:lang w:val="es-ES_tradnl"/>
              </w:rPr>
              <w:t>Generación eléctrica (GE)</w:t>
            </w:r>
          </w:p>
        </w:tc>
        <w:tc>
          <w:tcPr>
            <w:tcW w:w="1225" w:type="dxa"/>
            <w:tcBorders>
              <w:top w:val="nil"/>
              <w:left w:val="single" w:sz="4" w:space="0" w:color="auto"/>
              <w:bottom w:val="single" w:sz="4" w:space="0" w:color="auto"/>
              <w:right w:val="nil"/>
            </w:tcBorders>
            <w:shd w:val="clear" w:color="auto" w:fill="FFFFFF" w:themeFill="background1"/>
            <w:noWrap/>
            <w:vAlign w:val="bottom"/>
          </w:tcPr>
          <w:p w14:paraId="3F7AAC8D" w14:textId="631F38DE"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$0.04908</w:t>
            </w:r>
          </w:p>
        </w:tc>
        <w:tc>
          <w:tcPr>
            <w:tcW w:w="1203" w:type="dxa"/>
            <w:tcBorders>
              <w:top w:val="nil"/>
              <w:left w:val="nil"/>
              <w:bottom w:val="single" w:sz="4" w:space="0" w:color="auto"/>
              <w:right w:val="nil"/>
            </w:tcBorders>
            <w:shd w:val="clear" w:color="auto" w:fill="FFFFFF" w:themeFill="background1"/>
            <w:noWrap/>
            <w:vAlign w:val="bottom"/>
          </w:tcPr>
          <w:p w14:paraId="603A76AF" w14:textId="3FD58998"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$0.06856</w:t>
            </w:r>
          </w:p>
        </w:tc>
        <w:tc>
          <w:tcPr>
            <w:tcW w:w="1203" w:type="dxa"/>
            <w:tcBorders>
              <w:top w:val="nil"/>
              <w:left w:val="nil"/>
              <w:bottom w:val="single" w:sz="4" w:space="0" w:color="auto"/>
              <w:right w:val="single" w:sz="4" w:space="0" w:color="auto"/>
            </w:tcBorders>
            <w:shd w:val="clear" w:color="auto" w:fill="FFFFFF" w:themeFill="background1"/>
            <w:noWrap/>
            <w:vAlign w:val="bottom"/>
          </w:tcPr>
          <w:p w14:paraId="3DE81322" w14:textId="7E0C6A1A"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$0.07276</w:t>
            </w:r>
          </w:p>
        </w:tc>
        <w:tc>
          <w:tcPr>
            <w:tcW w:w="1203" w:type="dxa"/>
            <w:gridSpan w:val="2"/>
            <w:tcBorders>
              <w:top w:val="nil"/>
              <w:left w:val="nil"/>
              <w:bottom w:val="single" w:sz="4" w:space="0" w:color="auto"/>
              <w:right w:val="single" w:sz="4" w:space="0" w:color="auto"/>
            </w:tcBorders>
            <w:shd w:val="clear" w:color="auto" w:fill="FFFFFF" w:themeFill="background1"/>
            <w:noWrap/>
            <w:vAlign w:val="bottom"/>
          </w:tcPr>
          <w:p w14:paraId="0B32C6FD" w14:textId="3D4F5823"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$0.02368</w:t>
            </w:r>
          </w:p>
        </w:tc>
        <w:tc>
          <w:tcPr>
            <w:tcW w:w="890" w:type="dxa"/>
            <w:tcBorders>
              <w:top w:val="nil"/>
              <w:left w:val="single" w:sz="4" w:space="0" w:color="auto"/>
              <w:bottom w:val="single" w:sz="4" w:space="0" w:color="auto"/>
              <w:right w:val="single" w:sz="4" w:space="0" w:color="auto"/>
            </w:tcBorders>
            <w:shd w:val="clear" w:color="auto" w:fill="FFFFFF" w:themeFill="background1"/>
            <w:noWrap/>
            <w:vAlign w:val="bottom"/>
          </w:tcPr>
          <w:p w14:paraId="36087DE6" w14:textId="27F517C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48.2%</w:t>
            </w:r>
          </w:p>
        </w:tc>
        <w:tc>
          <w:tcPr>
            <w:tcW w:w="1141" w:type="dxa"/>
            <w:gridSpan w:val="2"/>
            <w:tcBorders>
              <w:top w:val="nil"/>
              <w:left w:val="nil"/>
              <w:bottom w:val="single" w:sz="4" w:space="0" w:color="auto"/>
              <w:right w:val="single" w:sz="4" w:space="0" w:color="auto"/>
            </w:tcBorders>
            <w:shd w:val="clear" w:color="auto" w:fill="FFFFFF" w:themeFill="background1"/>
            <w:vAlign w:val="bottom"/>
          </w:tcPr>
          <w:p w14:paraId="7ED2BDE9" w14:textId="009CDCD9"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$0.00419</w:t>
            </w:r>
          </w:p>
        </w:tc>
        <w:tc>
          <w:tcPr>
            <w:tcW w:w="839" w:type="dxa"/>
            <w:gridSpan w:val="3"/>
            <w:tcBorders>
              <w:top w:val="nil"/>
              <w:left w:val="nil"/>
              <w:bottom w:val="single" w:sz="4" w:space="0" w:color="auto"/>
              <w:right w:val="single" w:sz="4" w:space="0" w:color="auto"/>
            </w:tcBorders>
            <w:shd w:val="clear" w:color="auto" w:fill="FFFFFF" w:themeFill="background1"/>
            <w:vAlign w:val="bottom"/>
          </w:tcPr>
          <w:p w14:paraId="75CCA048" w14:textId="1CD117DF"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6.1%</w:t>
            </w:r>
          </w:p>
        </w:tc>
      </w:tr>
      <w:tr w:rsidR="0089435C" w:rsidRPr="00DC737B" w14:paraId="6FE96FF1"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hideMark/>
          </w:tcPr>
          <w:p w14:paraId="3FB7B55D"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single" w:sz="4" w:space="0" w:color="auto"/>
              <w:left w:val="single" w:sz="4" w:space="0" w:color="auto"/>
              <w:bottom w:val="nil"/>
              <w:right w:val="nil"/>
            </w:tcBorders>
            <w:shd w:val="clear" w:color="auto" w:fill="FFFFFF" w:themeFill="background1"/>
            <w:noWrap/>
            <w:hideMark/>
          </w:tcPr>
          <w:p w14:paraId="05B5848F" w14:textId="2D2D1FE6"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7</w:t>
            </w:r>
          </w:p>
        </w:tc>
        <w:tc>
          <w:tcPr>
            <w:tcW w:w="1911" w:type="dxa"/>
            <w:gridSpan w:val="3"/>
            <w:tcBorders>
              <w:top w:val="single" w:sz="4" w:space="0" w:color="auto"/>
              <w:left w:val="nil"/>
              <w:bottom w:val="nil"/>
              <w:right w:val="nil"/>
            </w:tcBorders>
            <w:shd w:val="clear" w:color="auto" w:fill="FFFFFF" w:themeFill="background1"/>
            <w:noWrap/>
            <w:vAlign w:val="center"/>
            <w:hideMark/>
          </w:tcPr>
          <w:p w14:paraId="1FAB1846" w14:textId="6A46BC80"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Promedio clientes no principales</w:t>
            </w:r>
          </w:p>
        </w:tc>
        <w:tc>
          <w:tcPr>
            <w:tcW w:w="1225" w:type="dxa"/>
            <w:tcBorders>
              <w:top w:val="single" w:sz="4" w:space="0" w:color="auto"/>
              <w:left w:val="single" w:sz="4" w:space="0" w:color="auto"/>
              <w:bottom w:val="nil"/>
              <w:right w:val="nil"/>
            </w:tcBorders>
            <w:shd w:val="clear" w:color="auto" w:fill="FFFFFF" w:themeFill="background1"/>
            <w:noWrap/>
            <w:vAlign w:val="bottom"/>
          </w:tcPr>
          <w:p w14:paraId="01CF035C" w14:textId="1C8D91D8"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$0.06211</w:t>
            </w:r>
          </w:p>
        </w:tc>
        <w:tc>
          <w:tcPr>
            <w:tcW w:w="1203" w:type="dxa"/>
            <w:tcBorders>
              <w:top w:val="single" w:sz="4" w:space="0" w:color="auto"/>
              <w:left w:val="nil"/>
              <w:bottom w:val="nil"/>
              <w:right w:val="nil"/>
            </w:tcBorders>
            <w:shd w:val="clear" w:color="auto" w:fill="FFFFFF" w:themeFill="background1"/>
            <w:noWrap/>
            <w:vAlign w:val="bottom"/>
          </w:tcPr>
          <w:p w14:paraId="7DC0904C" w14:textId="7E20C38D"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$0.08314</w:t>
            </w:r>
          </w:p>
        </w:tc>
        <w:tc>
          <w:tcPr>
            <w:tcW w:w="1203" w:type="dxa"/>
            <w:tcBorders>
              <w:top w:val="single" w:sz="4" w:space="0" w:color="auto"/>
              <w:left w:val="nil"/>
              <w:bottom w:val="nil"/>
              <w:right w:val="single" w:sz="4" w:space="0" w:color="auto"/>
            </w:tcBorders>
            <w:shd w:val="clear" w:color="auto" w:fill="FFFFFF" w:themeFill="background1"/>
            <w:noWrap/>
            <w:vAlign w:val="bottom"/>
          </w:tcPr>
          <w:p w14:paraId="5F6CB66F" w14:textId="49FAE3A2"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$0.08952</w:t>
            </w:r>
          </w:p>
        </w:tc>
        <w:tc>
          <w:tcPr>
            <w:tcW w:w="1203" w:type="dxa"/>
            <w:gridSpan w:val="2"/>
            <w:tcBorders>
              <w:top w:val="single" w:sz="4" w:space="0" w:color="auto"/>
              <w:left w:val="nil"/>
              <w:bottom w:val="nil"/>
              <w:right w:val="single" w:sz="4" w:space="0" w:color="auto"/>
            </w:tcBorders>
            <w:shd w:val="clear" w:color="auto" w:fill="FFFFFF" w:themeFill="background1"/>
            <w:noWrap/>
            <w:vAlign w:val="bottom"/>
          </w:tcPr>
          <w:p w14:paraId="689FB6C9" w14:textId="38FB9332"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$0.02741</w:t>
            </w:r>
          </w:p>
        </w:tc>
        <w:tc>
          <w:tcPr>
            <w:tcW w:w="890" w:type="dxa"/>
            <w:tcBorders>
              <w:top w:val="single" w:sz="4" w:space="0" w:color="auto"/>
              <w:left w:val="single" w:sz="4" w:space="0" w:color="auto"/>
              <w:bottom w:val="nil"/>
              <w:right w:val="single" w:sz="4" w:space="0" w:color="auto"/>
            </w:tcBorders>
            <w:shd w:val="clear" w:color="auto" w:fill="FFFFFF" w:themeFill="background1"/>
            <w:noWrap/>
            <w:vAlign w:val="bottom"/>
          </w:tcPr>
          <w:p w14:paraId="52341D87" w14:textId="264ABABC"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44.1%</w:t>
            </w:r>
          </w:p>
        </w:tc>
        <w:tc>
          <w:tcPr>
            <w:tcW w:w="1141" w:type="dxa"/>
            <w:gridSpan w:val="2"/>
            <w:tcBorders>
              <w:top w:val="single" w:sz="4" w:space="0" w:color="auto"/>
              <w:left w:val="nil"/>
              <w:bottom w:val="nil"/>
              <w:right w:val="single" w:sz="4" w:space="0" w:color="auto"/>
            </w:tcBorders>
            <w:shd w:val="clear" w:color="auto" w:fill="FFFFFF" w:themeFill="background1"/>
            <w:vAlign w:val="bottom"/>
          </w:tcPr>
          <w:p w14:paraId="345D9C16" w14:textId="1BEA8269"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$0.00638</w:t>
            </w:r>
          </w:p>
        </w:tc>
        <w:tc>
          <w:tcPr>
            <w:tcW w:w="839" w:type="dxa"/>
            <w:gridSpan w:val="3"/>
            <w:tcBorders>
              <w:top w:val="single" w:sz="4" w:space="0" w:color="auto"/>
              <w:left w:val="nil"/>
              <w:bottom w:val="nil"/>
              <w:right w:val="single" w:sz="4" w:space="0" w:color="auto"/>
            </w:tcBorders>
            <w:shd w:val="clear" w:color="auto" w:fill="FFFFFF" w:themeFill="background1"/>
            <w:vAlign w:val="bottom"/>
          </w:tcPr>
          <w:p w14:paraId="0639BBE2" w14:textId="0E99ADE5"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7.7%</w:t>
            </w:r>
          </w:p>
        </w:tc>
      </w:tr>
      <w:tr w:rsidR="0089435C" w:rsidRPr="00DC737B" w14:paraId="71418D42" w14:textId="77777777" w:rsidTr="00907D42">
        <w:trPr>
          <w:gridAfter w:val="5"/>
          <w:wAfter w:w="607" w:type="dxa"/>
          <w:trHeight w:val="277"/>
        </w:trPr>
        <w:tc>
          <w:tcPr>
            <w:tcW w:w="270" w:type="dxa"/>
            <w:tcBorders>
              <w:top w:val="nil"/>
              <w:left w:val="nil"/>
              <w:bottom w:val="nil"/>
              <w:right w:val="single" w:sz="4" w:space="0" w:color="auto"/>
            </w:tcBorders>
            <w:shd w:val="clear" w:color="auto" w:fill="auto"/>
            <w:noWrap/>
            <w:vAlign w:val="bottom"/>
            <w:hideMark/>
          </w:tcPr>
          <w:p w14:paraId="69785C25"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nil"/>
              <w:left w:val="single" w:sz="4" w:space="0" w:color="auto"/>
              <w:bottom w:val="single" w:sz="4" w:space="0" w:color="auto"/>
              <w:right w:val="nil"/>
            </w:tcBorders>
            <w:shd w:val="clear" w:color="auto" w:fill="FFFFFF" w:themeFill="background1"/>
            <w:noWrap/>
            <w:hideMark/>
          </w:tcPr>
          <w:p w14:paraId="4973F159" w14:textId="36BA64AD" w:rsidR="00193C50" w:rsidRPr="00DC737B" w:rsidRDefault="00193C50" w:rsidP="00193C50">
            <w:pPr>
              <w:spacing w:after="0" w:line="240" w:lineRule="auto"/>
              <w:rPr>
                <w:rFonts w:ascii="Times New Roman" w:eastAsia="Times New Roman" w:hAnsi="Times New Roman" w:cs="Times New Roman"/>
                <w:sz w:val="24"/>
                <w:szCs w:val="24"/>
                <w:lang w:val="es-ES_tradnl"/>
              </w:rPr>
            </w:pPr>
          </w:p>
        </w:tc>
        <w:tc>
          <w:tcPr>
            <w:tcW w:w="1911" w:type="dxa"/>
            <w:gridSpan w:val="3"/>
            <w:tcBorders>
              <w:top w:val="nil"/>
              <w:left w:val="nil"/>
              <w:bottom w:val="single" w:sz="4" w:space="0" w:color="auto"/>
              <w:right w:val="nil"/>
            </w:tcBorders>
            <w:shd w:val="clear" w:color="auto" w:fill="FFFFFF" w:themeFill="background1"/>
            <w:noWrap/>
            <w:vAlign w:val="center"/>
            <w:hideMark/>
          </w:tcPr>
          <w:p w14:paraId="7FFED179" w14:textId="27B50316" w:rsidR="00193C50" w:rsidRPr="00DC737B" w:rsidRDefault="00193C50" w:rsidP="00193C50">
            <w:pPr>
              <w:spacing w:after="0" w:line="240" w:lineRule="auto"/>
              <w:rPr>
                <w:rFonts w:ascii="Times New Roman" w:eastAsia="Times New Roman" w:hAnsi="Times New Roman" w:cs="Times New Roman"/>
                <w:color w:val="000000"/>
                <w:sz w:val="24"/>
                <w:szCs w:val="24"/>
                <w:lang w:val="es-ES_tradnl"/>
              </w:rPr>
            </w:pPr>
          </w:p>
        </w:tc>
        <w:tc>
          <w:tcPr>
            <w:tcW w:w="1225" w:type="dxa"/>
            <w:tcBorders>
              <w:top w:val="nil"/>
              <w:left w:val="single" w:sz="4" w:space="0" w:color="auto"/>
              <w:bottom w:val="single" w:sz="4" w:space="0" w:color="auto"/>
              <w:right w:val="nil"/>
            </w:tcBorders>
            <w:shd w:val="clear" w:color="auto" w:fill="FFFFFF" w:themeFill="background1"/>
            <w:noWrap/>
            <w:vAlign w:val="bottom"/>
          </w:tcPr>
          <w:p w14:paraId="6DB70F9B" w14:textId="38B0E310"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203" w:type="dxa"/>
            <w:tcBorders>
              <w:top w:val="nil"/>
              <w:left w:val="nil"/>
              <w:bottom w:val="single" w:sz="4" w:space="0" w:color="auto"/>
              <w:right w:val="nil"/>
            </w:tcBorders>
            <w:shd w:val="clear" w:color="auto" w:fill="FFFFFF" w:themeFill="background1"/>
            <w:noWrap/>
            <w:vAlign w:val="bottom"/>
          </w:tcPr>
          <w:p w14:paraId="22DEA8DE" w14:textId="7503B17B"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203" w:type="dxa"/>
            <w:tcBorders>
              <w:top w:val="nil"/>
              <w:left w:val="nil"/>
              <w:bottom w:val="single" w:sz="4" w:space="0" w:color="auto"/>
              <w:right w:val="single" w:sz="4" w:space="0" w:color="auto"/>
            </w:tcBorders>
            <w:shd w:val="clear" w:color="auto" w:fill="FFFFFF" w:themeFill="background1"/>
            <w:noWrap/>
            <w:vAlign w:val="bottom"/>
          </w:tcPr>
          <w:p w14:paraId="5301145B" w14:textId="29BC9F44"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203" w:type="dxa"/>
            <w:gridSpan w:val="2"/>
            <w:tcBorders>
              <w:top w:val="nil"/>
              <w:left w:val="nil"/>
              <w:bottom w:val="single" w:sz="4" w:space="0" w:color="auto"/>
              <w:right w:val="single" w:sz="4" w:space="0" w:color="auto"/>
            </w:tcBorders>
            <w:shd w:val="clear" w:color="auto" w:fill="FFFFFF" w:themeFill="background1"/>
            <w:noWrap/>
            <w:vAlign w:val="bottom"/>
          </w:tcPr>
          <w:p w14:paraId="6B76BA60" w14:textId="4436B69D"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890" w:type="dxa"/>
            <w:tcBorders>
              <w:top w:val="nil"/>
              <w:left w:val="single" w:sz="4" w:space="0" w:color="auto"/>
              <w:bottom w:val="single" w:sz="4" w:space="0" w:color="auto"/>
              <w:right w:val="single" w:sz="4" w:space="0" w:color="auto"/>
            </w:tcBorders>
            <w:shd w:val="clear" w:color="auto" w:fill="FFFFFF" w:themeFill="background1"/>
            <w:noWrap/>
            <w:vAlign w:val="bottom"/>
          </w:tcPr>
          <w:p w14:paraId="44D8F47A" w14:textId="020886BF"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1141" w:type="dxa"/>
            <w:gridSpan w:val="2"/>
            <w:tcBorders>
              <w:top w:val="nil"/>
              <w:left w:val="nil"/>
              <w:bottom w:val="single" w:sz="4" w:space="0" w:color="auto"/>
              <w:right w:val="single" w:sz="4" w:space="0" w:color="auto"/>
            </w:tcBorders>
            <w:shd w:val="clear" w:color="auto" w:fill="FFFFFF" w:themeFill="background1"/>
            <w:vAlign w:val="bottom"/>
          </w:tcPr>
          <w:p w14:paraId="5227D30C" w14:textId="1C25FB78"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c>
          <w:tcPr>
            <w:tcW w:w="839" w:type="dxa"/>
            <w:gridSpan w:val="3"/>
            <w:tcBorders>
              <w:top w:val="nil"/>
              <w:left w:val="nil"/>
              <w:bottom w:val="single" w:sz="4" w:space="0" w:color="auto"/>
              <w:right w:val="single" w:sz="4" w:space="0" w:color="auto"/>
            </w:tcBorders>
            <w:shd w:val="clear" w:color="auto" w:fill="FFFFFF" w:themeFill="background1"/>
            <w:vAlign w:val="bottom"/>
          </w:tcPr>
          <w:p w14:paraId="5CD84E52" w14:textId="782CF945"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 </w:t>
            </w:r>
          </w:p>
        </w:tc>
      </w:tr>
      <w:tr w:rsidR="0089435C" w:rsidRPr="00DC737B" w14:paraId="7D6FE98A" w14:textId="77777777" w:rsidTr="00907D42">
        <w:trPr>
          <w:gridAfter w:val="5"/>
          <w:wAfter w:w="607" w:type="dxa"/>
          <w:trHeight w:val="289"/>
        </w:trPr>
        <w:tc>
          <w:tcPr>
            <w:tcW w:w="270" w:type="dxa"/>
            <w:tcBorders>
              <w:top w:val="nil"/>
              <w:left w:val="nil"/>
              <w:bottom w:val="nil"/>
              <w:right w:val="single" w:sz="4" w:space="0" w:color="auto"/>
            </w:tcBorders>
            <w:shd w:val="clear" w:color="auto" w:fill="auto"/>
            <w:noWrap/>
            <w:vAlign w:val="bottom"/>
            <w:hideMark/>
          </w:tcPr>
          <w:p w14:paraId="7AD50546" w14:textId="77777777" w:rsidR="00193C50" w:rsidRPr="00DC737B" w:rsidRDefault="00193C50" w:rsidP="00193C50">
            <w:pPr>
              <w:spacing w:after="0" w:line="240" w:lineRule="auto"/>
              <w:jc w:val="center"/>
              <w:rPr>
                <w:rFonts w:ascii="Arial" w:eastAsia="Times New Roman" w:hAnsi="Arial" w:cs="Arial"/>
                <w:sz w:val="16"/>
                <w:szCs w:val="16"/>
                <w:lang w:val="es-ES_tradnl"/>
              </w:rPr>
            </w:pPr>
          </w:p>
        </w:tc>
        <w:tc>
          <w:tcPr>
            <w:tcW w:w="687" w:type="dxa"/>
            <w:gridSpan w:val="2"/>
            <w:tcBorders>
              <w:top w:val="single" w:sz="4" w:space="0" w:color="auto"/>
              <w:left w:val="single" w:sz="4" w:space="0" w:color="auto"/>
              <w:bottom w:val="single" w:sz="4" w:space="0" w:color="auto"/>
              <w:right w:val="nil"/>
            </w:tcBorders>
            <w:shd w:val="clear" w:color="auto" w:fill="FFFFFF" w:themeFill="background1"/>
            <w:noWrap/>
            <w:hideMark/>
          </w:tcPr>
          <w:p w14:paraId="593848A3" w14:textId="66442C58" w:rsidR="00193C50" w:rsidRPr="00DC737B" w:rsidRDefault="00BE25BE" w:rsidP="00193C50">
            <w:pPr>
              <w:spacing w:after="0" w:line="240" w:lineRule="auto"/>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8</w:t>
            </w:r>
          </w:p>
        </w:tc>
        <w:tc>
          <w:tcPr>
            <w:tcW w:w="1911" w:type="dxa"/>
            <w:gridSpan w:val="3"/>
            <w:tcBorders>
              <w:top w:val="single" w:sz="4" w:space="0" w:color="auto"/>
              <w:left w:val="nil"/>
              <w:bottom w:val="single" w:sz="4" w:space="0" w:color="auto"/>
              <w:right w:val="nil"/>
            </w:tcBorders>
            <w:shd w:val="clear" w:color="auto" w:fill="FFFFFF" w:themeFill="background1"/>
            <w:noWrap/>
            <w:vAlign w:val="center"/>
            <w:hideMark/>
          </w:tcPr>
          <w:p w14:paraId="5F4778F1" w14:textId="60662580" w:rsidR="00193C50" w:rsidRPr="00DC737B" w:rsidRDefault="00BE25BE" w:rsidP="00193C50">
            <w:pPr>
              <w:spacing w:after="0" w:line="240" w:lineRule="auto"/>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Total del sistema</w:t>
            </w:r>
          </w:p>
        </w:tc>
        <w:tc>
          <w:tcPr>
            <w:tcW w:w="1225" w:type="dxa"/>
            <w:tcBorders>
              <w:top w:val="single" w:sz="4" w:space="0" w:color="auto"/>
              <w:left w:val="single" w:sz="4" w:space="0" w:color="auto"/>
              <w:bottom w:val="single" w:sz="4" w:space="0" w:color="auto"/>
              <w:right w:val="nil"/>
            </w:tcBorders>
            <w:shd w:val="clear" w:color="auto" w:fill="FFFFFF" w:themeFill="background1"/>
            <w:noWrap/>
            <w:vAlign w:val="bottom"/>
          </w:tcPr>
          <w:p w14:paraId="53F7ACB0" w14:textId="7063B244"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$0.79936</w:t>
            </w:r>
          </w:p>
        </w:tc>
        <w:tc>
          <w:tcPr>
            <w:tcW w:w="1203" w:type="dxa"/>
            <w:tcBorders>
              <w:top w:val="single" w:sz="4" w:space="0" w:color="auto"/>
              <w:left w:val="nil"/>
              <w:bottom w:val="single" w:sz="4" w:space="0" w:color="auto"/>
              <w:right w:val="nil"/>
            </w:tcBorders>
            <w:shd w:val="clear" w:color="auto" w:fill="FFFFFF" w:themeFill="background1"/>
            <w:noWrap/>
            <w:vAlign w:val="bottom"/>
          </w:tcPr>
          <w:p w14:paraId="5FA8AE6F" w14:textId="3BBAD19D"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$0.87565</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tcPr>
          <w:p w14:paraId="6538B1A3" w14:textId="09085811"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$1.01995</w:t>
            </w:r>
          </w:p>
        </w:tc>
        <w:tc>
          <w:tcPr>
            <w:tcW w:w="1203" w:type="dxa"/>
            <w:gridSpan w:val="2"/>
            <w:tcBorders>
              <w:top w:val="single" w:sz="4" w:space="0" w:color="auto"/>
              <w:left w:val="nil"/>
              <w:bottom w:val="single" w:sz="4" w:space="0" w:color="auto"/>
              <w:right w:val="single" w:sz="4" w:space="0" w:color="auto"/>
            </w:tcBorders>
            <w:shd w:val="clear" w:color="auto" w:fill="FFFFFF" w:themeFill="background1"/>
            <w:noWrap/>
            <w:vAlign w:val="bottom"/>
          </w:tcPr>
          <w:p w14:paraId="4B03A7D6" w14:textId="20274A76"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$0.22059</w:t>
            </w: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64A8C9D" w14:textId="1E6052E2"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27.6%</w:t>
            </w:r>
          </w:p>
        </w:tc>
        <w:tc>
          <w:tcPr>
            <w:tcW w:w="1141" w:type="dxa"/>
            <w:gridSpan w:val="2"/>
            <w:tcBorders>
              <w:top w:val="single" w:sz="4" w:space="0" w:color="auto"/>
              <w:left w:val="nil"/>
              <w:bottom w:val="single" w:sz="4" w:space="0" w:color="auto"/>
              <w:right w:val="single" w:sz="4" w:space="0" w:color="auto"/>
            </w:tcBorders>
            <w:shd w:val="clear" w:color="auto" w:fill="FFFFFF" w:themeFill="background1"/>
            <w:vAlign w:val="bottom"/>
          </w:tcPr>
          <w:p w14:paraId="55015500" w14:textId="70585C8C"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$0.14430</w:t>
            </w:r>
          </w:p>
        </w:tc>
        <w:tc>
          <w:tcPr>
            <w:tcW w:w="839" w:type="dxa"/>
            <w:gridSpan w:val="3"/>
            <w:tcBorders>
              <w:top w:val="single" w:sz="4" w:space="0" w:color="auto"/>
              <w:left w:val="nil"/>
              <w:bottom w:val="single" w:sz="4" w:space="0" w:color="auto"/>
              <w:right w:val="single" w:sz="4" w:space="0" w:color="auto"/>
            </w:tcBorders>
            <w:shd w:val="clear" w:color="auto" w:fill="FFFFFF" w:themeFill="background1"/>
            <w:vAlign w:val="bottom"/>
          </w:tcPr>
          <w:p w14:paraId="2F26C568" w14:textId="08E36CC3" w:rsidR="00193C50" w:rsidRPr="00DC737B" w:rsidRDefault="00BE25BE" w:rsidP="00193C50">
            <w:pPr>
              <w:spacing w:after="0" w:line="240" w:lineRule="auto"/>
              <w:jc w:val="center"/>
              <w:rPr>
                <w:rFonts w:ascii="Times New Roman" w:eastAsia="Times New Roman" w:hAnsi="Times New Roman" w:cs="Times New Roman"/>
                <w:sz w:val="24"/>
                <w:szCs w:val="24"/>
                <w:lang w:val="es-ES_tradnl"/>
              </w:rPr>
            </w:pPr>
            <w:r w:rsidRPr="00DC737B">
              <w:rPr>
                <w:rFonts w:ascii="Times New Roman" w:eastAsia="Times New Roman" w:hAnsi="Times New Roman" w:cs="Times New Roman"/>
                <w:sz w:val="20"/>
                <w:szCs w:val="20"/>
                <w:lang w:val="es-ES_tradnl"/>
              </w:rPr>
              <w:t>16.5%</w:t>
            </w:r>
          </w:p>
        </w:tc>
      </w:tr>
      <w:tr w:rsidR="0089435C" w:rsidRPr="00DC737B" w14:paraId="6612D10F" w14:textId="77777777" w:rsidTr="00907D42">
        <w:trPr>
          <w:gridAfter w:val="3"/>
          <w:wAfter w:w="424" w:type="dxa"/>
          <w:trHeight w:val="230"/>
        </w:trPr>
        <w:tc>
          <w:tcPr>
            <w:tcW w:w="10755" w:type="dxa"/>
            <w:gridSpan w:val="19"/>
            <w:vAlign w:val="bottom"/>
          </w:tcPr>
          <w:p w14:paraId="6C0F9944" w14:textId="711447A3" w:rsidR="00574BE1" w:rsidRPr="00DC737B" w:rsidRDefault="00BE25BE" w:rsidP="00407956">
            <w:pPr>
              <w:tabs>
                <w:tab w:val="left" w:pos="615"/>
              </w:tabs>
              <w:spacing w:after="120" w:line="240" w:lineRule="auto"/>
              <w:ind w:left="525" w:right="383" w:hanging="90"/>
              <w:rPr>
                <w:rFonts w:ascii="Times New Roman" w:hAnsi="Times New Roman" w:cs="Times New Roman"/>
                <w:color w:val="000000"/>
                <w:sz w:val="20"/>
                <w:szCs w:val="20"/>
                <w:vertAlign w:val="superscript"/>
                <w:lang w:val="es-ES_tradnl"/>
              </w:rPr>
            </w:pPr>
            <w:r w:rsidRPr="00DC737B">
              <w:rPr>
                <w:rFonts w:ascii="Times New Roman" w:eastAsia="Times New Roman" w:hAnsi="Times New Roman" w:cs="Times New Roman"/>
                <w:color w:val="000000"/>
                <w:sz w:val="20"/>
                <w:szCs w:val="20"/>
                <w:vertAlign w:val="superscript"/>
                <w:lang w:val="es-ES_tradnl"/>
              </w:rPr>
              <w:t xml:space="preserve">1 </w:t>
            </w:r>
            <w:r w:rsidRPr="00DC737B">
              <w:rPr>
                <w:rFonts w:ascii="Times New Roman" w:eastAsia="Times New Roman" w:hAnsi="Times New Roman" w:cs="Times New Roman"/>
                <w:sz w:val="20"/>
                <w:szCs w:val="20"/>
                <w:lang w:val="es-ES_tradnl"/>
              </w:rPr>
              <w:t>2023 y 2024 reflejan las actualizaciones ordenadas por la Comisión a los estudios de distribución de costos TCAP 2020 para reflejar costos más recientes, y a implementarse en las tarifas el 1/1/2023 conforme a la carta de aviso Advice Letter (AL) 3042-G.</w:t>
            </w:r>
          </w:p>
          <w:p w14:paraId="2D77C023" w14:textId="15DF98AB" w:rsidR="00574BE1" w:rsidRPr="00DC737B" w:rsidRDefault="00BE25BE" w:rsidP="00407956">
            <w:pPr>
              <w:tabs>
                <w:tab w:val="left" w:pos="615"/>
              </w:tabs>
              <w:spacing w:after="120" w:line="240" w:lineRule="auto"/>
              <w:ind w:left="525" w:hanging="90"/>
              <w:rPr>
                <w:rFonts w:ascii="Times New Roman" w:hAnsi="Times New Roman" w:cs="Times New Roman"/>
                <w:sz w:val="20"/>
                <w:szCs w:val="20"/>
                <w:lang w:val="es-ES_tradnl"/>
              </w:rPr>
            </w:pPr>
            <w:r w:rsidRPr="00DC737B">
              <w:rPr>
                <w:rFonts w:ascii="Times New Roman" w:eastAsia="Times New Roman" w:hAnsi="Times New Roman" w:cs="Times New Roman"/>
                <w:color w:val="000000"/>
                <w:sz w:val="20"/>
                <w:szCs w:val="20"/>
                <w:vertAlign w:val="superscript"/>
                <w:lang w:val="es-ES_tradnl"/>
              </w:rPr>
              <w:t>2</w:t>
            </w:r>
            <w:r w:rsidR="006F2EA4">
              <w:rPr>
                <w:rFonts w:ascii="Times New Roman" w:eastAsia="Times New Roman" w:hAnsi="Times New Roman" w:cs="Times New Roman"/>
                <w:color w:val="000000"/>
                <w:sz w:val="20"/>
                <w:szCs w:val="20"/>
                <w:vertAlign w:val="superscript"/>
                <w:lang w:val="es-ES_tradnl"/>
              </w:rPr>
              <w:t xml:space="preserve"> </w:t>
            </w:r>
            <w:r w:rsidRPr="00DC737B">
              <w:rPr>
                <w:rFonts w:ascii="Times New Roman" w:eastAsia="Times New Roman" w:hAnsi="Times New Roman" w:cs="Times New Roman"/>
                <w:sz w:val="20"/>
                <w:szCs w:val="20"/>
                <w:lang w:val="es-ES_tradnl"/>
              </w:rPr>
              <w:t>Las tarifas vigentes a partir del 3/1/2022 conforme a las AL 3066-G, 3027-G-A, y el precio como producto básico reflejados en estos cuadros son un pronóstico del precio de gas para 2022 conforme a la AL 3024-G.</w:t>
            </w:r>
          </w:p>
        </w:tc>
      </w:tr>
      <w:tr w:rsidR="0089435C" w:rsidRPr="00DC737B" w14:paraId="28F20D4D" w14:textId="77777777" w:rsidTr="00907D42">
        <w:trPr>
          <w:gridAfter w:val="3"/>
          <w:wAfter w:w="424" w:type="dxa"/>
          <w:trHeight w:val="277"/>
        </w:trPr>
        <w:tc>
          <w:tcPr>
            <w:tcW w:w="0" w:type="auto"/>
            <w:gridSpan w:val="19"/>
            <w:vAlign w:val="bottom"/>
          </w:tcPr>
          <w:p w14:paraId="0982D2E5" w14:textId="3DF08A40" w:rsidR="00574BE1" w:rsidRPr="00DC737B" w:rsidRDefault="00BE25BE" w:rsidP="00407956">
            <w:pPr>
              <w:tabs>
                <w:tab w:val="left" w:pos="615"/>
              </w:tabs>
              <w:spacing w:after="120" w:line="240" w:lineRule="auto"/>
              <w:ind w:left="525" w:right="473" w:hanging="90"/>
              <w:rPr>
                <w:rFonts w:ascii="Times New Roman" w:hAnsi="Times New Roman" w:cs="Times New Roman"/>
                <w:color w:val="000000"/>
                <w:sz w:val="20"/>
                <w:szCs w:val="20"/>
                <w:lang w:val="es-ES_tradnl"/>
              </w:rPr>
            </w:pPr>
            <w:r w:rsidRPr="00DC737B">
              <w:rPr>
                <w:rFonts w:ascii="Times New Roman" w:eastAsia="Times New Roman" w:hAnsi="Times New Roman" w:cs="Times New Roman"/>
                <w:color w:val="000000"/>
                <w:sz w:val="20"/>
                <w:szCs w:val="20"/>
                <w:vertAlign w:val="superscript"/>
                <w:lang w:val="es-ES_tradnl"/>
              </w:rPr>
              <w:t>3</w:t>
            </w:r>
            <w:r w:rsidR="006F2EA4">
              <w:rPr>
                <w:rFonts w:ascii="Times New Roman" w:eastAsia="Times New Roman" w:hAnsi="Times New Roman" w:cs="Times New Roman"/>
                <w:color w:val="000000"/>
                <w:sz w:val="20"/>
                <w:szCs w:val="20"/>
                <w:vertAlign w:val="superscript"/>
                <w:lang w:val="es-ES_tradnl"/>
              </w:rPr>
              <w:t xml:space="preserve"> </w:t>
            </w:r>
            <w:r w:rsidRPr="00DC737B">
              <w:rPr>
                <w:rFonts w:ascii="Times New Roman" w:eastAsia="Times New Roman" w:hAnsi="Times New Roman" w:cs="Times New Roman"/>
                <w:color w:val="000000"/>
                <w:sz w:val="20"/>
                <w:szCs w:val="20"/>
                <w:lang w:val="es-ES_tradnl"/>
              </w:rPr>
              <w:t>Incluye ingresos vigentes a partir del 3/1/2022 conforme a las AL 3066-G y 3027-G-A ajustados, según los requisitos de ingresos de la GRC 2023 previstos y otros ingresos que se espera implementar en 2023.</w:t>
            </w:r>
          </w:p>
          <w:p w14:paraId="7AEB1E30" w14:textId="0405E1C5" w:rsidR="00826879" w:rsidRPr="00DC737B" w:rsidRDefault="00BE25BE" w:rsidP="00407956">
            <w:pPr>
              <w:tabs>
                <w:tab w:val="left" w:pos="615"/>
              </w:tabs>
              <w:spacing w:after="120" w:line="240" w:lineRule="auto"/>
              <w:ind w:left="525" w:right="473" w:hanging="90"/>
              <w:rPr>
                <w:rFonts w:ascii="Times New Roman" w:hAnsi="Times New Roman" w:cs="Times New Roman"/>
                <w:sz w:val="20"/>
                <w:szCs w:val="20"/>
                <w:lang w:val="es-ES_tradnl"/>
              </w:rPr>
            </w:pPr>
            <w:r w:rsidRPr="00DC737B">
              <w:rPr>
                <w:rFonts w:ascii="InterstateCondensed-Regular" w:eastAsia="InterstateCondensed-Regular" w:hAnsi="InterstateCondensed-Regular" w:cs="InterstateCondensed-Regular"/>
                <w:sz w:val="14"/>
                <w:szCs w:val="14"/>
                <w:lang w:val="es-ES_tradnl"/>
              </w:rPr>
              <w:t>* Comercial e industrial</w:t>
            </w:r>
          </w:p>
        </w:tc>
      </w:tr>
    </w:tbl>
    <w:p w14:paraId="06E1DF61" w14:textId="22E9EDF7" w:rsidR="4E5FCC20" w:rsidRPr="00DC737B" w:rsidRDefault="00BE25BE" w:rsidP="002A790E">
      <w:pPr>
        <w:spacing w:after="0" w:line="240" w:lineRule="auto"/>
        <w:rPr>
          <w:rFonts w:ascii="Times New Roman" w:hAnsi="Times New Roman" w:cs="Times New Roman"/>
          <w:b/>
          <w:bCs/>
          <w:sz w:val="24"/>
          <w:szCs w:val="24"/>
          <w:lang w:val="es-ES_tradnl"/>
        </w:rPr>
      </w:pPr>
      <w:r w:rsidRPr="00DC737B">
        <w:rPr>
          <w:rFonts w:ascii="Times New Roman" w:hAnsi="Times New Roman" w:cs="Times New Roman"/>
          <w:sz w:val="24"/>
          <w:szCs w:val="24"/>
          <w:lang w:val="es-ES_tradnl"/>
        </w:rPr>
        <w:t xml:space="preserve"> </w:t>
      </w:r>
    </w:p>
    <w:p w14:paraId="7D656D89" w14:textId="77777777" w:rsidR="003844D4" w:rsidRPr="00DC737B" w:rsidRDefault="00BE25BE" w:rsidP="002A790E">
      <w:pPr>
        <w:pStyle w:val="NormalWeb"/>
        <w:rPr>
          <w:rFonts w:ascii="Times New Roman" w:hAnsi="Times New Roman" w:cs="Times New Roman"/>
          <w:sz w:val="24"/>
          <w:szCs w:val="24"/>
          <w:lang w:val="es-ES_tradnl"/>
        </w:rPr>
      </w:pPr>
      <w:r w:rsidRPr="00DC737B">
        <w:rPr>
          <w:rFonts w:ascii="Times New Roman" w:eastAsia="Times New Roman" w:hAnsi="Times New Roman" w:cs="Times New Roman"/>
          <w:b/>
          <w:bCs/>
          <w:color w:val="000000"/>
          <w:sz w:val="24"/>
          <w:szCs w:val="24"/>
          <w:lang w:val="es-ES_tradnl"/>
        </w:rPr>
        <w:t>¿Cómo funciona el resto del proceso?</w:t>
      </w:r>
    </w:p>
    <w:p w14:paraId="3EED5CD0" w14:textId="6FDB5C31" w:rsidR="004275E6" w:rsidRPr="00DC737B" w:rsidRDefault="00BE25BE" w:rsidP="002A790E">
      <w:pPr>
        <w:pStyle w:val="NormalWeb"/>
        <w:rPr>
          <w:rFonts w:ascii="Times New Roman" w:hAnsi="Times New Roman" w:cs="Times New Roman"/>
          <w:sz w:val="24"/>
          <w:szCs w:val="24"/>
          <w:lang w:val="es-ES_tradnl"/>
        </w:rPr>
      </w:pPr>
      <w:r w:rsidRPr="00DC737B">
        <w:rPr>
          <w:rFonts w:ascii="Times New Roman" w:eastAsia="Times New Roman" w:hAnsi="Times New Roman" w:cs="Times New Roman"/>
          <w:color w:val="000000"/>
          <w:sz w:val="24"/>
          <w:szCs w:val="24"/>
          <w:lang w:val="es-ES_tradnl"/>
        </w:rPr>
        <w:t>La presente solicitud se asignará a un Juez de Derecho Administrativo de la CPUC, quien considerará las propuestas y pruebas</w:t>
      </w:r>
      <w:r w:rsidRPr="00DC737B">
        <w:rPr>
          <w:rFonts w:ascii="Times New Roman" w:eastAsia="Times New Roman" w:hAnsi="Times New Roman" w:cs="Times New Roman"/>
          <w:color w:val="FF0000"/>
          <w:sz w:val="24"/>
          <w:szCs w:val="24"/>
          <w:lang w:val="es-ES_tradnl"/>
        </w:rPr>
        <w:t xml:space="preserve"> </w:t>
      </w:r>
      <w:r w:rsidRPr="00DC737B">
        <w:rPr>
          <w:rFonts w:ascii="Times New Roman" w:eastAsia="Times New Roman" w:hAnsi="Times New Roman" w:cs="Times New Roman"/>
          <w:color w:val="000000"/>
          <w:sz w:val="24"/>
          <w:szCs w:val="24"/>
          <w:lang w:val="es-ES_tradnl"/>
        </w:rPr>
        <w:t xml:space="preserve">presentadas durante el proceso formal de las audiencias. El Juez de Derecho Administrativo emitirá una propuesta de decisión que tal vez adopte la solicitud de </w:t>
      </w:r>
      <w:r w:rsidRPr="00DC737B">
        <w:rPr>
          <w:rFonts w:ascii="Times New Roman" w:eastAsia="Times New Roman" w:hAnsi="Times New Roman" w:cs="Times New Roman"/>
          <w:sz w:val="24"/>
          <w:szCs w:val="24"/>
          <w:lang w:val="es-ES_tradnl"/>
        </w:rPr>
        <w:t>SDG&amp;E</w:t>
      </w:r>
      <w:r w:rsidRPr="00DC737B">
        <w:rPr>
          <w:rFonts w:ascii="Times New Roman" w:eastAsia="Times New Roman" w:hAnsi="Times New Roman" w:cs="Times New Roman"/>
          <w:color w:val="000000"/>
          <w:sz w:val="24"/>
          <w:szCs w:val="24"/>
          <w:lang w:val="es-ES_tradnl"/>
        </w:rPr>
        <w:t xml:space="preserve">, la modifique o la deniegue. Cualquier Comisionado de la CPUC puede proponer una decisión alterna con un resultado distinto. La decisión propuesta y cualquier decisión alterna serán sometidas a la discusión y votación de los Comisionados de la CPUC en una Reunión de Votación pública de la CPUC. </w:t>
      </w:r>
    </w:p>
    <w:p w14:paraId="1556E433" w14:textId="77777777" w:rsidR="002A790E" w:rsidRPr="00DC737B" w:rsidRDefault="002A790E" w:rsidP="002A790E">
      <w:pPr>
        <w:pStyle w:val="NormalWeb"/>
        <w:rPr>
          <w:rFonts w:ascii="Times New Roman" w:hAnsi="Times New Roman" w:cs="Times New Roman"/>
          <w:color w:val="000000"/>
          <w:sz w:val="24"/>
          <w:szCs w:val="24"/>
          <w:lang w:val="es-ES_tradnl"/>
        </w:rPr>
      </w:pPr>
    </w:p>
    <w:p w14:paraId="330E7A52" w14:textId="42562484" w:rsidR="004275E6" w:rsidRPr="00DC737B" w:rsidRDefault="00BE25BE" w:rsidP="002A790E">
      <w:pPr>
        <w:pStyle w:val="NormalWeb"/>
        <w:rPr>
          <w:rFonts w:ascii="Times New Roman" w:eastAsia="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lastRenderedPageBreak/>
        <w:t xml:space="preserve">Las partes en el procedimiento, entre las cuales se incluye la Oficina de Defensores Públicos, podrán examinar la solicitud de </w:t>
      </w:r>
      <w:r w:rsidRPr="00DC737B">
        <w:rPr>
          <w:rFonts w:ascii="Times New Roman" w:eastAsia="Times New Roman" w:hAnsi="Times New Roman" w:cs="Times New Roman"/>
          <w:sz w:val="24"/>
          <w:szCs w:val="24"/>
          <w:lang w:val="es-ES_tradnl"/>
        </w:rPr>
        <w:t>SDG&amp;E</w:t>
      </w:r>
      <w:r w:rsidRPr="00DC737B">
        <w:rPr>
          <w:rFonts w:ascii="Times New Roman" w:eastAsia="Times New Roman" w:hAnsi="Times New Roman" w:cs="Times New Roman"/>
          <w:color w:val="000000"/>
          <w:sz w:val="24"/>
          <w:szCs w:val="24"/>
          <w:lang w:val="es-ES_tradnl"/>
        </w:rPr>
        <w:t xml:space="preserve">. La Oficina de Defensores Públicos es un defensor independiente de los consumidores dentro de la CPUC que representa a los clientes para obtener la tarifa más baja posible por un servicio acorde con niveles de servicio confiables y seguros. Para más información, por favor llame al </w:t>
      </w:r>
      <w:r w:rsidRPr="00DC737B">
        <w:rPr>
          <w:rFonts w:ascii="Times New Roman" w:eastAsia="Times New Roman" w:hAnsi="Times New Roman" w:cs="Times New Roman"/>
          <w:b/>
          <w:bCs/>
          <w:color w:val="000000"/>
          <w:sz w:val="24"/>
          <w:szCs w:val="24"/>
          <w:lang w:val="es-ES_tradnl"/>
        </w:rPr>
        <w:t>1-415-703-1584</w:t>
      </w:r>
      <w:r w:rsidRPr="00DC737B">
        <w:rPr>
          <w:rFonts w:ascii="Times New Roman" w:eastAsia="Times New Roman" w:hAnsi="Times New Roman" w:cs="Times New Roman"/>
          <w:color w:val="000000"/>
          <w:sz w:val="24"/>
          <w:szCs w:val="24"/>
          <w:lang w:val="es-ES_tradnl"/>
        </w:rPr>
        <w:t xml:space="preserve">, envíe un mensaje por correo electrónico a </w:t>
      </w:r>
      <w:hyperlink r:id="rId8" w:history="1">
        <w:r w:rsidRPr="00DC737B">
          <w:rPr>
            <w:rFonts w:ascii="Times New Roman" w:eastAsia="Times New Roman" w:hAnsi="Times New Roman" w:cs="Times New Roman"/>
            <w:color w:val="0563C1"/>
            <w:sz w:val="24"/>
            <w:szCs w:val="24"/>
            <w:u w:val="single"/>
            <w:lang w:val="es-ES_tradnl"/>
          </w:rPr>
          <w:t>PublicAdvocatesOffice@cpuc.ca.gov</w:t>
        </w:r>
      </w:hyperlink>
      <w:r w:rsidRPr="00DC737B">
        <w:rPr>
          <w:rFonts w:ascii="Times New Roman" w:eastAsia="Times New Roman" w:hAnsi="Times New Roman" w:cs="Times New Roman"/>
          <w:color w:val="000000"/>
          <w:sz w:val="24"/>
          <w:szCs w:val="24"/>
          <w:lang w:val="es-ES_tradnl"/>
        </w:rPr>
        <w:t xml:space="preserve"> o visite </w:t>
      </w:r>
      <w:r w:rsidRPr="00DC737B">
        <w:rPr>
          <w:rFonts w:ascii="Times New Roman" w:eastAsia="Times New Roman" w:hAnsi="Times New Roman" w:cs="Times New Roman"/>
          <w:b/>
          <w:bCs/>
          <w:color w:val="000000"/>
          <w:sz w:val="24"/>
          <w:szCs w:val="24"/>
          <w:lang w:val="es-ES_tradnl"/>
        </w:rPr>
        <w:t>PublicAdvocatesOffice@cpuc.ca.gov</w:t>
      </w:r>
      <w:r w:rsidRPr="00DC737B">
        <w:rPr>
          <w:rFonts w:ascii="Times New Roman" w:eastAsia="Times New Roman" w:hAnsi="Times New Roman" w:cs="Times New Roman"/>
          <w:color w:val="000000"/>
          <w:sz w:val="24"/>
          <w:szCs w:val="24"/>
          <w:lang w:val="es-ES_tradnl"/>
        </w:rPr>
        <w:t xml:space="preserve">. </w:t>
      </w:r>
    </w:p>
    <w:p w14:paraId="79617BCB" w14:textId="77777777" w:rsidR="002A790E" w:rsidRPr="00DC737B" w:rsidRDefault="002A790E" w:rsidP="002A790E">
      <w:pPr>
        <w:pStyle w:val="xmsonormal"/>
        <w:rPr>
          <w:rFonts w:ascii="Times New Roman" w:hAnsi="Times New Roman" w:cs="Times New Roman"/>
          <w:color w:val="000000"/>
          <w:sz w:val="24"/>
          <w:szCs w:val="24"/>
          <w:lang w:val="es-ES_tradnl"/>
        </w:rPr>
      </w:pPr>
    </w:p>
    <w:p w14:paraId="6A75EC52" w14:textId="77777777" w:rsidR="00AA7B01" w:rsidRPr="00DC737B" w:rsidRDefault="00AA7B01" w:rsidP="002A790E">
      <w:pPr>
        <w:spacing w:after="0" w:line="240" w:lineRule="auto"/>
        <w:rPr>
          <w:rFonts w:ascii="Times New Roman" w:hAnsi="Times New Roman" w:cs="Times New Roman"/>
          <w:b/>
          <w:bCs/>
          <w:sz w:val="24"/>
          <w:szCs w:val="24"/>
          <w:lang w:val="es-ES_tradnl"/>
        </w:rPr>
      </w:pPr>
    </w:p>
    <w:p w14:paraId="231D73F6" w14:textId="51542B0F" w:rsidR="4E5FCC20" w:rsidRPr="00DC737B" w:rsidRDefault="00BE25BE" w:rsidP="002A790E">
      <w:pPr>
        <w:spacing w:after="0" w:line="240" w:lineRule="auto"/>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t>¿</w:t>
      </w:r>
      <w:r w:rsidR="006F2EA4">
        <w:rPr>
          <w:rFonts w:ascii="Times New Roman" w:eastAsia="Times New Roman" w:hAnsi="Times New Roman" w:cs="Times New Roman"/>
          <w:b/>
          <w:bCs/>
          <w:sz w:val="24"/>
          <w:szCs w:val="24"/>
          <w:lang w:val="es-ES_tradnl"/>
        </w:rPr>
        <w:t>D</w:t>
      </w:r>
      <w:r w:rsidR="006F2EA4" w:rsidRPr="00DC737B">
        <w:rPr>
          <w:rFonts w:ascii="Times New Roman" w:eastAsia="Times New Roman" w:hAnsi="Times New Roman" w:cs="Times New Roman"/>
          <w:b/>
          <w:bCs/>
          <w:sz w:val="24"/>
          <w:szCs w:val="24"/>
          <w:lang w:val="es-ES_tradnl"/>
        </w:rPr>
        <w:t>ónde puedo obtener más información</w:t>
      </w:r>
      <w:r w:rsidRPr="00DC737B">
        <w:rPr>
          <w:rFonts w:ascii="Times New Roman" w:eastAsia="Times New Roman" w:hAnsi="Times New Roman" w:cs="Times New Roman"/>
          <w:b/>
          <w:bCs/>
          <w:sz w:val="24"/>
          <w:szCs w:val="24"/>
          <w:lang w:val="es-ES_tradnl"/>
        </w:rPr>
        <w:t>?</w:t>
      </w:r>
    </w:p>
    <w:p w14:paraId="29B062C7" w14:textId="3AD4E33C" w:rsidR="4E5FCC20" w:rsidRPr="00DC737B" w:rsidRDefault="00BE25BE" w:rsidP="002A790E">
      <w:pPr>
        <w:spacing w:after="0" w:line="240" w:lineRule="auto"/>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t>Contacte a SDG&amp;E</w:t>
      </w:r>
    </w:p>
    <w:p w14:paraId="1F12B1C5" w14:textId="6C7034CD" w:rsidR="2CB045C7" w:rsidRPr="0015346B" w:rsidRDefault="00BE25BE" w:rsidP="002A790E">
      <w:pPr>
        <w:spacing w:after="0" w:line="240" w:lineRule="auto"/>
        <w:ind w:left="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Enviando un correo electrónico a: </w:t>
      </w:r>
      <w:r w:rsidRPr="0015346B">
        <w:rPr>
          <w:rFonts w:ascii="Times New Roman" w:eastAsia="Calibri" w:hAnsi="Times New Roman" w:cs="Times New Roman"/>
          <w:lang w:val="es-ES_tradnl"/>
        </w:rPr>
        <w:t>jyork@semprautilities.com</w:t>
      </w:r>
      <w:r w:rsidRPr="0015346B">
        <w:rPr>
          <w:rFonts w:ascii="Times New Roman" w:eastAsia="Times New Roman" w:hAnsi="Times New Roman" w:cs="Times New Roman"/>
          <w:sz w:val="24"/>
          <w:szCs w:val="24"/>
          <w:lang w:val="es-ES_tradnl"/>
        </w:rPr>
        <w:t xml:space="preserve"> </w:t>
      </w:r>
    </w:p>
    <w:p w14:paraId="71101523" w14:textId="0D157B58" w:rsidR="77B9011C" w:rsidRPr="00DC737B" w:rsidRDefault="00BE25BE" w:rsidP="002A790E">
      <w:pPr>
        <w:spacing w:after="0" w:line="240" w:lineRule="auto"/>
        <w:ind w:left="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Escribiendo a: Jamie York, 8330 Century Park Court, CP31E, San Diego, CA 92123</w:t>
      </w:r>
    </w:p>
    <w:p w14:paraId="1685AB89" w14:textId="13DDB05E" w:rsidR="00F72708" w:rsidRPr="00DC737B" w:rsidRDefault="00BE25BE" w:rsidP="007D3B37">
      <w:pPr>
        <w:spacing w:after="0" w:line="240" w:lineRule="auto"/>
        <w:ind w:left="720"/>
        <w:rPr>
          <w:rStyle w:val="Hyperlink"/>
          <w:rFonts w:ascii="Times New Roman" w:eastAsia="Times New Roman" w:hAnsi="Times New Roman" w:cs="Times New Roman"/>
          <w:color w:val="0563C1"/>
          <w:lang w:val="es-ES_tradnl"/>
        </w:rPr>
      </w:pPr>
      <w:r w:rsidRPr="00DC737B">
        <w:rPr>
          <w:rFonts w:ascii="Times New Roman" w:eastAsia="Times New Roman" w:hAnsi="Times New Roman" w:cs="Times New Roman"/>
          <w:sz w:val="24"/>
          <w:szCs w:val="24"/>
          <w:lang w:val="es-ES_tradnl"/>
        </w:rPr>
        <w:t>Una copia de la Solicitud y cualesquier documentos relacionados se pueden examinar también en</w:t>
      </w:r>
      <w:r w:rsidRPr="00DC737B">
        <w:rPr>
          <w:rFonts w:ascii="Times New Roman" w:eastAsia="Times New Roman" w:hAnsi="Times New Roman" w:cs="Times New Roman"/>
          <w:b/>
          <w:bCs/>
          <w:sz w:val="24"/>
          <w:szCs w:val="24"/>
          <w:lang w:val="es-ES_tradnl"/>
        </w:rPr>
        <w:t xml:space="preserve"> </w:t>
      </w:r>
      <w:hyperlink r:id="rId9" w:history="1">
        <w:r w:rsidRPr="00DC737B">
          <w:rPr>
            <w:rFonts w:ascii="Times New Roman" w:eastAsia="Times New Roman" w:hAnsi="Times New Roman" w:cs="Times New Roman"/>
            <w:color w:val="0563C1"/>
            <w:u w:val="single"/>
            <w:lang w:val="es-ES_tradnl"/>
          </w:rPr>
          <w:t>http://www.sdge.com/proceedings</w:t>
        </w:r>
      </w:hyperlink>
      <w:r w:rsidRPr="00DC737B">
        <w:rPr>
          <w:rFonts w:ascii="Times New Roman" w:eastAsia="Times New Roman" w:hAnsi="Times New Roman" w:cs="Times New Roman"/>
          <w:color w:val="0563C1"/>
          <w:u w:val="single"/>
          <w:lang w:val="es-ES_tradnl"/>
        </w:rPr>
        <w:t xml:space="preserve"> </w:t>
      </w:r>
    </w:p>
    <w:p w14:paraId="5DF0C260" w14:textId="77777777" w:rsidR="007D3B37" w:rsidRPr="00DC737B" w:rsidRDefault="007D3B37" w:rsidP="007D3B37">
      <w:pPr>
        <w:spacing w:after="0" w:line="240" w:lineRule="auto"/>
        <w:ind w:left="720"/>
        <w:rPr>
          <w:rFonts w:ascii="Times New Roman" w:hAnsi="Times New Roman" w:cs="Times New Roman"/>
          <w:b/>
          <w:bCs/>
          <w:sz w:val="24"/>
          <w:szCs w:val="24"/>
          <w:lang w:val="es-ES_tradnl"/>
        </w:rPr>
      </w:pPr>
    </w:p>
    <w:p w14:paraId="74591D8B" w14:textId="1E5AA557" w:rsidR="4E5FCC20" w:rsidRPr="00DC737B" w:rsidRDefault="00BE25BE" w:rsidP="002A790E">
      <w:pPr>
        <w:spacing w:after="0" w:line="240" w:lineRule="auto"/>
        <w:rPr>
          <w:rFonts w:ascii="Times New Roman" w:hAnsi="Times New Roman" w:cs="Times New Roman"/>
          <w:b/>
          <w:bCs/>
          <w:sz w:val="24"/>
          <w:szCs w:val="24"/>
          <w:lang w:val="es-ES_tradnl"/>
        </w:rPr>
      </w:pPr>
      <w:r w:rsidRPr="00DC737B">
        <w:rPr>
          <w:rFonts w:ascii="Times New Roman" w:eastAsia="Times New Roman" w:hAnsi="Times New Roman" w:cs="Times New Roman"/>
          <w:b/>
          <w:bCs/>
          <w:sz w:val="24"/>
          <w:szCs w:val="24"/>
          <w:lang w:val="es-ES_tradnl"/>
        </w:rPr>
        <w:t>Contacte a la CPUC</w:t>
      </w:r>
    </w:p>
    <w:p w14:paraId="43CDF041" w14:textId="63650EFD" w:rsidR="007D3B37" w:rsidRPr="00DC737B" w:rsidRDefault="00BE25BE" w:rsidP="007D3B37">
      <w:pPr>
        <w:spacing w:after="0" w:line="240" w:lineRule="auto"/>
        <w:rPr>
          <w:rFonts w:ascii="Times New Roman" w:hAnsi="Times New Roman" w:cs="Times New Roman"/>
          <w:sz w:val="24"/>
          <w:szCs w:val="24"/>
          <w:lang w:val="es-ES_tradnl"/>
        </w:rPr>
      </w:pPr>
      <w:r w:rsidRPr="00DC737B">
        <w:rPr>
          <w:rFonts w:ascii="Times New Roman" w:eastAsia="Times New Roman" w:hAnsi="Times New Roman" w:cs="Times New Roman"/>
          <w:color w:val="000000"/>
          <w:sz w:val="24"/>
          <w:szCs w:val="24"/>
          <w:lang w:val="es-ES_tradnl"/>
        </w:rPr>
        <w:t xml:space="preserve">Visite </w:t>
      </w:r>
      <w:r w:rsidRPr="00DC737B">
        <w:rPr>
          <w:rFonts w:ascii="Times New Roman" w:eastAsia="Times New Roman" w:hAnsi="Times New Roman" w:cs="Times New Roman"/>
          <w:b/>
          <w:bCs/>
          <w:lang w:val="es-ES_tradnl"/>
        </w:rPr>
        <w:t>apps.cpuc.ca.gov/c/</w:t>
      </w:r>
      <w:r w:rsidRPr="00DC737B">
        <w:rPr>
          <w:rFonts w:ascii="Times New Roman" w:eastAsia="Times New Roman" w:hAnsi="Times New Roman" w:cs="Times New Roman"/>
          <w:b/>
          <w:bCs/>
          <w:color w:val="000000"/>
          <w:sz w:val="24"/>
          <w:szCs w:val="24"/>
          <w:lang w:val="es-ES_tradnl"/>
        </w:rPr>
        <w:t>A2205</w:t>
      </w:r>
      <w:r w:rsidRPr="00DC737B">
        <w:rPr>
          <w:rFonts w:ascii="Times New Roman" w:eastAsia="Times New Roman" w:hAnsi="Times New Roman" w:cs="Times New Roman"/>
          <w:b/>
          <w:bCs/>
          <w:sz w:val="24"/>
          <w:szCs w:val="24"/>
          <w:lang w:val="es-ES_tradnl"/>
        </w:rPr>
        <w:t>016</w:t>
      </w:r>
    </w:p>
    <w:p w14:paraId="6496496C" w14:textId="4E86BFA9" w:rsidR="00102460" w:rsidRPr="00DC737B" w:rsidRDefault="00BE25BE" w:rsidP="002A790E">
      <w:pPr>
        <w:pStyle w:val="xmsonormal"/>
        <w:rPr>
          <w:rFonts w:ascii="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para enviar un comentario acerca de este procedimiento en la Ficha del Expediente de la CPUC. Aquí también puede ver documentos y otros comentarios públicos relacionados con este procedimiento.</w:t>
      </w:r>
    </w:p>
    <w:p w14:paraId="23AD7E2A" w14:textId="7816191D" w:rsidR="006C7C57" w:rsidRPr="00DC737B" w:rsidRDefault="006C7C57" w:rsidP="002A790E">
      <w:pPr>
        <w:pStyle w:val="xmsonormal"/>
        <w:rPr>
          <w:rFonts w:ascii="Times New Roman" w:hAnsi="Times New Roman" w:cs="Times New Roman"/>
          <w:color w:val="000000"/>
          <w:sz w:val="24"/>
          <w:szCs w:val="24"/>
          <w:lang w:val="es-ES_tradnl"/>
        </w:rPr>
      </w:pPr>
    </w:p>
    <w:p w14:paraId="43A2856D" w14:textId="77777777" w:rsidR="001352EB" w:rsidRPr="00DC737B" w:rsidRDefault="00BE25BE" w:rsidP="001352EB">
      <w:pPr>
        <w:pStyle w:val="xmsonormal"/>
        <w:rPr>
          <w:rFonts w:ascii="Times New Roman" w:hAnsi="Times New Roman" w:cs="Times New Roman"/>
          <w:color w:val="000000"/>
          <w:sz w:val="24"/>
          <w:szCs w:val="24"/>
          <w:lang w:val="es-ES_tradnl"/>
        </w:rPr>
      </w:pPr>
      <w:r w:rsidRPr="00DC737B">
        <w:rPr>
          <w:rFonts w:ascii="Times New Roman" w:eastAsia="Times New Roman" w:hAnsi="Times New Roman" w:cs="Times New Roman"/>
          <w:color w:val="000000"/>
          <w:sz w:val="24"/>
          <w:szCs w:val="24"/>
          <w:lang w:val="es-ES_tradnl"/>
        </w:rPr>
        <w:t xml:space="preserve">Su participación al proporcionar su opinión acerca de la petición de </w:t>
      </w:r>
      <w:r w:rsidRPr="00DC737B">
        <w:rPr>
          <w:rFonts w:ascii="Times New Roman" w:eastAsia="Times New Roman" w:hAnsi="Times New Roman" w:cs="Times New Roman"/>
          <w:sz w:val="24"/>
          <w:szCs w:val="24"/>
          <w:lang w:val="es-ES_tradnl"/>
        </w:rPr>
        <w:t>SDG&amp;E</w:t>
      </w:r>
      <w:r w:rsidRPr="00DC737B">
        <w:rPr>
          <w:rFonts w:ascii="Times New Roman" w:eastAsia="Times New Roman" w:hAnsi="Times New Roman" w:cs="Times New Roman"/>
          <w:color w:val="000000"/>
          <w:sz w:val="24"/>
          <w:szCs w:val="24"/>
          <w:lang w:val="es-ES_tradnl"/>
        </w:rPr>
        <w:t xml:space="preserve"> puede ayudar a la CPUC a tomar una decisión fundamentada.</w:t>
      </w:r>
    </w:p>
    <w:p w14:paraId="02CE6919" w14:textId="77777777" w:rsidR="001352EB" w:rsidRPr="00DC737B" w:rsidRDefault="001352EB" w:rsidP="002A790E">
      <w:pPr>
        <w:pStyle w:val="xmsonormal"/>
        <w:rPr>
          <w:rFonts w:ascii="Times New Roman" w:hAnsi="Times New Roman" w:cs="Times New Roman"/>
          <w:color w:val="000000"/>
          <w:sz w:val="24"/>
          <w:szCs w:val="24"/>
          <w:lang w:val="es-ES_tradnl"/>
        </w:rPr>
      </w:pPr>
    </w:p>
    <w:p w14:paraId="6E8E55BF" w14:textId="49810D1C" w:rsidR="4E5FCC20" w:rsidRPr="00DC737B" w:rsidRDefault="00BE25BE" w:rsidP="002A790E">
      <w:pPr>
        <w:spacing w:after="0" w:line="240" w:lineRule="auto"/>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Si tiene preguntas acerca de los procesos de la CPUC, puede comunicarse a la Oficina del Asesor Público de la CPUC:</w:t>
      </w:r>
    </w:p>
    <w:p w14:paraId="33FA69CE" w14:textId="3DB601F9" w:rsidR="4E5FCC20" w:rsidRPr="00DC737B" w:rsidRDefault="00BE25BE" w:rsidP="002A790E">
      <w:pPr>
        <w:spacing w:after="0" w:line="240" w:lineRule="auto"/>
        <w:ind w:left="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Llamando al: </w:t>
      </w:r>
      <w:r w:rsidRPr="00DC737B">
        <w:rPr>
          <w:rFonts w:ascii="Times New Roman" w:eastAsia="Times New Roman" w:hAnsi="Times New Roman" w:cs="Times New Roman"/>
          <w:b/>
          <w:bCs/>
          <w:sz w:val="24"/>
          <w:szCs w:val="24"/>
          <w:lang w:val="es-ES_tradnl"/>
        </w:rPr>
        <w:t>1-866-849-8390</w:t>
      </w:r>
      <w:r w:rsidRPr="00DC737B">
        <w:rPr>
          <w:rFonts w:ascii="Times New Roman" w:eastAsia="Times New Roman" w:hAnsi="Times New Roman" w:cs="Times New Roman"/>
          <w:sz w:val="24"/>
          <w:szCs w:val="24"/>
          <w:lang w:val="es-ES_tradnl"/>
        </w:rPr>
        <w:t xml:space="preserve"> (sin costo) o al </w:t>
      </w:r>
      <w:r w:rsidRPr="00DC737B">
        <w:rPr>
          <w:rFonts w:ascii="Times New Roman" w:eastAsia="Times New Roman" w:hAnsi="Times New Roman" w:cs="Times New Roman"/>
          <w:b/>
          <w:bCs/>
          <w:sz w:val="24"/>
          <w:szCs w:val="24"/>
          <w:lang w:val="es-ES_tradnl"/>
        </w:rPr>
        <w:t>1-415-703-2074</w:t>
      </w:r>
    </w:p>
    <w:p w14:paraId="05B2B57C" w14:textId="1F7F95FC" w:rsidR="0DC8C6A9" w:rsidRPr="00DC737B" w:rsidRDefault="00BE25BE" w:rsidP="002A790E">
      <w:pPr>
        <w:spacing w:after="0" w:line="240" w:lineRule="auto"/>
        <w:ind w:left="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Enviando un mensaje de correo electrónico a:</w:t>
      </w:r>
      <w:r w:rsidR="00561B40">
        <w:rPr>
          <w:rFonts w:ascii="Times New Roman" w:eastAsia="Times New Roman" w:hAnsi="Times New Roman" w:cs="Times New Roman"/>
          <w:sz w:val="24"/>
          <w:szCs w:val="24"/>
          <w:lang w:val="es-ES_tradnl"/>
        </w:rPr>
        <w:t xml:space="preserve"> </w:t>
      </w:r>
      <w:r w:rsidRPr="00DC737B">
        <w:rPr>
          <w:rFonts w:ascii="Times New Roman" w:eastAsia="Times New Roman" w:hAnsi="Times New Roman" w:cs="Times New Roman"/>
          <w:sz w:val="24"/>
          <w:szCs w:val="24"/>
          <w:lang w:val="es-ES_tradnl"/>
        </w:rPr>
        <w:t>Public.Advisor@cpuc.ca.gov</w:t>
      </w:r>
      <w:r w:rsidRPr="00DC737B">
        <w:rPr>
          <w:rFonts w:ascii="Times New Roman" w:eastAsia="Times New Roman" w:hAnsi="Times New Roman" w:cs="Times New Roman"/>
          <w:b/>
          <w:bCs/>
          <w:sz w:val="24"/>
          <w:szCs w:val="24"/>
          <w:lang w:val="es-ES_tradnl"/>
        </w:rPr>
        <w:t xml:space="preserve"> </w:t>
      </w:r>
    </w:p>
    <w:p w14:paraId="7C5A6AFB" w14:textId="1DA23427" w:rsidR="4E5FCC20" w:rsidRPr="00DC737B" w:rsidRDefault="00BE25BE" w:rsidP="002A790E">
      <w:pPr>
        <w:spacing w:after="0" w:line="240" w:lineRule="auto"/>
        <w:ind w:left="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Escribiendo a: </w:t>
      </w:r>
      <w:r w:rsidRPr="00DC737B">
        <w:rPr>
          <w:rFonts w:ascii="Times New Roman" w:eastAsia="Times New Roman" w:hAnsi="Times New Roman" w:cs="Times New Roman"/>
          <w:sz w:val="24"/>
          <w:szCs w:val="24"/>
          <w:lang w:val="es-ES_tradnl"/>
        </w:rPr>
        <w:tab/>
        <w:t>CPUC Public Advisor’s Office</w:t>
      </w:r>
    </w:p>
    <w:p w14:paraId="5037BF13" w14:textId="7FF2BD1A" w:rsidR="4E5FCC20" w:rsidRPr="00DC737B" w:rsidRDefault="00BE25BE" w:rsidP="00561B40">
      <w:pPr>
        <w:spacing w:after="0" w:line="240" w:lineRule="auto"/>
        <w:ind w:left="1440" w:firstLine="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505 Van Ness Avenue</w:t>
      </w:r>
    </w:p>
    <w:p w14:paraId="325F00CE" w14:textId="1F59DF95" w:rsidR="4E5FCC20" w:rsidRPr="00DC737B" w:rsidRDefault="00BE25BE" w:rsidP="00561B40">
      <w:pPr>
        <w:spacing w:after="0" w:line="240" w:lineRule="auto"/>
        <w:ind w:left="1440" w:firstLine="720"/>
        <w:rPr>
          <w:rFonts w:ascii="Times New Roman" w:hAnsi="Times New Roman" w:cs="Times New Roman"/>
          <w:sz w:val="24"/>
          <w:szCs w:val="24"/>
          <w:lang w:val="es-ES_tradnl"/>
        </w:rPr>
      </w:pPr>
      <w:r w:rsidRPr="00DC737B">
        <w:rPr>
          <w:rFonts w:ascii="Times New Roman" w:eastAsia="Times New Roman" w:hAnsi="Times New Roman" w:cs="Times New Roman"/>
          <w:sz w:val="24"/>
          <w:szCs w:val="24"/>
          <w:lang w:val="es-ES_tradnl"/>
        </w:rPr>
        <w:t>San Francisco, CA 94102</w:t>
      </w:r>
    </w:p>
    <w:p w14:paraId="5E30404D" w14:textId="364ADD49" w:rsidR="77F120CB" w:rsidRPr="00DC737B" w:rsidRDefault="77F120CB" w:rsidP="002A790E">
      <w:pPr>
        <w:spacing w:after="0" w:line="240" w:lineRule="auto"/>
        <w:rPr>
          <w:rFonts w:ascii="Times New Roman" w:eastAsia="Calibri" w:hAnsi="Times New Roman" w:cs="Times New Roman"/>
          <w:sz w:val="24"/>
          <w:szCs w:val="24"/>
          <w:lang w:val="es-ES_tradnl"/>
        </w:rPr>
      </w:pPr>
    </w:p>
    <w:p w14:paraId="52845A56" w14:textId="36FCFD6A" w:rsidR="4E5FCC20" w:rsidRPr="00DC737B" w:rsidRDefault="00BE25BE" w:rsidP="002A790E">
      <w:pPr>
        <w:spacing w:after="0" w:line="240" w:lineRule="auto"/>
        <w:rPr>
          <w:rFonts w:ascii="Times New Roman" w:eastAsia="Calibri" w:hAnsi="Times New Roman" w:cs="Times New Roman"/>
          <w:sz w:val="24"/>
          <w:szCs w:val="24"/>
          <w:lang w:val="es-ES_tradnl"/>
        </w:rPr>
      </w:pPr>
      <w:r w:rsidRPr="00DC737B">
        <w:rPr>
          <w:rFonts w:ascii="Times New Roman" w:eastAsia="Times New Roman" w:hAnsi="Times New Roman" w:cs="Times New Roman"/>
          <w:sz w:val="24"/>
          <w:szCs w:val="24"/>
          <w:lang w:val="es-ES_tradnl"/>
        </w:rPr>
        <w:t xml:space="preserve">Por favor, haga referencia a la solicitud </w:t>
      </w:r>
      <w:r w:rsidRPr="00DC737B">
        <w:rPr>
          <w:rFonts w:ascii="Times New Roman" w:eastAsia="Times New Roman" w:hAnsi="Times New Roman" w:cs="Times New Roman"/>
          <w:b/>
          <w:bCs/>
          <w:sz w:val="24"/>
          <w:szCs w:val="24"/>
          <w:lang w:val="es-ES_tradnl"/>
        </w:rPr>
        <w:t>Application A.22-05-016</w:t>
      </w:r>
      <w:r w:rsidRPr="00DC737B">
        <w:rPr>
          <w:rFonts w:ascii="Times New Roman" w:eastAsia="Times New Roman" w:hAnsi="Times New Roman" w:cs="Times New Roman"/>
          <w:sz w:val="24"/>
          <w:szCs w:val="24"/>
          <w:lang w:val="es-ES_tradnl"/>
        </w:rPr>
        <w:t xml:space="preserve"> en cualesquiera comunicaciones que sostenga con la CPUC en relación con este asunto.</w:t>
      </w:r>
    </w:p>
    <w:p w14:paraId="5E6F4B7F" w14:textId="48F9E6FF" w:rsidR="77F120CB" w:rsidRPr="00DC737B" w:rsidRDefault="77F120CB" w:rsidP="002A790E">
      <w:pPr>
        <w:spacing w:after="0" w:line="240" w:lineRule="auto"/>
        <w:rPr>
          <w:rFonts w:ascii="Times New Roman" w:hAnsi="Times New Roman" w:cs="Times New Roman"/>
          <w:b/>
          <w:bCs/>
          <w:sz w:val="24"/>
          <w:szCs w:val="24"/>
          <w:lang w:val="es-ES_tradnl"/>
        </w:rPr>
      </w:pPr>
    </w:p>
    <w:sectPr w:rsidR="77F120CB" w:rsidRPr="00DC7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rstateCondensed-Regular">
    <w:altName w:val="Calibri"/>
    <w:panose1 w:val="020B0604020202020204"/>
    <w:charset w:val="00"/>
    <w:family w:val="swiss"/>
    <w:notTrueType/>
    <w:pitch w:val="default"/>
    <w:sig w:usb0="00000003" w:usb1="00000000" w:usb2="00000000" w:usb3="00000000" w:csb0="00000001" w:csb1="00000000"/>
  </w:font>
  <w:font w:name="Interstate-RegularCondMono">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52336"/>
    <w:multiLevelType w:val="hybridMultilevel"/>
    <w:tmpl w:val="11CE8070"/>
    <w:lvl w:ilvl="0" w:tplc="3EC0CC96">
      <w:start w:val="1"/>
      <w:numFmt w:val="bullet"/>
      <w:lvlText w:val=""/>
      <w:lvlJc w:val="left"/>
      <w:pPr>
        <w:ind w:left="720" w:hanging="360"/>
      </w:pPr>
      <w:rPr>
        <w:rFonts w:ascii="Symbol" w:hAnsi="Symbol" w:hint="default"/>
      </w:rPr>
    </w:lvl>
    <w:lvl w:ilvl="1" w:tplc="37F8ADC0" w:tentative="1">
      <w:start w:val="1"/>
      <w:numFmt w:val="bullet"/>
      <w:lvlText w:val="o"/>
      <w:lvlJc w:val="left"/>
      <w:pPr>
        <w:ind w:left="1440" w:hanging="360"/>
      </w:pPr>
      <w:rPr>
        <w:rFonts w:ascii="Courier New" w:hAnsi="Courier New" w:cs="Courier New" w:hint="default"/>
      </w:rPr>
    </w:lvl>
    <w:lvl w:ilvl="2" w:tplc="257C7258" w:tentative="1">
      <w:start w:val="1"/>
      <w:numFmt w:val="bullet"/>
      <w:lvlText w:val=""/>
      <w:lvlJc w:val="left"/>
      <w:pPr>
        <w:ind w:left="2160" w:hanging="360"/>
      </w:pPr>
      <w:rPr>
        <w:rFonts w:ascii="Wingdings" w:hAnsi="Wingdings" w:hint="default"/>
      </w:rPr>
    </w:lvl>
    <w:lvl w:ilvl="3" w:tplc="F8080610" w:tentative="1">
      <w:start w:val="1"/>
      <w:numFmt w:val="bullet"/>
      <w:lvlText w:val=""/>
      <w:lvlJc w:val="left"/>
      <w:pPr>
        <w:ind w:left="2880" w:hanging="360"/>
      </w:pPr>
      <w:rPr>
        <w:rFonts w:ascii="Symbol" w:hAnsi="Symbol" w:hint="default"/>
      </w:rPr>
    </w:lvl>
    <w:lvl w:ilvl="4" w:tplc="CC1CDB88" w:tentative="1">
      <w:start w:val="1"/>
      <w:numFmt w:val="bullet"/>
      <w:lvlText w:val="o"/>
      <w:lvlJc w:val="left"/>
      <w:pPr>
        <w:ind w:left="3600" w:hanging="360"/>
      </w:pPr>
      <w:rPr>
        <w:rFonts w:ascii="Courier New" w:hAnsi="Courier New" w:cs="Courier New" w:hint="default"/>
      </w:rPr>
    </w:lvl>
    <w:lvl w:ilvl="5" w:tplc="7E5C2254" w:tentative="1">
      <w:start w:val="1"/>
      <w:numFmt w:val="bullet"/>
      <w:lvlText w:val=""/>
      <w:lvlJc w:val="left"/>
      <w:pPr>
        <w:ind w:left="4320" w:hanging="360"/>
      </w:pPr>
      <w:rPr>
        <w:rFonts w:ascii="Wingdings" w:hAnsi="Wingdings" w:hint="default"/>
      </w:rPr>
    </w:lvl>
    <w:lvl w:ilvl="6" w:tplc="53541AA4" w:tentative="1">
      <w:start w:val="1"/>
      <w:numFmt w:val="bullet"/>
      <w:lvlText w:val=""/>
      <w:lvlJc w:val="left"/>
      <w:pPr>
        <w:ind w:left="5040" w:hanging="360"/>
      </w:pPr>
      <w:rPr>
        <w:rFonts w:ascii="Symbol" w:hAnsi="Symbol" w:hint="default"/>
      </w:rPr>
    </w:lvl>
    <w:lvl w:ilvl="7" w:tplc="612C650E" w:tentative="1">
      <w:start w:val="1"/>
      <w:numFmt w:val="bullet"/>
      <w:lvlText w:val="o"/>
      <w:lvlJc w:val="left"/>
      <w:pPr>
        <w:ind w:left="5760" w:hanging="360"/>
      </w:pPr>
      <w:rPr>
        <w:rFonts w:ascii="Courier New" w:hAnsi="Courier New" w:cs="Courier New" w:hint="default"/>
      </w:rPr>
    </w:lvl>
    <w:lvl w:ilvl="8" w:tplc="462ED3B4" w:tentative="1">
      <w:start w:val="1"/>
      <w:numFmt w:val="bullet"/>
      <w:lvlText w:val=""/>
      <w:lvlJc w:val="left"/>
      <w:pPr>
        <w:ind w:left="6480" w:hanging="360"/>
      </w:pPr>
      <w:rPr>
        <w:rFonts w:ascii="Wingdings" w:hAnsi="Wingdings" w:hint="default"/>
      </w:rPr>
    </w:lvl>
  </w:abstractNum>
  <w:abstractNum w:abstractNumId="1" w15:restartNumberingAfterBreak="0">
    <w:nsid w:val="15C30478"/>
    <w:multiLevelType w:val="hybridMultilevel"/>
    <w:tmpl w:val="4B8CC61A"/>
    <w:lvl w:ilvl="0" w:tplc="535C575E">
      <w:start w:val="1"/>
      <w:numFmt w:val="bullet"/>
      <w:lvlText w:val=""/>
      <w:lvlJc w:val="left"/>
      <w:pPr>
        <w:ind w:left="720" w:hanging="360"/>
      </w:pPr>
      <w:rPr>
        <w:rFonts w:ascii="Symbol" w:hAnsi="Symbol" w:hint="default"/>
      </w:rPr>
    </w:lvl>
    <w:lvl w:ilvl="1" w:tplc="3F368DA6">
      <w:start w:val="1"/>
      <w:numFmt w:val="bullet"/>
      <w:lvlText w:val="o"/>
      <w:lvlJc w:val="left"/>
      <w:pPr>
        <w:ind w:left="1440" w:hanging="360"/>
      </w:pPr>
      <w:rPr>
        <w:rFonts w:ascii="Courier New" w:hAnsi="Courier New" w:hint="default"/>
      </w:rPr>
    </w:lvl>
    <w:lvl w:ilvl="2" w:tplc="8280EB3E">
      <w:start w:val="1"/>
      <w:numFmt w:val="bullet"/>
      <w:lvlText w:val=""/>
      <w:lvlJc w:val="left"/>
      <w:pPr>
        <w:ind w:left="2160" w:hanging="360"/>
      </w:pPr>
      <w:rPr>
        <w:rFonts w:ascii="Wingdings" w:hAnsi="Wingdings" w:hint="default"/>
      </w:rPr>
    </w:lvl>
    <w:lvl w:ilvl="3" w:tplc="6636878A">
      <w:start w:val="1"/>
      <w:numFmt w:val="bullet"/>
      <w:lvlText w:val=""/>
      <w:lvlJc w:val="left"/>
      <w:pPr>
        <w:ind w:left="2880" w:hanging="360"/>
      </w:pPr>
      <w:rPr>
        <w:rFonts w:ascii="Symbol" w:hAnsi="Symbol" w:hint="default"/>
      </w:rPr>
    </w:lvl>
    <w:lvl w:ilvl="4" w:tplc="17FEF4DA">
      <w:start w:val="1"/>
      <w:numFmt w:val="bullet"/>
      <w:lvlText w:val="o"/>
      <w:lvlJc w:val="left"/>
      <w:pPr>
        <w:ind w:left="3600" w:hanging="360"/>
      </w:pPr>
      <w:rPr>
        <w:rFonts w:ascii="Courier New" w:hAnsi="Courier New" w:hint="default"/>
      </w:rPr>
    </w:lvl>
    <w:lvl w:ilvl="5" w:tplc="EC46D236">
      <w:start w:val="1"/>
      <w:numFmt w:val="bullet"/>
      <w:lvlText w:val=""/>
      <w:lvlJc w:val="left"/>
      <w:pPr>
        <w:ind w:left="4320" w:hanging="360"/>
      </w:pPr>
      <w:rPr>
        <w:rFonts w:ascii="Wingdings" w:hAnsi="Wingdings" w:hint="default"/>
      </w:rPr>
    </w:lvl>
    <w:lvl w:ilvl="6" w:tplc="DE945474">
      <w:start w:val="1"/>
      <w:numFmt w:val="bullet"/>
      <w:lvlText w:val=""/>
      <w:lvlJc w:val="left"/>
      <w:pPr>
        <w:ind w:left="5040" w:hanging="360"/>
      </w:pPr>
      <w:rPr>
        <w:rFonts w:ascii="Symbol" w:hAnsi="Symbol" w:hint="default"/>
      </w:rPr>
    </w:lvl>
    <w:lvl w:ilvl="7" w:tplc="4EAEC7B2">
      <w:start w:val="1"/>
      <w:numFmt w:val="bullet"/>
      <w:lvlText w:val="o"/>
      <w:lvlJc w:val="left"/>
      <w:pPr>
        <w:ind w:left="5760" w:hanging="360"/>
      </w:pPr>
      <w:rPr>
        <w:rFonts w:ascii="Courier New" w:hAnsi="Courier New" w:hint="default"/>
      </w:rPr>
    </w:lvl>
    <w:lvl w:ilvl="8" w:tplc="AE884DBA">
      <w:start w:val="1"/>
      <w:numFmt w:val="bullet"/>
      <w:lvlText w:val=""/>
      <w:lvlJc w:val="left"/>
      <w:pPr>
        <w:ind w:left="6480" w:hanging="360"/>
      </w:pPr>
      <w:rPr>
        <w:rFonts w:ascii="Wingdings" w:hAnsi="Wingdings" w:hint="default"/>
      </w:rPr>
    </w:lvl>
  </w:abstractNum>
  <w:num w:numId="1" w16cid:durableId="1664308331">
    <w:abstractNumId w:val="1"/>
  </w:num>
  <w:num w:numId="2" w16cid:durableId="131761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4018C"/>
    <w:rsid w:val="0002035C"/>
    <w:rsid w:val="00041E18"/>
    <w:rsid w:val="000636BC"/>
    <w:rsid w:val="00071CC2"/>
    <w:rsid w:val="000726BC"/>
    <w:rsid w:val="000A497C"/>
    <w:rsid w:val="000B5382"/>
    <w:rsid w:val="000C1E2F"/>
    <w:rsid w:val="000F4B58"/>
    <w:rsid w:val="00102460"/>
    <w:rsid w:val="00104DE9"/>
    <w:rsid w:val="001352EB"/>
    <w:rsid w:val="00137F33"/>
    <w:rsid w:val="0014158E"/>
    <w:rsid w:val="0014422D"/>
    <w:rsid w:val="0015346B"/>
    <w:rsid w:val="001705E7"/>
    <w:rsid w:val="00193C50"/>
    <w:rsid w:val="001A233B"/>
    <w:rsid w:val="00200897"/>
    <w:rsid w:val="002011E5"/>
    <w:rsid w:val="002150CF"/>
    <w:rsid w:val="002406A4"/>
    <w:rsid w:val="00270C7C"/>
    <w:rsid w:val="00293083"/>
    <w:rsid w:val="002954AD"/>
    <w:rsid w:val="002A790E"/>
    <w:rsid w:val="002D1AF2"/>
    <w:rsid w:val="002E44AC"/>
    <w:rsid w:val="002F4A5E"/>
    <w:rsid w:val="002F5BAD"/>
    <w:rsid w:val="00300D72"/>
    <w:rsid w:val="003021B0"/>
    <w:rsid w:val="00317324"/>
    <w:rsid w:val="003326E4"/>
    <w:rsid w:val="00336899"/>
    <w:rsid w:val="003474EE"/>
    <w:rsid w:val="00365EB4"/>
    <w:rsid w:val="003844D4"/>
    <w:rsid w:val="003A62B2"/>
    <w:rsid w:val="003B2841"/>
    <w:rsid w:val="003B593F"/>
    <w:rsid w:val="003C1661"/>
    <w:rsid w:val="003D391E"/>
    <w:rsid w:val="003F488E"/>
    <w:rsid w:val="00407956"/>
    <w:rsid w:val="004128D1"/>
    <w:rsid w:val="00416F7D"/>
    <w:rsid w:val="00423522"/>
    <w:rsid w:val="004275E6"/>
    <w:rsid w:val="00433BEA"/>
    <w:rsid w:val="00455487"/>
    <w:rsid w:val="004669DE"/>
    <w:rsid w:val="00473411"/>
    <w:rsid w:val="004746F5"/>
    <w:rsid w:val="00485BD2"/>
    <w:rsid w:val="004927D7"/>
    <w:rsid w:val="004A0AD2"/>
    <w:rsid w:val="004B5ABB"/>
    <w:rsid w:val="004C2920"/>
    <w:rsid w:val="004F166B"/>
    <w:rsid w:val="00501013"/>
    <w:rsid w:val="00512BDC"/>
    <w:rsid w:val="005251B4"/>
    <w:rsid w:val="00525AA6"/>
    <w:rsid w:val="00542369"/>
    <w:rsid w:val="005541B5"/>
    <w:rsid w:val="00561B40"/>
    <w:rsid w:val="00574BE1"/>
    <w:rsid w:val="00581E63"/>
    <w:rsid w:val="00591649"/>
    <w:rsid w:val="005A5541"/>
    <w:rsid w:val="005C4460"/>
    <w:rsid w:val="005D602D"/>
    <w:rsid w:val="005E54A1"/>
    <w:rsid w:val="00600BBA"/>
    <w:rsid w:val="00614046"/>
    <w:rsid w:val="006411CF"/>
    <w:rsid w:val="0064357C"/>
    <w:rsid w:val="00662031"/>
    <w:rsid w:val="00696A2D"/>
    <w:rsid w:val="006C79B5"/>
    <w:rsid w:val="006C7C57"/>
    <w:rsid w:val="006F2EA4"/>
    <w:rsid w:val="00703078"/>
    <w:rsid w:val="00703647"/>
    <w:rsid w:val="00706078"/>
    <w:rsid w:val="00714812"/>
    <w:rsid w:val="00743897"/>
    <w:rsid w:val="00746F67"/>
    <w:rsid w:val="007506B4"/>
    <w:rsid w:val="007627EA"/>
    <w:rsid w:val="00767786"/>
    <w:rsid w:val="0078779D"/>
    <w:rsid w:val="00795B77"/>
    <w:rsid w:val="007D3B37"/>
    <w:rsid w:val="007F3F12"/>
    <w:rsid w:val="00826879"/>
    <w:rsid w:val="00827C0C"/>
    <w:rsid w:val="008656A5"/>
    <w:rsid w:val="008723B9"/>
    <w:rsid w:val="00876793"/>
    <w:rsid w:val="008916CE"/>
    <w:rsid w:val="00893BC8"/>
    <w:rsid w:val="0089435C"/>
    <w:rsid w:val="008AFE75"/>
    <w:rsid w:val="008B4719"/>
    <w:rsid w:val="008D220B"/>
    <w:rsid w:val="008E2202"/>
    <w:rsid w:val="008E363A"/>
    <w:rsid w:val="00904CC1"/>
    <w:rsid w:val="00907D42"/>
    <w:rsid w:val="0092704A"/>
    <w:rsid w:val="0093430A"/>
    <w:rsid w:val="00960FB8"/>
    <w:rsid w:val="009723BF"/>
    <w:rsid w:val="00974F68"/>
    <w:rsid w:val="00977E32"/>
    <w:rsid w:val="009954A1"/>
    <w:rsid w:val="009A323C"/>
    <w:rsid w:val="009D42FC"/>
    <w:rsid w:val="009D5669"/>
    <w:rsid w:val="009D6BC4"/>
    <w:rsid w:val="009E15AB"/>
    <w:rsid w:val="009E628E"/>
    <w:rsid w:val="009F3BF0"/>
    <w:rsid w:val="00A06171"/>
    <w:rsid w:val="00A14B67"/>
    <w:rsid w:val="00A270DB"/>
    <w:rsid w:val="00A47FE0"/>
    <w:rsid w:val="00A52C65"/>
    <w:rsid w:val="00A80F35"/>
    <w:rsid w:val="00AA380E"/>
    <w:rsid w:val="00AA4F93"/>
    <w:rsid w:val="00AA7B01"/>
    <w:rsid w:val="00AB2549"/>
    <w:rsid w:val="00AB5240"/>
    <w:rsid w:val="00AD015B"/>
    <w:rsid w:val="00AF291D"/>
    <w:rsid w:val="00B14BC0"/>
    <w:rsid w:val="00B306F6"/>
    <w:rsid w:val="00B33D94"/>
    <w:rsid w:val="00B37266"/>
    <w:rsid w:val="00B4350F"/>
    <w:rsid w:val="00B4637B"/>
    <w:rsid w:val="00B50CD3"/>
    <w:rsid w:val="00BA0E3D"/>
    <w:rsid w:val="00BA4F29"/>
    <w:rsid w:val="00BB3CA8"/>
    <w:rsid w:val="00BC4501"/>
    <w:rsid w:val="00BC4D52"/>
    <w:rsid w:val="00BD59D5"/>
    <w:rsid w:val="00BE25BE"/>
    <w:rsid w:val="00BF3F3D"/>
    <w:rsid w:val="00BF6DBA"/>
    <w:rsid w:val="00C36371"/>
    <w:rsid w:val="00C41E1E"/>
    <w:rsid w:val="00C76956"/>
    <w:rsid w:val="00C87338"/>
    <w:rsid w:val="00C900FD"/>
    <w:rsid w:val="00C94633"/>
    <w:rsid w:val="00CA248A"/>
    <w:rsid w:val="00CA4FEF"/>
    <w:rsid w:val="00CC3B99"/>
    <w:rsid w:val="00CC64FF"/>
    <w:rsid w:val="00D0287B"/>
    <w:rsid w:val="00D1077A"/>
    <w:rsid w:val="00D248E7"/>
    <w:rsid w:val="00D277A4"/>
    <w:rsid w:val="00D303D4"/>
    <w:rsid w:val="00D43033"/>
    <w:rsid w:val="00D62CA4"/>
    <w:rsid w:val="00D70DA4"/>
    <w:rsid w:val="00D72336"/>
    <w:rsid w:val="00D837C5"/>
    <w:rsid w:val="00D91268"/>
    <w:rsid w:val="00DC5D17"/>
    <w:rsid w:val="00DC737B"/>
    <w:rsid w:val="00DE4FCB"/>
    <w:rsid w:val="00E03C63"/>
    <w:rsid w:val="00E10F65"/>
    <w:rsid w:val="00E17130"/>
    <w:rsid w:val="00E44542"/>
    <w:rsid w:val="00E475A9"/>
    <w:rsid w:val="00E52809"/>
    <w:rsid w:val="00E6089A"/>
    <w:rsid w:val="00E608EE"/>
    <w:rsid w:val="00E74011"/>
    <w:rsid w:val="00EB0861"/>
    <w:rsid w:val="00EC3E4A"/>
    <w:rsid w:val="00F1343C"/>
    <w:rsid w:val="00F23E66"/>
    <w:rsid w:val="00F42DF5"/>
    <w:rsid w:val="00F6534C"/>
    <w:rsid w:val="00F72708"/>
    <w:rsid w:val="00FB2763"/>
    <w:rsid w:val="00FB6775"/>
    <w:rsid w:val="00FC4B4B"/>
    <w:rsid w:val="00FE711C"/>
    <w:rsid w:val="00FF06B3"/>
    <w:rsid w:val="00FF3391"/>
    <w:rsid w:val="01A3B0A1"/>
    <w:rsid w:val="02240415"/>
    <w:rsid w:val="033A56A5"/>
    <w:rsid w:val="04258FDE"/>
    <w:rsid w:val="0460819A"/>
    <w:rsid w:val="049E1B7A"/>
    <w:rsid w:val="04BB41CF"/>
    <w:rsid w:val="04BD2DC6"/>
    <w:rsid w:val="0544D7A3"/>
    <w:rsid w:val="05BB9313"/>
    <w:rsid w:val="0667D6F1"/>
    <w:rsid w:val="06923BE4"/>
    <w:rsid w:val="06E5E88C"/>
    <w:rsid w:val="080E189C"/>
    <w:rsid w:val="098C22E3"/>
    <w:rsid w:val="09AAA287"/>
    <w:rsid w:val="09C6701F"/>
    <w:rsid w:val="09CF6C4C"/>
    <w:rsid w:val="0A1EF1BA"/>
    <w:rsid w:val="0AC9F0F7"/>
    <w:rsid w:val="0BE48420"/>
    <w:rsid w:val="0C0E8046"/>
    <w:rsid w:val="0C6EBB1B"/>
    <w:rsid w:val="0C7E9234"/>
    <w:rsid w:val="0CD15D85"/>
    <w:rsid w:val="0D0A6C6D"/>
    <w:rsid w:val="0D0CD438"/>
    <w:rsid w:val="0D34A6D6"/>
    <w:rsid w:val="0D3715FA"/>
    <w:rsid w:val="0DC20190"/>
    <w:rsid w:val="0DC8C6A9"/>
    <w:rsid w:val="0F3400A8"/>
    <w:rsid w:val="0F9AAACD"/>
    <w:rsid w:val="108282C5"/>
    <w:rsid w:val="110CC04A"/>
    <w:rsid w:val="1157FE87"/>
    <w:rsid w:val="11FEA313"/>
    <w:rsid w:val="1220837D"/>
    <w:rsid w:val="122CDE4F"/>
    <w:rsid w:val="125F5DC9"/>
    <w:rsid w:val="12753F9D"/>
    <w:rsid w:val="12A772E1"/>
    <w:rsid w:val="132FE97A"/>
    <w:rsid w:val="1350F123"/>
    <w:rsid w:val="137396A3"/>
    <w:rsid w:val="13C5F43A"/>
    <w:rsid w:val="146715F5"/>
    <w:rsid w:val="14719E30"/>
    <w:rsid w:val="1500AD82"/>
    <w:rsid w:val="15A5C776"/>
    <w:rsid w:val="15BD6FE9"/>
    <w:rsid w:val="16FF98CD"/>
    <w:rsid w:val="17DB79B7"/>
    <w:rsid w:val="17E64436"/>
    <w:rsid w:val="186661D9"/>
    <w:rsid w:val="1874749D"/>
    <w:rsid w:val="1985876A"/>
    <w:rsid w:val="1A471BD7"/>
    <w:rsid w:val="1A788503"/>
    <w:rsid w:val="1B71A055"/>
    <w:rsid w:val="1DA2379B"/>
    <w:rsid w:val="1F184B80"/>
    <w:rsid w:val="1F480775"/>
    <w:rsid w:val="204313A6"/>
    <w:rsid w:val="204D34B0"/>
    <w:rsid w:val="20A5DD7F"/>
    <w:rsid w:val="20BBCE9F"/>
    <w:rsid w:val="2155C606"/>
    <w:rsid w:val="216AD76A"/>
    <w:rsid w:val="22028209"/>
    <w:rsid w:val="22F2EE51"/>
    <w:rsid w:val="23615921"/>
    <w:rsid w:val="23AB83A3"/>
    <w:rsid w:val="23F75264"/>
    <w:rsid w:val="242C1A71"/>
    <w:rsid w:val="248A2092"/>
    <w:rsid w:val="24C432AA"/>
    <w:rsid w:val="2586D8FC"/>
    <w:rsid w:val="25EBD56D"/>
    <w:rsid w:val="26BB11EB"/>
    <w:rsid w:val="27452761"/>
    <w:rsid w:val="27658C8D"/>
    <w:rsid w:val="2799A473"/>
    <w:rsid w:val="280FBFF5"/>
    <w:rsid w:val="28617264"/>
    <w:rsid w:val="2866DB1A"/>
    <w:rsid w:val="296A30A5"/>
    <w:rsid w:val="2A047267"/>
    <w:rsid w:val="2A293B48"/>
    <w:rsid w:val="2A75F4DB"/>
    <w:rsid w:val="2AFC796B"/>
    <w:rsid w:val="2BAFBBA6"/>
    <w:rsid w:val="2C495338"/>
    <w:rsid w:val="2C9C81B2"/>
    <w:rsid w:val="2CB045C7"/>
    <w:rsid w:val="2CE89210"/>
    <w:rsid w:val="2D2E2A45"/>
    <w:rsid w:val="2DA38BC7"/>
    <w:rsid w:val="2DC9053F"/>
    <w:rsid w:val="2DFE28FC"/>
    <w:rsid w:val="2E16AC03"/>
    <w:rsid w:val="2F6B17A8"/>
    <w:rsid w:val="2FB75138"/>
    <w:rsid w:val="2FBA51E5"/>
    <w:rsid w:val="307C4AF2"/>
    <w:rsid w:val="3080B62E"/>
    <w:rsid w:val="30B07131"/>
    <w:rsid w:val="3177D5A5"/>
    <w:rsid w:val="3197E3EF"/>
    <w:rsid w:val="319E20AB"/>
    <w:rsid w:val="321558FF"/>
    <w:rsid w:val="322CE1B2"/>
    <w:rsid w:val="32D9438A"/>
    <w:rsid w:val="330221DF"/>
    <w:rsid w:val="331E6A66"/>
    <w:rsid w:val="333CE6EC"/>
    <w:rsid w:val="33D1D8A6"/>
    <w:rsid w:val="346A12BC"/>
    <w:rsid w:val="34D81FC4"/>
    <w:rsid w:val="35A5911B"/>
    <w:rsid w:val="35B9D5AF"/>
    <w:rsid w:val="375D9964"/>
    <w:rsid w:val="37D20B4B"/>
    <w:rsid w:val="37FA4BB1"/>
    <w:rsid w:val="38549ECD"/>
    <w:rsid w:val="38CFA1C3"/>
    <w:rsid w:val="39226DA1"/>
    <w:rsid w:val="3929C9D0"/>
    <w:rsid w:val="39B6B629"/>
    <w:rsid w:val="3A151B7E"/>
    <w:rsid w:val="3A1537EF"/>
    <w:rsid w:val="3B4F501B"/>
    <w:rsid w:val="3C053A97"/>
    <w:rsid w:val="3C1B3435"/>
    <w:rsid w:val="3C41737B"/>
    <w:rsid w:val="3C4FFF26"/>
    <w:rsid w:val="3D1B411F"/>
    <w:rsid w:val="3D42C5C4"/>
    <w:rsid w:val="3E4E208B"/>
    <w:rsid w:val="3EA14229"/>
    <w:rsid w:val="3F42A1ED"/>
    <w:rsid w:val="3F5387C7"/>
    <w:rsid w:val="400D6E45"/>
    <w:rsid w:val="402363A1"/>
    <w:rsid w:val="4085C6A4"/>
    <w:rsid w:val="414F2243"/>
    <w:rsid w:val="41D85B3E"/>
    <w:rsid w:val="420A443F"/>
    <w:rsid w:val="4242A7D1"/>
    <w:rsid w:val="428F37B6"/>
    <w:rsid w:val="42A64904"/>
    <w:rsid w:val="4314C5B6"/>
    <w:rsid w:val="43558CDB"/>
    <w:rsid w:val="438FC6DC"/>
    <w:rsid w:val="4394018C"/>
    <w:rsid w:val="44F1C620"/>
    <w:rsid w:val="45274580"/>
    <w:rsid w:val="452C9A2D"/>
    <w:rsid w:val="4557C5D8"/>
    <w:rsid w:val="45D71E04"/>
    <w:rsid w:val="45FAD157"/>
    <w:rsid w:val="46757A21"/>
    <w:rsid w:val="4760C57B"/>
    <w:rsid w:val="4798B7D8"/>
    <w:rsid w:val="47FA8FBC"/>
    <w:rsid w:val="4825769E"/>
    <w:rsid w:val="482E0216"/>
    <w:rsid w:val="48447E93"/>
    <w:rsid w:val="495FFC7B"/>
    <w:rsid w:val="4A26F8EC"/>
    <w:rsid w:val="4A6964D2"/>
    <w:rsid w:val="4C2B2F13"/>
    <w:rsid w:val="4CD4FF1C"/>
    <w:rsid w:val="4E1C284F"/>
    <w:rsid w:val="4E5FCC20"/>
    <w:rsid w:val="4F1B8560"/>
    <w:rsid w:val="509B05DD"/>
    <w:rsid w:val="50B6E2A3"/>
    <w:rsid w:val="50D5D34D"/>
    <w:rsid w:val="510DD929"/>
    <w:rsid w:val="513C0E04"/>
    <w:rsid w:val="5161E5EF"/>
    <w:rsid w:val="51A48996"/>
    <w:rsid w:val="51C4848F"/>
    <w:rsid w:val="51F98276"/>
    <w:rsid w:val="530E7F5E"/>
    <w:rsid w:val="534D6B12"/>
    <w:rsid w:val="53ADA92A"/>
    <w:rsid w:val="53C3241D"/>
    <w:rsid w:val="55CA46DA"/>
    <w:rsid w:val="5669CEE8"/>
    <w:rsid w:val="58DFA3A0"/>
    <w:rsid w:val="596D81FA"/>
    <w:rsid w:val="59B8EEB3"/>
    <w:rsid w:val="59EDC020"/>
    <w:rsid w:val="5A5EA7E8"/>
    <w:rsid w:val="5A7216F7"/>
    <w:rsid w:val="5AE017DA"/>
    <w:rsid w:val="5B2F00A5"/>
    <w:rsid w:val="5C2061AE"/>
    <w:rsid w:val="5C932350"/>
    <w:rsid w:val="5CB58B23"/>
    <w:rsid w:val="5D12EB1A"/>
    <w:rsid w:val="5D496435"/>
    <w:rsid w:val="5D6CD6FD"/>
    <w:rsid w:val="5E184902"/>
    <w:rsid w:val="5E5C790D"/>
    <w:rsid w:val="5FB3F594"/>
    <w:rsid w:val="6063C956"/>
    <w:rsid w:val="60A33D95"/>
    <w:rsid w:val="60F3273A"/>
    <w:rsid w:val="60FFB266"/>
    <w:rsid w:val="6158AEE5"/>
    <w:rsid w:val="61615C25"/>
    <w:rsid w:val="61C341DF"/>
    <w:rsid w:val="622E4D6E"/>
    <w:rsid w:val="63EB3AEE"/>
    <w:rsid w:val="641DF9AE"/>
    <w:rsid w:val="6464FEAD"/>
    <w:rsid w:val="64C69FB8"/>
    <w:rsid w:val="6570E7A1"/>
    <w:rsid w:val="65C4C715"/>
    <w:rsid w:val="65E5EBDC"/>
    <w:rsid w:val="66177531"/>
    <w:rsid w:val="66214A20"/>
    <w:rsid w:val="665163BE"/>
    <w:rsid w:val="66C01FC3"/>
    <w:rsid w:val="67552B2C"/>
    <w:rsid w:val="67B8AE0B"/>
    <w:rsid w:val="689B2D78"/>
    <w:rsid w:val="6979869B"/>
    <w:rsid w:val="69E2592F"/>
    <w:rsid w:val="6A397526"/>
    <w:rsid w:val="6A47F465"/>
    <w:rsid w:val="6BCC0B25"/>
    <w:rsid w:val="6BD589ED"/>
    <w:rsid w:val="6C11DB7D"/>
    <w:rsid w:val="6C9CF8CD"/>
    <w:rsid w:val="6DAEFDBC"/>
    <w:rsid w:val="6E975A60"/>
    <w:rsid w:val="6F17FF9C"/>
    <w:rsid w:val="6F5698BC"/>
    <w:rsid w:val="70BDDAA1"/>
    <w:rsid w:val="70E97218"/>
    <w:rsid w:val="718C7AD5"/>
    <w:rsid w:val="71AD3BB6"/>
    <w:rsid w:val="722B46A7"/>
    <w:rsid w:val="72D3634B"/>
    <w:rsid w:val="72D9D262"/>
    <w:rsid w:val="73738E7D"/>
    <w:rsid w:val="74238B2C"/>
    <w:rsid w:val="758BAECC"/>
    <w:rsid w:val="761279F2"/>
    <w:rsid w:val="7649663E"/>
    <w:rsid w:val="7686B77B"/>
    <w:rsid w:val="769E27F6"/>
    <w:rsid w:val="76EAAE2E"/>
    <w:rsid w:val="7780F6DE"/>
    <w:rsid w:val="77820B78"/>
    <w:rsid w:val="779ED073"/>
    <w:rsid w:val="77B9011C"/>
    <w:rsid w:val="77F120CB"/>
    <w:rsid w:val="78480696"/>
    <w:rsid w:val="78520CDD"/>
    <w:rsid w:val="78911EFD"/>
    <w:rsid w:val="796E191A"/>
    <w:rsid w:val="7981A5C3"/>
    <w:rsid w:val="79BBB7A4"/>
    <w:rsid w:val="79CDD3F8"/>
    <w:rsid w:val="7A860ED4"/>
    <w:rsid w:val="7AFA5DAA"/>
    <w:rsid w:val="7B1D5A40"/>
    <w:rsid w:val="7BBE78D9"/>
    <w:rsid w:val="7C171BEB"/>
    <w:rsid w:val="7CE5B210"/>
    <w:rsid w:val="7CE6D37D"/>
    <w:rsid w:val="7D9B9333"/>
    <w:rsid w:val="7D9F81E8"/>
    <w:rsid w:val="7E97F8D1"/>
    <w:rsid w:val="7F2BC5DF"/>
    <w:rsid w:val="7F9DCFB2"/>
    <w:rsid w:val="7FAE90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E848"/>
  <w15:chartTrackingRefBased/>
  <w15:docId w15:val="{F010A035-FE84-44C7-8CB0-F1395EDCC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C64FF"/>
    <w:rPr>
      <w:sz w:val="16"/>
      <w:szCs w:val="16"/>
    </w:rPr>
  </w:style>
  <w:style w:type="paragraph" w:styleId="CommentText">
    <w:name w:val="annotation text"/>
    <w:basedOn w:val="Normal"/>
    <w:link w:val="CommentTextChar"/>
    <w:uiPriority w:val="99"/>
    <w:unhideWhenUsed/>
    <w:rsid w:val="00CC64FF"/>
    <w:pPr>
      <w:spacing w:line="240" w:lineRule="auto"/>
    </w:pPr>
    <w:rPr>
      <w:sz w:val="20"/>
      <w:szCs w:val="20"/>
    </w:rPr>
  </w:style>
  <w:style w:type="character" w:customStyle="1" w:styleId="CommentTextChar">
    <w:name w:val="Comment Text Char"/>
    <w:basedOn w:val="DefaultParagraphFont"/>
    <w:link w:val="CommentText"/>
    <w:uiPriority w:val="99"/>
    <w:rsid w:val="00CC64FF"/>
    <w:rPr>
      <w:sz w:val="20"/>
      <w:szCs w:val="20"/>
    </w:rPr>
  </w:style>
  <w:style w:type="paragraph" w:styleId="CommentSubject">
    <w:name w:val="annotation subject"/>
    <w:basedOn w:val="CommentText"/>
    <w:next w:val="CommentText"/>
    <w:link w:val="CommentSubjectChar"/>
    <w:uiPriority w:val="99"/>
    <w:semiHidden/>
    <w:unhideWhenUsed/>
    <w:rsid w:val="00CC64FF"/>
    <w:rPr>
      <w:b/>
      <w:bCs/>
    </w:rPr>
  </w:style>
  <w:style w:type="character" w:customStyle="1" w:styleId="CommentSubjectChar">
    <w:name w:val="Comment Subject Char"/>
    <w:basedOn w:val="CommentTextChar"/>
    <w:link w:val="CommentSubject"/>
    <w:uiPriority w:val="99"/>
    <w:semiHidden/>
    <w:rsid w:val="00CC64FF"/>
    <w:rPr>
      <w:b/>
      <w:bCs/>
      <w:sz w:val="20"/>
      <w:szCs w:val="20"/>
    </w:rPr>
  </w:style>
  <w:style w:type="paragraph" w:styleId="BalloonText">
    <w:name w:val="Balloon Text"/>
    <w:basedOn w:val="Normal"/>
    <w:link w:val="BalloonTextChar"/>
    <w:uiPriority w:val="99"/>
    <w:semiHidden/>
    <w:unhideWhenUsed/>
    <w:rsid w:val="00CC64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64FF"/>
    <w:rPr>
      <w:rFonts w:ascii="Times New Roman" w:hAnsi="Times New Roman" w:cs="Times New Roman"/>
      <w:sz w:val="18"/>
      <w:szCs w:val="18"/>
    </w:rPr>
  </w:style>
  <w:style w:type="character" w:customStyle="1" w:styleId="Mencinsinresolver1">
    <w:name w:val="Mención sin resolver1"/>
    <w:basedOn w:val="DefaultParagraphFont"/>
    <w:uiPriority w:val="99"/>
    <w:unhideWhenUsed/>
    <w:rsid w:val="002954AD"/>
    <w:rPr>
      <w:color w:val="605E5C"/>
      <w:shd w:val="clear" w:color="auto" w:fill="E1DFDD"/>
    </w:rPr>
  </w:style>
  <w:style w:type="paragraph" w:customStyle="1" w:styleId="xmsonormal">
    <w:name w:val="x_msonormal"/>
    <w:basedOn w:val="Normal"/>
    <w:rsid w:val="003844D4"/>
    <w:pPr>
      <w:spacing w:after="0" w:line="240" w:lineRule="auto"/>
    </w:pPr>
    <w:rPr>
      <w:rFonts w:ascii="Calibri" w:hAnsi="Calibri" w:cs="Calibri"/>
    </w:rPr>
  </w:style>
  <w:style w:type="paragraph" w:styleId="NormalWeb">
    <w:name w:val="Normal (Web)"/>
    <w:basedOn w:val="Normal"/>
    <w:uiPriority w:val="99"/>
    <w:semiHidden/>
    <w:unhideWhenUsed/>
    <w:rsid w:val="003844D4"/>
    <w:pPr>
      <w:spacing w:after="0" w:line="240" w:lineRule="auto"/>
    </w:pPr>
    <w:rPr>
      <w:rFonts w:ascii="Calibri" w:hAnsi="Calibri" w:cs="Calibri"/>
    </w:rPr>
  </w:style>
  <w:style w:type="paragraph" w:customStyle="1" w:styleId="TableCaption">
    <w:name w:val="Table Caption"/>
    <w:basedOn w:val="Normal"/>
    <w:next w:val="Normal"/>
    <w:uiPriority w:val="99"/>
    <w:rsid w:val="00600BBA"/>
    <w:pPr>
      <w:keepNext/>
      <w:keepLines/>
      <w:spacing w:before="440" w:after="440" w:line="240" w:lineRule="atLeast"/>
      <w:jc w:val="center"/>
    </w:pPr>
    <w:rPr>
      <w:rFonts w:ascii="Arial" w:eastAsia="Times New Roman" w:hAnsi="Arial" w:cs="Arial"/>
      <w:b/>
      <w:bCs/>
      <w:caps/>
      <w:sz w:val="20"/>
      <w:szCs w:val="20"/>
    </w:rPr>
  </w:style>
  <w:style w:type="character" w:customStyle="1" w:styleId="Mencionar1">
    <w:name w:val="Mencionar1"/>
    <w:basedOn w:val="DefaultParagraphFont"/>
    <w:uiPriority w:val="99"/>
    <w:unhideWhenUsed/>
    <w:rsid w:val="00904CC1"/>
    <w:rPr>
      <w:color w:val="2B579A"/>
      <w:shd w:val="clear" w:color="auto" w:fill="E1DFDD"/>
    </w:rPr>
  </w:style>
  <w:style w:type="paragraph" w:styleId="Revision">
    <w:name w:val="Revision"/>
    <w:hidden/>
    <w:uiPriority w:val="99"/>
    <w:semiHidden/>
    <w:rsid w:val="00C87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dvocatesOffice@cpuc.c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dge.com/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AA533EF2C05459889440C0350ED98" ma:contentTypeVersion="4" ma:contentTypeDescription="Create a new document." ma:contentTypeScope="" ma:versionID="88cba28023d7b8efae2e7523230c2fbd">
  <xsd:schema xmlns:xsd="http://www.w3.org/2001/XMLSchema" xmlns:xs="http://www.w3.org/2001/XMLSchema" xmlns:p="http://schemas.microsoft.com/office/2006/metadata/properties" xmlns:ns2="66492d2c-6e0d-411c-8f11-9da78715e500" targetNamespace="http://schemas.microsoft.com/office/2006/metadata/properties" ma:root="true" ma:fieldsID="2caf56e62fa370c9dff8a715e766367c" ns2:_="">
    <xsd:import namespace="66492d2c-6e0d-411c-8f11-9da78715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2d2c-6e0d-411c-8f11-9da78715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205F9D-DD80-473B-B7EA-11AC9C7F61A0}">
  <ds:schemaRefs>
    <ds:schemaRef ds:uri="http://schemas.microsoft.com/sharepoint/v3/contenttype/forms"/>
  </ds:schemaRefs>
</ds:datastoreItem>
</file>

<file path=customXml/itemProps2.xml><?xml version="1.0" encoding="utf-8"?>
<ds:datastoreItem xmlns:ds="http://schemas.openxmlformats.org/officeDocument/2006/customXml" ds:itemID="{14759535-634A-44B6-AA2B-9BA22428C3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91CAF-D98C-46B0-BD2C-E904EE5E1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2d2c-6e0d-411c-8f11-9da78715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1321</Words>
  <Characters>7123</Characters>
  <Application>Microsoft Office Word</Application>
  <DocSecurity>0</DocSecurity>
  <Lines>386</Lines>
  <Paragraphs>207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8299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Palmeira, Monica</dc:creator>
  <cp:keywords/>
  <dc:description/>
  <cp:lastModifiedBy>Rogelio Camacho</cp:lastModifiedBy>
  <cp:revision>3</cp:revision>
  <dcterms:created xsi:type="dcterms:W3CDTF">2022-05-24T04:12:00Z</dcterms:created>
  <dcterms:modified xsi:type="dcterms:W3CDTF">2022-05-24T04:13:00Z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0x010100F6DAA533EF2C05459889440C0350ED98</vt:lpwstr>
  </property>
</Properties>
</file>