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99497" w14:textId="7EEBC680" w:rsidR="0072769E" w:rsidRPr="007771BB" w:rsidRDefault="009510C0" w:rsidP="4273F307">
      <w:pPr>
        <w:pStyle w:val="Header"/>
        <w:jc w:val="center"/>
        <w:rPr>
          <w:b/>
          <w:bCs/>
          <w:lang w:val="es-MX"/>
        </w:rPr>
      </w:pPr>
      <w:bookmarkStart w:id="0" w:name="_Hlk33004944"/>
      <w:r>
        <w:rPr>
          <w:b/>
          <w:bCs/>
          <w:lang w:val="es-ES_tradnl"/>
        </w:rPr>
        <w:t>Éste es un anuncio de que sus tarifas pueden cambiar. Para más detalles en español, llame al 1-800-311-7343</w:t>
      </w:r>
      <w:r w:rsidR="00EB47DE">
        <w:rPr>
          <w:b/>
          <w:bCs/>
          <w:lang w:val="es-ES_tradnl"/>
        </w:rPr>
        <w:t>.</w:t>
      </w:r>
    </w:p>
    <w:bookmarkEnd w:id="0"/>
    <w:p w14:paraId="4F763E05" w14:textId="77777777" w:rsidR="0072769E" w:rsidRPr="00947860" w:rsidRDefault="0072769E" w:rsidP="0072769E">
      <w:pPr>
        <w:pStyle w:val="Table"/>
        <w:rPr>
          <w:lang w:val="es-ES"/>
        </w:rPr>
      </w:pPr>
    </w:p>
    <w:p w14:paraId="6854A014" w14:textId="305A874E" w:rsidR="00D512FD" w:rsidRPr="002F7382" w:rsidRDefault="009510C0" w:rsidP="003001DA">
      <w:pPr>
        <w:pStyle w:val="Table"/>
        <w:jc w:val="center"/>
        <w:rPr>
          <w:lang w:val="es-MX"/>
        </w:rPr>
      </w:pPr>
      <w:r>
        <w:rPr>
          <w:rFonts w:ascii="Times New Roman" w:hAnsi="Times New Roman" w:cs="Times New Roman"/>
          <w:caps/>
          <w:sz w:val="24"/>
          <w:szCs w:val="24"/>
          <w:lang w:val="es-ES_tradnl"/>
        </w:rPr>
        <w:t xml:space="preserve">NOTIFICACIÓN DE </w:t>
      </w:r>
      <w:r w:rsidR="00EB47DE">
        <w:rPr>
          <w:rFonts w:ascii="Times New Roman" w:hAnsi="Times New Roman" w:cs="Times New Roman"/>
          <w:caps/>
          <w:sz w:val="24"/>
          <w:szCs w:val="24"/>
          <w:lang w:val="es-ES_tradnl"/>
        </w:rPr>
        <w:br/>
      </w:r>
      <w:r>
        <w:rPr>
          <w:rFonts w:ascii="Times New Roman" w:hAnsi="Times New Roman" w:cs="Times New Roman"/>
          <w:caps/>
          <w:sz w:val="24"/>
          <w:szCs w:val="24"/>
          <w:lang w:val="es-ES_tradnl"/>
        </w:rPr>
        <w:t xml:space="preserve">SOLICITUD DE SAN DIEGO GAS &amp; ELECTRIC COMPANY </w:t>
      </w:r>
      <w:r w:rsidR="00EB47DE">
        <w:rPr>
          <w:rFonts w:ascii="Times New Roman" w:hAnsi="Times New Roman" w:cs="Times New Roman"/>
          <w:caps/>
          <w:sz w:val="24"/>
          <w:szCs w:val="24"/>
          <w:lang w:val="es-ES_tradnl"/>
        </w:rPr>
        <w:br/>
      </w:r>
      <w:r>
        <w:rPr>
          <w:rFonts w:ascii="Times New Roman" w:hAnsi="Times New Roman" w:cs="Times New Roman"/>
          <w:caps/>
          <w:sz w:val="24"/>
          <w:szCs w:val="24"/>
          <w:lang w:val="es-ES_tradnl"/>
        </w:rPr>
        <w:t xml:space="preserve">PARA </w:t>
      </w:r>
      <w:bookmarkStart w:id="1" w:name="_Hlk33004932"/>
      <w:r>
        <w:rPr>
          <w:rFonts w:ascii="Times New Roman" w:hAnsi="Times New Roman" w:cs="Times New Roman"/>
          <w:caps/>
          <w:sz w:val="24"/>
          <w:szCs w:val="24"/>
          <w:lang w:val="es-ES_tradnl"/>
        </w:rPr>
        <w:t xml:space="preserve">AUMENTAR LAS TARIFAS ELÉCTRICAS </w:t>
      </w:r>
    </w:p>
    <w:bookmarkEnd w:id="1"/>
    <w:p w14:paraId="118DFB5B" w14:textId="15306573" w:rsidR="0072769E" w:rsidRPr="002F7382" w:rsidRDefault="009510C0" w:rsidP="00D512FD">
      <w:pPr>
        <w:pStyle w:val="TableCaption"/>
        <w:keepNext w:val="0"/>
        <w:keepLines w:val="0"/>
        <w:autoSpaceDE w:val="0"/>
        <w:autoSpaceDN w:val="0"/>
        <w:adjustRightInd w:val="0"/>
        <w:spacing w:before="0" w:after="0" w:line="240" w:lineRule="auto"/>
        <w:outlineLvl w:val="0"/>
        <w:rPr>
          <w:rFonts w:ascii="Times New Roman" w:hAnsi="Times New Roman" w:cs="Times New Roman"/>
          <w:caps w:val="0"/>
          <w:sz w:val="24"/>
          <w:szCs w:val="24"/>
          <w:lang w:val="es-MX"/>
        </w:rPr>
      </w:pPr>
      <w:r>
        <w:rPr>
          <w:rFonts w:ascii="Times New Roman" w:hAnsi="Times New Roman" w:cs="Times New Roman"/>
          <w:sz w:val="24"/>
          <w:szCs w:val="24"/>
          <w:lang w:val="es-ES_tradnl"/>
        </w:rPr>
        <w:t>NÚM. A.20-12-</w:t>
      </w:r>
      <w:r>
        <w:rPr>
          <w:rFonts w:eastAsia="Arial"/>
          <w:lang w:val="es-ES_tradnl"/>
        </w:rPr>
        <w:t>007</w:t>
      </w:r>
    </w:p>
    <w:p w14:paraId="0EF08E9B" w14:textId="77777777" w:rsidR="00041241" w:rsidRPr="002F7382" w:rsidRDefault="00041241" w:rsidP="0072769E">
      <w:pPr>
        <w:pStyle w:val="Table"/>
        <w:jc w:val="both"/>
        <w:rPr>
          <w:rFonts w:ascii="Times New Roman" w:hAnsi="Times New Roman" w:cs="Times New Roman"/>
          <w:lang w:val="es-MX"/>
        </w:rPr>
      </w:pPr>
    </w:p>
    <w:p w14:paraId="73AA5FAF" w14:textId="4EC81771" w:rsidR="00091523" w:rsidRPr="00A25F39" w:rsidRDefault="009510C0" w:rsidP="00091523">
      <w:pPr>
        <w:pStyle w:val="BodyText"/>
        <w:jc w:val="center"/>
      </w:pPr>
      <w:r>
        <w:rPr>
          <w:b/>
          <w:bCs/>
          <w:lang w:val="es-ES_tradnl"/>
        </w:rPr>
        <w:t>¿POR QUÉ ESTOY RECIBIENDO ESTE AVISO?</w:t>
      </w:r>
    </w:p>
    <w:p w14:paraId="3D9B7ACB" w14:textId="7DAD9CD1" w:rsidR="003C0D81" w:rsidRPr="002F7382" w:rsidRDefault="009510C0" w:rsidP="00A4139E">
      <w:pPr>
        <w:autoSpaceDE w:val="0"/>
        <w:autoSpaceDN w:val="0"/>
        <w:adjustRightInd w:val="0"/>
        <w:rPr>
          <w:lang w:val="es-MX"/>
        </w:rPr>
      </w:pPr>
      <w:r>
        <w:rPr>
          <w:lang w:val="es-ES_tradnl"/>
        </w:rPr>
        <w:t>El 11 de diciembre de 2020, San Diego Gas &amp; Electric Company (SDG&amp;E</w:t>
      </w:r>
      <w:r>
        <w:rPr>
          <w:vertAlign w:val="superscript"/>
          <w:lang w:val="es-ES_tradnl"/>
        </w:rPr>
        <w:t>®</w:t>
      </w:r>
      <w:r>
        <w:rPr>
          <w:lang w:val="es-ES_tradnl"/>
        </w:rPr>
        <w:t xml:space="preserve">) presentó ante la Comisión de Servicios Públicos de California (CPUC) la Solicitud para activar </w:t>
      </w:r>
      <w:r w:rsidR="00EB47DE">
        <w:rPr>
          <w:lang w:val="es-ES_tradnl"/>
        </w:rPr>
        <w:t xml:space="preserve">en forma acelerada </w:t>
      </w:r>
      <w:r>
        <w:rPr>
          <w:lang w:val="es-ES_tradnl"/>
        </w:rPr>
        <w:t>la Cuenta de Recuperación de los Recursos Energéticos (ERRA)</w:t>
      </w:r>
      <w:r w:rsidR="00EB47DE">
        <w:rPr>
          <w:lang w:val="es-ES_tradnl"/>
        </w:rPr>
        <w:t>,</w:t>
      </w:r>
      <w:r>
        <w:rPr>
          <w:lang w:val="es-ES_tradnl"/>
        </w:rPr>
        <w:t xml:space="preserve"> con el objeto de obtener la aprobación para </w:t>
      </w:r>
      <w:r>
        <w:rPr>
          <w:b/>
          <w:bCs/>
          <w:lang w:val="es-ES_tradnl"/>
        </w:rPr>
        <w:t>aumentar las tarifas eléctricas.</w:t>
      </w:r>
      <w:r>
        <w:rPr>
          <w:lang w:val="es-ES_tradnl"/>
        </w:rPr>
        <w:t xml:space="preserve"> </w:t>
      </w:r>
    </w:p>
    <w:p w14:paraId="10C29737" w14:textId="77777777" w:rsidR="000B5E7F" w:rsidRPr="002F7382" w:rsidRDefault="000B5E7F" w:rsidP="003C0D81">
      <w:pPr>
        <w:autoSpaceDE w:val="0"/>
        <w:autoSpaceDN w:val="0"/>
        <w:adjustRightInd w:val="0"/>
        <w:rPr>
          <w:lang w:val="es-MX"/>
        </w:rPr>
      </w:pPr>
    </w:p>
    <w:p w14:paraId="142FC7D0" w14:textId="0865F01F" w:rsidR="00143E6E" w:rsidRPr="002F7382" w:rsidRDefault="009510C0" w:rsidP="003C0D81">
      <w:pPr>
        <w:autoSpaceDE w:val="0"/>
        <w:autoSpaceDN w:val="0"/>
        <w:adjustRightInd w:val="0"/>
        <w:rPr>
          <w:b/>
          <w:bCs/>
          <w:lang w:val="es-MX"/>
        </w:rPr>
      </w:pPr>
      <w:r>
        <w:rPr>
          <w:lang w:val="es-ES_tradnl"/>
        </w:rPr>
        <w:t>Las nuevas tarifas comenzarán el 1 de marzo de 2021, por un periodo de diez meses</w:t>
      </w:r>
      <w:r w:rsidR="00EB47DE">
        <w:rPr>
          <w:lang w:val="es-ES_tradnl"/>
        </w:rPr>
        <w:t>,</w:t>
      </w:r>
      <w:r>
        <w:rPr>
          <w:lang w:val="es-ES_tradnl"/>
        </w:rPr>
        <w:t xml:space="preserve"> que concluirá el 31 de diciembre de 2021.</w:t>
      </w:r>
    </w:p>
    <w:p w14:paraId="08113E33" w14:textId="77777777" w:rsidR="0072769E" w:rsidRPr="002F7382" w:rsidRDefault="0072769E" w:rsidP="0072769E">
      <w:pPr>
        <w:keepNext/>
        <w:keepLines/>
        <w:rPr>
          <w:lang w:val="es-MX"/>
        </w:rPr>
      </w:pPr>
    </w:p>
    <w:p w14:paraId="188BD085" w14:textId="49B981D8" w:rsidR="00890C75" w:rsidRPr="00A25F39" w:rsidRDefault="009510C0" w:rsidP="003001DA">
      <w:pPr>
        <w:pStyle w:val="BodyText"/>
        <w:jc w:val="center"/>
      </w:pPr>
      <w:bookmarkStart w:id="2" w:name="_DV_M51"/>
      <w:bookmarkEnd w:id="2"/>
      <w:r>
        <w:rPr>
          <w:b/>
          <w:bCs/>
          <w:lang w:val="es-ES_tradnl"/>
        </w:rPr>
        <w:t xml:space="preserve">¿CÓMO AFECTARÁ ESTO LAS FACTURAS ELÉCTRICAS DE LOS CLIENTES </w:t>
      </w:r>
      <w:r w:rsidR="00EB47DE">
        <w:rPr>
          <w:b/>
          <w:bCs/>
          <w:lang w:val="es-ES_tradnl"/>
        </w:rPr>
        <w:br/>
      </w:r>
      <w:r>
        <w:rPr>
          <w:b/>
          <w:bCs/>
          <w:lang w:val="es-ES_tradnl"/>
        </w:rPr>
        <w:t>CON SERVICIOS EN PAQUETE?</w:t>
      </w:r>
    </w:p>
    <w:p w14:paraId="0AA67A46" w14:textId="668FC65D" w:rsidR="004D51D2" w:rsidRPr="002F7382" w:rsidRDefault="009510C0" w:rsidP="001266B2">
      <w:pPr>
        <w:pStyle w:val="BodyText"/>
        <w:jc w:val="both"/>
        <w:rPr>
          <w:lang w:val="es-MX"/>
        </w:rPr>
      </w:pPr>
      <w:r>
        <w:rPr>
          <w:lang w:val="es-ES_tradnl"/>
        </w:rPr>
        <w:t xml:space="preserve">La mayoría de los clientes reciben servicio eléctrico en paquete de SDG&amp;E, lo que significa que reciben servicios de generación y distribución de electricidad. Un resumen del impacto en las tarifas para estos clientes se proporciona en la tabla que aparece en la parte inferior. </w:t>
      </w:r>
    </w:p>
    <w:p w14:paraId="46CB3550" w14:textId="365B77B7" w:rsidR="00222A3E" w:rsidRPr="002F7382" w:rsidRDefault="009510C0" w:rsidP="001266B2">
      <w:pPr>
        <w:pStyle w:val="BodyText"/>
        <w:jc w:val="both"/>
        <w:rPr>
          <w:lang w:val="es-MX"/>
        </w:rPr>
      </w:pPr>
      <w:r>
        <w:rPr>
          <w:lang w:val="es-ES_tradnl"/>
        </w:rPr>
        <w:t xml:space="preserve">Si la CPUC aprueba la petición de SDG&amp;E, un cliente residencial con servicios en paquete que viva en la zona climática del interior y consuma 400 kilovatios-hora (kWh) al mes podría ver un </w:t>
      </w:r>
      <w:r>
        <w:rPr>
          <w:b/>
          <w:bCs/>
          <w:lang w:val="es-ES_tradnl"/>
        </w:rPr>
        <w:t>aumento</w:t>
      </w:r>
      <w:r>
        <w:rPr>
          <w:lang w:val="es-ES_tradnl"/>
        </w:rPr>
        <w:t xml:space="preserve"> en la factura mensual de invierno de $3.66, o 3.3%, de $112.36 a $116.02. Un cliente residencial típico con servicios en paquete que viva en la zona climática del interior y consuma 400 kWh al mes podría ver un </w:t>
      </w:r>
      <w:r>
        <w:rPr>
          <w:b/>
          <w:bCs/>
          <w:lang w:val="es-ES_tradnl"/>
        </w:rPr>
        <w:t>aumento</w:t>
      </w:r>
      <w:r>
        <w:rPr>
          <w:lang w:val="es-ES_tradnl"/>
        </w:rPr>
        <w:t xml:space="preserve"> en la factura mensual de verano de $3.72, o 3.3%, de $111.71 a $115.43. Las facturas de los clientes individuales pueden variar dependiendo del consumo de energía.  </w:t>
      </w:r>
    </w:p>
    <w:tbl>
      <w:tblPr>
        <w:tblW w:w="11110" w:type="dxa"/>
        <w:jc w:val="center"/>
        <w:tblLook w:val="0000" w:firstRow="0" w:lastRow="0" w:firstColumn="0" w:lastColumn="0" w:noHBand="0" w:noVBand="0"/>
      </w:tblPr>
      <w:tblGrid>
        <w:gridCol w:w="108"/>
        <w:gridCol w:w="2610"/>
        <w:gridCol w:w="270"/>
        <w:gridCol w:w="1890"/>
        <w:gridCol w:w="270"/>
        <w:gridCol w:w="2070"/>
        <w:gridCol w:w="270"/>
        <w:gridCol w:w="1350"/>
        <w:gridCol w:w="270"/>
        <w:gridCol w:w="1332"/>
        <w:gridCol w:w="670"/>
      </w:tblGrid>
      <w:tr w:rsidR="00EA0C0B" w:rsidRPr="00EB47DE" w14:paraId="205F8619" w14:textId="77777777" w:rsidTr="00EE5A50">
        <w:trPr>
          <w:gridAfter w:val="1"/>
          <w:wAfter w:w="670" w:type="dxa"/>
          <w:trHeight w:val="255"/>
          <w:jc w:val="center"/>
        </w:trPr>
        <w:tc>
          <w:tcPr>
            <w:tcW w:w="10440" w:type="dxa"/>
            <w:gridSpan w:val="10"/>
            <w:tcBorders>
              <w:top w:val="nil"/>
              <w:left w:val="nil"/>
              <w:bottom w:val="nil"/>
              <w:right w:val="nil"/>
            </w:tcBorders>
            <w:shd w:val="clear" w:color="auto" w:fill="auto"/>
            <w:noWrap/>
          </w:tcPr>
          <w:p w14:paraId="4B83F51F" w14:textId="6E0C7A6C" w:rsidR="00222A3E" w:rsidRPr="002F7382" w:rsidRDefault="009510C0" w:rsidP="00A43B87">
            <w:pPr>
              <w:jc w:val="center"/>
              <w:rPr>
                <w:b/>
                <w:bCs/>
                <w:sz w:val="22"/>
                <w:szCs w:val="22"/>
                <w:lang w:val="es-MX"/>
              </w:rPr>
            </w:pPr>
            <w:r>
              <w:rPr>
                <w:b/>
                <w:bCs/>
                <w:sz w:val="22"/>
                <w:szCs w:val="22"/>
                <w:lang w:val="es-ES_tradnl"/>
              </w:rPr>
              <w:t xml:space="preserve">AUMENTO ILUSTRATIVO PROPUESTO EN LA TARIFA ELÉCTRICA </w:t>
            </w:r>
            <w:r w:rsidR="00D84AD1">
              <w:rPr>
                <w:b/>
                <w:bCs/>
                <w:sz w:val="22"/>
                <w:szCs w:val="22"/>
                <w:lang w:val="es-ES_tradnl"/>
              </w:rPr>
              <w:br/>
            </w:r>
            <w:r>
              <w:rPr>
                <w:b/>
                <w:bCs/>
                <w:sz w:val="22"/>
                <w:szCs w:val="22"/>
                <w:lang w:val="es-ES_tradnl"/>
              </w:rPr>
              <w:t>DE SAN DIEGO GAS &amp; ELECTRIC COMPANY</w:t>
            </w:r>
          </w:p>
        </w:tc>
      </w:tr>
      <w:tr w:rsidR="00EA0C0B" w:rsidRPr="00EB47DE" w14:paraId="4DCA6A8A" w14:textId="77777777" w:rsidTr="00EE5A50">
        <w:trPr>
          <w:gridAfter w:val="1"/>
          <w:wAfter w:w="670" w:type="dxa"/>
          <w:trHeight w:val="255"/>
          <w:jc w:val="center"/>
        </w:trPr>
        <w:tc>
          <w:tcPr>
            <w:tcW w:w="10440" w:type="dxa"/>
            <w:gridSpan w:val="10"/>
            <w:tcBorders>
              <w:top w:val="nil"/>
              <w:left w:val="nil"/>
              <w:bottom w:val="nil"/>
              <w:right w:val="nil"/>
            </w:tcBorders>
            <w:shd w:val="clear" w:color="auto" w:fill="auto"/>
            <w:noWrap/>
          </w:tcPr>
          <w:p w14:paraId="0BA82CC6" w14:textId="77777777" w:rsidR="00222A3E" w:rsidRPr="002F7382" w:rsidRDefault="009510C0" w:rsidP="00583211">
            <w:pPr>
              <w:jc w:val="center"/>
              <w:rPr>
                <w:b/>
                <w:sz w:val="22"/>
                <w:szCs w:val="22"/>
                <w:lang w:val="es-MX"/>
              </w:rPr>
            </w:pPr>
            <w:r>
              <w:rPr>
                <w:b/>
                <w:bCs/>
                <w:sz w:val="22"/>
                <w:szCs w:val="22"/>
                <w:lang w:val="es-ES_tradnl"/>
              </w:rPr>
              <w:t>(LAS TARIFAS TOTALES INCLUYEN UDC</w:t>
            </w:r>
            <w:r>
              <w:rPr>
                <w:b/>
                <w:bCs/>
                <w:sz w:val="22"/>
                <w:szCs w:val="22"/>
                <w:vertAlign w:val="superscript"/>
                <w:lang w:val="es-ES_tradnl"/>
              </w:rPr>
              <w:t>1</w:t>
            </w:r>
            <w:r>
              <w:rPr>
                <w:b/>
                <w:bCs/>
                <w:sz w:val="22"/>
                <w:szCs w:val="22"/>
                <w:lang w:val="es-ES_tradnl"/>
              </w:rPr>
              <w:t xml:space="preserve"> Y COMO PRODUCTO BÁSICO</w:t>
            </w:r>
            <w:r>
              <w:rPr>
                <w:b/>
                <w:bCs/>
                <w:sz w:val="22"/>
                <w:szCs w:val="22"/>
                <w:vertAlign w:val="superscript"/>
                <w:lang w:val="es-ES_tradnl"/>
              </w:rPr>
              <w:t>2</w:t>
            </w:r>
            <w:r>
              <w:rPr>
                <w:b/>
                <w:bCs/>
                <w:sz w:val="22"/>
                <w:szCs w:val="22"/>
                <w:lang w:val="es-ES_tradnl"/>
              </w:rPr>
              <w:t>)</w:t>
            </w:r>
          </w:p>
        </w:tc>
      </w:tr>
      <w:tr w:rsidR="00EA0C0B" w:rsidRPr="00EB47DE" w14:paraId="0D59A773" w14:textId="77777777" w:rsidTr="00EE5A50">
        <w:trPr>
          <w:gridAfter w:val="1"/>
          <w:wAfter w:w="670" w:type="dxa"/>
          <w:trHeight w:val="297"/>
          <w:jc w:val="center"/>
        </w:trPr>
        <w:tc>
          <w:tcPr>
            <w:tcW w:w="10440" w:type="dxa"/>
            <w:gridSpan w:val="10"/>
            <w:tcBorders>
              <w:top w:val="nil"/>
              <w:left w:val="nil"/>
              <w:bottom w:val="nil"/>
              <w:right w:val="nil"/>
            </w:tcBorders>
            <w:shd w:val="clear" w:color="auto" w:fill="auto"/>
            <w:noWrap/>
            <w:vAlign w:val="bottom"/>
          </w:tcPr>
          <w:p w14:paraId="69661C54" w14:textId="77777777" w:rsidR="00222A3E" w:rsidRPr="002F7382" w:rsidRDefault="00222A3E" w:rsidP="00583211">
            <w:pPr>
              <w:rPr>
                <w:b/>
                <w:bCs/>
                <w:sz w:val="20"/>
                <w:lang w:val="es-MX"/>
              </w:rPr>
            </w:pPr>
          </w:p>
        </w:tc>
      </w:tr>
      <w:tr w:rsidR="00EA0C0B" w:rsidRPr="00EB47DE" w14:paraId="02B6E37B" w14:textId="77777777" w:rsidTr="00EE5A50">
        <w:trPr>
          <w:gridBefore w:val="1"/>
          <w:wBefore w:w="108" w:type="dxa"/>
          <w:trHeight w:val="255"/>
          <w:jc w:val="center"/>
        </w:trPr>
        <w:tc>
          <w:tcPr>
            <w:tcW w:w="2610" w:type="dxa"/>
            <w:vMerge w:val="restart"/>
            <w:tcBorders>
              <w:top w:val="nil"/>
              <w:left w:val="nil"/>
              <w:right w:val="nil"/>
            </w:tcBorders>
            <w:shd w:val="clear" w:color="auto" w:fill="auto"/>
            <w:noWrap/>
            <w:vAlign w:val="center"/>
          </w:tcPr>
          <w:p w14:paraId="43798D97" w14:textId="77777777" w:rsidR="00EE5A50" w:rsidRPr="002F7382" w:rsidRDefault="00EE5A50" w:rsidP="00EE5A50">
            <w:pPr>
              <w:rPr>
                <w:b/>
                <w:bCs/>
                <w:lang w:val="es-MX"/>
              </w:rPr>
            </w:pPr>
          </w:p>
          <w:p w14:paraId="2939B725" w14:textId="77777777" w:rsidR="00EE5A50" w:rsidRPr="002F7382" w:rsidRDefault="009510C0" w:rsidP="00EE5A50">
            <w:pPr>
              <w:rPr>
                <w:b/>
                <w:bCs/>
                <w:lang w:val="es-MX"/>
              </w:rPr>
            </w:pPr>
            <w:r>
              <w:rPr>
                <w:b/>
                <w:bCs/>
                <w:lang w:val="es-ES_tradnl"/>
              </w:rPr>
              <w:t>Clase de cliente</w:t>
            </w:r>
          </w:p>
          <w:p w14:paraId="2633BF64" w14:textId="77777777" w:rsidR="001266B2" w:rsidRPr="002F7382" w:rsidRDefault="009510C0" w:rsidP="00EE5A50">
            <w:pPr>
              <w:rPr>
                <w:b/>
                <w:bCs/>
                <w:sz w:val="22"/>
                <w:szCs w:val="22"/>
                <w:lang w:val="es-MX"/>
              </w:rPr>
            </w:pPr>
            <w:r>
              <w:rPr>
                <w:b/>
                <w:bCs/>
                <w:lang w:val="es-ES_tradnl"/>
              </w:rPr>
              <w:t>(Servicio en paquete)</w:t>
            </w:r>
          </w:p>
        </w:tc>
        <w:tc>
          <w:tcPr>
            <w:tcW w:w="270" w:type="dxa"/>
            <w:tcBorders>
              <w:top w:val="nil"/>
              <w:left w:val="nil"/>
              <w:bottom w:val="nil"/>
              <w:right w:val="nil"/>
            </w:tcBorders>
            <w:shd w:val="clear" w:color="auto" w:fill="auto"/>
            <w:noWrap/>
          </w:tcPr>
          <w:p w14:paraId="2A42149B" w14:textId="77777777" w:rsidR="00EE5A50" w:rsidRPr="002F7382" w:rsidRDefault="00EE5A50" w:rsidP="00EE5A50">
            <w:pPr>
              <w:rPr>
                <w:sz w:val="22"/>
                <w:szCs w:val="22"/>
                <w:lang w:val="es-MX"/>
              </w:rPr>
            </w:pPr>
          </w:p>
        </w:tc>
        <w:tc>
          <w:tcPr>
            <w:tcW w:w="1890" w:type="dxa"/>
            <w:vMerge w:val="restart"/>
            <w:tcBorders>
              <w:top w:val="nil"/>
              <w:left w:val="nil"/>
              <w:right w:val="nil"/>
            </w:tcBorders>
            <w:shd w:val="clear" w:color="auto" w:fill="auto"/>
            <w:noWrap/>
            <w:vAlign w:val="center"/>
          </w:tcPr>
          <w:p w14:paraId="441D3767" w14:textId="6FC1845B" w:rsidR="00EE5A50" w:rsidRPr="002F7382" w:rsidRDefault="009510C0" w:rsidP="00EE5A50">
            <w:pPr>
              <w:jc w:val="center"/>
              <w:rPr>
                <w:sz w:val="22"/>
                <w:szCs w:val="22"/>
                <w:lang w:val="es-MX"/>
              </w:rPr>
            </w:pPr>
            <w:r>
              <w:rPr>
                <w:lang w:val="es-ES_tradnl"/>
              </w:rPr>
              <w:t xml:space="preserve"> </w:t>
            </w:r>
            <w:r>
              <w:rPr>
                <w:b/>
                <w:bCs/>
                <w:lang w:val="es-ES_tradnl"/>
              </w:rPr>
              <w:t>Tarifas promedio por clase en vigor el 10/01/20</w:t>
            </w:r>
            <w:r>
              <w:rPr>
                <w:b/>
                <w:bCs/>
                <w:vertAlign w:val="superscript"/>
                <w:lang w:val="es-ES_tradnl"/>
              </w:rPr>
              <w:t>3</w:t>
            </w:r>
            <w:r>
              <w:rPr>
                <w:b/>
                <w:bCs/>
                <w:lang w:val="es-ES_tradnl"/>
              </w:rPr>
              <w:t xml:space="preserve"> (¢/kWh)</w:t>
            </w:r>
            <w:r>
              <w:rPr>
                <w:lang w:val="es-ES_tradnl"/>
              </w:rPr>
              <w:t xml:space="preserve"> </w:t>
            </w:r>
          </w:p>
        </w:tc>
        <w:tc>
          <w:tcPr>
            <w:tcW w:w="270" w:type="dxa"/>
            <w:tcBorders>
              <w:top w:val="nil"/>
              <w:left w:val="nil"/>
              <w:bottom w:val="nil"/>
              <w:right w:val="nil"/>
            </w:tcBorders>
            <w:shd w:val="clear" w:color="auto" w:fill="auto"/>
            <w:noWrap/>
            <w:vAlign w:val="center"/>
          </w:tcPr>
          <w:p w14:paraId="2FE353FE" w14:textId="77777777" w:rsidR="00EE5A50" w:rsidRPr="002F7382" w:rsidRDefault="00EE5A50" w:rsidP="00EE5A50">
            <w:pPr>
              <w:jc w:val="center"/>
              <w:rPr>
                <w:b/>
                <w:bCs/>
                <w:sz w:val="22"/>
                <w:szCs w:val="22"/>
                <w:lang w:val="es-MX"/>
              </w:rPr>
            </w:pPr>
          </w:p>
        </w:tc>
        <w:tc>
          <w:tcPr>
            <w:tcW w:w="2070" w:type="dxa"/>
            <w:vMerge w:val="restart"/>
            <w:tcBorders>
              <w:top w:val="nil"/>
              <w:left w:val="nil"/>
              <w:right w:val="nil"/>
            </w:tcBorders>
            <w:shd w:val="clear" w:color="auto" w:fill="auto"/>
            <w:noWrap/>
            <w:vAlign w:val="center"/>
          </w:tcPr>
          <w:p w14:paraId="3F1A0E7E" w14:textId="6DFF9277" w:rsidR="00EE5A50" w:rsidRPr="002F7382" w:rsidRDefault="009510C0" w:rsidP="00EE5A50">
            <w:pPr>
              <w:jc w:val="center"/>
              <w:rPr>
                <w:b/>
                <w:bCs/>
                <w:sz w:val="22"/>
                <w:szCs w:val="22"/>
                <w:lang w:val="es-MX"/>
              </w:rPr>
            </w:pPr>
            <w:r>
              <w:rPr>
                <w:b/>
                <w:bCs/>
                <w:lang w:val="es-ES_tradnl"/>
              </w:rPr>
              <w:t>Tarifas promedio por clase que reflejan el aumento de $144.5 millones</w:t>
            </w:r>
            <w:r>
              <w:rPr>
                <w:b/>
                <w:bCs/>
                <w:vertAlign w:val="superscript"/>
                <w:lang w:val="es-ES_tradnl"/>
              </w:rPr>
              <w:t>4</w:t>
            </w:r>
            <w:r>
              <w:rPr>
                <w:b/>
                <w:bCs/>
                <w:lang w:val="es-ES_tradnl"/>
              </w:rPr>
              <w:t xml:space="preserve"> (¢/kWh)</w:t>
            </w:r>
          </w:p>
        </w:tc>
        <w:tc>
          <w:tcPr>
            <w:tcW w:w="270" w:type="dxa"/>
            <w:tcBorders>
              <w:top w:val="nil"/>
              <w:left w:val="nil"/>
              <w:bottom w:val="nil"/>
              <w:right w:val="nil"/>
            </w:tcBorders>
            <w:shd w:val="clear" w:color="auto" w:fill="auto"/>
            <w:noWrap/>
            <w:vAlign w:val="center"/>
          </w:tcPr>
          <w:p w14:paraId="65AABBBB" w14:textId="77777777" w:rsidR="00EE5A50" w:rsidRPr="002F7382" w:rsidRDefault="00EE5A50" w:rsidP="00EE5A50">
            <w:pPr>
              <w:rPr>
                <w:sz w:val="22"/>
                <w:szCs w:val="22"/>
                <w:lang w:val="es-MX"/>
              </w:rPr>
            </w:pPr>
          </w:p>
        </w:tc>
        <w:tc>
          <w:tcPr>
            <w:tcW w:w="1350" w:type="dxa"/>
            <w:vMerge w:val="restart"/>
            <w:tcBorders>
              <w:top w:val="nil"/>
              <w:left w:val="nil"/>
              <w:right w:val="nil"/>
            </w:tcBorders>
            <w:shd w:val="clear" w:color="auto" w:fill="auto"/>
            <w:noWrap/>
            <w:vAlign w:val="center"/>
          </w:tcPr>
          <w:p w14:paraId="61F0EB78" w14:textId="447F6C2B" w:rsidR="00EE5A50" w:rsidRPr="002F7382" w:rsidRDefault="009510C0" w:rsidP="00EE5A50">
            <w:pPr>
              <w:jc w:val="center"/>
              <w:rPr>
                <w:b/>
                <w:bCs/>
                <w:sz w:val="22"/>
                <w:szCs w:val="22"/>
                <w:lang w:val="es-MX"/>
              </w:rPr>
            </w:pPr>
            <w:r>
              <w:rPr>
                <w:b/>
                <w:bCs/>
                <w:lang w:val="es-ES_tradnl"/>
              </w:rPr>
              <w:t>Aumento total en la tarifa (¢/kWh)</w:t>
            </w:r>
          </w:p>
        </w:tc>
        <w:tc>
          <w:tcPr>
            <w:tcW w:w="270" w:type="dxa"/>
            <w:tcBorders>
              <w:top w:val="nil"/>
              <w:left w:val="nil"/>
              <w:bottom w:val="nil"/>
              <w:right w:val="nil"/>
            </w:tcBorders>
            <w:shd w:val="clear" w:color="auto" w:fill="auto"/>
            <w:noWrap/>
            <w:vAlign w:val="center"/>
          </w:tcPr>
          <w:p w14:paraId="72864211" w14:textId="77777777" w:rsidR="00EE5A50" w:rsidRPr="002F7382" w:rsidRDefault="00EE5A50" w:rsidP="00EE5A50">
            <w:pPr>
              <w:rPr>
                <w:sz w:val="22"/>
                <w:szCs w:val="22"/>
                <w:lang w:val="es-MX"/>
              </w:rPr>
            </w:pPr>
          </w:p>
        </w:tc>
        <w:tc>
          <w:tcPr>
            <w:tcW w:w="2002" w:type="dxa"/>
            <w:gridSpan w:val="2"/>
            <w:vMerge w:val="restart"/>
            <w:tcBorders>
              <w:top w:val="nil"/>
              <w:left w:val="nil"/>
              <w:right w:val="nil"/>
            </w:tcBorders>
            <w:shd w:val="clear" w:color="auto" w:fill="auto"/>
            <w:noWrap/>
            <w:vAlign w:val="center"/>
          </w:tcPr>
          <w:p w14:paraId="05C9F321" w14:textId="23725F8B" w:rsidR="00EE5A50" w:rsidRPr="002F7382" w:rsidRDefault="009510C0" w:rsidP="00EE5A50">
            <w:pPr>
              <w:jc w:val="center"/>
              <w:rPr>
                <w:b/>
                <w:bCs/>
                <w:lang w:val="es-MX"/>
              </w:rPr>
            </w:pPr>
            <w:r>
              <w:rPr>
                <w:b/>
                <w:bCs/>
                <w:lang w:val="es-ES_tradnl"/>
              </w:rPr>
              <w:t>Aumento porcentual en la tarifa</w:t>
            </w:r>
            <w:r>
              <w:rPr>
                <w:lang w:val="es-ES_tradnl"/>
              </w:rPr>
              <w:t xml:space="preserve"> </w:t>
            </w:r>
          </w:p>
          <w:p w14:paraId="2F80FEAC" w14:textId="77777777" w:rsidR="00EE5A50" w:rsidRPr="002F7382" w:rsidRDefault="009510C0" w:rsidP="00EE5A50">
            <w:pPr>
              <w:jc w:val="center"/>
              <w:rPr>
                <w:b/>
                <w:bCs/>
                <w:sz w:val="22"/>
                <w:szCs w:val="22"/>
                <w:lang w:val="es-MX"/>
              </w:rPr>
            </w:pPr>
            <w:r w:rsidRPr="002F7382">
              <w:rPr>
                <w:b/>
                <w:bCs/>
                <w:lang w:val="es-MX"/>
              </w:rPr>
              <w:t>(%)</w:t>
            </w:r>
          </w:p>
        </w:tc>
      </w:tr>
      <w:tr w:rsidR="00EA0C0B" w:rsidRPr="00EB47DE" w14:paraId="5EBDB50A" w14:textId="77777777" w:rsidTr="00EE5A50">
        <w:trPr>
          <w:gridBefore w:val="1"/>
          <w:wBefore w:w="108" w:type="dxa"/>
          <w:trHeight w:val="255"/>
          <w:jc w:val="center"/>
        </w:trPr>
        <w:tc>
          <w:tcPr>
            <w:tcW w:w="2610" w:type="dxa"/>
            <w:vMerge/>
            <w:tcBorders>
              <w:left w:val="nil"/>
              <w:bottom w:val="single" w:sz="4" w:space="0" w:color="auto"/>
              <w:right w:val="nil"/>
            </w:tcBorders>
            <w:shd w:val="clear" w:color="auto" w:fill="auto"/>
            <w:noWrap/>
          </w:tcPr>
          <w:p w14:paraId="3D4194BD" w14:textId="77777777" w:rsidR="00EE5A50" w:rsidRPr="002F7382" w:rsidRDefault="00EE5A50" w:rsidP="00EE5A50">
            <w:pPr>
              <w:rPr>
                <w:b/>
                <w:bCs/>
                <w:sz w:val="22"/>
                <w:szCs w:val="22"/>
                <w:lang w:val="es-MX"/>
              </w:rPr>
            </w:pPr>
          </w:p>
        </w:tc>
        <w:tc>
          <w:tcPr>
            <w:tcW w:w="270" w:type="dxa"/>
            <w:tcBorders>
              <w:top w:val="nil"/>
              <w:left w:val="nil"/>
              <w:bottom w:val="nil"/>
              <w:right w:val="nil"/>
            </w:tcBorders>
            <w:shd w:val="clear" w:color="auto" w:fill="auto"/>
            <w:noWrap/>
          </w:tcPr>
          <w:p w14:paraId="17F3F334" w14:textId="77777777" w:rsidR="00EE5A50" w:rsidRPr="002F7382" w:rsidRDefault="00EE5A50" w:rsidP="00EE5A50">
            <w:pPr>
              <w:rPr>
                <w:sz w:val="22"/>
                <w:szCs w:val="22"/>
                <w:lang w:val="es-MX"/>
              </w:rPr>
            </w:pPr>
          </w:p>
        </w:tc>
        <w:tc>
          <w:tcPr>
            <w:tcW w:w="1890" w:type="dxa"/>
            <w:vMerge/>
            <w:tcBorders>
              <w:left w:val="nil"/>
              <w:bottom w:val="single" w:sz="4" w:space="0" w:color="auto"/>
              <w:right w:val="nil"/>
            </w:tcBorders>
            <w:shd w:val="clear" w:color="auto" w:fill="auto"/>
            <w:noWrap/>
          </w:tcPr>
          <w:p w14:paraId="04C5C286" w14:textId="77777777" w:rsidR="00EE5A50" w:rsidRPr="002F7382" w:rsidRDefault="00EE5A50" w:rsidP="00EE5A50">
            <w:pPr>
              <w:jc w:val="center"/>
              <w:rPr>
                <w:sz w:val="22"/>
                <w:szCs w:val="22"/>
                <w:lang w:val="es-MX"/>
              </w:rPr>
            </w:pPr>
          </w:p>
        </w:tc>
        <w:tc>
          <w:tcPr>
            <w:tcW w:w="270" w:type="dxa"/>
            <w:tcBorders>
              <w:top w:val="nil"/>
              <w:left w:val="nil"/>
              <w:bottom w:val="nil"/>
              <w:right w:val="nil"/>
            </w:tcBorders>
            <w:shd w:val="clear" w:color="auto" w:fill="auto"/>
            <w:noWrap/>
          </w:tcPr>
          <w:p w14:paraId="31C43DBC" w14:textId="77777777" w:rsidR="00EE5A50" w:rsidRPr="002F7382" w:rsidRDefault="00EE5A50" w:rsidP="00EE5A50">
            <w:pPr>
              <w:jc w:val="center"/>
              <w:rPr>
                <w:b/>
                <w:bCs/>
                <w:sz w:val="22"/>
                <w:szCs w:val="22"/>
                <w:lang w:val="es-MX"/>
              </w:rPr>
            </w:pPr>
          </w:p>
        </w:tc>
        <w:tc>
          <w:tcPr>
            <w:tcW w:w="2070" w:type="dxa"/>
            <w:vMerge/>
            <w:tcBorders>
              <w:left w:val="nil"/>
              <w:bottom w:val="single" w:sz="4" w:space="0" w:color="auto"/>
              <w:right w:val="nil"/>
            </w:tcBorders>
            <w:shd w:val="clear" w:color="auto" w:fill="auto"/>
            <w:noWrap/>
          </w:tcPr>
          <w:p w14:paraId="508131D5" w14:textId="77777777" w:rsidR="00EE5A50" w:rsidRPr="002F7382" w:rsidRDefault="00EE5A50" w:rsidP="00EE5A50">
            <w:pPr>
              <w:jc w:val="center"/>
              <w:rPr>
                <w:b/>
                <w:bCs/>
                <w:sz w:val="22"/>
                <w:szCs w:val="22"/>
                <w:lang w:val="es-MX"/>
              </w:rPr>
            </w:pPr>
          </w:p>
        </w:tc>
        <w:tc>
          <w:tcPr>
            <w:tcW w:w="270" w:type="dxa"/>
            <w:tcBorders>
              <w:top w:val="nil"/>
              <w:left w:val="nil"/>
              <w:bottom w:val="nil"/>
              <w:right w:val="nil"/>
            </w:tcBorders>
            <w:shd w:val="clear" w:color="auto" w:fill="auto"/>
            <w:noWrap/>
          </w:tcPr>
          <w:p w14:paraId="07619EBC" w14:textId="77777777" w:rsidR="00EE5A50" w:rsidRPr="002F7382" w:rsidRDefault="00EE5A50" w:rsidP="00EE5A50">
            <w:pPr>
              <w:rPr>
                <w:sz w:val="22"/>
                <w:szCs w:val="22"/>
                <w:lang w:val="es-MX"/>
              </w:rPr>
            </w:pPr>
          </w:p>
        </w:tc>
        <w:tc>
          <w:tcPr>
            <w:tcW w:w="1350" w:type="dxa"/>
            <w:vMerge/>
            <w:tcBorders>
              <w:left w:val="nil"/>
              <w:bottom w:val="single" w:sz="4" w:space="0" w:color="auto"/>
              <w:right w:val="nil"/>
            </w:tcBorders>
            <w:shd w:val="clear" w:color="auto" w:fill="auto"/>
            <w:noWrap/>
          </w:tcPr>
          <w:p w14:paraId="47134A6B" w14:textId="77777777" w:rsidR="00EE5A50" w:rsidRPr="002F7382" w:rsidRDefault="00EE5A50" w:rsidP="00EE5A50">
            <w:pPr>
              <w:jc w:val="center"/>
              <w:rPr>
                <w:b/>
                <w:bCs/>
                <w:sz w:val="22"/>
                <w:szCs w:val="22"/>
                <w:lang w:val="es-MX"/>
              </w:rPr>
            </w:pPr>
          </w:p>
        </w:tc>
        <w:tc>
          <w:tcPr>
            <w:tcW w:w="270" w:type="dxa"/>
            <w:tcBorders>
              <w:top w:val="nil"/>
              <w:left w:val="nil"/>
              <w:bottom w:val="nil"/>
              <w:right w:val="nil"/>
            </w:tcBorders>
            <w:shd w:val="clear" w:color="auto" w:fill="auto"/>
            <w:noWrap/>
          </w:tcPr>
          <w:p w14:paraId="4A1AC695" w14:textId="77777777" w:rsidR="00EE5A50" w:rsidRPr="002F7382" w:rsidRDefault="00EE5A50" w:rsidP="00EE5A50">
            <w:pPr>
              <w:rPr>
                <w:sz w:val="22"/>
                <w:szCs w:val="22"/>
                <w:lang w:val="es-MX"/>
              </w:rPr>
            </w:pPr>
          </w:p>
        </w:tc>
        <w:tc>
          <w:tcPr>
            <w:tcW w:w="2002" w:type="dxa"/>
            <w:gridSpan w:val="2"/>
            <w:vMerge/>
            <w:tcBorders>
              <w:left w:val="nil"/>
              <w:bottom w:val="single" w:sz="4" w:space="0" w:color="auto"/>
              <w:right w:val="nil"/>
            </w:tcBorders>
            <w:shd w:val="clear" w:color="auto" w:fill="auto"/>
            <w:noWrap/>
          </w:tcPr>
          <w:p w14:paraId="0041288F" w14:textId="77777777" w:rsidR="00EE5A50" w:rsidRPr="002F7382" w:rsidRDefault="00EE5A50" w:rsidP="00EE5A50">
            <w:pPr>
              <w:jc w:val="center"/>
              <w:rPr>
                <w:b/>
                <w:bCs/>
                <w:sz w:val="22"/>
                <w:szCs w:val="22"/>
                <w:lang w:val="es-MX"/>
              </w:rPr>
            </w:pPr>
          </w:p>
        </w:tc>
      </w:tr>
      <w:tr w:rsidR="00EA0C0B" w14:paraId="45BB7CAE" w14:textId="77777777" w:rsidTr="00EE5A50">
        <w:trPr>
          <w:gridBefore w:val="1"/>
          <w:wBefore w:w="108" w:type="dxa"/>
          <w:trHeight w:val="255"/>
          <w:jc w:val="center"/>
        </w:trPr>
        <w:tc>
          <w:tcPr>
            <w:tcW w:w="2610" w:type="dxa"/>
            <w:tcBorders>
              <w:top w:val="nil"/>
              <w:left w:val="nil"/>
              <w:bottom w:val="nil"/>
              <w:right w:val="nil"/>
            </w:tcBorders>
            <w:shd w:val="clear" w:color="auto" w:fill="auto"/>
            <w:noWrap/>
          </w:tcPr>
          <w:p w14:paraId="2ED7183A" w14:textId="77777777" w:rsidR="00EE5A50" w:rsidRPr="00EE5A50" w:rsidRDefault="009510C0" w:rsidP="00EE5A50">
            <w:pPr>
              <w:rPr>
                <w:b/>
                <w:bCs/>
                <w:sz w:val="22"/>
                <w:szCs w:val="22"/>
              </w:rPr>
            </w:pPr>
            <w:r>
              <w:rPr>
                <w:b/>
                <w:bCs/>
                <w:sz w:val="22"/>
                <w:szCs w:val="22"/>
                <w:lang w:val="es-ES_tradnl"/>
              </w:rPr>
              <w:t>Residencial</w:t>
            </w:r>
          </w:p>
        </w:tc>
        <w:tc>
          <w:tcPr>
            <w:tcW w:w="270" w:type="dxa"/>
            <w:tcBorders>
              <w:top w:val="nil"/>
              <w:left w:val="nil"/>
              <w:bottom w:val="nil"/>
              <w:right w:val="nil"/>
            </w:tcBorders>
            <w:shd w:val="clear" w:color="auto" w:fill="auto"/>
            <w:noWrap/>
          </w:tcPr>
          <w:p w14:paraId="0CC937E6" w14:textId="77777777" w:rsidR="00EE5A50" w:rsidRPr="00EE5A50" w:rsidRDefault="00EE5A50" w:rsidP="00EE5A50">
            <w:pPr>
              <w:rPr>
                <w:sz w:val="22"/>
                <w:szCs w:val="22"/>
              </w:rPr>
            </w:pPr>
          </w:p>
        </w:tc>
        <w:tc>
          <w:tcPr>
            <w:tcW w:w="1890" w:type="dxa"/>
            <w:tcBorders>
              <w:top w:val="nil"/>
              <w:left w:val="nil"/>
              <w:bottom w:val="nil"/>
              <w:right w:val="nil"/>
            </w:tcBorders>
            <w:shd w:val="clear" w:color="auto" w:fill="auto"/>
            <w:noWrap/>
            <w:vAlign w:val="bottom"/>
          </w:tcPr>
          <w:p w14:paraId="1E722954" w14:textId="77777777" w:rsidR="00EE5A50" w:rsidRPr="00AB0F1F" w:rsidRDefault="009510C0" w:rsidP="00EE5A50">
            <w:pPr>
              <w:jc w:val="center"/>
              <w:rPr>
                <w:sz w:val="22"/>
                <w:szCs w:val="22"/>
              </w:rPr>
            </w:pPr>
            <w:r>
              <w:rPr>
                <w:sz w:val="22"/>
                <w:szCs w:val="22"/>
                <w:lang w:val="es-ES_tradnl"/>
              </w:rPr>
              <w:t>27.130</w:t>
            </w:r>
          </w:p>
        </w:tc>
        <w:tc>
          <w:tcPr>
            <w:tcW w:w="270" w:type="dxa"/>
            <w:tcBorders>
              <w:top w:val="nil"/>
              <w:left w:val="nil"/>
              <w:bottom w:val="nil"/>
              <w:right w:val="nil"/>
            </w:tcBorders>
            <w:shd w:val="clear" w:color="auto" w:fill="auto"/>
            <w:noWrap/>
          </w:tcPr>
          <w:p w14:paraId="1CA84CE4" w14:textId="77777777" w:rsidR="00EE5A50" w:rsidRPr="00672253" w:rsidRDefault="00EE5A50" w:rsidP="00EE5A50">
            <w:pPr>
              <w:rPr>
                <w:sz w:val="22"/>
                <w:szCs w:val="22"/>
                <w:highlight w:val="yellow"/>
              </w:rPr>
            </w:pPr>
          </w:p>
        </w:tc>
        <w:tc>
          <w:tcPr>
            <w:tcW w:w="2070" w:type="dxa"/>
            <w:tcBorders>
              <w:top w:val="nil"/>
              <w:left w:val="nil"/>
              <w:bottom w:val="nil"/>
              <w:right w:val="nil"/>
            </w:tcBorders>
            <w:shd w:val="clear" w:color="auto" w:fill="auto"/>
            <w:noWrap/>
            <w:vAlign w:val="bottom"/>
          </w:tcPr>
          <w:p w14:paraId="7F9A8457" w14:textId="26CCFF19" w:rsidR="00EE5A50" w:rsidRPr="004A4FAC" w:rsidRDefault="009510C0" w:rsidP="00EE5A50">
            <w:pPr>
              <w:jc w:val="center"/>
              <w:rPr>
                <w:sz w:val="22"/>
                <w:szCs w:val="22"/>
              </w:rPr>
            </w:pPr>
            <w:r>
              <w:rPr>
                <w:sz w:val="22"/>
                <w:szCs w:val="22"/>
                <w:lang w:val="es-ES_tradnl"/>
              </w:rPr>
              <w:t>28.050</w:t>
            </w:r>
          </w:p>
        </w:tc>
        <w:tc>
          <w:tcPr>
            <w:tcW w:w="270" w:type="dxa"/>
            <w:tcBorders>
              <w:top w:val="nil"/>
              <w:left w:val="nil"/>
              <w:bottom w:val="nil"/>
              <w:right w:val="nil"/>
            </w:tcBorders>
            <w:shd w:val="clear" w:color="auto" w:fill="auto"/>
            <w:noWrap/>
          </w:tcPr>
          <w:p w14:paraId="65D402AD" w14:textId="77777777" w:rsidR="00EE5A50" w:rsidRPr="004A4FAC" w:rsidRDefault="00EE5A50" w:rsidP="00EE5A50">
            <w:pPr>
              <w:rPr>
                <w:sz w:val="22"/>
                <w:szCs w:val="22"/>
              </w:rPr>
            </w:pPr>
          </w:p>
        </w:tc>
        <w:tc>
          <w:tcPr>
            <w:tcW w:w="1350" w:type="dxa"/>
            <w:tcBorders>
              <w:top w:val="nil"/>
              <w:left w:val="nil"/>
              <w:bottom w:val="nil"/>
              <w:right w:val="nil"/>
            </w:tcBorders>
            <w:shd w:val="clear" w:color="auto" w:fill="auto"/>
            <w:noWrap/>
            <w:vAlign w:val="bottom"/>
          </w:tcPr>
          <w:p w14:paraId="11779778" w14:textId="21632F69" w:rsidR="00EE5A50" w:rsidRPr="004A4FAC" w:rsidRDefault="009510C0" w:rsidP="00EE5A50">
            <w:pPr>
              <w:jc w:val="center"/>
              <w:rPr>
                <w:sz w:val="22"/>
                <w:szCs w:val="22"/>
              </w:rPr>
            </w:pPr>
            <w:r>
              <w:rPr>
                <w:sz w:val="22"/>
                <w:szCs w:val="22"/>
                <w:lang w:val="es-ES_tradnl"/>
              </w:rPr>
              <w:t>0.920</w:t>
            </w:r>
          </w:p>
        </w:tc>
        <w:tc>
          <w:tcPr>
            <w:tcW w:w="270" w:type="dxa"/>
            <w:tcBorders>
              <w:top w:val="nil"/>
              <w:left w:val="nil"/>
              <w:bottom w:val="nil"/>
              <w:right w:val="nil"/>
            </w:tcBorders>
            <w:shd w:val="clear" w:color="auto" w:fill="auto"/>
            <w:noWrap/>
          </w:tcPr>
          <w:p w14:paraId="33FA8A4C" w14:textId="77777777" w:rsidR="00EE5A50" w:rsidRPr="004A4FAC" w:rsidRDefault="00EE5A50" w:rsidP="00EE5A50">
            <w:pPr>
              <w:jc w:val="center"/>
              <w:rPr>
                <w:sz w:val="22"/>
                <w:szCs w:val="22"/>
              </w:rPr>
            </w:pPr>
          </w:p>
        </w:tc>
        <w:tc>
          <w:tcPr>
            <w:tcW w:w="2002" w:type="dxa"/>
            <w:gridSpan w:val="2"/>
            <w:tcBorders>
              <w:top w:val="nil"/>
              <w:left w:val="nil"/>
              <w:bottom w:val="nil"/>
              <w:right w:val="nil"/>
            </w:tcBorders>
            <w:shd w:val="clear" w:color="auto" w:fill="auto"/>
            <w:noWrap/>
            <w:vAlign w:val="bottom"/>
          </w:tcPr>
          <w:p w14:paraId="2D9845D3" w14:textId="751E9400" w:rsidR="00EE5A50" w:rsidRPr="004A4FAC" w:rsidRDefault="009510C0" w:rsidP="00EE5A50">
            <w:pPr>
              <w:jc w:val="center"/>
              <w:rPr>
                <w:sz w:val="22"/>
                <w:szCs w:val="22"/>
              </w:rPr>
            </w:pPr>
            <w:r>
              <w:rPr>
                <w:sz w:val="22"/>
                <w:szCs w:val="22"/>
                <w:lang w:val="es-ES_tradnl"/>
              </w:rPr>
              <w:t>3.39%</w:t>
            </w:r>
          </w:p>
        </w:tc>
      </w:tr>
      <w:tr w:rsidR="00EA0C0B" w14:paraId="7AA9959E" w14:textId="77777777" w:rsidTr="00EE5A50">
        <w:trPr>
          <w:gridBefore w:val="1"/>
          <w:wBefore w:w="108" w:type="dxa"/>
          <w:trHeight w:val="255"/>
          <w:jc w:val="center"/>
        </w:trPr>
        <w:tc>
          <w:tcPr>
            <w:tcW w:w="2610" w:type="dxa"/>
            <w:tcBorders>
              <w:top w:val="nil"/>
              <w:left w:val="nil"/>
              <w:bottom w:val="nil"/>
              <w:right w:val="nil"/>
            </w:tcBorders>
            <w:shd w:val="clear" w:color="auto" w:fill="auto"/>
            <w:noWrap/>
          </w:tcPr>
          <w:p w14:paraId="44AAEE8F" w14:textId="77777777" w:rsidR="00EE5A50" w:rsidRPr="00EE5A50" w:rsidRDefault="009510C0" w:rsidP="00EE5A50">
            <w:pPr>
              <w:rPr>
                <w:b/>
                <w:bCs/>
                <w:sz w:val="22"/>
                <w:szCs w:val="22"/>
              </w:rPr>
            </w:pPr>
            <w:r>
              <w:rPr>
                <w:b/>
                <w:bCs/>
                <w:sz w:val="22"/>
                <w:szCs w:val="22"/>
                <w:lang w:val="es-ES_tradnl"/>
              </w:rPr>
              <w:t>Comercial pequeño</w:t>
            </w:r>
          </w:p>
        </w:tc>
        <w:tc>
          <w:tcPr>
            <w:tcW w:w="270" w:type="dxa"/>
            <w:tcBorders>
              <w:top w:val="nil"/>
              <w:left w:val="nil"/>
              <w:bottom w:val="nil"/>
              <w:right w:val="nil"/>
            </w:tcBorders>
            <w:shd w:val="clear" w:color="auto" w:fill="auto"/>
            <w:noWrap/>
          </w:tcPr>
          <w:p w14:paraId="6C8ECB7F" w14:textId="77777777" w:rsidR="00EE5A50" w:rsidRPr="00EE5A50" w:rsidRDefault="00EE5A50" w:rsidP="00EE5A50">
            <w:pPr>
              <w:rPr>
                <w:sz w:val="22"/>
                <w:szCs w:val="22"/>
              </w:rPr>
            </w:pPr>
          </w:p>
        </w:tc>
        <w:tc>
          <w:tcPr>
            <w:tcW w:w="1890" w:type="dxa"/>
            <w:tcBorders>
              <w:top w:val="nil"/>
              <w:left w:val="nil"/>
              <w:bottom w:val="nil"/>
              <w:right w:val="nil"/>
            </w:tcBorders>
            <w:shd w:val="clear" w:color="auto" w:fill="auto"/>
            <w:noWrap/>
            <w:vAlign w:val="bottom"/>
          </w:tcPr>
          <w:p w14:paraId="3D21C863" w14:textId="77777777" w:rsidR="00EE5A50" w:rsidRPr="00AB0F1F" w:rsidRDefault="009510C0" w:rsidP="00EE5A50">
            <w:pPr>
              <w:jc w:val="center"/>
              <w:rPr>
                <w:sz w:val="22"/>
                <w:szCs w:val="22"/>
              </w:rPr>
            </w:pPr>
            <w:r>
              <w:rPr>
                <w:sz w:val="22"/>
                <w:szCs w:val="22"/>
                <w:lang w:val="es-ES_tradnl"/>
              </w:rPr>
              <w:t>25.084</w:t>
            </w:r>
          </w:p>
        </w:tc>
        <w:tc>
          <w:tcPr>
            <w:tcW w:w="270" w:type="dxa"/>
            <w:tcBorders>
              <w:top w:val="nil"/>
              <w:left w:val="nil"/>
              <w:bottom w:val="nil"/>
              <w:right w:val="nil"/>
            </w:tcBorders>
            <w:shd w:val="clear" w:color="auto" w:fill="auto"/>
            <w:noWrap/>
          </w:tcPr>
          <w:p w14:paraId="5411648A" w14:textId="77777777" w:rsidR="00EE5A50" w:rsidRPr="00672253" w:rsidRDefault="00EE5A50" w:rsidP="00EE5A50">
            <w:pPr>
              <w:rPr>
                <w:sz w:val="22"/>
                <w:szCs w:val="22"/>
                <w:highlight w:val="yellow"/>
              </w:rPr>
            </w:pPr>
          </w:p>
        </w:tc>
        <w:tc>
          <w:tcPr>
            <w:tcW w:w="2070" w:type="dxa"/>
            <w:tcBorders>
              <w:top w:val="nil"/>
              <w:left w:val="nil"/>
              <w:bottom w:val="nil"/>
              <w:right w:val="nil"/>
            </w:tcBorders>
            <w:shd w:val="clear" w:color="auto" w:fill="auto"/>
            <w:noWrap/>
            <w:vAlign w:val="bottom"/>
          </w:tcPr>
          <w:p w14:paraId="3A4AF586" w14:textId="50A9757F" w:rsidR="00EE5A50" w:rsidRPr="004A4FAC" w:rsidRDefault="009510C0" w:rsidP="00EE5A50">
            <w:pPr>
              <w:jc w:val="center"/>
              <w:rPr>
                <w:sz w:val="22"/>
                <w:szCs w:val="22"/>
              </w:rPr>
            </w:pPr>
            <w:r>
              <w:rPr>
                <w:sz w:val="22"/>
                <w:szCs w:val="22"/>
                <w:lang w:val="es-ES_tradnl"/>
              </w:rPr>
              <w:t>25.861</w:t>
            </w:r>
          </w:p>
        </w:tc>
        <w:tc>
          <w:tcPr>
            <w:tcW w:w="270" w:type="dxa"/>
            <w:tcBorders>
              <w:top w:val="nil"/>
              <w:left w:val="nil"/>
              <w:bottom w:val="nil"/>
              <w:right w:val="nil"/>
            </w:tcBorders>
            <w:shd w:val="clear" w:color="auto" w:fill="auto"/>
            <w:noWrap/>
          </w:tcPr>
          <w:p w14:paraId="68B9E507" w14:textId="77777777" w:rsidR="00EE5A50" w:rsidRPr="004A4FAC" w:rsidRDefault="00EE5A50" w:rsidP="00EE5A50">
            <w:pPr>
              <w:rPr>
                <w:sz w:val="22"/>
                <w:szCs w:val="22"/>
              </w:rPr>
            </w:pPr>
          </w:p>
        </w:tc>
        <w:tc>
          <w:tcPr>
            <w:tcW w:w="1350" w:type="dxa"/>
            <w:tcBorders>
              <w:top w:val="nil"/>
              <w:left w:val="nil"/>
              <w:bottom w:val="nil"/>
              <w:right w:val="nil"/>
            </w:tcBorders>
            <w:shd w:val="clear" w:color="auto" w:fill="auto"/>
            <w:noWrap/>
            <w:vAlign w:val="bottom"/>
          </w:tcPr>
          <w:p w14:paraId="3E942518" w14:textId="100D6F7E" w:rsidR="00EE5A50" w:rsidRPr="004A4FAC" w:rsidRDefault="009510C0" w:rsidP="00EE5A50">
            <w:pPr>
              <w:jc w:val="center"/>
              <w:rPr>
                <w:sz w:val="22"/>
                <w:szCs w:val="22"/>
              </w:rPr>
            </w:pPr>
            <w:r>
              <w:rPr>
                <w:sz w:val="22"/>
                <w:szCs w:val="22"/>
                <w:lang w:val="es-ES_tradnl"/>
              </w:rPr>
              <w:t>0.777</w:t>
            </w:r>
          </w:p>
        </w:tc>
        <w:tc>
          <w:tcPr>
            <w:tcW w:w="270" w:type="dxa"/>
            <w:tcBorders>
              <w:top w:val="nil"/>
              <w:left w:val="nil"/>
              <w:bottom w:val="nil"/>
              <w:right w:val="nil"/>
            </w:tcBorders>
            <w:shd w:val="clear" w:color="auto" w:fill="auto"/>
            <w:noWrap/>
          </w:tcPr>
          <w:p w14:paraId="545FE49B" w14:textId="77777777" w:rsidR="00EE5A50" w:rsidRPr="004A4FAC" w:rsidRDefault="00EE5A50" w:rsidP="00EE5A50">
            <w:pPr>
              <w:rPr>
                <w:sz w:val="22"/>
                <w:szCs w:val="22"/>
              </w:rPr>
            </w:pPr>
          </w:p>
        </w:tc>
        <w:tc>
          <w:tcPr>
            <w:tcW w:w="2002" w:type="dxa"/>
            <w:gridSpan w:val="2"/>
            <w:tcBorders>
              <w:top w:val="nil"/>
              <w:left w:val="nil"/>
              <w:bottom w:val="nil"/>
              <w:right w:val="nil"/>
            </w:tcBorders>
            <w:shd w:val="clear" w:color="auto" w:fill="auto"/>
            <w:noWrap/>
            <w:vAlign w:val="bottom"/>
          </w:tcPr>
          <w:p w14:paraId="7DD1F4CF" w14:textId="7CDEE8E6" w:rsidR="00EE5A50" w:rsidRPr="004A4FAC" w:rsidRDefault="009510C0" w:rsidP="00EE5A50">
            <w:pPr>
              <w:jc w:val="center"/>
              <w:rPr>
                <w:sz w:val="22"/>
                <w:szCs w:val="22"/>
              </w:rPr>
            </w:pPr>
            <w:r>
              <w:rPr>
                <w:sz w:val="22"/>
                <w:szCs w:val="22"/>
                <w:lang w:val="es-ES_tradnl"/>
              </w:rPr>
              <w:t>3.10%</w:t>
            </w:r>
          </w:p>
        </w:tc>
      </w:tr>
      <w:tr w:rsidR="00EA0C0B" w14:paraId="1A004785" w14:textId="77777777" w:rsidTr="00EE5A50">
        <w:trPr>
          <w:gridBefore w:val="1"/>
          <w:wBefore w:w="108" w:type="dxa"/>
          <w:trHeight w:val="255"/>
          <w:jc w:val="center"/>
        </w:trPr>
        <w:tc>
          <w:tcPr>
            <w:tcW w:w="2610" w:type="dxa"/>
            <w:tcBorders>
              <w:top w:val="nil"/>
              <w:left w:val="nil"/>
              <w:bottom w:val="nil"/>
              <w:right w:val="nil"/>
            </w:tcBorders>
            <w:shd w:val="clear" w:color="auto" w:fill="auto"/>
            <w:noWrap/>
          </w:tcPr>
          <w:p w14:paraId="56DDC84E" w14:textId="77777777" w:rsidR="00EE5A50" w:rsidRPr="00EE5A50" w:rsidRDefault="009510C0" w:rsidP="00EE5A50">
            <w:pPr>
              <w:rPr>
                <w:b/>
                <w:bCs/>
                <w:sz w:val="22"/>
                <w:szCs w:val="22"/>
              </w:rPr>
            </w:pPr>
            <w:proofErr w:type="spellStart"/>
            <w:r>
              <w:rPr>
                <w:b/>
                <w:bCs/>
                <w:sz w:val="22"/>
                <w:szCs w:val="22"/>
                <w:lang w:val="es-ES_tradnl"/>
              </w:rPr>
              <w:t>CeI</w:t>
            </w:r>
            <w:proofErr w:type="spellEnd"/>
            <w:r>
              <w:rPr>
                <w:b/>
                <w:bCs/>
                <w:sz w:val="22"/>
                <w:szCs w:val="22"/>
                <w:lang w:val="es-ES_tradnl"/>
              </w:rPr>
              <w:t xml:space="preserve"> mediano y grande</w:t>
            </w:r>
            <w:r>
              <w:rPr>
                <w:b/>
                <w:bCs/>
                <w:sz w:val="22"/>
                <w:szCs w:val="22"/>
                <w:vertAlign w:val="superscript"/>
                <w:lang w:val="es-ES_tradnl"/>
              </w:rPr>
              <w:t>5</w:t>
            </w:r>
            <w:r>
              <w:rPr>
                <w:sz w:val="22"/>
                <w:szCs w:val="22"/>
                <w:lang w:val="es-ES_tradnl"/>
              </w:rPr>
              <w:t xml:space="preserve"> </w:t>
            </w:r>
          </w:p>
        </w:tc>
        <w:tc>
          <w:tcPr>
            <w:tcW w:w="270" w:type="dxa"/>
            <w:tcBorders>
              <w:top w:val="nil"/>
              <w:left w:val="nil"/>
              <w:bottom w:val="nil"/>
              <w:right w:val="nil"/>
            </w:tcBorders>
            <w:shd w:val="clear" w:color="auto" w:fill="auto"/>
            <w:noWrap/>
          </w:tcPr>
          <w:p w14:paraId="155A468F" w14:textId="77777777" w:rsidR="00EE5A50" w:rsidRPr="00EE5A50" w:rsidRDefault="00EE5A50" w:rsidP="00EE5A50">
            <w:pPr>
              <w:rPr>
                <w:sz w:val="22"/>
                <w:szCs w:val="22"/>
              </w:rPr>
            </w:pPr>
          </w:p>
        </w:tc>
        <w:tc>
          <w:tcPr>
            <w:tcW w:w="1890" w:type="dxa"/>
            <w:tcBorders>
              <w:top w:val="nil"/>
              <w:left w:val="nil"/>
              <w:bottom w:val="nil"/>
              <w:right w:val="nil"/>
            </w:tcBorders>
            <w:shd w:val="clear" w:color="auto" w:fill="auto"/>
            <w:noWrap/>
            <w:vAlign w:val="bottom"/>
          </w:tcPr>
          <w:p w14:paraId="435196D8" w14:textId="77777777" w:rsidR="00EE5A50" w:rsidRPr="00AB0F1F" w:rsidRDefault="009510C0" w:rsidP="00EE5A50">
            <w:pPr>
              <w:jc w:val="center"/>
              <w:rPr>
                <w:sz w:val="22"/>
                <w:szCs w:val="22"/>
              </w:rPr>
            </w:pPr>
            <w:r>
              <w:rPr>
                <w:sz w:val="22"/>
                <w:szCs w:val="22"/>
                <w:lang w:val="es-ES_tradnl"/>
              </w:rPr>
              <w:t>22.123</w:t>
            </w:r>
          </w:p>
        </w:tc>
        <w:tc>
          <w:tcPr>
            <w:tcW w:w="270" w:type="dxa"/>
            <w:tcBorders>
              <w:top w:val="nil"/>
              <w:left w:val="nil"/>
              <w:bottom w:val="nil"/>
              <w:right w:val="nil"/>
            </w:tcBorders>
            <w:shd w:val="clear" w:color="auto" w:fill="auto"/>
            <w:noWrap/>
          </w:tcPr>
          <w:p w14:paraId="2C14AD78" w14:textId="77777777" w:rsidR="00EE5A50" w:rsidRPr="00672253" w:rsidRDefault="00EE5A50" w:rsidP="00EE5A50">
            <w:pPr>
              <w:rPr>
                <w:sz w:val="22"/>
                <w:szCs w:val="22"/>
                <w:highlight w:val="yellow"/>
              </w:rPr>
            </w:pPr>
          </w:p>
        </w:tc>
        <w:tc>
          <w:tcPr>
            <w:tcW w:w="2070" w:type="dxa"/>
            <w:tcBorders>
              <w:top w:val="nil"/>
              <w:left w:val="nil"/>
              <w:bottom w:val="nil"/>
              <w:right w:val="nil"/>
            </w:tcBorders>
            <w:shd w:val="clear" w:color="auto" w:fill="auto"/>
            <w:noWrap/>
            <w:vAlign w:val="bottom"/>
          </w:tcPr>
          <w:p w14:paraId="304F95A2" w14:textId="3D41317F" w:rsidR="00EE5A50" w:rsidRPr="004A4FAC" w:rsidRDefault="009510C0" w:rsidP="00EE5A50">
            <w:pPr>
              <w:jc w:val="center"/>
              <w:rPr>
                <w:sz w:val="22"/>
                <w:szCs w:val="22"/>
              </w:rPr>
            </w:pPr>
            <w:r>
              <w:rPr>
                <w:sz w:val="22"/>
                <w:szCs w:val="22"/>
                <w:lang w:val="es-ES_tradnl"/>
              </w:rPr>
              <w:t>23.048</w:t>
            </w:r>
          </w:p>
        </w:tc>
        <w:tc>
          <w:tcPr>
            <w:tcW w:w="270" w:type="dxa"/>
            <w:tcBorders>
              <w:top w:val="nil"/>
              <w:left w:val="nil"/>
              <w:bottom w:val="nil"/>
              <w:right w:val="nil"/>
            </w:tcBorders>
            <w:shd w:val="clear" w:color="auto" w:fill="auto"/>
            <w:noWrap/>
          </w:tcPr>
          <w:p w14:paraId="782C34CD" w14:textId="77777777" w:rsidR="00EE5A50" w:rsidRPr="004A4FAC" w:rsidRDefault="00EE5A50" w:rsidP="00EE5A50">
            <w:pPr>
              <w:rPr>
                <w:sz w:val="22"/>
                <w:szCs w:val="22"/>
              </w:rPr>
            </w:pPr>
          </w:p>
        </w:tc>
        <w:tc>
          <w:tcPr>
            <w:tcW w:w="1350" w:type="dxa"/>
            <w:tcBorders>
              <w:top w:val="nil"/>
              <w:left w:val="nil"/>
              <w:bottom w:val="nil"/>
              <w:right w:val="nil"/>
            </w:tcBorders>
            <w:shd w:val="clear" w:color="auto" w:fill="auto"/>
            <w:noWrap/>
            <w:vAlign w:val="bottom"/>
          </w:tcPr>
          <w:p w14:paraId="52F28B37" w14:textId="0914B3B3" w:rsidR="00EE5A50" w:rsidRPr="004A4FAC" w:rsidRDefault="009510C0" w:rsidP="00EE5A50">
            <w:pPr>
              <w:jc w:val="center"/>
              <w:rPr>
                <w:sz w:val="22"/>
                <w:szCs w:val="22"/>
              </w:rPr>
            </w:pPr>
            <w:r>
              <w:rPr>
                <w:sz w:val="22"/>
                <w:szCs w:val="22"/>
                <w:lang w:val="es-ES_tradnl"/>
              </w:rPr>
              <w:t>0.925</w:t>
            </w:r>
          </w:p>
        </w:tc>
        <w:tc>
          <w:tcPr>
            <w:tcW w:w="270" w:type="dxa"/>
            <w:tcBorders>
              <w:top w:val="nil"/>
              <w:left w:val="nil"/>
              <w:bottom w:val="nil"/>
              <w:right w:val="nil"/>
            </w:tcBorders>
            <w:shd w:val="clear" w:color="auto" w:fill="auto"/>
            <w:noWrap/>
          </w:tcPr>
          <w:p w14:paraId="3DD3A8CE" w14:textId="77777777" w:rsidR="00EE5A50" w:rsidRPr="004A4FAC" w:rsidRDefault="00EE5A50" w:rsidP="00EE5A50">
            <w:pPr>
              <w:rPr>
                <w:sz w:val="22"/>
                <w:szCs w:val="22"/>
              </w:rPr>
            </w:pPr>
          </w:p>
        </w:tc>
        <w:tc>
          <w:tcPr>
            <w:tcW w:w="2002" w:type="dxa"/>
            <w:gridSpan w:val="2"/>
            <w:tcBorders>
              <w:top w:val="nil"/>
              <w:left w:val="nil"/>
              <w:bottom w:val="nil"/>
              <w:right w:val="nil"/>
            </w:tcBorders>
            <w:shd w:val="clear" w:color="auto" w:fill="auto"/>
            <w:noWrap/>
            <w:vAlign w:val="bottom"/>
          </w:tcPr>
          <w:p w14:paraId="7BFFA8EB" w14:textId="4E1A9046" w:rsidR="00EE5A50" w:rsidRPr="004A4FAC" w:rsidRDefault="009510C0" w:rsidP="00EE5A50">
            <w:pPr>
              <w:jc w:val="center"/>
              <w:rPr>
                <w:sz w:val="22"/>
                <w:szCs w:val="22"/>
              </w:rPr>
            </w:pPr>
            <w:r>
              <w:rPr>
                <w:sz w:val="22"/>
                <w:szCs w:val="22"/>
                <w:lang w:val="es-ES_tradnl"/>
              </w:rPr>
              <w:t>4.18%</w:t>
            </w:r>
          </w:p>
        </w:tc>
      </w:tr>
      <w:tr w:rsidR="00EA0C0B" w14:paraId="76824DFF" w14:textId="77777777" w:rsidTr="00EE5A50">
        <w:trPr>
          <w:gridBefore w:val="1"/>
          <w:wBefore w:w="108" w:type="dxa"/>
          <w:trHeight w:val="255"/>
          <w:jc w:val="center"/>
        </w:trPr>
        <w:tc>
          <w:tcPr>
            <w:tcW w:w="2610" w:type="dxa"/>
            <w:tcBorders>
              <w:top w:val="nil"/>
              <w:left w:val="nil"/>
              <w:bottom w:val="nil"/>
              <w:right w:val="nil"/>
            </w:tcBorders>
            <w:shd w:val="clear" w:color="auto" w:fill="auto"/>
            <w:noWrap/>
          </w:tcPr>
          <w:p w14:paraId="17C46E71" w14:textId="77777777" w:rsidR="00EE5A50" w:rsidRPr="00EE5A50" w:rsidRDefault="009510C0" w:rsidP="00EE5A50">
            <w:pPr>
              <w:rPr>
                <w:b/>
                <w:bCs/>
                <w:sz w:val="22"/>
                <w:szCs w:val="22"/>
              </w:rPr>
            </w:pPr>
            <w:r>
              <w:rPr>
                <w:b/>
                <w:bCs/>
                <w:sz w:val="22"/>
                <w:szCs w:val="22"/>
                <w:lang w:val="es-ES_tradnl"/>
              </w:rPr>
              <w:t>Agrícola</w:t>
            </w:r>
          </w:p>
        </w:tc>
        <w:tc>
          <w:tcPr>
            <w:tcW w:w="270" w:type="dxa"/>
            <w:tcBorders>
              <w:top w:val="nil"/>
              <w:left w:val="nil"/>
              <w:bottom w:val="nil"/>
              <w:right w:val="nil"/>
            </w:tcBorders>
            <w:shd w:val="clear" w:color="auto" w:fill="auto"/>
            <w:noWrap/>
          </w:tcPr>
          <w:p w14:paraId="65CDB692" w14:textId="77777777" w:rsidR="00EE5A50" w:rsidRPr="00EE5A50" w:rsidRDefault="00EE5A50" w:rsidP="00EE5A50">
            <w:pPr>
              <w:rPr>
                <w:sz w:val="22"/>
                <w:szCs w:val="22"/>
              </w:rPr>
            </w:pPr>
          </w:p>
        </w:tc>
        <w:tc>
          <w:tcPr>
            <w:tcW w:w="1890" w:type="dxa"/>
            <w:tcBorders>
              <w:top w:val="nil"/>
              <w:left w:val="nil"/>
              <w:bottom w:val="nil"/>
              <w:right w:val="nil"/>
            </w:tcBorders>
            <w:shd w:val="clear" w:color="auto" w:fill="auto"/>
            <w:noWrap/>
            <w:vAlign w:val="bottom"/>
          </w:tcPr>
          <w:p w14:paraId="1FE1F0DB" w14:textId="77777777" w:rsidR="00EE5A50" w:rsidRPr="00AB0F1F" w:rsidRDefault="009510C0" w:rsidP="00EE5A50">
            <w:pPr>
              <w:jc w:val="center"/>
              <w:rPr>
                <w:sz w:val="22"/>
                <w:szCs w:val="22"/>
              </w:rPr>
            </w:pPr>
            <w:r>
              <w:rPr>
                <w:sz w:val="22"/>
                <w:szCs w:val="22"/>
                <w:lang w:val="es-ES_tradnl"/>
              </w:rPr>
              <w:t>16.980</w:t>
            </w:r>
          </w:p>
        </w:tc>
        <w:tc>
          <w:tcPr>
            <w:tcW w:w="270" w:type="dxa"/>
            <w:tcBorders>
              <w:top w:val="nil"/>
              <w:left w:val="nil"/>
              <w:bottom w:val="nil"/>
              <w:right w:val="nil"/>
            </w:tcBorders>
            <w:shd w:val="clear" w:color="auto" w:fill="auto"/>
            <w:noWrap/>
          </w:tcPr>
          <w:p w14:paraId="39E1D807" w14:textId="77777777" w:rsidR="00EE5A50" w:rsidRPr="00672253" w:rsidRDefault="00EE5A50" w:rsidP="00EE5A50">
            <w:pPr>
              <w:rPr>
                <w:sz w:val="22"/>
                <w:szCs w:val="22"/>
                <w:highlight w:val="yellow"/>
              </w:rPr>
            </w:pPr>
          </w:p>
        </w:tc>
        <w:tc>
          <w:tcPr>
            <w:tcW w:w="2070" w:type="dxa"/>
            <w:tcBorders>
              <w:top w:val="nil"/>
              <w:left w:val="nil"/>
              <w:bottom w:val="nil"/>
              <w:right w:val="nil"/>
            </w:tcBorders>
            <w:shd w:val="clear" w:color="auto" w:fill="auto"/>
            <w:noWrap/>
            <w:vAlign w:val="bottom"/>
          </w:tcPr>
          <w:p w14:paraId="28294F8C" w14:textId="4A72BF0C" w:rsidR="00EE5A50" w:rsidRPr="004A4FAC" w:rsidRDefault="009510C0" w:rsidP="00EE5A50">
            <w:pPr>
              <w:jc w:val="center"/>
              <w:rPr>
                <w:sz w:val="22"/>
                <w:szCs w:val="22"/>
              </w:rPr>
            </w:pPr>
            <w:r>
              <w:rPr>
                <w:sz w:val="22"/>
                <w:szCs w:val="22"/>
                <w:lang w:val="es-ES_tradnl"/>
              </w:rPr>
              <w:t>17.635</w:t>
            </w:r>
          </w:p>
        </w:tc>
        <w:tc>
          <w:tcPr>
            <w:tcW w:w="270" w:type="dxa"/>
            <w:tcBorders>
              <w:top w:val="nil"/>
              <w:left w:val="nil"/>
              <w:bottom w:val="nil"/>
              <w:right w:val="nil"/>
            </w:tcBorders>
            <w:shd w:val="clear" w:color="auto" w:fill="auto"/>
            <w:noWrap/>
          </w:tcPr>
          <w:p w14:paraId="53DD80E1" w14:textId="77777777" w:rsidR="00EE5A50" w:rsidRPr="004A4FAC" w:rsidRDefault="00EE5A50" w:rsidP="00EE5A50">
            <w:pPr>
              <w:rPr>
                <w:sz w:val="22"/>
                <w:szCs w:val="22"/>
              </w:rPr>
            </w:pPr>
          </w:p>
        </w:tc>
        <w:tc>
          <w:tcPr>
            <w:tcW w:w="1350" w:type="dxa"/>
            <w:tcBorders>
              <w:top w:val="nil"/>
              <w:left w:val="nil"/>
              <w:bottom w:val="nil"/>
              <w:right w:val="nil"/>
            </w:tcBorders>
            <w:shd w:val="clear" w:color="auto" w:fill="auto"/>
            <w:noWrap/>
            <w:vAlign w:val="bottom"/>
          </w:tcPr>
          <w:p w14:paraId="73A61B77" w14:textId="2F1801B5" w:rsidR="00EE5A50" w:rsidRPr="004A4FAC" w:rsidRDefault="009510C0" w:rsidP="00EE5A50">
            <w:pPr>
              <w:jc w:val="center"/>
              <w:rPr>
                <w:sz w:val="22"/>
                <w:szCs w:val="22"/>
              </w:rPr>
            </w:pPr>
            <w:r>
              <w:rPr>
                <w:sz w:val="22"/>
                <w:szCs w:val="22"/>
                <w:lang w:val="es-ES_tradnl"/>
              </w:rPr>
              <w:t>0.655</w:t>
            </w:r>
          </w:p>
        </w:tc>
        <w:tc>
          <w:tcPr>
            <w:tcW w:w="270" w:type="dxa"/>
            <w:tcBorders>
              <w:top w:val="nil"/>
              <w:left w:val="nil"/>
              <w:bottom w:val="nil"/>
              <w:right w:val="nil"/>
            </w:tcBorders>
            <w:shd w:val="clear" w:color="auto" w:fill="auto"/>
            <w:noWrap/>
          </w:tcPr>
          <w:p w14:paraId="46789B5E" w14:textId="77777777" w:rsidR="00EE5A50" w:rsidRPr="004A4FAC" w:rsidRDefault="00EE5A50" w:rsidP="00EE5A50">
            <w:pPr>
              <w:rPr>
                <w:sz w:val="22"/>
                <w:szCs w:val="22"/>
              </w:rPr>
            </w:pPr>
          </w:p>
        </w:tc>
        <w:tc>
          <w:tcPr>
            <w:tcW w:w="2002" w:type="dxa"/>
            <w:gridSpan w:val="2"/>
            <w:tcBorders>
              <w:top w:val="nil"/>
              <w:left w:val="nil"/>
              <w:bottom w:val="nil"/>
              <w:right w:val="nil"/>
            </w:tcBorders>
            <w:shd w:val="clear" w:color="auto" w:fill="auto"/>
            <w:noWrap/>
            <w:vAlign w:val="bottom"/>
          </w:tcPr>
          <w:p w14:paraId="1BED37CC" w14:textId="47064822" w:rsidR="00EE5A50" w:rsidRPr="004A4FAC" w:rsidRDefault="009510C0" w:rsidP="00EE5A50">
            <w:pPr>
              <w:jc w:val="center"/>
              <w:rPr>
                <w:sz w:val="22"/>
                <w:szCs w:val="22"/>
              </w:rPr>
            </w:pPr>
            <w:r>
              <w:rPr>
                <w:sz w:val="22"/>
                <w:szCs w:val="22"/>
                <w:lang w:val="es-ES_tradnl"/>
              </w:rPr>
              <w:t>3.86%</w:t>
            </w:r>
          </w:p>
        </w:tc>
      </w:tr>
      <w:tr w:rsidR="00EA0C0B" w14:paraId="7AC1F92D" w14:textId="77777777" w:rsidTr="00EE5A50">
        <w:trPr>
          <w:gridBefore w:val="1"/>
          <w:wBefore w:w="108" w:type="dxa"/>
          <w:trHeight w:val="255"/>
          <w:jc w:val="center"/>
        </w:trPr>
        <w:tc>
          <w:tcPr>
            <w:tcW w:w="2610" w:type="dxa"/>
            <w:tcBorders>
              <w:top w:val="nil"/>
              <w:left w:val="nil"/>
              <w:bottom w:val="nil"/>
              <w:right w:val="nil"/>
            </w:tcBorders>
            <w:shd w:val="clear" w:color="auto" w:fill="auto"/>
            <w:noWrap/>
          </w:tcPr>
          <w:p w14:paraId="7FF71503" w14:textId="77777777" w:rsidR="00EE5A50" w:rsidRPr="00EE5A50" w:rsidRDefault="009510C0" w:rsidP="00EE5A50">
            <w:pPr>
              <w:rPr>
                <w:b/>
                <w:bCs/>
                <w:sz w:val="22"/>
                <w:szCs w:val="22"/>
              </w:rPr>
            </w:pPr>
            <w:r>
              <w:rPr>
                <w:b/>
                <w:bCs/>
                <w:sz w:val="22"/>
                <w:szCs w:val="22"/>
                <w:lang w:val="es-ES_tradnl"/>
              </w:rPr>
              <w:t>Iluminación</w:t>
            </w:r>
          </w:p>
        </w:tc>
        <w:tc>
          <w:tcPr>
            <w:tcW w:w="270" w:type="dxa"/>
            <w:tcBorders>
              <w:top w:val="nil"/>
              <w:left w:val="nil"/>
              <w:bottom w:val="nil"/>
              <w:right w:val="nil"/>
            </w:tcBorders>
            <w:shd w:val="clear" w:color="auto" w:fill="auto"/>
            <w:noWrap/>
          </w:tcPr>
          <w:p w14:paraId="44EE0B27" w14:textId="77777777" w:rsidR="00EE5A50" w:rsidRPr="00EE5A50" w:rsidRDefault="00EE5A50" w:rsidP="00EE5A50">
            <w:pPr>
              <w:rPr>
                <w:sz w:val="22"/>
                <w:szCs w:val="22"/>
              </w:rPr>
            </w:pPr>
          </w:p>
        </w:tc>
        <w:tc>
          <w:tcPr>
            <w:tcW w:w="1890" w:type="dxa"/>
            <w:tcBorders>
              <w:top w:val="nil"/>
              <w:left w:val="nil"/>
              <w:bottom w:val="nil"/>
              <w:right w:val="nil"/>
            </w:tcBorders>
            <w:shd w:val="clear" w:color="auto" w:fill="auto"/>
            <w:noWrap/>
            <w:vAlign w:val="bottom"/>
          </w:tcPr>
          <w:p w14:paraId="7B2EA2C4" w14:textId="77777777" w:rsidR="00EE5A50" w:rsidRPr="00AB0F1F" w:rsidRDefault="009510C0" w:rsidP="00EE5A50">
            <w:pPr>
              <w:jc w:val="center"/>
              <w:rPr>
                <w:sz w:val="22"/>
                <w:szCs w:val="22"/>
              </w:rPr>
            </w:pPr>
            <w:r>
              <w:rPr>
                <w:sz w:val="22"/>
                <w:szCs w:val="22"/>
                <w:lang w:val="es-ES_tradnl"/>
              </w:rPr>
              <w:t>22.132</w:t>
            </w:r>
          </w:p>
        </w:tc>
        <w:tc>
          <w:tcPr>
            <w:tcW w:w="270" w:type="dxa"/>
            <w:tcBorders>
              <w:top w:val="nil"/>
              <w:left w:val="nil"/>
              <w:bottom w:val="nil"/>
              <w:right w:val="nil"/>
            </w:tcBorders>
            <w:shd w:val="clear" w:color="auto" w:fill="auto"/>
            <w:noWrap/>
          </w:tcPr>
          <w:p w14:paraId="472743F8" w14:textId="77777777" w:rsidR="00EE5A50" w:rsidRPr="00672253" w:rsidRDefault="00EE5A50" w:rsidP="00EE5A50">
            <w:pPr>
              <w:rPr>
                <w:sz w:val="22"/>
                <w:szCs w:val="22"/>
                <w:highlight w:val="yellow"/>
              </w:rPr>
            </w:pPr>
          </w:p>
        </w:tc>
        <w:tc>
          <w:tcPr>
            <w:tcW w:w="2070" w:type="dxa"/>
            <w:tcBorders>
              <w:top w:val="nil"/>
              <w:left w:val="nil"/>
              <w:bottom w:val="nil"/>
              <w:right w:val="nil"/>
            </w:tcBorders>
            <w:shd w:val="clear" w:color="auto" w:fill="auto"/>
            <w:noWrap/>
            <w:vAlign w:val="bottom"/>
          </w:tcPr>
          <w:p w14:paraId="48676A38" w14:textId="2FB33570" w:rsidR="00EE5A50" w:rsidRPr="004A4FAC" w:rsidRDefault="009510C0" w:rsidP="00EE5A50">
            <w:pPr>
              <w:jc w:val="center"/>
              <w:rPr>
                <w:sz w:val="22"/>
                <w:szCs w:val="22"/>
              </w:rPr>
            </w:pPr>
            <w:r>
              <w:rPr>
                <w:sz w:val="22"/>
                <w:szCs w:val="22"/>
                <w:lang w:val="es-ES_tradnl"/>
              </w:rPr>
              <w:t>22.736</w:t>
            </w:r>
          </w:p>
        </w:tc>
        <w:tc>
          <w:tcPr>
            <w:tcW w:w="270" w:type="dxa"/>
            <w:tcBorders>
              <w:top w:val="nil"/>
              <w:left w:val="nil"/>
              <w:bottom w:val="nil"/>
              <w:right w:val="nil"/>
            </w:tcBorders>
            <w:shd w:val="clear" w:color="auto" w:fill="auto"/>
            <w:noWrap/>
          </w:tcPr>
          <w:p w14:paraId="4262BA1D" w14:textId="77777777" w:rsidR="00EE5A50" w:rsidRPr="004A4FAC" w:rsidRDefault="00EE5A50" w:rsidP="00EE5A50">
            <w:pPr>
              <w:rPr>
                <w:sz w:val="22"/>
                <w:szCs w:val="22"/>
              </w:rPr>
            </w:pPr>
          </w:p>
        </w:tc>
        <w:tc>
          <w:tcPr>
            <w:tcW w:w="1350" w:type="dxa"/>
            <w:tcBorders>
              <w:top w:val="nil"/>
              <w:left w:val="nil"/>
              <w:bottom w:val="nil"/>
              <w:right w:val="nil"/>
            </w:tcBorders>
            <w:shd w:val="clear" w:color="auto" w:fill="auto"/>
            <w:noWrap/>
            <w:vAlign w:val="bottom"/>
          </w:tcPr>
          <w:p w14:paraId="608AC738" w14:textId="0915CA94" w:rsidR="00EE5A50" w:rsidRPr="004A4FAC" w:rsidRDefault="009510C0" w:rsidP="00EE5A50">
            <w:pPr>
              <w:jc w:val="center"/>
              <w:rPr>
                <w:sz w:val="22"/>
                <w:szCs w:val="22"/>
              </w:rPr>
            </w:pPr>
            <w:r>
              <w:rPr>
                <w:sz w:val="22"/>
                <w:szCs w:val="22"/>
                <w:lang w:val="es-ES_tradnl"/>
              </w:rPr>
              <w:t>0.604</w:t>
            </w:r>
          </w:p>
        </w:tc>
        <w:tc>
          <w:tcPr>
            <w:tcW w:w="270" w:type="dxa"/>
            <w:tcBorders>
              <w:top w:val="nil"/>
              <w:left w:val="nil"/>
              <w:bottom w:val="nil"/>
              <w:right w:val="nil"/>
            </w:tcBorders>
            <w:shd w:val="clear" w:color="auto" w:fill="auto"/>
            <w:noWrap/>
          </w:tcPr>
          <w:p w14:paraId="4709A3A2" w14:textId="77777777" w:rsidR="00EE5A50" w:rsidRPr="004A4FAC" w:rsidRDefault="00EE5A50" w:rsidP="00EE5A50">
            <w:pPr>
              <w:rPr>
                <w:sz w:val="22"/>
                <w:szCs w:val="22"/>
              </w:rPr>
            </w:pPr>
          </w:p>
        </w:tc>
        <w:tc>
          <w:tcPr>
            <w:tcW w:w="2002" w:type="dxa"/>
            <w:gridSpan w:val="2"/>
            <w:tcBorders>
              <w:top w:val="nil"/>
              <w:left w:val="nil"/>
              <w:bottom w:val="nil"/>
              <w:right w:val="nil"/>
            </w:tcBorders>
            <w:shd w:val="clear" w:color="auto" w:fill="auto"/>
            <w:noWrap/>
            <w:vAlign w:val="bottom"/>
          </w:tcPr>
          <w:p w14:paraId="57D75418" w14:textId="14201F48" w:rsidR="00EE5A50" w:rsidRPr="004A4FAC" w:rsidRDefault="009510C0" w:rsidP="00EE5A50">
            <w:pPr>
              <w:jc w:val="center"/>
              <w:rPr>
                <w:sz w:val="22"/>
                <w:szCs w:val="22"/>
              </w:rPr>
            </w:pPr>
            <w:r>
              <w:rPr>
                <w:sz w:val="22"/>
                <w:szCs w:val="22"/>
                <w:lang w:val="es-ES_tradnl"/>
              </w:rPr>
              <w:t>2.73%</w:t>
            </w:r>
          </w:p>
        </w:tc>
      </w:tr>
      <w:tr w:rsidR="00EA0C0B" w14:paraId="3094E680" w14:textId="77777777" w:rsidTr="00EE5A50">
        <w:trPr>
          <w:gridBefore w:val="1"/>
          <w:wBefore w:w="108" w:type="dxa"/>
          <w:trHeight w:val="255"/>
          <w:jc w:val="center"/>
        </w:trPr>
        <w:tc>
          <w:tcPr>
            <w:tcW w:w="2610" w:type="dxa"/>
            <w:tcBorders>
              <w:top w:val="nil"/>
              <w:left w:val="nil"/>
              <w:bottom w:val="nil"/>
              <w:right w:val="nil"/>
            </w:tcBorders>
            <w:shd w:val="clear" w:color="auto" w:fill="auto"/>
            <w:noWrap/>
          </w:tcPr>
          <w:p w14:paraId="7E813917" w14:textId="77777777" w:rsidR="00EE5A50" w:rsidRPr="00EE5A50" w:rsidRDefault="009510C0" w:rsidP="00EE5A50">
            <w:pPr>
              <w:rPr>
                <w:b/>
                <w:bCs/>
                <w:sz w:val="22"/>
                <w:szCs w:val="22"/>
              </w:rPr>
            </w:pPr>
            <w:r>
              <w:rPr>
                <w:b/>
                <w:bCs/>
                <w:sz w:val="22"/>
                <w:szCs w:val="22"/>
                <w:lang w:val="es-ES_tradnl"/>
              </w:rPr>
              <w:t>Total del sistema</w:t>
            </w:r>
          </w:p>
        </w:tc>
        <w:tc>
          <w:tcPr>
            <w:tcW w:w="270" w:type="dxa"/>
            <w:tcBorders>
              <w:top w:val="nil"/>
              <w:left w:val="nil"/>
              <w:bottom w:val="nil"/>
              <w:right w:val="nil"/>
            </w:tcBorders>
            <w:shd w:val="clear" w:color="auto" w:fill="auto"/>
            <w:noWrap/>
          </w:tcPr>
          <w:p w14:paraId="3E783066" w14:textId="77777777" w:rsidR="00EE5A50" w:rsidRPr="00EE5A50" w:rsidRDefault="00EE5A50" w:rsidP="00EE5A50">
            <w:pPr>
              <w:rPr>
                <w:sz w:val="22"/>
                <w:szCs w:val="22"/>
              </w:rPr>
            </w:pPr>
          </w:p>
        </w:tc>
        <w:tc>
          <w:tcPr>
            <w:tcW w:w="1890" w:type="dxa"/>
            <w:tcBorders>
              <w:top w:val="nil"/>
              <w:left w:val="nil"/>
              <w:bottom w:val="nil"/>
              <w:right w:val="nil"/>
            </w:tcBorders>
            <w:shd w:val="clear" w:color="auto" w:fill="auto"/>
            <w:noWrap/>
            <w:vAlign w:val="bottom"/>
          </w:tcPr>
          <w:p w14:paraId="23E59B70" w14:textId="77777777" w:rsidR="00EE5A50" w:rsidRPr="00AB0F1F" w:rsidRDefault="009510C0" w:rsidP="00EE5A50">
            <w:pPr>
              <w:jc w:val="center"/>
              <w:rPr>
                <w:sz w:val="22"/>
                <w:szCs w:val="22"/>
              </w:rPr>
            </w:pPr>
            <w:r>
              <w:rPr>
                <w:sz w:val="22"/>
                <w:szCs w:val="22"/>
                <w:lang w:val="es-ES_tradnl"/>
              </w:rPr>
              <w:t>23.993</w:t>
            </w:r>
          </w:p>
        </w:tc>
        <w:tc>
          <w:tcPr>
            <w:tcW w:w="270" w:type="dxa"/>
            <w:tcBorders>
              <w:top w:val="nil"/>
              <w:left w:val="nil"/>
              <w:bottom w:val="nil"/>
              <w:right w:val="nil"/>
            </w:tcBorders>
            <w:shd w:val="clear" w:color="auto" w:fill="auto"/>
            <w:noWrap/>
          </w:tcPr>
          <w:p w14:paraId="3A88DE1F" w14:textId="77777777" w:rsidR="00EE5A50" w:rsidRPr="00672253" w:rsidRDefault="00EE5A50" w:rsidP="00EE5A50">
            <w:pPr>
              <w:rPr>
                <w:sz w:val="22"/>
                <w:szCs w:val="22"/>
                <w:highlight w:val="yellow"/>
              </w:rPr>
            </w:pPr>
          </w:p>
        </w:tc>
        <w:tc>
          <w:tcPr>
            <w:tcW w:w="2070" w:type="dxa"/>
            <w:tcBorders>
              <w:top w:val="nil"/>
              <w:left w:val="nil"/>
              <w:bottom w:val="nil"/>
              <w:right w:val="nil"/>
            </w:tcBorders>
            <w:shd w:val="clear" w:color="auto" w:fill="auto"/>
            <w:noWrap/>
            <w:vAlign w:val="bottom"/>
          </w:tcPr>
          <w:p w14:paraId="2FBE1B36" w14:textId="1973B525" w:rsidR="00EE5A50" w:rsidRPr="004A4FAC" w:rsidRDefault="009510C0" w:rsidP="00EE5A50">
            <w:pPr>
              <w:jc w:val="center"/>
              <w:rPr>
                <w:sz w:val="22"/>
                <w:szCs w:val="22"/>
              </w:rPr>
            </w:pPr>
            <w:r>
              <w:rPr>
                <w:sz w:val="22"/>
                <w:szCs w:val="22"/>
                <w:lang w:val="es-ES_tradnl"/>
              </w:rPr>
              <w:t>24.886</w:t>
            </w:r>
          </w:p>
        </w:tc>
        <w:tc>
          <w:tcPr>
            <w:tcW w:w="270" w:type="dxa"/>
            <w:tcBorders>
              <w:top w:val="nil"/>
              <w:left w:val="nil"/>
              <w:bottom w:val="nil"/>
              <w:right w:val="nil"/>
            </w:tcBorders>
            <w:shd w:val="clear" w:color="auto" w:fill="auto"/>
            <w:noWrap/>
          </w:tcPr>
          <w:p w14:paraId="2B26B931" w14:textId="77777777" w:rsidR="00EE5A50" w:rsidRPr="004A4FAC" w:rsidRDefault="00EE5A50" w:rsidP="00EE5A50">
            <w:pPr>
              <w:rPr>
                <w:sz w:val="22"/>
                <w:szCs w:val="22"/>
              </w:rPr>
            </w:pPr>
          </w:p>
        </w:tc>
        <w:tc>
          <w:tcPr>
            <w:tcW w:w="1350" w:type="dxa"/>
            <w:tcBorders>
              <w:top w:val="nil"/>
              <w:left w:val="nil"/>
              <w:bottom w:val="nil"/>
              <w:right w:val="nil"/>
            </w:tcBorders>
            <w:shd w:val="clear" w:color="auto" w:fill="auto"/>
            <w:noWrap/>
            <w:vAlign w:val="bottom"/>
          </w:tcPr>
          <w:p w14:paraId="079B46B9" w14:textId="06F8FD00" w:rsidR="00EE5A50" w:rsidRPr="004A4FAC" w:rsidRDefault="009510C0" w:rsidP="00EE5A50">
            <w:pPr>
              <w:jc w:val="center"/>
              <w:rPr>
                <w:sz w:val="22"/>
                <w:szCs w:val="22"/>
              </w:rPr>
            </w:pPr>
            <w:r>
              <w:rPr>
                <w:sz w:val="22"/>
                <w:szCs w:val="22"/>
                <w:lang w:val="es-ES_tradnl"/>
              </w:rPr>
              <w:t>0.893</w:t>
            </w:r>
          </w:p>
        </w:tc>
        <w:tc>
          <w:tcPr>
            <w:tcW w:w="270" w:type="dxa"/>
            <w:tcBorders>
              <w:top w:val="nil"/>
              <w:left w:val="nil"/>
              <w:bottom w:val="nil"/>
              <w:right w:val="nil"/>
            </w:tcBorders>
            <w:shd w:val="clear" w:color="auto" w:fill="auto"/>
            <w:noWrap/>
          </w:tcPr>
          <w:p w14:paraId="6AF4EA57" w14:textId="77777777" w:rsidR="00EE5A50" w:rsidRPr="004A4FAC" w:rsidRDefault="00EE5A50" w:rsidP="00EE5A50">
            <w:pPr>
              <w:rPr>
                <w:sz w:val="22"/>
                <w:szCs w:val="22"/>
              </w:rPr>
            </w:pPr>
          </w:p>
        </w:tc>
        <w:tc>
          <w:tcPr>
            <w:tcW w:w="2002" w:type="dxa"/>
            <w:gridSpan w:val="2"/>
            <w:tcBorders>
              <w:top w:val="nil"/>
              <w:left w:val="nil"/>
              <w:bottom w:val="nil"/>
              <w:right w:val="nil"/>
            </w:tcBorders>
            <w:shd w:val="clear" w:color="auto" w:fill="auto"/>
            <w:noWrap/>
            <w:vAlign w:val="bottom"/>
          </w:tcPr>
          <w:p w14:paraId="50CF0237" w14:textId="5EE0D9A6" w:rsidR="00EE5A50" w:rsidRPr="004A4FAC" w:rsidRDefault="009510C0" w:rsidP="00EE5A50">
            <w:pPr>
              <w:jc w:val="center"/>
              <w:rPr>
                <w:sz w:val="22"/>
                <w:szCs w:val="22"/>
              </w:rPr>
            </w:pPr>
            <w:r>
              <w:rPr>
                <w:sz w:val="22"/>
                <w:szCs w:val="22"/>
                <w:lang w:val="es-ES_tradnl"/>
              </w:rPr>
              <w:t>3.72%</w:t>
            </w:r>
          </w:p>
        </w:tc>
      </w:tr>
    </w:tbl>
    <w:p w14:paraId="5B5B9344" w14:textId="77777777" w:rsidR="006126D6" w:rsidRDefault="006126D6" w:rsidP="006126D6">
      <w:pPr>
        <w:autoSpaceDE w:val="0"/>
        <w:autoSpaceDN w:val="0"/>
        <w:adjustRightInd w:val="0"/>
        <w:rPr>
          <w:sz w:val="20"/>
          <w:szCs w:val="20"/>
        </w:rPr>
      </w:pPr>
    </w:p>
    <w:tbl>
      <w:tblPr>
        <w:tblW w:w="11110" w:type="dxa"/>
        <w:jc w:val="center"/>
        <w:tblLook w:val="0000" w:firstRow="0" w:lastRow="0" w:firstColumn="0" w:lastColumn="0" w:noHBand="0" w:noVBand="0"/>
      </w:tblPr>
      <w:tblGrid>
        <w:gridCol w:w="11110"/>
      </w:tblGrid>
      <w:tr w:rsidR="00EA0C0B" w:rsidRPr="00EB47DE" w14:paraId="635DDCAA" w14:textId="77777777" w:rsidTr="4273F307">
        <w:trPr>
          <w:trHeight w:val="297"/>
          <w:jc w:val="center"/>
        </w:trPr>
        <w:tc>
          <w:tcPr>
            <w:tcW w:w="10440" w:type="dxa"/>
            <w:tcBorders>
              <w:top w:val="nil"/>
              <w:left w:val="nil"/>
              <w:bottom w:val="nil"/>
              <w:right w:val="nil"/>
            </w:tcBorders>
            <w:shd w:val="clear" w:color="auto" w:fill="auto"/>
            <w:noWrap/>
            <w:vAlign w:val="bottom"/>
          </w:tcPr>
          <w:p w14:paraId="632D7E94" w14:textId="36C6F6A6" w:rsidR="00EE5A50" w:rsidRPr="002F7382" w:rsidRDefault="009510C0" w:rsidP="4273F307">
            <w:pPr>
              <w:rPr>
                <w:b/>
                <w:bCs/>
                <w:sz w:val="20"/>
                <w:szCs w:val="20"/>
                <w:lang w:val="es-MX"/>
              </w:rPr>
            </w:pPr>
            <w:bookmarkStart w:id="3" w:name="_Hlk32926365"/>
            <w:r>
              <w:rPr>
                <w:sz w:val="20"/>
                <w:szCs w:val="20"/>
                <w:vertAlign w:val="superscript"/>
                <w:lang w:val="es-ES_tradnl"/>
              </w:rPr>
              <w:lastRenderedPageBreak/>
              <w:t xml:space="preserve">1 </w:t>
            </w:r>
            <w:r>
              <w:rPr>
                <w:sz w:val="20"/>
                <w:szCs w:val="20"/>
                <w:lang w:val="es-ES_tradnl"/>
              </w:rPr>
              <w:t xml:space="preserve">Las tarifas UDC incluyen el California </w:t>
            </w:r>
            <w:proofErr w:type="spellStart"/>
            <w:r>
              <w:rPr>
                <w:sz w:val="20"/>
                <w:szCs w:val="20"/>
                <w:lang w:val="es-ES_tradnl"/>
              </w:rPr>
              <w:t>Wildfire</w:t>
            </w:r>
            <w:proofErr w:type="spellEnd"/>
            <w:r>
              <w:rPr>
                <w:sz w:val="20"/>
                <w:szCs w:val="20"/>
                <w:lang w:val="es-ES_tradnl"/>
              </w:rPr>
              <w:t xml:space="preserve"> </w:t>
            </w:r>
            <w:proofErr w:type="spellStart"/>
            <w:r>
              <w:rPr>
                <w:sz w:val="20"/>
                <w:szCs w:val="20"/>
                <w:lang w:val="es-ES_tradnl"/>
              </w:rPr>
              <w:t>Fund</w:t>
            </w:r>
            <w:proofErr w:type="spellEnd"/>
            <w:r>
              <w:rPr>
                <w:sz w:val="20"/>
                <w:szCs w:val="20"/>
                <w:lang w:val="es-ES_tradnl"/>
              </w:rPr>
              <w:t xml:space="preserve">. El </w:t>
            </w:r>
            <w:proofErr w:type="spellStart"/>
            <w:r>
              <w:rPr>
                <w:sz w:val="20"/>
                <w:szCs w:val="20"/>
                <w:lang w:val="es-ES_tradnl"/>
              </w:rPr>
              <w:t>Wildfire</w:t>
            </w:r>
            <w:proofErr w:type="spellEnd"/>
            <w:r>
              <w:rPr>
                <w:sz w:val="20"/>
                <w:szCs w:val="20"/>
                <w:lang w:val="es-ES_tradnl"/>
              </w:rPr>
              <w:t xml:space="preserve"> </w:t>
            </w:r>
            <w:proofErr w:type="spellStart"/>
            <w:r>
              <w:rPr>
                <w:sz w:val="20"/>
                <w:szCs w:val="20"/>
                <w:lang w:val="es-ES_tradnl"/>
              </w:rPr>
              <w:t>Fund</w:t>
            </w:r>
            <w:proofErr w:type="spellEnd"/>
            <w:r>
              <w:rPr>
                <w:sz w:val="20"/>
                <w:szCs w:val="20"/>
                <w:lang w:val="es-ES_tradnl"/>
              </w:rPr>
              <w:t xml:space="preserve"> sustituyó el DWR-BC el 10/1/2020. Debido a limitaciones del sistema, el etiquetado de DWR-BC no cambiará hasta 2021.</w:t>
            </w:r>
          </w:p>
        </w:tc>
      </w:tr>
      <w:tr w:rsidR="00EA0C0B" w:rsidRPr="00EB47DE" w14:paraId="1E348E99" w14:textId="77777777" w:rsidTr="4273F307">
        <w:trPr>
          <w:trHeight w:val="255"/>
          <w:jc w:val="center"/>
        </w:trPr>
        <w:tc>
          <w:tcPr>
            <w:tcW w:w="10440" w:type="dxa"/>
            <w:tcBorders>
              <w:top w:val="nil"/>
              <w:left w:val="nil"/>
              <w:bottom w:val="nil"/>
              <w:right w:val="nil"/>
            </w:tcBorders>
            <w:shd w:val="clear" w:color="auto" w:fill="auto"/>
            <w:noWrap/>
          </w:tcPr>
          <w:p w14:paraId="22E74AFD" w14:textId="77777777" w:rsidR="00EE5A50" w:rsidRPr="002F7382" w:rsidRDefault="009510C0" w:rsidP="00583211">
            <w:pPr>
              <w:rPr>
                <w:b/>
                <w:bCs/>
                <w:sz w:val="20"/>
                <w:lang w:val="es-MX"/>
              </w:rPr>
            </w:pPr>
            <w:r>
              <w:rPr>
                <w:sz w:val="20"/>
                <w:szCs w:val="20"/>
                <w:vertAlign w:val="superscript"/>
                <w:lang w:val="es-ES_tradnl"/>
              </w:rPr>
              <w:t xml:space="preserve">2 </w:t>
            </w:r>
            <w:r>
              <w:rPr>
                <w:sz w:val="20"/>
                <w:szCs w:val="20"/>
                <w:lang w:val="es-ES_tradnl"/>
              </w:rPr>
              <w:t xml:space="preserve">Las tarifas de producto básico incluyen el abono </w:t>
            </w:r>
            <w:proofErr w:type="spellStart"/>
            <w:r>
              <w:rPr>
                <w:sz w:val="20"/>
                <w:szCs w:val="20"/>
                <w:lang w:val="es-ES_tradnl"/>
              </w:rPr>
              <w:t>Power</w:t>
            </w:r>
            <w:proofErr w:type="spellEnd"/>
            <w:r>
              <w:rPr>
                <w:sz w:val="20"/>
                <w:szCs w:val="20"/>
                <w:lang w:val="es-ES_tradnl"/>
              </w:rPr>
              <w:t xml:space="preserve"> </w:t>
            </w:r>
            <w:proofErr w:type="spellStart"/>
            <w:r>
              <w:rPr>
                <w:sz w:val="20"/>
                <w:szCs w:val="20"/>
                <w:lang w:val="es-ES_tradnl"/>
              </w:rPr>
              <w:t>Charge</w:t>
            </w:r>
            <w:proofErr w:type="spellEnd"/>
            <w:r>
              <w:rPr>
                <w:sz w:val="20"/>
                <w:szCs w:val="20"/>
                <w:lang w:val="es-ES_tradnl"/>
              </w:rPr>
              <w:t xml:space="preserve"> del DWR.</w:t>
            </w:r>
          </w:p>
        </w:tc>
      </w:tr>
      <w:tr w:rsidR="00EA0C0B" w:rsidRPr="00EB47DE" w14:paraId="3ACBA069" w14:textId="77777777" w:rsidTr="4273F307">
        <w:trPr>
          <w:trHeight w:val="255"/>
          <w:jc w:val="center"/>
        </w:trPr>
        <w:tc>
          <w:tcPr>
            <w:tcW w:w="10440" w:type="dxa"/>
            <w:tcBorders>
              <w:top w:val="nil"/>
              <w:left w:val="nil"/>
              <w:bottom w:val="nil"/>
              <w:right w:val="nil"/>
            </w:tcBorders>
            <w:shd w:val="clear" w:color="auto" w:fill="auto"/>
            <w:noWrap/>
          </w:tcPr>
          <w:p w14:paraId="614F5062" w14:textId="2334C8FE" w:rsidR="00EE5A50" w:rsidRPr="002F7382" w:rsidRDefault="009510C0" w:rsidP="00583211">
            <w:pPr>
              <w:rPr>
                <w:b/>
                <w:bCs/>
                <w:sz w:val="20"/>
                <w:lang w:val="es-MX"/>
              </w:rPr>
            </w:pPr>
            <w:r>
              <w:rPr>
                <w:sz w:val="20"/>
                <w:szCs w:val="20"/>
                <w:vertAlign w:val="superscript"/>
                <w:lang w:val="es-ES_tradnl"/>
              </w:rPr>
              <w:t>3</w:t>
            </w:r>
            <w:r>
              <w:rPr>
                <w:sz w:val="20"/>
                <w:szCs w:val="20"/>
                <w:lang w:val="es-ES_tradnl"/>
              </w:rPr>
              <w:t>Tarifas en vigor a partir del 1 de octubre de 2020, conforme a la Carta de Aviso (AL) 3619-E.</w:t>
            </w:r>
          </w:p>
        </w:tc>
      </w:tr>
      <w:tr w:rsidR="00EA0C0B" w:rsidRPr="00EB47DE" w14:paraId="02E3A5AB" w14:textId="77777777" w:rsidTr="4273F307">
        <w:trPr>
          <w:trHeight w:val="255"/>
          <w:jc w:val="center"/>
        </w:trPr>
        <w:tc>
          <w:tcPr>
            <w:tcW w:w="10440" w:type="dxa"/>
            <w:tcBorders>
              <w:top w:val="nil"/>
              <w:left w:val="nil"/>
              <w:bottom w:val="nil"/>
              <w:right w:val="nil"/>
            </w:tcBorders>
            <w:shd w:val="clear" w:color="auto" w:fill="auto"/>
            <w:noWrap/>
          </w:tcPr>
          <w:p w14:paraId="30D5A9B2" w14:textId="09F10737" w:rsidR="00EE5A50" w:rsidRPr="002F7382" w:rsidRDefault="009510C0" w:rsidP="00583211">
            <w:pPr>
              <w:ind w:left="-1260" w:firstLine="1260"/>
              <w:rPr>
                <w:sz w:val="20"/>
                <w:lang w:val="es-MX"/>
              </w:rPr>
            </w:pPr>
            <w:r>
              <w:rPr>
                <w:sz w:val="20"/>
                <w:szCs w:val="20"/>
                <w:vertAlign w:val="superscript"/>
                <w:lang w:val="es-ES_tradnl"/>
              </w:rPr>
              <w:t xml:space="preserve">4 </w:t>
            </w:r>
            <w:r>
              <w:rPr>
                <w:sz w:val="20"/>
                <w:szCs w:val="20"/>
                <w:lang w:val="es-ES_tradnl"/>
              </w:rPr>
              <w:t>$119 millones más cuotas de franquicia y cuentas incobrables amortizadas a lo largo de 10 meses.</w:t>
            </w:r>
          </w:p>
          <w:p w14:paraId="0FDBEB6E" w14:textId="7612A9CA" w:rsidR="00EE5A50" w:rsidRPr="002F7382" w:rsidRDefault="009510C0" w:rsidP="00583211">
            <w:pPr>
              <w:ind w:left="-1260" w:firstLine="1260"/>
              <w:rPr>
                <w:b/>
                <w:bCs/>
                <w:sz w:val="20"/>
                <w:lang w:val="es-MX"/>
              </w:rPr>
            </w:pPr>
            <w:r>
              <w:rPr>
                <w:sz w:val="20"/>
                <w:szCs w:val="20"/>
                <w:vertAlign w:val="superscript"/>
                <w:lang w:val="es-ES_tradnl"/>
              </w:rPr>
              <w:t xml:space="preserve">5 </w:t>
            </w:r>
            <w:proofErr w:type="spellStart"/>
            <w:r>
              <w:rPr>
                <w:sz w:val="20"/>
                <w:szCs w:val="20"/>
                <w:lang w:val="es-ES_tradnl"/>
              </w:rPr>
              <w:t>CeI</w:t>
            </w:r>
            <w:proofErr w:type="spellEnd"/>
            <w:r>
              <w:rPr>
                <w:sz w:val="20"/>
                <w:szCs w:val="20"/>
                <w:lang w:val="es-ES_tradnl"/>
              </w:rPr>
              <w:t xml:space="preserve"> significa Comercial e Industrial.</w:t>
            </w:r>
          </w:p>
        </w:tc>
      </w:tr>
    </w:tbl>
    <w:p w14:paraId="72574844" w14:textId="77777777" w:rsidR="00651D84" w:rsidRPr="002F7382" w:rsidRDefault="00651D84" w:rsidP="006126D6">
      <w:pPr>
        <w:autoSpaceDE w:val="0"/>
        <w:autoSpaceDN w:val="0"/>
        <w:adjustRightInd w:val="0"/>
        <w:rPr>
          <w:sz w:val="20"/>
          <w:szCs w:val="20"/>
          <w:lang w:val="es-MX"/>
        </w:rPr>
      </w:pPr>
    </w:p>
    <w:bookmarkEnd w:id="3"/>
    <w:p w14:paraId="197C4CEC" w14:textId="77777777" w:rsidR="0072769E" w:rsidRPr="002F7382" w:rsidRDefault="0072769E" w:rsidP="0072769E">
      <w:pPr>
        <w:rPr>
          <w:b/>
          <w:bCs/>
          <w:lang w:val="es-MX"/>
        </w:rPr>
      </w:pPr>
    </w:p>
    <w:p w14:paraId="5107141F" w14:textId="77777777" w:rsidR="0072769E" w:rsidRPr="002F7382" w:rsidRDefault="0072769E" w:rsidP="00FA7793">
      <w:pPr>
        <w:autoSpaceDE w:val="0"/>
        <w:autoSpaceDN w:val="0"/>
        <w:adjustRightInd w:val="0"/>
        <w:rPr>
          <w:b/>
          <w:bCs/>
          <w:lang w:val="es-MX"/>
        </w:rPr>
      </w:pPr>
    </w:p>
    <w:p w14:paraId="179BCF51" w14:textId="77777777" w:rsidR="00AE7615" w:rsidRDefault="009510C0" w:rsidP="00212BE6">
      <w:pPr>
        <w:pStyle w:val="BodyText"/>
        <w:jc w:val="center"/>
        <w:rPr>
          <w:b/>
          <w:bCs/>
        </w:rPr>
      </w:pPr>
      <w:r>
        <w:rPr>
          <w:b/>
          <w:bCs/>
          <w:lang w:val="es-ES_tradnl"/>
        </w:rPr>
        <w:t>¿CÓMO AFECTARÁ ESTO LAS FACTURAS ELÉCTRICAS DE LOS CLIENTES QUE NO TIENEN SERVICIOS EN PAQUETE?</w:t>
      </w:r>
    </w:p>
    <w:p w14:paraId="5CB0667B" w14:textId="0EB53F99" w:rsidR="004D51D2" w:rsidRPr="002F7382" w:rsidRDefault="009510C0" w:rsidP="00212BE6">
      <w:pPr>
        <w:pStyle w:val="BodyText"/>
        <w:jc w:val="both"/>
        <w:rPr>
          <w:lang w:val="es-MX"/>
        </w:rPr>
      </w:pPr>
      <w:r>
        <w:rPr>
          <w:lang w:val="es-ES_tradnl"/>
        </w:rPr>
        <w:t>Los clientes sin servicio</w:t>
      </w:r>
      <w:r w:rsidR="00FB1880">
        <w:rPr>
          <w:lang w:val="es-ES_tradnl"/>
        </w:rPr>
        <w:t>s</w:t>
      </w:r>
      <w:r>
        <w:rPr>
          <w:lang w:val="es-ES_tradnl"/>
        </w:rPr>
        <w:t xml:space="preserve"> en paquete incluyen a los clientes de </w:t>
      </w:r>
      <w:proofErr w:type="spellStart"/>
      <w:r>
        <w:rPr>
          <w:lang w:val="es-ES_tradnl"/>
        </w:rPr>
        <w:t>Direct</w:t>
      </w:r>
      <w:proofErr w:type="spellEnd"/>
      <w:r>
        <w:rPr>
          <w:lang w:val="es-ES_tradnl"/>
        </w:rPr>
        <w:t xml:space="preserve"> Access (DA), </w:t>
      </w:r>
      <w:proofErr w:type="spellStart"/>
      <w:r>
        <w:rPr>
          <w:lang w:val="es-ES_tradnl"/>
        </w:rPr>
        <w:t>Community</w:t>
      </w:r>
      <w:proofErr w:type="spellEnd"/>
      <w:r>
        <w:rPr>
          <w:lang w:val="es-ES_tradnl"/>
        </w:rPr>
        <w:t xml:space="preserve"> </w:t>
      </w:r>
      <w:proofErr w:type="spellStart"/>
      <w:r>
        <w:rPr>
          <w:lang w:val="es-ES_tradnl"/>
        </w:rPr>
        <w:t>Choice</w:t>
      </w:r>
      <w:proofErr w:type="spellEnd"/>
      <w:r>
        <w:rPr>
          <w:lang w:val="es-ES_tradnl"/>
        </w:rPr>
        <w:t xml:space="preserve"> </w:t>
      </w:r>
      <w:proofErr w:type="spellStart"/>
      <w:r>
        <w:rPr>
          <w:lang w:val="es-ES_tradnl"/>
        </w:rPr>
        <w:t>Aggregation</w:t>
      </w:r>
      <w:proofErr w:type="spellEnd"/>
      <w:r>
        <w:rPr>
          <w:lang w:val="es-ES_tradnl"/>
        </w:rPr>
        <w:t xml:space="preserve"> (CCA) y otros clientes de carga saliente que reciben únicamente servicios de distribución eléctrica de SDG&amp;E. Un resumen del impacto en las tarifas para estos clientes se presenta en la siguiente tabla.  </w:t>
      </w:r>
    </w:p>
    <w:p w14:paraId="10071B7C" w14:textId="5A55882D" w:rsidR="00E408CD" w:rsidRPr="002F7382" w:rsidRDefault="009510C0" w:rsidP="00212BE6">
      <w:pPr>
        <w:pStyle w:val="BodyText"/>
        <w:jc w:val="both"/>
        <w:rPr>
          <w:lang w:val="es-MX"/>
        </w:rPr>
      </w:pPr>
      <w:r>
        <w:rPr>
          <w:lang w:val="es-ES_tradnl"/>
        </w:rPr>
        <w:t xml:space="preserve">Si la CPUC aprueba la </w:t>
      </w:r>
      <w:r w:rsidR="00D84AD1">
        <w:rPr>
          <w:lang w:val="es-ES_tradnl"/>
        </w:rPr>
        <w:t>petición</w:t>
      </w:r>
      <w:r>
        <w:rPr>
          <w:lang w:val="es-ES_tradnl"/>
        </w:rPr>
        <w:t xml:space="preserve"> de SDG&amp;E, un cliente residencial </w:t>
      </w:r>
      <w:r w:rsidR="00EE2468">
        <w:rPr>
          <w:lang w:val="es-ES_tradnl"/>
        </w:rPr>
        <w:t xml:space="preserve">con </w:t>
      </w:r>
      <w:r>
        <w:rPr>
          <w:lang w:val="es-ES_tradnl"/>
        </w:rPr>
        <w:t>ajuste por el principio de indiferencia de cargos eléctricos</w:t>
      </w:r>
      <w:r w:rsidR="00A367B8">
        <w:rPr>
          <w:lang w:val="es-ES_tradnl"/>
        </w:rPr>
        <w:t xml:space="preserve"> correspondiente a la derrama 2020</w:t>
      </w:r>
      <w:r>
        <w:rPr>
          <w:lang w:val="es-ES_tradnl"/>
        </w:rPr>
        <w:t xml:space="preserve"> </w:t>
      </w:r>
      <w:r w:rsidR="00A367B8">
        <w:rPr>
          <w:lang w:val="es-ES_tradnl"/>
        </w:rPr>
        <w:t xml:space="preserve">(2020 </w:t>
      </w:r>
      <w:proofErr w:type="spellStart"/>
      <w:r w:rsidR="00A367B8">
        <w:rPr>
          <w:lang w:val="es-ES_tradnl"/>
        </w:rPr>
        <w:t>Power</w:t>
      </w:r>
      <w:proofErr w:type="spellEnd"/>
      <w:r w:rsidR="00A367B8">
        <w:rPr>
          <w:lang w:val="es-ES_tradnl"/>
        </w:rPr>
        <w:t xml:space="preserve"> </w:t>
      </w:r>
      <w:proofErr w:type="spellStart"/>
      <w:r w:rsidR="00A367B8">
        <w:rPr>
          <w:lang w:val="es-ES_tradnl"/>
        </w:rPr>
        <w:t>Charge</w:t>
      </w:r>
      <w:proofErr w:type="spellEnd"/>
      <w:r w:rsidR="00A367B8">
        <w:rPr>
          <w:lang w:val="es-ES_tradnl"/>
        </w:rPr>
        <w:t xml:space="preserve"> </w:t>
      </w:r>
      <w:proofErr w:type="spellStart"/>
      <w:r w:rsidR="00A367B8">
        <w:rPr>
          <w:lang w:val="es-ES_tradnl"/>
        </w:rPr>
        <w:t>Indifference</w:t>
      </w:r>
      <w:proofErr w:type="spellEnd"/>
      <w:r w:rsidR="00A367B8">
        <w:rPr>
          <w:lang w:val="es-ES_tradnl"/>
        </w:rPr>
        <w:t xml:space="preserve"> </w:t>
      </w:r>
      <w:proofErr w:type="spellStart"/>
      <w:r w:rsidR="00A367B8">
        <w:rPr>
          <w:lang w:val="es-ES_tradnl"/>
        </w:rPr>
        <w:t>Adjustment</w:t>
      </w:r>
      <w:proofErr w:type="spellEnd"/>
      <w:r w:rsidR="00A367B8">
        <w:rPr>
          <w:lang w:val="es-ES_tradnl"/>
        </w:rPr>
        <w:t xml:space="preserve">, PCIA, Vintage) </w:t>
      </w:r>
      <w:r>
        <w:rPr>
          <w:lang w:val="es-ES_tradnl"/>
        </w:rPr>
        <w:t xml:space="preserve">que no recibe servicios en paquete y consume 400 kWh al mes podría ver un </w:t>
      </w:r>
      <w:r>
        <w:rPr>
          <w:b/>
          <w:bCs/>
          <w:lang w:val="es-ES_tradnl"/>
        </w:rPr>
        <w:t>aumento</w:t>
      </w:r>
      <w:r>
        <w:rPr>
          <w:lang w:val="es-ES_tradnl"/>
        </w:rPr>
        <w:t xml:space="preserve"> en la factura mensual de $1.89, o 14.5%, de $13.06 a $14.95 del cargo PCIA. El cargo PCIA es un cargo entre muchos otros en las facturas de los clientes que no reciben servicios en paquete y es el único cargo que se incrementará.</w:t>
      </w:r>
    </w:p>
    <w:p w14:paraId="0F0C7E68" w14:textId="68BBC4F3" w:rsidR="00C77806" w:rsidRPr="002F7382" w:rsidRDefault="009510C0" w:rsidP="00212BE6">
      <w:pPr>
        <w:pStyle w:val="BodyText"/>
        <w:jc w:val="both"/>
        <w:rPr>
          <w:lang w:val="es-MX"/>
        </w:rPr>
      </w:pPr>
      <w:r>
        <w:rPr>
          <w:lang w:val="es-ES_tradnl"/>
        </w:rPr>
        <w:t xml:space="preserve">Para otras clases de cliente </w:t>
      </w:r>
      <w:r w:rsidR="00FB1880">
        <w:rPr>
          <w:lang w:val="es-ES_tradnl"/>
        </w:rPr>
        <w:t>en la</w:t>
      </w:r>
      <w:r>
        <w:rPr>
          <w:lang w:val="es-ES_tradnl"/>
        </w:rPr>
        <w:t xml:space="preserve"> </w:t>
      </w:r>
      <w:r w:rsidR="00A367B8">
        <w:rPr>
          <w:lang w:val="es-ES_tradnl"/>
        </w:rPr>
        <w:t xml:space="preserve">derrama PCIA </w:t>
      </w:r>
      <w:r>
        <w:rPr>
          <w:lang w:val="es-ES_tradnl"/>
        </w:rPr>
        <w:t xml:space="preserve">2020 (2020 PCIA Vintage), el aumento en la factura mensual derivado del cargo PCIA puede calcularse multiplicando el “aumento en la tarifa PCIA” aplicable a la clase de cliente correspondiente del siguiente cuadro por el consumo típico en kWh al mes. El consumo real en kWh al mes </w:t>
      </w:r>
      <w:r w:rsidR="00FB1880">
        <w:rPr>
          <w:lang w:val="es-ES_tradnl"/>
        </w:rPr>
        <w:t xml:space="preserve">de un cliente </w:t>
      </w:r>
      <w:r>
        <w:rPr>
          <w:lang w:val="es-ES_tradnl"/>
        </w:rPr>
        <w:t>se puede encontrar en el lado derecho de la primera página de las facturas del cliente</w:t>
      </w:r>
      <w:r w:rsidR="00FB1880">
        <w:rPr>
          <w:lang w:val="es-ES_tradnl"/>
        </w:rPr>
        <w:t>,</w:t>
      </w:r>
      <w:r>
        <w:rPr>
          <w:lang w:val="es-ES_tradnl"/>
        </w:rPr>
        <w:t xml:space="preserve"> en la sección titulada “Electric </w:t>
      </w:r>
      <w:proofErr w:type="spellStart"/>
      <w:r>
        <w:rPr>
          <w:lang w:val="es-ES_tradnl"/>
        </w:rPr>
        <w:t>Usage</w:t>
      </w:r>
      <w:proofErr w:type="spellEnd"/>
      <w:r>
        <w:rPr>
          <w:lang w:val="es-ES_tradnl"/>
        </w:rPr>
        <w:t xml:space="preserve"> </w:t>
      </w:r>
      <w:proofErr w:type="spellStart"/>
      <w:r>
        <w:rPr>
          <w:lang w:val="es-ES_tradnl"/>
        </w:rPr>
        <w:t>History</w:t>
      </w:r>
      <w:proofErr w:type="spellEnd"/>
      <w:r>
        <w:rPr>
          <w:lang w:val="es-ES_tradnl"/>
        </w:rPr>
        <w:t>" [Historial de consumo eléctrico].</w:t>
      </w:r>
    </w:p>
    <w:tbl>
      <w:tblPr>
        <w:tblW w:w="11110" w:type="dxa"/>
        <w:jc w:val="center"/>
        <w:tblLook w:val="0000" w:firstRow="0" w:lastRow="0" w:firstColumn="0" w:lastColumn="0" w:noHBand="0" w:noVBand="0"/>
      </w:tblPr>
      <w:tblGrid>
        <w:gridCol w:w="108"/>
        <w:gridCol w:w="2610"/>
        <w:gridCol w:w="270"/>
        <w:gridCol w:w="1890"/>
        <w:gridCol w:w="270"/>
        <w:gridCol w:w="2070"/>
        <w:gridCol w:w="270"/>
        <w:gridCol w:w="1350"/>
        <w:gridCol w:w="270"/>
        <w:gridCol w:w="1332"/>
        <w:gridCol w:w="670"/>
      </w:tblGrid>
      <w:tr w:rsidR="00EA0C0B" w:rsidRPr="00EB47DE" w14:paraId="62F814F5" w14:textId="77777777" w:rsidTr="00AF7100">
        <w:trPr>
          <w:gridAfter w:val="1"/>
          <w:wAfter w:w="670" w:type="dxa"/>
          <w:trHeight w:val="255"/>
          <w:jc w:val="center"/>
        </w:trPr>
        <w:tc>
          <w:tcPr>
            <w:tcW w:w="10440" w:type="dxa"/>
            <w:gridSpan w:val="10"/>
            <w:tcBorders>
              <w:top w:val="nil"/>
              <w:left w:val="nil"/>
              <w:bottom w:val="nil"/>
              <w:right w:val="nil"/>
            </w:tcBorders>
            <w:shd w:val="clear" w:color="auto" w:fill="auto"/>
            <w:noWrap/>
          </w:tcPr>
          <w:p w14:paraId="4C1F2C6C" w14:textId="14EF40FD" w:rsidR="00C77806" w:rsidRPr="00FB1880" w:rsidRDefault="009510C0" w:rsidP="00FB1880">
            <w:pPr>
              <w:jc w:val="center"/>
              <w:rPr>
                <w:b/>
                <w:sz w:val="22"/>
                <w:szCs w:val="22"/>
                <w:lang w:val="es-MX"/>
              </w:rPr>
            </w:pPr>
            <w:r>
              <w:rPr>
                <w:b/>
                <w:bCs/>
                <w:sz w:val="22"/>
                <w:szCs w:val="22"/>
                <w:lang w:val="es-ES_tradnl"/>
              </w:rPr>
              <w:t xml:space="preserve">AUMENTO ILUSTRATIVO </w:t>
            </w:r>
            <w:r w:rsidR="00FB1880">
              <w:rPr>
                <w:b/>
                <w:bCs/>
                <w:sz w:val="22"/>
                <w:szCs w:val="22"/>
                <w:lang w:val="es-ES_tradnl"/>
              </w:rPr>
              <w:t xml:space="preserve">PROPUESTO </w:t>
            </w:r>
            <w:r>
              <w:rPr>
                <w:b/>
                <w:bCs/>
                <w:sz w:val="22"/>
                <w:szCs w:val="22"/>
                <w:lang w:val="es-ES_tradnl"/>
              </w:rPr>
              <w:t xml:space="preserve">EN LA TARIFA PCIA </w:t>
            </w:r>
            <w:r w:rsidR="00FB1880">
              <w:rPr>
                <w:b/>
                <w:bCs/>
                <w:sz w:val="22"/>
                <w:szCs w:val="22"/>
                <w:lang w:val="es-ES_tradnl"/>
              </w:rPr>
              <w:br/>
            </w:r>
            <w:r>
              <w:rPr>
                <w:b/>
                <w:bCs/>
                <w:sz w:val="22"/>
                <w:szCs w:val="22"/>
                <w:lang w:val="es-ES_tradnl"/>
              </w:rPr>
              <w:t>DE SAN DIEGO GAS &amp; ELECTRIC COMPANY</w:t>
            </w:r>
          </w:p>
        </w:tc>
      </w:tr>
      <w:tr w:rsidR="00EA0C0B" w14:paraId="20CC409D" w14:textId="77777777" w:rsidTr="00AF7100">
        <w:trPr>
          <w:gridAfter w:val="1"/>
          <w:wAfter w:w="670" w:type="dxa"/>
          <w:trHeight w:val="255"/>
          <w:jc w:val="center"/>
        </w:trPr>
        <w:tc>
          <w:tcPr>
            <w:tcW w:w="10440" w:type="dxa"/>
            <w:gridSpan w:val="10"/>
            <w:tcBorders>
              <w:top w:val="nil"/>
              <w:left w:val="nil"/>
              <w:bottom w:val="nil"/>
              <w:right w:val="nil"/>
            </w:tcBorders>
            <w:shd w:val="clear" w:color="auto" w:fill="auto"/>
            <w:noWrap/>
          </w:tcPr>
          <w:p w14:paraId="6248E028" w14:textId="1C5C0DB0" w:rsidR="00C77806" w:rsidRPr="009B4D09" w:rsidRDefault="009510C0" w:rsidP="00AF7100">
            <w:pPr>
              <w:jc w:val="center"/>
              <w:rPr>
                <w:b/>
                <w:sz w:val="22"/>
                <w:szCs w:val="22"/>
              </w:rPr>
            </w:pPr>
            <w:r>
              <w:rPr>
                <w:caps/>
                <w:sz w:val="22"/>
                <w:szCs w:val="22"/>
                <w:lang w:val="es-ES_tradnl"/>
              </w:rPr>
              <w:t xml:space="preserve"> </w:t>
            </w:r>
            <w:r>
              <w:rPr>
                <w:b/>
                <w:bCs/>
                <w:caps/>
                <w:sz w:val="22"/>
                <w:szCs w:val="22"/>
                <w:lang w:val="es-ES_tradnl"/>
              </w:rPr>
              <w:t xml:space="preserve"> </w:t>
            </w:r>
            <w:r>
              <w:rPr>
                <w:b/>
                <w:bCs/>
                <w:sz w:val="22"/>
                <w:szCs w:val="22"/>
                <w:lang w:val="es-ES_tradnl"/>
              </w:rPr>
              <w:t>(</w:t>
            </w:r>
            <w:r w:rsidR="00A367B8">
              <w:rPr>
                <w:b/>
                <w:bCs/>
                <w:sz w:val="22"/>
                <w:szCs w:val="22"/>
                <w:lang w:val="es-ES_tradnl"/>
              </w:rPr>
              <w:t>DERRAMA</w:t>
            </w:r>
            <w:r>
              <w:rPr>
                <w:b/>
                <w:bCs/>
                <w:sz w:val="22"/>
                <w:szCs w:val="22"/>
                <w:lang w:val="es-ES_tradnl"/>
              </w:rPr>
              <w:t xml:space="preserve"> 2020 SOLAMENTE)</w:t>
            </w:r>
          </w:p>
        </w:tc>
      </w:tr>
      <w:tr w:rsidR="00EA0C0B" w14:paraId="27ED7270" w14:textId="77777777" w:rsidTr="00AF7100">
        <w:trPr>
          <w:gridAfter w:val="1"/>
          <w:wAfter w:w="670" w:type="dxa"/>
          <w:trHeight w:val="297"/>
          <w:jc w:val="center"/>
        </w:trPr>
        <w:tc>
          <w:tcPr>
            <w:tcW w:w="10440" w:type="dxa"/>
            <w:gridSpan w:val="10"/>
            <w:tcBorders>
              <w:top w:val="nil"/>
              <w:left w:val="nil"/>
              <w:bottom w:val="nil"/>
              <w:right w:val="nil"/>
            </w:tcBorders>
            <w:shd w:val="clear" w:color="auto" w:fill="auto"/>
            <w:noWrap/>
            <w:vAlign w:val="bottom"/>
          </w:tcPr>
          <w:p w14:paraId="56D797F5" w14:textId="77777777" w:rsidR="00C77806" w:rsidRPr="00F87139" w:rsidRDefault="00C77806" w:rsidP="00AF7100">
            <w:pPr>
              <w:rPr>
                <w:b/>
                <w:bCs/>
                <w:sz w:val="20"/>
              </w:rPr>
            </w:pPr>
          </w:p>
        </w:tc>
      </w:tr>
      <w:tr w:rsidR="00EA0C0B" w:rsidRPr="00EB47DE" w14:paraId="6E06D230" w14:textId="77777777" w:rsidTr="00AF7100">
        <w:trPr>
          <w:gridBefore w:val="1"/>
          <w:wBefore w:w="108" w:type="dxa"/>
          <w:trHeight w:val="255"/>
          <w:jc w:val="center"/>
        </w:trPr>
        <w:tc>
          <w:tcPr>
            <w:tcW w:w="2610" w:type="dxa"/>
            <w:vMerge w:val="restart"/>
            <w:tcBorders>
              <w:top w:val="nil"/>
              <w:left w:val="nil"/>
              <w:right w:val="nil"/>
            </w:tcBorders>
            <w:shd w:val="clear" w:color="auto" w:fill="auto"/>
            <w:noWrap/>
            <w:vAlign w:val="center"/>
          </w:tcPr>
          <w:p w14:paraId="5B4C03C2" w14:textId="77777777" w:rsidR="00C77806" w:rsidRPr="002F7382" w:rsidRDefault="00C77806" w:rsidP="00AF7100">
            <w:pPr>
              <w:rPr>
                <w:b/>
                <w:bCs/>
                <w:lang w:val="es-MX"/>
              </w:rPr>
            </w:pPr>
          </w:p>
          <w:p w14:paraId="0E3917D9" w14:textId="77777777" w:rsidR="00C77806" w:rsidRPr="002F7382" w:rsidRDefault="009510C0" w:rsidP="00AF7100">
            <w:pPr>
              <w:rPr>
                <w:b/>
                <w:bCs/>
                <w:lang w:val="es-MX"/>
              </w:rPr>
            </w:pPr>
            <w:r>
              <w:rPr>
                <w:b/>
                <w:bCs/>
                <w:lang w:val="es-ES_tradnl"/>
              </w:rPr>
              <w:t>Clase de cliente</w:t>
            </w:r>
          </w:p>
          <w:p w14:paraId="3F54A8AA" w14:textId="581E0532" w:rsidR="00C77806" w:rsidRPr="002F7382" w:rsidRDefault="009510C0" w:rsidP="00AF7100">
            <w:pPr>
              <w:rPr>
                <w:b/>
                <w:bCs/>
                <w:sz w:val="22"/>
                <w:szCs w:val="22"/>
                <w:lang w:val="es-MX"/>
              </w:rPr>
            </w:pPr>
            <w:r>
              <w:rPr>
                <w:b/>
                <w:bCs/>
                <w:lang w:val="es-ES_tradnl"/>
              </w:rPr>
              <w:t>(Servicio no en paquete)</w:t>
            </w:r>
          </w:p>
        </w:tc>
        <w:tc>
          <w:tcPr>
            <w:tcW w:w="270" w:type="dxa"/>
            <w:tcBorders>
              <w:top w:val="nil"/>
              <w:left w:val="nil"/>
              <w:bottom w:val="nil"/>
              <w:right w:val="nil"/>
            </w:tcBorders>
            <w:shd w:val="clear" w:color="auto" w:fill="auto"/>
            <w:noWrap/>
          </w:tcPr>
          <w:p w14:paraId="2DD74A84" w14:textId="77777777" w:rsidR="00C77806" w:rsidRPr="002F7382" w:rsidRDefault="00C77806" w:rsidP="00AF7100">
            <w:pPr>
              <w:rPr>
                <w:sz w:val="22"/>
                <w:szCs w:val="22"/>
                <w:lang w:val="es-MX"/>
              </w:rPr>
            </w:pPr>
          </w:p>
        </w:tc>
        <w:tc>
          <w:tcPr>
            <w:tcW w:w="1890" w:type="dxa"/>
            <w:vMerge w:val="restart"/>
            <w:tcBorders>
              <w:top w:val="nil"/>
              <w:left w:val="nil"/>
              <w:right w:val="nil"/>
            </w:tcBorders>
            <w:shd w:val="clear" w:color="auto" w:fill="auto"/>
            <w:noWrap/>
            <w:vAlign w:val="center"/>
          </w:tcPr>
          <w:p w14:paraId="37526BBE" w14:textId="52BAA711" w:rsidR="00C77806" w:rsidRPr="002F7382" w:rsidRDefault="009510C0" w:rsidP="00A367B8">
            <w:pPr>
              <w:ind w:right="-50"/>
              <w:jc w:val="center"/>
              <w:rPr>
                <w:sz w:val="22"/>
                <w:szCs w:val="22"/>
                <w:lang w:val="es-MX"/>
              </w:rPr>
            </w:pPr>
            <w:r>
              <w:rPr>
                <w:b/>
                <w:bCs/>
                <w:lang w:val="es-ES_tradnl"/>
              </w:rPr>
              <w:t xml:space="preserve">Tarifas PCIA </w:t>
            </w:r>
            <w:r w:rsidR="00A367B8">
              <w:rPr>
                <w:b/>
                <w:bCs/>
                <w:lang w:val="es-ES_tradnl"/>
              </w:rPr>
              <w:t>derrama</w:t>
            </w:r>
            <w:r>
              <w:rPr>
                <w:b/>
                <w:bCs/>
                <w:lang w:val="es-ES_tradnl"/>
              </w:rPr>
              <w:t xml:space="preserve"> 2020 en vigor a partir del 02/01/20</w:t>
            </w:r>
            <w:r>
              <w:rPr>
                <w:b/>
                <w:bCs/>
                <w:vertAlign w:val="superscript"/>
                <w:lang w:val="es-ES_tradnl"/>
              </w:rPr>
              <w:t>1</w:t>
            </w:r>
            <w:r>
              <w:rPr>
                <w:b/>
                <w:bCs/>
                <w:lang w:val="es-ES_tradnl"/>
              </w:rPr>
              <w:t xml:space="preserve"> (¢/kWh)</w:t>
            </w:r>
          </w:p>
        </w:tc>
        <w:tc>
          <w:tcPr>
            <w:tcW w:w="270" w:type="dxa"/>
            <w:tcBorders>
              <w:top w:val="nil"/>
              <w:left w:val="nil"/>
              <w:bottom w:val="nil"/>
              <w:right w:val="nil"/>
            </w:tcBorders>
            <w:shd w:val="clear" w:color="auto" w:fill="auto"/>
            <w:noWrap/>
            <w:vAlign w:val="center"/>
          </w:tcPr>
          <w:p w14:paraId="6FFC1DEE" w14:textId="77777777" w:rsidR="00C77806" w:rsidRPr="002F7382" w:rsidRDefault="00C77806" w:rsidP="00AF7100">
            <w:pPr>
              <w:jc w:val="center"/>
              <w:rPr>
                <w:b/>
                <w:bCs/>
                <w:sz w:val="22"/>
                <w:szCs w:val="22"/>
                <w:lang w:val="es-MX"/>
              </w:rPr>
            </w:pPr>
          </w:p>
        </w:tc>
        <w:tc>
          <w:tcPr>
            <w:tcW w:w="2070" w:type="dxa"/>
            <w:vMerge w:val="restart"/>
            <w:tcBorders>
              <w:top w:val="nil"/>
              <w:left w:val="nil"/>
              <w:right w:val="nil"/>
            </w:tcBorders>
            <w:shd w:val="clear" w:color="auto" w:fill="auto"/>
            <w:noWrap/>
            <w:vAlign w:val="center"/>
          </w:tcPr>
          <w:p w14:paraId="36151F5C" w14:textId="0D572549" w:rsidR="00C77806" w:rsidRPr="002F7382" w:rsidRDefault="009510C0" w:rsidP="00AF7100">
            <w:pPr>
              <w:jc w:val="center"/>
              <w:rPr>
                <w:b/>
                <w:bCs/>
                <w:sz w:val="22"/>
                <w:szCs w:val="22"/>
                <w:lang w:val="es-MX"/>
              </w:rPr>
            </w:pPr>
            <w:r>
              <w:rPr>
                <w:b/>
                <w:bCs/>
                <w:lang w:val="es-ES_tradnl"/>
              </w:rPr>
              <w:t xml:space="preserve">Tarifas PCIA </w:t>
            </w:r>
            <w:r w:rsidR="00A367B8">
              <w:rPr>
                <w:b/>
                <w:bCs/>
                <w:lang w:val="es-ES_tradnl"/>
              </w:rPr>
              <w:t>derrama</w:t>
            </w:r>
            <w:r>
              <w:rPr>
                <w:b/>
                <w:bCs/>
                <w:lang w:val="es-ES_tradnl"/>
              </w:rPr>
              <w:t xml:space="preserve"> 2020 que reflejan un aumento de $144.5 millones</w:t>
            </w:r>
            <w:r>
              <w:rPr>
                <w:b/>
                <w:bCs/>
                <w:vertAlign w:val="superscript"/>
                <w:lang w:val="es-ES_tradnl"/>
              </w:rPr>
              <w:t>2</w:t>
            </w:r>
            <w:r>
              <w:rPr>
                <w:b/>
                <w:bCs/>
                <w:lang w:val="es-ES_tradnl"/>
              </w:rPr>
              <w:t xml:space="preserve"> (¢/kWh)</w:t>
            </w:r>
          </w:p>
        </w:tc>
        <w:tc>
          <w:tcPr>
            <w:tcW w:w="270" w:type="dxa"/>
            <w:tcBorders>
              <w:top w:val="nil"/>
              <w:left w:val="nil"/>
              <w:bottom w:val="nil"/>
              <w:right w:val="nil"/>
            </w:tcBorders>
            <w:shd w:val="clear" w:color="auto" w:fill="auto"/>
            <w:noWrap/>
            <w:vAlign w:val="center"/>
          </w:tcPr>
          <w:p w14:paraId="6360D57A" w14:textId="77777777" w:rsidR="00C77806" w:rsidRPr="002F7382" w:rsidRDefault="00C77806" w:rsidP="00AF7100">
            <w:pPr>
              <w:rPr>
                <w:sz w:val="22"/>
                <w:szCs w:val="22"/>
                <w:lang w:val="es-MX"/>
              </w:rPr>
            </w:pPr>
          </w:p>
        </w:tc>
        <w:tc>
          <w:tcPr>
            <w:tcW w:w="1350" w:type="dxa"/>
            <w:vMerge w:val="restart"/>
            <w:tcBorders>
              <w:top w:val="nil"/>
              <w:left w:val="nil"/>
              <w:right w:val="nil"/>
            </w:tcBorders>
            <w:shd w:val="clear" w:color="auto" w:fill="auto"/>
            <w:noWrap/>
            <w:vAlign w:val="center"/>
          </w:tcPr>
          <w:p w14:paraId="14EA86FC" w14:textId="2659FB03" w:rsidR="00C77806" w:rsidRPr="002F7382" w:rsidRDefault="009510C0" w:rsidP="00AF7100">
            <w:pPr>
              <w:jc w:val="center"/>
              <w:rPr>
                <w:b/>
                <w:bCs/>
                <w:sz w:val="22"/>
                <w:szCs w:val="22"/>
                <w:lang w:val="es-MX"/>
              </w:rPr>
            </w:pPr>
            <w:r>
              <w:rPr>
                <w:b/>
                <w:bCs/>
                <w:lang w:val="es-ES_tradnl"/>
              </w:rPr>
              <w:t>Aumento en la tarifa PCIA (¢/kWh)</w:t>
            </w:r>
          </w:p>
        </w:tc>
        <w:tc>
          <w:tcPr>
            <w:tcW w:w="270" w:type="dxa"/>
            <w:tcBorders>
              <w:top w:val="nil"/>
              <w:left w:val="nil"/>
              <w:bottom w:val="nil"/>
              <w:right w:val="nil"/>
            </w:tcBorders>
            <w:shd w:val="clear" w:color="auto" w:fill="auto"/>
            <w:noWrap/>
            <w:vAlign w:val="center"/>
          </w:tcPr>
          <w:p w14:paraId="044926FA" w14:textId="77777777" w:rsidR="00C77806" w:rsidRPr="002F7382" w:rsidRDefault="00C77806" w:rsidP="00AF7100">
            <w:pPr>
              <w:rPr>
                <w:sz w:val="22"/>
                <w:szCs w:val="22"/>
                <w:lang w:val="es-MX"/>
              </w:rPr>
            </w:pPr>
          </w:p>
        </w:tc>
        <w:tc>
          <w:tcPr>
            <w:tcW w:w="2002" w:type="dxa"/>
            <w:gridSpan w:val="2"/>
            <w:vMerge w:val="restart"/>
            <w:tcBorders>
              <w:top w:val="nil"/>
              <w:left w:val="nil"/>
              <w:right w:val="nil"/>
            </w:tcBorders>
            <w:shd w:val="clear" w:color="auto" w:fill="auto"/>
            <w:noWrap/>
            <w:vAlign w:val="center"/>
          </w:tcPr>
          <w:p w14:paraId="2438CDBE" w14:textId="1B9267FF" w:rsidR="00C77806" w:rsidRPr="002F7382" w:rsidRDefault="009510C0" w:rsidP="00AF7100">
            <w:pPr>
              <w:jc w:val="center"/>
              <w:rPr>
                <w:b/>
                <w:bCs/>
                <w:lang w:val="es-MX"/>
              </w:rPr>
            </w:pPr>
            <w:r>
              <w:rPr>
                <w:b/>
                <w:bCs/>
                <w:lang w:val="es-ES_tradnl"/>
              </w:rPr>
              <w:t>Aumento porcentual en la tarifa</w:t>
            </w:r>
            <w:r>
              <w:rPr>
                <w:lang w:val="es-ES_tradnl"/>
              </w:rPr>
              <w:t xml:space="preserve"> </w:t>
            </w:r>
          </w:p>
          <w:p w14:paraId="3239C9FE" w14:textId="77777777" w:rsidR="00C77806" w:rsidRPr="002F7382" w:rsidRDefault="009510C0" w:rsidP="00AF7100">
            <w:pPr>
              <w:jc w:val="center"/>
              <w:rPr>
                <w:b/>
                <w:bCs/>
                <w:sz w:val="22"/>
                <w:szCs w:val="22"/>
                <w:lang w:val="es-MX"/>
              </w:rPr>
            </w:pPr>
            <w:r w:rsidRPr="002F7382">
              <w:rPr>
                <w:b/>
                <w:bCs/>
                <w:lang w:val="es-MX"/>
              </w:rPr>
              <w:t>(%)</w:t>
            </w:r>
          </w:p>
        </w:tc>
      </w:tr>
      <w:tr w:rsidR="00EA0C0B" w:rsidRPr="00EB47DE" w14:paraId="2B3FB05D" w14:textId="77777777" w:rsidTr="00AF7100">
        <w:trPr>
          <w:gridBefore w:val="1"/>
          <w:wBefore w:w="108" w:type="dxa"/>
          <w:trHeight w:val="255"/>
          <w:jc w:val="center"/>
        </w:trPr>
        <w:tc>
          <w:tcPr>
            <w:tcW w:w="2610" w:type="dxa"/>
            <w:vMerge/>
            <w:tcBorders>
              <w:left w:val="nil"/>
              <w:bottom w:val="single" w:sz="4" w:space="0" w:color="auto"/>
              <w:right w:val="nil"/>
            </w:tcBorders>
            <w:shd w:val="clear" w:color="auto" w:fill="auto"/>
            <w:noWrap/>
          </w:tcPr>
          <w:p w14:paraId="16BA6F21" w14:textId="77777777" w:rsidR="00C77806" w:rsidRPr="002F7382" w:rsidRDefault="00C77806" w:rsidP="00AF7100">
            <w:pPr>
              <w:rPr>
                <w:b/>
                <w:bCs/>
                <w:sz w:val="22"/>
                <w:szCs w:val="22"/>
                <w:lang w:val="es-MX"/>
              </w:rPr>
            </w:pPr>
          </w:p>
        </w:tc>
        <w:tc>
          <w:tcPr>
            <w:tcW w:w="270" w:type="dxa"/>
            <w:tcBorders>
              <w:top w:val="nil"/>
              <w:left w:val="nil"/>
              <w:bottom w:val="nil"/>
              <w:right w:val="nil"/>
            </w:tcBorders>
            <w:shd w:val="clear" w:color="auto" w:fill="auto"/>
            <w:noWrap/>
          </w:tcPr>
          <w:p w14:paraId="094609DA" w14:textId="77777777" w:rsidR="00C77806" w:rsidRPr="002F7382" w:rsidRDefault="00C77806" w:rsidP="00AF7100">
            <w:pPr>
              <w:rPr>
                <w:sz w:val="22"/>
                <w:szCs w:val="22"/>
                <w:lang w:val="es-MX"/>
              </w:rPr>
            </w:pPr>
          </w:p>
        </w:tc>
        <w:tc>
          <w:tcPr>
            <w:tcW w:w="1890" w:type="dxa"/>
            <w:vMerge/>
            <w:tcBorders>
              <w:left w:val="nil"/>
              <w:bottom w:val="single" w:sz="4" w:space="0" w:color="auto"/>
              <w:right w:val="nil"/>
            </w:tcBorders>
            <w:shd w:val="clear" w:color="auto" w:fill="auto"/>
            <w:noWrap/>
          </w:tcPr>
          <w:p w14:paraId="5EF4A0E6" w14:textId="77777777" w:rsidR="00C77806" w:rsidRPr="002F7382" w:rsidRDefault="00C77806" w:rsidP="00AF7100">
            <w:pPr>
              <w:jc w:val="center"/>
              <w:rPr>
                <w:sz w:val="22"/>
                <w:szCs w:val="22"/>
                <w:lang w:val="es-MX"/>
              </w:rPr>
            </w:pPr>
          </w:p>
        </w:tc>
        <w:tc>
          <w:tcPr>
            <w:tcW w:w="270" w:type="dxa"/>
            <w:tcBorders>
              <w:top w:val="nil"/>
              <w:left w:val="nil"/>
              <w:bottom w:val="nil"/>
              <w:right w:val="nil"/>
            </w:tcBorders>
            <w:shd w:val="clear" w:color="auto" w:fill="auto"/>
            <w:noWrap/>
          </w:tcPr>
          <w:p w14:paraId="69CD73F0" w14:textId="77777777" w:rsidR="00C77806" w:rsidRPr="002F7382" w:rsidRDefault="00C77806" w:rsidP="00AF7100">
            <w:pPr>
              <w:jc w:val="center"/>
              <w:rPr>
                <w:b/>
                <w:bCs/>
                <w:sz w:val="22"/>
                <w:szCs w:val="22"/>
                <w:lang w:val="es-MX"/>
              </w:rPr>
            </w:pPr>
          </w:p>
        </w:tc>
        <w:tc>
          <w:tcPr>
            <w:tcW w:w="2070" w:type="dxa"/>
            <w:vMerge/>
            <w:tcBorders>
              <w:left w:val="nil"/>
              <w:bottom w:val="single" w:sz="4" w:space="0" w:color="auto"/>
              <w:right w:val="nil"/>
            </w:tcBorders>
            <w:shd w:val="clear" w:color="auto" w:fill="auto"/>
            <w:noWrap/>
          </w:tcPr>
          <w:p w14:paraId="09E5BCF8" w14:textId="77777777" w:rsidR="00C77806" w:rsidRPr="002F7382" w:rsidRDefault="00C77806" w:rsidP="00AF7100">
            <w:pPr>
              <w:jc w:val="center"/>
              <w:rPr>
                <w:b/>
                <w:bCs/>
                <w:sz w:val="22"/>
                <w:szCs w:val="22"/>
                <w:lang w:val="es-MX"/>
              </w:rPr>
            </w:pPr>
          </w:p>
        </w:tc>
        <w:tc>
          <w:tcPr>
            <w:tcW w:w="270" w:type="dxa"/>
            <w:tcBorders>
              <w:top w:val="nil"/>
              <w:left w:val="nil"/>
              <w:bottom w:val="nil"/>
              <w:right w:val="nil"/>
            </w:tcBorders>
            <w:shd w:val="clear" w:color="auto" w:fill="auto"/>
            <w:noWrap/>
          </w:tcPr>
          <w:p w14:paraId="4D8F3675" w14:textId="77777777" w:rsidR="00C77806" w:rsidRPr="002F7382" w:rsidRDefault="00C77806" w:rsidP="00AF7100">
            <w:pPr>
              <w:rPr>
                <w:sz w:val="22"/>
                <w:szCs w:val="22"/>
                <w:lang w:val="es-MX"/>
              </w:rPr>
            </w:pPr>
          </w:p>
        </w:tc>
        <w:tc>
          <w:tcPr>
            <w:tcW w:w="1350" w:type="dxa"/>
            <w:vMerge/>
            <w:tcBorders>
              <w:left w:val="nil"/>
              <w:bottom w:val="single" w:sz="4" w:space="0" w:color="auto"/>
              <w:right w:val="nil"/>
            </w:tcBorders>
            <w:shd w:val="clear" w:color="auto" w:fill="auto"/>
            <w:noWrap/>
          </w:tcPr>
          <w:p w14:paraId="0A290178" w14:textId="77777777" w:rsidR="00C77806" w:rsidRPr="002F7382" w:rsidRDefault="00C77806" w:rsidP="00AF7100">
            <w:pPr>
              <w:jc w:val="center"/>
              <w:rPr>
                <w:b/>
                <w:bCs/>
                <w:sz w:val="22"/>
                <w:szCs w:val="22"/>
                <w:lang w:val="es-MX"/>
              </w:rPr>
            </w:pPr>
          </w:p>
        </w:tc>
        <w:tc>
          <w:tcPr>
            <w:tcW w:w="270" w:type="dxa"/>
            <w:tcBorders>
              <w:top w:val="nil"/>
              <w:left w:val="nil"/>
              <w:bottom w:val="nil"/>
              <w:right w:val="nil"/>
            </w:tcBorders>
            <w:shd w:val="clear" w:color="auto" w:fill="auto"/>
            <w:noWrap/>
          </w:tcPr>
          <w:p w14:paraId="622A1FB3" w14:textId="77777777" w:rsidR="00C77806" w:rsidRPr="002F7382" w:rsidRDefault="00C77806" w:rsidP="00AF7100">
            <w:pPr>
              <w:rPr>
                <w:sz w:val="22"/>
                <w:szCs w:val="22"/>
                <w:lang w:val="es-MX"/>
              </w:rPr>
            </w:pPr>
          </w:p>
        </w:tc>
        <w:tc>
          <w:tcPr>
            <w:tcW w:w="2002" w:type="dxa"/>
            <w:gridSpan w:val="2"/>
            <w:vMerge/>
            <w:tcBorders>
              <w:left w:val="nil"/>
              <w:bottom w:val="single" w:sz="4" w:space="0" w:color="auto"/>
              <w:right w:val="nil"/>
            </w:tcBorders>
            <w:shd w:val="clear" w:color="auto" w:fill="auto"/>
            <w:noWrap/>
          </w:tcPr>
          <w:p w14:paraId="050EFE55" w14:textId="77777777" w:rsidR="00C77806" w:rsidRPr="002F7382" w:rsidRDefault="00C77806" w:rsidP="00AF7100">
            <w:pPr>
              <w:jc w:val="center"/>
              <w:rPr>
                <w:b/>
                <w:bCs/>
                <w:sz w:val="22"/>
                <w:szCs w:val="22"/>
                <w:lang w:val="es-MX"/>
              </w:rPr>
            </w:pPr>
          </w:p>
        </w:tc>
      </w:tr>
      <w:tr w:rsidR="00EA0C0B" w14:paraId="56C27A66" w14:textId="77777777" w:rsidTr="00AF7100">
        <w:trPr>
          <w:gridBefore w:val="1"/>
          <w:wBefore w:w="108" w:type="dxa"/>
          <w:trHeight w:val="255"/>
          <w:jc w:val="center"/>
        </w:trPr>
        <w:tc>
          <w:tcPr>
            <w:tcW w:w="2610" w:type="dxa"/>
            <w:tcBorders>
              <w:top w:val="nil"/>
              <w:left w:val="nil"/>
              <w:bottom w:val="nil"/>
              <w:right w:val="nil"/>
            </w:tcBorders>
            <w:shd w:val="clear" w:color="auto" w:fill="auto"/>
            <w:noWrap/>
          </w:tcPr>
          <w:p w14:paraId="455D9D14" w14:textId="77777777" w:rsidR="00C77806" w:rsidRPr="00EE5A50" w:rsidRDefault="009510C0" w:rsidP="00AF7100">
            <w:pPr>
              <w:rPr>
                <w:b/>
                <w:bCs/>
                <w:sz w:val="22"/>
                <w:szCs w:val="22"/>
              </w:rPr>
            </w:pPr>
            <w:r>
              <w:rPr>
                <w:b/>
                <w:bCs/>
                <w:sz w:val="22"/>
                <w:szCs w:val="22"/>
                <w:lang w:val="es-ES_tradnl"/>
              </w:rPr>
              <w:t>Residencial</w:t>
            </w:r>
          </w:p>
        </w:tc>
        <w:tc>
          <w:tcPr>
            <w:tcW w:w="270" w:type="dxa"/>
            <w:tcBorders>
              <w:top w:val="nil"/>
              <w:left w:val="nil"/>
              <w:bottom w:val="nil"/>
              <w:right w:val="nil"/>
            </w:tcBorders>
            <w:shd w:val="clear" w:color="auto" w:fill="auto"/>
            <w:noWrap/>
          </w:tcPr>
          <w:p w14:paraId="335FD212" w14:textId="77777777" w:rsidR="00C77806" w:rsidRPr="00EE5A50" w:rsidRDefault="00C77806" w:rsidP="00AF7100">
            <w:pPr>
              <w:rPr>
                <w:sz w:val="22"/>
                <w:szCs w:val="22"/>
              </w:rPr>
            </w:pPr>
          </w:p>
        </w:tc>
        <w:tc>
          <w:tcPr>
            <w:tcW w:w="1890" w:type="dxa"/>
            <w:tcBorders>
              <w:top w:val="nil"/>
              <w:left w:val="nil"/>
              <w:bottom w:val="nil"/>
              <w:right w:val="nil"/>
            </w:tcBorders>
            <w:shd w:val="clear" w:color="auto" w:fill="auto"/>
            <w:noWrap/>
            <w:vAlign w:val="bottom"/>
          </w:tcPr>
          <w:p w14:paraId="7E0AD327" w14:textId="64FF72C9" w:rsidR="00C77806" w:rsidRPr="00AB0F1F" w:rsidRDefault="009510C0" w:rsidP="00AF7100">
            <w:pPr>
              <w:jc w:val="center"/>
              <w:rPr>
                <w:sz w:val="22"/>
                <w:szCs w:val="22"/>
              </w:rPr>
            </w:pPr>
            <w:r>
              <w:rPr>
                <w:sz w:val="22"/>
                <w:szCs w:val="22"/>
                <w:lang w:val="es-ES_tradnl"/>
              </w:rPr>
              <w:t>3.265</w:t>
            </w:r>
          </w:p>
        </w:tc>
        <w:tc>
          <w:tcPr>
            <w:tcW w:w="270" w:type="dxa"/>
            <w:tcBorders>
              <w:top w:val="nil"/>
              <w:left w:val="nil"/>
              <w:bottom w:val="nil"/>
              <w:right w:val="nil"/>
            </w:tcBorders>
            <w:shd w:val="clear" w:color="auto" w:fill="auto"/>
            <w:noWrap/>
          </w:tcPr>
          <w:p w14:paraId="00537E7A" w14:textId="77777777" w:rsidR="00C77806" w:rsidRPr="00672253" w:rsidRDefault="00C77806" w:rsidP="00AF7100">
            <w:pPr>
              <w:rPr>
                <w:sz w:val="22"/>
                <w:szCs w:val="22"/>
                <w:highlight w:val="yellow"/>
              </w:rPr>
            </w:pPr>
          </w:p>
        </w:tc>
        <w:tc>
          <w:tcPr>
            <w:tcW w:w="2070" w:type="dxa"/>
            <w:tcBorders>
              <w:top w:val="nil"/>
              <w:left w:val="nil"/>
              <w:bottom w:val="nil"/>
              <w:right w:val="nil"/>
            </w:tcBorders>
            <w:shd w:val="clear" w:color="auto" w:fill="auto"/>
            <w:noWrap/>
            <w:vAlign w:val="bottom"/>
          </w:tcPr>
          <w:p w14:paraId="1E27B2D0" w14:textId="3CD4D605" w:rsidR="00C77806" w:rsidRPr="004A4FAC" w:rsidRDefault="009510C0" w:rsidP="00AF7100">
            <w:pPr>
              <w:jc w:val="center"/>
              <w:rPr>
                <w:sz w:val="22"/>
                <w:szCs w:val="22"/>
              </w:rPr>
            </w:pPr>
            <w:r>
              <w:rPr>
                <w:sz w:val="22"/>
                <w:szCs w:val="22"/>
                <w:lang w:val="es-ES_tradnl"/>
              </w:rPr>
              <w:t>3.738</w:t>
            </w:r>
          </w:p>
        </w:tc>
        <w:tc>
          <w:tcPr>
            <w:tcW w:w="270" w:type="dxa"/>
            <w:tcBorders>
              <w:top w:val="nil"/>
              <w:left w:val="nil"/>
              <w:bottom w:val="nil"/>
              <w:right w:val="nil"/>
            </w:tcBorders>
            <w:shd w:val="clear" w:color="auto" w:fill="auto"/>
            <w:noWrap/>
          </w:tcPr>
          <w:p w14:paraId="74039AA5" w14:textId="77777777" w:rsidR="00C77806" w:rsidRPr="004A4FAC" w:rsidRDefault="00C77806" w:rsidP="00AF7100">
            <w:pPr>
              <w:rPr>
                <w:sz w:val="22"/>
                <w:szCs w:val="22"/>
              </w:rPr>
            </w:pPr>
          </w:p>
        </w:tc>
        <w:tc>
          <w:tcPr>
            <w:tcW w:w="1350" w:type="dxa"/>
            <w:tcBorders>
              <w:top w:val="nil"/>
              <w:left w:val="nil"/>
              <w:bottom w:val="nil"/>
              <w:right w:val="nil"/>
            </w:tcBorders>
            <w:shd w:val="clear" w:color="auto" w:fill="auto"/>
            <w:noWrap/>
            <w:vAlign w:val="bottom"/>
          </w:tcPr>
          <w:p w14:paraId="4950A64D" w14:textId="47985AA7" w:rsidR="00C77806" w:rsidRPr="004A4FAC" w:rsidRDefault="009510C0" w:rsidP="00AF7100">
            <w:pPr>
              <w:jc w:val="center"/>
              <w:rPr>
                <w:sz w:val="22"/>
                <w:szCs w:val="22"/>
              </w:rPr>
            </w:pPr>
            <w:r>
              <w:rPr>
                <w:sz w:val="22"/>
                <w:szCs w:val="22"/>
                <w:lang w:val="es-ES_tradnl"/>
              </w:rPr>
              <w:t>0.473</w:t>
            </w:r>
          </w:p>
        </w:tc>
        <w:tc>
          <w:tcPr>
            <w:tcW w:w="270" w:type="dxa"/>
            <w:tcBorders>
              <w:top w:val="nil"/>
              <w:left w:val="nil"/>
              <w:bottom w:val="nil"/>
              <w:right w:val="nil"/>
            </w:tcBorders>
            <w:shd w:val="clear" w:color="auto" w:fill="auto"/>
            <w:noWrap/>
          </w:tcPr>
          <w:p w14:paraId="3608A347" w14:textId="77777777" w:rsidR="00C77806" w:rsidRPr="004A4FAC" w:rsidRDefault="00C77806" w:rsidP="00AF7100">
            <w:pPr>
              <w:jc w:val="center"/>
              <w:rPr>
                <w:sz w:val="22"/>
                <w:szCs w:val="22"/>
              </w:rPr>
            </w:pPr>
          </w:p>
        </w:tc>
        <w:tc>
          <w:tcPr>
            <w:tcW w:w="2002" w:type="dxa"/>
            <w:gridSpan w:val="2"/>
            <w:tcBorders>
              <w:top w:val="nil"/>
              <w:left w:val="nil"/>
              <w:bottom w:val="nil"/>
              <w:right w:val="nil"/>
            </w:tcBorders>
            <w:shd w:val="clear" w:color="auto" w:fill="auto"/>
            <w:noWrap/>
            <w:vAlign w:val="bottom"/>
          </w:tcPr>
          <w:p w14:paraId="046CA354" w14:textId="4C23533C" w:rsidR="00C77806" w:rsidRPr="004A4FAC" w:rsidRDefault="009510C0" w:rsidP="00AF7100">
            <w:pPr>
              <w:jc w:val="center"/>
              <w:rPr>
                <w:sz w:val="22"/>
                <w:szCs w:val="22"/>
              </w:rPr>
            </w:pPr>
            <w:r>
              <w:rPr>
                <w:sz w:val="22"/>
                <w:szCs w:val="22"/>
                <w:lang w:val="es-ES_tradnl"/>
              </w:rPr>
              <w:t>14.48%</w:t>
            </w:r>
          </w:p>
        </w:tc>
      </w:tr>
      <w:tr w:rsidR="00EA0C0B" w14:paraId="0D146167" w14:textId="77777777" w:rsidTr="00AF7100">
        <w:trPr>
          <w:gridBefore w:val="1"/>
          <w:wBefore w:w="108" w:type="dxa"/>
          <w:trHeight w:val="255"/>
          <w:jc w:val="center"/>
        </w:trPr>
        <w:tc>
          <w:tcPr>
            <w:tcW w:w="2610" w:type="dxa"/>
            <w:tcBorders>
              <w:top w:val="nil"/>
              <w:left w:val="nil"/>
              <w:bottom w:val="nil"/>
              <w:right w:val="nil"/>
            </w:tcBorders>
            <w:shd w:val="clear" w:color="auto" w:fill="auto"/>
            <w:noWrap/>
          </w:tcPr>
          <w:p w14:paraId="7DDE6D53" w14:textId="77777777" w:rsidR="00C77806" w:rsidRPr="00EE5A50" w:rsidRDefault="009510C0" w:rsidP="00AF7100">
            <w:pPr>
              <w:rPr>
                <w:b/>
                <w:bCs/>
                <w:sz w:val="22"/>
                <w:szCs w:val="22"/>
              </w:rPr>
            </w:pPr>
            <w:r>
              <w:rPr>
                <w:b/>
                <w:bCs/>
                <w:sz w:val="22"/>
                <w:szCs w:val="22"/>
                <w:lang w:val="es-ES_tradnl"/>
              </w:rPr>
              <w:t>Comercial pequeño</w:t>
            </w:r>
          </w:p>
        </w:tc>
        <w:tc>
          <w:tcPr>
            <w:tcW w:w="270" w:type="dxa"/>
            <w:tcBorders>
              <w:top w:val="nil"/>
              <w:left w:val="nil"/>
              <w:bottom w:val="nil"/>
              <w:right w:val="nil"/>
            </w:tcBorders>
            <w:shd w:val="clear" w:color="auto" w:fill="auto"/>
            <w:noWrap/>
          </w:tcPr>
          <w:p w14:paraId="5914F3ED" w14:textId="77777777" w:rsidR="00C77806" w:rsidRPr="00EE5A50" w:rsidRDefault="00C77806" w:rsidP="00AF7100">
            <w:pPr>
              <w:rPr>
                <w:sz w:val="22"/>
                <w:szCs w:val="22"/>
              </w:rPr>
            </w:pPr>
          </w:p>
        </w:tc>
        <w:tc>
          <w:tcPr>
            <w:tcW w:w="1890" w:type="dxa"/>
            <w:tcBorders>
              <w:top w:val="nil"/>
              <w:left w:val="nil"/>
              <w:bottom w:val="nil"/>
              <w:right w:val="nil"/>
            </w:tcBorders>
            <w:shd w:val="clear" w:color="auto" w:fill="auto"/>
            <w:noWrap/>
            <w:vAlign w:val="bottom"/>
          </w:tcPr>
          <w:p w14:paraId="13DE9ECC" w14:textId="36E37AE9" w:rsidR="00C77806" w:rsidRPr="00AB0F1F" w:rsidRDefault="009510C0" w:rsidP="00AF7100">
            <w:pPr>
              <w:jc w:val="center"/>
              <w:rPr>
                <w:sz w:val="22"/>
                <w:szCs w:val="22"/>
              </w:rPr>
            </w:pPr>
            <w:r>
              <w:rPr>
                <w:sz w:val="22"/>
                <w:szCs w:val="22"/>
                <w:lang w:val="es-ES_tradnl"/>
              </w:rPr>
              <w:t>2.744</w:t>
            </w:r>
          </w:p>
        </w:tc>
        <w:tc>
          <w:tcPr>
            <w:tcW w:w="270" w:type="dxa"/>
            <w:tcBorders>
              <w:top w:val="nil"/>
              <w:left w:val="nil"/>
              <w:bottom w:val="nil"/>
              <w:right w:val="nil"/>
            </w:tcBorders>
            <w:shd w:val="clear" w:color="auto" w:fill="auto"/>
            <w:noWrap/>
          </w:tcPr>
          <w:p w14:paraId="5E7EA776" w14:textId="77777777" w:rsidR="00C77806" w:rsidRPr="00672253" w:rsidRDefault="00C77806" w:rsidP="00AF7100">
            <w:pPr>
              <w:rPr>
                <w:sz w:val="22"/>
                <w:szCs w:val="22"/>
                <w:highlight w:val="yellow"/>
              </w:rPr>
            </w:pPr>
          </w:p>
        </w:tc>
        <w:tc>
          <w:tcPr>
            <w:tcW w:w="2070" w:type="dxa"/>
            <w:tcBorders>
              <w:top w:val="nil"/>
              <w:left w:val="nil"/>
              <w:bottom w:val="nil"/>
              <w:right w:val="nil"/>
            </w:tcBorders>
            <w:shd w:val="clear" w:color="auto" w:fill="auto"/>
            <w:noWrap/>
            <w:vAlign w:val="bottom"/>
          </w:tcPr>
          <w:p w14:paraId="3BEB5247" w14:textId="6F052D74" w:rsidR="00C77806" w:rsidRPr="004A4FAC" w:rsidRDefault="009510C0" w:rsidP="00AF7100">
            <w:pPr>
              <w:jc w:val="center"/>
              <w:rPr>
                <w:sz w:val="22"/>
                <w:szCs w:val="22"/>
              </w:rPr>
            </w:pPr>
            <w:r>
              <w:rPr>
                <w:sz w:val="22"/>
                <w:szCs w:val="22"/>
                <w:lang w:val="es-ES_tradnl"/>
              </w:rPr>
              <w:t>3.147</w:t>
            </w:r>
          </w:p>
        </w:tc>
        <w:tc>
          <w:tcPr>
            <w:tcW w:w="270" w:type="dxa"/>
            <w:tcBorders>
              <w:top w:val="nil"/>
              <w:left w:val="nil"/>
              <w:bottom w:val="nil"/>
              <w:right w:val="nil"/>
            </w:tcBorders>
            <w:shd w:val="clear" w:color="auto" w:fill="auto"/>
            <w:noWrap/>
          </w:tcPr>
          <w:p w14:paraId="4DC043A9" w14:textId="77777777" w:rsidR="00C77806" w:rsidRPr="004A4FAC" w:rsidRDefault="00C77806" w:rsidP="00AF7100">
            <w:pPr>
              <w:rPr>
                <w:sz w:val="22"/>
                <w:szCs w:val="22"/>
              </w:rPr>
            </w:pPr>
          </w:p>
        </w:tc>
        <w:tc>
          <w:tcPr>
            <w:tcW w:w="1350" w:type="dxa"/>
            <w:tcBorders>
              <w:top w:val="nil"/>
              <w:left w:val="nil"/>
              <w:bottom w:val="nil"/>
              <w:right w:val="nil"/>
            </w:tcBorders>
            <w:shd w:val="clear" w:color="auto" w:fill="auto"/>
            <w:noWrap/>
            <w:vAlign w:val="bottom"/>
          </w:tcPr>
          <w:p w14:paraId="63F08A60" w14:textId="34ADC0F7" w:rsidR="00C77806" w:rsidRPr="004A4FAC" w:rsidRDefault="009510C0" w:rsidP="00AF7100">
            <w:pPr>
              <w:jc w:val="center"/>
              <w:rPr>
                <w:sz w:val="22"/>
                <w:szCs w:val="22"/>
              </w:rPr>
            </w:pPr>
            <w:r>
              <w:rPr>
                <w:sz w:val="22"/>
                <w:szCs w:val="22"/>
                <w:lang w:val="es-ES_tradnl"/>
              </w:rPr>
              <w:t>0.403</w:t>
            </w:r>
          </w:p>
        </w:tc>
        <w:tc>
          <w:tcPr>
            <w:tcW w:w="270" w:type="dxa"/>
            <w:tcBorders>
              <w:top w:val="nil"/>
              <w:left w:val="nil"/>
              <w:bottom w:val="nil"/>
              <w:right w:val="nil"/>
            </w:tcBorders>
            <w:shd w:val="clear" w:color="auto" w:fill="auto"/>
            <w:noWrap/>
          </w:tcPr>
          <w:p w14:paraId="1DF978DE" w14:textId="77777777" w:rsidR="00C77806" w:rsidRPr="004A4FAC" w:rsidRDefault="00C77806" w:rsidP="00AF7100">
            <w:pPr>
              <w:rPr>
                <w:sz w:val="22"/>
                <w:szCs w:val="22"/>
              </w:rPr>
            </w:pPr>
          </w:p>
        </w:tc>
        <w:tc>
          <w:tcPr>
            <w:tcW w:w="2002" w:type="dxa"/>
            <w:gridSpan w:val="2"/>
            <w:tcBorders>
              <w:top w:val="nil"/>
              <w:left w:val="nil"/>
              <w:bottom w:val="nil"/>
              <w:right w:val="nil"/>
            </w:tcBorders>
            <w:shd w:val="clear" w:color="auto" w:fill="auto"/>
            <w:noWrap/>
            <w:vAlign w:val="bottom"/>
          </w:tcPr>
          <w:p w14:paraId="069E9705" w14:textId="023D0156" w:rsidR="00C77806" w:rsidRPr="004A4FAC" w:rsidRDefault="009510C0" w:rsidP="00AF7100">
            <w:pPr>
              <w:jc w:val="center"/>
              <w:rPr>
                <w:sz w:val="22"/>
                <w:szCs w:val="22"/>
              </w:rPr>
            </w:pPr>
            <w:r>
              <w:rPr>
                <w:sz w:val="22"/>
                <w:szCs w:val="22"/>
                <w:lang w:val="es-ES_tradnl"/>
              </w:rPr>
              <w:t>14.67%</w:t>
            </w:r>
          </w:p>
        </w:tc>
      </w:tr>
      <w:tr w:rsidR="00EA0C0B" w14:paraId="143CAB0F" w14:textId="77777777" w:rsidTr="00AF7100">
        <w:trPr>
          <w:gridBefore w:val="1"/>
          <w:wBefore w:w="108" w:type="dxa"/>
          <w:trHeight w:val="255"/>
          <w:jc w:val="center"/>
        </w:trPr>
        <w:tc>
          <w:tcPr>
            <w:tcW w:w="2610" w:type="dxa"/>
            <w:tcBorders>
              <w:top w:val="nil"/>
              <w:left w:val="nil"/>
              <w:bottom w:val="nil"/>
              <w:right w:val="nil"/>
            </w:tcBorders>
            <w:shd w:val="clear" w:color="auto" w:fill="auto"/>
            <w:noWrap/>
          </w:tcPr>
          <w:p w14:paraId="61E963F0" w14:textId="22C85E83" w:rsidR="00C77806" w:rsidRPr="00EE5A50" w:rsidRDefault="009510C0" w:rsidP="00AF7100">
            <w:pPr>
              <w:rPr>
                <w:b/>
                <w:bCs/>
                <w:sz w:val="22"/>
                <w:szCs w:val="22"/>
              </w:rPr>
            </w:pPr>
            <w:proofErr w:type="spellStart"/>
            <w:r>
              <w:rPr>
                <w:b/>
                <w:bCs/>
                <w:sz w:val="22"/>
                <w:szCs w:val="22"/>
                <w:lang w:val="es-ES_tradnl"/>
              </w:rPr>
              <w:t>CeI</w:t>
            </w:r>
            <w:proofErr w:type="spellEnd"/>
            <w:r>
              <w:rPr>
                <w:b/>
                <w:bCs/>
                <w:sz w:val="22"/>
                <w:szCs w:val="22"/>
                <w:lang w:val="es-ES_tradnl"/>
              </w:rPr>
              <w:t xml:space="preserve"> mediano y grande</w:t>
            </w:r>
            <w:r>
              <w:rPr>
                <w:b/>
                <w:bCs/>
                <w:sz w:val="22"/>
                <w:szCs w:val="22"/>
                <w:vertAlign w:val="superscript"/>
                <w:lang w:val="es-ES_tradnl"/>
              </w:rPr>
              <w:t>3</w:t>
            </w:r>
          </w:p>
        </w:tc>
        <w:tc>
          <w:tcPr>
            <w:tcW w:w="270" w:type="dxa"/>
            <w:tcBorders>
              <w:top w:val="nil"/>
              <w:left w:val="nil"/>
              <w:bottom w:val="nil"/>
              <w:right w:val="nil"/>
            </w:tcBorders>
            <w:shd w:val="clear" w:color="auto" w:fill="auto"/>
            <w:noWrap/>
          </w:tcPr>
          <w:p w14:paraId="51ABDEE1" w14:textId="77777777" w:rsidR="00C77806" w:rsidRPr="00EE5A50" w:rsidRDefault="00C77806" w:rsidP="00AF7100">
            <w:pPr>
              <w:rPr>
                <w:sz w:val="22"/>
                <w:szCs w:val="22"/>
              </w:rPr>
            </w:pPr>
          </w:p>
        </w:tc>
        <w:tc>
          <w:tcPr>
            <w:tcW w:w="1890" w:type="dxa"/>
            <w:tcBorders>
              <w:top w:val="nil"/>
              <w:left w:val="nil"/>
              <w:bottom w:val="nil"/>
              <w:right w:val="nil"/>
            </w:tcBorders>
            <w:shd w:val="clear" w:color="auto" w:fill="auto"/>
            <w:noWrap/>
            <w:vAlign w:val="bottom"/>
          </w:tcPr>
          <w:p w14:paraId="49923EC5" w14:textId="385441DE" w:rsidR="00C77806" w:rsidRPr="00AB0F1F" w:rsidRDefault="009510C0" w:rsidP="00AF7100">
            <w:pPr>
              <w:jc w:val="center"/>
              <w:rPr>
                <w:sz w:val="22"/>
                <w:szCs w:val="22"/>
              </w:rPr>
            </w:pPr>
            <w:r>
              <w:rPr>
                <w:sz w:val="22"/>
                <w:szCs w:val="22"/>
                <w:lang w:val="es-ES_tradnl"/>
              </w:rPr>
              <w:t>2.024</w:t>
            </w:r>
          </w:p>
        </w:tc>
        <w:tc>
          <w:tcPr>
            <w:tcW w:w="270" w:type="dxa"/>
            <w:tcBorders>
              <w:top w:val="nil"/>
              <w:left w:val="nil"/>
              <w:bottom w:val="nil"/>
              <w:right w:val="nil"/>
            </w:tcBorders>
            <w:shd w:val="clear" w:color="auto" w:fill="auto"/>
            <w:noWrap/>
          </w:tcPr>
          <w:p w14:paraId="0A7EEE07" w14:textId="77777777" w:rsidR="00C77806" w:rsidRPr="00672253" w:rsidRDefault="00C77806" w:rsidP="00AF7100">
            <w:pPr>
              <w:rPr>
                <w:sz w:val="22"/>
                <w:szCs w:val="22"/>
                <w:highlight w:val="yellow"/>
              </w:rPr>
            </w:pPr>
          </w:p>
        </w:tc>
        <w:tc>
          <w:tcPr>
            <w:tcW w:w="2070" w:type="dxa"/>
            <w:tcBorders>
              <w:top w:val="nil"/>
              <w:left w:val="nil"/>
              <w:bottom w:val="nil"/>
              <w:right w:val="nil"/>
            </w:tcBorders>
            <w:shd w:val="clear" w:color="auto" w:fill="auto"/>
            <w:noWrap/>
            <w:vAlign w:val="bottom"/>
          </w:tcPr>
          <w:p w14:paraId="427E2995" w14:textId="42DB6282" w:rsidR="00C77806" w:rsidRPr="004A4FAC" w:rsidRDefault="009510C0" w:rsidP="00AF7100">
            <w:pPr>
              <w:jc w:val="center"/>
              <w:rPr>
                <w:sz w:val="22"/>
                <w:szCs w:val="22"/>
              </w:rPr>
            </w:pPr>
            <w:r>
              <w:rPr>
                <w:sz w:val="22"/>
                <w:szCs w:val="22"/>
                <w:lang w:val="es-ES_tradnl"/>
              </w:rPr>
              <w:t>3.603</w:t>
            </w:r>
          </w:p>
        </w:tc>
        <w:tc>
          <w:tcPr>
            <w:tcW w:w="270" w:type="dxa"/>
            <w:tcBorders>
              <w:top w:val="nil"/>
              <w:left w:val="nil"/>
              <w:bottom w:val="nil"/>
              <w:right w:val="nil"/>
            </w:tcBorders>
            <w:shd w:val="clear" w:color="auto" w:fill="auto"/>
            <w:noWrap/>
          </w:tcPr>
          <w:p w14:paraId="7D0E04F4" w14:textId="77777777" w:rsidR="00C77806" w:rsidRPr="004A4FAC" w:rsidRDefault="00C77806" w:rsidP="00AF7100">
            <w:pPr>
              <w:rPr>
                <w:sz w:val="22"/>
                <w:szCs w:val="22"/>
              </w:rPr>
            </w:pPr>
          </w:p>
        </w:tc>
        <w:tc>
          <w:tcPr>
            <w:tcW w:w="1350" w:type="dxa"/>
            <w:tcBorders>
              <w:top w:val="nil"/>
              <w:left w:val="nil"/>
              <w:bottom w:val="nil"/>
              <w:right w:val="nil"/>
            </w:tcBorders>
            <w:shd w:val="clear" w:color="auto" w:fill="auto"/>
            <w:noWrap/>
            <w:vAlign w:val="bottom"/>
          </w:tcPr>
          <w:p w14:paraId="1DE0FDF4" w14:textId="7969003A" w:rsidR="00C77806" w:rsidRPr="004A4FAC" w:rsidRDefault="009510C0" w:rsidP="00AF7100">
            <w:pPr>
              <w:jc w:val="center"/>
              <w:rPr>
                <w:sz w:val="22"/>
                <w:szCs w:val="22"/>
              </w:rPr>
            </w:pPr>
            <w:r>
              <w:rPr>
                <w:sz w:val="22"/>
                <w:szCs w:val="22"/>
                <w:lang w:val="es-ES_tradnl"/>
              </w:rPr>
              <w:t>0.579</w:t>
            </w:r>
          </w:p>
        </w:tc>
        <w:tc>
          <w:tcPr>
            <w:tcW w:w="270" w:type="dxa"/>
            <w:tcBorders>
              <w:top w:val="nil"/>
              <w:left w:val="nil"/>
              <w:bottom w:val="nil"/>
              <w:right w:val="nil"/>
            </w:tcBorders>
            <w:shd w:val="clear" w:color="auto" w:fill="auto"/>
            <w:noWrap/>
          </w:tcPr>
          <w:p w14:paraId="5B7B301D" w14:textId="77777777" w:rsidR="00C77806" w:rsidRPr="004A4FAC" w:rsidRDefault="00C77806" w:rsidP="00AF7100">
            <w:pPr>
              <w:rPr>
                <w:sz w:val="22"/>
                <w:szCs w:val="22"/>
              </w:rPr>
            </w:pPr>
          </w:p>
        </w:tc>
        <w:tc>
          <w:tcPr>
            <w:tcW w:w="2002" w:type="dxa"/>
            <w:gridSpan w:val="2"/>
            <w:tcBorders>
              <w:top w:val="nil"/>
              <w:left w:val="nil"/>
              <w:bottom w:val="nil"/>
              <w:right w:val="nil"/>
            </w:tcBorders>
            <w:shd w:val="clear" w:color="auto" w:fill="auto"/>
            <w:noWrap/>
            <w:vAlign w:val="bottom"/>
          </w:tcPr>
          <w:p w14:paraId="1FF1A466" w14:textId="4C3AB5EC" w:rsidR="00C77806" w:rsidRPr="004A4FAC" w:rsidRDefault="009510C0" w:rsidP="00AF7100">
            <w:pPr>
              <w:jc w:val="center"/>
              <w:rPr>
                <w:sz w:val="22"/>
                <w:szCs w:val="22"/>
              </w:rPr>
            </w:pPr>
            <w:r>
              <w:rPr>
                <w:sz w:val="22"/>
                <w:szCs w:val="22"/>
                <w:lang w:val="es-ES_tradnl"/>
              </w:rPr>
              <w:t>19.14%</w:t>
            </w:r>
          </w:p>
        </w:tc>
      </w:tr>
      <w:tr w:rsidR="00EA0C0B" w14:paraId="2A912C05" w14:textId="77777777" w:rsidTr="00AF7100">
        <w:trPr>
          <w:gridBefore w:val="1"/>
          <w:wBefore w:w="108" w:type="dxa"/>
          <w:trHeight w:val="255"/>
          <w:jc w:val="center"/>
        </w:trPr>
        <w:tc>
          <w:tcPr>
            <w:tcW w:w="2610" w:type="dxa"/>
            <w:tcBorders>
              <w:top w:val="nil"/>
              <w:left w:val="nil"/>
              <w:bottom w:val="nil"/>
              <w:right w:val="nil"/>
            </w:tcBorders>
            <w:shd w:val="clear" w:color="auto" w:fill="auto"/>
            <w:noWrap/>
          </w:tcPr>
          <w:p w14:paraId="767B154B" w14:textId="77777777" w:rsidR="00C77806" w:rsidRPr="00EE5A50" w:rsidRDefault="009510C0" w:rsidP="00AF7100">
            <w:pPr>
              <w:rPr>
                <w:b/>
                <w:bCs/>
                <w:sz w:val="22"/>
                <w:szCs w:val="22"/>
              </w:rPr>
            </w:pPr>
            <w:r>
              <w:rPr>
                <w:b/>
                <w:bCs/>
                <w:sz w:val="22"/>
                <w:szCs w:val="22"/>
                <w:lang w:val="es-ES_tradnl"/>
              </w:rPr>
              <w:t>Agrícola</w:t>
            </w:r>
          </w:p>
        </w:tc>
        <w:tc>
          <w:tcPr>
            <w:tcW w:w="270" w:type="dxa"/>
            <w:tcBorders>
              <w:top w:val="nil"/>
              <w:left w:val="nil"/>
              <w:bottom w:val="nil"/>
              <w:right w:val="nil"/>
            </w:tcBorders>
            <w:shd w:val="clear" w:color="auto" w:fill="auto"/>
            <w:noWrap/>
          </w:tcPr>
          <w:p w14:paraId="6AECDCF3" w14:textId="77777777" w:rsidR="00C77806" w:rsidRPr="00EE5A50" w:rsidRDefault="00C77806" w:rsidP="00AF7100">
            <w:pPr>
              <w:rPr>
                <w:sz w:val="22"/>
                <w:szCs w:val="22"/>
              </w:rPr>
            </w:pPr>
          </w:p>
        </w:tc>
        <w:tc>
          <w:tcPr>
            <w:tcW w:w="1890" w:type="dxa"/>
            <w:tcBorders>
              <w:top w:val="nil"/>
              <w:left w:val="nil"/>
              <w:bottom w:val="nil"/>
              <w:right w:val="nil"/>
            </w:tcBorders>
            <w:shd w:val="clear" w:color="auto" w:fill="auto"/>
            <w:noWrap/>
            <w:vAlign w:val="bottom"/>
          </w:tcPr>
          <w:p w14:paraId="1BE5361D" w14:textId="25EC95C2" w:rsidR="00C77806" w:rsidRPr="00AB0F1F" w:rsidRDefault="009510C0" w:rsidP="00AF7100">
            <w:pPr>
              <w:jc w:val="center"/>
              <w:rPr>
                <w:sz w:val="22"/>
                <w:szCs w:val="22"/>
              </w:rPr>
            </w:pPr>
            <w:r>
              <w:rPr>
                <w:sz w:val="22"/>
                <w:szCs w:val="22"/>
                <w:lang w:val="es-ES_tradnl"/>
              </w:rPr>
              <w:t>2.281</w:t>
            </w:r>
          </w:p>
        </w:tc>
        <w:tc>
          <w:tcPr>
            <w:tcW w:w="270" w:type="dxa"/>
            <w:tcBorders>
              <w:top w:val="nil"/>
              <w:left w:val="nil"/>
              <w:bottom w:val="nil"/>
              <w:right w:val="nil"/>
            </w:tcBorders>
            <w:shd w:val="clear" w:color="auto" w:fill="auto"/>
            <w:noWrap/>
          </w:tcPr>
          <w:p w14:paraId="4359B64D" w14:textId="77777777" w:rsidR="00C77806" w:rsidRPr="00672253" w:rsidRDefault="00C77806" w:rsidP="00AF7100">
            <w:pPr>
              <w:rPr>
                <w:sz w:val="22"/>
                <w:szCs w:val="22"/>
                <w:highlight w:val="yellow"/>
              </w:rPr>
            </w:pPr>
          </w:p>
        </w:tc>
        <w:tc>
          <w:tcPr>
            <w:tcW w:w="2070" w:type="dxa"/>
            <w:tcBorders>
              <w:top w:val="nil"/>
              <w:left w:val="nil"/>
              <w:bottom w:val="nil"/>
              <w:right w:val="nil"/>
            </w:tcBorders>
            <w:shd w:val="clear" w:color="auto" w:fill="auto"/>
            <w:noWrap/>
            <w:vAlign w:val="bottom"/>
          </w:tcPr>
          <w:p w14:paraId="63B3718D" w14:textId="28CE4E32" w:rsidR="00C77806" w:rsidRPr="004A4FAC" w:rsidRDefault="009510C0" w:rsidP="00AF7100">
            <w:pPr>
              <w:jc w:val="center"/>
              <w:rPr>
                <w:sz w:val="22"/>
                <w:szCs w:val="22"/>
              </w:rPr>
            </w:pPr>
            <w:r>
              <w:rPr>
                <w:sz w:val="22"/>
                <w:szCs w:val="22"/>
                <w:lang w:val="es-ES_tradnl"/>
              </w:rPr>
              <w:t>2.629</w:t>
            </w:r>
          </w:p>
        </w:tc>
        <w:tc>
          <w:tcPr>
            <w:tcW w:w="270" w:type="dxa"/>
            <w:tcBorders>
              <w:top w:val="nil"/>
              <w:left w:val="nil"/>
              <w:bottom w:val="nil"/>
              <w:right w:val="nil"/>
            </w:tcBorders>
            <w:shd w:val="clear" w:color="auto" w:fill="auto"/>
            <w:noWrap/>
          </w:tcPr>
          <w:p w14:paraId="7618164C" w14:textId="77777777" w:rsidR="00C77806" w:rsidRPr="004A4FAC" w:rsidRDefault="00C77806" w:rsidP="00AF7100">
            <w:pPr>
              <w:rPr>
                <w:sz w:val="22"/>
                <w:szCs w:val="22"/>
              </w:rPr>
            </w:pPr>
          </w:p>
        </w:tc>
        <w:tc>
          <w:tcPr>
            <w:tcW w:w="1350" w:type="dxa"/>
            <w:tcBorders>
              <w:top w:val="nil"/>
              <w:left w:val="nil"/>
              <w:bottom w:val="nil"/>
              <w:right w:val="nil"/>
            </w:tcBorders>
            <w:shd w:val="clear" w:color="auto" w:fill="auto"/>
            <w:noWrap/>
            <w:vAlign w:val="bottom"/>
          </w:tcPr>
          <w:p w14:paraId="151C46EA" w14:textId="0361EB17" w:rsidR="00C77806" w:rsidRPr="004A4FAC" w:rsidRDefault="009510C0" w:rsidP="00AF7100">
            <w:pPr>
              <w:jc w:val="center"/>
              <w:rPr>
                <w:sz w:val="22"/>
                <w:szCs w:val="22"/>
              </w:rPr>
            </w:pPr>
            <w:r>
              <w:rPr>
                <w:sz w:val="22"/>
                <w:szCs w:val="22"/>
                <w:lang w:val="es-ES_tradnl"/>
              </w:rPr>
              <w:t>0.347</w:t>
            </w:r>
          </w:p>
        </w:tc>
        <w:tc>
          <w:tcPr>
            <w:tcW w:w="270" w:type="dxa"/>
            <w:tcBorders>
              <w:top w:val="nil"/>
              <w:left w:val="nil"/>
              <w:bottom w:val="nil"/>
              <w:right w:val="nil"/>
            </w:tcBorders>
            <w:shd w:val="clear" w:color="auto" w:fill="auto"/>
            <w:noWrap/>
          </w:tcPr>
          <w:p w14:paraId="78D948A9" w14:textId="77777777" w:rsidR="00C77806" w:rsidRPr="004A4FAC" w:rsidRDefault="00C77806" w:rsidP="00AF7100">
            <w:pPr>
              <w:rPr>
                <w:sz w:val="22"/>
                <w:szCs w:val="22"/>
              </w:rPr>
            </w:pPr>
          </w:p>
        </w:tc>
        <w:tc>
          <w:tcPr>
            <w:tcW w:w="2002" w:type="dxa"/>
            <w:gridSpan w:val="2"/>
            <w:tcBorders>
              <w:top w:val="nil"/>
              <w:left w:val="nil"/>
              <w:bottom w:val="nil"/>
              <w:right w:val="nil"/>
            </w:tcBorders>
            <w:shd w:val="clear" w:color="auto" w:fill="auto"/>
            <w:noWrap/>
            <w:vAlign w:val="bottom"/>
          </w:tcPr>
          <w:p w14:paraId="42C56A70" w14:textId="5E84885A" w:rsidR="00C77806" w:rsidRPr="004A4FAC" w:rsidRDefault="009510C0" w:rsidP="00AF7100">
            <w:pPr>
              <w:jc w:val="center"/>
              <w:rPr>
                <w:sz w:val="22"/>
                <w:szCs w:val="22"/>
              </w:rPr>
            </w:pPr>
            <w:r>
              <w:rPr>
                <w:sz w:val="22"/>
                <w:szCs w:val="22"/>
                <w:lang w:val="es-ES_tradnl"/>
              </w:rPr>
              <w:t>15.23%</w:t>
            </w:r>
          </w:p>
        </w:tc>
      </w:tr>
      <w:tr w:rsidR="00EA0C0B" w14:paraId="190E2FD3" w14:textId="77777777" w:rsidTr="00AF7100">
        <w:trPr>
          <w:gridBefore w:val="1"/>
          <w:wBefore w:w="108" w:type="dxa"/>
          <w:trHeight w:val="255"/>
          <w:jc w:val="center"/>
        </w:trPr>
        <w:tc>
          <w:tcPr>
            <w:tcW w:w="2610" w:type="dxa"/>
            <w:tcBorders>
              <w:top w:val="nil"/>
              <w:left w:val="nil"/>
              <w:bottom w:val="nil"/>
              <w:right w:val="nil"/>
            </w:tcBorders>
            <w:shd w:val="clear" w:color="auto" w:fill="auto"/>
            <w:noWrap/>
          </w:tcPr>
          <w:p w14:paraId="1E5293C9" w14:textId="77777777" w:rsidR="00C77806" w:rsidRPr="00EE5A50" w:rsidRDefault="009510C0" w:rsidP="00AF7100">
            <w:pPr>
              <w:rPr>
                <w:b/>
                <w:bCs/>
                <w:sz w:val="22"/>
                <w:szCs w:val="22"/>
              </w:rPr>
            </w:pPr>
            <w:r>
              <w:rPr>
                <w:b/>
                <w:bCs/>
                <w:sz w:val="22"/>
                <w:szCs w:val="22"/>
                <w:lang w:val="es-ES_tradnl"/>
              </w:rPr>
              <w:t>Iluminación</w:t>
            </w:r>
          </w:p>
        </w:tc>
        <w:tc>
          <w:tcPr>
            <w:tcW w:w="270" w:type="dxa"/>
            <w:tcBorders>
              <w:top w:val="nil"/>
              <w:left w:val="nil"/>
              <w:bottom w:val="nil"/>
              <w:right w:val="nil"/>
            </w:tcBorders>
            <w:shd w:val="clear" w:color="auto" w:fill="auto"/>
            <w:noWrap/>
          </w:tcPr>
          <w:p w14:paraId="60FC42EF" w14:textId="77777777" w:rsidR="00C77806" w:rsidRPr="00EE5A50" w:rsidRDefault="00C77806" w:rsidP="00AF7100">
            <w:pPr>
              <w:rPr>
                <w:sz w:val="22"/>
                <w:szCs w:val="22"/>
              </w:rPr>
            </w:pPr>
          </w:p>
        </w:tc>
        <w:tc>
          <w:tcPr>
            <w:tcW w:w="1890" w:type="dxa"/>
            <w:tcBorders>
              <w:top w:val="nil"/>
              <w:left w:val="nil"/>
              <w:bottom w:val="nil"/>
              <w:right w:val="nil"/>
            </w:tcBorders>
            <w:shd w:val="clear" w:color="auto" w:fill="auto"/>
            <w:noWrap/>
            <w:vAlign w:val="bottom"/>
          </w:tcPr>
          <w:p w14:paraId="48A0BE83" w14:textId="0039EFA6" w:rsidR="00C77806" w:rsidRPr="00AB0F1F" w:rsidRDefault="009510C0" w:rsidP="00AF7100">
            <w:pPr>
              <w:jc w:val="center"/>
              <w:rPr>
                <w:sz w:val="22"/>
                <w:szCs w:val="22"/>
              </w:rPr>
            </w:pPr>
            <w:r>
              <w:rPr>
                <w:sz w:val="22"/>
                <w:szCs w:val="22"/>
                <w:lang w:val="es-ES_tradnl"/>
              </w:rPr>
              <w:t>2.146</w:t>
            </w:r>
          </w:p>
        </w:tc>
        <w:tc>
          <w:tcPr>
            <w:tcW w:w="270" w:type="dxa"/>
            <w:tcBorders>
              <w:top w:val="nil"/>
              <w:left w:val="nil"/>
              <w:bottom w:val="nil"/>
              <w:right w:val="nil"/>
            </w:tcBorders>
            <w:shd w:val="clear" w:color="auto" w:fill="auto"/>
            <w:noWrap/>
          </w:tcPr>
          <w:p w14:paraId="59B992D0" w14:textId="77777777" w:rsidR="00C77806" w:rsidRPr="00672253" w:rsidRDefault="00C77806" w:rsidP="00AF7100">
            <w:pPr>
              <w:rPr>
                <w:sz w:val="22"/>
                <w:szCs w:val="22"/>
                <w:highlight w:val="yellow"/>
              </w:rPr>
            </w:pPr>
          </w:p>
        </w:tc>
        <w:tc>
          <w:tcPr>
            <w:tcW w:w="2070" w:type="dxa"/>
            <w:tcBorders>
              <w:top w:val="nil"/>
              <w:left w:val="nil"/>
              <w:bottom w:val="nil"/>
              <w:right w:val="nil"/>
            </w:tcBorders>
            <w:shd w:val="clear" w:color="auto" w:fill="auto"/>
            <w:noWrap/>
            <w:vAlign w:val="bottom"/>
          </w:tcPr>
          <w:p w14:paraId="3F420CA1" w14:textId="284E8374" w:rsidR="00C77806" w:rsidRPr="004A4FAC" w:rsidRDefault="009510C0" w:rsidP="00AF7100">
            <w:pPr>
              <w:jc w:val="center"/>
              <w:rPr>
                <w:sz w:val="22"/>
                <w:szCs w:val="22"/>
              </w:rPr>
            </w:pPr>
            <w:r>
              <w:rPr>
                <w:sz w:val="22"/>
                <w:szCs w:val="22"/>
                <w:lang w:val="es-ES_tradnl"/>
              </w:rPr>
              <w:t>2.456</w:t>
            </w:r>
          </w:p>
        </w:tc>
        <w:tc>
          <w:tcPr>
            <w:tcW w:w="270" w:type="dxa"/>
            <w:tcBorders>
              <w:top w:val="nil"/>
              <w:left w:val="nil"/>
              <w:bottom w:val="nil"/>
              <w:right w:val="nil"/>
            </w:tcBorders>
            <w:shd w:val="clear" w:color="auto" w:fill="auto"/>
            <w:noWrap/>
          </w:tcPr>
          <w:p w14:paraId="63EB58DF" w14:textId="77777777" w:rsidR="00C77806" w:rsidRPr="004A4FAC" w:rsidRDefault="00C77806" w:rsidP="00AF7100">
            <w:pPr>
              <w:rPr>
                <w:sz w:val="22"/>
                <w:szCs w:val="22"/>
              </w:rPr>
            </w:pPr>
          </w:p>
        </w:tc>
        <w:tc>
          <w:tcPr>
            <w:tcW w:w="1350" w:type="dxa"/>
            <w:tcBorders>
              <w:top w:val="nil"/>
              <w:left w:val="nil"/>
              <w:bottom w:val="nil"/>
              <w:right w:val="nil"/>
            </w:tcBorders>
            <w:shd w:val="clear" w:color="auto" w:fill="auto"/>
            <w:noWrap/>
            <w:vAlign w:val="bottom"/>
          </w:tcPr>
          <w:p w14:paraId="56BD61CA" w14:textId="6715C1E5" w:rsidR="00C77806" w:rsidRPr="004A4FAC" w:rsidRDefault="009510C0" w:rsidP="00AF7100">
            <w:pPr>
              <w:jc w:val="center"/>
              <w:rPr>
                <w:sz w:val="22"/>
                <w:szCs w:val="22"/>
              </w:rPr>
            </w:pPr>
            <w:r>
              <w:rPr>
                <w:sz w:val="22"/>
                <w:szCs w:val="22"/>
                <w:lang w:val="es-ES_tradnl"/>
              </w:rPr>
              <w:t>0.310</w:t>
            </w:r>
          </w:p>
        </w:tc>
        <w:tc>
          <w:tcPr>
            <w:tcW w:w="270" w:type="dxa"/>
            <w:tcBorders>
              <w:top w:val="nil"/>
              <w:left w:val="nil"/>
              <w:bottom w:val="nil"/>
              <w:right w:val="nil"/>
            </w:tcBorders>
            <w:shd w:val="clear" w:color="auto" w:fill="auto"/>
            <w:noWrap/>
          </w:tcPr>
          <w:p w14:paraId="3A5D691C" w14:textId="77777777" w:rsidR="00C77806" w:rsidRPr="004A4FAC" w:rsidRDefault="00C77806" w:rsidP="00AF7100">
            <w:pPr>
              <w:rPr>
                <w:sz w:val="22"/>
                <w:szCs w:val="22"/>
              </w:rPr>
            </w:pPr>
          </w:p>
        </w:tc>
        <w:tc>
          <w:tcPr>
            <w:tcW w:w="2002" w:type="dxa"/>
            <w:gridSpan w:val="2"/>
            <w:tcBorders>
              <w:top w:val="nil"/>
              <w:left w:val="nil"/>
              <w:bottom w:val="nil"/>
              <w:right w:val="nil"/>
            </w:tcBorders>
            <w:shd w:val="clear" w:color="auto" w:fill="auto"/>
            <w:noWrap/>
            <w:vAlign w:val="bottom"/>
          </w:tcPr>
          <w:p w14:paraId="2C963223" w14:textId="1D6FCAFA" w:rsidR="00C77806" w:rsidRPr="004A4FAC" w:rsidRDefault="009510C0" w:rsidP="00AF7100">
            <w:pPr>
              <w:jc w:val="center"/>
              <w:rPr>
                <w:sz w:val="22"/>
                <w:szCs w:val="22"/>
              </w:rPr>
            </w:pPr>
            <w:r>
              <w:rPr>
                <w:sz w:val="22"/>
                <w:szCs w:val="22"/>
                <w:lang w:val="es-ES_tradnl"/>
              </w:rPr>
              <w:t>14.45%</w:t>
            </w:r>
          </w:p>
        </w:tc>
      </w:tr>
      <w:tr w:rsidR="00EA0C0B" w14:paraId="6AD4758B" w14:textId="77777777" w:rsidTr="00AF7100">
        <w:trPr>
          <w:gridBefore w:val="1"/>
          <w:wBefore w:w="108" w:type="dxa"/>
          <w:trHeight w:val="255"/>
          <w:jc w:val="center"/>
        </w:trPr>
        <w:tc>
          <w:tcPr>
            <w:tcW w:w="2610" w:type="dxa"/>
            <w:tcBorders>
              <w:top w:val="nil"/>
              <w:left w:val="nil"/>
              <w:bottom w:val="nil"/>
              <w:right w:val="nil"/>
            </w:tcBorders>
            <w:shd w:val="clear" w:color="auto" w:fill="auto"/>
            <w:noWrap/>
          </w:tcPr>
          <w:p w14:paraId="504D7397" w14:textId="77777777" w:rsidR="00C77806" w:rsidRPr="00EE5A50" w:rsidRDefault="009510C0" w:rsidP="00AF7100">
            <w:pPr>
              <w:rPr>
                <w:b/>
                <w:bCs/>
                <w:sz w:val="22"/>
                <w:szCs w:val="22"/>
              </w:rPr>
            </w:pPr>
            <w:r>
              <w:rPr>
                <w:b/>
                <w:bCs/>
                <w:sz w:val="22"/>
                <w:szCs w:val="22"/>
                <w:lang w:val="es-ES_tradnl"/>
              </w:rPr>
              <w:t>Total del sistema</w:t>
            </w:r>
          </w:p>
        </w:tc>
        <w:tc>
          <w:tcPr>
            <w:tcW w:w="270" w:type="dxa"/>
            <w:tcBorders>
              <w:top w:val="nil"/>
              <w:left w:val="nil"/>
              <w:bottom w:val="nil"/>
              <w:right w:val="nil"/>
            </w:tcBorders>
            <w:shd w:val="clear" w:color="auto" w:fill="auto"/>
            <w:noWrap/>
          </w:tcPr>
          <w:p w14:paraId="46583BB3" w14:textId="77777777" w:rsidR="00C77806" w:rsidRPr="00EE5A50" w:rsidRDefault="00C77806" w:rsidP="00AF7100">
            <w:pPr>
              <w:rPr>
                <w:sz w:val="22"/>
                <w:szCs w:val="22"/>
              </w:rPr>
            </w:pPr>
          </w:p>
        </w:tc>
        <w:tc>
          <w:tcPr>
            <w:tcW w:w="1890" w:type="dxa"/>
            <w:tcBorders>
              <w:top w:val="nil"/>
              <w:left w:val="nil"/>
              <w:bottom w:val="nil"/>
              <w:right w:val="nil"/>
            </w:tcBorders>
            <w:shd w:val="clear" w:color="auto" w:fill="auto"/>
            <w:noWrap/>
            <w:vAlign w:val="bottom"/>
          </w:tcPr>
          <w:p w14:paraId="41F725AF" w14:textId="49AB614F" w:rsidR="00C77806" w:rsidRPr="00AB0F1F" w:rsidRDefault="009510C0" w:rsidP="00AF7100">
            <w:pPr>
              <w:jc w:val="center"/>
              <w:rPr>
                <w:sz w:val="22"/>
                <w:szCs w:val="22"/>
              </w:rPr>
            </w:pPr>
            <w:r>
              <w:rPr>
                <w:sz w:val="22"/>
                <w:szCs w:val="22"/>
                <w:lang w:val="es-ES_tradnl"/>
              </w:rPr>
              <w:t>3.059</w:t>
            </w:r>
          </w:p>
        </w:tc>
        <w:tc>
          <w:tcPr>
            <w:tcW w:w="270" w:type="dxa"/>
            <w:tcBorders>
              <w:top w:val="nil"/>
              <w:left w:val="nil"/>
              <w:bottom w:val="nil"/>
              <w:right w:val="nil"/>
            </w:tcBorders>
            <w:shd w:val="clear" w:color="auto" w:fill="auto"/>
            <w:noWrap/>
          </w:tcPr>
          <w:p w14:paraId="416D7461" w14:textId="77777777" w:rsidR="00C77806" w:rsidRPr="00672253" w:rsidRDefault="00C77806" w:rsidP="00AF7100">
            <w:pPr>
              <w:rPr>
                <w:sz w:val="22"/>
                <w:szCs w:val="22"/>
                <w:highlight w:val="yellow"/>
              </w:rPr>
            </w:pPr>
          </w:p>
        </w:tc>
        <w:tc>
          <w:tcPr>
            <w:tcW w:w="2070" w:type="dxa"/>
            <w:tcBorders>
              <w:top w:val="nil"/>
              <w:left w:val="nil"/>
              <w:bottom w:val="nil"/>
              <w:right w:val="nil"/>
            </w:tcBorders>
            <w:shd w:val="clear" w:color="auto" w:fill="auto"/>
            <w:noWrap/>
            <w:vAlign w:val="bottom"/>
          </w:tcPr>
          <w:p w14:paraId="1F1683DC" w14:textId="7E026FFC" w:rsidR="00C77806" w:rsidRPr="004A4FAC" w:rsidRDefault="009510C0" w:rsidP="00AF7100">
            <w:pPr>
              <w:jc w:val="center"/>
              <w:rPr>
                <w:sz w:val="22"/>
                <w:szCs w:val="22"/>
              </w:rPr>
            </w:pPr>
            <w:r>
              <w:rPr>
                <w:sz w:val="22"/>
                <w:szCs w:val="22"/>
                <w:lang w:val="es-ES_tradnl"/>
              </w:rPr>
              <w:t>3.559</w:t>
            </w:r>
          </w:p>
        </w:tc>
        <w:tc>
          <w:tcPr>
            <w:tcW w:w="270" w:type="dxa"/>
            <w:tcBorders>
              <w:top w:val="nil"/>
              <w:left w:val="nil"/>
              <w:bottom w:val="nil"/>
              <w:right w:val="nil"/>
            </w:tcBorders>
            <w:shd w:val="clear" w:color="auto" w:fill="auto"/>
            <w:noWrap/>
          </w:tcPr>
          <w:p w14:paraId="3DCD4180" w14:textId="77777777" w:rsidR="00C77806" w:rsidRPr="004A4FAC" w:rsidRDefault="00C77806" w:rsidP="00AF7100">
            <w:pPr>
              <w:rPr>
                <w:sz w:val="22"/>
                <w:szCs w:val="22"/>
              </w:rPr>
            </w:pPr>
          </w:p>
        </w:tc>
        <w:tc>
          <w:tcPr>
            <w:tcW w:w="1350" w:type="dxa"/>
            <w:tcBorders>
              <w:top w:val="nil"/>
              <w:left w:val="nil"/>
              <w:bottom w:val="nil"/>
              <w:right w:val="nil"/>
            </w:tcBorders>
            <w:shd w:val="clear" w:color="auto" w:fill="auto"/>
            <w:noWrap/>
            <w:vAlign w:val="bottom"/>
          </w:tcPr>
          <w:p w14:paraId="06569648" w14:textId="3E8F128E" w:rsidR="00C77806" w:rsidRPr="004A4FAC" w:rsidRDefault="009510C0" w:rsidP="00AF7100">
            <w:pPr>
              <w:jc w:val="center"/>
              <w:rPr>
                <w:sz w:val="22"/>
                <w:szCs w:val="22"/>
              </w:rPr>
            </w:pPr>
            <w:r>
              <w:rPr>
                <w:sz w:val="22"/>
                <w:szCs w:val="22"/>
                <w:lang w:val="es-ES_tradnl"/>
              </w:rPr>
              <w:t>0.500</w:t>
            </w:r>
          </w:p>
        </w:tc>
        <w:tc>
          <w:tcPr>
            <w:tcW w:w="270" w:type="dxa"/>
            <w:tcBorders>
              <w:top w:val="nil"/>
              <w:left w:val="nil"/>
              <w:bottom w:val="nil"/>
              <w:right w:val="nil"/>
            </w:tcBorders>
            <w:shd w:val="clear" w:color="auto" w:fill="auto"/>
            <w:noWrap/>
          </w:tcPr>
          <w:p w14:paraId="42D00646" w14:textId="77777777" w:rsidR="00C77806" w:rsidRPr="004A4FAC" w:rsidRDefault="00C77806" w:rsidP="00AF7100">
            <w:pPr>
              <w:rPr>
                <w:sz w:val="22"/>
                <w:szCs w:val="22"/>
              </w:rPr>
            </w:pPr>
          </w:p>
        </w:tc>
        <w:tc>
          <w:tcPr>
            <w:tcW w:w="2002" w:type="dxa"/>
            <w:gridSpan w:val="2"/>
            <w:tcBorders>
              <w:top w:val="nil"/>
              <w:left w:val="nil"/>
              <w:bottom w:val="nil"/>
              <w:right w:val="nil"/>
            </w:tcBorders>
            <w:shd w:val="clear" w:color="auto" w:fill="auto"/>
            <w:noWrap/>
            <w:vAlign w:val="bottom"/>
          </w:tcPr>
          <w:p w14:paraId="418D7529" w14:textId="11C79CBE" w:rsidR="00C77806" w:rsidRPr="004A4FAC" w:rsidRDefault="009510C0" w:rsidP="00AF7100">
            <w:pPr>
              <w:jc w:val="center"/>
              <w:rPr>
                <w:sz w:val="22"/>
                <w:szCs w:val="22"/>
              </w:rPr>
            </w:pPr>
            <w:r>
              <w:rPr>
                <w:sz w:val="22"/>
                <w:szCs w:val="22"/>
                <w:lang w:val="es-ES_tradnl"/>
              </w:rPr>
              <w:t>16.35%</w:t>
            </w:r>
          </w:p>
        </w:tc>
      </w:tr>
    </w:tbl>
    <w:p w14:paraId="334A45AD" w14:textId="23D284BA" w:rsidR="00C77806" w:rsidRPr="00C77806" w:rsidRDefault="00C77806" w:rsidP="00C77806">
      <w:pPr>
        <w:pStyle w:val="BodyText"/>
        <w:spacing w:after="0"/>
        <w:jc w:val="both"/>
        <w:rPr>
          <w:sz w:val="20"/>
          <w:szCs w:val="20"/>
          <w:lang w:val="en-US"/>
        </w:rPr>
      </w:pPr>
    </w:p>
    <w:tbl>
      <w:tblPr>
        <w:tblW w:w="11110" w:type="dxa"/>
        <w:jc w:val="center"/>
        <w:tblLook w:val="0000" w:firstRow="0" w:lastRow="0" w:firstColumn="0" w:lastColumn="0" w:noHBand="0" w:noVBand="0"/>
      </w:tblPr>
      <w:tblGrid>
        <w:gridCol w:w="11110"/>
      </w:tblGrid>
      <w:tr w:rsidR="00EA0C0B" w:rsidRPr="00EB47DE" w14:paraId="354D5FB6" w14:textId="77777777" w:rsidTr="4273F307">
        <w:trPr>
          <w:trHeight w:val="255"/>
          <w:jc w:val="center"/>
        </w:trPr>
        <w:tc>
          <w:tcPr>
            <w:tcW w:w="11110" w:type="dxa"/>
            <w:tcBorders>
              <w:top w:val="nil"/>
              <w:left w:val="nil"/>
              <w:bottom w:val="nil"/>
              <w:right w:val="nil"/>
            </w:tcBorders>
            <w:shd w:val="clear" w:color="auto" w:fill="auto"/>
            <w:noWrap/>
          </w:tcPr>
          <w:p w14:paraId="4996B292" w14:textId="68880EEB" w:rsidR="00C77806" w:rsidRPr="002F7382" w:rsidRDefault="009510C0" w:rsidP="00AF7100">
            <w:pPr>
              <w:rPr>
                <w:b/>
                <w:bCs/>
                <w:sz w:val="20"/>
                <w:lang w:val="es-MX"/>
              </w:rPr>
            </w:pPr>
            <w:r>
              <w:rPr>
                <w:sz w:val="20"/>
                <w:szCs w:val="20"/>
                <w:vertAlign w:val="superscript"/>
                <w:lang w:val="es-ES_tradnl"/>
              </w:rPr>
              <w:t>1</w:t>
            </w:r>
            <w:r>
              <w:rPr>
                <w:sz w:val="20"/>
                <w:szCs w:val="20"/>
                <w:lang w:val="es-ES_tradnl"/>
              </w:rPr>
              <w:t xml:space="preserve"> Tarifas en vigor a partir del 1 de febrero de 2020. conforme a la Carta de Aviso (AL) 3500-E.</w:t>
            </w:r>
          </w:p>
        </w:tc>
      </w:tr>
      <w:tr w:rsidR="00EA0C0B" w:rsidRPr="00EB47DE" w14:paraId="25615E01" w14:textId="77777777" w:rsidTr="4273F307">
        <w:trPr>
          <w:trHeight w:val="255"/>
          <w:jc w:val="center"/>
        </w:trPr>
        <w:tc>
          <w:tcPr>
            <w:tcW w:w="11110" w:type="dxa"/>
            <w:tcBorders>
              <w:top w:val="nil"/>
              <w:left w:val="nil"/>
              <w:bottom w:val="nil"/>
              <w:right w:val="nil"/>
            </w:tcBorders>
            <w:shd w:val="clear" w:color="auto" w:fill="auto"/>
            <w:noWrap/>
          </w:tcPr>
          <w:p w14:paraId="745D8655" w14:textId="123E8098" w:rsidR="00C77806" w:rsidRPr="002F7382" w:rsidRDefault="009510C0" w:rsidP="4273F307">
            <w:pPr>
              <w:ind w:left="-1260" w:firstLine="1260"/>
              <w:rPr>
                <w:sz w:val="20"/>
                <w:szCs w:val="20"/>
                <w:lang w:val="es-MX"/>
              </w:rPr>
            </w:pPr>
            <w:r>
              <w:rPr>
                <w:sz w:val="20"/>
                <w:szCs w:val="20"/>
                <w:vertAlign w:val="superscript"/>
                <w:lang w:val="es-ES_tradnl"/>
              </w:rPr>
              <w:t>2</w:t>
            </w:r>
            <w:r>
              <w:rPr>
                <w:sz w:val="20"/>
                <w:szCs w:val="20"/>
                <w:lang w:val="es-ES_tradnl"/>
              </w:rPr>
              <w:t xml:space="preserve"> $119 millones más cuotas de franquicia y cuentas incobrables amortizadas a lo largo de 10 meses.</w:t>
            </w:r>
          </w:p>
          <w:p w14:paraId="42F75414" w14:textId="716FD44A" w:rsidR="00C77806" w:rsidRPr="009510C0" w:rsidRDefault="009510C0" w:rsidP="009510C0">
            <w:pPr>
              <w:ind w:left="-1260" w:firstLine="1260"/>
              <w:rPr>
                <w:sz w:val="20"/>
                <w:szCs w:val="20"/>
                <w:lang w:val="es-ES_tradnl"/>
              </w:rPr>
            </w:pPr>
            <w:r>
              <w:rPr>
                <w:sz w:val="20"/>
                <w:szCs w:val="20"/>
                <w:vertAlign w:val="superscript"/>
                <w:lang w:val="es-ES_tradnl"/>
              </w:rPr>
              <w:t>3</w:t>
            </w:r>
            <w:r>
              <w:rPr>
                <w:sz w:val="20"/>
                <w:szCs w:val="20"/>
                <w:lang w:val="es-ES_tradnl"/>
              </w:rPr>
              <w:t xml:space="preserve"> </w:t>
            </w:r>
            <w:proofErr w:type="spellStart"/>
            <w:r>
              <w:rPr>
                <w:sz w:val="20"/>
                <w:szCs w:val="20"/>
                <w:lang w:val="es-ES_tradnl"/>
              </w:rPr>
              <w:t>CeI</w:t>
            </w:r>
            <w:proofErr w:type="spellEnd"/>
            <w:r>
              <w:rPr>
                <w:sz w:val="20"/>
                <w:szCs w:val="20"/>
                <w:lang w:val="es-ES_tradnl"/>
              </w:rPr>
              <w:t xml:space="preserve"> significa Comercial e Industrial.</w:t>
            </w:r>
          </w:p>
        </w:tc>
      </w:tr>
    </w:tbl>
    <w:p w14:paraId="5E3AA4F1" w14:textId="77777777" w:rsidR="00C77806" w:rsidRPr="002F7382" w:rsidRDefault="00C77806" w:rsidP="00212BE6">
      <w:pPr>
        <w:pStyle w:val="BodyText"/>
        <w:jc w:val="both"/>
        <w:rPr>
          <w:lang w:val="es-MX"/>
        </w:rPr>
      </w:pPr>
    </w:p>
    <w:p w14:paraId="27665A78" w14:textId="53707FD5" w:rsidR="0072769E" w:rsidRDefault="009510C0" w:rsidP="006B6AA3">
      <w:pPr>
        <w:pStyle w:val="BodyText"/>
        <w:spacing w:after="0"/>
        <w:jc w:val="center"/>
        <w:rPr>
          <w:b/>
          <w:bCs/>
        </w:rPr>
      </w:pPr>
      <w:r>
        <w:rPr>
          <w:b/>
          <w:bCs/>
          <w:lang w:val="es-ES_tradnl"/>
        </w:rPr>
        <w:t>PROCESO DE LA CPUC</w:t>
      </w:r>
    </w:p>
    <w:p w14:paraId="1DE4E154" w14:textId="77777777" w:rsidR="00AD6E86" w:rsidRPr="00130879" w:rsidRDefault="00AD6E86" w:rsidP="006B6AA3">
      <w:pPr>
        <w:pStyle w:val="BodyText"/>
        <w:spacing w:after="0"/>
        <w:jc w:val="center"/>
        <w:rPr>
          <w:b/>
          <w:bCs/>
        </w:rPr>
      </w:pPr>
    </w:p>
    <w:p w14:paraId="59A52597" w14:textId="40B435B1" w:rsidR="00813BDE" w:rsidRPr="002F7382" w:rsidRDefault="009510C0" w:rsidP="004A4FAC">
      <w:pPr>
        <w:pStyle w:val="BodyText"/>
        <w:rPr>
          <w:lang w:val="es-MX" w:eastAsia="en-US"/>
        </w:rPr>
      </w:pPr>
      <w:r>
        <w:rPr>
          <w:lang w:val="es-ES_tradnl" w:eastAsia="en-US"/>
        </w:rPr>
        <w:t xml:space="preserve">La presente solicitud se asignará a un Juez de Derecho Administrativo de la CPUC, quien considerará las propuestas y pruebas presentadas durante el proceso formal de las audiencias. El Juez de Derecho Administrativo emitirá una propuesta de decisión que tal vez adopte la solicitud de SDG&amp;E, la modifique o la deniegue. Cualquier Comisionado de la CPUC puede proponer una decisión alterna con un resultado distinto. La decisión propuesta y cualquier decisión alterna serán sometidas a la discusión y votación de los Comisionados de la CPUC en una Reunión de Votación pública de la CPUC. </w:t>
      </w:r>
    </w:p>
    <w:p w14:paraId="34898BD7" w14:textId="5C7CA63C" w:rsidR="00BE0930" w:rsidRPr="002F7382" w:rsidRDefault="009510C0" w:rsidP="00813BDE">
      <w:pPr>
        <w:rPr>
          <w:lang w:val="es-MX"/>
        </w:rPr>
      </w:pPr>
      <w:r>
        <w:rPr>
          <w:lang w:val="es-ES_tradnl"/>
        </w:rPr>
        <w:t>Las partes en el procedimiento están examinando en este momento la solicitud de SDG&amp;E; entre ellas se incluye la Oficina de Defensores Públicos, que es un defensor independiente de los consumidores dentro de la CPUC que representa a los clientes para obtener la tarifa más baja posible por un servicio acorde con niveles de servicio confiables y seguros. Para más información acerca de la Oficina de Defensores Públicos, sírvase llamar al 1-415-703-1584, escribir un correo electrónico a PublicAdvocatesOffice@cpuc.ca.gov o visitar PublicAdvocates.cpuc.ca.gov.</w:t>
      </w:r>
    </w:p>
    <w:p w14:paraId="7B468EF5" w14:textId="77777777" w:rsidR="0072769E" w:rsidRPr="002F7382" w:rsidRDefault="0072769E" w:rsidP="004A4FAC">
      <w:pPr>
        <w:rPr>
          <w:lang w:val="es-MX"/>
        </w:rPr>
      </w:pPr>
    </w:p>
    <w:p w14:paraId="5CE74F01" w14:textId="77777777" w:rsidR="0072769E" w:rsidRPr="002F7382" w:rsidRDefault="009510C0" w:rsidP="006B6AA3">
      <w:pPr>
        <w:jc w:val="center"/>
        <w:rPr>
          <w:b/>
          <w:bCs/>
          <w:lang w:val="es-MX"/>
        </w:rPr>
      </w:pPr>
      <w:r>
        <w:rPr>
          <w:b/>
          <w:bCs/>
          <w:lang w:val="es-ES_tradnl"/>
        </w:rPr>
        <w:t>¿DÓNDE PUEDO OBTENER MÁS INFORMACIÓN?</w:t>
      </w:r>
    </w:p>
    <w:p w14:paraId="2801B023" w14:textId="77777777" w:rsidR="00BE0930" w:rsidRPr="002F7382" w:rsidRDefault="00BE0930" w:rsidP="0072769E">
      <w:pPr>
        <w:rPr>
          <w:lang w:val="es-MX"/>
        </w:rPr>
      </w:pPr>
    </w:p>
    <w:p w14:paraId="30CEB8E6" w14:textId="1BC6784C" w:rsidR="00DA1BB5" w:rsidRPr="002F7382" w:rsidRDefault="009510C0" w:rsidP="0072769E">
      <w:pPr>
        <w:rPr>
          <w:lang w:val="es-MX"/>
        </w:rPr>
      </w:pPr>
      <w:r>
        <w:rPr>
          <w:lang w:val="es-ES_tradnl"/>
        </w:rPr>
        <w:t>PÓNGASE EN CONTACTO CON SDG&amp;E</w:t>
      </w:r>
    </w:p>
    <w:p w14:paraId="37201465" w14:textId="1F97743A" w:rsidR="00306E6D" w:rsidRPr="002F7382" w:rsidRDefault="009510C0" w:rsidP="0079586B">
      <w:pPr>
        <w:numPr>
          <w:ilvl w:val="0"/>
          <w:numId w:val="3"/>
        </w:numPr>
        <w:rPr>
          <w:lang w:val="es-MX"/>
        </w:rPr>
      </w:pPr>
      <w:r>
        <w:rPr>
          <w:lang w:val="es-ES_tradnl"/>
        </w:rPr>
        <w:t>Env</w:t>
      </w:r>
      <w:r w:rsidR="00D57002">
        <w:rPr>
          <w:lang w:val="es-ES_tradnl"/>
        </w:rPr>
        <w:t>íe</w:t>
      </w:r>
      <w:r>
        <w:rPr>
          <w:lang w:val="es-ES_tradnl"/>
        </w:rPr>
        <w:t xml:space="preserve"> un mensaje de correo electrónico a: swoldegiorgis@sdge.com  </w:t>
      </w:r>
    </w:p>
    <w:p w14:paraId="64BB2B06" w14:textId="4D410702" w:rsidR="00DA1BB5" w:rsidRPr="00D512FD" w:rsidRDefault="009510C0" w:rsidP="00FF0FB8">
      <w:pPr>
        <w:numPr>
          <w:ilvl w:val="0"/>
          <w:numId w:val="3"/>
        </w:numPr>
      </w:pPr>
      <w:r>
        <w:rPr>
          <w:lang w:val="es-ES_tradnl"/>
        </w:rPr>
        <w:t>Escrib</w:t>
      </w:r>
      <w:r w:rsidR="00D57002">
        <w:rPr>
          <w:lang w:val="es-ES_tradnl"/>
        </w:rPr>
        <w:t>a</w:t>
      </w:r>
      <w:r>
        <w:rPr>
          <w:lang w:val="es-ES_tradnl"/>
        </w:rPr>
        <w:t xml:space="preserve"> a: </w:t>
      </w:r>
      <w:proofErr w:type="spellStart"/>
      <w:r>
        <w:rPr>
          <w:lang w:val="es-ES_tradnl"/>
        </w:rPr>
        <w:t>Shewit</w:t>
      </w:r>
      <w:proofErr w:type="spellEnd"/>
      <w:r>
        <w:rPr>
          <w:lang w:val="es-ES_tradnl"/>
        </w:rPr>
        <w:t xml:space="preserve"> </w:t>
      </w:r>
      <w:proofErr w:type="spellStart"/>
      <w:r>
        <w:rPr>
          <w:lang w:val="es-ES_tradnl"/>
        </w:rPr>
        <w:t>Woldegiorgis</w:t>
      </w:r>
      <w:proofErr w:type="spellEnd"/>
    </w:p>
    <w:p w14:paraId="7B6E7831" w14:textId="77777777" w:rsidR="000721B8" w:rsidRPr="00D512FD" w:rsidRDefault="009510C0" w:rsidP="00D57002">
      <w:pPr>
        <w:ind w:left="2127"/>
      </w:pPr>
      <w:r>
        <w:rPr>
          <w:lang w:val="es-ES_tradnl"/>
        </w:rPr>
        <w:t xml:space="preserve">Case Manager </w:t>
      </w:r>
      <w:proofErr w:type="spellStart"/>
      <w:r>
        <w:rPr>
          <w:lang w:val="es-ES_tradnl"/>
        </w:rPr>
        <w:t>for</w:t>
      </w:r>
      <w:proofErr w:type="spellEnd"/>
      <w:r>
        <w:rPr>
          <w:lang w:val="es-ES_tradnl"/>
        </w:rPr>
        <w:t xml:space="preserve"> SDG&amp;E</w:t>
      </w:r>
    </w:p>
    <w:p w14:paraId="5805E909" w14:textId="77777777" w:rsidR="000721B8" w:rsidRPr="003001DA" w:rsidRDefault="009510C0" w:rsidP="00D57002">
      <w:pPr>
        <w:ind w:left="2127"/>
      </w:pPr>
      <w:r w:rsidRPr="002F7382">
        <w:t>8330 Century Park Court, San Diego, CA 92123</w:t>
      </w:r>
    </w:p>
    <w:p w14:paraId="75C9D436" w14:textId="77777777" w:rsidR="00DA1BB5" w:rsidRPr="003001DA" w:rsidRDefault="00DA1BB5" w:rsidP="0072769E"/>
    <w:p w14:paraId="5ADF0291" w14:textId="77777777" w:rsidR="00DA1BB5" w:rsidRPr="00130879" w:rsidRDefault="009510C0" w:rsidP="007771BB">
      <w:pPr>
        <w:numPr>
          <w:ilvl w:val="0"/>
          <w:numId w:val="3"/>
        </w:numPr>
        <w:rPr>
          <w:lang w:val="es-ES_tradnl"/>
        </w:rPr>
      </w:pPr>
      <w:r>
        <w:rPr>
          <w:lang w:val="es-ES_tradnl"/>
        </w:rPr>
        <w:t xml:space="preserve">Una copia de la solicitud y cualesquier documentos relacionados se pueden examinar también en </w:t>
      </w:r>
      <w:hyperlink r:id="rId9" w:history="1">
        <w:r>
          <w:rPr>
            <w:color w:val="0000FF"/>
            <w:u w:val="single"/>
            <w:lang w:val="es-ES_tradnl"/>
          </w:rPr>
          <w:t>https://www.sdge.com/rates-and-regulations/proceedings</w:t>
        </w:r>
      </w:hyperlink>
      <w:r>
        <w:rPr>
          <w:lang w:val="es-ES_tradnl"/>
        </w:rPr>
        <w:t>.</w:t>
      </w:r>
    </w:p>
    <w:p w14:paraId="387264B2" w14:textId="77777777" w:rsidR="00DA1BB5" w:rsidRPr="002F7382" w:rsidRDefault="00DA1BB5" w:rsidP="0072769E">
      <w:pPr>
        <w:rPr>
          <w:lang w:val="es-MX"/>
        </w:rPr>
      </w:pPr>
    </w:p>
    <w:p w14:paraId="178DC959" w14:textId="77777777" w:rsidR="00DA1BB5" w:rsidRPr="002F7382" w:rsidRDefault="009510C0" w:rsidP="0072769E">
      <w:pPr>
        <w:rPr>
          <w:lang w:val="es-MX"/>
        </w:rPr>
      </w:pPr>
      <w:r>
        <w:rPr>
          <w:lang w:val="es-ES_tradnl"/>
        </w:rPr>
        <w:t>PÓNGASE EN CONTACTO CON LA CPUC</w:t>
      </w:r>
    </w:p>
    <w:p w14:paraId="35721627" w14:textId="77777777" w:rsidR="00C001B6" w:rsidRPr="002F7382" w:rsidRDefault="009510C0" w:rsidP="00C001B6">
      <w:pPr>
        <w:autoSpaceDE w:val="0"/>
        <w:autoSpaceDN w:val="0"/>
        <w:adjustRightInd w:val="0"/>
        <w:rPr>
          <w:lang w:val="es-MX"/>
        </w:rPr>
      </w:pPr>
      <w:r>
        <w:rPr>
          <w:lang w:val="es-ES_tradnl"/>
        </w:rPr>
        <w:t>También puede obtener información acerca de este procedimiento poniéndose en contacto con la CPUC:</w:t>
      </w:r>
    </w:p>
    <w:p w14:paraId="7308ED7C" w14:textId="7DCF2DAD" w:rsidR="00566E9F" w:rsidRPr="002F7382" w:rsidRDefault="009510C0" w:rsidP="005B12EE">
      <w:pPr>
        <w:numPr>
          <w:ilvl w:val="0"/>
          <w:numId w:val="3"/>
        </w:numPr>
        <w:autoSpaceDE w:val="0"/>
        <w:autoSpaceDN w:val="0"/>
        <w:adjustRightInd w:val="0"/>
        <w:rPr>
          <w:lang w:val="es-MX"/>
        </w:rPr>
      </w:pPr>
      <w:r>
        <w:rPr>
          <w:lang w:val="es-ES_tradnl"/>
        </w:rPr>
        <w:t xml:space="preserve">Si desea hacer un comentario, visite </w:t>
      </w:r>
      <w:r>
        <w:rPr>
          <w:b/>
          <w:bCs/>
          <w:color w:val="000000"/>
          <w:lang w:val="es-ES_tradnl"/>
        </w:rPr>
        <w:t>cpuc.ca.gov/A2012</w:t>
      </w:r>
      <w:r>
        <w:rPr>
          <w:lang w:val="es-ES_tradnl"/>
        </w:rPr>
        <w:t>007</w:t>
      </w:r>
      <w:r>
        <w:rPr>
          <w:b/>
          <w:bCs/>
          <w:color w:val="000000"/>
          <w:lang w:val="es-ES_tradnl"/>
        </w:rPr>
        <w:t>comments</w:t>
      </w:r>
      <w:r>
        <w:rPr>
          <w:lang w:val="es-ES_tradnl"/>
        </w:rPr>
        <w:t xml:space="preserve"> para enviar un comentario sobre el Expediente de la CPUC. Su participación al compartir su opinión acerca de la solicitud de SDG&amp;E puede ayudar a la CPUC a tomar una decisión fundamentada.</w:t>
      </w:r>
    </w:p>
    <w:p w14:paraId="4FB689AF" w14:textId="77777777" w:rsidR="00C001B6" w:rsidRPr="002F7382" w:rsidRDefault="00C001B6" w:rsidP="00C001B6">
      <w:pPr>
        <w:autoSpaceDE w:val="0"/>
        <w:autoSpaceDN w:val="0"/>
        <w:adjustRightInd w:val="0"/>
        <w:rPr>
          <w:lang w:val="es-MX"/>
        </w:rPr>
      </w:pPr>
    </w:p>
    <w:p w14:paraId="28CCF197" w14:textId="77777777" w:rsidR="00C001B6" w:rsidRPr="002F7382" w:rsidRDefault="009510C0" w:rsidP="00FF0FB8">
      <w:pPr>
        <w:numPr>
          <w:ilvl w:val="0"/>
          <w:numId w:val="3"/>
        </w:numPr>
        <w:autoSpaceDE w:val="0"/>
        <w:autoSpaceDN w:val="0"/>
        <w:adjustRightInd w:val="0"/>
        <w:rPr>
          <w:lang w:val="es-MX"/>
        </w:rPr>
      </w:pPr>
      <w:r>
        <w:rPr>
          <w:lang w:val="es-ES_tradnl"/>
        </w:rPr>
        <w:t>Si tiene preguntas acerca de los procesos de la CPUC, puede comunicarse a la Oficina del Asesor Público de la CPUC:</w:t>
      </w:r>
    </w:p>
    <w:p w14:paraId="595D00BA" w14:textId="77777777" w:rsidR="00C001B6" w:rsidRPr="002F7382" w:rsidRDefault="009510C0" w:rsidP="00FF0FB8">
      <w:pPr>
        <w:autoSpaceDE w:val="0"/>
        <w:autoSpaceDN w:val="0"/>
        <w:adjustRightInd w:val="0"/>
        <w:ind w:left="720"/>
        <w:rPr>
          <w:lang w:val="es-MX"/>
        </w:rPr>
      </w:pPr>
      <w:r>
        <w:rPr>
          <w:lang w:val="es-ES_tradnl"/>
        </w:rPr>
        <w:t xml:space="preserve">Llamando al: </w:t>
      </w:r>
      <w:r>
        <w:rPr>
          <w:b/>
          <w:bCs/>
          <w:lang w:val="es-ES_tradnl"/>
        </w:rPr>
        <w:t>1-866-849-8390</w:t>
      </w:r>
      <w:r>
        <w:rPr>
          <w:lang w:val="es-ES_tradnl"/>
        </w:rPr>
        <w:t xml:space="preserve"> (sin costo) </w:t>
      </w:r>
    </w:p>
    <w:p w14:paraId="5FF1B55D" w14:textId="77777777" w:rsidR="00C001B6" w:rsidRPr="002F7382" w:rsidRDefault="009510C0" w:rsidP="00FF0FB8">
      <w:pPr>
        <w:autoSpaceDE w:val="0"/>
        <w:autoSpaceDN w:val="0"/>
        <w:adjustRightInd w:val="0"/>
        <w:ind w:left="720"/>
        <w:rPr>
          <w:lang w:val="es-MX"/>
        </w:rPr>
      </w:pPr>
      <w:r>
        <w:rPr>
          <w:lang w:val="es-ES_tradnl"/>
        </w:rPr>
        <w:t xml:space="preserve">Escribiendo a: CPUC </w:t>
      </w:r>
      <w:proofErr w:type="spellStart"/>
      <w:r>
        <w:rPr>
          <w:lang w:val="es-ES_tradnl"/>
        </w:rPr>
        <w:t>Public</w:t>
      </w:r>
      <w:proofErr w:type="spellEnd"/>
      <w:r>
        <w:rPr>
          <w:lang w:val="es-ES_tradnl"/>
        </w:rPr>
        <w:t xml:space="preserve"> </w:t>
      </w:r>
      <w:proofErr w:type="spellStart"/>
      <w:r>
        <w:rPr>
          <w:lang w:val="es-ES_tradnl"/>
        </w:rPr>
        <w:t>Advisor’s</w:t>
      </w:r>
      <w:proofErr w:type="spellEnd"/>
      <w:r>
        <w:rPr>
          <w:lang w:val="es-ES_tradnl"/>
        </w:rPr>
        <w:t xml:space="preserve"> Office</w:t>
      </w:r>
    </w:p>
    <w:p w14:paraId="56C789CD" w14:textId="77777777" w:rsidR="00C001B6" w:rsidRPr="002F7382" w:rsidRDefault="009510C0" w:rsidP="00D57002">
      <w:pPr>
        <w:autoSpaceDE w:val="0"/>
        <w:autoSpaceDN w:val="0"/>
        <w:adjustRightInd w:val="0"/>
        <w:ind w:left="2127"/>
        <w:rPr>
          <w:lang w:val="es-MX"/>
        </w:rPr>
      </w:pPr>
      <w:r>
        <w:rPr>
          <w:lang w:val="es-ES_tradnl"/>
        </w:rPr>
        <w:t>505 Van Ness Avenue</w:t>
      </w:r>
    </w:p>
    <w:p w14:paraId="3FFE4F38" w14:textId="77777777" w:rsidR="00C001B6" w:rsidRPr="002F7382" w:rsidRDefault="009510C0" w:rsidP="00D57002">
      <w:pPr>
        <w:autoSpaceDE w:val="0"/>
        <w:autoSpaceDN w:val="0"/>
        <w:adjustRightInd w:val="0"/>
        <w:ind w:left="2127"/>
        <w:rPr>
          <w:lang w:val="es-MX"/>
        </w:rPr>
      </w:pPr>
      <w:r>
        <w:rPr>
          <w:lang w:val="es-ES_tradnl"/>
        </w:rPr>
        <w:t>San Francisco, CA 94102</w:t>
      </w:r>
    </w:p>
    <w:p w14:paraId="1A31F7B4" w14:textId="77777777" w:rsidR="00C001B6" w:rsidRPr="002F7382" w:rsidRDefault="009510C0" w:rsidP="00FF0FB8">
      <w:pPr>
        <w:autoSpaceDE w:val="0"/>
        <w:autoSpaceDN w:val="0"/>
        <w:adjustRightInd w:val="0"/>
        <w:ind w:left="720"/>
        <w:rPr>
          <w:lang w:val="es-MX"/>
        </w:rPr>
      </w:pPr>
      <w:r>
        <w:rPr>
          <w:lang w:val="es-ES_tradnl"/>
        </w:rPr>
        <w:t xml:space="preserve">Enviando un mensaje por correo electrónico a: </w:t>
      </w:r>
      <w:r>
        <w:rPr>
          <w:b/>
          <w:bCs/>
          <w:lang w:val="es-ES_tradnl"/>
        </w:rPr>
        <w:t>Public.Advisor@cpuc.ca.gov</w:t>
      </w:r>
    </w:p>
    <w:p w14:paraId="09F87E80" w14:textId="77777777" w:rsidR="00C001B6" w:rsidRPr="002F7382" w:rsidRDefault="00C001B6" w:rsidP="00C001B6">
      <w:pPr>
        <w:autoSpaceDE w:val="0"/>
        <w:autoSpaceDN w:val="0"/>
        <w:adjustRightInd w:val="0"/>
        <w:rPr>
          <w:rFonts w:ascii="OpenSans-Bold" w:eastAsia="Calibri" w:hAnsi="OpenSans-Bold" w:cs="OpenSans-Bold"/>
          <w:b/>
          <w:bCs/>
          <w:color w:val="000000"/>
          <w:sz w:val="18"/>
          <w:szCs w:val="18"/>
          <w:lang w:val="es-MX"/>
        </w:rPr>
      </w:pPr>
    </w:p>
    <w:p w14:paraId="1D199A44" w14:textId="6A30213A" w:rsidR="002D3487" w:rsidRPr="002F7382" w:rsidRDefault="009510C0" w:rsidP="00153D8E">
      <w:pPr>
        <w:rPr>
          <w:lang w:val="es-MX"/>
        </w:rPr>
      </w:pPr>
      <w:r>
        <w:rPr>
          <w:lang w:val="es-ES_tradnl"/>
        </w:rPr>
        <w:lastRenderedPageBreak/>
        <w:t xml:space="preserve">Por favor haga referencia a la solicitud 2020 </w:t>
      </w:r>
      <w:proofErr w:type="spellStart"/>
      <w:r>
        <w:rPr>
          <w:lang w:val="es-ES_tradnl"/>
        </w:rPr>
        <w:t>Expedited</w:t>
      </w:r>
      <w:proofErr w:type="spellEnd"/>
      <w:r>
        <w:rPr>
          <w:lang w:val="es-ES_tradnl"/>
        </w:rPr>
        <w:t xml:space="preserve"> </w:t>
      </w:r>
      <w:proofErr w:type="spellStart"/>
      <w:r>
        <w:rPr>
          <w:lang w:val="es-ES_tradnl"/>
        </w:rPr>
        <w:t>Energy</w:t>
      </w:r>
      <w:proofErr w:type="spellEnd"/>
      <w:r>
        <w:rPr>
          <w:lang w:val="es-ES_tradnl"/>
        </w:rPr>
        <w:t xml:space="preserve"> </w:t>
      </w:r>
      <w:proofErr w:type="spellStart"/>
      <w:r>
        <w:rPr>
          <w:lang w:val="es-ES_tradnl"/>
        </w:rPr>
        <w:t>Resource</w:t>
      </w:r>
      <w:proofErr w:type="spellEnd"/>
      <w:r>
        <w:rPr>
          <w:lang w:val="es-ES_tradnl"/>
        </w:rPr>
        <w:t xml:space="preserve"> </w:t>
      </w:r>
      <w:proofErr w:type="spellStart"/>
      <w:r>
        <w:rPr>
          <w:lang w:val="es-ES_tradnl"/>
        </w:rPr>
        <w:t>Recovery</w:t>
      </w:r>
      <w:proofErr w:type="spellEnd"/>
      <w:r>
        <w:rPr>
          <w:lang w:val="es-ES_tradnl"/>
        </w:rPr>
        <w:t xml:space="preserve"> </w:t>
      </w:r>
      <w:proofErr w:type="spellStart"/>
      <w:r>
        <w:rPr>
          <w:lang w:val="es-ES_tradnl"/>
        </w:rPr>
        <w:t>Account</w:t>
      </w:r>
      <w:proofErr w:type="spellEnd"/>
      <w:r>
        <w:rPr>
          <w:lang w:val="es-ES_tradnl"/>
        </w:rPr>
        <w:t xml:space="preserve"> (ERRA) </w:t>
      </w:r>
      <w:proofErr w:type="spellStart"/>
      <w:r>
        <w:rPr>
          <w:lang w:val="es-ES_tradnl"/>
        </w:rPr>
        <w:t>Trigger</w:t>
      </w:r>
      <w:proofErr w:type="spellEnd"/>
      <w:r>
        <w:rPr>
          <w:lang w:val="es-ES_tradnl"/>
        </w:rPr>
        <w:t xml:space="preserve"> </w:t>
      </w:r>
      <w:proofErr w:type="spellStart"/>
      <w:r>
        <w:rPr>
          <w:lang w:val="es-ES_tradnl"/>
        </w:rPr>
        <w:t>Application</w:t>
      </w:r>
      <w:proofErr w:type="spellEnd"/>
      <w:r>
        <w:rPr>
          <w:lang w:val="es-ES_tradnl"/>
        </w:rPr>
        <w:t xml:space="preserve"> No. </w:t>
      </w:r>
      <w:r>
        <w:rPr>
          <w:b/>
          <w:bCs/>
          <w:lang w:val="es-ES_tradnl"/>
        </w:rPr>
        <w:t xml:space="preserve">A. 20-12-007 </w:t>
      </w:r>
      <w:r>
        <w:rPr>
          <w:lang w:val="es-ES_tradnl"/>
        </w:rPr>
        <w:t xml:space="preserve">de SDG&amp;E en cualesquiera comunicaciones que sostenga con la CPUC en relación con este asunto.  </w:t>
      </w:r>
    </w:p>
    <w:sectPr w:rsidR="002D3487" w:rsidRPr="002F7382" w:rsidSect="00D84AD1">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OpenSans-Bold">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34E9F"/>
    <w:multiLevelType w:val="hybridMultilevel"/>
    <w:tmpl w:val="F8461AE4"/>
    <w:lvl w:ilvl="0" w:tplc="293AF63A">
      <w:start w:val="1"/>
      <w:numFmt w:val="bullet"/>
      <w:lvlText w:val=""/>
      <w:lvlJc w:val="left"/>
      <w:pPr>
        <w:ind w:left="720" w:hanging="360"/>
      </w:pPr>
      <w:rPr>
        <w:rFonts w:ascii="Symbol" w:hAnsi="Symbol" w:hint="default"/>
      </w:rPr>
    </w:lvl>
    <w:lvl w:ilvl="1" w:tplc="D6D6902C" w:tentative="1">
      <w:start w:val="1"/>
      <w:numFmt w:val="bullet"/>
      <w:lvlText w:val="o"/>
      <w:lvlJc w:val="left"/>
      <w:pPr>
        <w:ind w:left="1440" w:hanging="360"/>
      </w:pPr>
      <w:rPr>
        <w:rFonts w:ascii="Courier New" w:hAnsi="Courier New" w:cs="Courier New" w:hint="default"/>
      </w:rPr>
    </w:lvl>
    <w:lvl w:ilvl="2" w:tplc="8CDC3BBE" w:tentative="1">
      <w:start w:val="1"/>
      <w:numFmt w:val="bullet"/>
      <w:lvlText w:val=""/>
      <w:lvlJc w:val="left"/>
      <w:pPr>
        <w:ind w:left="2160" w:hanging="360"/>
      </w:pPr>
      <w:rPr>
        <w:rFonts w:ascii="Wingdings" w:hAnsi="Wingdings" w:hint="default"/>
      </w:rPr>
    </w:lvl>
    <w:lvl w:ilvl="3" w:tplc="73085D8C" w:tentative="1">
      <w:start w:val="1"/>
      <w:numFmt w:val="bullet"/>
      <w:lvlText w:val=""/>
      <w:lvlJc w:val="left"/>
      <w:pPr>
        <w:ind w:left="2880" w:hanging="360"/>
      </w:pPr>
      <w:rPr>
        <w:rFonts w:ascii="Symbol" w:hAnsi="Symbol" w:hint="default"/>
      </w:rPr>
    </w:lvl>
    <w:lvl w:ilvl="4" w:tplc="314C86A6" w:tentative="1">
      <w:start w:val="1"/>
      <w:numFmt w:val="bullet"/>
      <w:lvlText w:val="o"/>
      <w:lvlJc w:val="left"/>
      <w:pPr>
        <w:ind w:left="3600" w:hanging="360"/>
      </w:pPr>
      <w:rPr>
        <w:rFonts w:ascii="Courier New" w:hAnsi="Courier New" w:cs="Courier New" w:hint="default"/>
      </w:rPr>
    </w:lvl>
    <w:lvl w:ilvl="5" w:tplc="F7C4AD66" w:tentative="1">
      <w:start w:val="1"/>
      <w:numFmt w:val="bullet"/>
      <w:lvlText w:val=""/>
      <w:lvlJc w:val="left"/>
      <w:pPr>
        <w:ind w:left="4320" w:hanging="360"/>
      </w:pPr>
      <w:rPr>
        <w:rFonts w:ascii="Wingdings" w:hAnsi="Wingdings" w:hint="default"/>
      </w:rPr>
    </w:lvl>
    <w:lvl w:ilvl="6" w:tplc="D102D43E" w:tentative="1">
      <w:start w:val="1"/>
      <w:numFmt w:val="bullet"/>
      <w:lvlText w:val=""/>
      <w:lvlJc w:val="left"/>
      <w:pPr>
        <w:ind w:left="5040" w:hanging="360"/>
      </w:pPr>
      <w:rPr>
        <w:rFonts w:ascii="Symbol" w:hAnsi="Symbol" w:hint="default"/>
      </w:rPr>
    </w:lvl>
    <w:lvl w:ilvl="7" w:tplc="F282EBBC" w:tentative="1">
      <w:start w:val="1"/>
      <w:numFmt w:val="bullet"/>
      <w:lvlText w:val="o"/>
      <w:lvlJc w:val="left"/>
      <w:pPr>
        <w:ind w:left="5760" w:hanging="360"/>
      </w:pPr>
      <w:rPr>
        <w:rFonts w:ascii="Courier New" w:hAnsi="Courier New" w:cs="Courier New" w:hint="default"/>
      </w:rPr>
    </w:lvl>
    <w:lvl w:ilvl="8" w:tplc="08BC9274" w:tentative="1">
      <w:start w:val="1"/>
      <w:numFmt w:val="bullet"/>
      <w:lvlText w:val=""/>
      <w:lvlJc w:val="left"/>
      <w:pPr>
        <w:ind w:left="6480" w:hanging="360"/>
      </w:pPr>
      <w:rPr>
        <w:rFonts w:ascii="Wingdings" w:hAnsi="Wingdings" w:hint="default"/>
      </w:rPr>
    </w:lvl>
  </w:abstractNum>
  <w:abstractNum w:abstractNumId="1" w15:restartNumberingAfterBreak="0">
    <w:nsid w:val="117F5BC4"/>
    <w:multiLevelType w:val="hybridMultilevel"/>
    <w:tmpl w:val="54D860CC"/>
    <w:lvl w:ilvl="0" w:tplc="85267A46">
      <w:start w:val="1"/>
      <w:numFmt w:val="bullet"/>
      <w:lvlText w:val=""/>
      <w:lvlJc w:val="left"/>
      <w:pPr>
        <w:tabs>
          <w:tab w:val="num" w:pos="720"/>
        </w:tabs>
        <w:ind w:left="720" w:hanging="360"/>
      </w:pPr>
      <w:rPr>
        <w:rFonts w:ascii="Wingdings" w:hAnsi="Wingdings" w:hint="default"/>
      </w:rPr>
    </w:lvl>
    <w:lvl w:ilvl="1" w:tplc="33B62D1E" w:tentative="1">
      <w:start w:val="1"/>
      <w:numFmt w:val="bullet"/>
      <w:lvlText w:val="o"/>
      <w:lvlJc w:val="left"/>
      <w:pPr>
        <w:tabs>
          <w:tab w:val="num" w:pos="1440"/>
        </w:tabs>
        <w:ind w:left="1440" w:hanging="360"/>
      </w:pPr>
      <w:rPr>
        <w:rFonts w:ascii="Courier New" w:hAnsi="Courier New" w:hint="default"/>
      </w:rPr>
    </w:lvl>
    <w:lvl w:ilvl="2" w:tplc="4C4A282C" w:tentative="1">
      <w:start w:val="1"/>
      <w:numFmt w:val="bullet"/>
      <w:lvlText w:val=""/>
      <w:lvlJc w:val="left"/>
      <w:pPr>
        <w:tabs>
          <w:tab w:val="num" w:pos="2160"/>
        </w:tabs>
        <w:ind w:left="2160" w:hanging="360"/>
      </w:pPr>
      <w:rPr>
        <w:rFonts w:ascii="Wingdings" w:hAnsi="Wingdings" w:hint="default"/>
      </w:rPr>
    </w:lvl>
    <w:lvl w:ilvl="3" w:tplc="A8FE89A6" w:tentative="1">
      <w:start w:val="1"/>
      <w:numFmt w:val="bullet"/>
      <w:lvlText w:val=""/>
      <w:lvlJc w:val="left"/>
      <w:pPr>
        <w:tabs>
          <w:tab w:val="num" w:pos="2880"/>
        </w:tabs>
        <w:ind w:left="2880" w:hanging="360"/>
      </w:pPr>
      <w:rPr>
        <w:rFonts w:ascii="Symbol" w:hAnsi="Symbol" w:hint="default"/>
      </w:rPr>
    </w:lvl>
    <w:lvl w:ilvl="4" w:tplc="2970FF18" w:tentative="1">
      <w:start w:val="1"/>
      <w:numFmt w:val="bullet"/>
      <w:lvlText w:val="o"/>
      <w:lvlJc w:val="left"/>
      <w:pPr>
        <w:tabs>
          <w:tab w:val="num" w:pos="3600"/>
        </w:tabs>
        <w:ind w:left="3600" w:hanging="360"/>
      </w:pPr>
      <w:rPr>
        <w:rFonts w:ascii="Courier New" w:hAnsi="Courier New" w:hint="default"/>
      </w:rPr>
    </w:lvl>
    <w:lvl w:ilvl="5" w:tplc="E574187C" w:tentative="1">
      <w:start w:val="1"/>
      <w:numFmt w:val="bullet"/>
      <w:lvlText w:val=""/>
      <w:lvlJc w:val="left"/>
      <w:pPr>
        <w:tabs>
          <w:tab w:val="num" w:pos="4320"/>
        </w:tabs>
        <w:ind w:left="4320" w:hanging="360"/>
      </w:pPr>
      <w:rPr>
        <w:rFonts w:ascii="Wingdings" w:hAnsi="Wingdings" w:hint="default"/>
      </w:rPr>
    </w:lvl>
    <w:lvl w:ilvl="6" w:tplc="C62E6F34" w:tentative="1">
      <w:start w:val="1"/>
      <w:numFmt w:val="bullet"/>
      <w:lvlText w:val=""/>
      <w:lvlJc w:val="left"/>
      <w:pPr>
        <w:tabs>
          <w:tab w:val="num" w:pos="5040"/>
        </w:tabs>
        <w:ind w:left="5040" w:hanging="360"/>
      </w:pPr>
      <w:rPr>
        <w:rFonts w:ascii="Symbol" w:hAnsi="Symbol" w:hint="default"/>
      </w:rPr>
    </w:lvl>
    <w:lvl w:ilvl="7" w:tplc="8F08D03C" w:tentative="1">
      <w:start w:val="1"/>
      <w:numFmt w:val="bullet"/>
      <w:lvlText w:val="o"/>
      <w:lvlJc w:val="left"/>
      <w:pPr>
        <w:tabs>
          <w:tab w:val="num" w:pos="5760"/>
        </w:tabs>
        <w:ind w:left="5760" w:hanging="360"/>
      </w:pPr>
      <w:rPr>
        <w:rFonts w:ascii="Courier New" w:hAnsi="Courier New" w:hint="default"/>
      </w:rPr>
    </w:lvl>
    <w:lvl w:ilvl="8" w:tplc="091244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11561D"/>
    <w:multiLevelType w:val="hybridMultilevel"/>
    <w:tmpl w:val="60A2C16C"/>
    <w:lvl w:ilvl="0" w:tplc="0C72EDC6">
      <w:start w:val="1"/>
      <w:numFmt w:val="decimal"/>
      <w:lvlText w:val="%1)"/>
      <w:lvlJc w:val="left"/>
      <w:pPr>
        <w:ind w:left="720" w:hanging="360"/>
      </w:pPr>
      <w:rPr>
        <w:rFonts w:hint="default"/>
      </w:rPr>
    </w:lvl>
    <w:lvl w:ilvl="1" w:tplc="62082CD0" w:tentative="1">
      <w:start w:val="1"/>
      <w:numFmt w:val="lowerLetter"/>
      <w:lvlText w:val="%2."/>
      <w:lvlJc w:val="left"/>
      <w:pPr>
        <w:ind w:left="1440" w:hanging="360"/>
      </w:pPr>
    </w:lvl>
    <w:lvl w:ilvl="2" w:tplc="7C623482" w:tentative="1">
      <w:start w:val="1"/>
      <w:numFmt w:val="lowerRoman"/>
      <w:lvlText w:val="%3."/>
      <w:lvlJc w:val="right"/>
      <w:pPr>
        <w:ind w:left="2160" w:hanging="180"/>
      </w:pPr>
    </w:lvl>
    <w:lvl w:ilvl="3" w:tplc="D82CC29A" w:tentative="1">
      <w:start w:val="1"/>
      <w:numFmt w:val="decimal"/>
      <w:lvlText w:val="%4."/>
      <w:lvlJc w:val="left"/>
      <w:pPr>
        <w:ind w:left="2880" w:hanging="360"/>
      </w:pPr>
    </w:lvl>
    <w:lvl w:ilvl="4" w:tplc="2960B166" w:tentative="1">
      <w:start w:val="1"/>
      <w:numFmt w:val="lowerLetter"/>
      <w:lvlText w:val="%5."/>
      <w:lvlJc w:val="left"/>
      <w:pPr>
        <w:ind w:left="3600" w:hanging="360"/>
      </w:pPr>
    </w:lvl>
    <w:lvl w:ilvl="5" w:tplc="1C764526" w:tentative="1">
      <w:start w:val="1"/>
      <w:numFmt w:val="lowerRoman"/>
      <w:lvlText w:val="%6."/>
      <w:lvlJc w:val="right"/>
      <w:pPr>
        <w:ind w:left="4320" w:hanging="180"/>
      </w:pPr>
    </w:lvl>
    <w:lvl w:ilvl="6" w:tplc="1A22125C" w:tentative="1">
      <w:start w:val="1"/>
      <w:numFmt w:val="decimal"/>
      <w:lvlText w:val="%7."/>
      <w:lvlJc w:val="left"/>
      <w:pPr>
        <w:ind w:left="5040" w:hanging="360"/>
      </w:pPr>
    </w:lvl>
    <w:lvl w:ilvl="7" w:tplc="A54E4CA8" w:tentative="1">
      <w:start w:val="1"/>
      <w:numFmt w:val="lowerLetter"/>
      <w:lvlText w:val="%8."/>
      <w:lvlJc w:val="left"/>
      <w:pPr>
        <w:ind w:left="5760" w:hanging="360"/>
      </w:pPr>
    </w:lvl>
    <w:lvl w:ilvl="8" w:tplc="18F4BDE4" w:tentative="1">
      <w:start w:val="1"/>
      <w:numFmt w:val="lowerRoman"/>
      <w:lvlText w:val="%9."/>
      <w:lvlJc w:val="right"/>
      <w:pPr>
        <w:ind w:left="6480" w:hanging="180"/>
      </w:pPr>
    </w:lvl>
  </w:abstractNum>
  <w:abstractNum w:abstractNumId="3" w15:restartNumberingAfterBreak="0">
    <w:nsid w:val="36FD3542"/>
    <w:multiLevelType w:val="hybridMultilevel"/>
    <w:tmpl w:val="BFF01396"/>
    <w:lvl w:ilvl="0" w:tplc="D3C4C53C">
      <w:start w:val="1"/>
      <w:numFmt w:val="decimal"/>
      <w:lvlText w:val="%1."/>
      <w:lvlJc w:val="left"/>
      <w:pPr>
        <w:ind w:left="720" w:hanging="360"/>
      </w:pPr>
      <w:rPr>
        <w:rFonts w:hint="default"/>
      </w:rPr>
    </w:lvl>
    <w:lvl w:ilvl="1" w:tplc="361C2696" w:tentative="1">
      <w:start w:val="1"/>
      <w:numFmt w:val="lowerLetter"/>
      <w:lvlText w:val="%2."/>
      <w:lvlJc w:val="left"/>
      <w:pPr>
        <w:ind w:left="1440" w:hanging="360"/>
      </w:pPr>
    </w:lvl>
    <w:lvl w:ilvl="2" w:tplc="A40497AC" w:tentative="1">
      <w:start w:val="1"/>
      <w:numFmt w:val="lowerRoman"/>
      <w:lvlText w:val="%3."/>
      <w:lvlJc w:val="right"/>
      <w:pPr>
        <w:ind w:left="2160" w:hanging="180"/>
      </w:pPr>
    </w:lvl>
    <w:lvl w:ilvl="3" w:tplc="0B34369C" w:tentative="1">
      <w:start w:val="1"/>
      <w:numFmt w:val="decimal"/>
      <w:lvlText w:val="%4."/>
      <w:lvlJc w:val="left"/>
      <w:pPr>
        <w:ind w:left="2880" w:hanging="360"/>
      </w:pPr>
    </w:lvl>
    <w:lvl w:ilvl="4" w:tplc="46A8165A" w:tentative="1">
      <w:start w:val="1"/>
      <w:numFmt w:val="lowerLetter"/>
      <w:lvlText w:val="%5."/>
      <w:lvlJc w:val="left"/>
      <w:pPr>
        <w:ind w:left="3600" w:hanging="360"/>
      </w:pPr>
    </w:lvl>
    <w:lvl w:ilvl="5" w:tplc="D7569840" w:tentative="1">
      <w:start w:val="1"/>
      <w:numFmt w:val="lowerRoman"/>
      <w:lvlText w:val="%6."/>
      <w:lvlJc w:val="right"/>
      <w:pPr>
        <w:ind w:left="4320" w:hanging="180"/>
      </w:pPr>
    </w:lvl>
    <w:lvl w:ilvl="6" w:tplc="54687104" w:tentative="1">
      <w:start w:val="1"/>
      <w:numFmt w:val="decimal"/>
      <w:lvlText w:val="%7."/>
      <w:lvlJc w:val="left"/>
      <w:pPr>
        <w:ind w:left="5040" w:hanging="360"/>
      </w:pPr>
    </w:lvl>
    <w:lvl w:ilvl="7" w:tplc="2ADE0BC4" w:tentative="1">
      <w:start w:val="1"/>
      <w:numFmt w:val="lowerLetter"/>
      <w:lvlText w:val="%8."/>
      <w:lvlJc w:val="left"/>
      <w:pPr>
        <w:ind w:left="5760" w:hanging="360"/>
      </w:pPr>
    </w:lvl>
    <w:lvl w:ilvl="8" w:tplc="CAA255CA" w:tentative="1">
      <w:start w:val="1"/>
      <w:numFmt w:val="lowerRoman"/>
      <w:lvlText w:val="%9."/>
      <w:lvlJc w:val="right"/>
      <w:pPr>
        <w:ind w:left="6480" w:hanging="180"/>
      </w:pPr>
    </w:lvl>
  </w:abstractNum>
  <w:abstractNum w:abstractNumId="4" w15:restartNumberingAfterBreak="0">
    <w:nsid w:val="488E3C33"/>
    <w:multiLevelType w:val="hybridMultilevel"/>
    <w:tmpl w:val="1F821DB2"/>
    <w:lvl w:ilvl="0" w:tplc="797E7754">
      <w:start w:val="1"/>
      <w:numFmt w:val="bullet"/>
      <w:lvlText w:val=""/>
      <w:lvlJc w:val="left"/>
      <w:pPr>
        <w:ind w:left="720" w:hanging="360"/>
      </w:pPr>
      <w:rPr>
        <w:rFonts w:ascii="Symbol" w:hAnsi="Symbol" w:hint="default"/>
      </w:rPr>
    </w:lvl>
    <w:lvl w:ilvl="1" w:tplc="2E000F90" w:tentative="1">
      <w:start w:val="1"/>
      <w:numFmt w:val="bullet"/>
      <w:lvlText w:val="o"/>
      <w:lvlJc w:val="left"/>
      <w:pPr>
        <w:ind w:left="1440" w:hanging="360"/>
      </w:pPr>
      <w:rPr>
        <w:rFonts w:ascii="Courier New" w:hAnsi="Courier New" w:cs="Courier New" w:hint="default"/>
      </w:rPr>
    </w:lvl>
    <w:lvl w:ilvl="2" w:tplc="509A949C" w:tentative="1">
      <w:start w:val="1"/>
      <w:numFmt w:val="bullet"/>
      <w:lvlText w:val=""/>
      <w:lvlJc w:val="left"/>
      <w:pPr>
        <w:ind w:left="2160" w:hanging="360"/>
      </w:pPr>
      <w:rPr>
        <w:rFonts w:ascii="Wingdings" w:hAnsi="Wingdings" w:hint="default"/>
      </w:rPr>
    </w:lvl>
    <w:lvl w:ilvl="3" w:tplc="BABC4282" w:tentative="1">
      <w:start w:val="1"/>
      <w:numFmt w:val="bullet"/>
      <w:lvlText w:val=""/>
      <w:lvlJc w:val="left"/>
      <w:pPr>
        <w:ind w:left="2880" w:hanging="360"/>
      </w:pPr>
      <w:rPr>
        <w:rFonts w:ascii="Symbol" w:hAnsi="Symbol" w:hint="default"/>
      </w:rPr>
    </w:lvl>
    <w:lvl w:ilvl="4" w:tplc="07CA25B0" w:tentative="1">
      <w:start w:val="1"/>
      <w:numFmt w:val="bullet"/>
      <w:lvlText w:val="o"/>
      <w:lvlJc w:val="left"/>
      <w:pPr>
        <w:ind w:left="3600" w:hanging="360"/>
      </w:pPr>
      <w:rPr>
        <w:rFonts w:ascii="Courier New" w:hAnsi="Courier New" w:cs="Courier New" w:hint="default"/>
      </w:rPr>
    </w:lvl>
    <w:lvl w:ilvl="5" w:tplc="1AB4D4E6" w:tentative="1">
      <w:start w:val="1"/>
      <w:numFmt w:val="bullet"/>
      <w:lvlText w:val=""/>
      <w:lvlJc w:val="left"/>
      <w:pPr>
        <w:ind w:left="4320" w:hanging="360"/>
      </w:pPr>
      <w:rPr>
        <w:rFonts w:ascii="Wingdings" w:hAnsi="Wingdings" w:hint="default"/>
      </w:rPr>
    </w:lvl>
    <w:lvl w:ilvl="6" w:tplc="1B3A07C8" w:tentative="1">
      <w:start w:val="1"/>
      <w:numFmt w:val="bullet"/>
      <w:lvlText w:val=""/>
      <w:lvlJc w:val="left"/>
      <w:pPr>
        <w:ind w:left="5040" w:hanging="360"/>
      </w:pPr>
      <w:rPr>
        <w:rFonts w:ascii="Symbol" w:hAnsi="Symbol" w:hint="default"/>
      </w:rPr>
    </w:lvl>
    <w:lvl w:ilvl="7" w:tplc="D89C989A" w:tentative="1">
      <w:start w:val="1"/>
      <w:numFmt w:val="bullet"/>
      <w:lvlText w:val="o"/>
      <w:lvlJc w:val="left"/>
      <w:pPr>
        <w:ind w:left="5760" w:hanging="360"/>
      </w:pPr>
      <w:rPr>
        <w:rFonts w:ascii="Courier New" w:hAnsi="Courier New" w:cs="Courier New" w:hint="default"/>
      </w:rPr>
    </w:lvl>
    <w:lvl w:ilvl="8" w:tplc="E64A5F32" w:tentative="1">
      <w:start w:val="1"/>
      <w:numFmt w:val="bullet"/>
      <w:lvlText w:val=""/>
      <w:lvlJc w:val="left"/>
      <w:pPr>
        <w:ind w:left="6480" w:hanging="360"/>
      </w:pPr>
      <w:rPr>
        <w:rFonts w:ascii="Wingdings" w:hAnsi="Wingdings" w:hint="default"/>
      </w:rPr>
    </w:lvl>
  </w:abstractNum>
  <w:abstractNum w:abstractNumId="5" w15:restartNumberingAfterBreak="0">
    <w:nsid w:val="4E211257"/>
    <w:multiLevelType w:val="hybridMultilevel"/>
    <w:tmpl w:val="090441FC"/>
    <w:lvl w:ilvl="0" w:tplc="DE064C10">
      <w:start w:val="1"/>
      <w:numFmt w:val="decimal"/>
      <w:lvlText w:val="%1."/>
      <w:lvlJc w:val="left"/>
      <w:pPr>
        <w:ind w:left="720" w:hanging="360"/>
      </w:pPr>
      <w:rPr>
        <w:rFonts w:hint="default"/>
      </w:rPr>
    </w:lvl>
    <w:lvl w:ilvl="1" w:tplc="63D66054" w:tentative="1">
      <w:start w:val="1"/>
      <w:numFmt w:val="lowerLetter"/>
      <w:lvlText w:val="%2."/>
      <w:lvlJc w:val="left"/>
      <w:pPr>
        <w:ind w:left="1440" w:hanging="360"/>
      </w:pPr>
    </w:lvl>
    <w:lvl w:ilvl="2" w:tplc="116A60CC" w:tentative="1">
      <w:start w:val="1"/>
      <w:numFmt w:val="lowerRoman"/>
      <w:lvlText w:val="%3."/>
      <w:lvlJc w:val="right"/>
      <w:pPr>
        <w:ind w:left="2160" w:hanging="180"/>
      </w:pPr>
    </w:lvl>
    <w:lvl w:ilvl="3" w:tplc="F1D2CAB4" w:tentative="1">
      <w:start w:val="1"/>
      <w:numFmt w:val="decimal"/>
      <w:lvlText w:val="%4."/>
      <w:lvlJc w:val="left"/>
      <w:pPr>
        <w:ind w:left="2880" w:hanging="360"/>
      </w:pPr>
    </w:lvl>
    <w:lvl w:ilvl="4" w:tplc="09402FFC" w:tentative="1">
      <w:start w:val="1"/>
      <w:numFmt w:val="lowerLetter"/>
      <w:lvlText w:val="%5."/>
      <w:lvlJc w:val="left"/>
      <w:pPr>
        <w:ind w:left="3600" w:hanging="360"/>
      </w:pPr>
    </w:lvl>
    <w:lvl w:ilvl="5" w:tplc="65F25394" w:tentative="1">
      <w:start w:val="1"/>
      <w:numFmt w:val="lowerRoman"/>
      <w:lvlText w:val="%6."/>
      <w:lvlJc w:val="right"/>
      <w:pPr>
        <w:ind w:left="4320" w:hanging="180"/>
      </w:pPr>
    </w:lvl>
    <w:lvl w:ilvl="6" w:tplc="F06CFBCA" w:tentative="1">
      <w:start w:val="1"/>
      <w:numFmt w:val="decimal"/>
      <w:lvlText w:val="%7."/>
      <w:lvlJc w:val="left"/>
      <w:pPr>
        <w:ind w:left="5040" w:hanging="360"/>
      </w:pPr>
    </w:lvl>
    <w:lvl w:ilvl="7" w:tplc="24D8BE4C" w:tentative="1">
      <w:start w:val="1"/>
      <w:numFmt w:val="lowerLetter"/>
      <w:lvlText w:val="%8."/>
      <w:lvlJc w:val="left"/>
      <w:pPr>
        <w:ind w:left="5760" w:hanging="360"/>
      </w:pPr>
    </w:lvl>
    <w:lvl w:ilvl="8" w:tplc="195C31EE" w:tentative="1">
      <w:start w:val="1"/>
      <w:numFmt w:val="lowerRoman"/>
      <w:lvlText w:val="%9."/>
      <w:lvlJc w:val="right"/>
      <w:pPr>
        <w:ind w:left="6480" w:hanging="180"/>
      </w:pPr>
    </w:lvl>
  </w:abstractNum>
  <w:abstractNum w:abstractNumId="6" w15:restartNumberingAfterBreak="0">
    <w:nsid w:val="7D306339"/>
    <w:multiLevelType w:val="hybridMultilevel"/>
    <w:tmpl w:val="A310363E"/>
    <w:lvl w:ilvl="0" w:tplc="071E7BAE">
      <w:start w:val="1"/>
      <w:numFmt w:val="decimal"/>
      <w:lvlText w:val="%1."/>
      <w:lvlJc w:val="left"/>
      <w:pPr>
        <w:ind w:left="720" w:hanging="360"/>
      </w:pPr>
      <w:rPr>
        <w:rFonts w:hint="default"/>
      </w:rPr>
    </w:lvl>
    <w:lvl w:ilvl="1" w:tplc="53ECF81C" w:tentative="1">
      <w:start w:val="1"/>
      <w:numFmt w:val="lowerLetter"/>
      <w:lvlText w:val="%2."/>
      <w:lvlJc w:val="left"/>
      <w:pPr>
        <w:ind w:left="1440" w:hanging="360"/>
      </w:pPr>
    </w:lvl>
    <w:lvl w:ilvl="2" w:tplc="F08812CA" w:tentative="1">
      <w:start w:val="1"/>
      <w:numFmt w:val="lowerRoman"/>
      <w:lvlText w:val="%3."/>
      <w:lvlJc w:val="right"/>
      <w:pPr>
        <w:ind w:left="2160" w:hanging="180"/>
      </w:pPr>
    </w:lvl>
    <w:lvl w:ilvl="3" w:tplc="0C9E5396" w:tentative="1">
      <w:start w:val="1"/>
      <w:numFmt w:val="decimal"/>
      <w:lvlText w:val="%4."/>
      <w:lvlJc w:val="left"/>
      <w:pPr>
        <w:ind w:left="2880" w:hanging="360"/>
      </w:pPr>
    </w:lvl>
    <w:lvl w:ilvl="4" w:tplc="F0B26A28" w:tentative="1">
      <w:start w:val="1"/>
      <w:numFmt w:val="lowerLetter"/>
      <w:lvlText w:val="%5."/>
      <w:lvlJc w:val="left"/>
      <w:pPr>
        <w:ind w:left="3600" w:hanging="360"/>
      </w:pPr>
    </w:lvl>
    <w:lvl w:ilvl="5" w:tplc="F200A01C" w:tentative="1">
      <w:start w:val="1"/>
      <w:numFmt w:val="lowerRoman"/>
      <w:lvlText w:val="%6."/>
      <w:lvlJc w:val="right"/>
      <w:pPr>
        <w:ind w:left="4320" w:hanging="180"/>
      </w:pPr>
    </w:lvl>
    <w:lvl w:ilvl="6" w:tplc="F3443F6E" w:tentative="1">
      <w:start w:val="1"/>
      <w:numFmt w:val="decimal"/>
      <w:lvlText w:val="%7."/>
      <w:lvlJc w:val="left"/>
      <w:pPr>
        <w:ind w:left="5040" w:hanging="360"/>
      </w:pPr>
    </w:lvl>
    <w:lvl w:ilvl="7" w:tplc="D4D0C5AE" w:tentative="1">
      <w:start w:val="1"/>
      <w:numFmt w:val="lowerLetter"/>
      <w:lvlText w:val="%8."/>
      <w:lvlJc w:val="left"/>
      <w:pPr>
        <w:ind w:left="5760" w:hanging="360"/>
      </w:pPr>
    </w:lvl>
    <w:lvl w:ilvl="8" w:tplc="1A1299A0"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9E"/>
    <w:rsid w:val="000027C9"/>
    <w:rsid w:val="00003126"/>
    <w:rsid w:val="00006940"/>
    <w:rsid w:val="00012DBD"/>
    <w:rsid w:val="00033693"/>
    <w:rsid w:val="00041241"/>
    <w:rsid w:val="0004504E"/>
    <w:rsid w:val="000721B8"/>
    <w:rsid w:val="0007684A"/>
    <w:rsid w:val="00086239"/>
    <w:rsid w:val="00091523"/>
    <w:rsid w:val="000942F7"/>
    <w:rsid w:val="0009432B"/>
    <w:rsid w:val="000A38BC"/>
    <w:rsid w:val="000A7EA3"/>
    <w:rsid w:val="000B2A3C"/>
    <w:rsid w:val="000B5E7F"/>
    <w:rsid w:val="000C1795"/>
    <w:rsid w:val="000C71E9"/>
    <w:rsid w:val="000D0F84"/>
    <w:rsid w:val="000D3C4D"/>
    <w:rsid w:val="000D4ED1"/>
    <w:rsid w:val="000D6ADA"/>
    <w:rsid w:val="000E0136"/>
    <w:rsid w:val="000E09A4"/>
    <w:rsid w:val="000E11A6"/>
    <w:rsid w:val="000E70C1"/>
    <w:rsid w:val="000F1A20"/>
    <w:rsid w:val="00104905"/>
    <w:rsid w:val="00110713"/>
    <w:rsid w:val="00115718"/>
    <w:rsid w:val="00116A5F"/>
    <w:rsid w:val="0012259E"/>
    <w:rsid w:val="00122CB2"/>
    <w:rsid w:val="0012607F"/>
    <w:rsid w:val="0012658F"/>
    <w:rsid w:val="001266B2"/>
    <w:rsid w:val="00130879"/>
    <w:rsid w:val="001413A9"/>
    <w:rsid w:val="00143E6E"/>
    <w:rsid w:val="001472EE"/>
    <w:rsid w:val="001474DB"/>
    <w:rsid w:val="00153D8E"/>
    <w:rsid w:val="001552CD"/>
    <w:rsid w:val="00156188"/>
    <w:rsid w:val="00160A1F"/>
    <w:rsid w:val="00171CEE"/>
    <w:rsid w:val="00173440"/>
    <w:rsid w:val="001761CD"/>
    <w:rsid w:val="00177458"/>
    <w:rsid w:val="00191F52"/>
    <w:rsid w:val="001925F4"/>
    <w:rsid w:val="00192BD3"/>
    <w:rsid w:val="001A0051"/>
    <w:rsid w:val="001A04E3"/>
    <w:rsid w:val="001A4673"/>
    <w:rsid w:val="001A7E89"/>
    <w:rsid w:val="001B67F2"/>
    <w:rsid w:val="001B6BD3"/>
    <w:rsid w:val="001B6C69"/>
    <w:rsid w:val="001B7CDE"/>
    <w:rsid w:val="001C10E5"/>
    <w:rsid w:val="001C2B4B"/>
    <w:rsid w:val="001D19F3"/>
    <w:rsid w:val="001E5135"/>
    <w:rsid w:val="001E5518"/>
    <w:rsid w:val="001F1400"/>
    <w:rsid w:val="001F2846"/>
    <w:rsid w:val="002009C2"/>
    <w:rsid w:val="0020111E"/>
    <w:rsid w:val="002107AB"/>
    <w:rsid w:val="00211418"/>
    <w:rsid w:val="00212083"/>
    <w:rsid w:val="00212BE6"/>
    <w:rsid w:val="00215549"/>
    <w:rsid w:val="0021655D"/>
    <w:rsid w:val="00216CAE"/>
    <w:rsid w:val="00217125"/>
    <w:rsid w:val="00220865"/>
    <w:rsid w:val="00222A3E"/>
    <w:rsid w:val="00223647"/>
    <w:rsid w:val="0023162C"/>
    <w:rsid w:val="0023492C"/>
    <w:rsid w:val="00235A36"/>
    <w:rsid w:val="00236ACD"/>
    <w:rsid w:val="00244BFB"/>
    <w:rsid w:val="00251C16"/>
    <w:rsid w:val="00252CF6"/>
    <w:rsid w:val="00255E82"/>
    <w:rsid w:val="0025687E"/>
    <w:rsid w:val="002641F1"/>
    <w:rsid w:val="00264BBA"/>
    <w:rsid w:val="0027256E"/>
    <w:rsid w:val="00283AC5"/>
    <w:rsid w:val="002864DF"/>
    <w:rsid w:val="00290314"/>
    <w:rsid w:val="002958DE"/>
    <w:rsid w:val="002A0AC1"/>
    <w:rsid w:val="002B6B65"/>
    <w:rsid w:val="002C3F1C"/>
    <w:rsid w:val="002D0B5A"/>
    <w:rsid w:val="002D1F1D"/>
    <w:rsid w:val="002D3487"/>
    <w:rsid w:val="002D4235"/>
    <w:rsid w:val="002E71D8"/>
    <w:rsid w:val="002F1680"/>
    <w:rsid w:val="002F698E"/>
    <w:rsid w:val="002F7382"/>
    <w:rsid w:val="002F782F"/>
    <w:rsid w:val="003001DA"/>
    <w:rsid w:val="0030054E"/>
    <w:rsid w:val="00300DF4"/>
    <w:rsid w:val="00306E6D"/>
    <w:rsid w:val="00312CEA"/>
    <w:rsid w:val="00325F3E"/>
    <w:rsid w:val="00343ECB"/>
    <w:rsid w:val="00345A36"/>
    <w:rsid w:val="00360A74"/>
    <w:rsid w:val="003647B8"/>
    <w:rsid w:val="003658F9"/>
    <w:rsid w:val="00373FBE"/>
    <w:rsid w:val="0038065F"/>
    <w:rsid w:val="003C0D81"/>
    <w:rsid w:val="003D35F6"/>
    <w:rsid w:val="003D3E7F"/>
    <w:rsid w:val="003F27E4"/>
    <w:rsid w:val="00402DA1"/>
    <w:rsid w:val="004143AF"/>
    <w:rsid w:val="0041442C"/>
    <w:rsid w:val="00430B06"/>
    <w:rsid w:val="00433193"/>
    <w:rsid w:val="00433A4B"/>
    <w:rsid w:val="00435197"/>
    <w:rsid w:val="004376A3"/>
    <w:rsid w:val="00437E46"/>
    <w:rsid w:val="00440548"/>
    <w:rsid w:val="00446E91"/>
    <w:rsid w:val="0045644B"/>
    <w:rsid w:val="00461939"/>
    <w:rsid w:val="004660D6"/>
    <w:rsid w:val="00482421"/>
    <w:rsid w:val="00491FC2"/>
    <w:rsid w:val="004967AA"/>
    <w:rsid w:val="004A4FAC"/>
    <w:rsid w:val="004B1769"/>
    <w:rsid w:val="004B599A"/>
    <w:rsid w:val="004B6D6A"/>
    <w:rsid w:val="004B7864"/>
    <w:rsid w:val="004C355B"/>
    <w:rsid w:val="004C6EFF"/>
    <w:rsid w:val="004D3680"/>
    <w:rsid w:val="004D4A1D"/>
    <w:rsid w:val="004D51D2"/>
    <w:rsid w:val="004D7717"/>
    <w:rsid w:val="004E2B76"/>
    <w:rsid w:val="004E3934"/>
    <w:rsid w:val="0050227B"/>
    <w:rsid w:val="0050343F"/>
    <w:rsid w:val="00505E0E"/>
    <w:rsid w:val="00521669"/>
    <w:rsid w:val="0053187B"/>
    <w:rsid w:val="00542052"/>
    <w:rsid w:val="0054308D"/>
    <w:rsid w:val="005560D2"/>
    <w:rsid w:val="00566246"/>
    <w:rsid w:val="00566E9F"/>
    <w:rsid w:val="00583211"/>
    <w:rsid w:val="00583CBC"/>
    <w:rsid w:val="00586D44"/>
    <w:rsid w:val="005914CC"/>
    <w:rsid w:val="00596B8D"/>
    <w:rsid w:val="005B12EE"/>
    <w:rsid w:val="005B34E6"/>
    <w:rsid w:val="005B3FA5"/>
    <w:rsid w:val="005D0FE1"/>
    <w:rsid w:val="005D49D7"/>
    <w:rsid w:val="005D4F33"/>
    <w:rsid w:val="005D61CE"/>
    <w:rsid w:val="005E00B8"/>
    <w:rsid w:val="005E72F3"/>
    <w:rsid w:val="005F2494"/>
    <w:rsid w:val="005F5C72"/>
    <w:rsid w:val="005F6ACF"/>
    <w:rsid w:val="00601B6E"/>
    <w:rsid w:val="00603C6C"/>
    <w:rsid w:val="00604F81"/>
    <w:rsid w:val="00611C8D"/>
    <w:rsid w:val="006126D6"/>
    <w:rsid w:val="00612CEE"/>
    <w:rsid w:val="00614046"/>
    <w:rsid w:val="00614493"/>
    <w:rsid w:val="00615EEE"/>
    <w:rsid w:val="006207B0"/>
    <w:rsid w:val="00622426"/>
    <w:rsid w:val="00630DE3"/>
    <w:rsid w:val="00633704"/>
    <w:rsid w:val="0063414A"/>
    <w:rsid w:val="00637729"/>
    <w:rsid w:val="00651D84"/>
    <w:rsid w:val="006552FA"/>
    <w:rsid w:val="00656C13"/>
    <w:rsid w:val="00671960"/>
    <w:rsid w:val="00672253"/>
    <w:rsid w:val="00676DAC"/>
    <w:rsid w:val="006868F5"/>
    <w:rsid w:val="00692444"/>
    <w:rsid w:val="00692AD1"/>
    <w:rsid w:val="006948BA"/>
    <w:rsid w:val="006A0D38"/>
    <w:rsid w:val="006A5443"/>
    <w:rsid w:val="006A5C87"/>
    <w:rsid w:val="006B254B"/>
    <w:rsid w:val="006B2CCE"/>
    <w:rsid w:val="006B3FCB"/>
    <w:rsid w:val="006B4473"/>
    <w:rsid w:val="006B6AA3"/>
    <w:rsid w:val="006C13C4"/>
    <w:rsid w:val="006C3F26"/>
    <w:rsid w:val="006E1A3A"/>
    <w:rsid w:val="006E25BE"/>
    <w:rsid w:val="006E478E"/>
    <w:rsid w:val="006E7A9D"/>
    <w:rsid w:val="00703DAC"/>
    <w:rsid w:val="00704742"/>
    <w:rsid w:val="00711CB4"/>
    <w:rsid w:val="00713B41"/>
    <w:rsid w:val="00715C4B"/>
    <w:rsid w:val="0071769A"/>
    <w:rsid w:val="0072769E"/>
    <w:rsid w:val="00737ACB"/>
    <w:rsid w:val="00746EA7"/>
    <w:rsid w:val="007553A2"/>
    <w:rsid w:val="0076029C"/>
    <w:rsid w:val="00763A04"/>
    <w:rsid w:val="00763EA2"/>
    <w:rsid w:val="00770EDB"/>
    <w:rsid w:val="007771BB"/>
    <w:rsid w:val="00780C6B"/>
    <w:rsid w:val="00785017"/>
    <w:rsid w:val="00790267"/>
    <w:rsid w:val="00794339"/>
    <w:rsid w:val="0079586B"/>
    <w:rsid w:val="00797379"/>
    <w:rsid w:val="007A032D"/>
    <w:rsid w:val="007A3453"/>
    <w:rsid w:val="007A465C"/>
    <w:rsid w:val="007A5C3B"/>
    <w:rsid w:val="007B22F5"/>
    <w:rsid w:val="007B44CD"/>
    <w:rsid w:val="007B7DD9"/>
    <w:rsid w:val="007C151E"/>
    <w:rsid w:val="007D0A45"/>
    <w:rsid w:val="007E197F"/>
    <w:rsid w:val="007E1B56"/>
    <w:rsid w:val="007E7BAF"/>
    <w:rsid w:val="007F08EE"/>
    <w:rsid w:val="007F640A"/>
    <w:rsid w:val="00803142"/>
    <w:rsid w:val="0080769D"/>
    <w:rsid w:val="00813802"/>
    <w:rsid w:val="00813BDE"/>
    <w:rsid w:val="0081436D"/>
    <w:rsid w:val="00825E69"/>
    <w:rsid w:val="00834529"/>
    <w:rsid w:val="00836C1C"/>
    <w:rsid w:val="00841F8F"/>
    <w:rsid w:val="008424B8"/>
    <w:rsid w:val="00845D9B"/>
    <w:rsid w:val="00852CEB"/>
    <w:rsid w:val="00855041"/>
    <w:rsid w:val="00860998"/>
    <w:rsid w:val="00865804"/>
    <w:rsid w:val="0087471C"/>
    <w:rsid w:val="00875C37"/>
    <w:rsid w:val="00890C75"/>
    <w:rsid w:val="00897331"/>
    <w:rsid w:val="00897B98"/>
    <w:rsid w:val="008A1417"/>
    <w:rsid w:val="008B3C09"/>
    <w:rsid w:val="008C08E9"/>
    <w:rsid w:val="008C3F4D"/>
    <w:rsid w:val="008D059E"/>
    <w:rsid w:val="008D4092"/>
    <w:rsid w:val="008D667E"/>
    <w:rsid w:val="008E40C5"/>
    <w:rsid w:val="008E4233"/>
    <w:rsid w:val="008F24A2"/>
    <w:rsid w:val="009009F5"/>
    <w:rsid w:val="009063CB"/>
    <w:rsid w:val="009241F1"/>
    <w:rsid w:val="0093032D"/>
    <w:rsid w:val="00934C69"/>
    <w:rsid w:val="00935485"/>
    <w:rsid w:val="00936367"/>
    <w:rsid w:val="009430F4"/>
    <w:rsid w:val="00947860"/>
    <w:rsid w:val="009510C0"/>
    <w:rsid w:val="00953BE9"/>
    <w:rsid w:val="00955457"/>
    <w:rsid w:val="009646EF"/>
    <w:rsid w:val="00970BC2"/>
    <w:rsid w:val="0098254D"/>
    <w:rsid w:val="00984647"/>
    <w:rsid w:val="00992D3E"/>
    <w:rsid w:val="00996D1A"/>
    <w:rsid w:val="009A21BD"/>
    <w:rsid w:val="009A3F14"/>
    <w:rsid w:val="009A5B49"/>
    <w:rsid w:val="009A5E78"/>
    <w:rsid w:val="009B1D16"/>
    <w:rsid w:val="009B4D09"/>
    <w:rsid w:val="009D383E"/>
    <w:rsid w:val="009D5868"/>
    <w:rsid w:val="009E0CE0"/>
    <w:rsid w:val="009E31DC"/>
    <w:rsid w:val="009E3F82"/>
    <w:rsid w:val="009E442E"/>
    <w:rsid w:val="009F0908"/>
    <w:rsid w:val="009F0DA9"/>
    <w:rsid w:val="009F2499"/>
    <w:rsid w:val="009F2965"/>
    <w:rsid w:val="009F46F8"/>
    <w:rsid w:val="009F7DA2"/>
    <w:rsid w:val="00A1123C"/>
    <w:rsid w:val="00A14A79"/>
    <w:rsid w:val="00A14A81"/>
    <w:rsid w:val="00A25F39"/>
    <w:rsid w:val="00A32C67"/>
    <w:rsid w:val="00A367B8"/>
    <w:rsid w:val="00A4139E"/>
    <w:rsid w:val="00A43B87"/>
    <w:rsid w:val="00A53F76"/>
    <w:rsid w:val="00A56754"/>
    <w:rsid w:val="00A65235"/>
    <w:rsid w:val="00A713B8"/>
    <w:rsid w:val="00A85F53"/>
    <w:rsid w:val="00A9232A"/>
    <w:rsid w:val="00A92F2F"/>
    <w:rsid w:val="00AA3FE3"/>
    <w:rsid w:val="00AA7F7D"/>
    <w:rsid w:val="00AB0F1F"/>
    <w:rsid w:val="00AB1017"/>
    <w:rsid w:val="00AB3ADC"/>
    <w:rsid w:val="00AB5DD5"/>
    <w:rsid w:val="00AB6E6B"/>
    <w:rsid w:val="00AC02FD"/>
    <w:rsid w:val="00AC0522"/>
    <w:rsid w:val="00AD0E1D"/>
    <w:rsid w:val="00AD6E86"/>
    <w:rsid w:val="00AE152C"/>
    <w:rsid w:val="00AE616C"/>
    <w:rsid w:val="00AE7615"/>
    <w:rsid w:val="00AF118D"/>
    <w:rsid w:val="00AF1B06"/>
    <w:rsid w:val="00AF7100"/>
    <w:rsid w:val="00B04662"/>
    <w:rsid w:val="00B0606D"/>
    <w:rsid w:val="00B11CA5"/>
    <w:rsid w:val="00B13856"/>
    <w:rsid w:val="00B1578B"/>
    <w:rsid w:val="00B172B8"/>
    <w:rsid w:val="00B17852"/>
    <w:rsid w:val="00B35B6C"/>
    <w:rsid w:val="00B3708D"/>
    <w:rsid w:val="00B46014"/>
    <w:rsid w:val="00B466B9"/>
    <w:rsid w:val="00B52B6B"/>
    <w:rsid w:val="00B62FC3"/>
    <w:rsid w:val="00B829B9"/>
    <w:rsid w:val="00B92116"/>
    <w:rsid w:val="00B936E1"/>
    <w:rsid w:val="00B96143"/>
    <w:rsid w:val="00BA4E81"/>
    <w:rsid w:val="00BA6F7B"/>
    <w:rsid w:val="00BB183D"/>
    <w:rsid w:val="00BB4510"/>
    <w:rsid w:val="00BB741A"/>
    <w:rsid w:val="00BC03A9"/>
    <w:rsid w:val="00BC427A"/>
    <w:rsid w:val="00BC43A2"/>
    <w:rsid w:val="00BC4A9D"/>
    <w:rsid w:val="00BC7355"/>
    <w:rsid w:val="00BD20E6"/>
    <w:rsid w:val="00BD2C79"/>
    <w:rsid w:val="00BD6C13"/>
    <w:rsid w:val="00BE0930"/>
    <w:rsid w:val="00C001B6"/>
    <w:rsid w:val="00C003D9"/>
    <w:rsid w:val="00C13F9F"/>
    <w:rsid w:val="00C16257"/>
    <w:rsid w:val="00C327D2"/>
    <w:rsid w:val="00C35612"/>
    <w:rsid w:val="00C43B18"/>
    <w:rsid w:val="00C47735"/>
    <w:rsid w:val="00C51758"/>
    <w:rsid w:val="00C5287C"/>
    <w:rsid w:val="00C532BB"/>
    <w:rsid w:val="00C630C5"/>
    <w:rsid w:val="00C75454"/>
    <w:rsid w:val="00C77806"/>
    <w:rsid w:val="00C83C63"/>
    <w:rsid w:val="00C95557"/>
    <w:rsid w:val="00C95E67"/>
    <w:rsid w:val="00CA176F"/>
    <w:rsid w:val="00CA369D"/>
    <w:rsid w:val="00CA564A"/>
    <w:rsid w:val="00CA575F"/>
    <w:rsid w:val="00CA753A"/>
    <w:rsid w:val="00CD694B"/>
    <w:rsid w:val="00CE492E"/>
    <w:rsid w:val="00CF0900"/>
    <w:rsid w:val="00CF377F"/>
    <w:rsid w:val="00D043BF"/>
    <w:rsid w:val="00D0464C"/>
    <w:rsid w:val="00D10877"/>
    <w:rsid w:val="00D10C31"/>
    <w:rsid w:val="00D13121"/>
    <w:rsid w:val="00D15156"/>
    <w:rsid w:val="00D1710B"/>
    <w:rsid w:val="00D217E3"/>
    <w:rsid w:val="00D23734"/>
    <w:rsid w:val="00D339CE"/>
    <w:rsid w:val="00D34332"/>
    <w:rsid w:val="00D37172"/>
    <w:rsid w:val="00D43140"/>
    <w:rsid w:val="00D512FD"/>
    <w:rsid w:val="00D56F53"/>
    <w:rsid w:val="00D57002"/>
    <w:rsid w:val="00D63779"/>
    <w:rsid w:val="00D84AD1"/>
    <w:rsid w:val="00DA06D2"/>
    <w:rsid w:val="00DA1BB5"/>
    <w:rsid w:val="00DA25DE"/>
    <w:rsid w:val="00DA4ADF"/>
    <w:rsid w:val="00DA75D5"/>
    <w:rsid w:val="00DB4662"/>
    <w:rsid w:val="00DB626C"/>
    <w:rsid w:val="00DC1521"/>
    <w:rsid w:val="00DC43F1"/>
    <w:rsid w:val="00DC697F"/>
    <w:rsid w:val="00DE0334"/>
    <w:rsid w:val="00DE799B"/>
    <w:rsid w:val="00DF231E"/>
    <w:rsid w:val="00DF319E"/>
    <w:rsid w:val="00DF33ED"/>
    <w:rsid w:val="00DF7F5C"/>
    <w:rsid w:val="00E0287E"/>
    <w:rsid w:val="00E07C23"/>
    <w:rsid w:val="00E16AA4"/>
    <w:rsid w:val="00E16B93"/>
    <w:rsid w:val="00E23F04"/>
    <w:rsid w:val="00E37E48"/>
    <w:rsid w:val="00E408CD"/>
    <w:rsid w:val="00E40D04"/>
    <w:rsid w:val="00E411CE"/>
    <w:rsid w:val="00E41E4E"/>
    <w:rsid w:val="00E45018"/>
    <w:rsid w:val="00E53451"/>
    <w:rsid w:val="00E5512C"/>
    <w:rsid w:val="00E66E75"/>
    <w:rsid w:val="00E74D94"/>
    <w:rsid w:val="00E90018"/>
    <w:rsid w:val="00E92C64"/>
    <w:rsid w:val="00E93C2A"/>
    <w:rsid w:val="00E946EC"/>
    <w:rsid w:val="00E9569F"/>
    <w:rsid w:val="00EA0C0B"/>
    <w:rsid w:val="00EA3EE1"/>
    <w:rsid w:val="00EA7896"/>
    <w:rsid w:val="00EB119B"/>
    <w:rsid w:val="00EB1BCC"/>
    <w:rsid w:val="00EB1DA5"/>
    <w:rsid w:val="00EB47DE"/>
    <w:rsid w:val="00EC3413"/>
    <w:rsid w:val="00EC3789"/>
    <w:rsid w:val="00EC380F"/>
    <w:rsid w:val="00EC6B95"/>
    <w:rsid w:val="00ED280A"/>
    <w:rsid w:val="00ED535A"/>
    <w:rsid w:val="00EE2468"/>
    <w:rsid w:val="00EE5A50"/>
    <w:rsid w:val="00EF2071"/>
    <w:rsid w:val="00EF64AF"/>
    <w:rsid w:val="00F00BC7"/>
    <w:rsid w:val="00F04354"/>
    <w:rsid w:val="00F0704A"/>
    <w:rsid w:val="00F136CF"/>
    <w:rsid w:val="00F23419"/>
    <w:rsid w:val="00F235B3"/>
    <w:rsid w:val="00F431A3"/>
    <w:rsid w:val="00F62510"/>
    <w:rsid w:val="00F76253"/>
    <w:rsid w:val="00F87139"/>
    <w:rsid w:val="00F93774"/>
    <w:rsid w:val="00F967B8"/>
    <w:rsid w:val="00FA39CF"/>
    <w:rsid w:val="00FA5A56"/>
    <w:rsid w:val="00FA5E07"/>
    <w:rsid w:val="00FA7793"/>
    <w:rsid w:val="00FB15CF"/>
    <w:rsid w:val="00FB1880"/>
    <w:rsid w:val="00FC1012"/>
    <w:rsid w:val="00FC2A9E"/>
    <w:rsid w:val="00FE1A9E"/>
    <w:rsid w:val="00FE7973"/>
    <w:rsid w:val="00FF0FB8"/>
    <w:rsid w:val="0C9A6837"/>
    <w:rsid w:val="10039A8F"/>
    <w:rsid w:val="1EF491B8"/>
    <w:rsid w:val="24B6BA92"/>
    <w:rsid w:val="318F868B"/>
    <w:rsid w:val="32F33AF1"/>
    <w:rsid w:val="3D614C71"/>
    <w:rsid w:val="4273F307"/>
    <w:rsid w:val="42781AF7"/>
    <w:rsid w:val="490A111A"/>
    <w:rsid w:val="5977759D"/>
    <w:rsid w:val="686AD7EB"/>
    <w:rsid w:val="6BB34EDD"/>
    <w:rsid w:val="6C1CB9AD"/>
    <w:rsid w:val="6DC1DFE5"/>
    <w:rsid w:val="6E1C9326"/>
    <w:rsid w:val="793E8DA7"/>
    <w:rsid w:val="7A57FDE7"/>
    <w:rsid w:val="7FCAD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7256"/>
  <w15:chartTrackingRefBased/>
  <w15:docId w15:val="{70CE2D2E-3837-4A9F-84E5-1DE9C22D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69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2769E"/>
    <w:pPr>
      <w:widowControl w:val="0"/>
      <w:spacing w:after="240"/>
    </w:pPr>
    <w:rPr>
      <w:lang w:val="x-none" w:eastAsia="x-none"/>
    </w:rPr>
  </w:style>
  <w:style w:type="character" w:customStyle="1" w:styleId="BodyTextChar">
    <w:name w:val="Body Text Char"/>
    <w:link w:val="BodyText"/>
    <w:uiPriority w:val="99"/>
    <w:rsid w:val="0072769E"/>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rsid w:val="0072769E"/>
    <w:pPr>
      <w:tabs>
        <w:tab w:val="center" w:pos="4680"/>
        <w:tab w:val="right" w:pos="9360"/>
      </w:tabs>
    </w:pPr>
    <w:rPr>
      <w:lang w:val="x-none" w:eastAsia="x-none"/>
    </w:rPr>
  </w:style>
  <w:style w:type="character" w:customStyle="1" w:styleId="HeaderChar">
    <w:name w:val="Header Char"/>
    <w:link w:val="Header"/>
    <w:uiPriority w:val="99"/>
    <w:rsid w:val="0072769E"/>
    <w:rPr>
      <w:rFonts w:ascii="Times New Roman" w:eastAsia="Times New Roman" w:hAnsi="Times New Roman" w:cs="Times New Roman"/>
      <w:sz w:val="24"/>
      <w:szCs w:val="24"/>
      <w:lang w:val="x-none" w:eastAsia="x-none"/>
    </w:rPr>
  </w:style>
  <w:style w:type="paragraph" w:customStyle="1" w:styleId="TableCaption">
    <w:name w:val="Table Caption"/>
    <w:basedOn w:val="Normal"/>
    <w:next w:val="Table"/>
    <w:uiPriority w:val="99"/>
    <w:rsid w:val="0072769E"/>
    <w:pPr>
      <w:keepNext/>
      <w:keepLines/>
      <w:spacing w:before="440" w:after="440" w:line="240" w:lineRule="atLeast"/>
      <w:jc w:val="center"/>
    </w:pPr>
    <w:rPr>
      <w:rFonts w:ascii="Arial" w:hAnsi="Arial" w:cs="Arial"/>
      <w:b/>
      <w:bCs/>
      <w:caps/>
      <w:sz w:val="20"/>
      <w:szCs w:val="20"/>
    </w:rPr>
  </w:style>
  <w:style w:type="paragraph" w:customStyle="1" w:styleId="Table">
    <w:name w:val="Table"/>
    <w:basedOn w:val="Normal"/>
    <w:uiPriority w:val="99"/>
    <w:rsid w:val="0072769E"/>
    <w:pPr>
      <w:keepNext/>
      <w:keepLines/>
    </w:pPr>
    <w:rPr>
      <w:rFonts w:ascii="Arial" w:hAnsi="Arial" w:cs="Arial"/>
      <w:sz w:val="20"/>
      <w:szCs w:val="20"/>
    </w:rPr>
  </w:style>
  <w:style w:type="character" w:styleId="Hyperlink">
    <w:name w:val="Hyperlink"/>
    <w:uiPriority w:val="99"/>
    <w:rsid w:val="0072769E"/>
    <w:rPr>
      <w:rFonts w:cs="Times New Roman"/>
      <w:color w:val="0000FF"/>
      <w:u w:val="single"/>
    </w:rPr>
  </w:style>
  <w:style w:type="paragraph" w:customStyle="1" w:styleId="NormalEx24">
    <w:name w:val="NormalEx24"/>
    <w:basedOn w:val="Normal"/>
    <w:uiPriority w:val="99"/>
    <w:rsid w:val="0072769E"/>
    <w:pPr>
      <w:overflowPunct w:val="0"/>
      <w:autoSpaceDE w:val="0"/>
      <w:autoSpaceDN w:val="0"/>
      <w:adjustRightInd w:val="0"/>
      <w:spacing w:line="480" w:lineRule="exact"/>
      <w:ind w:firstLine="720"/>
      <w:textAlignment w:val="baseline"/>
    </w:pPr>
    <w:rPr>
      <w:rFonts w:ascii="Courier New" w:hAnsi="Courier New" w:cs="Courier New"/>
    </w:rPr>
  </w:style>
  <w:style w:type="paragraph" w:styleId="ListParagraph">
    <w:name w:val="List Paragraph"/>
    <w:basedOn w:val="Normal"/>
    <w:uiPriority w:val="34"/>
    <w:qFormat/>
    <w:rsid w:val="0072769E"/>
    <w:pPr>
      <w:ind w:left="720"/>
    </w:pPr>
  </w:style>
  <w:style w:type="character" w:styleId="CommentReference">
    <w:name w:val="annotation reference"/>
    <w:semiHidden/>
    <w:unhideWhenUsed/>
    <w:rsid w:val="0072769E"/>
    <w:rPr>
      <w:sz w:val="16"/>
      <w:szCs w:val="16"/>
    </w:rPr>
  </w:style>
  <w:style w:type="paragraph" w:styleId="CommentText">
    <w:name w:val="annotation text"/>
    <w:basedOn w:val="Normal"/>
    <w:link w:val="CommentTextChar"/>
    <w:unhideWhenUsed/>
    <w:rsid w:val="0072769E"/>
    <w:rPr>
      <w:sz w:val="20"/>
      <w:szCs w:val="20"/>
    </w:rPr>
  </w:style>
  <w:style w:type="character" w:customStyle="1" w:styleId="CommentTextChar">
    <w:name w:val="Comment Text Char"/>
    <w:link w:val="CommentText"/>
    <w:rsid w:val="0072769E"/>
    <w:rPr>
      <w:rFonts w:ascii="Times New Roman" w:eastAsia="Times New Roman" w:hAnsi="Times New Roman" w:cs="Times New Roman"/>
      <w:sz w:val="20"/>
      <w:szCs w:val="20"/>
    </w:rPr>
  </w:style>
  <w:style w:type="table" w:styleId="TableGrid">
    <w:name w:val="Table Grid"/>
    <w:basedOn w:val="TableNormal"/>
    <w:rsid w:val="007276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769E"/>
    <w:rPr>
      <w:rFonts w:ascii="Segoe UI" w:hAnsi="Segoe UI" w:cs="Segoe UI"/>
      <w:sz w:val="18"/>
      <w:szCs w:val="18"/>
    </w:rPr>
  </w:style>
  <w:style w:type="character" w:customStyle="1" w:styleId="BalloonTextChar">
    <w:name w:val="Balloon Text Char"/>
    <w:link w:val="BalloonText"/>
    <w:uiPriority w:val="99"/>
    <w:semiHidden/>
    <w:rsid w:val="0072769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327D2"/>
    <w:rPr>
      <w:b/>
      <w:bCs/>
    </w:rPr>
  </w:style>
  <w:style w:type="character" w:customStyle="1" w:styleId="CommentSubjectChar">
    <w:name w:val="Comment Subject Char"/>
    <w:link w:val="CommentSubject"/>
    <w:uiPriority w:val="99"/>
    <w:semiHidden/>
    <w:rsid w:val="00C327D2"/>
    <w:rPr>
      <w:rFonts w:ascii="Times New Roman" w:eastAsia="Times New Roman" w:hAnsi="Times New Roman" w:cs="Times New Roman"/>
      <w:b/>
      <w:bCs/>
      <w:sz w:val="20"/>
      <w:szCs w:val="20"/>
    </w:rPr>
  </w:style>
  <w:style w:type="paragraph" w:styleId="FootnoteText">
    <w:name w:val="footnote text"/>
    <w:aliases w:val="Char,Footnote Text Char Char,Footnote Text Char Char Char,Footnote Text Char Char Char Char Char,Footnote Text Char1,Footnote Text Char2 Char,Footnote Text Char2 Char Char Char,Footnote Text Char2 Char Char Char Char1 Char,f,fn"/>
    <w:basedOn w:val="Normal"/>
    <w:link w:val="FootnoteTextChar"/>
    <w:unhideWhenUsed/>
    <w:rsid w:val="00BB4510"/>
    <w:rPr>
      <w:sz w:val="20"/>
      <w:szCs w:val="20"/>
    </w:rPr>
  </w:style>
  <w:style w:type="character" w:customStyle="1" w:styleId="FootnoteTextChar">
    <w:name w:val="Footnote Text Char"/>
    <w:aliases w:val="Char Char,Footnote Text Char Char Char1,Footnote Text Char Char Char Char,Footnote Text Char Char Char Char Char Char,Footnote Text Char1 Char,Footnote Text Char2 Char Char,Footnote Text Char2 Char Char Char Char,f Char,fn Char"/>
    <w:link w:val="FootnoteText"/>
    <w:rsid w:val="00BB4510"/>
    <w:rPr>
      <w:rFonts w:ascii="Times New Roman" w:eastAsia="Times New Roman" w:hAnsi="Times New Roman" w:cs="Times New Roman"/>
      <w:sz w:val="20"/>
      <w:szCs w:val="20"/>
    </w:rPr>
  </w:style>
  <w:style w:type="character" w:styleId="FootnoteReference">
    <w:name w:val="footnote reference"/>
    <w:aliases w:val="(NECG) Footnote Reference,Appel note de bas de p,Style 12,Style 124,Style 3,fr,o,o + Times New Roman,o1,o11,o2,o21,o3,o4,o5,o6,o7"/>
    <w:uiPriority w:val="99"/>
    <w:unhideWhenUsed/>
    <w:rsid w:val="00BB4510"/>
    <w:rPr>
      <w:vertAlign w:val="superscript"/>
    </w:rPr>
  </w:style>
  <w:style w:type="paragraph" w:styleId="Revision">
    <w:name w:val="Revision"/>
    <w:hidden/>
    <w:uiPriority w:val="99"/>
    <w:semiHidden/>
    <w:rsid w:val="006E25BE"/>
    <w:rPr>
      <w:rFonts w:ascii="Times New Roman" w:eastAsia="Times New Roman" w:hAnsi="Times New Roman"/>
      <w:sz w:val="24"/>
      <w:szCs w:val="24"/>
    </w:rPr>
  </w:style>
  <w:style w:type="character" w:customStyle="1" w:styleId="Mencinsinresolver1">
    <w:name w:val="Mención sin resolver1"/>
    <w:uiPriority w:val="99"/>
    <w:unhideWhenUsed/>
    <w:rsid w:val="00C001B6"/>
    <w:rPr>
      <w:color w:val="605E5C"/>
      <w:shd w:val="clear" w:color="auto" w:fill="E1DFDD"/>
    </w:rPr>
  </w:style>
  <w:style w:type="character" w:customStyle="1" w:styleId="Mencionar1">
    <w:name w:val="Mencionar1"/>
    <w:basedOn w:val="DefaultParagraphFont"/>
    <w:uiPriority w:val="99"/>
    <w:unhideWhenUsed/>
    <w:rsid w:val="003D35F6"/>
    <w:rPr>
      <w:color w:val="2B579A"/>
      <w:shd w:val="clear" w:color="auto" w:fill="E1DFDD"/>
    </w:rPr>
  </w:style>
  <w:style w:type="paragraph" w:styleId="Footer">
    <w:name w:val="footer"/>
    <w:basedOn w:val="Normal"/>
    <w:link w:val="FooterChar"/>
    <w:uiPriority w:val="99"/>
    <w:semiHidden/>
    <w:unhideWhenUsed/>
    <w:rsid w:val="009D5868"/>
    <w:pPr>
      <w:tabs>
        <w:tab w:val="center" w:pos="4680"/>
        <w:tab w:val="right" w:pos="9360"/>
      </w:tabs>
    </w:pPr>
  </w:style>
  <w:style w:type="character" w:customStyle="1" w:styleId="FooterChar">
    <w:name w:val="Footer Char"/>
    <w:basedOn w:val="DefaultParagraphFont"/>
    <w:link w:val="Footer"/>
    <w:uiPriority w:val="99"/>
    <w:semiHidden/>
    <w:rsid w:val="009D586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sdge.com/rates-and-regulations/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DAA533EF2C05459889440C0350ED98" ma:contentTypeVersion="4" ma:contentTypeDescription="Create a new document." ma:contentTypeScope="" ma:versionID="88cba28023d7b8efae2e7523230c2fbd">
  <xsd:schema xmlns:xsd="http://www.w3.org/2001/XMLSchema" xmlns:xs="http://www.w3.org/2001/XMLSchema" xmlns:p="http://schemas.microsoft.com/office/2006/metadata/properties" xmlns:ns2="66492d2c-6e0d-411c-8f11-9da78715e500" targetNamespace="http://schemas.microsoft.com/office/2006/metadata/properties" ma:root="true" ma:fieldsID="2caf56e62fa370c9dff8a715e766367c" ns2:_="">
    <xsd:import namespace="66492d2c-6e0d-411c-8f11-9da78715e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92d2c-6e0d-411c-8f11-9da78715e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9AE167-F39E-4DE9-BBC8-D43740C94FA1}">
  <ds:schemaRefs>
    <ds:schemaRef ds:uri="http://schemas.openxmlformats.org/officeDocument/2006/bibliography"/>
  </ds:schemaRefs>
</ds:datastoreItem>
</file>

<file path=customXml/itemProps2.xml><?xml version="1.0" encoding="utf-8"?>
<ds:datastoreItem xmlns:ds="http://schemas.openxmlformats.org/officeDocument/2006/customXml" ds:itemID="{4229F39E-AC02-4F1F-BB0F-530384462B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4514E3-2DE4-414C-945C-5445C7C0805E}">
  <ds:schemaRefs>
    <ds:schemaRef ds:uri="http://schemas.microsoft.com/sharepoint/v3/contenttype/forms"/>
  </ds:schemaRefs>
</ds:datastoreItem>
</file>

<file path=customXml/itemProps4.xml><?xml version="1.0" encoding="utf-8"?>
<ds:datastoreItem xmlns:ds="http://schemas.openxmlformats.org/officeDocument/2006/customXml" ds:itemID="{3FA2C1D7-B9A5-4686-97A8-226497DB1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92d2c-6e0d-411c-8f11-9da78715e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1245</Words>
  <Characters>6549</Characters>
  <Application>Microsoft Office Word</Application>
  <DocSecurity>0</DocSecurity>
  <Lines>311</Lines>
  <Paragraphs>144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CPUC</Company>
  <LinksUpToDate>false</LinksUpToDate>
  <CharactersWithSpaces>7650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Levine, Jessica "Jessie"</dc:creator>
  <cp:keywords/>
  <dc:description/>
  <cp:lastModifiedBy>Rogelio Camacho</cp:lastModifiedBy>
  <cp:revision>2</cp:revision>
  <cp:lastPrinted>1900-01-01T08:00:00Z</cp:lastPrinted>
  <dcterms:created xsi:type="dcterms:W3CDTF">2020-12-22T18:33:00Z</dcterms:created>
  <dcterms:modified xsi:type="dcterms:W3CDTF">2020-12-22T18:33:00Z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0x010100F6DAA533EF2C05459889440C0350ED98</vt:lpwstr>
  </property>
  <property fmtid="{D5CDD505-2E9C-101B-9397-08002B2CF9AE}" pid="3" name="LINKTEK-FILE-ID">
    <vt:lpwstr>01EC-7C48-88C6-850C</vt:lpwstr>
  </property>
</Properties>
</file>