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99497" w14:textId="152353C4" w:rsidR="0072769E" w:rsidRPr="007771BB" w:rsidRDefault="002E78C7" w:rsidP="0072769E">
      <w:pPr>
        <w:pStyle w:val="Header"/>
        <w:jc w:val="center"/>
        <w:rPr>
          <w:b/>
          <w:lang w:val="es-MX"/>
        </w:rPr>
      </w:pPr>
      <w:bookmarkStart w:id="0" w:name="_Hlk33004944"/>
      <w:bookmarkStart w:id="1" w:name="_GoBack"/>
      <w:bookmarkEnd w:id="1"/>
      <w:r>
        <w:rPr>
          <w:b/>
          <w:bCs/>
          <w:lang w:val="es-ES_tradnl"/>
        </w:rPr>
        <w:t xml:space="preserve">Este es un anuncio de que sus tarifas pueden cambiar. Para más detalles en español, </w:t>
      </w:r>
      <w:r w:rsidR="00A34EDD">
        <w:rPr>
          <w:b/>
          <w:bCs/>
          <w:lang w:val="es-ES_tradnl"/>
        </w:rPr>
        <w:br/>
      </w:r>
      <w:r>
        <w:rPr>
          <w:b/>
          <w:bCs/>
          <w:lang w:val="es-ES_tradnl"/>
        </w:rPr>
        <w:t>llame al 1-800-311-7343</w:t>
      </w:r>
    </w:p>
    <w:bookmarkEnd w:id="0"/>
    <w:p w14:paraId="4F763E05" w14:textId="77777777" w:rsidR="0072769E" w:rsidRPr="00947860" w:rsidRDefault="0072769E" w:rsidP="0072769E">
      <w:pPr>
        <w:pStyle w:val="Table"/>
        <w:rPr>
          <w:lang w:val="es-ES"/>
        </w:rPr>
      </w:pPr>
    </w:p>
    <w:p w14:paraId="6854A014" w14:textId="623B5104" w:rsidR="00D512FD" w:rsidRPr="003001DA" w:rsidRDefault="002E78C7" w:rsidP="003001DA">
      <w:pPr>
        <w:pStyle w:val="Table"/>
        <w:jc w:val="center"/>
      </w:pPr>
      <w:r>
        <w:rPr>
          <w:rFonts w:ascii="Times New Roman" w:hAnsi="Times New Roman" w:cs="Times New Roman"/>
          <w:caps/>
          <w:sz w:val="24"/>
          <w:szCs w:val="24"/>
          <w:lang w:val="es-ES_tradnl"/>
        </w:rPr>
        <w:t xml:space="preserve">NOTIFICACIÓN DE </w:t>
      </w:r>
      <w:r w:rsidR="00F00DBE">
        <w:rPr>
          <w:rFonts w:ascii="Times New Roman" w:hAnsi="Times New Roman" w:cs="Times New Roman"/>
          <w:caps/>
          <w:sz w:val="24"/>
          <w:szCs w:val="24"/>
          <w:lang w:val="es-ES_tradnl"/>
        </w:rPr>
        <w:br/>
      </w:r>
      <w:r>
        <w:rPr>
          <w:rFonts w:ascii="Times New Roman" w:hAnsi="Times New Roman" w:cs="Times New Roman"/>
          <w:caps/>
          <w:sz w:val="24"/>
          <w:szCs w:val="24"/>
          <w:lang w:val="es-ES_tradnl"/>
        </w:rPr>
        <w:t xml:space="preserve">SOLICITUD DE SAN DIEGO GAS &amp; ELECTRIC COMPANY </w:t>
      </w:r>
      <w:r w:rsidR="00F00DBE">
        <w:rPr>
          <w:rFonts w:ascii="Times New Roman" w:hAnsi="Times New Roman" w:cs="Times New Roman"/>
          <w:caps/>
          <w:sz w:val="24"/>
          <w:szCs w:val="24"/>
          <w:lang w:val="es-ES_tradnl"/>
        </w:rPr>
        <w:br/>
      </w:r>
      <w:r>
        <w:rPr>
          <w:rFonts w:ascii="Times New Roman" w:hAnsi="Times New Roman" w:cs="Times New Roman"/>
          <w:caps/>
          <w:sz w:val="24"/>
          <w:szCs w:val="24"/>
          <w:lang w:val="es-ES_tradnl"/>
        </w:rPr>
        <w:t xml:space="preserve">PARA </w:t>
      </w:r>
      <w:bookmarkStart w:id="2" w:name="_Hlk33004932"/>
      <w:r>
        <w:rPr>
          <w:rFonts w:ascii="Times New Roman" w:hAnsi="Times New Roman" w:cs="Times New Roman"/>
          <w:caps/>
          <w:sz w:val="24"/>
          <w:szCs w:val="24"/>
          <w:lang w:val="es-ES_tradnl"/>
        </w:rPr>
        <w:t xml:space="preserve">CAMBIAR LAS TARIFAS ELÉCTRICAS </w:t>
      </w:r>
    </w:p>
    <w:bookmarkEnd w:id="2"/>
    <w:p w14:paraId="118DFB5B" w14:textId="796345D6" w:rsidR="0072769E" w:rsidRPr="00614046" w:rsidRDefault="002E78C7" w:rsidP="00D512FD">
      <w:pPr>
        <w:pStyle w:val="TableCaption"/>
        <w:keepNext w:val="0"/>
        <w:keepLines w:val="0"/>
        <w:autoSpaceDE w:val="0"/>
        <w:autoSpaceDN w:val="0"/>
        <w:adjustRightInd w:val="0"/>
        <w:spacing w:before="0" w:after="0" w:line="240" w:lineRule="auto"/>
        <w:outlineLvl w:val="0"/>
        <w:rPr>
          <w:rFonts w:ascii="Times New Roman" w:hAnsi="Times New Roman" w:cs="Times New Roman"/>
          <w:caps w:val="0"/>
          <w:sz w:val="24"/>
          <w:szCs w:val="24"/>
        </w:rPr>
      </w:pPr>
      <w:r>
        <w:rPr>
          <w:rFonts w:ascii="Times New Roman" w:hAnsi="Times New Roman" w:cs="Times New Roman"/>
          <w:sz w:val="24"/>
          <w:szCs w:val="24"/>
          <w:lang w:val="es-ES_tradnl"/>
        </w:rPr>
        <w:t>NO. A.20-07-009</w:t>
      </w:r>
    </w:p>
    <w:p w14:paraId="0EF08E9B" w14:textId="77777777" w:rsidR="00041241" w:rsidRPr="00A25F39" w:rsidRDefault="00041241" w:rsidP="0072769E">
      <w:pPr>
        <w:pStyle w:val="Table"/>
        <w:jc w:val="both"/>
        <w:rPr>
          <w:rFonts w:ascii="Times New Roman" w:hAnsi="Times New Roman" w:cs="Times New Roman"/>
        </w:rPr>
      </w:pPr>
    </w:p>
    <w:p w14:paraId="3D9B7ACB" w14:textId="189FFA98" w:rsidR="003C0D81" w:rsidRDefault="002E78C7" w:rsidP="003C0D81">
      <w:pPr>
        <w:autoSpaceDE w:val="0"/>
        <w:autoSpaceDN w:val="0"/>
        <w:adjustRightInd w:val="0"/>
      </w:pPr>
      <w:r>
        <w:rPr>
          <w:lang w:val="es-ES_tradnl"/>
        </w:rPr>
        <w:t>El 10 de julio de 2020, San Diego Gas &amp; Electric Company (SDG&amp;E</w:t>
      </w:r>
      <w:r>
        <w:rPr>
          <w:vertAlign w:val="superscript"/>
          <w:lang w:val="es-ES_tradnl"/>
        </w:rPr>
        <w:t>®</w:t>
      </w:r>
      <w:r>
        <w:rPr>
          <w:lang w:val="es-ES_tradnl"/>
        </w:rPr>
        <w:t xml:space="preserve">) presentó la solicitud </w:t>
      </w:r>
      <w:bookmarkStart w:id="3" w:name="_Hlk40967155"/>
      <w:r>
        <w:rPr>
          <w:lang w:val="es-ES_tradnl"/>
        </w:rPr>
        <w:t xml:space="preserve">Power Charge Indifference Adjustment (PCIA) Balancing Account (CAPBA) Trigger Application </w:t>
      </w:r>
      <w:bookmarkEnd w:id="3"/>
      <w:r>
        <w:rPr>
          <w:lang w:val="es-ES_tradnl"/>
        </w:rPr>
        <w:t xml:space="preserve">2020 ante la Comisión de Servicios Públicos de California (CPUC) a fin de obtener la aprobación para </w:t>
      </w:r>
      <w:r>
        <w:rPr>
          <w:b/>
          <w:bCs/>
          <w:lang w:val="es-ES_tradnl"/>
        </w:rPr>
        <w:t>cambiar las tarifas eléctricas</w:t>
      </w:r>
      <w:r>
        <w:rPr>
          <w:lang w:val="es-ES_tradnl"/>
        </w:rPr>
        <w:t xml:space="preserve">. </w:t>
      </w:r>
    </w:p>
    <w:p w14:paraId="10C29737" w14:textId="77777777" w:rsidR="000B5E7F" w:rsidRDefault="000B5E7F" w:rsidP="003C0D81">
      <w:pPr>
        <w:autoSpaceDE w:val="0"/>
        <w:autoSpaceDN w:val="0"/>
        <w:adjustRightInd w:val="0"/>
      </w:pPr>
    </w:p>
    <w:p w14:paraId="142FC7D0" w14:textId="2FB7FFD2" w:rsidR="00143E6E" w:rsidRDefault="002E78C7" w:rsidP="003C0D81">
      <w:pPr>
        <w:autoSpaceDE w:val="0"/>
        <w:autoSpaceDN w:val="0"/>
        <w:adjustRightInd w:val="0"/>
        <w:rPr>
          <w:b/>
          <w:bCs/>
        </w:rPr>
      </w:pPr>
      <w:r>
        <w:rPr>
          <w:lang w:val="es-ES_tradnl"/>
        </w:rPr>
        <w:t>Las nuevas tarifas comenzarán el 1 de octubre de 2020 por un periodo de tres meses que concluirá el 31 de diciembre de 2020.</w:t>
      </w:r>
    </w:p>
    <w:p w14:paraId="08113E33" w14:textId="77777777" w:rsidR="0072769E" w:rsidRPr="00DA75D5" w:rsidRDefault="0072769E" w:rsidP="0072769E">
      <w:pPr>
        <w:keepNext/>
        <w:keepLines/>
      </w:pPr>
    </w:p>
    <w:p w14:paraId="188BD085" w14:textId="40DDF01C" w:rsidR="00890C75" w:rsidRPr="00A25F39" w:rsidRDefault="002E78C7" w:rsidP="003001DA">
      <w:pPr>
        <w:pStyle w:val="BodyText"/>
        <w:jc w:val="center"/>
      </w:pPr>
      <w:bookmarkStart w:id="4" w:name="_DV_M51"/>
      <w:bookmarkEnd w:id="4"/>
      <w:r>
        <w:rPr>
          <w:b/>
          <w:bCs/>
          <w:lang w:val="es-ES_tradnl"/>
        </w:rPr>
        <w:t>¿CÓMO AFECTARÁ ESTO LAS FACTURAS ELÉCTRICAS DE LOS CLIENTES CON SERVICIOS EN PAQUETE?</w:t>
      </w:r>
    </w:p>
    <w:p w14:paraId="46CB3550" w14:textId="7D9B1401" w:rsidR="00222A3E" w:rsidRPr="00212BE6" w:rsidRDefault="002E78C7" w:rsidP="001266B2">
      <w:pPr>
        <w:pStyle w:val="BodyText"/>
        <w:jc w:val="both"/>
        <w:rPr>
          <w:lang w:val="en-US"/>
        </w:rPr>
      </w:pPr>
      <w:r>
        <w:rPr>
          <w:lang w:val="es-ES_tradnl"/>
        </w:rPr>
        <w:t xml:space="preserve">La mayoría de los clientes reciben servicio eléctrico en paquete de SDG&amp;E, lo que significa que reciben servicios de generación eléctrica y de compañía de distribución de servicios públicos (UDC). Un resumen del impacto en las tarifas para estos clientes se proporciona en la tabla que aparece en la parte inferior. Si la CPUC aprueba la petición de SDG&amp;E, un cliente residencial con servicios en paquete que viva en la zona climática del interior y consuma 400 kilovatios-hora al mes podría ver una </w:t>
      </w:r>
      <w:r>
        <w:rPr>
          <w:b/>
          <w:bCs/>
          <w:lang w:val="es-ES_tradnl"/>
        </w:rPr>
        <w:t>disminución</w:t>
      </w:r>
      <w:r>
        <w:rPr>
          <w:lang w:val="es-ES_tradnl"/>
        </w:rPr>
        <w:t xml:space="preserve"> en la factura mensual de invierno de $0.94, o 0.8%, de $112.36 a $111.42. Un cliente residencial típico con servicios en paquete que viva en la </w:t>
      </w:r>
      <w:r w:rsidR="00F00DBE" w:rsidRPr="00F00DBE">
        <w:rPr>
          <w:lang w:val="es-ES_tradnl"/>
        </w:rPr>
        <w:t xml:space="preserve">zona climática del interior </w:t>
      </w:r>
      <w:r>
        <w:rPr>
          <w:lang w:val="es-ES_tradnl"/>
        </w:rPr>
        <w:t xml:space="preserve">y consuma 400 kilovatios-hora por mes podría ver una </w:t>
      </w:r>
      <w:r>
        <w:rPr>
          <w:b/>
          <w:bCs/>
          <w:lang w:val="es-ES_tradnl"/>
        </w:rPr>
        <w:t>disminución</w:t>
      </w:r>
      <w:r>
        <w:rPr>
          <w:lang w:val="es-ES_tradnl"/>
        </w:rPr>
        <w:t xml:space="preserve"> en la factura mensual de verano de $0.95, o 0.9%, de $111.71 a $110.76. Las facturas de los clientes individuales pueden variar dependiendo del consumo de energía.  </w:t>
      </w:r>
    </w:p>
    <w:tbl>
      <w:tblPr>
        <w:tblW w:w="11110" w:type="dxa"/>
        <w:jc w:val="center"/>
        <w:tblLook w:val="0000" w:firstRow="0" w:lastRow="0" w:firstColumn="0" w:lastColumn="0" w:noHBand="0" w:noVBand="0"/>
      </w:tblPr>
      <w:tblGrid>
        <w:gridCol w:w="108"/>
        <w:gridCol w:w="2610"/>
        <w:gridCol w:w="270"/>
        <w:gridCol w:w="1890"/>
        <w:gridCol w:w="270"/>
        <w:gridCol w:w="2070"/>
        <w:gridCol w:w="270"/>
        <w:gridCol w:w="1510"/>
        <w:gridCol w:w="270"/>
        <w:gridCol w:w="1332"/>
        <w:gridCol w:w="670"/>
      </w:tblGrid>
      <w:tr w:rsidR="00930D40" w14:paraId="205F8619" w14:textId="77777777" w:rsidTr="00EE5A50">
        <w:trPr>
          <w:gridAfter w:val="1"/>
          <w:wAfter w:w="670" w:type="dxa"/>
          <w:trHeight w:val="255"/>
          <w:jc w:val="center"/>
        </w:trPr>
        <w:tc>
          <w:tcPr>
            <w:tcW w:w="10440" w:type="dxa"/>
            <w:gridSpan w:val="10"/>
            <w:tcBorders>
              <w:top w:val="nil"/>
              <w:left w:val="nil"/>
              <w:bottom w:val="nil"/>
              <w:right w:val="nil"/>
            </w:tcBorders>
            <w:shd w:val="clear" w:color="auto" w:fill="auto"/>
            <w:noWrap/>
          </w:tcPr>
          <w:p w14:paraId="4B83F51F" w14:textId="787ECEF6" w:rsidR="00222A3E" w:rsidRPr="009B4D09" w:rsidRDefault="002E78C7" w:rsidP="00157671">
            <w:pPr>
              <w:jc w:val="center"/>
              <w:rPr>
                <w:b/>
                <w:bCs/>
                <w:sz w:val="22"/>
                <w:szCs w:val="22"/>
              </w:rPr>
            </w:pPr>
            <w:r>
              <w:rPr>
                <w:b/>
                <w:bCs/>
                <w:sz w:val="22"/>
                <w:szCs w:val="22"/>
                <w:lang w:val="es-ES_tradnl"/>
              </w:rPr>
              <w:t xml:space="preserve">CAMBIOS ILUSTRATIVOS PROPUESTOS EN LA TARIFA ELÉCTRICA </w:t>
            </w:r>
            <w:r w:rsidR="00F00DBE">
              <w:rPr>
                <w:b/>
                <w:bCs/>
                <w:sz w:val="22"/>
                <w:szCs w:val="22"/>
                <w:lang w:val="es-ES_tradnl"/>
              </w:rPr>
              <w:br/>
            </w:r>
            <w:r>
              <w:rPr>
                <w:b/>
                <w:bCs/>
                <w:sz w:val="22"/>
                <w:szCs w:val="22"/>
                <w:lang w:val="es-ES_tradnl"/>
              </w:rPr>
              <w:t>DE SAN DIEGO GAS &amp; ELECTRIC COMPANY</w:t>
            </w:r>
          </w:p>
        </w:tc>
      </w:tr>
      <w:tr w:rsidR="00930D40" w14:paraId="4DCA6A8A" w14:textId="77777777" w:rsidTr="00EE5A50">
        <w:trPr>
          <w:gridAfter w:val="1"/>
          <w:wAfter w:w="670" w:type="dxa"/>
          <w:trHeight w:val="255"/>
          <w:jc w:val="center"/>
        </w:trPr>
        <w:tc>
          <w:tcPr>
            <w:tcW w:w="10440" w:type="dxa"/>
            <w:gridSpan w:val="10"/>
            <w:tcBorders>
              <w:top w:val="nil"/>
              <w:left w:val="nil"/>
              <w:bottom w:val="nil"/>
              <w:right w:val="nil"/>
            </w:tcBorders>
            <w:shd w:val="clear" w:color="auto" w:fill="auto"/>
            <w:noWrap/>
          </w:tcPr>
          <w:p w14:paraId="0BA82CC6" w14:textId="77777777" w:rsidR="00222A3E" w:rsidRPr="009B4D09" w:rsidRDefault="002E78C7" w:rsidP="00583211">
            <w:pPr>
              <w:jc w:val="center"/>
              <w:rPr>
                <w:b/>
                <w:sz w:val="22"/>
                <w:szCs w:val="22"/>
              </w:rPr>
            </w:pPr>
            <w:r>
              <w:rPr>
                <w:b/>
                <w:bCs/>
                <w:sz w:val="22"/>
                <w:szCs w:val="22"/>
                <w:lang w:val="es-ES_tradnl"/>
              </w:rPr>
              <w:t>(LAS TARIFAS TOTALES INCLUYEN UDC</w:t>
            </w:r>
            <w:r>
              <w:rPr>
                <w:b/>
                <w:bCs/>
                <w:sz w:val="22"/>
                <w:szCs w:val="22"/>
                <w:vertAlign w:val="superscript"/>
                <w:lang w:val="es-ES_tradnl"/>
              </w:rPr>
              <w:t>1</w:t>
            </w:r>
            <w:r>
              <w:rPr>
                <w:b/>
                <w:bCs/>
                <w:sz w:val="22"/>
                <w:szCs w:val="22"/>
                <w:lang w:val="es-ES_tradnl"/>
              </w:rPr>
              <w:t xml:space="preserve"> Y COMO PRODUCTO BÁSICO</w:t>
            </w:r>
            <w:r>
              <w:rPr>
                <w:b/>
                <w:bCs/>
                <w:sz w:val="22"/>
                <w:szCs w:val="22"/>
                <w:vertAlign w:val="superscript"/>
                <w:lang w:val="es-ES_tradnl"/>
              </w:rPr>
              <w:t>2</w:t>
            </w:r>
            <w:r>
              <w:rPr>
                <w:b/>
                <w:bCs/>
                <w:sz w:val="22"/>
                <w:szCs w:val="22"/>
                <w:lang w:val="es-ES_tradnl"/>
              </w:rPr>
              <w:t>)</w:t>
            </w:r>
          </w:p>
        </w:tc>
      </w:tr>
      <w:tr w:rsidR="00930D40" w14:paraId="0D59A773" w14:textId="77777777" w:rsidTr="00EE5A50">
        <w:trPr>
          <w:gridAfter w:val="1"/>
          <w:wAfter w:w="670" w:type="dxa"/>
          <w:trHeight w:val="297"/>
          <w:jc w:val="center"/>
        </w:trPr>
        <w:tc>
          <w:tcPr>
            <w:tcW w:w="10440" w:type="dxa"/>
            <w:gridSpan w:val="10"/>
            <w:tcBorders>
              <w:top w:val="nil"/>
              <w:left w:val="nil"/>
              <w:bottom w:val="nil"/>
              <w:right w:val="nil"/>
            </w:tcBorders>
            <w:shd w:val="clear" w:color="auto" w:fill="auto"/>
            <w:noWrap/>
            <w:vAlign w:val="bottom"/>
          </w:tcPr>
          <w:p w14:paraId="69661C54" w14:textId="77777777" w:rsidR="00222A3E" w:rsidRPr="00F87139" w:rsidRDefault="00222A3E" w:rsidP="00583211">
            <w:pPr>
              <w:rPr>
                <w:b/>
                <w:bCs/>
                <w:sz w:val="20"/>
              </w:rPr>
            </w:pPr>
          </w:p>
        </w:tc>
      </w:tr>
      <w:tr w:rsidR="00930D40" w14:paraId="02B6E37B" w14:textId="77777777" w:rsidTr="00EE5A50">
        <w:trPr>
          <w:gridBefore w:val="1"/>
          <w:wBefore w:w="108" w:type="dxa"/>
          <w:trHeight w:val="255"/>
          <w:jc w:val="center"/>
        </w:trPr>
        <w:tc>
          <w:tcPr>
            <w:tcW w:w="2610" w:type="dxa"/>
            <w:vMerge w:val="restart"/>
            <w:tcBorders>
              <w:top w:val="nil"/>
              <w:left w:val="nil"/>
              <w:right w:val="nil"/>
            </w:tcBorders>
            <w:shd w:val="clear" w:color="auto" w:fill="auto"/>
            <w:noWrap/>
            <w:vAlign w:val="center"/>
          </w:tcPr>
          <w:p w14:paraId="43798D97" w14:textId="77777777" w:rsidR="00EE5A50" w:rsidRPr="00EE5A50" w:rsidRDefault="00EE5A50" w:rsidP="00EE5A50">
            <w:pPr>
              <w:rPr>
                <w:b/>
                <w:bCs/>
              </w:rPr>
            </w:pPr>
          </w:p>
          <w:p w14:paraId="2939B725" w14:textId="77777777" w:rsidR="00EE5A50" w:rsidRDefault="002E78C7" w:rsidP="00EE5A50">
            <w:pPr>
              <w:rPr>
                <w:b/>
                <w:bCs/>
              </w:rPr>
            </w:pPr>
            <w:r>
              <w:rPr>
                <w:b/>
                <w:bCs/>
                <w:lang w:val="es-ES_tradnl"/>
              </w:rPr>
              <w:t>Clase de cliente</w:t>
            </w:r>
          </w:p>
          <w:p w14:paraId="2633BF64" w14:textId="77777777" w:rsidR="001266B2" w:rsidRPr="00EE5A50" w:rsidRDefault="002E78C7" w:rsidP="00EE5A50">
            <w:pPr>
              <w:rPr>
                <w:b/>
                <w:bCs/>
                <w:sz w:val="22"/>
                <w:szCs w:val="22"/>
              </w:rPr>
            </w:pPr>
            <w:r>
              <w:rPr>
                <w:b/>
                <w:bCs/>
                <w:lang w:val="es-ES_tradnl"/>
              </w:rPr>
              <w:t>(Servicio en paquete)</w:t>
            </w:r>
          </w:p>
        </w:tc>
        <w:tc>
          <w:tcPr>
            <w:tcW w:w="270" w:type="dxa"/>
            <w:tcBorders>
              <w:top w:val="nil"/>
              <w:left w:val="nil"/>
              <w:bottom w:val="nil"/>
              <w:right w:val="nil"/>
            </w:tcBorders>
            <w:shd w:val="clear" w:color="auto" w:fill="auto"/>
            <w:noWrap/>
          </w:tcPr>
          <w:p w14:paraId="2A42149B" w14:textId="77777777" w:rsidR="00EE5A50" w:rsidRPr="00EE5A50" w:rsidRDefault="00EE5A50" w:rsidP="00EE5A50">
            <w:pPr>
              <w:rPr>
                <w:sz w:val="22"/>
                <w:szCs w:val="22"/>
              </w:rPr>
            </w:pPr>
          </w:p>
        </w:tc>
        <w:tc>
          <w:tcPr>
            <w:tcW w:w="1890" w:type="dxa"/>
            <w:vMerge w:val="restart"/>
            <w:tcBorders>
              <w:top w:val="nil"/>
              <w:left w:val="nil"/>
              <w:right w:val="nil"/>
            </w:tcBorders>
            <w:shd w:val="clear" w:color="auto" w:fill="auto"/>
            <w:noWrap/>
            <w:vAlign w:val="center"/>
          </w:tcPr>
          <w:p w14:paraId="441D3767" w14:textId="22AFF5D5" w:rsidR="00EE5A50" w:rsidRPr="00EE5A50" w:rsidRDefault="002E78C7" w:rsidP="00677AE9">
            <w:pPr>
              <w:jc w:val="center"/>
              <w:rPr>
                <w:sz w:val="22"/>
                <w:szCs w:val="22"/>
              </w:rPr>
            </w:pPr>
            <w:r>
              <w:rPr>
                <w:b/>
                <w:bCs/>
                <w:lang w:val="es-ES_tradnl"/>
              </w:rPr>
              <w:t>Tarifas promedio por clase en vigor el 07/01/20</w:t>
            </w:r>
            <w:r>
              <w:rPr>
                <w:b/>
                <w:bCs/>
                <w:vertAlign w:val="superscript"/>
                <w:lang w:val="es-ES_tradnl"/>
              </w:rPr>
              <w:t>3</w:t>
            </w:r>
            <w:r>
              <w:rPr>
                <w:b/>
                <w:bCs/>
                <w:lang w:val="es-ES_tradnl"/>
              </w:rPr>
              <w:t xml:space="preserve"> (¢/kWh)</w:t>
            </w:r>
            <w:r>
              <w:rPr>
                <w:lang w:val="es-ES_tradnl"/>
              </w:rPr>
              <w:t xml:space="preserve"> </w:t>
            </w:r>
          </w:p>
        </w:tc>
        <w:tc>
          <w:tcPr>
            <w:tcW w:w="270" w:type="dxa"/>
            <w:tcBorders>
              <w:top w:val="nil"/>
              <w:left w:val="nil"/>
              <w:bottom w:val="nil"/>
              <w:right w:val="nil"/>
            </w:tcBorders>
            <w:shd w:val="clear" w:color="auto" w:fill="auto"/>
            <w:noWrap/>
            <w:vAlign w:val="center"/>
          </w:tcPr>
          <w:p w14:paraId="2FE353FE" w14:textId="77777777" w:rsidR="00EE5A50" w:rsidRPr="00EE5A50" w:rsidRDefault="00EE5A50" w:rsidP="00EE5A50">
            <w:pPr>
              <w:jc w:val="center"/>
              <w:rPr>
                <w:b/>
                <w:bCs/>
                <w:sz w:val="22"/>
                <w:szCs w:val="22"/>
              </w:rPr>
            </w:pPr>
          </w:p>
        </w:tc>
        <w:tc>
          <w:tcPr>
            <w:tcW w:w="2070" w:type="dxa"/>
            <w:vMerge w:val="restart"/>
            <w:tcBorders>
              <w:top w:val="nil"/>
              <w:left w:val="nil"/>
              <w:right w:val="nil"/>
            </w:tcBorders>
            <w:shd w:val="clear" w:color="auto" w:fill="auto"/>
            <w:noWrap/>
            <w:vAlign w:val="center"/>
          </w:tcPr>
          <w:p w14:paraId="3F1A0E7E" w14:textId="5376B189" w:rsidR="00EE5A50" w:rsidRPr="00EE5A50" w:rsidRDefault="002E78C7" w:rsidP="00677AE9">
            <w:pPr>
              <w:jc w:val="center"/>
              <w:rPr>
                <w:b/>
                <w:bCs/>
                <w:sz w:val="22"/>
                <w:szCs w:val="22"/>
              </w:rPr>
            </w:pPr>
            <w:r>
              <w:rPr>
                <w:b/>
                <w:bCs/>
                <w:lang w:val="es-ES_tradnl"/>
              </w:rPr>
              <w:t>Tarifas promedio por clase que reflejan una disminución de $36.1 millones</w:t>
            </w:r>
            <w:r>
              <w:rPr>
                <w:b/>
                <w:bCs/>
                <w:vertAlign w:val="superscript"/>
                <w:lang w:val="es-ES_tradnl"/>
              </w:rPr>
              <w:t>4</w:t>
            </w:r>
            <w:r>
              <w:rPr>
                <w:b/>
                <w:bCs/>
                <w:lang w:val="es-ES_tradnl"/>
              </w:rPr>
              <w:t xml:space="preserve"> (¢/kWh)</w:t>
            </w:r>
            <w:r>
              <w:rPr>
                <w:lang w:val="es-ES_tradnl"/>
              </w:rPr>
              <w:t xml:space="preserve"> </w:t>
            </w:r>
          </w:p>
        </w:tc>
        <w:tc>
          <w:tcPr>
            <w:tcW w:w="270" w:type="dxa"/>
            <w:tcBorders>
              <w:top w:val="nil"/>
              <w:left w:val="nil"/>
              <w:bottom w:val="nil"/>
              <w:right w:val="nil"/>
            </w:tcBorders>
            <w:shd w:val="clear" w:color="auto" w:fill="auto"/>
            <w:noWrap/>
            <w:vAlign w:val="center"/>
          </w:tcPr>
          <w:p w14:paraId="65AABBBB" w14:textId="77777777" w:rsidR="00EE5A50" w:rsidRPr="00EE5A50" w:rsidRDefault="00EE5A50" w:rsidP="00EE5A50">
            <w:pPr>
              <w:rPr>
                <w:sz w:val="22"/>
                <w:szCs w:val="22"/>
              </w:rPr>
            </w:pPr>
          </w:p>
        </w:tc>
        <w:tc>
          <w:tcPr>
            <w:tcW w:w="1350" w:type="dxa"/>
            <w:vMerge w:val="restart"/>
            <w:tcBorders>
              <w:top w:val="nil"/>
              <w:left w:val="nil"/>
              <w:right w:val="nil"/>
            </w:tcBorders>
            <w:shd w:val="clear" w:color="auto" w:fill="auto"/>
            <w:noWrap/>
            <w:vAlign w:val="center"/>
          </w:tcPr>
          <w:p w14:paraId="61F0EB78" w14:textId="0BA47894" w:rsidR="00EE5A50" w:rsidRPr="00EE5A50" w:rsidRDefault="00677AE9" w:rsidP="00EE5A50">
            <w:pPr>
              <w:jc w:val="center"/>
              <w:rPr>
                <w:b/>
                <w:bCs/>
                <w:sz w:val="22"/>
                <w:szCs w:val="22"/>
              </w:rPr>
            </w:pPr>
            <w:r>
              <w:rPr>
                <w:b/>
                <w:bCs/>
                <w:lang w:val="es-ES_tradnl"/>
              </w:rPr>
              <w:t>Disminución</w:t>
            </w:r>
            <w:r w:rsidR="002E78C7">
              <w:rPr>
                <w:b/>
                <w:bCs/>
                <w:lang w:val="es-ES_tradnl"/>
              </w:rPr>
              <w:t xml:space="preserve"> total en la tarifa (¢/kWh)</w:t>
            </w:r>
          </w:p>
        </w:tc>
        <w:tc>
          <w:tcPr>
            <w:tcW w:w="270" w:type="dxa"/>
            <w:tcBorders>
              <w:top w:val="nil"/>
              <w:left w:val="nil"/>
              <w:bottom w:val="nil"/>
              <w:right w:val="nil"/>
            </w:tcBorders>
            <w:shd w:val="clear" w:color="auto" w:fill="auto"/>
            <w:noWrap/>
            <w:vAlign w:val="center"/>
          </w:tcPr>
          <w:p w14:paraId="72864211" w14:textId="77777777" w:rsidR="00EE5A50" w:rsidRPr="00EE5A50" w:rsidRDefault="00EE5A50" w:rsidP="00EE5A50">
            <w:pPr>
              <w:rPr>
                <w:sz w:val="22"/>
                <w:szCs w:val="22"/>
              </w:rPr>
            </w:pPr>
          </w:p>
        </w:tc>
        <w:tc>
          <w:tcPr>
            <w:tcW w:w="2002" w:type="dxa"/>
            <w:gridSpan w:val="2"/>
            <w:vMerge w:val="restart"/>
            <w:tcBorders>
              <w:top w:val="nil"/>
              <w:left w:val="nil"/>
              <w:right w:val="nil"/>
            </w:tcBorders>
            <w:shd w:val="clear" w:color="auto" w:fill="auto"/>
            <w:noWrap/>
            <w:vAlign w:val="center"/>
          </w:tcPr>
          <w:p w14:paraId="05C9F321" w14:textId="644CB42F" w:rsidR="00EE5A50" w:rsidRPr="00EE5A50" w:rsidRDefault="00677AE9" w:rsidP="00EE5A50">
            <w:pPr>
              <w:jc w:val="center"/>
              <w:rPr>
                <w:b/>
                <w:bCs/>
              </w:rPr>
            </w:pPr>
            <w:r w:rsidRPr="00677AE9">
              <w:rPr>
                <w:b/>
                <w:bCs/>
                <w:lang w:val="es-ES_tradnl"/>
              </w:rPr>
              <w:t xml:space="preserve">Disminución </w:t>
            </w:r>
            <w:r w:rsidR="002E78C7">
              <w:rPr>
                <w:b/>
                <w:bCs/>
                <w:lang w:val="es-ES_tradnl"/>
              </w:rPr>
              <w:t>porcentual en la tarifa</w:t>
            </w:r>
          </w:p>
          <w:p w14:paraId="2F80FEAC" w14:textId="77777777" w:rsidR="00EE5A50" w:rsidRPr="00EE5A50" w:rsidRDefault="002E78C7" w:rsidP="00EE5A50">
            <w:pPr>
              <w:jc w:val="center"/>
              <w:rPr>
                <w:b/>
                <w:bCs/>
                <w:sz w:val="22"/>
                <w:szCs w:val="22"/>
              </w:rPr>
            </w:pPr>
            <w:r w:rsidRPr="00EE5A50">
              <w:rPr>
                <w:b/>
                <w:bCs/>
              </w:rPr>
              <w:t>(%)</w:t>
            </w:r>
          </w:p>
        </w:tc>
      </w:tr>
      <w:tr w:rsidR="00930D40" w14:paraId="5EBDB50A" w14:textId="77777777" w:rsidTr="00EE5A50">
        <w:trPr>
          <w:gridBefore w:val="1"/>
          <w:wBefore w:w="108" w:type="dxa"/>
          <w:trHeight w:val="255"/>
          <w:jc w:val="center"/>
        </w:trPr>
        <w:tc>
          <w:tcPr>
            <w:tcW w:w="2610" w:type="dxa"/>
            <w:vMerge/>
            <w:tcBorders>
              <w:left w:val="nil"/>
              <w:bottom w:val="single" w:sz="4" w:space="0" w:color="auto"/>
              <w:right w:val="nil"/>
            </w:tcBorders>
            <w:shd w:val="clear" w:color="auto" w:fill="auto"/>
            <w:noWrap/>
          </w:tcPr>
          <w:p w14:paraId="3D4194BD" w14:textId="77777777" w:rsidR="00EE5A50" w:rsidRPr="00EE5A50" w:rsidRDefault="00EE5A50" w:rsidP="00EE5A50">
            <w:pPr>
              <w:rPr>
                <w:b/>
                <w:bCs/>
                <w:sz w:val="22"/>
                <w:szCs w:val="22"/>
              </w:rPr>
            </w:pPr>
          </w:p>
        </w:tc>
        <w:tc>
          <w:tcPr>
            <w:tcW w:w="270" w:type="dxa"/>
            <w:tcBorders>
              <w:top w:val="nil"/>
              <w:left w:val="nil"/>
              <w:bottom w:val="nil"/>
              <w:right w:val="nil"/>
            </w:tcBorders>
            <w:shd w:val="clear" w:color="auto" w:fill="auto"/>
            <w:noWrap/>
          </w:tcPr>
          <w:p w14:paraId="17F3F334" w14:textId="77777777" w:rsidR="00EE5A50" w:rsidRPr="00EE5A50" w:rsidRDefault="00EE5A50" w:rsidP="00EE5A50">
            <w:pPr>
              <w:rPr>
                <w:sz w:val="22"/>
                <w:szCs w:val="22"/>
              </w:rPr>
            </w:pPr>
          </w:p>
        </w:tc>
        <w:tc>
          <w:tcPr>
            <w:tcW w:w="1890" w:type="dxa"/>
            <w:vMerge/>
            <w:tcBorders>
              <w:left w:val="nil"/>
              <w:bottom w:val="single" w:sz="4" w:space="0" w:color="auto"/>
              <w:right w:val="nil"/>
            </w:tcBorders>
            <w:shd w:val="clear" w:color="auto" w:fill="auto"/>
            <w:noWrap/>
          </w:tcPr>
          <w:p w14:paraId="04C5C286" w14:textId="77777777" w:rsidR="00EE5A50" w:rsidRPr="00EE5A50" w:rsidRDefault="00EE5A50" w:rsidP="00EE5A50">
            <w:pPr>
              <w:jc w:val="center"/>
              <w:rPr>
                <w:sz w:val="22"/>
                <w:szCs w:val="22"/>
              </w:rPr>
            </w:pPr>
          </w:p>
        </w:tc>
        <w:tc>
          <w:tcPr>
            <w:tcW w:w="270" w:type="dxa"/>
            <w:tcBorders>
              <w:top w:val="nil"/>
              <w:left w:val="nil"/>
              <w:bottom w:val="nil"/>
              <w:right w:val="nil"/>
            </w:tcBorders>
            <w:shd w:val="clear" w:color="auto" w:fill="auto"/>
            <w:noWrap/>
          </w:tcPr>
          <w:p w14:paraId="31C43DBC" w14:textId="77777777" w:rsidR="00EE5A50" w:rsidRPr="00EE5A50" w:rsidRDefault="00EE5A50" w:rsidP="00EE5A50">
            <w:pPr>
              <w:jc w:val="center"/>
              <w:rPr>
                <w:b/>
                <w:bCs/>
                <w:sz w:val="22"/>
                <w:szCs w:val="22"/>
              </w:rPr>
            </w:pPr>
          </w:p>
        </w:tc>
        <w:tc>
          <w:tcPr>
            <w:tcW w:w="2070" w:type="dxa"/>
            <w:vMerge/>
            <w:tcBorders>
              <w:left w:val="nil"/>
              <w:bottom w:val="single" w:sz="4" w:space="0" w:color="auto"/>
              <w:right w:val="nil"/>
            </w:tcBorders>
            <w:shd w:val="clear" w:color="auto" w:fill="auto"/>
            <w:noWrap/>
          </w:tcPr>
          <w:p w14:paraId="508131D5" w14:textId="77777777" w:rsidR="00EE5A50" w:rsidRPr="00EE5A50" w:rsidRDefault="00EE5A50" w:rsidP="00EE5A50">
            <w:pPr>
              <w:jc w:val="center"/>
              <w:rPr>
                <w:b/>
                <w:bCs/>
                <w:sz w:val="22"/>
                <w:szCs w:val="22"/>
              </w:rPr>
            </w:pPr>
          </w:p>
        </w:tc>
        <w:tc>
          <w:tcPr>
            <w:tcW w:w="270" w:type="dxa"/>
            <w:tcBorders>
              <w:top w:val="nil"/>
              <w:left w:val="nil"/>
              <w:bottom w:val="nil"/>
              <w:right w:val="nil"/>
            </w:tcBorders>
            <w:shd w:val="clear" w:color="auto" w:fill="auto"/>
            <w:noWrap/>
          </w:tcPr>
          <w:p w14:paraId="07619EBC" w14:textId="77777777" w:rsidR="00EE5A50" w:rsidRPr="00EE5A50" w:rsidRDefault="00EE5A50" w:rsidP="00EE5A50">
            <w:pPr>
              <w:rPr>
                <w:sz w:val="22"/>
                <w:szCs w:val="22"/>
              </w:rPr>
            </w:pPr>
          </w:p>
        </w:tc>
        <w:tc>
          <w:tcPr>
            <w:tcW w:w="1350" w:type="dxa"/>
            <w:vMerge/>
            <w:tcBorders>
              <w:left w:val="nil"/>
              <w:bottom w:val="single" w:sz="4" w:space="0" w:color="auto"/>
              <w:right w:val="nil"/>
            </w:tcBorders>
            <w:shd w:val="clear" w:color="auto" w:fill="auto"/>
            <w:noWrap/>
          </w:tcPr>
          <w:p w14:paraId="47134A6B" w14:textId="77777777" w:rsidR="00EE5A50" w:rsidRPr="00EE5A50" w:rsidRDefault="00EE5A50" w:rsidP="00EE5A50">
            <w:pPr>
              <w:jc w:val="center"/>
              <w:rPr>
                <w:b/>
                <w:bCs/>
                <w:sz w:val="22"/>
                <w:szCs w:val="22"/>
              </w:rPr>
            </w:pPr>
          </w:p>
        </w:tc>
        <w:tc>
          <w:tcPr>
            <w:tcW w:w="270" w:type="dxa"/>
            <w:tcBorders>
              <w:top w:val="nil"/>
              <w:left w:val="nil"/>
              <w:bottom w:val="nil"/>
              <w:right w:val="nil"/>
            </w:tcBorders>
            <w:shd w:val="clear" w:color="auto" w:fill="auto"/>
            <w:noWrap/>
          </w:tcPr>
          <w:p w14:paraId="4A1AC695" w14:textId="77777777" w:rsidR="00EE5A50" w:rsidRPr="00EE5A50" w:rsidRDefault="00EE5A50" w:rsidP="00EE5A50">
            <w:pPr>
              <w:rPr>
                <w:sz w:val="22"/>
                <w:szCs w:val="22"/>
              </w:rPr>
            </w:pPr>
          </w:p>
        </w:tc>
        <w:tc>
          <w:tcPr>
            <w:tcW w:w="2002" w:type="dxa"/>
            <w:gridSpan w:val="2"/>
            <w:vMerge/>
            <w:tcBorders>
              <w:left w:val="nil"/>
              <w:bottom w:val="single" w:sz="4" w:space="0" w:color="auto"/>
              <w:right w:val="nil"/>
            </w:tcBorders>
            <w:shd w:val="clear" w:color="auto" w:fill="auto"/>
            <w:noWrap/>
          </w:tcPr>
          <w:p w14:paraId="0041288F" w14:textId="77777777" w:rsidR="00EE5A50" w:rsidRPr="00EE5A50" w:rsidRDefault="00EE5A50" w:rsidP="00EE5A50">
            <w:pPr>
              <w:jc w:val="center"/>
              <w:rPr>
                <w:b/>
                <w:bCs/>
                <w:sz w:val="22"/>
                <w:szCs w:val="22"/>
              </w:rPr>
            </w:pPr>
          </w:p>
        </w:tc>
      </w:tr>
      <w:tr w:rsidR="00930D40" w14:paraId="45BB7CAE" w14:textId="77777777" w:rsidTr="00EE5A50">
        <w:trPr>
          <w:gridBefore w:val="1"/>
          <w:wBefore w:w="108" w:type="dxa"/>
          <w:trHeight w:val="255"/>
          <w:jc w:val="center"/>
        </w:trPr>
        <w:tc>
          <w:tcPr>
            <w:tcW w:w="2610" w:type="dxa"/>
            <w:tcBorders>
              <w:top w:val="nil"/>
              <w:left w:val="nil"/>
              <w:bottom w:val="nil"/>
              <w:right w:val="nil"/>
            </w:tcBorders>
            <w:shd w:val="clear" w:color="auto" w:fill="auto"/>
            <w:noWrap/>
          </w:tcPr>
          <w:p w14:paraId="2ED7183A" w14:textId="77777777" w:rsidR="00EE5A50" w:rsidRPr="00EE5A50" w:rsidRDefault="002E78C7" w:rsidP="00EE5A50">
            <w:pPr>
              <w:rPr>
                <w:b/>
                <w:bCs/>
                <w:sz w:val="22"/>
                <w:szCs w:val="22"/>
              </w:rPr>
            </w:pPr>
            <w:r>
              <w:rPr>
                <w:b/>
                <w:bCs/>
                <w:sz w:val="22"/>
                <w:szCs w:val="22"/>
                <w:lang w:val="es-ES_tradnl"/>
              </w:rPr>
              <w:t>Residencial</w:t>
            </w:r>
          </w:p>
        </w:tc>
        <w:tc>
          <w:tcPr>
            <w:tcW w:w="270" w:type="dxa"/>
            <w:tcBorders>
              <w:top w:val="nil"/>
              <w:left w:val="nil"/>
              <w:bottom w:val="nil"/>
              <w:right w:val="nil"/>
            </w:tcBorders>
            <w:shd w:val="clear" w:color="auto" w:fill="auto"/>
            <w:noWrap/>
          </w:tcPr>
          <w:p w14:paraId="0CC937E6" w14:textId="77777777" w:rsidR="00EE5A50" w:rsidRPr="00EE5A50" w:rsidRDefault="00EE5A50" w:rsidP="00EE5A50">
            <w:pPr>
              <w:rPr>
                <w:sz w:val="22"/>
                <w:szCs w:val="22"/>
              </w:rPr>
            </w:pPr>
          </w:p>
        </w:tc>
        <w:tc>
          <w:tcPr>
            <w:tcW w:w="1890" w:type="dxa"/>
            <w:tcBorders>
              <w:top w:val="nil"/>
              <w:left w:val="nil"/>
              <w:bottom w:val="nil"/>
              <w:right w:val="nil"/>
            </w:tcBorders>
            <w:shd w:val="clear" w:color="auto" w:fill="auto"/>
            <w:noWrap/>
            <w:vAlign w:val="bottom"/>
          </w:tcPr>
          <w:p w14:paraId="1E722954" w14:textId="77777777" w:rsidR="00EE5A50" w:rsidRPr="00EE5A50" w:rsidRDefault="002E78C7" w:rsidP="00EE5A50">
            <w:pPr>
              <w:jc w:val="center"/>
              <w:rPr>
                <w:sz w:val="22"/>
                <w:szCs w:val="22"/>
              </w:rPr>
            </w:pPr>
            <w:r>
              <w:rPr>
                <w:sz w:val="22"/>
                <w:szCs w:val="22"/>
                <w:lang w:val="es-ES_tradnl"/>
              </w:rPr>
              <w:t>27.130</w:t>
            </w:r>
          </w:p>
        </w:tc>
        <w:tc>
          <w:tcPr>
            <w:tcW w:w="270" w:type="dxa"/>
            <w:tcBorders>
              <w:top w:val="nil"/>
              <w:left w:val="nil"/>
              <w:bottom w:val="nil"/>
              <w:right w:val="nil"/>
            </w:tcBorders>
            <w:shd w:val="clear" w:color="auto" w:fill="auto"/>
            <w:noWrap/>
          </w:tcPr>
          <w:p w14:paraId="1CA84CE4" w14:textId="77777777" w:rsidR="00EE5A50" w:rsidRPr="00EE5A50" w:rsidRDefault="00EE5A50" w:rsidP="00EE5A50">
            <w:pPr>
              <w:rPr>
                <w:sz w:val="22"/>
                <w:szCs w:val="22"/>
              </w:rPr>
            </w:pPr>
          </w:p>
        </w:tc>
        <w:tc>
          <w:tcPr>
            <w:tcW w:w="2070" w:type="dxa"/>
            <w:tcBorders>
              <w:top w:val="nil"/>
              <w:left w:val="nil"/>
              <w:bottom w:val="nil"/>
              <w:right w:val="nil"/>
            </w:tcBorders>
            <w:shd w:val="clear" w:color="auto" w:fill="auto"/>
            <w:noWrap/>
            <w:vAlign w:val="bottom"/>
          </w:tcPr>
          <w:p w14:paraId="7F9A8457" w14:textId="6D41D407" w:rsidR="00EE5A50" w:rsidRPr="00EE5A50" w:rsidRDefault="002E78C7" w:rsidP="00EE5A50">
            <w:pPr>
              <w:jc w:val="center"/>
              <w:rPr>
                <w:sz w:val="22"/>
                <w:szCs w:val="22"/>
              </w:rPr>
            </w:pPr>
            <w:r>
              <w:rPr>
                <w:sz w:val="22"/>
                <w:szCs w:val="22"/>
                <w:lang w:val="es-ES_tradnl"/>
              </w:rPr>
              <w:t>26.875</w:t>
            </w:r>
          </w:p>
        </w:tc>
        <w:tc>
          <w:tcPr>
            <w:tcW w:w="270" w:type="dxa"/>
            <w:tcBorders>
              <w:top w:val="nil"/>
              <w:left w:val="nil"/>
              <w:bottom w:val="nil"/>
              <w:right w:val="nil"/>
            </w:tcBorders>
            <w:shd w:val="clear" w:color="auto" w:fill="auto"/>
            <w:noWrap/>
          </w:tcPr>
          <w:p w14:paraId="65D402AD" w14:textId="77777777" w:rsidR="00EE5A50" w:rsidRPr="00EE5A50" w:rsidRDefault="00EE5A50" w:rsidP="00EE5A50">
            <w:pPr>
              <w:rPr>
                <w:sz w:val="22"/>
                <w:szCs w:val="22"/>
              </w:rPr>
            </w:pPr>
          </w:p>
        </w:tc>
        <w:tc>
          <w:tcPr>
            <w:tcW w:w="1350" w:type="dxa"/>
            <w:tcBorders>
              <w:top w:val="nil"/>
              <w:left w:val="nil"/>
              <w:bottom w:val="nil"/>
              <w:right w:val="nil"/>
            </w:tcBorders>
            <w:shd w:val="clear" w:color="auto" w:fill="auto"/>
            <w:noWrap/>
            <w:vAlign w:val="bottom"/>
          </w:tcPr>
          <w:p w14:paraId="11779778" w14:textId="11700489" w:rsidR="00EE5A50" w:rsidRPr="00EE5A50" w:rsidRDefault="002E78C7" w:rsidP="00EE5A50">
            <w:pPr>
              <w:jc w:val="center"/>
              <w:rPr>
                <w:sz w:val="22"/>
                <w:szCs w:val="22"/>
              </w:rPr>
            </w:pPr>
            <w:r>
              <w:rPr>
                <w:sz w:val="22"/>
                <w:szCs w:val="22"/>
                <w:lang w:val="es-ES_tradnl"/>
              </w:rPr>
              <w:t>0.255</w:t>
            </w:r>
          </w:p>
        </w:tc>
        <w:tc>
          <w:tcPr>
            <w:tcW w:w="270" w:type="dxa"/>
            <w:tcBorders>
              <w:top w:val="nil"/>
              <w:left w:val="nil"/>
              <w:bottom w:val="nil"/>
              <w:right w:val="nil"/>
            </w:tcBorders>
            <w:shd w:val="clear" w:color="auto" w:fill="auto"/>
            <w:noWrap/>
          </w:tcPr>
          <w:p w14:paraId="33FA8A4C" w14:textId="77777777" w:rsidR="00EE5A50" w:rsidRPr="00EE5A50" w:rsidRDefault="00EE5A50" w:rsidP="00EE5A50">
            <w:pPr>
              <w:jc w:val="center"/>
              <w:rPr>
                <w:sz w:val="22"/>
                <w:szCs w:val="22"/>
              </w:rPr>
            </w:pPr>
          </w:p>
        </w:tc>
        <w:tc>
          <w:tcPr>
            <w:tcW w:w="2002" w:type="dxa"/>
            <w:gridSpan w:val="2"/>
            <w:tcBorders>
              <w:top w:val="nil"/>
              <w:left w:val="nil"/>
              <w:bottom w:val="nil"/>
              <w:right w:val="nil"/>
            </w:tcBorders>
            <w:shd w:val="clear" w:color="auto" w:fill="auto"/>
            <w:noWrap/>
            <w:vAlign w:val="bottom"/>
          </w:tcPr>
          <w:p w14:paraId="2D9845D3" w14:textId="77777777" w:rsidR="00EE5A50" w:rsidRPr="00EE5A50" w:rsidRDefault="002E78C7" w:rsidP="00EE5A50">
            <w:pPr>
              <w:jc w:val="center"/>
              <w:rPr>
                <w:sz w:val="22"/>
                <w:szCs w:val="22"/>
              </w:rPr>
            </w:pPr>
            <w:r>
              <w:rPr>
                <w:sz w:val="22"/>
                <w:szCs w:val="22"/>
                <w:lang w:val="es-ES_tradnl"/>
              </w:rPr>
              <w:t>0.94%</w:t>
            </w:r>
          </w:p>
        </w:tc>
      </w:tr>
      <w:tr w:rsidR="00930D40" w14:paraId="7AA9959E" w14:textId="77777777" w:rsidTr="00EE5A50">
        <w:trPr>
          <w:gridBefore w:val="1"/>
          <w:wBefore w:w="108" w:type="dxa"/>
          <w:trHeight w:val="255"/>
          <w:jc w:val="center"/>
        </w:trPr>
        <w:tc>
          <w:tcPr>
            <w:tcW w:w="2610" w:type="dxa"/>
            <w:tcBorders>
              <w:top w:val="nil"/>
              <w:left w:val="nil"/>
              <w:bottom w:val="nil"/>
              <w:right w:val="nil"/>
            </w:tcBorders>
            <w:shd w:val="clear" w:color="auto" w:fill="auto"/>
            <w:noWrap/>
          </w:tcPr>
          <w:p w14:paraId="44AAEE8F" w14:textId="77777777" w:rsidR="00EE5A50" w:rsidRPr="00EE5A50" w:rsidRDefault="002E78C7" w:rsidP="00EE5A50">
            <w:pPr>
              <w:rPr>
                <w:b/>
                <w:bCs/>
                <w:sz w:val="22"/>
                <w:szCs w:val="22"/>
              </w:rPr>
            </w:pPr>
            <w:r>
              <w:rPr>
                <w:b/>
                <w:bCs/>
                <w:sz w:val="22"/>
                <w:szCs w:val="22"/>
                <w:lang w:val="es-ES_tradnl"/>
              </w:rPr>
              <w:t>Comercial pequeño</w:t>
            </w:r>
          </w:p>
        </w:tc>
        <w:tc>
          <w:tcPr>
            <w:tcW w:w="270" w:type="dxa"/>
            <w:tcBorders>
              <w:top w:val="nil"/>
              <w:left w:val="nil"/>
              <w:bottom w:val="nil"/>
              <w:right w:val="nil"/>
            </w:tcBorders>
            <w:shd w:val="clear" w:color="auto" w:fill="auto"/>
            <w:noWrap/>
          </w:tcPr>
          <w:p w14:paraId="6C8ECB7F" w14:textId="77777777" w:rsidR="00EE5A50" w:rsidRPr="00EE5A50" w:rsidRDefault="00EE5A50" w:rsidP="00EE5A50">
            <w:pPr>
              <w:rPr>
                <w:sz w:val="22"/>
                <w:szCs w:val="22"/>
              </w:rPr>
            </w:pPr>
          </w:p>
        </w:tc>
        <w:tc>
          <w:tcPr>
            <w:tcW w:w="1890" w:type="dxa"/>
            <w:tcBorders>
              <w:top w:val="nil"/>
              <w:left w:val="nil"/>
              <w:bottom w:val="nil"/>
              <w:right w:val="nil"/>
            </w:tcBorders>
            <w:shd w:val="clear" w:color="auto" w:fill="auto"/>
            <w:noWrap/>
            <w:vAlign w:val="bottom"/>
          </w:tcPr>
          <w:p w14:paraId="3D21C863" w14:textId="77777777" w:rsidR="00EE5A50" w:rsidRPr="00EE5A50" w:rsidRDefault="002E78C7" w:rsidP="00EE5A50">
            <w:pPr>
              <w:jc w:val="center"/>
              <w:rPr>
                <w:sz w:val="22"/>
                <w:szCs w:val="22"/>
              </w:rPr>
            </w:pPr>
            <w:r>
              <w:rPr>
                <w:sz w:val="22"/>
                <w:szCs w:val="22"/>
                <w:lang w:val="es-ES_tradnl"/>
              </w:rPr>
              <w:t>25.084</w:t>
            </w:r>
          </w:p>
        </w:tc>
        <w:tc>
          <w:tcPr>
            <w:tcW w:w="270" w:type="dxa"/>
            <w:tcBorders>
              <w:top w:val="nil"/>
              <w:left w:val="nil"/>
              <w:bottom w:val="nil"/>
              <w:right w:val="nil"/>
            </w:tcBorders>
            <w:shd w:val="clear" w:color="auto" w:fill="auto"/>
            <w:noWrap/>
          </w:tcPr>
          <w:p w14:paraId="5411648A" w14:textId="77777777" w:rsidR="00EE5A50" w:rsidRPr="00EE5A50" w:rsidRDefault="00EE5A50" w:rsidP="00EE5A50">
            <w:pPr>
              <w:rPr>
                <w:sz w:val="22"/>
                <w:szCs w:val="22"/>
              </w:rPr>
            </w:pPr>
          </w:p>
        </w:tc>
        <w:tc>
          <w:tcPr>
            <w:tcW w:w="2070" w:type="dxa"/>
            <w:tcBorders>
              <w:top w:val="nil"/>
              <w:left w:val="nil"/>
              <w:bottom w:val="nil"/>
              <w:right w:val="nil"/>
            </w:tcBorders>
            <w:shd w:val="clear" w:color="auto" w:fill="auto"/>
            <w:noWrap/>
            <w:vAlign w:val="bottom"/>
          </w:tcPr>
          <w:p w14:paraId="3A4AF586" w14:textId="116AB624" w:rsidR="00EE5A50" w:rsidRPr="00EE5A50" w:rsidRDefault="002E78C7" w:rsidP="00EE5A50">
            <w:pPr>
              <w:jc w:val="center"/>
              <w:rPr>
                <w:sz w:val="22"/>
                <w:szCs w:val="22"/>
              </w:rPr>
            </w:pPr>
            <w:r>
              <w:rPr>
                <w:sz w:val="22"/>
                <w:szCs w:val="22"/>
                <w:lang w:val="es-ES_tradnl"/>
              </w:rPr>
              <w:t>24.868</w:t>
            </w:r>
          </w:p>
        </w:tc>
        <w:tc>
          <w:tcPr>
            <w:tcW w:w="270" w:type="dxa"/>
            <w:tcBorders>
              <w:top w:val="nil"/>
              <w:left w:val="nil"/>
              <w:bottom w:val="nil"/>
              <w:right w:val="nil"/>
            </w:tcBorders>
            <w:shd w:val="clear" w:color="auto" w:fill="auto"/>
            <w:noWrap/>
          </w:tcPr>
          <w:p w14:paraId="68B9E507" w14:textId="77777777" w:rsidR="00EE5A50" w:rsidRPr="00EE5A50" w:rsidRDefault="00EE5A50" w:rsidP="00EE5A50">
            <w:pPr>
              <w:rPr>
                <w:sz w:val="22"/>
                <w:szCs w:val="22"/>
              </w:rPr>
            </w:pPr>
          </w:p>
        </w:tc>
        <w:tc>
          <w:tcPr>
            <w:tcW w:w="1350" w:type="dxa"/>
            <w:tcBorders>
              <w:top w:val="nil"/>
              <w:left w:val="nil"/>
              <w:bottom w:val="nil"/>
              <w:right w:val="nil"/>
            </w:tcBorders>
            <w:shd w:val="clear" w:color="auto" w:fill="auto"/>
            <w:noWrap/>
            <w:vAlign w:val="bottom"/>
          </w:tcPr>
          <w:p w14:paraId="3E942518" w14:textId="45DA49A9" w:rsidR="00EE5A50" w:rsidRPr="00EE5A50" w:rsidRDefault="002E78C7" w:rsidP="00EE5A50">
            <w:pPr>
              <w:jc w:val="center"/>
              <w:rPr>
                <w:sz w:val="22"/>
                <w:szCs w:val="22"/>
              </w:rPr>
            </w:pPr>
            <w:r>
              <w:rPr>
                <w:sz w:val="22"/>
                <w:szCs w:val="22"/>
                <w:lang w:val="es-ES_tradnl"/>
              </w:rPr>
              <w:t>0.216</w:t>
            </w:r>
          </w:p>
        </w:tc>
        <w:tc>
          <w:tcPr>
            <w:tcW w:w="270" w:type="dxa"/>
            <w:tcBorders>
              <w:top w:val="nil"/>
              <w:left w:val="nil"/>
              <w:bottom w:val="nil"/>
              <w:right w:val="nil"/>
            </w:tcBorders>
            <w:shd w:val="clear" w:color="auto" w:fill="auto"/>
            <w:noWrap/>
          </w:tcPr>
          <w:p w14:paraId="545FE49B" w14:textId="77777777" w:rsidR="00EE5A50" w:rsidRPr="00EE5A50" w:rsidRDefault="00EE5A50" w:rsidP="00EE5A50">
            <w:pPr>
              <w:rPr>
                <w:sz w:val="22"/>
                <w:szCs w:val="22"/>
              </w:rPr>
            </w:pPr>
          </w:p>
        </w:tc>
        <w:tc>
          <w:tcPr>
            <w:tcW w:w="2002" w:type="dxa"/>
            <w:gridSpan w:val="2"/>
            <w:tcBorders>
              <w:top w:val="nil"/>
              <w:left w:val="nil"/>
              <w:bottom w:val="nil"/>
              <w:right w:val="nil"/>
            </w:tcBorders>
            <w:shd w:val="clear" w:color="auto" w:fill="auto"/>
            <w:noWrap/>
            <w:vAlign w:val="bottom"/>
          </w:tcPr>
          <w:p w14:paraId="7DD1F4CF" w14:textId="6248B647" w:rsidR="00EE5A50" w:rsidRPr="00EE5A50" w:rsidRDefault="002E78C7" w:rsidP="00EE5A50">
            <w:pPr>
              <w:jc w:val="center"/>
              <w:rPr>
                <w:sz w:val="22"/>
                <w:szCs w:val="22"/>
              </w:rPr>
            </w:pPr>
            <w:r>
              <w:rPr>
                <w:sz w:val="22"/>
                <w:szCs w:val="22"/>
                <w:lang w:val="es-ES_tradnl"/>
              </w:rPr>
              <w:t>0.86%</w:t>
            </w:r>
          </w:p>
        </w:tc>
      </w:tr>
      <w:tr w:rsidR="00930D40" w14:paraId="1A004785" w14:textId="77777777" w:rsidTr="00EE5A50">
        <w:trPr>
          <w:gridBefore w:val="1"/>
          <w:wBefore w:w="108" w:type="dxa"/>
          <w:trHeight w:val="255"/>
          <w:jc w:val="center"/>
        </w:trPr>
        <w:tc>
          <w:tcPr>
            <w:tcW w:w="2610" w:type="dxa"/>
            <w:tcBorders>
              <w:top w:val="nil"/>
              <w:left w:val="nil"/>
              <w:bottom w:val="nil"/>
              <w:right w:val="nil"/>
            </w:tcBorders>
            <w:shd w:val="clear" w:color="auto" w:fill="auto"/>
            <w:noWrap/>
          </w:tcPr>
          <w:p w14:paraId="56DDC84E" w14:textId="77777777" w:rsidR="00EE5A50" w:rsidRPr="00EE5A50" w:rsidRDefault="002E78C7" w:rsidP="00EE5A50">
            <w:pPr>
              <w:rPr>
                <w:b/>
                <w:bCs/>
                <w:sz w:val="22"/>
                <w:szCs w:val="22"/>
              </w:rPr>
            </w:pPr>
            <w:r>
              <w:rPr>
                <w:b/>
                <w:bCs/>
                <w:sz w:val="22"/>
                <w:szCs w:val="22"/>
                <w:lang w:val="es-ES_tradnl"/>
              </w:rPr>
              <w:t>CeI mediano y grande</w:t>
            </w:r>
            <w:r>
              <w:rPr>
                <w:b/>
                <w:bCs/>
                <w:sz w:val="22"/>
                <w:szCs w:val="22"/>
                <w:vertAlign w:val="superscript"/>
                <w:lang w:val="es-ES_tradnl"/>
              </w:rPr>
              <w:t>5</w:t>
            </w:r>
            <w:r>
              <w:rPr>
                <w:sz w:val="22"/>
                <w:szCs w:val="22"/>
                <w:lang w:val="es-ES_tradnl"/>
              </w:rPr>
              <w:t xml:space="preserve"> </w:t>
            </w:r>
          </w:p>
        </w:tc>
        <w:tc>
          <w:tcPr>
            <w:tcW w:w="270" w:type="dxa"/>
            <w:tcBorders>
              <w:top w:val="nil"/>
              <w:left w:val="nil"/>
              <w:bottom w:val="nil"/>
              <w:right w:val="nil"/>
            </w:tcBorders>
            <w:shd w:val="clear" w:color="auto" w:fill="auto"/>
            <w:noWrap/>
          </w:tcPr>
          <w:p w14:paraId="155A468F" w14:textId="77777777" w:rsidR="00EE5A50" w:rsidRPr="00EE5A50" w:rsidRDefault="00EE5A50" w:rsidP="00EE5A50">
            <w:pPr>
              <w:rPr>
                <w:sz w:val="22"/>
                <w:szCs w:val="22"/>
              </w:rPr>
            </w:pPr>
          </w:p>
        </w:tc>
        <w:tc>
          <w:tcPr>
            <w:tcW w:w="1890" w:type="dxa"/>
            <w:tcBorders>
              <w:top w:val="nil"/>
              <w:left w:val="nil"/>
              <w:bottom w:val="nil"/>
              <w:right w:val="nil"/>
            </w:tcBorders>
            <w:shd w:val="clear" w:color="auto" w:fill="auto"/>
            <w:noWrap/>
            <w:vAlign w:val="bottom"/>
          </w:tcPr>
          <w:p w14:paraId="435196D8" w14:textId="77777777" w:rsidR="00EE5A50" w:rsidRPr="00EE5A50" w:rsidRDefault="002E78C7" w:rsidP="00EE5A50">
            <w:pPr>
              <w:jc w:val="center"/>
              <w:rPr>
                <w:sz w:val="22"/>
                <w:szCs w:val="22"/>
              </w:rPr>
            </w:pPr>
            <w:r>
              <w:rPr>
                <w:sz w:val="22"/>
                <w:szCs w:val="22"/>
                <w:lang w:val="es-ES_tradnl"/>
              </w:rPr>
              <w:t>22.123</w:t>
            </w:r>
          </w:p>
        </w:tc>
        <w:tc>
          <w:tcPr>
            <w:tcW w:w="270" w:type="dxa"/>
            <w:tcBorders>
              <w:top w:val="nil"/>
              <w:left w:val="nil"/>
              <w:bottom w:val="nil"/>
              <w:right w:val="nil"/>
            </w:tcBorders>
            <w:shd w:val="clear" w:color="auto" w:fill="auto"/>
            <w:noWrap/>
          </w:tcPr>
          <w:p w14:paraId="2C14AD78" w14:textId="77777777" w:rsidR="00EE5A50" w:rsidRPr="00EE5A50" w:rsidRDefault="00EE5A50" w:rsidP="00EE5A50">
            <w:pPr>
              <w:rPr>
                <w:sz w:val="22"/>
                <w:szCs w:val="22"/>
              </w:rPr>
            </w:pPr>
          </w:p>
        </w:tc>
        <w:tc>
          <w:tcPr>
            <w:tcW w:w="2070" w:type="dxa"/>
            <w:tcBorders>
              <w:top w:val="nil"/>
              <w:left w:val="nil"/>
              <w:bottom w:val="nil"/>
              <w:right w:val="nil"/>
            </w:tcBorders>
            <w:shd w:val="clear" w:color="auto" w:fill="auto"/>
            <w:noWrap/>
            <w:vAlign w:val="bottom"/>
          </w:tcPr>
          <w:p w14:paraId="304F95A2" w14:textId="1A85B27D" w:rsidR="00EE5A50" w:rsidRPr="00EE5A50" w:rsidRDefault="002E78C7" w:rsidP="00EE5A50">
            <w:pPr>
              <w:jc w:val="center"/>
              <w:rPr>
                <w:sz w:val="22"/>
                <w:szCs w:val="22"/>
              </w:rPr>
            </w:pPr>
            <w:r>
              <w:rPr>
                <w:sz w:val="22"/>
                <w:szCs w:val="22"/>
                <w:lang w:val="es-ES_tradnl"/>
              </w:rPr>
              <w:t>21.866</w:t>
            </w:r>
          </w:p>
        </w:tc>
        <w:tc>
          <w:tcPr>
            <w:tcW w:w="270" w:type="dxa"/>
            <w:tcBorders>
              <w:top w:val="nil"/>
              <w:left w:val="nil"/>
              <w:bottom w:val="nil"/>
              <w:right w:val="nil"/>
            </w:tcBorders>
            <w:shd w:val="clear" w:color="auto" w:fill="auto"/>
            <w:noWrap/>
          </w:tcPr>
          <w:p w14:paraId="782C34CD" w14:textId="77777777" w:rsidR="00EE5A50" w:rsidRPr="00EE5A50" w:rsidRDefault="00EE5A50" w:rsidP="00EE5A50">
            <w:pPr>
              <w:rPr>
                <w:sz w:val="22"/>
                <w:szCs w:val="22"/>
              </w:rPr>
            </w:pPr>
          </w:p>
        </w:tc>
        <w:tc>
          <w:tcPr>
            <w:tcW w:w="1350" w:type="dxa"/>
            <w:tcBorders>
              <w:top w:val="nil"/>
              <w:left w:val="nil"/>
              <w:bottom w:val="nil"/>
              <w:right w:val="nil"/>
            </w:tcBorders>
            <w:shd w:val="clear" w:color="auto" w:fill="auto"/>
            <w:noWrap/>
            <w:vAlign w:val="bottom"/>
          </w:tcPr>
          <w:p w14:paraId="52F28B37" w14:textId="161D2015" w:rsidR="00EE5A50" w:rsidRPr="00EE5A50" w:rsidRDefault="002E78C7" w:rsidP="00EE5A50">
            <w:pPr>
              <w:jc w:val="center"/>
              <w:rPr>
                <w:sz w:val="22"/>
                <w:szCs w:val="22"/>
              </w:rPr>
            </w:pPr>
            <w:r>
              <w:rPr>
                <w:sz w:val="22"/>
                <w:szCs w:val="22"/>
                <w:lang w:val="es-ES_tradnl"/>
              </w:rPr>
              <w:t>0.257</w:t>
            </w:r>
          </w:p>
        </w:tc>
        <w:tc>
          <w:tcPr>
            <w:tcW w:w="270" w:type="dxa"/>
            <w:tcBorders>
              <w:top w:val="nil"/>
              <w:left w:val="nil"/>
              <w:bottom w:val="nil"/>
              <w:right w:val="nil"/>
            </w:tcBorders>
            <w:shd w:val="clear" w:color="auto" w:fill="auto"/>
            <w:noWrap/>
          </w:tcPr>
          <w:p w14:paraId="3DD3A8CE" w14:textId="77777777" w:rsidR="00EE5A50" w:rsidRPr="00EE5A50" w:rsidRDefault="00EE5A50" w:rsidP="00EE5A50">
            <w:pPr>
              <w:rPr>
                <w:sz w:val="22"/>
                <w:szCs w:val="22"/>
              </w:rPr>
            </w:pPr>
          </w:p>
        </w:tc>
        <w:tc>
          <w:tcPr>
            <w:tcW w:w="2002" w:type="dxa"/>
            <w:gridSpan w:val="2"/>
            <w:tcBorders>
              <w:top w:val="nil"/>
              <w:left w:val="nil"/>
              <w:bottom w:val="nil"/>
              <w:right w:val="nil"/>
            </w:tcBorders>
            <w:shd w:val="clear" w:color="auto" w:fill="auto"/>
            <w:noWrap/>
            <w:vAlign w:val="bottom"/>
          </w:tcPr>
          <w:p w14:paraId="7BFFA8EB" w14:textId="766481B8" w:rsidR="00EE5A50" w:rsidRPr="00EE5A50" w:rsidRDefault="002E78C7" w:rsidP="00EE5A50">
            <w:pPr>
              <w:jc w:val="center"/>
              <w:rPr>
                <w:sz w:val="22"/>
                <w:szCs w:val="22"/>
              </w:rPr>
            </w:pPr>
            <w:r>
              <w:rPr>
                <w:sz w:val="22"/>
                <w:szCs w:val="22"/>
                <w:lang w:val="es-ES_tradnl"/>
              </w:rPr>
              <w:t>1.16%</w:t>
            </w:r>
          </w:p>
        </w:tc>
      </w:tr>
      <w:tr w:rsidR="00930D40" w14:paraId="76824DFF" w14:textId="77777777" w:rsidTr="00EE5A50">
        <w:trPr>
          <w:gridBefore w:val="1"/>
          <w:wBefore w:w="108" w:type="dxa"/>
          <w:trHeight w:val="255"/>
          <w:jc w:val="center"/>
        </w:trPr>
        <w:tc>
          <w:tcPr>
            <w:tcW w:w="2610" w:type="dxa"/>
            <w:tcBorders>
              <w:top w:val="nil"/>
              <w:left w:val="nil"/>
              <w:bottom w:val="nil"/>
              <w:right w:val="nil"/>
            </w:tcBorders>
            <w:shd w:val="clear" w:color="auto" w:fill="auto"/>
            <w:noWrap/>
          </w:tcPr>
          <w:p w14:paraId="17C46E71" w14:textId="77777777" w:rsidR="00EE5A50" w:rsidRPr="00EE5A50" w:rsidRDefault="002E78C7" w:rsidP="00EE5A50">
            <w:pPr>
              <w:rPr>
                <w:b/>
                <w:bCs/>
                <w:sz w:val="22"/>
                <w:szCs w:val="22"/>
              </w:rPr>
            </w:pPr>
            <w:r>
              <w:rPr>
                <w:b/>
                <w:bCs/>
                <w:sz w:val="22"/>
                <w:szCs w:val="22"/>
                <w:lang w:val="es-ES_tradnl"/>
              </w:rPr>
              <w:t>Agrícola</w:t>
            </w:r>
          </w:p>
        </w:tc>
        <w:tc>
          <w:tcPr>
            <w:tcW w:w="270" w:type="dxa"/>
            <w:tcBorders>
              <w:top w:val="nil"/>
              <w:left w:val="nil"/>
              <w:bottom w:val="nil"/>
              <w:right w:val="nil"/>
            </w:tcBorders>
            <w:shd w:val="clear" w:color="auto" w:fill="auto"/>
            <w:noWrap/>
          </w:tcPr>
          <w:p w14:paraId="65CDB692" w14:textId="77777777" w:rsidR="00EE5A50" w:rsidRPr="00EE5A50" w:rsidRDefault="00EE5A50" w:rsidP="00EE5A50">
            <w:pPr>
              <w:rPr>
                <w:sz w:val="22"/>
                <w:szCs w:val="22"/>
              </w:rPr>
            </w:pPr>
          </w:p>
        </w:tc>
        <w:tc>
          <w:tcPr>
            <w:tcW w:w="1890" w:type="dxa"/>
            <w:tcBorders>
              <w:top w:val="nil"/>
              <w:left w:val="nil"/>
              <w:bottom w:val="nil"/>
              <w:right w:val="nil"/>
            </w:tcBorders>
            <w:shd w:val="clear" w:color="auto" w:fill="auto"/>
            <w:noWrap/>
            <w:vAlign w:val="bottom"/>
          </w:tcPr>
          <w:p w14:paraId="1FE1F0DB" w14:textId="77777777" w:rsidR="00EE5A50" w:rsidRPr="00EE5A50" w:rsidRDefault="002E78C7" w:rsidP="00EE5A50">
            <w:pPr>
              <w:jc w:val="center"/>
              <w:rPr>
                <w:sz w:val="22"/>
                <w:szCs w:val="22"/>
              </w:rPr>
            </w:pPr>
            <w:r>
              <w:rPr>
                <w:sz w:val="22"/>
                <w:szCs w:val="22"/>
                <w:lang w:val="es-ES_tradnl"/>
              </w:rPr>
              <w:t>16.980</w:t>
            </w:r>
          </w:p>
        </w:tc>
        <w:tc>
          <w:tcPr>
            <w:tcW w:w="270" w:type="dxa"/>
            <w:tcBorders>
              <w:top w:val="nil"/>
              <w:left w:val="nil"/>
              <w:bottom w:val="nil"/>
              <w:right w:val="nil"/>
            </w:tcBorders>
            <w:shd w:val="clear" w:color="auto" w:fill="auto"/>
            <w:noWrap/>
          </w:tcPr>
          <w:p w14:paraId="39E1D807" w14:textId="77777777" w:rsidR="00EE5A50" w:rsidRPr="00EE5A50" w:rsidRDefault="00EE5A50" w:rsidP="00EE5A50">
            <w:pPr>
              <w:rPr>
                <w:sz w:val="22"/>
                <w:szCs w:val="22"/>
              </w:rPr>
            </w:pPr>
          </w:p>
        </w:tc>
        <w:tc>
          <w:tcPr>
            <w:tcW w:w="2070" w:type="dxa"/>
            <w:tcBorders>
              <w:top w:val="nil"/>
              <w:left w:val="nil"/>
              <w:bottom w:val="nil"/>
              <w:right w:val="nil"/>
            </w:tcBorders>
            <w:shd w:val="clear" w:color="auto" w:fill="auto"/>
            <w:noWrap/>
            <w:vAlign w:val="bottom"/>
          </w:tcPr>
          <w:p w14:paraId="28294F8C" w14:textId="77777777" w:rsidR="00EE5A50" w:rsidRPr="00EE5A50" w:rsidRDefault="002E78C7" w:rsidP="00EE5A50">
            <w:pPr>
              <w:jc w:val="center"/>
              <w:rPr>
                <w:sz w:val="22"/>
                <w:szCs w:val="22"/>
              </w:rPr>
            </w:pPr>
            <w:r>
              <w:rPr>
                <w:sz w:val="22"/>
                <w:szCs w:val="22"/>
                <w:lang w:val="es-ES_tradnl"/>
              </w:rPr>
              <w:t>16.798</w:t>
            </w:r>
          </w:p>
        </w:tc>
        <w:tc>
          <w:tcPr>
            <w:tcW w:w="270" w:type="dxa"/>
            <w:tcBorders>
              <w:top w:val="nil"/>
              <w:left w:val="nil"/>
              <w:bottom w:val="nil"/>
              <w:right w:val="nil"/>
            </w:tcBorders>
            <w:shd w:val="clear" w:color="auto" w:fill="auto"/>
            <w:noWrap/>
          </w:tcPr>
          <w:p w14:paraId="53DD80E1" w14:textId="77777777" w:rsidR="00EE5A50" w:rsidRPr="00EE5A50" w:rsidRDefault="00EE5A50" w:rsidP="00EE5A50">
            <w:pPr>
              <w:rPr>
                <w:sz w:val="22"/>
                <w:szCs w:val="22"/>
              </w:rPr>
            </w:pPr>
          </w:p>
        </w:tc>
        <w:tc>
          <w:tcPr>
            <w:tcW w:w="1350" w:type="dxa"/>
            <w:tcBorders>
              <w:top w:val="nil"/>
              <w:left w:val="nil"/>
              <w:bottom w:val="nil"/>
              <w:right w:val="nil"/>
            </w:tcBorders>
            <w:shd w:val="clear" w:color="auto" w:fill="auto"/>
            <w:noWrap/>
            <w:vAlign w:val="bottom"/>
          </w:tcPr>
          <w:p w14:paraId="73A61B77" w14:textId="77777777" w:rsidR="00EE5A50" w:rsidRPr="00EE5A50" w:rsidRDefault="002E78C7" w:rsidP="00EE5A50">
            <w:pPr>
              <w:jc w:val="center"/>
              <w:rPr>
                <w:sz w:val="22"/>
                <w:szCs w:val="22"/>
              </w:rPr>
            </w:pPr>
            <w:r>
              <w:rPr>
                <w:sz w:val="22"/>
                <w:szCs w:val="22"/>
                <w:lang w:val="es-ES_tradnl"/>
              </w:rPr>
              <w:t>0.182</w:t>
            </w:r>
          </w:p>
        </w:tc>
        <w:tc>
          <w:tcPr>
            <w:tcW w:w="270" w:type="dxa"/>
            <w:tcBorders>
              <w:top w:val="nil"/>
              <w:left w:val="nil"/>
              <w:bottom w:val="nil"/>
              <w:right w:val="nil"/>
            </w:tcBorders>
            <w:shd w:val="clear" w:color="auto" w:fill="auto"/>
            <w:noWrap/>
          </w:tcPr>
          <w:p w14:paraId="46789B5E" w14:textId="77777777" w:rsidR="00EE5A50" w:rsidRPr="00EE5A50" w:rsidRDefault="00EE5A50" w:rsidP="00EE5A50">
            <w:pPr>
              <w:rPr>
                <w:sz w:val="22"/>
                <w:szCs w:val="22"/>
              </w:rPr>
            </w:pPr>
          </w:p>
        </w:tc>
        <w:tc>
          <w:tcPr>
            <w:tcW w:w="2002" w:type="dxa"/>
            <w:gridSpan w:val="2"/>
            <w:tcBorders>
              <w:top w:val="nil"/>
              <w:left w:val="nil"/>
              <w:bottom w:val="nil"/>
              <w:right w:val="nil"/>
            </w:tcBorders>
            <w:shd w:val="clear" w:color="auto" w:fill="auto"/>
            <w:noWrap/>
            <w:vAlign w:val="bottom"/>
          </w:tcPr>
          <w:p w14:paraId="1BED37CC" w14:textId="77777777" w:rsidR="00EE5A50" w:rsidRPr="00EE5A50" w:rsidRDefault="002E78C7" w:rsidP="00EE5A50">
            <w:pPr>
              <w:jc w:val="center"/>
              <w:rPr>
                <w:sz w:val="22"/>
                <w:szCs w:val="22"/>
              </w:rPr>
            </w:pPr>
            <w:r>
              <w:rPr>
                <w:sz w:val="22"/>
                <w:szCs w:val="22"/>
                <w:lang w:val="es-ES_tradnl"/>
              </w:rPr>
              <w:t>1.07%</w:t>
            </w:r>
          </w:p>
        </w:tc>
      </w:tr>
      <w:tr w:rsidR="00930D40" w14:paraId="7AC1F92D" w14:textId="77777777" w:rsidTr="00EE5A50">
        <w:trPr>
          <w:gridBefore w:val="1"/>
          <w:wBefore w:w="108" w:type="dxa"/>
          <w:trHeight w:val="255"/>
          <w:jc w:val="center"/>
        </w:trPr>
        <w:tc>
          <w:tcPr>
            <w:tcW w:w="2610" w:type="dxa"/>
            <w:tcBorders>
              <w:top w:val="nil"/>
              <w:left w:val="nil"/>
              <w:bottom w:val="nil"/>
              <w:right w:val="nil"/>
            </w:tcBorders>
            <w:shd w:val="clear" w:color="auto" w:fill="auto"/>
            <w:noWrap/>
          </w:tcPr>
          <w:p w14:paraId="7FF71503" w14:textId="77777777" w:rsidR="00EE5A50" w:rsidRPr="00EE5A50" w:rsidRDefault="002E78C7" w:rsidP="00EE5A50">
            <w:pPr>
              <w:rPr>
                <w:b/>
                <w:bCs/>
                <w:sz w:val="22"/>
                <w:szCs w:val="22"/>
              </w:rPr>
            </w:pPr>
            <w:r>
              <w:rPr>
                <w:b/>
                <w:bCs/>
                <w:sz w:val="22"/>
                <w:szCs w:val="22"/>
                <w:lang w:val="es-ES_tradnl"/>
              </w:rPr>
              <w:t>Iluminación</w:t>
            </w:r>
          </w:p>
        </w:tc>
        <w:tc>
          <w:tcPr>
            <w:tcW w:w="270" w:type="dxa"/>
            <w:tcBorders>
              <w:top w:val="nil"/>
              <w:left w:val="nil"/>
              <w:bottom w:val="nil"/>
              <w:right w:val="nil"/>
            </w:tcBorders>
            <w:shd w:val="clear" w:color="auto" w:fill="auto"/>
            <w:noWrap/>
          </w:tcPr>
          <w:p w14:paraId="44EE0B27" w14:textId="77777777" w:rsidR="00EE5A50" w:rsidRPr="00EE5A50" w:rsidRDefault="00EE5A50" w:rsidP="00EE5A50">
            <w:pPr>
              <w:rPr>
                <w:sz w:val="22"/>
                <w:szCs w:val="22"/>
              </w:rPr>
            </w:pPr>
          </w:p>
        </w:tc>
        <w:tc>
          <w:tcPr>
            <w:tcW w:w="1890" w:type="dxa"/>
            <w:tcBorders>
              <w:top w:val="nil"/>
              <w:left w:val="nil"/>
              <w:bottom w:val="nil"/>
              <w:right w:val="nil"/>
            </w:tcBorders>
            <w:shd w:val="clear" w:color="auto" w:fill="auto"/>
            <w:noWrap/>
            <w:vAlign w:val="bottom"/>
          </w:tcPr>
          <w:p w14:paraId="7B2EA2C4" w14:textId="77777777" w:rsidR="00EE5A50" w:rsidRPr="00EE5A50" w:rsidRDefault="002E78C7" w:rsidP="00EE5A50">
            <w:pPr>
              <w:jc w:val="center"/>
              <w:rPr>
                <w:sz w:val="22"/>
                <w:szCs w:val="22"/>
              </w:rPr>
            </w:pPr>
            <w:r>
              <w:rPr>
                <w:sz w:val="22"/>
                <w:szCs w:val="22"/>
                <w:lang w:val="es-ES_tradnl"/>
              </w:rPr>
              <w:t>22.132</w:t>
            </w:r>
          </w:p>
        </w:tc>
        <w:tc>
          <w:tcPr>
            <w:tcW w:w="270" w:type="dxa"/>
            <w:tcBorders>
              <w:top w:val="nil"/>
              <w:left w:val="nil"/>
              <w:bottom w:val="nil"/>
              <w:right w:val="nil"/>
            </w:tcBorders>
            <w:shd w:val="clear" w:color="auto" w:fill="auto"/>
            <w:noWrap/>
          </w:tcPr>
          <w:p w14:paraId="472743F8" w14:textId="77777777" w:rsidR="00EE5A50" w:rsidRPr="00EE5A50" w:rsidRDefault="00EE5A50" w:rsidP="00EE5A50">
            <w:pPr>
              <w:rPr>
                <w:sz w:val="22"/>
                <w:szCs w:val="22"/>
              </w:rPr>
            </w:pPr>
          </w:p>
        </w:tc>
        <w:tc>
          <w:tcPr>
            <w:tcW w:w="2070" w:type="dxa"/>
            <w:tcBorders>
              <w:top w:val="nil"/>
              <w:left w:val="nil"/>
              <w:bottom w:val="nil"/>
              <w:right w:val="nil"/>
            </w:tcBorders>
            <w:shd w:val="clear" w:color="auto" w:fill="auto"/>
            <w:noWrap/>
            <w:vAlign w:val="bottom"/>
          </w:tcPr>
          <w:p w14:paraId="48676A38" w14:textId="08D1639D" w:rsidR="00EE5A50" w:rsidRPr="00EE5A50" w:rsidRDefault="002E78C7" w:rsidP="00EE5A50">
            <w:pPr>
              <w:jc w:val="center"/>
              <w:rPr>
                <w:sz w:val="22"/>
                <w:szCs w:val="22"/>
              </w:rPr>
            </w:pPr>
            <w:r>
              <w:rPr>
                <w:sz w:val="22"/>
                <w:szCs w:val="22"/>
                <w:lang w:val="es-ES_tradnl"/>
              </w:rPr>
              <w:t>21.965</w:t>
            </w:r>
          </w:p>
        </w:tc>
        <w:tc>
          <w:tcPr>
            <w:tcW w:w="270" w:type="dxa"/>
            <w:tcBorders>
              <w:top w:val="nil"/>
              <w:left w:val="nil"/>
              <w:bottom w:val="nil"/>
              <w:right w:val="nil"/>
            </w:tcBorders>
            <w:shd w:val="clear" w:color="auto" w:fill="auto"/>
            <w:noWrap/>
          </w:tcPr>
          <w:p w14:paraId="4262BA1D" w14:textId="77777777" w:rsidR="00EE5A50" w:rsidRPr="00EE5A50" w:rsidRDefault="00EE5A50" w:rsidP="00EE5A50">
            <w:pPr>
              <w:rPr>
                <w:sz w:val="22"/>
                <w:szCs w:val="22"/>
              </w:rPr>
            </w:pPr>
          </w:p>
        </w:tc>
        <w:tc>
          <w:tcPr>
            <w:tcW w:w="1350" w:type="dxa"/>
            <w:tcBorders>
              <w:top w:val="nil"/>
              <w:left w:val="nil"/>
              <w:bottom w:val="nil"/>
              <w:right w:val="nil"/>
            </w:tcBorders>
            <w:shd w:val="clear" w:color="auto" w:fill="auto"/>
            <w:noWrap/>
            <w:vAlign w:val="bottom"/>
          </w:tcPr>
          <w:p w14:paraId="608AC738" w14:textId="63E72393" w:rsidR="00EE5A50" w:rsidRPr="00EE5A50" w:rsidRDefault="002E78C7" w:rsidP="00EE5A50">
            <w:pPr>
              <w:jc w:val="center"/>
              <w:rPr>
                <w:sz w:val="22"/>
                <w:szCs w:val="22"/>
              </w:rPr>
            </w:pPr>
            <w:r>
              <w:rPr>
                <w:sz w:val="22"/>
                <w:szCs w:val="22"/>
                <w:lang w:val="es-ES_tradnl"/>
              </w:rPr>
              <w:t>0.167</w:t>
            </w:r>
          </w:p>
        </w:tc>
        <w:tc>
          <w:tcPr>
            <w:tcW w:w="270" w:type="dxa"/>
            <w:tcBorders>
              <w:top w:val="nil"/>
              <w:left w:val="nil"/>
              <w:bottom w:val="nil"/>
              <w:right w:val="nil"/>
            </w:tcBorders>
            <w:shd w:val="clear" w:color="auto" w:fill="auto"/>
            <w:noWrap/>
          </w:tcPr>
          <w:p w14:paraId="4709A3A2" w14:textId="77777777" w:rsidR="00EE5A50" w:rsidRPr="00EE5A50" w:rsidRDefault="00EE5A50" w:rsidP="00EE5A50">
            <w:pPr>
              <w:rPr>
                <w:sz w:val="22"/>
                <w:szCs w:val="22"/>
              </w:rPr>
            </w:pPr>
          </w:p>
        </w:tc>
        <w:tc>
          <w:tcPr>
            <w:tcW w:w="2002" w:type="dxa"/>
            <w:gridSpan w:val="2"/>
            <w:tcBorders>
              <w:top w:val="nil"/>
              <w:left w:val="nil"/>
              <w:bottom w:val="nil"/>
              <w:right w:val="nil"/>
            </w:tcBorders>
            <w:shd w:val="clear" w:color="auto" w:fill="auto"/>
            <w:noWrap/>
            <w:vAlign w:val="bottom"/>
          </w:tcPr>
          <w:p w14:paraId="57D75418" w14:textId="354C9851" w:rsidR="00EE5A50" w:rsidRPr="00EE5A50" w:rsidRDefault="002E78C7" w:rsidP="00EE5A50">
            <w:pPr>
              <w:jc w:val="center"/>
              <w:rPr>
                <w:sz w:val="22"/>
                <w:szCs w:val="22"/>
              </w:rPr>
            </w:pPr>
            <w:r>
              <w:rPr>
                <w:sz w:val="22"/>
                <w:szCs w:val="22"/>
                <w:lang w:val="es-ES_tradnl"/>
              </w:rPr>
              <w:t>0.75%</w:t>
            </w:r>
          </w:p>
        </w:tc>
      </w:tr>
      <w:tr w:rsidR="00930D40" w14:paraId="3094E680" w14:textId="77777777" w:rsidTr="00EE5A50">
        <w:trPr>
          <w:gridBefore w:val="1"/>
          <w:wBefore w:w="108" w:type="dxa"/>
          <w:trHeight w:val="255"/>
          <w:jc w:val="center"/>
        </w:trPr>
        <w:tc>
          <w:tcPr>
            <w:tcW w:w="2610" w:type="dxa"/>
            <w:tcBorders>
              <w:top w:val="nil"/>
              <w:left w:val="nil"/>
              <w:bottom w:val="nil"/>
              <w:right w:val="nil"/>
            </w:tcBorders>
            <w:shd w:val="clear" w:color="auto" w:fill="auto"/>
            <w:noWrap/>
          </w:tcPr>
          <w:p w14:paraId="7E813917" w14:textId="77777777" w:rsidR="00EE5A50" w:rsidRPr="00EE5A50" w:rsidRDefault="002E78C7" w:rsidP="00EE5A50">
            <w:pPr>
              <w:rPr>
                <w:b/>
                <w:bCs/>
                <w:sz w:val="22"/>
                <w:szCs w:val="22"/>
              </w:rPr>
            </w:pPr>
            <w:r>
              <w:rPr>
                <w:b/>
                <w:bCs/>
                <w:sz w:val="22"/>
                <w:szCs w:val="22"/>
                <w:lang w:val="es-ES_tradnl"/>
              </w:rPr>
              <w:t>Total del sistema</w:t>
            </w:r>
          </w:p>
        </w:tc>
        <w:tc>
          <w:tcPr>
            <w:tcW w:w="270" w:type="dxa"/>
            <w:tcBorders>
              <w:top w:val="nil"/>
              <w:left w:val="nil"/>
              <w:bottom w:val="nil"/>
              <w:right w:val="nil"/>
            </w:tcBorders>
            <w:shd w:val="clear" w:color="auto" w:fill="auto"/>
            <w:noWrap/>
          </w:tcPr>
          <w:p w14:paraId="3E783066" w14:textId="77777777" w:rsidR="00EE5A50" w:rsidRPr="00EE5A50" w:rsidRDefault="00EE5A50" w:rsidP="00EE5A50">
            <w:pPr>
              <w:rPr>
                <w:sz w:val="22"/>
                <w:szCs w:val="22"/>
              </w:rPr>
            </w:pPr>
          </w:p>
        </w:tc>
        <w:tc>
          <w:tcPr>
            <w:tcW w:w="1890" w:type="dxa"/>
            <w:tcBorders>
              <w:top w:val="nil"/>
              <w:left w:val="nil"/>
              <w:bottom w:val="nil"/>
              <w:right w:val="nil"/>
            </w:tcBorders>
            <w:shd w:val="clear" w:color="auto" w:fill="auto"/>
            <w:noWrap/>
            <w:vAlign w:val="bottom"/>
          </w:tcPr>
          <w:p w14:paraId="23E59B70" w14:textId="77777777" w:rsidR="00EE5A50" w:rsidRPr="00EE5A50" w:rsidRDefault="002E78C7" w:rsidP="00EE5A50">
            <w:pPr>
              <w:jc w:val="center"/>
              <w:rPr>
                <w:sz w:val="22"/>
                <w:szCs w:val="22"/>
              </w:rPr>
            </w:pPr>
            <w:r>
              <w:rPr>
                <w:sz w:val="22"/>
                <w:szCs w:val="22"/>
                <w:lang w:val="es-ES_tradnl"/>
              </w:rPr>
              <w:t>23.993</w:t>
            </w:r>
          </w:p>
        </w:tc>
        <w:tc>
          <w:tcPr>
            <w:tcW w:w="270" w:type="dxa"/>
            <w:tcBorders>
              <w:top w:val="nil"/>
              <w:left w:val="nil"/>
              <w:bottom w:val="nil"/>
              <w:right w:val="nil"/>
            </w:tcBorders>
            <w:shd w:val="clear" w:color="auto" w:fill="auto"/>
            <w:noWrap/>
          </w:tcPr>
          <w:p w14:paraId="3A88DE1F" w14:textId="77777777" w:rsidR="00EE5A50" w:rsidRPr="00EE5A50" w:rsidRDefault="00EE5A50" w:rsidP="00EE5A50">
            <w:pPr>
              <w:rPr>
                <w:sz w:val="22"/>
                <w:szCs w:val="22"/>
              </w:rPr>
            </w:pPr>
          </w:p>
        </w:tc>
        <w:tc>
          <w:tcPr>
            <w:tcW w:w="2070" w:type="dxa"/>
            <w:tcBorders>
              <w:top w:val="nil"/>
              <w:left w:val="nil"/>
              <w:bottom w:val="nil"/>
              <w:right w:val="nil"/>
            </w:tcBorders>
            <w:shd w:val="clear" w:color="auto" w:fill="auto"/>
            <w:noWrap/>
            <w:vAlign w:val="bottom"/>
          </w:tcPr>
          <w:p w14:paraId="2FBE1B36" w14:textId="567C3411" w:rsidR="00EE5A50" w:rsidRPr="00EE5A50" w:rsidRDefault="002E78C7" w:rsidP="00EE5A50">
            <w:pPr>
              <w:jc w:val="center"/>
              <w:rPr>
                <w:sz w:val="22"/>
                <w:szCs w:val="22"/>
              </w:rPr>
            </w:pPr>
            <w:r>
              <w:rPr>
                <w:sz w:val="22"/>
                <w:szCs w:val="22"/>
                <w:lang w:val="es-ES_tradnl"/>
              </w:rPr>
              <w:t>23.745</w:t>
            </w:r>
          </w:p>
        </w:tc>
        <w:tc>
          <w:tcPr>
            <w:tcW w:w="270" w:type="dxa"/>
            <w:tcBorders>
              <w:top w:val="nil"/>
              <w:left w:val="nil"/>
              <w:bottom w:val="nil"/>
              <w:right w:val="nil"/>
            </w:tcBorders>
            <w:shd w:val="clear" w:color="auto" w:fill="auto"/>
            <w:noWrap/>
          </w:tcPr>
          <w:p w14:paraId="2B26B931" w14:textId="77777777" w:rsidR="00EE5A50" w:rsidRPr="00EE5A50" w:rsidRDefault="00EE5A50" w:rsidP="00EE5A50">
            <w:pPr>
              <w:rPr>
                <w:sz w:val="22"/>
                <w:szCs w:val="22"/>
              </w:rPr>
            </w:pPr>
          </w:p>
        </w:tc>
        <w:tc>
          <w:tcPr>
            <w:tcW w:w="1350" w:type="dxa"/>
            <w:tcBorders>
              <w:top w:val="nil"/>
              <w:left w:val="nil"/>
              <w:bottom w:val="nil"/>
              <w:right w:val="nil"/>
            </w:tcBorders>
            <w:shd w:val="clear" w:color="auto" w:fill="auto"/>
            <w:noWrap/>
            <w:vAlign w:val="bottom"/>
          </w:tcPr>
          <w:p w14:paraId="079B46B9" w14:textId="75E64571" w:rsidR="00EE5A50" w:rsidRPr="00EE5A50" w:rsidRDefault="002E78C7" w:rsidP="00EE5A50">
            <w:pPr>
              <w:jc w:val="center"/>
              <w:rPr>
                <w:sz w:val="22"/>
                <w:szCs w:val="22"/>
              </w:rPr>
            </w:pPr>
            <w:r>
              <w:rPr>
                <w:sz w:val="22"/>
                <w:szCs w:val="22"/>
                <w:lang w:val="es-ES_tradnl"/>
              </w:rPr>
              <w:t>0.248</w:t>
            </w:r>
          </w:p>
        </w:tc>
        <w:tc>
          <w:tcPr>
            <w:tcW w:w="270" w:type="dxa"/>
            <w:tcBorders>
              <w:top w:val="nil"/>
              <w:left w:val="nil"/>
              <w:bottom w:val="nil"/>
              <w:right w:val="nil"/>
            </w:tcBorders>
            <w:shd w:val="clear" w:color="auto" w:fill="auto"/>
            <w:noWrap/>
          </w:tcPr>
          <w:p w14:paraId="6AF4EA57" w14:textId="77777777" w:rsidR="00EE5A50" w:rsidRPr="00EE5A50" w:rsidRDefault="00EE5A50" w:rsidP="00EE5A50">
            <w:pPr>
              <w:rPr>
                <w:sz w:val="22"/>
                <w:szCs w:val="22"/>
              </w:rPr>
            </w:pPr>
          </w:p>
        </w:tc>
        <w:tc>
          <w:tcPr>
            <w:tcW w:w="2002" w:type="dxa"/>
            <w:gridSpan w:val="2"/>
            <w:tcBorders>
              <w:top w:val="nil"/>
              <w:left w:val="nil"/>
              <w:bottom w:val="nil"/>
              <w:right w:val="nil"/>
            </w:tcBorders>
            <w:shd w:val="clear" w:color="auto" w:fill="auto"/>
            <w:noWrap/>
            <w:vAlign w:val="bottom"/>
          </w:tcPr>
          <w:p w14:paraId="50CF0237" w14:textId="1E02F504" w:rsidR="00EE5A50" w:rsidRPr="00EE5A50" w:rsidRDefault="002E78C7" w:rsidP="00EE5A50">
            <w:pPr>
              <w:jc w:val="center"/>
              <w:rPr>
                <w:sz w:val="22"/>
                <w:szCs w:val="22"/>
              </w:rPr>
            </w:pPr>
            <w:r>
              <w:rPr>
                <w:sz w:val="22"/>
                <w:szCs w:val="22"/>
                <w:lang w:val="es-ES_tradnl"/>
              </w:rPr>
              <w:t>1.03%</w:t>
            </w:r>
          </w:p>
        </w:tc>
      </w:tr>
    </w:tbl>
    <w:p w14:paraId="5B5B9344" w14:textId="77777777" w:rsidR="006126D6" w:rsidRDefault="006126D6" w:rsidP="006126D6">
      <w:pPr>
        <w:autoSpaceDE w:val="0"/>
        <w:autoSpaceDN w:val="0"/>
        <w:adjustRightInd w:val="0"/>
        <w:rPr>
          <w:sz w:val="20"/>
          <w:szCs w:val="20"/>
        </w:rPr>
      </w:pPr>
    </w:p>
    <w:tbl>
      <w:tblPr>
        <w:tblW w:w="11110" w:type="dxa"/>
        <w:jc w:val="center"/>
        <w:tblLook w:val="0000" w:firstRow="0" w:lastRow="0" w:firstColumn="0" w:lastColumn="0" w:noHBand="0" w:noVBand="0"/>
      </w:tblPr>
      <w:tblGrid>
        <w:gridCol w:w="11110"/>
      </w:tblGrid>
      <w:tr w:rsidR="00930D40" w14:paraId="635DDCAA" w14:textId="77777777" w:rsidTr="00583211">
        <w:trPr>
          <w:trHeight w:val="297"/>
          <w:jc w:val="center"/>
        </w:trPr>
        <w:tc>
          <w:tcPr>
            <w:tcW w:w="10440" w:type="dxa"/>
            <w:tcBorders>
              <w:top w:val="nil"/>
              <w:left w:val="nil"/>
              <w:bottom w:val="nil"/>
              <w:right w:val="nil"/>
            </w:tcBorders>
            <w:shd w:val="clear" w:color="auto" w:fill="auto"/>
            <w:noWrap/>
            <w:vAlign w:val="bottom"/>
          </w:tcPr>
          <w:p w14:paraId="632D7E94" w14:textId="77777777" w:rsidR="00EE5A50" w:rsidRPr="00F87139" w:rsidRDefault="002E78C7" w:rsidP="00583211">
            <w:pPr>
              <w:rPr>
                <w:b/>
                <w:bCs/>
                <w:sz w:val="20"/>
              </w:rPr>
            </w:pPr>
            <w:bookmarkStart w:id="5" w:name="_Hlk32926365"/>
            <w:r>
              <w:rPr>
                <w:sz w:val="20"/>
                <w:szCs w:val="20"/>
                <w:vertAlign w:val="superscript"/>
                <w:lang w:val="es-ES_tradnl"/>
              </w:rPr>
              <w:t xml:space="preserve">1 </w:t>
            </w:r>
            <w:r>
              <w:rPr>
                <w:sz w:val="20"/>
                <w:szCs w:val="20"/>
                <w:lang w:val="es-ES_tradnl"/>
              </w:rPr>
              <w:t>Las tarifas UDC incluyen el cargo Bond Charge del Departamento de Recursos Hídricos (DWR).</w:t>
            </w:r>
          </w:p>
        </w:tc>
      </w:tr>
      <w:tr w:rsidR="00930D40" w14:paraId="1E348E99" w14:textId="77777777" w:rsidTr="00583211">
        <w:trPr>
          <w:trHeight w:val="255"/>
          <w:jc w:val="center"/>
        </w:trPr>
        <w:tc>
          <w:tcPr>
            <w:tcW w:w="10440" w:type="dxa"/>
            <w:tcBorders>
              <w:top w:val="nil"/>
              <w:left w:val="nil"/>
              <w:bottom w:val="nil"/>
              <w:right w:val="nil"/>
            </w:tcBorders>
            <w:shd w:val="clear" w:color="auto" w:fill="auto"/>
            <w:noWrap/>
          </w:tcPr>
          <w:p w14:paraId="22E74AFD" w14:textId="77777777" w:rsidR="00EE5A50" w:rsidRPr="00F87139" w:rsidRDefault="002E78C7" w:rsidP="00583211">
            <w:pPr>
              <w:rPr>
                <w:b/>
                <w:bCs/>
                <w:sz w:val="20"/>
              </w:rPr>
            </w:pPr>
            <w:r>
              <w:rPr>
                <w:sz w:val="20"/>
                <w:szCs w:val="20"/>
                <w:vertAlign w:val="superscript"/>
                <w:lang w:val="es-ES_tradnl"/>
              </w:rPr>
              <w:lastRenderedPageBreak/>
              <w:t xml:space="preserve">2 </w:t>
            </w:r>
            <w:r>
              <w:rPr>
                <w:sz w:val="20"/>
                <w:szCs w:val="20"/>
                <w:lang w:val="es-ES_tradnl"/>
              </w:rPr>
              <w:t>Las tarifas de producto básico incluyen el abono Power Charge del DWR.</w:t>
            </w:r>
          </w:p>
        </w:tc>
      </w:tr>
      <w:tr w:rsidR="00930D40" w14:paraId="3ACBA069" w14:textId="77777777" w:rsidTr="00583211">
        <w:trPr>
          <w:trHeight w:val="255"/>
          <w:jc w:val="center"/>
        </w:trPr>
        <w:tc>
          <w:tcPr>
            <w:tcW w:w="10440" w:type="dxa"/>
            <w:tcBorders>
              <w:top w:val="nil"/>
              <w:left w:val="nil"/>
              <w:bottom w:val="nil"/>
              <w:right w:val="nil"/>
            </w:tcBorders>
            <w:shd w:val="clear" w:color="auto" w:fill="auto"/>
            <w:noWrap/>
          </w:tcPr>
          <w:p w14:paraId="614F5062" w14:textId="6DA95DBE" w:rsidR="00EE5A50" w:rsidRPr="00F87139" w:rsidRDefault="002E78C7" w:rsidP="00583211">
            <w:pPr>
              <w:rPr>
                <w:b/>
                <w:bCs/>
                <w:sz w:val="20"/>
              </w:rPr>
            </w:pPr>
            <w:r>
              <w:rPr>
                <w:sz w:val="20"/>
                <w:szCs w:val="20"/>
                <w:vertAlign w:val="superscript"/>
                <w:lang w:val="es-ES_tradnl"/>
              </w:rPr>
              <w:t>3</w:t>
            </w:r>
            <w:r w:rsidR="00677AE9">
              <w:rPr>
                <w:sz w:val="20"/>
                <w:szCs w:val="20"/>
                <w:vertAlign w:val="superscript"/>
                <w:lang w:val="es-ES_tradnl"/>
              </w:rPr>
              <w:t xml:space="preserve"> </w:t>
            </w:r>
            <w:r>
              <w:rPr>
                <w:sz w:val="20"/>
                <w:szCs w:val="20"/>
                <w:lang w:val="es-ES_tradnl"/>
              </w:rPr>
              <w:t>Tarifas en vigor a partir del 1 de julio de 2020 conforme a la Carta de Aviso (AL) 3556-E.</w:t>
            </w:r>
          </w:p>
        </w:tc>
      </w:tr>
      <w:tr w:rsidR="00930D40" w14:paraId="02E3A5AB" w14:textId="77777777" w:rsidTr="00583211">
        <w:trPr>
          <w:trHeight w:val="255"/>
          <w:jc w:val="center"/>
        </w:trPr>
        <w:tc>
          <w:tcPr>
            <w:tcW w:w="10440" w:type="dxa"/>
            <w:tcBorders>
              <w:top w:val="nil"/>
              <w:left w:val="nil"/>
              <w:bottom w:val="nil"/>
              <w:right w:val="nil"/>
            </w:tcBorders>
            <w:shd w:val="clear" w:color="auto" w:fill="auto"/>
            <w:noWrap/>
          </w:tcPr>
          <w:p w14:paraId="30D5A9B2" w14:textId="77777777" w:rsidR="00EE5A50" w:rsidRPr="009A5B49" w:rsidRDefault="002E78C7" w:rsidP="00583211">
            <w:pPr>
              <w:ind w:left="-1260" w:firstLine="1260"/>
              <w:rPr>
                <w:sz w:val="20"/>
              </w:rPr>
            </w:pPr>
            <w:r>
              <w:rPr>
                <w:sz w:val="20"/>
                <w:szCs w:val="20"/>
                <w:vertAlign w:val="superscript"/>
                <w:lang w:val="es-ES_tradnl"/>
              </w:rPr>
              <w:t xml:space="preserve">4 </w:t>
            </w:r>
            <w:r>
              <w:rPr>
                <w:sz w:val="20"/>
                <w:szCs w:val="20"/>
                <w:lang w:val="es-ES_tradnl"/>
              </w:rPr>
              <w:t>$8.9 millones más cuotas de franquicia y cuentas incobrables amortizadas a lo largo de 3 meses.</w:t>
            </w:r>
          </w:p>
          <w:p w14:paraId="0FDBEB6E" w14:textId="77777777" w:rsidR="00EE5A50" w:rsidRPr="00F87139" w:rsidRDefault="002E78C7" w:rsidP="00583211">
            <w:pPr>
              <w:ind w:left="-1260" w:firstLine="1260"/>
              <w:rPr>
                <w:b/>
                <w:bCs/>
                <w:sz w:val="20"/>
              </w:rPr>
            </w:pPr>
            <w:r>
              <w:rPr>
                <w:sz w:val="20"/>
                <w:szCs w:val="20"/>
                <w:lang w:val="es-ES_tradnl"/>
              </w:rPr>
              <w:t xml:space="preserve"> </w:t>
            </w:r>
            <w:r>
              <w:rPr>
                <w:sz w:val="20"/>
                <w:szCs w:val="20"/>
                <w:vertAlign w:val="superscript"/>
                <w:lang w:val="es-ES_tradnl"/>
              </w:rPr>
              <w:t xml:space="preserve">5 </w:t>
            </w:r>
            <w:r>
              <w:rPr>
                <w:sz w:val="20"/>
                <w:szCs w:val="20"/>
                <w:lang w:val="es-ES_tradnl"/>
              </w:rPr>
              <w:t>CeI significa Comercial e Industrial.</w:t>
            </w:r>
          </w:p>
        </w:tc>
      </w:tr>
    </w:tbl>
    <w:p w14:paraId="72574844" w14:textId="77777777" w:rsidR="00651D84" w:rsidRPr="006126D6" w:rsidRDefault="00651D84" w:rsidP="006126D6">
      <w:pPr>
        <w:autoSpaceDE w:val="0"/>
        <w:autoSpaceDN w:val="0"/>
        <w:adjustRightInd w:val="0"/>
        <w:rPr>
          <w:sz w:val="20"/>
          <w:szCs w:val="20"/>
        </w:rPr>
      </w:pPr>
    </w:p>
    <w:bookmarkEnd w:id="5"/>
    <w:p w14:paraId="197C4CEC" w14:textId="77777777" w:rsidR="0072769E" w:rsidRDefault="0072769E" w:rsidP="0072769E">
      <w:pPr>
        <w:rPr>
          <w:b/>
          <w:bCs/>
        </w:rPr>
      </w:pPr>
    </w:p>
    <w:p w14:paraId="5107141F" w14:textId="77777777" w:rsidR="0072769E" w:rsidRDefault="0072769E" w:rsidP="00FA7793">
      <w:pPr>
        <w:autoSpaceDE w:val="0"/>
        <w:autoSpaceDN w:val="0"/>
        <w:adjustRightInd w:val="0"/>
        <w:rPr>
          <w:b/>
          <w:bCs/>
        </w:rPr>
      </w:pPr>
    </w:p>
    <w:p w14:paraId="179BCF51" w14:textId="77777777" w:rsidR="00AE7615" w:rsidRDefault="002E78C7" w:rsidP="00212BE6">
      <w:pPr>
        <w:pStyle w:val="BodyText"/>
        <w:jc w:val="center"/>
        <w:rPr>
          <w:b/>
          <w:bCs/>
        </w:rPr>
      </w:pPr>
      <w:r>
        <w:rPr>
          <w:b/>
          <w:bCs/>
          <w:lang w:val="es-ES_tradnl"/>
        </w:rPr>
        <w:t>¿CÓMO AFECTARÁ ESTO LAS FACTURAS ELÉCTRICAS DE LOS CLIENTES QUE NO TIENEN SERVICIOS EN PAQUETE?</w:t>
      </w:r>
    </w:p>
    <w:p w14:paraId="4F6D1909" w14:textId="5B0AC26A" w:rsidR="00AE7615" w:rsidRPr="00212BE6" w:rsidRDefault="002E78C7" w:rsidP="00212BE6">
      <w:pPr>
        <w:pStyle w:val="BodyText"/>
        <w:jc w:val="both"/>
        <w:rPr>
          <w:lang w:val="en-US"/>
        </w:rPr>
      </w:pPr>
      <w:r>
        <w:rPr>
          <w:lang w:val="es-ES_tradnl"/>
        </w:rPr>
        <w:t xml:space="preserve">Los clientes que no tienen servicios en paquete incluyen a los clientes de acceso directo Direct Access (DA), de agregación comunitaria electiva Community Choice Aggregation (CCA) y otros de cargas salientes que únicamente reciben servicios </w:t>
      </w:r>
      <w:r w:rsidR="00A34EDD">
        <w:rPr>
          <w:lang w:val="es-ES_tradnl"/>
        </w:rPr>
        <w:t xml:space="preserve">eléctricos </w:t>
      </w:r>
      <w:r>
        <w:rPr>
          <w:lang w:val="es-ES_tradnl"/>
        </w:rPr>
        <w:t xml:space="preserve">UDC de SDG&amp;E. Si la CPUC aprueba la petición de SDG&amp;E, estos clientes podrían ver un </w:t>
      </w:r>
      <w:r>
        <w:rPr>
          <w:b/>
          <w:bCs/>
          <w:lang w:val="es-ES_tradnl"/>
        </w:rPr>
        <w:t>aumento</w:t>
      </w:r>
      <w:r>
        <w:rPr>
          <w:lang w:val="es-ES_tradnl"/>
        </w:rPr>
        <w:t xml:space="preserve"> promedio en la tarifa PCIA de </w:t>
      </w:r>
      <w:commentRangeStart w:id="6"/>
      <w:r>
        <w:rPr>
          <w:lang w:val="es-ES_tradnl"/>
        </w:rPr>
        <w:t>137%.</w:t>
      </w:r>
      <w:commentRangeEnd w:id="6"/>
      <w:r w:rsidR="0095392D">
        <w:rPr>
          <w:rStyle w:val="CommentReference"/>
          <w:lang w:val="en-US" w:eastAsia="en-US"/>
        </w:rPr>
        <w:commentReference w:id="6"/>
      </w:r>
    </w:p>
    <w:p w14:paraId="27665A78" w14:textId="77777777" w:rsidR="0072769E" w:rsidRPr="00130879" w:rsidRDefault="002E78C7" w:rsidP="006B6AA3">
      <w:pPr>
        <w:pStyle w:val="BodyText"/>
        <w:spacing w:after="0"/>
        <w:jc w:val="center"/>
        <w:rPr>
          <w:b/>
          <w:bCs/>
        </w:rPr>
      </w:pPr>
      <w:r>
        <w:rPr>
          <w:b/>
          <w:bCs/>
          <w:lang w:val="es-ES_tradnl"/>
        </w:rPr>
        <w:t>PROCESO DE LA CPUC</w:t>
      </w:r>
    </w:p>
    <w:p w14:paraId="1CA96C29" w14:textId="378FC9B2" w:rsidR="00845D9B" w:rsidRDefault="002E78C7" w:rsidP="00845D9B">
      <w:r>
        <w:rPr>
          <w:lang w:val="es-ES_tradnl"/>
        </w:rPr>
        <w:t>La presente solicitud se asignará a un juez, quien considerará las propuestas y pruebas presentadas durante el proceso formal de las audiencias. El juez emitirá una propuesta de decisión que tal vez adopte la solicitud de SDG&amp;E, la modifique o la deniegue. Cualquier Comisionado de la CPUC puede proponer una decisión alterna. La decisión propuesta y cualquier decisión alterna serán sometidas a la discusión y votación de los Comisionados de la CPUC. </w:t>
      </w:r>
    </w:p>
    <w:p w14:paraId="2AA72E13" w14:textId="77777777" w:rsidR="00130879" w:rsidRDefault="00130879" w:rsidP="00130879"/>
    <w:p w14:paraId="6A9F45D3" w14:textId="1C31C04C" w:rsidR="00DA1BB5" w:rsidRPr="00FF0FB8" w:rsidRDefault="002E78C7" w:rsidP="00DA1BB5">
      <w:pPr>
        <w:rPr>
          <w:lang w:val="es-ES_tradnl"/>
        </w:rPr>
      </w:pPr>
      <w:r>
        <w:rPr>
          <w:lang w:val="es-ES_tradnl"/>
        </w:rPr>
        <w:t xml:space="preserve">La Oficina de Defensores Públicos puede examinar esta solicitud. La Oficina de Defensores Públicos es el defensor independiente del consumidor dentro de la CPUC con un mandato legislativo para representar a clientes de empresas de servicios públicos propiedad de inversionistas. Ellos ayudan a obtener la tarifa más baja posible acorde con un servicio seguro y confiable y con las metas del estado en materia de políticas ambientales. Para más información, por favor llame al (415) 703-1584, envíe un mensaje por correo electrónico a </w:t>
      </w:r>
      <w:hyperlink r:id="rId12" w:history="1">
        <w:r>
          <w:rPr>
            <w:color w:val="0000FF"/>
            <w:u w:val="single"/>
            <w:lang w:val="es-ES_tradnl"/>
          </w:rPr>
          <w:t>PublicAdvocatesOffice@cpuc.ca.gov</w:t>
        </w:r>
      </w:hyperlink>
      <w:r>
        <w:rPr>
          <w:lang w:val="es-ES_tradnl"/>
        </w:rPr>
        <w:t xml:space="preserve"> o visite su sitio web en </w:t>
      </w:r>
      <w:hyperlink r:id="rId13" w:history="1">
        <w:r>
          <w:rPr>
            <w:color w:val="0000FF"/>
            <w:u w:val="single"/>
            <w:lang w:val="es-ES_tradnl"/>
          </w:rPr>
          <w:t>publicadvocates.cpuc.ca.gov</w:t>
        </w:r>
      </w:hyperlink>
      <w:r>
        <w:rPr>
          <w:lang w:val="es-ES_tradnl"/>
        </w:rPr>
        <w:t xml:space="preserve">. </w:t>
      </w:r>
    </w:p>
    <w:p w14:paraId="7B468EF5" w14:textId="77777777" w:rsidR="0072769E" w:rsidRDefault="0072769E" w:rsidP="006B6AA3">
      <w:pPr>
        <w:jc w:val="center"/>
      </w:pPr>
    </w:p>
    <w:p w14:paraId="5CE74F01" w14:textId="77777777" w:rsidR="0072769E" w:rsidRDefault="002E78C7" w:rsidP="006B6AA3">
      <w:pPr>
        <w:jc w:val="center"/>
        <w:rPr>
          <w:b/>
          <w:bCs/>
        </w:rPr>
      </w:pPr>
      <w:r>
        <w:rPr>
          <w:b/>
          <w:bCs/>
          <w:lang w:val="es-ES_tradnl"/>
        </w:rPr>
        <w:t>¿DÓNDE PUEDO OBTENER MÁS INFORMACIÓN?</w:t>
      </w:r>
    </w:p>
    <w:p w14:paraId="30CEB8E6" w14:textId="77777777" w:rsidR="00DA1BB5" w:rsidRPr="00D512FD" w:rsidRDefault="002E78C7" w:rsidP="0072769E">
      <w:r>
        <w:rPr>
          <w:lang w:val="es-ES_tradnl"/>
        </w:rPr>
        <w:t>CONTACTE A SDG&amp;E</w:t>
      </w:r>
    </w:p>
    <w:p w14:paraId="059819BD" w14:textId="77777777" w:rsidR="000721B8" w:rsidRPr="00D512FD" w:rsidRDefault="002E78C7" w:rsidP="0079586B">
      <w:pPr>
        <w:numPr>
          <w:ilvl w:val="0"/>
          <w:numId w:val="3"/>
        </w:numPr>
      </w:pPr>
      <w:r>
        <w:rPr>
          <w:lang w:val="es-ES_tradnl"/>
        </w:rPr>
        <w:t>Llamando por teléfono al: (619) 696-2229</w:t>
      </w:r>
    </w:p>
    <w:p w14:paraId="37201465" w14:textId="77777777" w:rsidR="00306E6D" w:rsidRPr="00D512FD" w:rsidRDefault="002E78C7" w:rsidP="0079586B">
      <w:pPr>
        <w:numPr>
          <w:ilvl w:val="0"/>
          <w:numId w:val="3"/>
        </w:numPr>
      </w:pPr>
      <w:r>
        <w:rPr>
          <w:lang w:val="es-ES_tradnl"/>
        </w:rPr>
        <w:t xml:space="preserve">Enviando un mensaje de correo electrónico a: swoldegiorgis@sdge.com  </w:t>
      </w:r>
    </w:p>
    <w:p w14:paraId="64BB2B06" w14:textId="77777777" w:rsidR="00DA1BB5" w:rsidRPr="00D512FD" w:rsidRDefault="002E78C7" w:rsidP="00FF0FB8">
      <w:pPr>
        <w:numPr>
          <w:ilvl w:val="0"/>
          <w:numId w:val="3"/>
        </w:numPr>
      </w:pPr>
      <w:r>
        <w:rPr>
          <w:lang w:val="es-ES_tradnl"/>
        </w:rPr>
        <w:t>Escribiendo a: Shewit Woldegiorgis</w:t>
      </w:r>
    </w:p>
    <w:p w14:paraId="7B6E7831" w14:textId="77777777" w:rsidR="000721B8" w:rsidRPr="00D512FD" w:rsidRDefault="002E78C7" w:rsidP="003001DA">
      <w:pPr>
        <w:ind w:left="720"/>
      </w:pPr>
      <w:r>
        <w:rPr>
          <w:lang w:val="es-ES_tradnl"/>
        </w:rPr>
        <w:t>Case Manager for SDG&amp;E</w:t>
      </w:r>
    </w:p>
    <w:p w14:paraId="5805E909" w14:textId="77777777" w:rsidR="000721B8" w:rsidRPr="003001DA" w:rsidRDefault="002E78C7" w:rsidP="003001DA">
      <w:pPr>
        <w:ind w:left="720"/>
      </w:pPr>
      <w:r>
        <w:rPr>
          <w:lang w:val="es-ES_tradnl"/>
        </w:rPr>
        <w:t>8330 Century Park Court, San Diego, CA 92123</w:t>
      </w:r>
    </w:p>
    <w:p w14:paraId="75C9D436" w14:textId="77777777" w:rsidR="00DA1BB5" w:rsidRPr="003001DA" w:rsidRDefault="00DA1BB5" w:rsidP="0072769E"/>
    <w:p w14:paraId="5ADF0291" w14:textId="77777777" w:rsidR="00DA1BB5" w:rsidRPr="00130879" w:rsidRDefault="002E78C7" w:rsidP="007771BB">
      <w:pPr>
        <w:numPr>
          <w:ilvl w:val="0"/>
          <w:numId w:val="3"/>
        </w:numPr>
        <w:rPr>
          <w:lang w:val="es-ES_tradnl"/>
        </w:rPr>
      </w:pPr>
      <w:r>
        <w:rPr>
          <w:lang w:val="es-ES_tradnl"/>
        </w:rPr>
        <w:t xml:space="preserve">Una copia de la solicitud y cualesquier documentos relacionados se pueden examinar también en </w:t>
      </w:r>
      <w:hyperlink r:id="rId14" w:history="1">
        <w:r>
          <w:rPr>
            <w:color w:val="0000FF"/>
            <w:u w:val="single"/>
            <w:lang w:val="es-ES_tradnl"/>
          </w:rPr>
          <w:t>https://www.sdge.com/rates-and-regulations/proceedings</w:t>
        </w:r>
      </w:hyperlink>
      <w:r>
        <w:rPr>
          <w:lang w:val="es-ES_tradnl"/>
        </w:rPr>
        <w:t>.</w:t>
      </w:r>
    </w:p>
    <w:p w14:paraId="387264B2" w14:textId="77777777" w:rsidR="00DA1BB5" w:rsidRPr="000D0F84" w:rsidRDefault="00DA1BB5" w:rsidP="0072769E"/>
    <w:p w14:paraId="287F6553" w14:textId="77777777" w:rsidR="002E78C7" w:rsidRDefault="002E78C7">
      <w:pPr>
        <w:rPr>
          <w:lang w:val="es-ES_tradnl"/>
        </w:rPr>
      </w:pPr>
      <w:r>
        <w:rPr>
          <w:lang w:val="es-ES_tradnl"/>
        </w:rPr>
        <w:br w:type="page"/>
      </w:r>
    </w:p>
    <w:p w14:paraId="3F6D5F09" w14:textId="3BAAF4D5" w:rsidR="00A158BA" w:rsidRDefault="002E78C7" w:rsidP="00A158BA">
      <w:r>
        <w:rPr>
          <w:lang w:val="es-ES_tradnl"/>
        </w:rPr>
        <w:lastRenderedPageBreak/>
        <w:t>CONTACTE A LA CPUC</w:t>
      </w:r>
    </w:p>
    <w:p w14:paraId="61E3C3AB" w14:textId="77777777" w:rsidR="00A158BA" w:rsidRDefault="002E78C7" w:rsidP="00A158BA">
      <w:pPr>
        <w:autoSpaceDE w:val="0"/>
        <w:autoSpaceDN w:val="0"/>
        <w:adjustRightInd w:val="0"/>
      </w:pPr>
      <w:r>
        <w:rPr>
          <w:lang w:val="es-ES_tradnl"/>
        </w:rPr>
        <w:t>También puede obtener información acerca de este procedimiento poniéndose en contacto con la CPUC:</w:t>
      </w:r>
    </w:p>
    <w:p w14:paraId="79D66A6F" w14:textId="77777777" w:rsidR="00A158BA" w:rsidRDefault="002E78C7" w:rsidP="00A158BA">
      <w:pPr>
        <w:numPr>
          <w:ilvl w:val="0"/>
          <w:numId w:val="4"/>
        </w:numPr>
        <w:autoSpaceDE w:val="0"/>
        <w:autoSpaceDN w:val="0"/>
        <w:adjustRightInd w:val="0"/>
        <w:rPr>
          <w:lang w:val="es-ES_tradnl"/>
        </w:rPr>
      </w:pPr>
      <w:r>
        <w:rPr>
          <w:lang w:val="es-ES_tradnl"/>
        </w:rPr>
        <w:t xml:space="preserve">Si desea hacer un comentario, visite </w:t>
      </w:r>
      <w:hyperlink r:id="rId15" w:history="1">
        <w:r>
          <w:rPr>
            <w:color w:val="0000FF"/>
            <w:u w:val="single"/>
            <w:lang w:val="es-ES_tradnl"/>
          </w:rPr>
          <w:t>cpuc.ca.gov/A2007009Comments</w:t>
        </w:r>
      </w:hyperlink>
      <w:r>
        <w:rPr>
          <w:lang w:val="es-ES_tradnl"/>
        </w:rPr>
        <w:t xml:space="preserve"> para enviar un comentario sobre el Expediente de la CPUC. </w:t>
      </w:r>
    </w:p>
    <w:p w14:paraId="31BE1312" w14:textId="77777777" w:rsidR="00A158BA" w:rsidRDefault="00A158BA" w:rsidP="00A158BA">
      <w:pPr>
        <w:autoSpaceDE w:val="0"/>
        <w:autoSpaceDN w:val="0"/>
        <w:adjustRightInd w:val="0"/>
      </w:pPr>
    </w:p>
    <w:p w14:paraId="63EE5EFF" w14:textId="77777777" w:rsidR="00A158BA" w:rsidRDefault="002E78C7" w:rsidP="00A158BA">
      <w:pPr>
        <w:numPr>
          <w:ilvl w:val="0"/>
          <w:numId w:val="4"/>
        </w:numPr>
        <w:autoSpaceDE w:val="0"/>
        <w:autoSpaceDN w:val="0"/>
        <w:adjustRightInd w:val="0"/>
      </w:pPr>
      <w:r>
        <w:rPr>
          <w:lang w:val="es-ES_tradnl"/>
        </w:rPr>
        <w:t>Si tiene preguntas acerca de los procesos de la CPUC, puede comunicarse a la Oficina del Asesor Público de la CPUC:</w:t>
      </w:r>
    </w:p>
    <w:p w14:paraId="4ABF4516" w14:textId="77777777" w:rsidR="00A158BA" w:rsidRDefault="002E78C7" w:rsidP="00A158BA">
      <w:pPr>
        <w:autoSpaceDE w:val="0"/>
        <w:autoSpaceDN w:val="0"/>
        <w:adjustRightInd w:val="0"/>
        <w:ind w:left="720"/>
      </w:pPr>
      <w:r>
        <w:rPr>
          <w:lang w:val="es-ES_tradnl"/>
        </w:rPr>
        <w:t xml:space="preserve">Llamando al: 1-866-849-8390 (sin costo) </w:t>
      </w:r>
    </w:p>
    <w:p w14:paraId="26CA3EC7" w14:textId="77777777" w:rsidR="00A158BA" w:rsidRDefault="002E78C7" w:rsidP="00A158BA">
      <w:pPr>
        <w:autoSpaceDE w:val="0"/>
        <w:autoSpaceDN w:val="0"/>
        <w:adjustRightInd w:val="0"/>
        <w:ind w:left="720"/>
      </w:pPr>
      <w:r>
        <w:rPr>
          <w:lang w:val="es-ES_tradnl"/>
        </w:rPr>
        <w:t>Escribiendo a: CPUC Public Advisor’s Office</w:t>
      </w:r>
    </w:p>
    <w:p w14:paraId="37D70D58" w14:textId="77777777" w:rsidR="00A158BA" w:rsidRDefault="002E78C7" w:rsidP="00A158BA">
      <w:pPr>
        <w:autoSpaceDE w:val="0"/>
        <w:autoSpaceDN w:val="0"/>
        <w:adjustRightInd w:val="0"/>
        <w:ind w:left="720"/>
      </w:pPr>
      <w:r>
        <w:rPr>
          <w:lang w:val="es-ES_tradnl"/>
        </w:rPr>
        <w:t>505 Van Ness Avenue</w:t>
      </w:r>
    </w:p>
    <w:p w14:paraId="5027B386" w14:textId="77777777" w:rsidR="00A158BA" w:rsidRDefault="002E78C7" w:rsidP="00A158BA">
      <w:pPr>
        <w:autoSpaceDE w:val="0"/>
        <w:autoSpaceDN w:val="0"/>
        <w:adjustRightInd w:val="0"/>
        <w:ind w:left="720"/>
      </w:pPr>
      <w:r>
        <w:rPr>
          <w:lang w:val="es-ES_tradnl"/>
        </w:rPr>
        <w:t>San Francisco, CA 94102</w:t>
      </w:r>
    </w:p>
    <w:p w14:paraId="1E1EEB42" w14:textId="77777777" w:rsidR="00A158BA" w:rsidRDefault="002E78C7" w:rsidP="00A158BA">
      <w:pPr>
        <w:autoSpaceDE w:val="0"/>
        <w:autoSpaceDN w:val="0"/>
        <w:adjustRightInd w:val="0"/>
        <w:ind w:left="720"/>
      </w:pPr>
      <w:r>
        <w:rPr>
          <w:lang w:val="es-ES_tradnl"/>
        </w:rPr>
        <w:t>Enviando un mensaje de correo electrónico a: Public.Advisor@cpuc.ca.gov</w:t>
      </w:r>
    </w:p>
    <w:p w14:paraId="09F87E80" w14:textId="77777777" w:rsidR="00C001B6" w:rsidRDefault="00C001B6" w:rsidP="00C001B6">
      <w:pPr>
        <w:autoSpaceDE w:val="0"/>
        <w:autoSpaceDN w:val="0"/>
        <w:adjustRightInd w:val="0"/>
        <w:rPr>
          <w:rFonts w:ascii="OpenSans-Bold" w:eastAsia="Calibri" w:hAnsi="OpenSans-Bold" w:cs="OpenSans-Bold"/>
          <w:b/>
          <w:bCs/>
          <w:color w:val="000000"/>
          <w:sz w:val="18"/>
          <w:szCs w:val="18"/>
        </w:rPr>
      </w:pPr>
    </w:p>
    <w:p w14:paraId="1D199A44" w14:textId="735AE209" w:rsidR="002D3487" w:rsidRDefault="002E78C7" w:rsidP="00153D8E">
      <w:r>
        <w:rPr>
          <w:lang w:val="es-ES_tradnl"/>
        </w:rPr>
        <w:t xml:space="preserve">Por favor haga referencia a la solicitud 2020 Power Charge Indifference Adjustment (PCIA) Balancing Account (CAPBA) Trigger Application No. </w:t>
      </w:r>
      <w:r>
        <w:rPr>
          <w:b/>
          <w:bCs/>
          <w:lang w:val="es-ES_tradnl"/>
        </w:rPr>
        <w:t>A. 20-07-009</w:t>
      </w:r>
      <w:r>
        <w:rPr>
          <w:lang w:val="es-ES_tradnl"/>
        </w:rPr>
        <w:t xml:space="preserve"> de SDG&amp;E en cualesquiera comunicaciones que sostenga con la CPUC en relación con este asunto.  </w:t>
      </w:r>
    </w:p>
    <w:sectPr w:rsidR="002D348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Levine, Jessica &quot;Jessie&quot;" w:date="2020-07-16T09:36:00Z" w:initials="LJ&quot;">
    <w:p w14:paraId="44A05DD2" w14:textId="77777777" w:rsidR="0095392D" w:rsidRDefault="002E78C7">
      <w:pPr>
        <w:pStyle w:val="CommentText"/>
      </w:pPr>
      <w:r>
        <w:rPr>
          <w:rStyle w:val="CommentReference"/>
        </w:rPr>
        <w:annotationRef/>
      </w:r>
      <w:r>
        <w:t>Is this right?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A05D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A05DD2" w16cid:durableId="22C8FCC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OpenSans-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34E9F"/>
    <w:multiLevelType w:val="hybridMultilevel"/>
    <w:tmpl w:val="F8461AE4"/>
    <w:lvl w:ilvl="0" w:tplc="09F2E1D8">
      <w:start w:val="1"/>
      <w:numFmt w:val="bullet"/>
      <w:lvlText w:val=""/>
      <w:lvlJc w:val="left"/>
      <w:pPr>
        <w:ind w:left="720" w:hanging="360"/>
      </w:pPr>
      <w:rPr>
        <w:rFonts w:ascii="Symbol" w:hAnsi="Symbol" w:hint="default"/>
      </w:rPr>
    </w:lvl>
    <w:lvl w:ilvl="1" w:tplc="A566D8DC" w:tentative="1">
      <w:start w:val="1"/>
      <w:numFmt w:val="bullet"/>
      <w:lvlText w:val="o"/>
      <w:lvlJc w:val="left"/>
      <w:pPr>
        <w:ind w:left="1440" w:hanging="360"/>
      </w:pPr>
      <w:rPr>
        <w:rFonts w:ascii="Courier New" w:hAnsi="Courier New" w:cs="Courier New" w:hint="default"/>
      </w:rPr>
    </w:lvl>
    <w:lvl w:ilvl="2" w:tplc="1F14B99A" w:tentative="1">
      <w:start w:val="1"/>
      <w:numFmt w:val="bullet"/>
      <w:lvlText w:val=""/>
      <w:lvlJc w:val="left"/>
      <w:pPr>
        <w:ind w:left="2160" w:hanging="360"/>
      </w:pPr>
      <w:rPr>
        <w:rFonts w:ascii="Wingdings" w:hAnsi="Wingdings" w:hint="default"/>
      </w:rPr>
    </w:lvl>
    <w:lvl w:ilvl="3" w:tplc="DCDC6240" w:tentative="1">
      <w:start w:val="1"/>
      <w:numFmt w:val="bullet"/>
      <w:lvlText w:val=""/>
      <w:lvlJc w:val="left"/>
      <w:pPr>
        <w:ind w:left="2880" w:hanging="360"/>
      </w:pPr>
      <w:rPr>
        <w:rFonts w:ascii="Symbol" w:hAnsi="Symbol" w:hint="default"/>
      </w:rPr>
    </w:lvl>
    <w:lvl w:ilvl="4" w:tplc="CFC6967A" w:tentative="1">
      <w:start w:val="1"/>
      <w:numFmt w:val="bullet"/>
      <w:lvlText w:val="o"/>
      <w:lvlJc w:val="left"/>
      <w:pPr>
        <w:ind w:left="3600" w:hanging="360"/>
      </w:pPr>
      <w:rPr>
        <w:rFonts w:ascii="Courier New" w:hAnsi="Courier New" w:cs="Courier New" w:hint="default"/>
      </w:rPr>
    </w:lvl>
    <w:lvl w:ilvl="5" w:tplc="399A2CB4" w:tentative="1">
      <w:start w:val="1"/>
      <w:numFmt w:val="bullet"/>
      <w:lvlText w:val=""/>
      <w:lvlJc w:val="left"/>
      <w:pPr>
        <w:ind w:left="4320" w:hanging="360"/>
      </w:pPr>
      <w:rPr>
        <w:rFonts w:ascii="Wingdings" w:hAnsi="Wingdings" w:hint="default"/>
      </w:rPr>
    </w:lvl>
    <w:lvl w:ilvl="6" w:tplc="6A20B2B0" w:tentative="1">
      <w:start w:val="1"/>
      <w:numFmt w:val="bullet"/>
      <w:lvlText w:val=""/>
      <w:lvlJc w:val="left"/>
      <w:pPr>
        <w:ind w:left="5040" w:hanging="360"/>
      </w:pPr>
      <w:rPr>
        <w:rFonts w:ascii="Symbol" w:hAnsi="Symbol" w:hint="default"/>
      </w:rPr>
    </w:lvl>
    <w:lvl w:ilvl="7" w:tplc="B342690A" w:tentative="1">
      <w:start w:val="1"/>
      <w:numFmt w:val="bullet"/>
      <w:lvlText w:val="o"/>
      <w:lvlJc w:val="left"/>
      <w:pPr>
        <w:ind w:left="5760" w:hanging="360"/>
      </w:pPr>
      <w:rPr>
        <w:rFonts w:ascii="Courier New" w:hAnsi="Courier New" w:cs="Courier New" w:hint="default"/>
      </w:rPr>
    </w:lvl>
    <w:lvl w:ilvl="8" w:tplc="289C3918" w:tentative="1">
      <w:start w:val="1"/>
      <w:numFmt w:val="bullet"/>
      <w:lvlText w:val=""/>
      <w:lvlJc w:val="left"/>
      <w:pPr>
        <w:ind w:left="6480" w:hanging="360"/>
      </w:pPr>
      <w:rPr>
        <w:rFonts w:ascii="Wingdings" w:hAnsi="Wingdings" w:hint="default"/>
      </w:rPr>
    </w:lvl>
  </w:abstractNum>
  <w:abstractNum w:abstractNumId="1" w15:restartNumberingAfterBreak="0">
    <w:nsid w:val="117F5BC4"/>
    <w:multiLevelType w:val="hybridMultilevel"/>
    <w:tmpl w:val="54D860CC"/>
    <w:lvl w:ilvl="0" w:tplc="4656C0A8">
      <w:start w:val="1"/>
      <w:numFmt w:val="bullet"/>
      <w:lvlText w:val=""/>
      <w:lvlJc w:val="left"/>
      <w:pPr>
        <w:tabs>
          <w:tab w:val="num" w:pos="720"/>
        </w:tabs>
        <w:ind w:left="720" w:hanging="360"/>
      </w:pPr>
      <w:rPr>
        <w:rFonts w:ascii="Wingdings" w:hAnsi="Wingdings" w:hint="default"/>
      </w:rPr>
    </w:lvl>
    <w:lvl w:ilvl="1" w:tplc="7E66B12C" w:tentative="1">
      <w:start w:val="1"/>
      <w:numFmt w:val="bullet"/>
      <w:lvlText w:val="o"/>
      <w:lvlJc w:val="left"/>
      <w:pPr>
        <w:tabs>
          <w:tab w:val="num" w:pos="1440"/>
        </w:tabs>
        <w:ind w:left="1440" w:hanging="360"/>
      </w:pPr>
      <w:rPr>
        <w:rFonts w:ascii="Courier New" w:hAnsi="Courier New" w:hint="default"/>
      </w:rPr>
    </w:lvl>
    <w:lvl w:ilvl="2" w:tplc="8CAC2130" w:tentative="1">
      <w:start w:val="1"/>
      <w:numFmt w:val="bullet"/>
      <w:lvlText w:val=""/>
      <w:lvlJc w:val="left"/>
      <w:pPr>
        <w:tabs>
          <w:tab w:val="num" w:pos="2160"/>
        </w:tabs>
        <w:ind w:left="2160" w:hanging="360"/>
      </w:pPr>
      <w:rPr>
        <w:rFonts w:ascii="Wingdings" w:hAnsi="Wingdings" w:hint="default"/>
      </w:rPr>
    </w:lvl>
    <w:lvl w:ilvl="3" w:tplc="A66A9CCE" w:tentative="1">
      <w:start w:val="1"/>
      <w:numFmt w:val="bullet"/>
      <w:lvlText w:val=""/>
      <w:lvlJc w:val="left"/>
      <w:pPr>
        <w:tabs>
          <w:tab w:val="num" w:pos="2880"/>
        </w:tabs>
        <w:ind w:left="2880" w:hanging="360"/>
      </w:pPr>
      <w:rPr>
        <w:rFonts w:ascii="Symbol" w:hAnsi="Symbol" w:hint="default"/>
      </w:rPr>
    </w:lvl>
    <w:lvl w:ilvl="4" w:tplc="F4CE1644" w:tentative="1">
      <w:start w:val="1"/>
      <w:numFmt w:val="bullet"/>
      <w:lvlText w:val="o"/>
      <w:lvlJc w:val="left"/>
      <w:pPr>
        <w:tabs>
          <w:tab w:val="num" w:pos="3600"/>
        </w:tabs>
        <w:ind w:left="3600" w:hanging="360"/>
      </w:pPr>
      <w:rPr>
        <w:rFonts w:ascii="Courier New" w:hAnsi="Courier New" w:hint="default"/>
      </w:rPr>
    </w:lvl>
    <w:lvl w:ilvl="5" w:tplc="786671DA" w:tentative="1">
      <w:start w:val="1"/>
      <w:numFmt w:val="bullet"/>
      <w:lvlText w:val=""/>
      <w:lvlJc w:val="left"/>
      <w:pPr>
        <w:tabs>
          <w:tab w:val="num" w:pos="4320"/>
        </w:tabs>
        <w:ind w:left="4320" w:hanging="360"/>
      </w:pPr>
      <w:rPr>
        <w:rFonts w:ascii="Wingdings" w:hAnsi="Wingdings" w:hint="default"/>
      </w:rPr>
    </w:lvl>
    <w:lvl w:ilvl="6" w:tplc="3D08C2E0" w:tentative="1">
      <w:start w:val="1"/>
      <w:numFmt w:val="bullet"/>
      <w:lvlText w:val=""/>
      <w:lvlJc w:val="left"/>
      <w:pPr>
        <w:tabs>
          <w:tab w:val="num" w:pos="5040"/>
        </w:tabs>
        <w:ind w:left="5040" w:hanging="360"/>
      </w:pPr>
      <w:rPr>
        <w:rFonts w:ascii="Symbol" w:hAnsi="Symbol" w:hint="default"/>
      </w:rPr>
    </w:lvl>
    <w:lvl w:ilvl="7" w:tplc="89065678" w:tentative="1">
      <w:start w:val="1"/>
      <w:numFmt w:val="bullet"/>
      <w:lvlText w:val="o"/>
      <w:lvlJc w:val="left"/>
      <w:pPr>
        <w:tabs>
          <w:tab w:val="num" w:pos="5760"/>
        </w:tabs>
        <w:ind w:left="5760" w:hanging="360"/>
      </w:pPr>
      <w:rPr>
        <w:rFonts w:ascii="Courier New" w:hAnsi="Courier New" w:hint="default"/>
      </w:rPr>
    </w:lvl>
    <w:lvl w:ilvl="8" w:tplc="C1207CC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8E3C33"/>
    <w:multiLevelType w:val="hybridMultilevel"/>
    <w:tmpl w:val="1F821DB2"/>
    <w:lvl w:ilvl="0" w:tplc="44DC4146">
      <w:start w:val="1"/>
      <w:numFmt w:val="bullet"/>
      <w:lvlText w:val=""/>
      <w:lvlJc w:val="left"/>
      <w:pPr>
        <w:ind w:left="720" w:hanging="360"/>
      </w:pPr>
      <w:rPr>
        <w:rFonts w:ascii="Symbol" w:hAnsi="Symbol" w:hint="default"/>
      </w:rPr>
    </w:lvl>
    <w:lvl w:ilvl="1" w:tplc="AE769AB0" w:tentative="1">
      <w:start w:val="1"/>
      <w:numFmt w:val="bullet"/>
      <w:lvlText w:val="o"/>
      <w:lvlJc w:val="left"/>
      <w:pPr>
        <w:ind w:left="1440" w:hanging="360"/>
      </w:pPr>
      <w:rPr>
        <w:rFonts w:ascii="Courier New" w:hAnsi="Courier New" w:cs="Courier New" w:hint="default"/>
      </w:rPr>
    </w:lvl>
    <w:lvl w:ilvl="2" w:tplc="E5DCB99C" w:tentative="1">
      <w:start w:val="1"/>
      <w:numFmt w:val="bullet"/>
      <w:lvlText w:val=""/>
      <w:lvlJc w:val="left"/>
      <w:pPr>
        <w:ind w:left="2160" w:hanging="360"/>
      </w:pPr>
      <w:rPr>
        <w:rFonts w:ascii="Wingdings" w:hAnsi="Wingdings" w:hint="default"/>
      </w:rPr>
    </w:lvl>
    <w:lvl w:ilvl="3" w:tplc="165C4BBC" w:tentative="1">
      <w:start w:val="1"/>
      <w:numFmt w:val="bullet"/>
      <w:lvlText w:val=""/>
      <w:lvlJc w:val="left"/>
      <w:pPr>
        <w:ind w:left="2880" w:hanging="360"/>
      </w:pPr>
      <w:rPr>
        <w:rFonts w:ascii="Symbol" w:hAnsi="Symbol" w:hint="default"/>
      </w:rPr>
    </w:lvl>
    <w:lvl w:ilvl="4" w:tplc="034CDE76" w:tentative="1">
      <w:start w:val="1"/>
      <w:numFmt w:val="bullet"/>
      <w:lvlText w:val="o"/>
      <w:lvlJc w:val="left"/>
      <w:pPr>
        <w:ind w:left="3600" w:hanging="360"/>
      </w:pPr>
      <w:rPr>
        <w:rFonts w:ascii="Courier New" w:hAnsi="Courier New" w:cs="Courier New" w:hint="default"/>
      </w:rPr>
    </w:lvl>
    <w:lvl w:ilvl="5" w:tplc="F550B40A" w:tentative="1">
      <w:start w:val="1"/>
      <w:numFmt w:val="bullet"/>
      <w:lvlText w:val=""/>
      <w:lvlJc w:val="left"/>
      <w:pPr>
        <w:ind w:left="4320" w:hanging="360"/>
      </w:pPr>
      <w:rPr>
        <w:rFonts w:ascii="Wingdings" w:hAnsi="Wingdings" w:hint="default"/>
      </w:rPr>
    </w:lvl>
    <w:lvl w:ilvl="6" w:tplc="8F508FC8" w:tentative="1">
      <w:start w:val="1"/>
      <w:numFmt w:val="bullet"/>
      <w:lvlText w:val=""/>
      <w:lvlJc w:val="left"/>
      <w:pPr>
        <w:ind w:left="5040" w:hanging="360"/>
      </w:pPr>
      <w:rPr>
        <w:rFonts w:ascii="Symbol" w:hAnsi="Symbol" w:hint="default"/>
      </w:rPr>
    </w:lvl>
    <w:lvl w:ilvl="7" w:tplc="6F0A43B4" w:tentative="1">
      <w:start w:val="1"/>
      <w:numFmt w:val="bullet"/>
      <w:lvlText w:val="o"/>
      <w:lvlJc w:val="left"/>
      <w:pPr>
        <w:ind w:left="5760" w:hanging="360"/>
      </w:pPr>
      <w:rPr>
        <w:rFonts w:ascii="Courier New" w:hAnsi="Courier New" w:cs="Courier New" w:hint="default"/>
      </w:rPr>
    </w:lvl>
    <w:lvl w:ilvl="8" w:tplc="AC20E3A4"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vine, Jessica &quot;Jessie&quot;">
    <w15:presenceInfo w15:providerId="AD" w15:userId="S::Jessica.Levine@cpuc.ca.gov::f07760a4-2200-45cc-9abc-ea7b549124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69E"/>
    <w:rsid w:val="000027C9"/>
    <w:rsid w:val="00003126"/>
    <w:rsid w:val="00006940"/>
    <w:rsid w:val="00033693"/>
    <w:rsid w:val="00041241"/>
    <w:rsid w:val="000721B8"/>
    <w:rsid w:val="00086239"/>
    <w:rsid w:val="000942F7"/>
    <w:rsid w:val="000A38BC"/>
    <w:rsid w:val="000A7EA3"/>
    <w:rsid w:val="000B5E7F"/>
    <w:rsid w:val="000C1795"/>
    <w:rsid w:val="000C71E9"/>
    <w:rsid w:val="000D0F84"/>
    <w:rsid w:val="000E0136"/>
    <w:rsid w:val="000E09A4"/>
    <w:rsid w:val="000E11A6"/>
    <w:rsid w:val="000E70C1"/>
    <w:rsid w:val="000F1A20"/>
    <w:rsid w:val="00110713"/>
    <w:rsid w:val="00115718"/>
    <w:rsid w:val="00116A5F"/>
    <w:rsid w:val="00122CB2"/>
    <w:rsid w:val="0012607F"/>
    <w:rsid w:val="0012658F"/>
    <w:rsid w:val="001266B2"/>
    <w:rsid w:val="00130879"/>
    <w:rsid w:val="001413A9"/>
    <w:rsid w:val="00143E6E"/>
    <w:rsid w:val="001472EE"/>
    <w:rsid w:val="001474DB"/>
    <w:rsid w:val="00153D8E"/>
    <w:rsid w:val="001552CD"/>
    <w:rsid w:val="00156188"/>
    <w:rsid w:val="00157671"/>
    <w:rsid w:val="00160A1F"/>
    <w:rsid w:val="00191F52"/>
    <w:rsid w:val="00192BD3"/>
    <w:rsid w:val="001A0051"/>
    <w:rsid w:val="001A7E89"/>
    <w:rsid w:val="001B6BD3"/>
    <w:rsid w:val="001B6C69"/>
    <w:rsid w:val="001B7CDE"/>
    <w:rsid w:val="001C10E5"/>
    <w:rsid w:val="001D19F3"/>
    <w:rsid w:val="001E5135"/>
    <w:rsid w:val="001F1400"/>
    <w:rsid w:val="001F2846"/>
    <w:rsid w:val="002009C2"/>
    <w:rsid w:val="0020111E"/>
    <w:rsid w:val="002107AB"/>
    <w:rsid w:val="00211418"/>
    <w:rsid w:val="00212BE6"/>
    <w:rsid w:val="0021655D"/>
    <w:rsid w:val="00216CAE"/>
    <w:rsid w:val="00217125"/>
    <w:rsid w:val="00220865"/>
    <w:rsid w:val="00222A3E"/>
    <w:rsid w:val="00223647"/>
    <w:rsid w:val="00244BFB"/>
    <w:rsid w:val="00252CF6"/>
    <w:rsid w:val="00255E82"/>
    <w:rsid w:val="002641F1"/>
    <w:rsid w:val="00264BBA"/>
    <w:rsid w:val="0027256E"/>
    <w:rsid w:val="00283AC5"/>
    <w:rsid w:val="002958DE"/>
    <w:rsid w:val="002D0B5A"/>
    <w:rsid w:val="002D3487"/>
    <w:rsid w:val="002D4235"/>
    <w:rsid w:val="002E71D8"/>
    <w:rsid w:val="002E78C7"/>
    <w:rsid w:val="002F1680"/>
    <w:rsid w:val="003001DA"/>
    <w:rsid w:val="0030054E"/>
    <w:rsid w:val="00306E6D"/>
    <w:rsid w:val="00312CEA"/>
    <w:rsid w:val="00325F3E"/>
    <w:rsid w:val="00343ECB"/>
    <w:rsid w:val="00345A36"/>
    <w:rsid w:val="003647B8"/>
    <w:rsid w:val="003658F9"/>
    <w:rsid w:val="00373FBE"/>
    <w:rsid w:val="0038065F"/>
    <w:rsid w:val="003A3B31"/>
    <w:rsid w:val="003C0D81"/>
    <w:rsid w:val="003D3E7F"/>
    <w:rsid w:val="003F27E4"/>
    <w:rsid w:val="00402DA1"/>
    <w:rsid w:val="004143AF"/>
    <w:rsid w:val="0041442C"/>
    <w:rsid w:val="00430B06"/>
    <w:rsid w:val="00433A4B"/>
    <w:rsid w:val="00435197"/>
    <w:rsid w:val="004376A3"/>
    <w:rsid w:val="00437E46"/>
    <w:rsid w:val="00446E91"/>
    <w:rsid w:val="0045644B"/>
    <w:rsid w:val="00461939"/>
    <w:rsid w:val="004660D6"/>
    <w:rsid w:val="00491FC2"/>
    <w:rsid w:val="004967AA"/>
    <w:rsid w:val="004B7864"/>
    <w:rsid w:val="004C6EFF"/>
    <w:rsid w:val="004D3680"/>
    <w:rsid w:val="004D4A1D"/>
    <w:rsid w:val="004D7717"/>
    <w:rsid w:val="004E3934"/>
    <w:rsid w:val="0050227B"/>
    <w:rsid w:val="00505E0E"/>
    <w:rsid w:val="00521669"/>
    <w:rsid w:val="0053187B"/>
    <w:rsid w:val="00542052"/>
    <w:rsid w:val="0054308D"/>
    <w:rsid w:val="00583211"/>
    <w:rsid w:val="00583CBC"/>
    <w:rsid w:val="00586D44"/>
    <w:rsid w:val="00591351"/>
    <w:rsid w:val="00596B8D"/>
    <w:rsid w:val="005D0FE1"/>
    <w:rsid w:val="005F6ACF"/>
    <w:rsid w:val="00601B6E"/>
    <w:rsid w:val="00603C6C"/>
    <w:rsid w:val="00604F81"/>
    <w:rsid w:val="00611C8D"/>
    <w:rsid w:val="006126D6"/>
    <w:rsid w:val="00612CEE"/>
    <w:rsid w:val="00614046"/>
    <w:rsid w:val="00622426"/>
    <w:rsid w:val="00633704"/>
    <w:rsid w:val="00637729"/>
    <w:rsid w:val="00651D84"/>
    <w:rsid w:val="00671960"/>
    <w:rsid w:val="00676DAC"/>
    <w:rsid w:val="00677AE9"/>
    <w:rsid w:val="006868F5"/>
    <w:rsid w:val="006948BA"/>
    <w:rsid w:val="006B6AA3"/>
    <w:rsid w:val="006C13C4"/>
    <w:rsid w:val="006C3F26"/>
    <w:rsid w:val="006E1A3A"/>
    <w:rsid w:val="006E25BE"/>
    <w:rsid w:val="006E478E"/>
    <w:rsid w:val="00703DAC"/>
    <w:rsid w:val="00704742"/>
    <w:rsid w:val="00711CB4"/>
    <w:rsid w:val="0071769A"/>
    <w:rsid w:val="0072769E"/>
    <w:rsid w:val="00737ACB"/>
    <w:rsid w:val="00746EA7"/>
    <w:rsid w:val="0076029C"/>
    <w:rsid w:val="00763EA2"/>
    <w:rsid w:val="007771BB"/>
    <w:rsid w:val="00794339"/>
    <w:rsid w:val="0079586B"/>
    <w:rsid w:val="00797379"/>
    <w:rsid w:val="007A032D"/>
    <w:rsid w:val="007A3453"/>
    <w:rsid w:val="007B22F5"/>
    <w:rsid w:val="007B44CD"/>
    <w:rsid w:val="007C151E"/>
    <w:rsid w:val="007E7BAF"/>
    <w:rsid w:val="00803142"/>
    <w:rsid w:val="0080769D"/>
    <w:rsid w:val="00813802"/>
    <w:rsid w:val="0081436D"/>
    <w:rsid w:val="00825E69"/>
    <w:rsid w:val="00834529"/>
    <w:rsid w:val="00836C1C"/>
    <w:rsid w:val="00841F8F"/>
    <w:rsid w:val="00845D9B"/>
    <w:rsid w:val="00855041"/>
    <w:rsid w:val="00865804"/>
    <w:rsid w:val="00875C37"/>
    <w:rsid w:val="00890C75"/>
    <w:rsid w:val="00897331"/>
    <w:rsid w:val="008C3F4D"/>
    <w:rsid w:val="008D059E"/>
    <w:rsid w:val="008D667E"/>
    <w:rsid w:val="008E40C5"/>
    <w:rsid w:val="008F3708"/>
    <w:rsid w:val="009009F5"/>
    <w:rsid w:val="009063CB"/>
    <w:rsid w:val="009241F1"/>
    <w:rsid w:val="0093032D"/>
    <w:rsid w:val="00930D40"/>
    <w:rsid w:val="00935485"/>
    <w:rsid w:val="00936367"/>
    <w:rsid w:val="009430F4"/>
    <w:rsid w:val="00947860"/>
    <w:rsid w:val="0095392D"/>
    <w:rsid w:val="00955457"/>
    <w:rsid w:val="009646EF"/>
    <w:rsid w:val="00970BC2"/>
    <w:rsid w:val="0098254D"/>
    <w:rsid w:val="00992D3E"/>
    <w:rsid w:val="009A5B49"/>
    <w:rsid w:val="009B1D16"/>
    <w:rsid w:val="009B4D09"/>
    <w:rsid w:val="009C3FC9"/>
    <w:rsid w:val="009E3F82"/>
    <w:rsid w:val="009E442E"/>
    <w:rsid w:val="009F0908"/>
    <w:rsid w:val="009F2965"/>
    <w:rsid w:val="009F7DA2"/>
    <w:rsid w:val="00A1123C"/>
    <w:rsid w:val="00A14A79"/>
    <w:rsid w:val="00A158BA"/>
    <w:rsid w:val="00A25F39"/>
    <w:rsid w:val="00A26D4B"/>
    <w:rsid w:val="00A32C67"/>
    <w:rsid w:val="00A34EDD"/>
    <w:rsid w:val="00A53F76"/>
    <w:rsid w:val="00A56754"/>
    <w:rsid w:val="00A713B8"/>
    <w:rsid w:val="00A92F2F"/>
    <w:rsid w:val="00AA7F7D"/>
    <w:rsid w:val="00AB3ADC"/>
    <w:rsid w:val="00AB5DD5"/>
    <w:rsid w:val="00AC0522"/>
    <w:rsid w:val="00AE152C"/>
    <w:rsid w:val="00AE7615"/>
    <w:rsid w:val="00AF118D"/>
    <w:rsid w:val="00B11CA5"/>
    <w:rsid w:val="00B172B8"/>
    <w:rsid w:val="00B3708D"/>
    <w:rsid w:val="00B52B6B"/>
    <w:rsid w:val="00B829B9"/>
    <w:rsid w:val="00B936E1"/>
    <w:rsid w:val="00BA4E81"/>
    <w:rsid w:val="00BB4510"/>
    <w:rsid w:val="00BC427A"/>
    <w:rsid w:val="00BC43A2"/>
    <w:rsid w:val="00BC7355"/>
    <w:rsid w:val="00BD20E6"/>
    <w:rsid w:val="00C001B6"/>
    <w:rsid w:val="00C003D9"/>
    <w:rsid w:val="00C13F9F"/>
    <w:rsid w:val="00C327D2"/>
    <w:rsid w:val="00C35612"/>
    <w:rsid w:val="00C47735"/>
    <w:rsid w:val="00C51758"/>
    <w:rsid w:val="00C5287C"/>
    <w:rsid w:val="00C532BB"/>
    <w:rsid w:val="00C630C5"/>
    <w:rsid w:val="00C83C63"/>
    <w:rsid w:val="00C95557"/>
    <w:rsid w:val="00CA176F"/>
    <w:rsid w:val="00CA369D"/>
    <w:rsid w:val="00CA564A"/>
    <w:rsid w:val="00CA753A"/>
    <w:rsid w:val="00CE492E"/>
    <w:rsid w:val="00CF0900"/>
    <w:rsid w:val="00CF377F"/>
    <w:rsid w:val="00D0464C"/>
    <w:rsid w:val="00D10C31"/>
    <w:rsid w:val="00D15156"/>
    <w:rsid w:val="00D23734"/>
    <w:rsid w:val="00D34332"/>
    <w:rsid w:val="00D37172"/>
    <w:rsid w:val="00D43140"/>
    <w:rsid w:val="00D512FD"/>
    <w:rsid w:val="00D55110"/>
    <w:rsid w:val="00D56F53"/>
    <w:rsid w:val="00D57616"/>
    <w:rsid w:val="00D63779"/>
    <w:rsid w:val="00DA1BB5"/>
    <w:rsid w:val="00DA25DE"/>
    <w:rsid w:val="00DA75D5"/>
    <w:rsid w:val="00DB4662"/>
    <w:rsid w:val="00DB626C"/>
    <w:rsid w:val="00DC1521"/>
    <w:rsid w:val="00DE0334"/>
    <w:rsid w:val="00DE799B"/>
    <w:rsid w:val="00DF231E"/>
    <w:rsid w:val="00DF33ED"/>
    <w:rsid w:val="00E0287E"/>
    <w:rsid w:val="00E16B93"/>
    <w:rsid w:val="00E23F04"/>
    <w:rsid w:val="00E40D04"/>
    <w:rsid w:val="00E411CE"/>
    <w:rsid w:val="00E53451"/>
    <w:rsid w:val="00E74D94"/>
    <w:rsid w:val="00E90018"/>
    <w:rsid w:val="00E92C64"/>
    <w:rsid w:val="00E93C2A"/>
    <w:rsid w:val="00E9569F"/>
    <w:rsid w:val="00EA7896"/>
    <w:rsid w:val="00EB119B"/>
    <w:rsid w:val="00EB1DA5"/>
    <w:rsid w:val="00EB50CD"/>
    <w:rsid w:val="00EC3413"/>
    <w:rsid w:val="00EC3789"/>
    <w:rsid w:val="00ED280A"/>
    <w:rsid w:val="00EE5A50"/>
    <w:rsid w:val="00F00BC7"/>
    <w:rsid w:val="00F00DBE"/>
    <w:rsid w:val="00F04354"/>
    <w:rsid w:val="00F0704A"/>
    <w:rsid w:val="00F235B3"/>
    <w:rsid w:val="00F431A3"/>
    <w:rsid w:val="00F62510"/>
    <w:rsid w:val="00F76253"/>
    <w:rsid w:val="00F87139"/>
    <w:rsid w:val="00F93774"/>
    <w:rsid w:val="00F967B8"/>
    <w:rsid w:val="00FA5A56"/>
    <w:rsid w:val="00FA5E07"/>
    <w:rsid w:val="00FA7793"/>
    <w:rsid w:val="00FB15CF"/>
    <w:rsid w:val="00FE1A9E"/>
    <w:rsid w:val="00FF0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16B4F5-DF04-7741-84E5-1D2BAA426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769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72769E"/>
    <w:pPr>
      <w:widowControl w:val="0"/>
      <w:spacing w:after="240"/>
    </w:pPr>
    <w:rPr>
      <w:lang w:val="x-none" w:eastAsia="x-none"/>
    </w:rPr>
  </w:style>
  <w:style w:type="character" w:customStyle="1" w:styleId="BodyTextChar">
    <w:name w:val="Body Text Char"/>
    <w:link w:val="BodyText"/>
    <w:uiPriority w:val="99"/>
    <w:rsid w:val="0072769E"/>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rsid w:val="0072769E"/>
    <w:pPr>
      <w:tabs>
        <w:tab w:val="center" w:pos="4680"/>
        <w:tab w:val="right" w:pos="9360"/>
      </w:tabs>
    </w:pPr>
    <w:rPr>
      <w:lang w:val="x-none" w:eastAsia="x-none"/>
    </w:rPr>
  </w:style>
  <w:style w:type="character" w:customStyle="1" w:styleId="HeaderChar">
    <w:name w:val="Header Char"/>
    <w:link w:val="Header"/>
    <w:uiPriority w:val="99"/>
    <w:rsid w:val="0072769E"/>
    <w:rPr>
      <w:rFonts w:ascii="Times New Roman" w:eastAsia="Times New Roman" w:hAnsi="Times New Roman" w:cs="Times New Roman"/>
      <w:sz w:val="24"/>
      <w:szCs w:val="24"/>
      <w:lang w:val="x-none" w:eastAsia="x-none"/>
    </w:rPr>
  </w:style>
  <w:style w:type="paragraph" w:customStyle="1" w:styleId="TableCaption">
    <w:name w:val="Table Caption"/>
    <w:basedOn w:val="Normal"/>
    <w:next w:val="Table"/>
    <w:uiPriority w:val="99"/>
    <w:rsid w:val="0072769E"/>
    <w:pPr>
      <w:keepNext/>
      <w:keepLines/>
      <w:spacing w:before="440" w:after="440" w:line="240" w:lineRule="atLeast"/>
      <w:jc w:val="center"/>
    </w:pPr>
    <w:rPr>
      <w:rFonts w:ascii="Arial" w:hAnsi="Arial" w:cs="Arial"/>
      <w:b/>
      <w:bCs/>
      <w:caps/>
      <w:sz w:val="20"/>
      <w:szCs w:val="20"/>
    </w:rPr>
  </w:style>
  <w:style w:type="paragraph" w:customStyle="1" w:styleId="Table">
    <w:name w:val="Table"/>
    <w:basedOn w:val="Normal"/>
    <w:uiPriority w:val="99"/>
    <w:rsid w:val="0072769E"/>
    <w:pPr>
      <w:keepNext/>
      <w:keepLines/>
    </w:pPr>
    <w:rPr>
      <w:rFonts w:ascii="Arial" w:hAnsi="Arial" w:cs="Arial"/>
      <w:sz w:val="20"/>
      <w:szCs w:val="20"/>
    </w:rPr>
  </w:style>
  <w:style w:type="character" w:styleId="Hyperlink">
    <w:name w:val="Hyperlink"/>
    <w:uiPriority w:val="99"/>
    <w:rsid w:val="0072769E"/>
    <w:rPr>
      <w:rFonts w:cs="Times New Roman"/>
      <w:color w:val="0000FF"/>
      <w:u w:val="single"/>
    </w:rPr>
  </w:style>
  <w:style w:type="paragraph" w:customStyle="1" w:styleId="NormalEx24">
    <w:name w:val="NormalEx24"/>
    <w:basedOn w:val="Normal"/>
    <w:uiPriority w:val="99"/>
    <w:rsid w:val="0072769E"/>
    <w:pPr>
      <w:overflowPunct w:val="0"/>
      <w:autoSpaceDE w:val="0"/>
      <w:autoSpaceDN w:val="0"/>
      <w:adjustRightInd w:val="0"/>
      <w:spacing w:line="480" w:lineRule="exact"/>
      <w:ind w:firstLine="720"/>
      <w:textAlignment w:val="baseline"/>
    </w:pPr>
    <w:rPr>
      <w:rFonts w:ascii="Courier New" w:hAnsi="Courier New" w:cs="Courier New"/>
    </w:rPr>
  </w:style>
  <w:style w:type="paragraph" w:styleId="ListParagraph">
    <w:name w:val="List Paragraph"/>
    <w:basedOn w:val="Normal"/>
    <w:uiPriority w:val="34"/>
    <w:qFormat/>
    <w:rsid w:val="0072769E"/>
    <w:pPr>
      <w:ind w:left="720"/>
    </w:pPr>
  </w:style>
  <w:style w:type="character" w:styleId="CommentReference">
    <w:name w:val="annotation reference"/>
    <w:semiHidden/>
    <w:unhideWhenUsed/>
    <w:rsid w:val="0072769E"/>
    <w:rPr>
      <w:sz w:val="16"/>
      <w:szCs w:val="16"/>
    </w:rPr>
  </w:style>
  <w:style w:type="paragraph" w:styleId="CommentText">
    <w:name w:val="annotation text"/>
    <w:basedOn w:val="Normal"/>
    <w:link w:val="CommentTextChar"/>
    <w:unhideWhenUsed/>
    <w:rsid w:val="0072769E"/>
    <w:rPr>
      <w:sz w:val="20"/>
      <w:szCs w:val="20"/>
    </w:rPr>
  </w:style>
  <w:style w:type="character" w:customStyle="1" w:styleId="CommentTextChar">
    <w:name w:val="Comment Text Char"/>
    <w:link w:val="CommentText"/>
    <w:rsid w:val="0072769E"/>
    <w:rPr>
      <w:rFonts w:ascii="Times New Roman" w:eastAsia="Times New Roman" w:hAnsi="Times New Roman" w:cs="Times New Roman"/>
      <w:sz w:val="20"/>
      <w:szCs w:val="20"/>
    </w:rPr>
  </w:style>
  <w:style w:type="table" w:styleId="TableGrid">
    <w:name w:val="Table Grid"/>
    <w:basedOn w:val="TableNormal"/>
    <w:rsid w:val="0072769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769E"/>
    <w:rPr>
      <w:rFonts w:ascii="Segoe UI" w:hAnsi="Segoe UI" w:cs="Segoe UI"/>
      <w:sz w:val="18"/>
      <w:szCs w:val="18"/>
    </w:rPr>
  </w:style>
  <w:style w:type="character" w:customStyle="1" w:styleId="BalloonTextChar">
    <w:name w:val="Balloon Text Char"/>
    <w:link w:val="BalloonText"/>
    <w:uiPriority w:val="99"/>
    <w:semiHidden/>
    <w:rsid w:val="0072769E"/>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C327D2"/>
    <w:rPr>
      <w:b/>
      <w:bCs/>
    </w:rPr>
  </w:style>
  <w:style w:type="character" w:customStyle="1" w:styleId="CommentSubjectChar">
    <w:name w:val="Comment Subject Char"/>
    <w:link w:val="CommentSubject"/>
    <w:uiPriority w:val="99"/>
    <w:semiHidden/>
    <w:rsid w:val="00C327D2"/>
    <w:rPr>
      <w:rFonts w:ascii="Times New Roman" w:eastAsia="Times New Roman" w:hAnsi="Times New Roman" w:cs="Times New Roman"/>
      <w:b/>
      <w:bCs/>
      <w:sz w:val="20"/>
      <w:szCs w:val="20"/>
    </w:rPr>
  </w:style>
  <w:style w:type="paragraph" w:styleId="FootnoteText">
    <w:name w:val="footnote text"/>
    <w:aliases w:val="Char,Footnote Text Char Char,Footnote Text Char Char Char,Footnote Text Char Char Char Char Char,Footnote Text Char1,Footnote Text Char2 Char,Footnote Text Char2 Char Char Char,Footnote Text Char2 Char Char Char Char1 Char,f,fn"/>
    <w:basedOn w:val="Normal"/>
    <w:link w:val="FootnoteTextChar"/>
    <w:unhideWhenUsed/>
    <w:rsid w:val="00BB4510"/>
    <w:rPr>
      <w:sz w:val="20"/>
      <w:szCs w:val="20"/>
    </w:rPr>
  </w:style>
  <w:style w:type="character" w:customStyle="1" w:styleId="FootnoteTextChar">
    <w:name w:val="Footnote Text Char"/>
    <w:aliases w:val="Char Char,Footnote Text Char Char Char1,Footnote Text Char Char Char Char,Footnote Text Char Char Char Char Char Char,Footnote Text Char1 Char,Footnote Text Char2 Char Char,Footnote Text Char2 Char Char Char Char,f Char,fn Char"/>
    <w:link w:val="FootnoteText"/>
    <w:rsid w:val="00BB4510"/>
    <w:rPr>
      <w:rFonts w:ascii="Times New Roman" w:eastAsia="Times New Roman" w:hAnsi="Times New Roman" w:cs="Times New Roman"/>
      <w:sz w:val="20"/>
      <w:szCs w:val="20"/>
    </w:rPr>
  </w:style>
  <w:style w:type="character" w:styleId="FootnoteReference">
    <w:name w:val="footnote reference"/>
    <w:aliases w:val="(NECG) Footnote Reference,Appel note de bas de p,Style 12,Style 124,Style 3,fr,o,o + Times New Roman,o1,o11,o2,o21,o3,o4,o5,o6,o7"/>
    <w:uiPriority w:val="99"/>
    <w:unhideWhenUsed/>
    <w:rsid w:val="00BB4510"/>
    <w:rPr>
      <w:vertAlign w:val="superscript"/>
    </w:rPr>
  </w:style>
  <w:style w:type="paragraph" w:styleId="Revision">
    <w:name w:val="Revision"/>
    <w:hidden/>
    <w:uiPriority w:val="99"/>
    <w:semiHidden/>
    <w:rsid w:val="006E25BE"/>
    <w:rPr>
      <w:rFonts w:ascii="Times New Roman" w:eastAsia="Times New Roman" w:hAnsi="Times New Roman"/>
      <w:sz w:val="24"/>
      <w:szCs w:val="24"/>
    </w:rPr>
  </w:style>
  <w:style w:type="character" w:customStyle="1" w:styleId="UnresolvedMention1">
    <w:name w:val="Unresolved Mention1"/>
    <w:uiPriority w:val="99"/>
    <w:semiHidden/>
    <w:unhideWhenUsed/>
    <w:rsid w:val="00C00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1.safelinks.protection.outlook.com/?url=http%3A%2F%2Fwww.publicadvocates.cpuc.ca.gov%2F&amp;data=02%7C01%7Cs8s7%40pge.com%7C6adde1174ca24486707608d7b007362a%7C44ae661aece641aabc967c2c85a08941%7C0%7C0%7C637171417333705195&amp;sdata=useOGkNnZoqKlC7uZuvSaRz6GQKtJNCacC%2FOWpBJim8%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ublicAdvocatesOffice@cpuc.ca.gov"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file:///C:\Users\mcendeja\Desktop\CAPBA\bad\New\cpuc.ca.gov\A2007009Comments" TargetMode="Externa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hyperlink" Target="https://www.sdge.com/rates-and-regulations/procee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DAA533EF2C05459889440C0350ED98" ma:contentTypeVersion="4" ma:contentTypeDescription="Create a new document." ma:contentTypeScope="" ma:versionID="88cba28023d7b8efae2e7523230c2fbd">
  <xsd:schema xmlns:xsd="http://www.w3.org/2001/XMLSchema" xmlns:xs="http://www.w3.org/2001/XMLSchema" xmlns:p="http://schemas.microsoft.com/office/2006/metadata/properties" xmlns:ns2="66492d2c-6e0d-411c-8f11-9da78715e500" targetNamespace="http://schemas.microsoft.com/office/2006/metadata/properties" ma:root="true" ma:fieldsID="2caf56e62fa370c9dff8a715e766367c" ns2:_="">
    <xsd:import namespace="66492d2c-6e0d-411c-8f11-9da78715e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92d2c-6e0d-411c-8f11-9da78715e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514E3-2DE4-414C-945C-5445C7C0805E}">
  <ds:schemaRefs>
    <ds:schemaRef ds:uri="http://schemas.microsoft.com/sharepoint/v3/contenttype/forms"/>
  </ds:schemaRefs>
</ds:datastoreItem>
</file>

<file path=customXml/itemProps2.xml><?xml version="1.0" encoding="utf-8"?>
<ds:datastoreItem xmlns:ds="http://schemas.openxmlformats.org/officeDocument/2006/customXml" ds:itemID="{4229F39E-AC02-4F1F-BB0F-530384462BD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6492d2c-6e0d-411c-8f11-9da78715e500"/>
    <ds:schemaRef ds:uri="http://www.w3.org/XML/1998/namespace"/>
    <ds:schemaRef ds:uri="http://purl.org/dc/dcmitype/"/>
  </ds:schemaRefs>
</ds:datastoreItem>
</file>

<file path=customXml/itemProps3.xml><?xml version="1.0" encoding="utf-8"?>
<ds:datastoreItem xmlns:ds="http://schemas.openxmlformats.org/officeDocument/2006/customXml" ds:itemID="{A0D66AF3-5B4B-48C6-A580-2490C359A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92d2c-6e0d-411c-8f11-9da78715e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8A77AC-34F0-4CD4-B0DC-00B594AFE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915</Words>
  <Characters>5218</Characters>
  <Application>Microsoft Office Word</Application>
  <DocSecurity>4</DocSecurity>
  <Lines>43</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CPUC</Company>
  <LinksUpToDate>false</LinksUpToDate>
  <CharactersWithSpaces>6121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Belus, Heather</dc:creator>
  <cp:keywords/>
  <dc:description/>
  <cp:lastModifiedBy>Tilos, Mary Ann</cp:lastModifiedBy>
  <cp:revision>2</cp:revision>
  <cp:lastPrinted>1901-01-01T05:00:00Z</cp:lastPrinted>
  <dcterms:created xsi:type="dcterms:W3CDTF">2020-07-27T16:34:00Z</dcterms:created>
  <dcterms:modified xsi:type="dcterms:W3CDTF">2020-07-27T16:34:00Z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0x010100F6DAA533EF2C05459889440C0350ED98</vt:lpwstr>
  </property>
  <property fmtid="{D5CDD505-2E9C-101B-9397-08002B2CF9AE}" pid="3" name="LINKTEK-FILE-ID">
    <vt:lpwstr>01EC-7C48-88C6-850C</vt:lpwstr>
  </property>
</Properties>
</file>