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FB3F7" w14:textId="77777777" w:rsidR="000C511F" w:rsidRPr="00C66DFA" w:rsidRDefault="00D93639" w:rsidP="000C511F">
      <w:pPr>
        <w:pStyle w:val="Header"/>
        <w:jc w:val="center"/>
        <w:rPr>
          <w:b/>
        </w:rPr>
      </w:pPr>
      <w:bookmarkStart w:id="0" w:name="_GoBack"/>
      <w:bookmarkEnd w:id="0"/>
      <w:r>
        <w:rPr>
          <w:b/>
          <w:bCs/>
          <w:bdr w:val="nil"/>
          <w:lang w:val="es-ES"/>
        </w:rPr>
        <w:t>Para más detalles, llame al 1-800-311-7343</w:t>
      </w:r>
    </w:p>
    <w:p w14:paraId="0AB7C866" w14:textId="77777777" w:rsidR="000C511F" w:rsidRPr="00C66DFA" w:rsidRDefault="005A7D75">
      <w:pPr>
        <w:jc w:val="center"/>
        <w:rPr>
          <w:b/>
        </w:rPr>
      </w:pPr>
    </w:p>
    <w:p w14:paraId="478FB756" w14:textId="77777777" w:rsidR="00CC2E5E" w:rsidRPr="00C66DFA" w:rsidRDefault="00D93639" w:rsidP="00CC2E5E">
      <w:pPr>
        <w:jc w:val="center"/>
        <w:rPr>
          <w:b/>
        </w:rPr>
      </w:pPr>
      <w:r>
        <w:rPr>
          <w:b/>
          <w:bCs/>
          <w:bdr w:val="nil"/>
          <w:lang w:val="es-ES"/>
        </w:rPr>
        <w:t xml:space="preserve">NOTIFICACIÓN DE PETICIÓN DE SAN DIEGO GAS &amp; ELECTRIC COMPANY A FIN DE INCREMENTAR LAS TARIFAS ELÉCTRICAS PARA EL PRONÓSTICO ERRA 2018 </w:t>
      </w:r>
    </w:p>
    <w:p w14:paraId="6F79469D" w14:textId="77777777" w:rsidR="00472FB8" w:rsidRPr="00C66DFA" w:rsidRDefault="00D93639" w:rsidP="00CC2E5E">
      <w:pPr>
        <w:jc w:val="center"/>
        <w:rPr>
          <w:b/>
        </w:rPr>
      </w:pPr>
      <w:r>
        <w:rPr>
          <w:b/>
          <w:bCs/>
          <w:bdr w:val="nil"/>
          <w:lang w:val="es-ES"/>
        </w:rPr>
        <w:t>SOLICITUD NÚM. A. 17-04-016</w:t>
      </w:r>
    </w:p>
    <w:p w14:paraId="1A96F637" w14:textId="77777777" w:rsidR="00472FB8" w:rsidRPr="00C66DFA" w:rsidRDefault="005A7D75">
      <w:pPr>
        <w:jc w:val="center"/>
        <w:rPr>
          <w:b/>
        </w:rPr>
      </w:pPr>
    </w:p>
    <w:p w14:paraId="2C705527" w14:textId="77777777" w:rsidR="0040149F" w:rsidRPr="00C66DFA" w:rsidRDefault="00D93639" w:rsidP="000952FA">
      <w:r>
        <w:rPr>
          <w:bdr w:val="nil"/>
          <w:lang w:val="es-ES"/>
        </w:rPr>
        <w:t>El 14 de abril de 2017, San Diego Gas &amp; Electric Company (SDG&amp;E</w:t>
      </w:r>
      <w:r>
        <w:rPr>
          <w:bdr w:val="nil"/>
          <w:vertAlign w:val="superscript"/>
          <w:lang w:val="es-ES"/>
        </w:rPr>
        <w:t>®</w:t>
      </w:r>
      <w:r>
        <w:rPr>
          <w:bdr w:val="nil"/>
          <w:lang w:val="es-ES"/>
        </w:rPr>
        <w:t xml:space="preserve">) presentó una solicitud ante la Comisión de Servicios Públicos de California (CPUC) con el objeto de obtener la aprobación </w:t>
      </w:r>
      <w:r w:rsidR="00D05284">
        <w:rPr>
          <w:bdr w:val="nil"/>
          <w:lang w:val="es-ES"/>
        </w:rPr>
        <w:t>a fin de</w:t>
      </w:r>
      <w:r>
        <w:rPr>
          <w:bdr w:val="nil"/>
          <w:lang w:val="es-ES"/>
        </w:rPr>
        <w:t xml:space="preserve"> aumentar las tarifas para comprar electricidad para sus clientes en 2018. Además, esta solicitud aborda los pronósticos en cuanto a requisitos de ingreso y los pronósticos relacionados con gases de efecto invernadero. Se hace referencia a la presente como solicitud de pronóstico de la Cuenta de Recuperación de los Recursos Energéticos (ERRA) 2018 de SDG&amp;E (solicitud). De aprobarse, esta solicitud daría como resultado un aumento en el requisito global de ingresos y tarifas a partir de 2018.</w:t>
      </w:r>
    </w:p>
    <w:p w14:paraId="6C7F8358" w14:textId="77777777" w:rsidR="007A32FF" w:rsidRPr="00C66DFA" w:rsidRDefault="005A7D75" w:rsidP="00A40F28">
      <w:pPr>
        <w:jc w:val="both"/>
      </w:pPr>
    </w:p>
    <w:p w14:paraId="72DEC06D" w14:textId="77777777" w:rsidR="00B018A5" w:rsidRPr="00C66DFA" w:rsidRDefault="00D93639" w:rsidP="00416C45">
      <w:pPr>
        <w:rPr>
          <w:color w:val="000000"/>
        </w:rPr>
      </w:pPr>
      <w:r>
        <w:rPr>
          <w:bdr w:val="nil"/>
          <w:lang w:val="es-ES"/>
        </w:rPr>
        <w:t xml:space="preserve">SDG&amp;E está solicitando $1,398,226,186 para 2018. Si se aprueba la petición, el requisito de ingresos de SDG&amp;E para 2018 aumentará en $47,917,101, en comparación con el requisito de ingresos actual de </w:t>
      </w:r>
      <w:r>
        <w:rPr>
          <w:color w:val="000000"/>
          <w:bdr w:val="nil"/>
          <w:lang w:val="es-ES"/>
        </w:rPr>
        <w:t>$1,350,309,085, que representa un aumento de 3.5% del actual requisito de ingresos</w:t>
      </w:r>
      <w:r>
        <w:rPr>
          <w:bdr w:val="nil"/>
          <w:lang w:val="es-ES"/>
        </w:rPr>
        <w:t>.</w:t>
      </w:r>
    </w:p>
    <w:p w14:paraId="6689005E" w14:textId="77777777" w:rsidR="00492ADF" w:rsidRPr="00C66DFA" w:rsidRDefault="005A7D75" w:rsidP="00A40F28">
      <w:pPr>
        <w:jc w:val="both"/>
      </w:pPr>
    </w:p>
    <w:p w14:paraId="30E01035" w14:textId="77777777" w:rsidR="00B468DB" w:rsidRPr="00C66DFA" w:rsidRDefault="00D93639" w:rsidP="00E05B0E">
      <w:pPr>
        <w:jc w:val="both"/>
      </w:pPr>
      <w:r>
        <w:rPr>
          <w:bdr w:val="nil"/>
          <w:lang w:val="es-ES"/>
        </w:rPr>
        <w:t xml:space="preserve">El requisito de ingresos totales consta de cinco componentes: Cuenta de Recuperación de los Recursos Energéticos (ERRA); Cargo por Transición a la Competencia (CTC); Generación Local (LG), y costos por </w:t>
      </w:r>
      <w:r w:rsidR="005B7F37">
        <w:rPr>
          <w:bdr w:val="nil"/>
          <w:lang w:val="es-ES"/>
        </w:rPr>
        <w:t xml:space="preserve">emisiones de </w:t>
      </w:r>
      <w:r>
        <w:rPr>
          <w:bdr w:val="nil"/>
          <w:lang w:val="es-ES"/>
        </w:rPr>
        <w:t xml:space="preserve">gases de efecto invernadero (GHG), e ingresos </w:t>
      </w:r>
      <w:r w:rsidR="005B7F37">
        <w:rPr>
          <w:bdr w:val="nil"/>
          <w:lang w:val="es-ES"/>
        </w:rPr>
        <w:t>de</w:t>
      </w:r>
      <w:r>
        <w:rPr>
          <w:bdr w:val="nil"/>
          <w:lang w:val="es-ES"/>
        </w:rPr>
        <w:t xml:space="preserve"> </w:t>
      </w:r>
      <w:r w:rsidR="005B7F37">
        <w:rPr>
          <w:bdr w:val="nil"/>
          <w:lang w:val="es-ES"/>
        </w:rPr>
        <w:t>autorizaciones</w:t>
      </w:r>
      <w:r w:rsidR="00BF3FAD" w:rsidRPr="00BF3FAD">
        <w:rPr>
          <w:bdr w:val="nil"/>
          <w:lang w:val="es-ES"/>
        </w:rPr>
        <w:t xml:space="preserve"> </w:t>
      </w:r>
      <w:r w:rsidR="005B7F37">
        <w:rPr>
          <w:bdr w:val="nil"/>
          <w:lang w:val="es-ES"/>
        </w:rPr>
        <w:t>por</w:t>
      </w:r>
      <w:r w:rsidR="00BF3FAD" w:rsidRPr="00BF3FAD">
        <w:rPr>
          <w:bdr w:val="nil"/>
          <w:lang w:val="es-ES"/>
        </w:rPr>
        <w:t xml:space="preserve"> emisi</w:t>
      </w:r>
      <w:r w:rsidR="005B7F37">
        <w:rPr>
          <w:bdr w:val="nil"/>
          <w:lang w:val="es-ES"/>
        </w:rPr>
        <w:t>ones</w:t>
      </w:r>
      <w:r>
        <w:rPr>
          <w:bdr w:val="nil"/>
          <w:lang w:val="es-ES"/>
        </w:rPr>
        <w:t>. SDG&amp;E también está buscando recuperar los costos asociados con el almacenamiento de combustible nuclear que ya no es de utilidad (conocido también como combustible usado) de la Unidad 1 de la Estación de Generación Nuclear de San Onofre (SONGS). Se incurrió en este costo debido a la participación del 20% de SDG&amp;E en la Unidad 1 de SONGS.</w:t>
      </w:r>
    </w:p>
    <w:p w14:paraId="1EDA96F9" w14:textId="77777777" w:rsidR="00B468DB" w:rsidRPr="00C66DFA" w:rsidRDefault="005A7D75" w:rsidP="00A40F28">
      <w:pPr>
        <w:jc w:val="both"/>
      </w:pPr>
    </w:p>
    <w:p w14:paraId="42DEA081" w14:textId="77777777" w:rsidR="001E15CF" w:rsidRPr="00C66DFA" w:rsidRDefault="00D93639" w:rsidP="00A40F28">
      <w:pPr>
        <w:jc w:val="both"/>
      </w:pPr>
      <w:r>
        <w:rPr>
          <w:bdr w:val="nil"/>
          <w:lang w:val="es-ES"/>
        </w:rPr>
        <w:t xml:space="preserve">La ERRA comprende básicamente costos por concepto de combustible necesario para poner a funcionar los generadores a fin de </w:t>
      </w:r>
      <w:r w:rsidR="00BE3D71">
        <w:rPr>
          <w:bdr w:val="nil"/>
          <w:lang w:val="es-ES"/>
        </w:rPr>
        <w:t>producir</w:t>
      </w:r>
      <w:r>
        <w:rPr>
          <w:bdr w:val="nil"/>
          <w:lang w:val="es-ES"/>
        </w:rPr>
        <w:t xml:space="preserve"> electricidad</w:t>
      </w:r>
      <w:r w:rsidR="00BE3D71">
        <w:rPr>
          <w:bdr w:val="nil"/>
          <w:lang w:val="es-ES"/>
        </w:rPr>
        <w:t>,</w:t>
      </w:r>
      <w:r>
        <w:rPr>
          <w:bdr w:val="nil"/>
          <w:lang w:val="es-ES"/>
        </w:rPr>
        <w:t xml:space="preserve"> y contratos con terceros independientes para comprar energía. El CTC permite a SDG&amp;E recuperar los costos por centrales eléctricas y contratos </w:t>
      </w:r>
      <w:r w:rsidR="00BE3D71">
        <w:rPr>
          <w:bdr w:val="nil"/>
          <w:lang w:val="es-ES"/>
        </w:rPr>
        <w:t xml:space="preserve">de electricidad </w:t>
      </w:r>
      <w:r>
        <w:rPr>
          <w:bdr w:val="nil"/>
          <w:lang w:val="es-ES"/>
        </w:rPr>
        <w:t xml:space="preserve">a largo plazo aprobados por reguladores estatales, que se han vuelto poco rentables </w:t>
      </w:r>
      <w:r w:rsidR="00813505">
        <w:rPr>
          <w:bdr w:val="nil"/>
          <w:lang w:val="es-ES"/>
        </w:rPr>
        <w:t xml:space="preserve">por el cambio de </w:t>
      </w:r>
      <w:r>
        <w:rPr>
          <w:bdr w:val="nil"/>
          <w:lang w:val="es-ES"/>
        </w:rPr>
        <w:t xml:space="preserve">consumidores a la competencia, debido a la reestructuración de la industria de energía eléctrica. </w:t>
      </w:r>
    </w:p>
    <w:p w14:paraId="71C04ABA" w14:textId="77777777" w:rsidR="001E15CF" w:rsidRPr="00C66DFA" w:rsidRDefault="005A7D75" w:rsidP="00A40F28">
      <w:pPr>
        <w:jc w:val="both"/>
      </w:pPr>
    </w:p>
    <w:p w14:paraId="78FFC7EA" w14:textId="77777777" w:rsidR="009A707D" w:rsidRPr="00C66DFA" w:rsidRDefault="00D93639" w:rsidP="00A40F28">
      <w:pPr>
        <w:jc w:val="both"/>
      </w:pPr>
      <w:r>
        <w:rPr>
          <w:bdr w:val="nil"/>
          <w:lang w:val="es-ES"/>
        </w:rPr>
        <w:t>El LGC es un costo asociado con la suscripción de ciertos contratos nuevos con productores de electricidad. Estos costos de generación son necesarios para satisfacer las necesidades del sistema eléctrico o de confiabilidad locales. El LGC es un cargo aplicable a clientes de servicios en paquete, de acceso directo (Direct Access, DA) y clientes de agregación comunitaria electiva (Community Choice Aggregation, CCA)</w:t>
      </w:r>
      <w:r>
        <w:rPr>
          <w:rStyle w:val="FootnoteReference"/>
        </w:rPr>
        <w:footnoteReference w:id="1"/>
      </w:r>
      <w:r>
        <w:rPr>
          <w:bdr w:val="nil"/>
          <w:lang w:val="es-ES"/>
        </w:rPr>
        <w:t>.</w:t>
      </w:r>
    </w:p>
    <w:p w14:paraId="07A55013" w14:textId="77777777" w:rsidR="00DF19FB" w:rsidRPr="00C66DFA" w:rsidRDefault="005A7D75" w:rsidP="00A40F28">
      <w:pPr>
        <w:jc w:val="both"/>
      </w:pPr>
    </w:p>
    <w:p w14:paraId="6BFDAA50" w14:textId="77777777" w:rsidR="0096745E" w:rsidRPr="00C66DFA" w:rsidRDefault="00D93639" w:rsidP="00A40F28">
      <w:pPr>
        <w:jc w:val="both"/>
      </w:pPr>
      <w:r>
        <w:rPr>
          <w:bdr w:val="nil"/>
          <w:lang w:val="es-ES"/>
        </w:rPr>
        <w:t xml:space="preserve">Los costos previstos por GHG, para cumplir con el programa de reducción de emisiones de GHG de California, se recuperarán a través de tarifas eléctricas. Los ingresos provenientes de la venta de </w:t>
      </w:r>
      <w:r w:rsidR="001E0ADB">
        <w:rPr>
          <w:bdr w:val="nil"/>
          <w:lang w:val="es-ES"/>
        </w:rPr>
        <w:t>autorizaciones</w:t>
      </w:r>
      <w:r>
        <w:rPr>
          <w:bdr w:val="nil"/>
          <w:lang w:val="es-ES"/>
        </w:rPr>
        <w:t xml:space="preserve"> de emisión de GHG se devolverán a algunos clientes de servicios en paquete y de DA en forma de abonos en la factura. Los abonos en la factura </w:t>
      </w:r>
      <w:r>
        <w:rPr>
          <w:bdr w:val="nil"/>
          <w:lang w:val="es-ES"/>
        </w:rPr>
        <w:lastRenderedPageBreak/>
        <w:t xml:space="preserve">por concepto de ingresos por la venta de </w:t>
      </w:r>
      <w:r w:rsidR="001E0ADB">
        <w:rPr>
          <w:bdr w:val="nil"/>
          <w:lang w:val="es-ES"/>
        </w:rPr>
        <w:t>autorizaciones</w:t>
      </w:r>
      <w:r>
        <w:rPr>
          <w:bdr w:val="nil"/>
          <w:lang w:val="es-ES"/>
        </w:rPr>
        <w:t xml:space="preserve"> de emisión de GHG reducen los impactos en las tarifas eléctricas de los costos de GHG. </w:t>
      </w:r>
    </w:p>
    <w:p w14:paraId="7D7BAEDA" w14:textId="77777777" w:rsidR="009A707D" w:rsidRPr="00C66DFA" w:rsidRDefault="005A7D75" w:rsidP="00A40F28">
      <w:pPr>
        <w:jc w:val="both"/>
      </w:pPr>
    </w:p>
    <w:p w14:paraId="0CEFE1B3" w14:textId="77777777" w:rsidR="0040149F" w:rsidRPr="00C66DFA" w:rsidRDefault="00D93639" w:rsidP="00A40F28">
      <w:pPr>
        <w:jc w:val="both"/>
      </w:pPr>
      <w:r>
        <w:rPr>
          <w:bdr w:val="nil"/>
          <w:lang w:val="es-ES"/>
        </w:rPr>
        <w:t xml:space="preserve">Los costos se desglosan de la siguiente manera: $1,297,545,049 para ERRA, $16,329,402 para el CTC, $169,921,326 para el LGC, $1,086,031 para el almacenamiento de combustible usado de la Unidad 1 de la SONGS y ($86,655,622) para ingresos por la venta de </w:t>
      </w:r>
      <w:r w:rsidR="001E0ADB">
        <w:rPr>
          <w:bdr w:val="nil"/>
          <w:lang w:val="es-ES"/>
        </w:rPr>
        <w:t>autorizaciones</w:t>
      </w:r>
      <w:r>
        <w:rPr>
          <w:bdr w:val="nil"/>
          <w:lang w:val="es-ES"/>
        </w:rPr>
        <w:t xml:space="preserve"> de emisión de GHG disponibles para ser devueltos a los clientes. </w:t>
      </w:r>
    </w:p>
    <w:p w14:paraId="69B25748" w14:textId="77777777" w:rsidR="00681016" w:rsidRPr="00C66DFA" w:rsidRDefault="005A7D75" w:rsidP="00A40F28">
      <w:pPr>
        <w:jc w:val="both"/>
      </w:pPr>
    </w:p>
    <w:p w14:paraId="79CB5B64" w14:textId="77777777" w:rsidR="00E6203F" w:rsidRPr="00C66DFA" w:rsidRDefault="00D93639" w:rsidP="00A40F28">
      <w:pPr>
        <w:jc w:val="both"/>
      </w:pPr>
      <w:r>
        <w:rPr>
          <w:bdr w:val="nil"/>
          <w:lang w:val="es-ES"/>
        </w:rPr>
        <w:t>Además, esta solicitud aborda la responsabilidad en los costos de los clientes DA y los clientes CCA que compran electricidad a otro proveedor pero que la transportan a través del sistema eléctrico de SDG&amp;E.</w:t>
      </w:r>
    </w:p>
    <w:p w14:paraId="097DFD4C" w14:textId="77777777" w:rsidR="00E6203F" w:rsidRPr="00C66DFA" w:rsidRDefault="005A7D75" w:rsidP="00A40F28">
      <w:pPr>
        <w:jc w:val="both"/>
      </w:pPr>
    </w:p>
    <w:p w14:paraId="416B0ABA" w14:textId="77777777" w:rsidR="00472FB8" w:rsidRPr="00C66DFA" w:rsidRDefault="00D93639" w:rsidP="00A40F28">
      <w:pPr>
        <w:pStyle w:val="BodyText"/>
        <w:jc w:val="both"/>
        <w:rPr>
          <w:b/>
          <w:szCs w:val="24"/>
        </w:rPr>
      </w:pPr>
      <w:r>
        <w:rPr>
          <w:b/>
          <w:bCs/>
          <w:szCs w:val="24"/>
          <w:bdr w:val="nil"/>
          <w:lang w:val="es-ES"/>
        </w:rPr>
        <w:t>Esta solicitud es un pronóstico y es probable que cambie antes de incluir estos costos en las tarifas eléctricas del año próximo. SDG&amp;E espera presentar una actualización a esta solicitud en noviembre de 2017.</w:t>
      </w:r>
    </w:p>
    <w:p w14:paraId="42874B4D" w14:textId="77777777" w:rsidR="00627F37" w:rsidRPr="00C66DFA" w:rsidRDefault="005A7D75" w:rsidP="00A40F28">
      <w:pPr>
        <w:pStyle w:val="BodyText"/>
        <w:jc w:val="both"/>
        <w:rPr>
          <w:szCs w:val="24"/>
        </w:rPr>
      </w:pPr>
    </w:p>
    <w:p w14:paraId="5B60989F" w14:textId="77777777" w:rsidR="00334609" w:rsidRDefault="00D93639" w:rsidP="00A40F28">
      <w:pPr>
        <w:pStyle w:val="BodyText"/>
        <w:jc w:val="both"/>
        <w:rPr>
          <w:b/>
          <w:szCs w:val="24"/>
        </w:rPr>
      </w:pPr>
      <w:r>
        <w:rPr>
          <w:b/>
          <w:bCs/>
          <w:szCs w:val="24"/>
          <w:bdr w:val="nil"/>
          <w:lang w:val="es-ES"/>
        </w:rPr>
        <w:t>EFECTO ILUSTRATIVO EN TARIFAS Y FACTURAS ELÉCTRICAS</w:t>
      </w:r>
    </w:p>
    <w:p w14:paraId="23CBE8D3" w14:textId="77777777" w:rsidR="00CC5C49" w:rsidRPr="00C66DFA" w:rsidRDefault="00D93639" w:rsidP="00CC5C49">
      <w:pPr>
        <w:pStyle w:val="BodyText"/>
        <w:jc w:val="both"/>
        <w:rPr>
          <w:szCs w:val="24"/>
        </w:rPr>
      </w:pPr>
      <w:r>
        <w:rPr>
          <w:szCs w:val="24"/>
          <w:bdr w:val="nil"/>
          <w:lang w:val="es-ES"/>
        </w:rPr>
        <w:t>Los cuadros que aparecen a continuación ilustran los cambios en las tarifas que resultarían de la aprobación de la CPUC de esta solicitud, en comparación con los niveles tarifarios actuales.</w:t>
      </w:r>
    </w:p>
    <w:p w14:paraId="60AFB10E" w14:textId="77777777" w:rsidR="00CC5C49" w:rsidRPr="00C66DFA" w:rsidRDefault="005A7D75" w:rsidP="00A40F28">
      <w:pPr>
        <w:pStyle w:val="BodyText"/>
        <w:jc w:val="both"/>
        <w:rPr>
          <w:b/>
          <w:szCs w:val="24"/>
        </w:rPr>
      </w:pPr>
    </w:p>
    <w:p w14:paraId="4F284E16" w14:textId="77777777" w:rsidR="000B25F5" w:rsidRPr="00C66DFA" w:rsidRDefault="00D93639" w:rsidP="00A40F28">
      <w:pPr>
        <w:pStyle w:val="BodyText"/>
        <w:jc w:val="both"/>
        <w:rPr>
          <w:szCs w:val="24"/>
        </w:rPr>
      </w:pPr>
      <w:r>
        <w:rPr>
          <w:szCs w:val="24"/>
          <w:bdr w:val="nil"/>
          <w:lang w:val="es-ES"/>
        </w:rPr>
        <w:t xml:space="preserve">Si la CPUC aprueba la solicitud de SDG&amp;E, un cliente residencial típico que no participe en CARE, viva en la zona climática del interior y consuma un promedio de 500 kilovatios-hora al mes podría ver un incremento en la factura mensual de invierno de 0.9%, o $1.16, respecto de una factura típica mensual actual de $122.40 a $123.56. </w:t>
      </w:r>
    </w:p>
    <w:p w14:paraId="58488053" w14:textId="77777777" w:rsidR="000B25F5" w:rsidRPr="00C66DFA" w:rsidRDefault="005A7D75" w:rsidP="00A40F28">
      <w:pPr>
        <w:pStyle w:val="BodyText"/>
        <w:jc w:val="both"/>
        <w:rPr>
          <w:szCs w:val="24"/>
        </w:rPr>
      </w:pPr>
    </w:p>
    <w:p w14:paraId="706FE44A" w14:textId="77777777" w:rsidR="00334609" w:rsidRPr="00C66DFA" w:rsidRDefault="00D93639" w:rsidP="00A40F28">
      <w:pPr>
        <w:pStyle w:val="BodyText"/>
        <w:jc w:val="both"/>
        <w:rPr>
          <w:szCs w:val="24"/>
        </w:rPr>
      </w:pPr>
      <w:r>
        <w:rPr>
          <w:szCs w:val="24"/>
          <w:bdr w:val="nil"/>
          <w:lang w:val="es-ES"/>
        </w:rPr>
        <w:t>El primer cuadro a continuación muestra cambios ilustrativos en la factura para clientes de servicios en paquete, mientras que el segundo cuadro presenta cambios ilustrativos en la factura para clientes DA. Para los clientes DA que no pagan el producto básico, los cambios en la tarifa Utility Distribution Company (UDC) sobre una base promedio de clase se presentan a continuación. Los porcentajes mostrados no necesariamente reflejan los cambios que puede ver en su factura. Los cambios en las facturas individuales dependerán también de cuánta electricidad consuma cada cliente.</w:t>
      </w:r>
    </w:p>
    <w:p w14:paraId="0F95D98E" w14:textId="77777777" w:rsidR="0096745E" w:rsidRPr="00C66DFA" w:rsidRDefault="005A7D75" w:rsidP="00627F37">
      <w:pPr>
        <w:pStyle w:val="BodyText"/>
        <w:rPr>
          <w:szCs w:val="24"/>
        </w:rPr>
      </w:pPr>
    </w:p>
    <w:p w14:paraId="02C7DB01" w14:textId="77777777" w:rsidR="00B72785" w:rsidRPr="00C66DFA" w:rsidRDefault="00D93639" w:rsidP="00B72785">
      <w:pPr>
        <w:pStyle w:val="BodyText"/>
        <w:jc w:val="center"/>
        <w:rPr>
          <w:b/>
          <w:szCs w:val="24"/>
        </w:rPr>
      </w:pPr>
      <w:r>
        <w:rPr>
          <w:b/>
          <w:bCs/>
          <w:szCs w:val="24"/>
          <w:bdr w:val="nil"/>
          <w:lang w:val="es-ES"/>
        </w:rPr>
        <w:t xml:space="preserve">AUMENTO ILUSTRATIVO EN LA TARIFA ELÉCTRICA COMBINADA DE </w:t>
      </w:r>
      <w:r w:rsidR="00562045">
        <w:rPr>
          <w:b/>
          <w:bCs/>
          <w:szCs w:val="24"/>
          <w:bdr w:val="nil"/>
          <w:lang w:val="es-ES"/>
        </w:rPr>
        <w:br/>
      </w:r>
      <w:r>
        <w:rPr>
          <w:b/>
          <w:bCs/>
          <w:szCs w:val="24"/>
          <w:bdr w:val="nil"/>
          <w:lang w:val="es-ES"/>
        </w:rPr>
        <w:t>SAN DIEGO GAS &amp; ELECTRIC COMPANY</w:t>
      </w:r>
    </w:p>
    <w:p w14:paraId="4829749A" w14:textId="77777777" w:rsidR="00A23FBC" w:rsidRPr="00C66DFA" w:rsidRDefault="00D93639" w:rsidP="0031191A">
      <w:pPr>
        <w:pStyle w:val="BodyText"/>
        <w:jc w:val="center"/>
        <w:rPr>
          <w:b/>
          <w:szCs w:val="24"/>
        </w:rPr>
      </w:pPr>
      <w:r>
        <w:rPr>
          <w:b/>
          <w:bCs/>
          <w:szCs w:val="24"/>
          <w:bdr w:val="nil"/>
          <w:lang w:val="es-ES"/>
        </w:rPr>
        <w:t>(LAS TARIFAS TOTALES INCLUYEN UDC</w:t>
      </w:r>
      <w:r>
        <w:rPr>
          <w:b/>
          <w:bCs/>
          <w:szCs w:val="24"/>
          <w:bdr w:val="nil"/>
          <w:vertAlign w:val="superscript"/>
          <w:lang w:val="es-ES"/>
        </w:rPr>
        <w:t>1</w:t>
      </w:r>
      <w:r>
        <w:rPr>
          <w:b/>
          <w:bCs/>
          <w:szCs w:val="24"/>
          <w:bdr w:val="nil"/>
          <w:lang w:val="es-ES"/>
        </w:rPr>
        <w:t xml:space="preserve"> Y COMO PRODUCTO BÁSICO</w:t>
      </w:r>
      <w:r>
        <w:rPr>
          <w:b/>
          <w:bCs/>
          <w:szCs w:val="24"/>
          <w:bdr w:val="nil"/>
          <w:vertAlign w:val="superscript"/>
          <w:lang w:val="es-ES"/>
        </w:rPr>
        <w:t>2</w:t>
      </w:r>
      <w:r>
        <w:rPr>
          <w:b/>
          <w:bCs/>
          <w:szCs w:val="24"/>
          <w:bdr w:val="nil"/>
          <w:lang w:val="es-ES"/>
        </w:rPr>
        <w:t>)</w:t>
      </w:r>
    </w:p>
    <w:p w14:paraId="796B1D79" w14:textId="77777777" w:rsidR="004F103A" w:rsidRPr="00C66DFA" w:rsidRDefault="005A7D75" w:rsidP="00A40F28">
      <w:pPr>
        <w:pStyle w:val="BodyText"/>
        <w:jc w:val="center"/>
        <w:rPr>
          <w:b/>
          <w:szCs w:val="24"/>
        </w:rPr>
      </w:pPr>
    </w:p>
    <w:tbl>
      <w:tblPr>
        <w:tblW w:w="9765" w:type="dxa"/>
        <w:jc w:val="center"/>
        <w:tblLayout w:type="fixed"/>
        <w:tblLook w:val="0000" w:firstRow="0" w:lastRow="0" w:firstColumn="0" w:lastColumn="0" w:noHBand="0" w:noVBand="0"/>
      </w:tblPr>
      <w:tblGrid>
        <w:gridCol w:w="239"/>
        <w:gridCol w:w="270"/>
        <w:gridCol w:w="1550"/>
        <w:gridCol w:w="270"/>
        <w:gridCol w:w="1634"/>
        <w:gridCol w:w="236"/>
        <w:gridCol w:w="270"/>
        <w:gridCol w:w="236"/>
        <w:gridCol w:w="1437"/>
        <w:gridCol w:w="236"/>
        <w:gridCol w:w="236"/>
        <w:gridCol w:w="236"/>
        <w:gridCol w:w="952"/>
        <w:gridCol w:w="236"/>
        <w:gridCol w:w="564"/>
        <w:gridCol w:w="906"/>
        <w:gridCol w:w="257"/>
      </w:tblGrid>
      <w:tr w:rsidR="00EA4F7D" w14:paraId="19A79B53" w14:textId="77777777" w:rsidTr="004F29DA">
        <w:trPr>
          <w:trHeight w:val="324"/>
          <w:jc w:val="center"/>
        </w:trPr>
        <w:tc>
          <w:tcPr>
            <w:tcW w:w="2059" w:type="dxa"/>
            <w:gridSpan w:val="3"/>
            <w:tcBorders>
              <w:top w:val="nil"/>
              <w:left w:val="nil"/>
              <w:bottom w:val="single" w:sz="4" w:space="0" w:color="auto"/>
              <w:right w:val="nil"/>
            </w:tcBorders>
            <w:shd w:val="clear" w:color="auto" w:fill="auto"/>
            <w:noWrap/>
            <w:vAlign w:val="center"/>
          </w:tcPr>
          <w:p w14:paraId="1D56A086" w14:textId="77777777" w:rsidR="00A23FBC" w:rsidRPr="00C66DFA" w:rsidRDefault="005A7D75" w:rsidP="004F103A">
            <w:pPr>
              <w:rPr>
                <w:b/>
                <w:bCs/>
              </w:rPr>
            </w:pPr>
          </w:p>
          <w:p w14:paraId="1F58E802" w14:textId="77777777" w:rsidR="00D25660" w:rsidRPr="00C66DFA" w:rsidRDefault="00D93639" w:rsidP="00763C92">
            <w:pPr>
              <w:rPr>
                <w:b/>
                <w:bCs/>
                <w:highlight w:val="yellow"/>
              </w:rPr>
            </w:pPr>
            <w:r>
              <w:rPr>
                <w:b/>
                <w:bCs/>
                <w:bdr w:val="nil"/>
                <w:lang w:val="es-ES"/>
              </w:rPr>
              <w:t>Clase de cliente</w:t>
            </w:r>
          </w:p>
        </w:tc>
        <w:tc>
          <w:tcPr>
            <w:tcW w:w="270" w:type="dxa"/>
            <w:tcBorders>
              <w:top w:val="nil"/>
              <w:left w:val="nil"/>
              <w:bottom w:val="nil"/>
              <w:right w:val="nil"/>
            </w:tcBorders>
            <w:shd w:val="clear" w:color="auto" w:fill="auto"/>
            <w:noWrap/>
          </w:tcPr>
          <w:p w14:paraId="30C95877" w14:textId="77777777" w:rsidR="00D25660" w:rsidRPr="00C66DFA" w:rsidRDefault="005A7D75" w:rsidP="00334609">
            <w:pPr>
              <w:rPr>
                <w:highlight w:val="yellow"/>
              </w:rPr>
            </w:pPr>
          </w:p>
        </w:tc>
        <w:tc>
          <w:tcPr>
            <w:tcW w:w="1634" w:type="dxa"/>
            <w:tcBorders>
              <w:top w:val="nil"/>
              <w:left w:val="nil"/>
              <w:bottom w:val="single" w:sz="4" w:space="0" w:color="auto"/>
              <w:right w:val="nil"/>
            </w:tcBorders>
            <w:shd w:val="clear" w:color="auto" w:fill="auto"/>
            <w:noWrap/>
            <w:vAlign w:val="center"/>
          </w:tcPr>
          <w:p w14:paraId="37538880" w14:textId="77777777" w:rsidR="00D25660" w:rsidRPr="00C66DFA" w:rsidRDefault="00D93639" w:rsidP="00763C92">
            <w:pPr>
              <w:jc w:val="center"/>
            </w:pPr>
            <w:r>
              <w:rPr>
                <w:b/>
                <w:bdr w:val="nil"/>
                <w:lang w:val="es-ES"/>
              </w:rPr>
              <w:t xml:space="preserve"> Tarifas promedio por clase en vigor el 03/01/17</w:t>
            </w:r>
            <w:r w:rsidRPr="00562045">
              <w:rPr>
                <w:b/>
                <w:bdr w:val="nil"/>
                <w:vertAlign w:val="superscript"/>
                <w:lang w:val="es-ES"/>
              </w:rPr>
              <w:t>3</w:t>
            </w:r>
            <w:r>
              <w:rPr>
                <w:b/>
                <w:bdr w:val="nil"/>
                <w:lang w:val="es-ES"/>
              </w:rPr>
              <w:t xml:space="preserve"> (¢/</w:t>
            </w:r>
            <w:proofErr w:type="spellStart"/>
            <w:r>
              <w:rPr>
                <w:b/>
                <w:bdr w:val="nil"/>
                <w:lang w:val="es-ES"/>
              </w:rPr>
              <w:t>kWh</w:t>
            </w:r>
            <w:proofErr w:type="spellEnd"/>
            <w:r>
              <w:rPr>
                <w:b/>
                <w:bdr w:val="nil"/>
                <w:lang w:val="es-ES"/>
              </w:rPr>
              <w:t xml:space="preserve">) </w:t>
            </w:r>
          </w:p>
        </w:tc>
        <w:tc>
          <w:tcPr>
            <w:tcW w:w="236" w:type="dxa"/>
            <w:tcBorders>
              <w:top w:val="nil"/>
              <w:left w:val="nil"/>
              <w:bottom w:val="nil"/>
              <w:right w:val="nil"/>
            </w:tcBorders>
            <w:shd w:val="clear" w:color="auto" w:fill="auto"/>
            <w:noWrap/>
            <w:vAlign w:val="center"/>
          </w:tcPr>
          <w:p w14:paraId="1AA863FA" w14:textId="77777777" w:rsidR="00D25660" w:rsidRPr="00C66DFA" w:rsidRDefault="005A7D75" w:rsidP="00763C92">
            <w:pPr>
              <w:jc w:val="center"/>
              <w:rPr>
                <w:b/>
                <w:bCs/>
              </w:rPr>
            </w:pPr>
          </w:p>
        </w:tc>
        <w:tc>
          <w:tcPr>
            <w:tcW w:w="1943" w:type="dxa"/>
            <w:gridSpan w:val="3"/>
            <w:tcBorders>
              <w:top w:val="nil"/>
              <w:left w:val="nil"/>
              <w:bottom w:val="single" w:sz="4" w:space="0" w:color="auto"/>
              <w:right w:val="nil"/>
            </w:tcBorders>
            <w:vAlign w:val="center"/>
          </w:tcPr>
          <w:p w14:paraId="4910409E" w14:textId="77777777" w:rsidR="00D25660" w:rsidRPr="00C66DFA" w:rsidRDefault="00D93639" w:rsidP="00562045">
            <w:pPr>
              <w:jc w:val="center"/>
              <w:rPr>
                <w:b/>
                <w:bCs/>
              </w:rPr>
            </w:pPr>
            <w:r>
              <w:rPr>
                <w:b/>
                <w:bCs/>
                <w:bdr w:val="nil"/>
                <w:lang w:val="es-ES"/>
              </w:rPr>
              <w:t xml:space="preserve">Tarifas promedio por clase que reflejan el aumento propuesto en los ingresos por </w:t>
            </w:r>
            <w:r w:rsidR="00562045">
              <w:rPr>
                <w:b/>
                <w:bCs/>
                <w:bdr w:val="nil"/>
                <w:lang w:val="es-ES"/>
              </w:rPr>
              <w:t>s</w:t>
            </w:r>
            <w:r>
              <w:rPr>
                <w:b/>
                <w:bCs/>
                <w:bdr w:val="nil"/>
                <w:lang w:val="es-ES"/>
              </w:rPr>
              <w:t>olicitud (¢/</w:t>
            </w:r>
            <w:proofErr w:type="spellStart"/>
            <w:r>
              <w:rPr>
                <w:b/>
                <w:bCs/>
                <w:bdr w:val="nil"/>
                <w:lang w:val="es-ES"/>
              </w:rPr>
              <w:t>kWh</w:t>
            </w:r>
            <w:proofErr w:type="spellEnd"/>
            <w:r>
              <w:rPr>
                <w:b/>
                <w:bCs/>
                <w:bdr w:val="nil"/>
                <w:lang w:val="es-ES"/>
              </w:rPr>
              <w:t>)</w:t>
            </w:r>
          </w:p>
        </w:tc>
        <w:tc>
          <w:tcPr>
            <w:tcW w:w="236" w:type="dxa"/>
            <w:tcBorders>
              <w:top w:val="nil"/>
              <w:left w:val="nil"/>
              <w:right w:val="nil"/>
            </w:tcBorders>
            <w:vAlign w:val="center"/>
          </w:tcPr>
          <w:p w14:paraId="0F8BBC3A" w14:textId="77777777" w:rsidR="00D25660" w:rsidRPr="00C66DFA" w:rsidRDefault="005A7D75" w:rsidP="00763C92">
            <w:pPr>
              <w:jc w:val="center"/>
              <w:rPr>
                <w:b/>
                <w:bCs/>
              </w:rPr>
            </w:pPr>
          </w:p>
        </w:tc>
        <w:tc>
          <w:tcPr>
            <w:tcW w:w="236" w:type="dxa"/>
            <w:tcBorders>
              <w:top w:val="nil"/>
              <w:left w:val="nil"/>
              <w:bottom w:val="nil"/>
              <w:right w:val="nil"/>
            </w:tcBorders>
            <w:shd w:val="clear" w:color="auto" w:fill="auto"/>
            <w:noWrap/>
            <w:vAlign w:val="center"/>
          </w:tcPr>
          <w:p w14:paraId="7EC0B3D7" w14:textId="77777777" w:rsidR="00D25660" w:rsidRPr="00C66DFA" w:rsidRDefault="005A7D75" w:rsidP="00A40F28">
            <w:pPr>
              <w:jc w:val="center"/>
            </w:pPr>
          </w:p>
        </w:tc>
        <w:tc>
          <w:tcPr>
            <w:tcW w:w="1188" w:type="dxa"/>
            <w:gridSpan w:val="2"/>
            <w:tcBorders>
              <w:top w:val="nil"/>
              <w:left w:val="nil"/>
              <w:bottom w:val="single" w:sz="4" w:space="0" w:color="auto"/>
              <w:right w:val="nil"/>
            </w:tcBorders>
            <w:shd w:val="clear" w:color="auto" w:fill="auto"/>
            <w:noWrap/>
            <w:vAlign w:val="center"/>
          </w:tcPr>
          <w:p w14:paraId="41C036D7" w14:textId="77777777" w:rsidR="00D25660" w:rsidRPr="00C66DFA" w:rsidRDefault="00D93639" w:rsidP="00B72785">
            <w:pPr>
              <w:jc w:val="center"/>
              <w:rPr>
                <w:b/>
                <w:bCs/>
              </w:rPr>
            </w:pPr>
            <w:r>
              <w:rPr>
                <w:b/>
                <w:bCs/>
                <w:bdr w:val="nil"/>
                <w:lang w:val="es-ES"/>
              </w:rPr>
              <w:t>Aumento total en la tarifa (¢/kWh)</w:t>
            </w:r>
          </w:p>
        </w:tc>
        <w:tc>
          <w:tcPr>
            <w:tcW w:w="236" w:type="dxa"/>
            <w:tcBorders>
              <w:top w:val="nil"/>
              <w:left w:val="nil"/>
              <w:bottom w:val="nil"/>
              <w:right w:val="nil"/>
            </w:tcBorders>
            <w:shd w:val="clear" w:color="auto" w:fill="auto"/>
            <w:noWrap/>
            <w:vAlign w:val="center"/>
          </w:tcPr>
          <w:p w14:paraId="0604BA23" w14:textId="77777777" w:rsidR="00D25660" w:rsidRPr="00C66DFA" w:rsidRDefault="005A7D75" w:rsidP="00A40F28">
            <w:pPr>
              <w:jc w:val="center"/>
            </w:pPr>
          </w:p>
        </w:tc>
        <w:tc>
          <w:tcPr>
            <w:tcW w:w="1470" w:type="dxa"/>
            <w:gridSpan w:val="2"/>
            <w:tcBorders>
              <w:top w:val="nil"/>
              <w:left w:val="nil"/>
              <w:bottom w:val="single" w:sz="4" w:space="0" w:color="auto"/>
              <w:right w:val="nil"/>
            </w:tcBorders>
            <w:vAlign w:val="center"/>
          </w:tcPr>
          <w:p w14:paraId="7E6596FE" w14:textId="77777777" w:rsidR="00A23FBC" w:rsidRPr="00C66DFA" w:rsidRDefault="00D93639" w:rsidP="00763C92">
            <w:pPr>
              <w:jc w:val="center"/>
              <w:rPr>
                <w:b/>
                <w:bCs/>
              </w:rPr>
            </w:pPr>
            <w:r>
              <w:rPr>
                <w:b/>
                <w:bCs/>
                <w:bdr w:val="nil"/>
                <w:lang w:val="es-ES"/>
              </w:rPr>
              <w:t xml:space="preserve">Aumento porcentual en la tarifa </w:t>
            </w:r>
          </w:p>
          <w:p w14:paraId="1A5E9D04" w14:textId="77777777" w:rsidR="00D25660" w:rsidRPr="00C66DFA" w:rsidRDefault="00D93639" w:rsidP="00763C92">
            <w:pPr>
              <w:jc w:val="center"/>
              <w:rPr>
                <w:b/>
                <w:bCs/>
              </w:rPr>
            </w:pPr>
            <w:r w:rsidRPr="00C66DFA">
              <w:rPr>
                <w:b/>
                <w:bCs/>
              </w:rPr>
              <w:t>(%)</w:t>
            </w:r>
          </w:p>
        </w:tc>
        <w:tc>
          <w:tcPr>
            <w:tcW w:w="257" w:type="dxa"/>
            <w:tcBorders>
              <w:top w:val="nil"/>
              <w:left w:val="nil"/>
              <w:right w:val="nil"/>
            </w:tcBorders>
          </w:tcPr>
          <w:p w14:paraId="3ABA56FA" w14:textId="77777777" w:rsidR="00D25660" w:rsidRPr="00C66DFA" w:rsidRDefault="005A7D75" w:rsidP="00334609">
            <w:pPr>
              <w:jc w:val="center"/>
              <w:rPr>
                <w:b/>
                <w:bCs/>
              </w:rPr>
            </w:pPr>
          </w:p>
        </w:tc>
      </w:tr>
      <w:tr w:rsidR="00EA4F7D" w14:paraId="11300E4E" w14:textId="77777777" w:rsidTr="001C721E">
        <w:trPr>
          <w:trHeight w:val="255"/>
          <w:jc w:val="center"/>
        </w:trPr>
        <w:tc>
          <w:tcPr>
            <w:tcW w:w="2059" w:type="dxa"/>
            <w:gridSpan w:val="3"/>
            <w:tcBorders>
              <w:top w:val="nil"/>
              <w:left w:val="nil"/>
              <w:bottom w:val="nil"/>
              <w:right w:val="nil"/>
            </w:tcBorders>
            <w:shd w:val="clear" w:color="auto" w:fill="auto"/>
            <w:noWrap/>
          </w:tcPr>
          <w:p w14:paraId="4DFE8536" w14:textId="77777777" w:rsidR="008A7077" w:rsidRPr="00C66DFA" w:rsidRDefault="00D93639" w:rsidP="008A7077">
            <w:pPr>
              <w:rPr>
                <w:b/>
                <w:bCs/>
              </w:rPr>
            </w:pPr>
            <w:r>
              <w:rPr>
                <w:b/>
                <w:bCs/>
                <w:bdr w:val="nil"/>
                <w:lang w:val="es-ES"/>
              </w:rPr>
              <w:t>Residencial</w:t>
            </w:r>
          </w:p>
        </w:tc>
        <w:tc>
          <w:tcPr>
            <w:tcW w:w="270" w:type="dxa"/>
            <w:tcBorders>
              <w:top w:val="nil"/>
              <w:left w:val="nil"/>
              <w:bottom w:val="nil"/>
              <w:right w:val="nil"/>
            </w:tcBorders>
            <w:shd w:val="clear" w:color="auto" w:fill="auto"/>
            <w:noWrap/>
          </w:tcPr>
          <w:p w14:paraId="38493C17" w14:textId="77777777" w:rsidR="008A7077" w:rsidRPr="00C66DFA" w:rsidRDefault="005A7D75" w:rsidP="008A7077">
            <w:pPr>
              <w:rPr>
                <w:highlight w:val="yellow"/>
              </w:rPr>
            </w:pPr>
          </w:p>
        </w:tc>
        <w:tc>
          <w:tcPr>
            <w:tcW w:w="1634" w:type="dxa"/>
            <w:tcBorders>
              <w:top w:val="nil"/>
              <w:left w:val="nil"/>
              <w:bottom w:val="nil"/>
              <w:right w:val="nil"/>
            </w:tcBorders>
            <w:shd w:val="clear" w:color="auto" w:fill="auto"/>
            <w:noWrap/>
            <w:vAlign w:val="bottom"/>
          </w:tcPr>
          <w:p w14:paraId="6C92FF2B" w14:textId="77777777" w:rsidR="008A7077" w:rsidRPr="00C66DFA" w:rsidRDefault="00D93639" w:rsidP="008A7077">
            <w:pPr>
              <w:jc w:val="center"/>
            </w:pPr>
            <w:r>
              <w:rPr>
                <w:bdr w:val="nil"/>
                <w:lang w:val="es-ES"/>
              </w:rPr>
              <w:t>24.990</w:t>
            </w:r>
          </w:p>
        </w:tc>
        <w:tc>
          <w:tcPr>
            <w:tcW w:w="236" w:type="dxa"/>
            <w:tcBorders>
              <w:top w:val="nil"/>
              <w:left w:val="nil"/>
              <w:bottom w:val="nil"/>
              <w:right w:val="nil"/>
            </w:tcBorders>
            <w:shd w:val="clear" w:color="auto" w:fill="auto"/>
            <w:noWrap/>
          </w:tcPr>
          <w:p w14:paraId="5E53F307" w14:textId="77777777" w:rsidR="008A7077" w:rsidRPr="00C66DFA" w:rsidRDefault="005A7D75" w:rsidP="008A7077"/>
        </w:tc>
        <w:tc>
          <w:tcPr>
            <w:tcW w:w="1943" w:type="dxa"/>
            <w:gridSpan w:val="3"/>
            <w:tcBorders>
              <w:top w:val="nil"/>
              <w:left w:val="nil"/>
              <w:bottom w:val="nil"/>
              <w:right w:val="nil"/>
            </w:tcBorders>
            <w:shd w:val="clear" w:color="auto" w:fill="auto"/>
            <w:vAlign w:val="bottom"/>
          </w:tcPr>
          <w:p w14:paraId="559F4EA6" w14:textId="77777777" w:rsidR="008A7077" w:rsidRPr="00C66DFA" w:rsidRDefault="00D93639" w:rsidP="008A7077">
            <w:pPr>
              <w:jc w:val="center"/>
            </w:pPr>
            <w:r>
              <w:rPr>
                <w:bdr w:val="nil"/>
                <w:lang w:val="es-ES"/>
              </w:rPr>
              <w:t>25.175</w:t>
            </w:r>
          </w:p>
        </w:tc>
        <w:tc>
          <w:tcPr>
            <w:tcW w:w="236" w:type="dxa"/>
            <w:tcBorders>
              <w:left w:val="nil"/>
              <w:bottom w:val="nil"/>
              <w:right w:val="nil"/>
            </w:tcBorders>
            <w:shd w:val="clear" w:color="auto" w:fill="auto"/>
          </w:tcPr>
          <w:p w14:paraId="5B9920DA"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1C8E3047" w14:textId="77777777" w:rsidR="008A7077" w:rsidRPr="00C66DFA" w:rsidRDefault="005A7D75" w:rsidP="008A7077"/>
        </w:tc>
        <w:tc>
          <w:tcPr>
            <w:tcW w:w="1188" w:type="dxa"/>
            <w:gridSpan w:val="2"/>
            <w:tcBorders>
              <w:top w:val="nil"/>
              <w:left w:val="nil"/>
              <w:bottom w:val="nil"/>
              <w:right w:val="nil"/>
            </w:tcBorders>
            <w:shd w:val="clear" w:color="auto" w:fill="auto"/>
            <w:noWrap/>
            <w:vAlign w:val="bottom"/>
          </w:tcPr>
          <w:p w14:paraId="15DEC88C" w14:textId="77777777" w:rsidR="008A7077" w:rsidRPr="00C66DFA" w:rsidRDefault="00D93639" w:rsidP="008A7077">
            <w:pPr>
              <w:jc w:val="center"/>
            </w:pPr>
            <w:r>
              <w:rPr>
                <w:bdr w:val="nil"/>
                <w:lang w:val="es-ES"/>
              </w:rPr>
              <w:t>0.185</w:t>
            </w:r>
          </w:p>
        </w:tc>
        <w:tc>
          <w:tcPr>
            <w:tcW w:w="236" w:type="dxa"/>
            <w:tcBorders>
              <w:top w:val="nil"/>
              <w:left w:val="nil"/>
              <w:bottom w:val="nil"/>
              <w:right w:val="nil"/>
            </w:tcBorders>
            <w:shd w:val="clear" w:color="auto" w:fill="auto"/>
            <w:noWrap/>
          </w:tcPr>
          <w:p w14:paraId="1EC0518B" w14:textId="77777777" w:rsidR="008A7077" w:rsidRPr="00C66DFA" w:rsidRDefault="005A7D75" w:rsidP="008A7077">
            <w:pPr>
              <w:jc w:val="center"/>
            </w:pPr>
          </w:p>
        </w:tc>
        <w:tc>
          <w:tcPr>
            <w:tcW w:w="1470" w:type="dxa"/>
            <w:gridSpan w:val="2"/>
            <w:tcBorders>
              <w:top w:val="nil"/>
              <w:left w:val="nil"/>
              <w:bottom w:val="nil"/>
              <w:right w:val="nil"/>
            </w:tcBorders>
            <w:shd w:val="clear" w:color="auto" w:fill="auto"/>
            <w:vAlign w:val="bottom"/>
          </w:tcPr>
          <w:p w14:paraId="5304FB31" w14:textId="77777777" w:rsidR="008A7077" w:rsidRPr="00C66DFA" w:rsidRDefault="00D93639" w:rsidP="008A7077">
            <w:pPr>
              <w:jc w:val="center"/>
            </w:pPr>
            <w:r>
              <w:rPr>
                <w:bdr w:val="nil"/>
                <w:lang w:val="es-ES"/>
              </w:rPr>
              <w:t>0.74%</w:t>
            </w:r>
          </w:p>
        </w:tc>
        <w:tc>
          <w:tcPr>
            <w:tcW w:w="257" w:type="dxa"/>
            <w:tcBorders>
              <w:left w:val="nil"/>
              <w:bottom w:val="nil"/>
              <w:right w:val="nil"/>
            </w:tcBorders>
          </w:tcPr>
          <w:p w14:paraId="01255B66" w14:textId="77777777" w:rsidR="008A7077" w:rsidRPr="00C66DFA" w:rsidRDefault="005A7D75" w:rsidP="008A7077">
            <w:pPr>
              <w:jc w:val="center"/>
            </w:pPr>
          </w:p>
        </w:tc>
      </w:tr>
      <w:tr w:rsidR="00EA4F7D" w14:paraId="14C76F96" w14:textId="77777777" w:rsidTr="001C721E">
        <w:trPr>
          <w:trHeight w:val="255"/>
          <w:jc w:val="center"/>
        </w:trPr>
        <w:tc>
          <w:tcPr>
            <w:tcW w:w="2059" w:type="dxa"/>
            <w:gridSpan w:val="3"/>
            <w:tcBorders>
              <w:top w:val="nil"/>
              <w:left w:val="nil"/>
              <w:bottom w:val="nil"/>
              <w:right w:val="nil"/>
            </w:tcBorders>
            <w:shd w:val="clear" w:color="auto" w:fill="auto"/>
            <w:noWrap/>
          </w:tcPr>
          <w:p w14:paraId="7BA18D4A" w14:textId="77777777" w:rsidR="008A7077" w:rsidRPr="00C66DFA" w:rsidRDefault="00D93639" w:rsidP="008A7077">
            <w:pPr>
              <w:rPr>
                <w:b/>
                <w:bCs/>
              </w:rPr>
            </w:pPr>
            <w:r>
              <w:rPr>
                <w:b/>
                <w:bCs/>
                <w:bdr w:val="nil"/>
                <w:lang w:val="es-ES"/>
              </w:rPr>
              <w:t xml:space="preserve">Comercial pequeño </w:t>
            </w:r>
          </w:p>
        </w:tc>
        <w:tc>
          <w:tcPr>
            <w:tcW w:w="270" w:type="dxa"/>
            <w:tcBorders>
              <w:top w:val="nil"/>
              <w:left w:val="nil"/>
              <w:bottom w:val="nil"/>
              <w:right w:val="nil"/>
            </w:tcBorders>
            <w:shd w:val="clear" w:color="auto" w:fill="auto"/>
            <w:noWrap/>
          </w:tcPr>
          <w:p w14:paraId="7FB65C1C" w14:textId="77777777" w:rsidR="008A7077" w:rsidRPr="00C66DFA" w:rsidRDefault="005A7D75" w:rsidP="008A7077">
            <w:pPr>
              <w:rPr>
                <w:highlight w:val="yellow"/>
              </w:rPr>
            </w:pPr>
          </w:p>
        </w:tc>
        <w:tc>
          <w:tcPr>
            <w:tcW w:w="1634" w:type="dxa"/>
            <w:tcBorders>
              <w:top w:val="nil"/>
              <w:left w:val="nil"/>
              <w:bottom w:val="nil"/>
              <w:right w:val="nil"/>
            </w:tcBorders>
            <w:shd w:val="clear" w:color="auto" w:fill="auto"/>
            <w:noWrap/>
            <w:vAlign w:val="bottom"/>
          </w:tcPr>
          <w:p w14:paraId="11F888F3" w14:textId="77777777" w:rsidR="008A7077" w:rsidRPr="00C66DFA" w:rsidRDefault="00D93639" w:rsidP="008A7077">
            <w:pPr>
              <w:jc w:val="center"/>
            </w:pPr>
            <w:r>
              <w:rPr>
                <w:bdr w:val="nil"/>
                <w:lang w:val="es-ES"/>
              </w:rPr>
              <w:t>23.928</w:t>
            </w:r>
          </w:p>
        </w:tc>
        <w:tc>
          <w:tcPr>
            <w:tcW w:w="236" w:type="dxa"/>
            <w:tcBorders>
              <w:top w:val="nil"/>
              <w:left w:val="nil"/>
              <w:bottom w:val="nil"/>
              <w:right w:val="nil"/>
            </w:tcBorders>
            <w:shd w:val="clear" w:color="auto" w:fill="auto"/>
            <w:noWrap/>
          </w:tcPr>
          <w:p w14:paraId="06AA7F9D" w14:textId="77777777" w:rsidR="008A7077" w:rsidRPr="00C66DFA" w:rsidRDefault="005A7D75" w:rsidP="008A7077"/>
        </w:tc>
        <w:tc>
          <w:tcPr>
            <w:tcW w:w="1943" w:type="dxa"/>
            <w:gridSpan w:val="3"/>
            <w:tcBorders>
              <w:top w:val="nil"/>
              <w:left w:val="nil"/>
              <w:bottom w:val="nil"/>
              <w:right w:val="nil"/>
            </w:tcBorders>
            <w:shd w:val="clear" w:color="auto" w:fill="auto"/>
            <w:vAlign w:val="bottom"/>
          </w:tcPr>
          <w:p w14:paraId="55EE5964" w14:textId="77777777" w:rsidR="008A7077" w:rsidRPr="00C66DFA" w:rsidRDefault="00D93639" w:rsidP="008A7077">
            <w:pPr>
              <w:jc w:val="center"/>
            </w:pPr>
            <w:r>
              <w:rPr>
                <w:bdr w:val="nil"/>
                <w:lang w:val="es-ES"/>
              </w:rPr>
              <w:t>24.132</w:t>
            </w:r>
          </w:p>
        </w:tc>
        <w:tc>
          <w:tcPr>
            <w:tcW w:w="236" w:type="dxa"/>
            <w:tcBorders>
              <w:top w:val="nil"/>
              <w:left w:val="nil"/>
              <w:bottom w:val="nil"/>
              <w:right w:val="nil"/>
            </w:tcBorders>
            <w:shd w:val="clear" w:color="auto" w:fill="auto"/>
          </w:tcPr>
          <w:p w14:paraId="33E82360"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6BA1EFBE" w14:textId="77777777" w:rsidR="008A7077" w:rsidRPr="00C66DFA" w:rsidRDefault="005A7D75" w:rsidP="008A7077"/>
        </w:tc>
        <w:tc>
          <w:tcPr>
            <w:tcW w:w="1188" w:type="dxa"/>
            <w:gridSpan w:val="2"/>
            <w:tcBorders>
              <w:top w:val="nil"/>
              <w:left w:val="nil"/>
              <w:bottom w:val="nil"/>
              <w:right w:val="nil"/>
            </w:tcBorders>
            <w:shd w:val="clear" w:color="auto" w:fill="auto"/>
            <w:noWrap/>
            <w:vAlign w:val="bottom"/>
          </w:tcPr>
          <w:p w14:paraId="3E772C02" w14:textId="77777777" w:rsidR="008A7077" w:rsidRPr="00C66DFA" w:rsidRDefault="00D93639" w:rsidP="008A7077">
            <w:pPr>
              <w:jc w:val="center"/>
            </w:pPr>
            <w:r>
              <w:rPr>
                <w:bdr w:val="nil"/>
                <w:lang w:val="es-ES"/>
              </w:rPr>
              <w:t>0.204</w:t>
            </w:r>
          </w:p>
        </w:tc>
        <w:tc>
          <w:tcPr>
            <w:tcW w:w="236" w:type="dxa"/>
            <w:tcBorders>
              <w:top w:val="nil"/>
              <w:left w:val="nil"/>
              <w:bottom w:val="nil"/>
              <w:right w:val="nil"/>
            </w:tcBorders>
            <w:shd w:val="clear" w:color="auto" w:fill="auto"/>
            <w:noWrap/>
          </w:tcPr>
          <w:p w14:paraId="7CE0166C" w14:textId="77777777" w:rsidR="008A7077" w:rsidRPr="00C66DFA" w:rsidRDefault="005A7D75" w:rsidP="008A7077"/>
        </w:tc>
        <w:tc>
          <w:tcPr>
            <w:tcW w:w="1470" w:type="dxa"/>
            <w:gridSpan w:val="2"/>
            <w:tcBorders>
              <w:top w:val="nil"/>
              <w:left w:val="nil"/>
              <w:bottom w:val="nil"/>
              <w:right w:val="nil"/>
            </w:tcBorders>
            <w:shd w:val="clear" w:color="auto" w:fill="auto"/>
            <w:vAlign w:val="bottom"/>
          </w:tcPr>
          <w:p w14:paraId="3BC93B4D" w14:textId="77777777" w:rsidR="008A7077" w:rsidRPr="00C66DFA" w:rsidRDefault="00D93639" w:rsidP="008A7077">
            <w:pPr>
              <w:jc w:val="center"/>
            </w:pPr>
            <w:r>
              <w:rPr>
                <w:bdr w:val="nil"/>
                <w:lang w:val="es-ES"/>
              </w:rPr>
              <w:t>0.85%</w:t>
            </w:r>
          </w:p>
        </w:tc>
        <w:tc>
          <w:tcPr>
            <w:tcW w:w="257" w:type="dxa"/>
            <w:tcBorders>
              <w:top w:val="nil"/>
              <w:left w:val="nil"/>
              <w:bottom w:val="nil"/>
              <w:right w:val="nil"/>
            </w:tcBorders>
          </w:tcPr>
          <w:p w14:paraId="31F4BB6F" w14:textId="77777777" w:rsidR="008A7077" w:rsidRPr="00C66DFA" w:rsidRDefault="005A7D75" w:rsidP="008A7077">
            <w:pPr>
              <w:jc w:val="center"/>
            </w:pPr>
          </w:p>
        </w:tc>
      </w:tr>
      <w:tr w:rsidR="00EA4F7D" w14:paraId="511CD30D" w14:textId="77777777" w:rsidTr="001C721E">
        <w:trPr>
          <w:trHeight w:val="255"/>
          <w:jc w:val="center"/>
        </w:trPr>
        <w:tc>
          <w:tcPr>
            <w:tcW w:w="2059" w:type="dxa"/>
            <w:gridSpan w:val="3"/>
            <w:tcBorders>
              <w:top w:val="nil"/>
              <w:left w:val="nil"/>
              <w:bottom w:val="nil"/>
              <w:right w:val="nil"/>
            </w:tcBorders>
            <w:shd w:val="clear" w:color="auto" w:fill="auto"/>
            <w:noWrap/>
          </w:tcPr>
          <w:p w14:paraId="4210944D" w14:textId="77777777" w:rsidR="008A7077" w:rsidRPr="00C66DFA" w:rsidRDefault="00D93639" w:rsidP="008A7077">
            <w:pPr>
              <w:rPr>
                <w:b/>
                <w:bCs/>
              </w:rPr>
            </w:pPr>
            <w:r>
              <w:rPr>
                <w:b/>
                <w:bCs/>
                <w:bdr w:val="nil"/>
                <w:lang w:val="es-ES"/>
              </w:rPr>
              <w:lastRenderedPageBreak/>
              <w:t>CeI mediano y grande</w:t>
            </w:r>
            <w:r>
              <w:rPr>
                <w:b/>
                <w:bCs/>
                <w:bdr w:val="nil"/>
                <w:vertAlign w:val="superscript"/>
                <w:lang w:val="es-ES"/>
              </w:rPr>
              <w:t>4</w:t>
            </w:r>
          </w:p>
        </w:tc>
        <w:tc>
          <w:tcPr>
            <w:tcW w:w="270" w:type="dxa"/>
            <w:tcBorders>
              <w:top w:val="nil"/>
              <w:left w:val="nil"/>
              <w:bottom w:val="nil"/>
              <w:right w:val="nil"/>
            </w:tcBorders>
            <w:shd w:val="clear" w:color="auto" w:fill="auto"/>
            <w:noWrap/>
          </w:tcPr>
          <w:p w14:paraId="11161A67" w14:textId="77777777" w:rsidR="008A7077" w:rsidRPr="00C66DFA" w:rsidRDefault="005A7D75" w:rsidP="008A7077">
            <w:pPr>
              <w:rPr>
                <w:highlight w:val="yellow"/>
              </w:rPr>
            </w:pPr>
          </w:p>
        </w:tc>
        <w:tc>
          <w:tcPr>
            <w:tcW w:w="1634" w:type="dxa"/>
            <w:tcBorders>
              <w:top w:val="nil"/>
              <w:left w:val="nil"/>
              <w:bottom w:val="nil"/>
              <w:right w:val="nil"/>
            </w:tcBorders>
            <w:shd w:val="clear" w:color="auto" w:fill="auto"/>
            <w:noWrap/>
            <w:vAlign w:val="bottom"/>
          </w:tcPr>
          <w:p w14:paraId="17FF9F63" w14:textId="77777777" w:rsidR="008A7077" w:rsidRPr="00C66DFA" w:rsidRDefault="00D93639" w:rsidP="008A7077">
            <w:pPr>
              <w:jc w:val="center"/>
            </w:pPr>
            <w:r>
              <w:rPr>
                <w:bdr w:val="nil"/>
                <w:lang w:val="es-ES"/>
              </w:rPr>
              <w:t>19.850</w:t>
            </w:r>
          </w:p>
        </w:tc>
        <w:tc>
          <w:tcPr>
            <w:tcW w:w="236" w:type="dxa"/>
            <w:tcBorders>
              <w:top w:val="nil"/>
              <w:left w:val="nil"/>
              <w:bottom w:val="nil"/>
              <w:right w:val="nil"/>
            </w:tcBorders>
            <w:shd w:val="clear" w:color="auto" w:fill="auto"/>
            <w:noWrap/>
          </w:tcPr>
          <w:p w14:paraId="449254C2" w14:textId="77777777" w:rsidR="008A7077" w:rsidRPr="00C66DFA" w:rsidRDefault="005A7D75" w:rsidP="008A7077"/>
        </w:tc>
        <w:tc>
          <w:tcPr>
            <w:tcW w:w="1943" w:type="dxa"/>
            <w:gridSpan w:val="3"/>
            <w:tcBorders>
              <w:top w:val="nil"/>
              <w:left w:val="nil"/>
              <w:bottom w:val="nil"/>
              <w:right w:val="nil"/>
            </w:tcBorders>
            <w:shd w:val="clear" w:color="auto" w:fill="auto"/>
            <w:vAlign w:val="bottom"/>
          </w:tcPr>
          <w:p w14:paraId="3CCA6E5E" w14:textId="77777777" w:rsidR="008A7077" w:rsidRPr="00C66DFA" w:rsidRDefault="00D93639" w:rsidP="008A7077">
            <w:pPr>
              <w:jc w:val="center"/>
            </w:pPr>
            <w:r>
              <w:rPr>
                <w:bdr w:val="nil"/>
                <w:lang w:val="es-ES"/>
              </w:rPr>
              <w:t>20.009</w:t>
            </w:r>
          </w:p>
        </w:tc>
        <w:tc>
          <w:tcPr>
            <w:tcW w:w="236" w:type="dxa"/>
            <w:tcBorders>
              <w:top w:val="nil"/>
              <w:left w:val="nil"/>
              <w:bottom w:val="nil"/>
              <w:right w:val="nil"/>
            </w:tcBorders>
            <w:shd w:val="clear" w:color="auto" w:fill="auto"/>
          </w:tcPr>
          <w:p w14:paraId="3CF8E876"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33FAC851" w14:textId="77777777" w:rsidR="008A7077" w:rsidRPr="00C66DFA" w:rsidRDefault="005A7D75" w:rsidP="008A7077"/>
        </w:tc>
        <w:tc>
          <w:tcPr>
            <w:tcW w:w="1188" w:type="dxa"/>
            <w:gridSpan w:val="2"/>
            <w:tcBorders>
              <w:top w:val="nil"/>
              <w:left w:val="nil"/>
              <w:bottom w:val="nil"/>
              <w:right w:val="nil"/>
            </w:tcBorders>
            <w:shd w:val="clear" w:color="auto" w:fill="auto"/>
            <w:noWrap/>
            <w:vAlign w:val="bottom"/>
          </w:tcPr>
          <w:p w14:paraId="36E38FE9" w14:textId="77777777" w:rsidR="008A7077" w:rsidRPr="00C66DFA" w:rsidRDefault="00D93639" w:rsidP="008A7077">
            <w:pPr>
              <w:jc w:val="center"/>
            </w:pPr>
            <w:r>
              <w:rPr>
                <w:bdr w:val="nil"/>
                <w:lang w:val="es-ES"/>
              </w:rPr>
              <w:t>0.159</w:t>
            </w:r>
          </w:p>
        </w:tc>
        <w:tc>
          <w:tcPr>
            <w:tcW w:w="236" w:type="dxa"/>
            <w:tcBorders>
              <w:top w:val="nil"/>
              <w:left w:val="nil"/>
              <w:bottom w:val="nil"/>
              <w:right w:val="nil"/>
            </w:tcBorders>
            <w:shd w:val="clear" w:color="auto" w:fill="auto"/>
            <w:noWrap/>
          </w:tcPr>
          <w:p w14:paraId="5314B83B" w14:textId="77777777" w:rsidR="008A7077" w:rsidRPr="00C66DFA" w:rsidRDefault="005A7D75" w:rsidP="008A7077"/>
        </w:tc>
        <w:tc>
          <w:tcPr>
            <w:tcW w:w="1470" w:type="dxa"/>
            <w:gridSpan w:val="2"/>
            <w:tcBorders>
              <w:top w:val="nil"/>
              <w:left w:val="nil"/>
              <w:bottom w:val="nil"/>
              <w:right w:val="nil"/>
            </w:tcBorders>
            <w:shd w:val="clear" w:color="auto" w:fill="auto"/>
            <w:vAlign w:val="bottom"/>
          </w:tcPr>
          <w:p w14:paraId="5CECA06D" w14:textId="77777777" w:rsidR="008A7077" w:rsidRPr="00C66DFA" w:rsidRDefault="00D93639" w:rsidP="008A7077">
            <w:pPr>
              <w:jc w:val="center"/>
            </w:pPr>
            <w:r>
              <w:rPr>
                <w:bdr w:val="nil"/>
                <w:lang w:val="es-ES"/>
              </w:rPr>
              <w:t>0.80%</w:t>
            </w:r>
          </w:p>
        </w:tc>
        <w:tc>
          <w:tcPr>
            <w:tcW w:w="257" w:type="dxa"/>
            <w:tcBorders>
              <w:top w:val="nil"/>
              <w:left w:val="nil"/>
              <w:bottom w:val="nil"/>
              <w:right w:val="nil"/>
            </w:tcBorders>
          </w:tcPr>
          <w:p w14:paraId="7CD34C23" w14:textId="77777777" w:rsidR="008A7077" w:rsidRPr="00C66DFA" w:rsidRDefault="005A7D75" w:rsidP="008A7077">
            <w:pPr>
              <w:jc w:val="center"/>
            </w:pPr>
          </w:p>
        </w:tc>
      </w:tr>
      <w:tr w:rsidR="00EA4F7D" w14:paraId="04D4692F" w14:textId="77777777" w:rsidTr="001C721E">
        <w:trPr>
          <w:trHeight w:val="255"/>
          <w:jc w:val="center"/>
        </w:trPr>
        <w:tc>
          <w:tcPr>
            <w:tcW w:w="2059" w:type="dxa"/>
            <w:gridSpan w:val="3"/>
            <w:tcBorders>
              <w:top w:val="nil"/>
              <w:left w:val="nil"/>
              <w:bottom w:val="nil"/>
              <w:right w:val="nil"/>
            </w:tcBorders>
            <w:shd w:val="clear" w:color="auto" w:fill="auto"/>
            <w:noWrap/>
          </w:tcPr>
          <w:p w14:paraId="59D968C5" w14:textId="77777777" w:rsidR="008A7077" w:rsidRPr="00C66DFA" w:rsidRDefault="00D93639" w:rsidP="008A7077">
            <w:pPr>
              <w:rPr>
                <w:b/>
                <w:bCs/>
              </w:rPr>
            </w:pPr>
            <w:r>
              <w:rPr>
                <w:b/>
                <w:bCs/>
                <w:bdr w:val="nil"/>
                <w:lang w:val="es-ES"/>
              </w:rPr>
              <w:t>Agrícola</w:t>
            </w:r>
          </w:p>
        </w:tc>
        <w:tc>
          <w:tcPr>
            <w:tcW w:w="270" w:type="dxa"/>
            <w:tcBorders>
              <w:top w:val="nil"/>
              <w:left w:val="nil"/>
              <w:bottom w:val="nil"/>
              <w:right w:val="nil"/>
            </w:tcBorders>
            <w:shd w:val="clear" w:color="auto" w:fill="auto"/>
            <w:noWrap/>
          </w:tcPr>
          <w:p w14:paraId="04953F9C" w14:textId="77777777" w:rsidR="008A7077" w:rsidRPr="00C66DFA" w:rsidRDefault="005A7D75" w:rsidP="008A7077">
            <w:pPr>
              <w:rPr>
                <w:highlight w:val="yellow"/>
              </w:rPr>
            </w:pPr>
          </w:p>
        </w:tc>
        <w:tc>
          <w:tcPr>
            <w:tcW w:w="1634" w:type="dxa"/>
            <w:tcBorders>
              <w:top w:val="nil"/>
              <w:left w:val="nil"/>
              <w:bottom w:val="nil"/>
              <w:right w:val="nil"/>
            </w:tcBorders>
            <w:shd w:val="clear" w:color="auto" w:fill="auto"/>
            <w:noWrap/>
            <w:vAlign w:val="bottom"/>
          </w:tcPr>
          <w:p w14:paraId="6CB608AE" w14:textId="77777777" w:rsidR="008A7077" w:rsidRPr="00C66DFA" w:rsidRDefault="00D93639" w:rsidP="008A7077">
            <w:pPr>
              <w:jc w:val="center"/>
            </w:pPr>
            <w:r>
              <w:rPr>
                <w:bdr w:val="nil"/>
                <w:lang w:val="es-ES"/>
              </w:rPr>
              <w:t>17.735</w:t>
            </w:r>
          </w:p>
        </w:tc>
        <w:tc>
          <w:tcPr>
            <w:tcW w:w="236" w:type="dxa"/>
            <w:tcBorders>
              <w:top w:val="nil"/>
              <w:left w:val="nil"/>
              <w:bottom w:val="nil"/>
              <w:right w:val="nil"/>
            </w:tcBorders>
            <w:shd w:val="clear" w:color="auto" w:fill="auto"/>
            <w:noWrap/>
          </w:tcPr>
          <w:p w14:paraId="1E77E037" w14:textId="77777777" w:rsidR="008A7077" w:rsidRPr="00C66DFA" w:rsidRDefault="005A7D75" w:rsidP="008A7077"/>
        </w:tc>
        <w:tc>
          <w:tcPr>
            <w:tcW w:w="1943" w:type="dxa"/>
            <w:gridSpan w:val="3"/>
            <w:tcBorders>
              <w:top w:val="nil"/>
              <w:left w:val="nil"/>
              <w:bottom w:val="nil"/>
              <w:right w:val="nil"/>
            </w:tcBorders>
            <w:shd w:val="clear" w:color="auto" w:fill="auto"/>
            <w:vAlign w:val="bottom"/>
          </w:tcPr>
          <w:p w14:paraId="77E1721F" w14:textId="77777777" w:rsidR="008A7077" w:rsidRPr="00C66DFA" w:rsidRDefault="00D93639" w:rsidP="008A7077">
            <w:pPr>
              <w:jc w:val="center"/>
            </w:pPr>
            <w:r>
              <w:rPr>
                <w:bdr w:val="nil"/>
                <w:lang w:val="es-ES"/>
              </w:rPr>
              <w:t>17.727</w:t>
            </w:r>
          </w:p>
        </w:tc>
        <w:tc>
          <w:tcPr>
            <w:tcW w:w="236" w:type="dxa"/>
            <w:tcBorders>
              <w:top w:val="nil"/>
              <w:left w:val="nil"/>
              <w:bottom w:val="nil"/>
              <w:right w:val="nil"/>
            </w:tcBorders>
            <w:shd w:val="clear" w:color="auto" w:fill="auto"/>
          </w:tcPr>
          <w:p w14:paraId="1EE40ECB"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2E183B38" w14:textId="77777777" w:rsidR="008A7077" w:rsidRPr="00C66DFA" w:rsidRDefault="005A7D75" w:rsidP="008A7077"/>
        </w:tc>
        <w:tc>
          <w:tcPr>
            <w:tcW w:w="1188" w:type="dxa"/>
            <w:gridSpan w:val="2"/>
            <w:tcBorders>
              <w:top w:val="nil"/>
              <w:left w:val="nil"/>
              <w:bottom w:val="nil"/>
              <w:right w:val="nil"/>
            </w:tcBorders>
            <w:shd w:val="clear" w:color="auto" w:fill="auto"/>
            <w:noWrap/>
            <w:vAlign w:val="bottom"/>
          </w:tcPr>
          <w:p w14:paraId="72A49308" w14:textId="77777777" w:rsidR="008A7077" w:rsidRPr="00C66DFA" w:rsidRDefault="00D93639" w:rsidP="008A7077">
            <w:pPr>
              <w:jc w:val="center"/>
            </w:pPr>
            <w:r>
              <w:rPr>
                <w:bdr w:val="nil"/>
                <w:lang w:val="es-ES"/>
              </w:rPr>
              <w:t>(0.008)</w:t>
            </w:r>
          </w:p>
        </w:tc>
        <w:tc>
          <w:tcPr>
            <w:tcW w:w="236" w:type="dxa"/>
            <w:tcBorders>
              <w:top w:val="nil"/>
              <w:left w:val="nil"/>
              <w:bottom w:val="nil"/>
              <w:right w:val="nil"/>
            </w:tcBorders>
            <w:shd w:val="clear" w:color="auto" w:fill="auto"/>
            <w:noWrap/>
          </w:tcPr>
          <w:p w14:paraId="2EA982E2" w14:textId="77777777" w:rsidR="008A7077" w:rsidRPr="00C66DFA" w:rsidRDefault="005A7D75" w:rsidP="008A7077"/>
        </w:tc>
        <w:tc>
          <w:tcPr>
            <w:tcW w:w="1470" w:type="dxa"/>
            <w:gridSpan w:val="2"/>
            <w:tcBorders>
              <w:top w:val="nil"/>
              <w:left w:val="nil"/>
              <w:bottom w:val="nil"/>
              <w:right w:val="nil"/>
            </w:tcBorders>
            <w:shd w:val="clear" w:color="auto" w:fill="auto"/>
            <w:vAlign w:val="bottom"/>
          </w:tcPr>
          <w:p w14:paraId="380EDE03" w14:textId="77777777" w:rsidR="008A7077" w:rsidRPr="00C66DFA" w:rsidRDefault="00D93639" w:rsidP="008A7077">
            <w:pPr>
              <w:jc w:val="center"/>
            </w:pPr>
            <w:r>
              <w:rPr>
                <w:bdr w:val="nil"/>
                <w:lang w:val="es-ES"/>
              </w:rPr>
              <w:t>-0.05%</w:t>
            </w:r>
          </w:p>
        </w:tc>
        <w:tc>
          <w:tcPr>
            <w:tcW w:w="257" w:type="dxa"/>
            <w:tcBorders>
              <w:top w:val="nil"/>
              <w:left w:val="nil"/>
              <w:bottom w:val="nil"/>
              <w:right w:val="nil"/>
            </w:tcBorders>
          </w:tcPr>
          <w:p w14:paraId="2D67DEA0" w14:textId="77777777" w:rsidR="008A7077" w:rsidRPr="00C66DFA" w:rsidRDefault="005A7D75" w:rsidP="008A7077">
            <w:pPr>
              <w:jc w:val="center"/>
            </w:pPr>
          </w:p>
        </w:tc>
      </w:tr>
      <w:tr w:rsidR="00EA4F7D" w14:paraId="4EF350E9" w14:textId="77777777" w:rsidTr="001C721E">
        <w:trPr>
          <w:trHeight w:val="255"/>
          <w:jc w:val="center"/>
        </w:trPr>
        <w:tc>
          <w:tcPr>
            <w:tcW w:w="2059" w:type="dxa"/>
            <w:gridSpan w:val="3"/>
            <w:tcBorders>
              <w:top w:val="nil"/>
              <w:left w:val="nil"/>
              <w:bottom w:val="nil"/>
              <w:right w:val="nil"/>
            </w:tcBorders>
            <w:shd w:val="clear" w:color="auto" w:fill="auto"/>
            <w:noWrap/>
          </w:tcPr>
          <w:p w14:paraId="63D3E75F" w14:textId="77777777" w:rsidR="008A7077" w:rsidRPr="00C66DFA" w:rsidRDefault="00D93639" w:rsidP="008A7077">
            <w:pPr>
              <w:rPr>
                <w:b/>
                <w:bCs/>
              </w:rPr>
            </w:pPr>
            <w:r>
              <w:rPr>
                <w:b/>
                <w:bCs/>
                <w:bdr w:val="nil"/>
                <w:lang w:val="es-ES"/>
              </w:rPr>
              <w:t>Iluminación</w:t>
            </w:r>
          </w:p>
        </w:tc>
        <w:tc>
          <w:tcPr>
            <w:tcW w:w="270" w:type="dxa"/>
            <w:tcBorders>
              <w:top w:val="nil"/>
              <w:left w:val="nil"/>
              <w:bottom w:val="nil"/>
              <w:right w:val="nil"/>
            </w:tcBorders>
            <w:shd w:val="clear" w:color="auto" w:fill="auto"/>
            <w:noWrap/>
          </w:tcPr>
          <w:p w14:paraId="5360034C" w14:textId="77777777" w:rsidR="008A7077" w:rsidRPr="00C66DFA" w:rsidRDefault="005A7D75" w:rsidP="008A7077">
            <w:pPr>
              <w:rPr>
                <w:highlight w:val="yellow"/>
              </w:rPr>
            </w:pPr>
          </w:p>
        </w:tc>
        <w:tc>
          <w:tcPr>
            <w:tcW w:w="1634" w:type="dxa"/>
            <w:tcBorders>
              <w:top w:val="nil"/>
              <w:left w:val="nil"/>
              <w:bottom w:val="nil"/>
              <w:right w:val="nil"/>
            </w:tcBorders>
            <w:shd w:val="clear" w:color="auto" w:fill="auto"/>
            <w:noWrap/>
            <w:vAlign w:val="bottom"/>
          </w:tcPr>
          <w:p w14:paraId="256B6802" w14:textId="77777777" w:rsidR="008A7077" w:rsidRPr="00C66DFA" w:rsidRDefault="00D93639" w:rsidP="008A7077">
            <w:pPr>
              <w:jc w:val="center"/>
            </w:pPr>
            <w:r>
              <w:rPr>
                <w:bdr w:val="nil"/>
                <w:lang w:val="es-ES"/>
              </w:rPr>
              <w:t>19.917</w:t>
            </w:r>
          </w:p>
        </w:tc>
        <w:tc>
          <w:tcPr>
            <w:tcW w:w="236" w:type="dxa"/>
            <w:tcBorders>
              <w:top w:val="nil"/>
              <w:left w:val="nil"/>
              <w:bottom w:val="nil"/>
              <w:right w:val="nil"/>
            </w:tcBorders>
            <w:shd w:val="clear" w:color="auto" w:fill="auto"/>
            <w:noWrap/>
          </w:tcPr>
          <w:p w14:paraId="2481CFB2" w14:textId="77777777" w:rsidR="008A7077" w:rsidRPr="00C66DFA" w:rsidRDefault="005A7D75" w:rsidP="008A7077"/>
        </w:tc>
        <w:tc>
          <w:tcPr>
            <w:tcW w:w="1943" w:type="dxa"/>
            <w:gridSpan w:val="3"/>
            <w:tcBorders>
              <w:top w:val="nil"/>
              <w:left w:val="nil"/>
              <w:bottom w:val="nil"/>
              <w:right w:val="nil"/>
            </w:tcBorders>
            <w:shd w:val="clear" w:color="auto" w:fill="auto"/>
            <w:vAlign w:val="bottom"/>
          </w:tcPr>
          <w:p w14:paraId="2309B7A2" w14:textId="77777777" w:rsidR="008A7077" w:rsidRPr="00C66DFA" w:rsidRDefault="00D93639" w:rsidP="008A7077">
            <w:pPr>
              <w:jc w:val="center"/>
            </w:pPr>
            <w:r>
              <w:rPr>
                <w:bdr w:val="nil"/>
                <w:lang w:val="es-ES"/>
              </w:rPr>
              <w:t>20.114</w:t>
            </w:r>
          </w:p>
        </w:tc>
        <w:tc>
          <w:tcPr>
            <w:tcW w:w="236" w:type="dxa"/>
            <w:tcBorders>
              <w:top w:val="nil"/>
              <w:left w:val="nil"/>
              <w:bottom w:val="nil"/>
              <w:right w:val="nil"/>
            </w:tcBorders>
            <w:shd w:val="clear" w:color="auto" w:fill="auto"/>
          </w:tcPr>
          <w:p w14:paraId="46D67EC5"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2DCA18E5" w14:textId="77777777" w:rsidR="008A7077" w:rsidRPr="00C66DFA" w:rsidRDefault="005A7D75" w:rsidP="008A7077"/>
        </w:tc>
        <w:tc>
          <w:tcPr>
            <w:tcW w:w="1188" w:type="dxa"/>
            <w:gridSpan w:val="2"/>
            <w:tcBorders>
              <w:top w:val="nil"/>
              <w:left w:val="nil"/>
              <w:bottom w:val="nil"/>
              <w:right w:val="nil"/>
            </w:tcBorders>
            <w:shd w:val="clear" w:color="auto" w:fill="auto"/>
            <w:noWrap/>
            <w:vAlign w:val="bottom"/>
          </w:tcPr>
          <w:p w14:paraId="3D29CE0D" w14:textId="77777777" w:rsidR="008A7077" w:rsidRPr="00C66DFA" w:rsidRDefault="00D93639" w:rsidP="008A7077">
            <w:pPr>
              <w:jc w:val="center"/>
            </w:pPr>
            <w:r>
              <w:rPr>
                <w:bdr w:val="nil"/>
                <w:lang w:val="es-ES"/>
              </w:rPr>
              <w:t>0.197</w:t>
            </w:r>
          </w:p>
        </w:tc>
        <w:tc>
          <w:tcPr>
            <w:tcW w:w="236" w:type="dxa"/>
            <w:tcBorders>
              <w:top w:val="nil"/>
              <w:left w:val="nil"/>
              <w:bottom w:val="nil"/>
              <w:right w:val="nil"/>
            </w:tcBorders>
            <w:shd w:val="clear" w:color="auto" w:fill="auto"/>
            <w:noWrap/>
          </w:tcPr>
          <w:p w14:paraId="07D29FCB" w14:textId="77777777" w:rsidR="008A7077" w:rsidRPr="00C66DFA" w:rsidRDefault="005A7D75" w:rsidP="008A7077"/>
        </w:tc>
        <w:tc>
          <w:tcPr>
            <w:tcW w:w="1470" w:type="dxa"/>
            <w:gridSpan w:val="2"/>
            <w:tcBorders>
              <w:top w:val="nil"/>
              <w:left w:val="nil"/>
              <w:bottom w:val="nil"/>
              <w:right w:val="nil"/>
            </w:tcBorders>
            <w:shd w:val="clear" w:color="auto" w:fill="auto"/>
            <w:vAlign w:val="bottom"/>
          </w:tcPr>
          <w:p w14:paraId="3648E4C5" w14:textId="77777777" w:rsidR="008A7077" w:rsidRPr="00C66DFA" w:rsidRDefault="00D93639" w:rsidP="008A7077">
            <w:pPr>
              <w:jc w:val="center"/>
            </w:pPr>
            <w:r>
              <w:rPr>
                <w:bdr w:val="nil"/>
                <w:lang w:val="es-ES"/>
              </w:rPr>
              <w:t>0.99%</w:t>
            </w:r>
          </w:p>
        </w:tc>
        <w:tc>
          <w:tcPr>
            <w:tcW w:w="257" w:type="dxa"/>
            <w:tcBorders>
              <w:top w:val="nil"/>
              <w:left w:val="nil"/>
              <w:bottom w:val="nil"/>
              <w:right w:val="nil"/>
            </w:tcBorders>
          </w:tcPr>
          <w:p w14:paraId="257D31FC" w14:textId="77777777" w:rsidR="008A7077" w:rsidRPr="00C66DFA" w:rsidRDefault="005A7D75" w:rsidP="008A7077">
            <w:pPr>
              <w:jc w:val="center"/>
            </w:pPr>
          </w:p>
        </w:tc>
      </w:tr>
      <w:tr w:rsidR="00EA4F7D" w14:paraId="222EA591" w14:textId="77777777" w:rsidTr="001C721E">
        <w:trPr>
          <w:trHeight w:val="255"/>
          <w:jc w:val="center"/>
        </w:trPr>
        <w:tc>
          <w:tcPr>
            <w:tcW w:w="2059" w:type="dxa"/>
            <w:gridSpan w:val="3"/>
            <w:tcBorders>
              <w:top w:val="nil"/>
              <w:left w:val="nil"/>
              <w:bottom w:val="nil"/>
              <w:right w:val="nil"/>
            </w:tcBorders>
            <w:shd w:val="clear" w:color="auto" w:fill="auto"/>
            <w:noWrap/>
          </w:tcPr>
          <w:p w14:paraId="6773D59B" w14:textId="77777777" w:rsidR="008A7077" w:rsidRPr="00C66DFA" w:rsidRDefault="00D93639" w:rsidP="008A7077">
            <w:pPr>
              <w:rPr>
                <w:b/>
                <w:bCs/>
              </w:rPr>
            </w:pPr>
            <w:r>
              <w:rPr>
                <w:b/>
                <w:bCs/>
                <w:bdr w:val="nil"/>
                <w:lang w:val="es-ES"/>
              </w:rPr>
              <w:t>Total del sistema</w:t>
            </w:r>
          </w:p>
        </w:tc>
        <w:tc>
          <w:tcPr>
            <w:tcW w:w="270" w:type="dxa"/>
            <w:tcBorders>
              <w:top w:val="nil"/>
              <w:left w:val="nil"/>
              <w:bottom w:val="nil"/>
              <w:right w:val="nil"/>
            </w:tcBorders>
            <w:shd w:val="clear" w:color="auto" w:fill="auto"/>
            <w:noWrap/>
          </w:tcPr>
          <w:p w14:paraId="61D688C7" w14:textId="77777777" w:rsidR="008A7077" w:rsidRPr="00C66DFA" w:rsidRDefault="005A7D75" w:rsidP="008A7077">
            <w:pPr>
              <w:rPr>
                <w:highlight w:val="yellow"/>
              </w:rPr>
            </w:pPr>
          </w:p>
        </w:tc>
        <w:tc>
          <w:tcPr>
            <w:tcW w:w="1634" w:type="dxa"/>
            <w:tcBorders>
              <w:top w:val="nil"/>
              <w:left w:val="nil"/>
              <w:bottom w:val="nil"/>
              <w:right w:val="nil"/>
            </w:tcBorders>
            <w:shd w:val="clear" w:color="auto" w:fill="auto"/>
            <w:noWrap/>
            <w:vAlign w:val="bottom"/>
          </w:tcPr>
          <w:p w14:paraId="7E4A2297" w14:textId="77777777" w:rsidR="008A7077" w:rsidRPr="00C66DFA" w:rsidRDefault="00D93639" w:rsidP="008A7077">
            <w:pPr>
              <w:jc w:val="center"/>
            </w:pPr>
            <w:r>
              <w:rPr>
                <w:bdr w:val="nil"/>
                <w:lang w:val="es-ES"/>
              </w:rPr>
              <w:t>22.122</w:t>
            </w:r>
          </w:p>
        </w:tc>
        <w:tc>
          <w:tcPr>
            <w:tcW w:w="236" w:type="dxa"/>
            <w:tcBorders>
              <w:top w:val="nil"/>
              <w:left w:val="nil"/>
              <w:bottom w:val="nil"/>
              <w:right w:val="nil"/>
            </w:tcBorders>
            <w:shd w:val="clear" w:color="auto" w:fill="auto"/>
            <w:noWrap/>
          </w:tcPr>
          <w:p w14:paraId="7D1DF50F" w14:textId="77777777" w:rsidR="008A7077" w:rsidRPr="00C66DFA" w:rsidRDefault="005A7D75" w:rsidP="008A7077"/>
        </w:tc>
        <w:tc>
          <w:tcPr>
            <w:tcW w:w="1943" w:type="dxa"/>
            <w:gridSpan w:val="3"/>
            <w:tcBorders>
              <w:top w:val="nil"/>
              <w:left w:val="nil"/>
              <w:bottom w:val="nil"/>
              <w:right w:val="nil"/>
            </w:tcBorders>
            <w:shd w:val="clear" w:color="auto" w:fill="auto"/>
            <w:vAlign w:val="bottom"/>
          </w:tcPr>
          <w:p w14:paraId="014F4A8C" w14:textId="77777777" w:rsidR="008A7077" w:rsidRPr="00C66DFA" w:rsidRDefault="00D93639" w:rsidP="008A7077">
            <w:pPr>
              <w:jc w:val="center"/>
            </w:pPr>
            <w:r>
              <w:rPr>
                <w:bdr w:val="nil"/>
                <w:lang w:val="es-ES"/>
              </w:rPr>
              <w:t>22.293</w:t>
            </w:r>
          </w:p>
        </w:tc>
        <w:tc>
          <w:tcPr>
            <w:tcW w:w="236" w:type="dxa"/>
            <w:tcBorders>
              <w:top w:val="nil"/>
              <w:left w:val="nil"/>
              <w:bottom w:val="nil"/>
              <w:right w:val="nil"/>
            </w:tcBorders>
            <w:shd w:val="clear" w:color="auto" w:fill="auto"/>
          </w:tcPr>
          <w:p w14:paraId="59EB8758"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3BB4146F" w14:textId="77777777" w:rsidR="008A7077" w:rsidRPr="00C66DFA" w:rsidRDefault="005A7D75" w:rsidP="008A7077"/>
        </w:tc>
        <w:tc>
          <w:tcPr>
            <w:tcW w:w="1188" w:type="dxa"/>
            <w:gridSpan w:val="2"/>
            <w:tcBorders>
              <w:top w:val="nil"/>
              <w:left w:val="nil"/>
              <w:bottom w:val="nil"/>
              <w:right w:val="nil"/>
            </w:tcBorders>
            <w:shd w:val="clear" w:color="auto" w:fill="auto"/>
            <w:noWrap/>
            <w:vAlign w:val="bottom"/>
          </w:tcPr>
          <w:p w14:paraId="0680C6FC" w14:textId="77777777" w:rsidR="008A7077" w:rsidRPr="00C66DFA" w:rsidRDefault="00D93639" w:rsidP="008A7077">
            <w:pPr>
              <w:jc w:val="center"/>
            </w:pPr>
            <w:r>
              <w:rPr>
                <w:bdr w:val="nil"/>
                <w:lang w:val="es-ES"/>
              </w:rPr>
              <w:t>0.171</w:t>
            </w:r>
          </w:p>
        </w:tc>
        <w:tc>
          <w:tcPr>
            <w:tcW w:w="236" w:type="dxa"/>
            <w:tcBorders>
              <w:top w:val="nil"/>
              <w:left w:val="nil"/>
              <w:bottom w:val="nil"/>
              <w:right w:val="nil"/>
            </w:tcBorders>
            <w:shd w:val="clear" w:color="auto" w:fill="auto"/>
            <w:noWrap/>
          </w:tcPr>
          <w:p w14:paraId="155E712A" w14:textId="77777777" w:rsidR="008A7077" w:rsidRPr="00C66DFA" w:rsidRDefault="005A7D75" w:rsidP="008A7077"/>
        </w:tc>
        <w:tc>
          <w:tcPr>
            <w:tcW w:w="1470" w:type="dxa"/>
            <w:gridSpan w:val="2"/>
            <w:tcBorders>
              <w:top w:val="nil"/>
              <w:left w:val="nil"/>
              <w:bottom w:val="nil"/>
              <w:right w:val="nil"/>
            </w:tcBorders>
            <w:shd w:val="clear" w:color="auto" w:fill="auto"/>
            <w:vAlign w:val="bottom"/>
          </w:tcPr>
          <w:p w14:paraId="632813E6" w14:textId="77777777" w:rsidR="008A7077" w:rsidRPr="00C66DFA" w:rsidRDefault="00D93639" w:rsidP="008A7077">
            <w:pPr>
              <w:jc w:val="center"/>
            </w:pPr>
            <w:r>
              <w:rPr>
                <w:bdr w:val="nil"/>
                <w:lang w:val="es-ES"/>
              </w:rPr>
              <w:t>0.77%</w:t>
            </w:r>
          </w:p>
        </w:tc>
        <w:tc>
          <w:tcPr>
            <w:tcW w:w="257" w:type="dxa"/>
            <w:tcBorders>
              <w:top w:val="nil"/>
              <w:left w:val="nil"/>
              <w:bottom w:val="nil"/>
              <w:right w:val="nil"/>
            </w:tcBorders>
          </w:tcPr>
          <w:p w14:paraId="13904EE0" w14:textId="77777777" w:rsidR="008A7077" w:rsidRPr="00C66DFA" w:rsidRDefault="005A7D75" w:rsidP="008A7077">
            <w:pPr>
              <w:jc w:val="center"/>
            </w:pPr>
          </w:p>
        </w:tc>
      </w:tr>
      <w:tr w:rsidR="00EA4F7D" w14:paraId="78BA3A66" w14:textId="77777777" w:rsidTr="00A40F28">
        <w:trPr>
          <w:gridAfter w:val="16"/>
          <w:wAfter w:w="9526" w:type="dxa"/>
          <w:trHeight w:val="198"/>
          <w:jc w:val="center"/>
        </w:trPr>
        <w:tc>
          <w:tcPr>
            <w:tcW w:w="239" w:type="dxa"/>
            <w:tcBorders>
              <w:top w:val="nil"/>
              <w:left w:val="nil"/>
              <w:bottom w:val="nil"/>
              <w:right w:val="nil"/>
            </w:tcBorders>
          </w:tcPr>
          <w:p w14:paraId="72927C5F" w14:textId="77777777" w:rsidR="00D25660" w:rsidRPr="00C66DFA" w:rsidRDefault="005A7D75" w:rsidP="00334609">
            <w:pPr>
              <w:jc w:val="center"/>
              <w:rPr>
                <w:b/>
                <w:caps/>
              </w:rPr>
            </w:pPr>
          </w:p>
        </w:tc>
      </w:tr>
      <w:tr w:rsidR="00EA4F7D" w14:paraId="62F7621F" w14:textId="77777777" w:rsidTr="008A7077">
        <w:trPr>
          <w:trHeight w:val="198"/>
          <w:jc w:val="center"/>
        </w:trPr>
        <w:tc>
          <w:tcPr>
            <w:tcW w:w="239" w:type="dxa"/>
            <w:tcBorders>
              <w:top w:val="nil"/>
              <w:left w:val="nil"/>
              <w:bottom w:val="nil"/>
              <w:right w:val="nil"/>
            </w:tcBorders>
          </w:tcPr>
          <w:p w14:paraId="1B5F5EDB" w14:textId="77777777" w:rsidR="004F103A" w:rsidRPr="00C66DFA" w:rsidRDefault="005A7D75" w:rsidP="00A40F28">
            <w:pPr>
              <w:jc w:val="center"/>
              <w:rPr>
                <w:b/>
                <w:caps/>
              </w:rPr>
            </w:pPr>
          </w:p>
        </w:tc>
        <w:tc>
          <w:tcPr>
            <w:tcW w:w="270" w:type="dxa"/>
            <w:tcBorders>
              <w:top w:val="nil"/>
              <w:left w:val="nil"/>
              <w:bottom w:val="nil"/>
              <w:right w:val="nil"/>
            </w:tcBorders>
          </w:tcPr>
          <w:p w14:paraId="34C6BE84" w14:textId="77777777" w:rsidR="00A23FBC" w:rsidRPr="00C66DFA" w:rsidRDefault="005A7D75" w:rsidP="00A66869">
            <w:pPr>
              <w:rPr>
                <w:highlight w:val="yellow"/>
              </w:rPr>
            </w:pPr>
          </w:p>
        </w:tc>
        <w:tc>
          <w:tcPr>
            <w:tcW w:w="1550" w:type="dxa"/>
            <w:tcBorders>
              <w:top w:val="nil"/>
              <w:left w:val="nil"/>
              <w:bottom w:val="single" w:sz="4" w:space="0" w:color="auto"/>
              <w:right w:val="nil"/>
            </w:tcBorders>
          </w:tcPr>
          <w:p w14:paraId="4787A851" w14:textId="77777777" w:rsidR="00A23FBC" w:rsidRPr="00C66DFA" w:rsidRDefault="005A7D75" w:rsidP="00A66869">
            <w:pPr>
              <w:jc w:val="center"/>
              <w:rPr>
                <w:b/>
              </w:rPr>
            </w:pPr>
          </w:p>
        </w:tc>
        <w:tc>
          <w:tcPr>
            <w:tcW w:w="270" w:type="dxa"/>
            <w:tcBorders>
              <w:top w:val="nil"/>
              <w:left w:val="nil"/>
              <w:bottom w:val="nil"/>
              <w:right w:val="nil"/>
            </w:tcBorders>
          </w:tcPr>
          <w:p w14:paraId="3A510783" w14:textId="77777777" w:rsidR="00A23FBC" w:rsidRPr="00C66DFA" w:rsidRDefault="005A7D75" w:rsidP="00A66869">
            <w:pPr>
              <w:jc w:val="center"/>
              <w:rPr>
                <w:b/>
                <w:bCs/>
              </w:rPr>
            </w:pPr>
          </w:p>
        </w:tc>
        <w:tc>
          <w:tcPr>
            <w:tcW w:w="1870" w:type="dxa"/>
            <w:gridSpan w:val="2"/>
            <w:tcBorders>
              <w:top w:val="nil"/>
              <w:left w:val="nil"/>
              <w:bottom w:val="single" w:sz="4" w:space="0" w:color="auto"/>
              <w:right w:val="nil"/>
            </w:tcBorders>
          </w:tcPr>
          <w:p w14:paraId="519A0F7F" w14:textId="77777777" w:rsidR="00A23FBC" w:rsidRPr="00C66DFA" w:rsidRDefault="005A7D75" w:rsidP="00A66869">
            <w:pPr>
              <w:jc w:val="center"/>
              <w:rPr>
                <w:b/>
              </w:rPr>
            </w:pPr>
          </w:p>
        </w:tc>
        <w:tc>
          <w:tcPr>
            <w:tcW w:w="270" w:type="dxa"/>
            <w:tcBorders>
              <w:top w:val="nil"/>
              <w:left w:val="nil"/>
              <w:right w:val="nil"/>
            </w:tcBorders>
          </w:tcPr>
          <w:p w14:paraId="1E514BFD" w14:textId="77777777" w:rsidR="00A23FBC" w:rsidRPr="00C66DFA" w:rsidRDefault="005A7D75" w:rsidP="00A66869">
            <w:pPr>
              <w:jc w:val="center"/>
              <w:rPr>
                <w:b/>
                <w:bCs/>
              </w:rPr>
            </w:pPr>
          </w:p>
        </w:tc>
        <w:tc>
          <w:tcPr>
            <w:tcW w:w="236" w:type="dxa"/>
            <w:tcBorders>
              <w:top w:val="nil"/>
              <w:left w:val="nil"/>
              <w:bottom w:val="nil"/>
              <w:right w:val="nil"/>
            </w:tcBorders>
          </w:tcPr>
          <w:p w14:paraId="2FDCDC03" w14:textId="77777777" w:rsidR="00A23FBC" w:rsidRPr="00C66DFA" w:rsidRDefault="005A7D75" w:rsidP="00A66869"/>
        </w:tc>
        <w:tc>
          <w:tcPr>
            <w:tcW w:w="1909" w:type="dxa"/>
            <w:gridSpan w:val="3"/>
            <w:tcBorders>
              <w:top w:val="nil"/>
              <w:left w:val="nil"/>
              <w:bottom w:val="single" w:sz="4" w:space="0" w:color="auto"/>
              <w:right w:val="nil"/>
            </w:tcBorders>
          </w:tcPr>
          <w:p w14:paraId="46F13449" w14:textId="77777777" w:rsidR="00A23FBC" w:rsidRPr="00C66DFA" w:rsidRDefault="005A7D75" w:rsidP="00A66869">
            <w:pPr>
              <w:jc w:val="center"/>
              <w:rPr>
                <w:b/>
              </w:rPr>
            </w:pPr>
          </w:p>
        </w:tc>
        <w:tc>
          <w:tcPr>
            <w:tcW w:w="236" w:type="dxa"/>
            <w:tcBorders>
              <w:top w:val="nil"/>
              <w:left w:val="nil"/>
              <w:bottom w:val="nil"/>
              <w:right w:val="nil"/>
            </w:tcBorders>
          </w:tcPr>
          <w:p w14:paraId="2E6F9C27" w14:textId="77777777" w:rsidR="00A23FBC" w:rsidRPr="00C66DFA" w:rsidRDefault="005A7D75" w:rsidP="00A66869"/>
        </w:tc>
        <w:tc>
          <w:tcPr>
            <w:tcW w:w="1752" w:type="dxa"/>
            <w:gridSpan w:val="3"/>
            <w:tcBorders>
              <w:top w:val="nil"/>
              <w:left w:val="nil"/>
              <w:bottom w:val="single" w:sz="4" w:space="0" w:color="auto"/>
              <w:right w:val="nil"/>
            </w:tcBorders>
          </w:tcPr>
          <w:p w14:paraId="0AC65086" w14:textId="77777777" w:rsidR="00A23FBC" w:rsidRPr="00C66DFA" w:rsidRDefault="005A7D75" w:rsidP="00A66869">
            <w:pPr>
              <w:jc w:val="center"/>
              <w:rPr>
                <w:b/>
                <w:bCs/>
              </w:rPr>
            </w:pPr>
          </w:p>
        </w:tc>
        <w:tc>
          <w:tcPr>
            <w:tcW w:w="1163" w:type="dxa"/>
            <w:gridSpan w:val="2"/>
            <w:tcBorders>
              <w:top w:val="nil"/>
              <w:left w:val="nil"/>
              <w:right w:val="nil"/>
            </w:tcBorders>
          </w:tcPr>
          <w:p w14:paraId="750BDBAD" w14:textId="77777777" w:rsidR="00A23FBC" w:rsidRPr="00C66DFA" w:rsidRDefault="005A7D75" w:rsidP="00A66869">
            <w:pPr>
              <w:jc w:val="center"/>
              <w:rPr>
                <w:b/>
                <w:bCs/>
              </w:rPr>
            </w:pPr>
          </w:p>
        </w:tc>
      </w:tr>
    </w:tbl>
    <w:p w14:paraId="477C3D37" w14:textId="77777777" w:rsidR="00356776" w:rsidRPr="00C66DFA" w:rsidRDefault="00D93639" w:rsidP="00AB05C7">
      <w:pPr>
        <w:ind w:left="142" w:hanging="142"/>
      </w:pPr>
      <w:r>
        <w:rPr>
          <w:bdr w:val="nil"/>
          <w:vertAlign w:val="superscript"/>
          <w:lang w:val="es-ES"/>
        </w:rPr>
        <w:t xml:space="preserve">1 </w:t>
      </w:r>
      <w:r>
        <w:rPr>
          <w:bdr w:val="nil"/>
          <w:lang w:val="es-ES"/>
        </w:rPr>
        <w:t>Las tarifas UDC incluyen el cargo Bond Charge del Departamento de Recursos Hídricos (DWR).</w:t>
      </w:r>
    </w:p>
    <w:p w14:paraId="04454DC9" w14:textId="77777777" w:rsidR="00356776" w:rsidRPr="00C66DFA" w:rsidRDefault="00D93639" w:rsidP="00A23FBC">
      <w:pPr>
        <w:ind w:left="-1260" w:firstLine="1260"/>
      </w:pPr>
      <w:r>
        <w:rPr>
          <w:bdr w:val="nil"/>
          <w:vertAlign w:val="superscript"/>
          <w:lang w:val="es-ES"/>
        </w:rPr>
        <w:t xml:space="preserve">2 </w:t>
      </w:r>
      <w:r>
        <w:rPr>
          <w:bdr w:val="nil"/>
          <w:lang w:val="es-ES"/>
        </w:rPr>
        <w:t>Las tarifas del producto básico incluyen el abono Power Charge del DWR.</w:t>
      </w:r>
    </w:p>
    <w:p w14:paraId="71C5D396" w14:textId="77777777" w:rsidR="008D6909" w:rsidRPr="00C66DFA" w:rsidRDefault="00D93639" w:rsidP="00A23FBC">
      <w:pPr>
        <w:ind w:left="-1260" w:firstLine="1260"/>
      </w:pPr>
      <w:r>
        <w:rPr>
          <w:bdr w:val="nil"/>
          <w:vertAlign w:val="superscript"/>
          <w:lang w:val="es-ES"/>
        </w:rPr>
        <w:t>3</w:t>
      </w:r>
      <w:r>
        <w:rPr>
          <w:bdr w:val="nil"/>
          <w:lang w:val="es-ES"/>
        </w:rPr>
        <w:t xml:space="preserve"> Tarifas en vigor a partir del 3/1/17 conforme a la Carta de Aviso (AL) 3034-E/E-A.</w:t>
      </w:r>
    </w:p>
    <w:p w14:paraId="4D530AD7" w14:textId="77777777" w:rsidR="00472FB8" w:rsidRPr="00C66DFA" w:rsidRDefault="00D93639" w:rsidP="00A23FBC">
      <w:pPr>
        <w:ind w:left="-1260" w:firstLine="1260"/>
      </w:pPr>
      <w:r>
        <w:rPr>
          <w:bdr w:val="nil"/>
          <w:vertAlign w:val="superscript"/>
          <w:lang w:val="es-ES"/>
        </w:rPr>
        <w:t xml:space="preserve">2 </w:t>
      </w:r>
      <w:r>
        <w:rPr>
          <w:bdr w:val="nil"/>
          <w:lang w:val="es-ES"/>
        </w:rPr>
        <w:t>CeI significa Comercial e Industrial.</w:t>
      </w:r>
    </w:p>
    <w:p w14:paraId="05D3C2EF" w14:textId="77777777" w:rsidR="004F29DA" w:rsidRPr="00C66DFA" w:rsidRDefault="005A7D75" w:rsidP="00B13855">
      <w:pPr>
        <w:pStyle w:val="BodyText"/>
        <w:jc w:val="center"/>
        <w:rPr>
          <w:b/>
          <w:szCs w:val="24"/>
        </w:rPr>
      </w:pPr>
    </w:p>
    <w:p w14:paraId="27EA02B9" w14:textId="77777777" w:rsidR="00A23FBC" w:rsidRPr="00C66DFA" w:rsidRDefault="00D93639" w:rsidP="00B13855">
      <w:pPr>
        <w:pStyle w:val="BodyText"/>
        <w:jc w:val="center"/>
        <w:rPr>
          <w:szCs w:val="24"/>
        </w:rPr>
      </w:pPr>
      <w:r>
        <w:rPr>
          <w:b/>
          <w:bCs/>
          <w:szCs w:val="24"/>
          <w:bdr w:val="nil"/>
          <w:lang w:val="es-ES"/>
        </w:rPr>
        <w:t>AUMENTO ILUSTRATIVO EN LA TARIFA ELÉCTRICA UDC</w:t>
      </w:r>
      <w:r>
        <w:rPr>
          <w:b/>
          <w:bCs/>
          <w:szCs w:val="24"/>
          <w:bdr w:val="nil"/>
          <w:vertAlign w:val="superscript"/>
          <w:lang w:val="es-ES"/>
        </w:rPr>
        <w:t>1</w:t>
      </w:r>
      <w:r>
        <w:rPr>
          <w:b/>
          <w:bCs/>
          <w:szCs w:val="24"/>
          <w:bdr w:val="nil"/>
          <w:lang w:val="es-ES"/>
        </w:rPr>
        <w:t xml:space="preserve"> DE SAN DIEGO GAS &amp; ELECTRIC COMPANY</w:t>
      </w:r>
      <w:r>
        <w:rPr>
          <w:b/>
          <w:bCs/>
          <w:szCs w:val="24"/>
          <w:bdr w:val="nil"/>
          <w:lang w:val="es-ES"/>
        </w:rPr>
        <w:br/>
      </w:r>
    </w:p>
    <w:tbl>
      <w:tblPr>
        <w:tblW w:w="10415" w:type="dxa"/>
        <w:jc w:val="center"/>
        <w:tblLayout w:type="fixed"/>
        <w:tblLook w:val="0000" w:firstRow="0" w:lastRow="0" w:firstColumn="0" w:lastColumn="0" w:noHBand="0" w:noVBand="0"/>
      </w:tblPr>
      <w:tblGrid>
        <w:gridCol w:w="239"/>
        <w:gridCol w:w="1820"/>
        <w:gridCol w:w="270"/>
        <w:gridCol w:w="1853"/>
        <w:gridCol w:w="236"/>
        <w:gridCol w:w="2026"/>
        <w:gridCol w:w="270"/>
        <w:gridCol w:w="236"/>
        <w:gridCol w:w="1188"/>
        <w:gridCol w:w="236"/>
        <w:gridCol w:w="1752"/>
        <w:gridCol w:w="289"/>
      </w:tblGrid>
      <w:tr w:rsidR="00EA4F7D" w14:paraId="41258725" w14:textId="77777777" w:rsidTr="004F29DA">
        <w:trPr>
          <w:trHeight w:val="324"/>
          <w:jc w:val="center"/>
        </w:trPr>
        <w:tc>
          <w:tcPr>
            <w:tcW w:w="2059" w:type="dxa"/>
            <w:gridSpan w:val="2"/>
            <w:tcBorders>
              <w:top w:val="nil"/>
              <w:left w:val="nil"/>
              <w:bottom w:val="single" w:sz="4" w:space="0" w:color="auto"/>
              <w:right w:val="nil"/>
            </w:tcBorders>
            <w:shd w:val="clear" w:color="auto" w:fill="auto"/>
            <w:noWrap/>
            <w:vAlign w:val="center"/>
          </w:tcPr>
          <w:p w14:paraId="57773A03" w14:textId="77777777" w:rsidR="00A23FBC" w:rsidRPr="00C66DFA" w:rsidRDefault="005A7D75" w:rsidP="004F103A">
            <w:pPr>
              <w:rPr>
                <w:b/>
                <w:bCs/>
              </w:rPr>
            </w:pPr>
          </w:p>
          <w:p w14:paraId="13F977E2" w14:textId="77777777" w:rsidR="00A23FBC" w:rsidRPr="00C66DFA" w:rsidRDefault="00D93639" w:rsidP="00763C92">
            <w:pPr>
              <w:rPr>
                <w:b/>
                <w:bCs/>
                <w:highlight w:val="yellow"/>
              </w:rPr>
            </w:pPr>
            <w:r>
              <w:rPr>
                <w:b/>
                <w:bCs/>
                <w:bdr w:val="nil"/>
                <w:lang w:val="es-ES"/>
              </w:rPr>
              <w:t>Clase de cliente</w:t>
            </w:r>
          </w:p>
        </w:tc>
        <w:tc>
          <w:tcPr>
            <w:tcW w:w="270" w:type="dxa"/>
            <w:tcBorders>
              <w:top w:val="nil"/>
              <w:left w:val="nil"/>
              <w:bottom w:val="nil"/>
              <w:right w:val="nil"/>
            </w:tcBorders>
            <w:shd w:val="clear" w:color="auto" w:fill="auto"/>
            <w:noWrap/>
          </w:tcPr>
          <w:p w14:paraId="6478D711" w14:textId="77777777" w:rsidR="00A23FBC" w:rsidRPr="00C66DFA" w:rsidRDefault="005A7D75" w:rsidP="00A66869">
            <w:pPr>
              <w:rPr>
                <w:highlight w:val="yellow"/>
              </w:rPr>
            </w:pPr>
          </w:p>
        </w:tc>
        <w:tc>
          <w:tcPr>
            <w:tcW w:w="1853" w:type="dxa"/>
            <w:tcBorders>
              <w:top w:val="nil"/>
              <w:left w:val="nil"/>
              <w:bottom w:val="single" w:sz="4" w:space="0" w:color="auto"/>
              <w:right w:val="nil"/>
            </w:tcBorders>
            <w:shd w:val="clear" w:color="auto" w:fill="auto"/>
            <w:noWrap/>
            <w:vAlign w:val="center"/>
          </w:tcPr>
          <w:p w14:paraId="0ADF8956" w14:textId="77777777" w:rsidR="00A23FBC" w:rsidRPr="00C66DFA" w:rsidRDefault="005A7D75" w:rsidP="004F103A">
            <w:pPr>
              <w:jc w:val="center"/>
              <w:rPr>
                <w:b/>
              </w:rPr>
            </w:pPr>
          </w:p>
          <w:p w14:paraId="3CA459C5" w14:textId="77777777" w:rsidR="00A23FBC" w:rsidRPr="00C66DFA" w:rsidRDefault="00D93639" w:rsidP="00AB05C7">
            <w:pPr>
              <w:jc w:val="center"/>
            </w:pPr>
            <w:r>
              <w:rPr>
                <w:b/>
                <w:bdr w:val="nil"/>
                <w:lang w:val="es-ES"/>
              </w:rPr>
              <w:t xml:space="preserve"> Tarifas promedio por clase en vigor el 03/01/17</w:t>
            </w:r>
            <w:r w:rsidRPr="00AB05C7">
              <w:rPr>
                <w:b/>
                <w:bdr w:val="nil"/>
                <w:vertAlign w:val="superscript"/>
                <w:lang w:val="es-ES"/>
              </w:rPr>
              <w:t>2</w:t>
            </w:r>
            <w:r>
              <w:rPr>
                <w:b/>
                <w:bdr w:val="nil"/>
                <w:lang w:val="es-ES"/>
              </w:rPr>
              <w:t xml:space="preserve"> (¢/</w:t>
            </w:r>
            <w:proofErr w:type="spellStart"/>
            <w:r>
              <w:rPr>
                <w:b/>
                <w:bdr w:val="nil"/>
                <w:lang w:val="es-ES"/>
              </w:rPr>
              <w:t>kWh</w:t>
            </w:r>
            <w:proofErr w:type="spellEnd"/>
            <w:r>
              <w:rPr>
                <w:b/>
                <w:bdr w:val="nil"/>
                <w:lang w:val="es-ES"/>
              </w:rPr>
              <w:t xml:space="preserve">) </w:t>
            </w:r>
          </w:p>
        </w:tc>
        <w:tc>
          <w:tcPr>
            <w:tcW w:w="236" w:type="dxa"/>
            <w:tcBorders>
              <w:top w:val="nil"/>
              <w:left w:val="nil"/>
              <w:bottom w:val="nil"/>
              <w:right w:val="nil"/>
            </w:tcBorders>
            <w:shd w:val="clear" w:color="auto" w:fill="auto"/>
            <w:noWrap/>
            <w:vAlign w:val="center"/>
          </w:tcPr>
          <w:p w14:paraId="0814B6E2" w14:textId="77777777" w:rsidR="00A23FBC" w:rsidRPr="00C66DFA" w:rsidRDefault="005A7D75" w:rsidP="00763C92">
            <w:pPr>
              <w:jc w:val="center"/>
              <w:rPr>
                <w:b/>
                <w:bCs/>
              </w:rPr>
            </w:pPr>
          </w:p>
        </w:tc>
        <w:tc>
          <w:tcPr>
            <w:tcW w:w="2026" w:type="dxa"/>
            <w:tcBorders>
              <w:top w:val="nil"/>
              <w:left w:val="nil"/>
              <w:bottom w:val="single" w:sz="4" w:space="0" w:color="auto"/>
              <w:right w:val="nil"/>
            </w:tcBorders>
            <w:vAlign w:val="center"/>
          </w:tcPr>
          <w:p w14:paraId="1DB8A730" w14:textId="77777777" w:rsidR="00A23FBC" w:rsidRPr="00C66DFA" w:rsidRDefault="00D93639" w:rsidP="00AB05C7">
            <w:pPr>
              <w:jc w:val="center"/>
              <w:rPr>
                <w:b/>
                <w:bCs/>
              </w:rPr>
            </w:pPr>
            <w:r>
              <w:rPr>
                <w:b/>
                <w:bdr w:val="nil"/>
                <w:lang w:val="es-ES"/>
              </w:rPr>
              <w:t xml:space="preserve">Tarifas promedio por clase que reflejan el aumento propuesto en los ingresos por </w:t>
            </w:r>
            <w:r w:rsidR="00AB05C7">
              <w:rPr>
                <w:b/>
                <w:bdr w:val="nil"/>
                <w:lang w:val="es-ES"/>
              </w:rPr>
              <w:t>s</w:t>
            </w:r>
            <w:r>
              <w:rPr>
                <w:b/>
                <w:bdr w:val="nil"/>
                <w:lang w:val="es-ES"/>
              </w:rPr>
              <w:t xml:space="preserve">olicitud </w:t>
            </w:r>
            <w:r w:rsidR="00AB05C7">
              <w:rPr>
                <w:b/>
                <w:bdr w:val="nil"/>
                <w:lang w:val="es-ES"/>
              </w:rPr>
              <w:br/>
            </w:r>
            <w:r>
              <w:rPr>
                <w:b/>
                <w:bdr w:val="nil"/>
                <w:lang w:val="es-ES"/>
              </w:rPr>
              <w:t>(¢/</w:t>
            </w:r>
            <w:proofErr w:type="spellStart"/>
            <w:r>
              <w:rPr>
                <w:b/>
                <w:bdr w:val="nil"/>
                <w:lang w:val="es-ES"/>
              </w:rPr>
              <w:t>kWh</w:t>
            </w:r>
            <w:proofErr w:type="spellEnd"/>
            <w:r>
              <w:rPr>
                <w:b/>
                <w:bdr w:val="nil"/>
                <w:lang w:val="es-ES"/>
              </w:rPr>
              <w:t>)</w:t>
            </w:r>
          </w:p>
        </w:tc>
        <w:tc>
          <w:tcPr>
            <w:tcW w:w="270" w:type="dxa"/>
            <w:tcBorders>
              <w:top w:val="nil"/>
              <w:left w:val="nil"/>
              <w:right w:val="nil"/>
            </w:tcBorders>
            <w:vAlign w:val="center"/>
          </w:tcPr>
          <w:p w14:paraId="4FF2A0EC" w14:textId="77777777" w:rsidR="00A23FBC" w:rsidRPr="00C66DFA" w:rsidRDefault="005A7D75" w:rsidP="00763C92">
            <w:pPr>
              <w:jc w:val="center"/>
              <w:rPr>
                <w:b/>
                <w:bCs/>
              </w:rPr>
            </w:pPr>
          </w:p>
        </w:tc>
        <w:tc>
          <w:tcPr>
            <w:tcW w:w="236" w:type="dxa"/>
            <w:tcBorders>
              <w:top w:val="nil"/>
              <w:left w:val="nil"/>
              <w:bottom w:val="nil"/>
              <w:right w:val="nil"/>
            </w:tcBorders>
            <w:shd w:val="clear" w:color="auto" w:fill="auto"/>
            <w:noWrap/>
            <w:vAlign w:val="center"/>
          </w:tcPr>
          <w:p w14:paraId="2A145853" w14:textId="77777777" w:rsidR="00A23FBC" w:rsidRPr="00C66DFA" w:rsidRDefault="005A7D75" w:rsidP="00D31B9E">
            <w:pPr>
              <w:jc w:val="center"/>
            </w:pPr>
          </w:p>
        </w:tc>
        <w:tc>
          <w:tcPr>
            <w:tcW w:w="1188" w:type="dxa"/>
            <w:tcBorders>
              <w:top w:val="nil"/>
              <w:left w:val="nil"/>
              <w:bottom w:val="single" w:sz="4" w:space="0" w:color="auto"/>
              <w:right w:val="nil"/>
            </w:tcBorders>
            <w:shd w:val="clear" w:color="auto" w:fill="auto"/>
            <w:noWrap/>
            <w:vAlign w:val="center"/>
          </w:tcPr>
          <w:p w14:paraId="698D32C7" w14:textId="77777777" w:rsidR="00A23FBC" w:rsidRPr="00C66DFA" w:rsidRDefault="00D93639" w:rsidP="00B72785">
            <w:pPr>
              <w:jc w:val="center"/>
              <w:rPr>
                <w:b/>
                <w:bCs/>
              </w:rPr>
            </w:pPr>
            <w:r>
              <w:rPr>
                <w:b/>
                <w:bCs/>
                <w:bdr w:val="nil"/>
                <w:lang w:val="es-ES"/>
              </w:rPr>
              <w:t>Aumento total en la tarifa (¢/kWh)</w:t>
            </w:r>
          </w:p>
        </w:tc>
        <w:tc>
          <w:tcPr>
            <w:tcW w:w="236" w:type="dxa"/>
            <w:tcBorders>
              <w:top w:val="nil"/>
              <w:left w:val="nil"/>
              <w:bottom w:val="nil"/>
              <w:right w:val="nil"/>
            </w:tcBorders>
            <w:shd w:val="clear" w:color="auto" w:fill="auto"/>
            <w:noWrap/>
            <w:vAlign w:val="center"/>
          </w:tcPr>
          <w:p w14:paraId="68E1F932" w14:textId="77777777" w:rsidR="00A23FBC" w:rsidRPr="00C66DFA" w:rsidRDefault="005A7D75" w:rsidP="00D31B9E">
            <w:pPr>
              <w:jc w:val="center"/>
            </w:pPr>
          </w:p>
        </w:tc>
        <w:tc>
          <w:tcPr>
            <w:tcW w:w="1752" w:type="dxa"/>
            <w:tcBorders>
              <w:top w:val="nil"/>
              <w:left w:val="nil"/>
              <w:bottom w:val="single" w:sz="4" w:space="0" w:color="auto"/>
              <w:right w:val="nil"/>
            </w:tcBorders>
            <w:vAlign w:val="center"/>
          </w:tcPr>
          <w:p w14:paraId="4021EB80" w14:textId="77777777" w:rsidR="00A23FBC" w:rsidRPr="00C66DFA" w:rsidRDefault="00D93639" w:rsidP="00763C92">
            <w:pPr>
              <w:jc w:val="center"/>
              <w:rPr>
                <w:b/>
                <w:bCs/>
              </w:rPr>
            </w:pPr>
            <w:r>
              <w:rPr>
                <w:b/>
                <w:bCs/>
                <w:bdr w:val="nil"/>
                <w:lang w:val="es-ES"/>
              </w:rPr>
              <w:t xml:space="preserve">Aumento porcentual en la tarifa </w:t>
            </w:r>
          </w:p>
          <w:p w14:paraId="70545C66" w14:textId="77777777" w:rsidR="00A23FBC" w:rsidRPr="00C66DFA" w:rsidRDefault="00D93639" w:rsidP="00763C92">
            <w:pPr>
              <w:jc w:val="center"/>
              <w:rPr>
                <w:b/>
                <w:bCs/>
              </w:rPr>
            </w:pPr>
            <w:r w:rsidRPr="00C66DFA">
              <w:rPr>
                <w:b/>
                <w:bCs/>
              </w:rPr>
              <w:t>(%)</w:t>
            </w:r>
          </w:p>
        </w:tc>
        <w:tc>
          <w:tcPr>
            <w:tcW w:w="289" w:type="dxa"/>
            <w:tcBorders>
              <w:top w:val="nil"/>
              <w:left w:val="nil"/>
              <w:right w:val="nil"/>
            </w:tcBorders>
          </w:tcPr>
          <w:p w14:paraId="6F699928" w14:textId="77777777" w:rsidR="00A23FBC" w:rsidRPr="00C66DFA" w:rsidRDefault="005A7D75" w:rsidP="00A66869">
            <w:pPr>
              <w:jc w:val="center"/>
              <w:rPr>
                <w:b/>
                <w:bCs/>
              </w:rPr>
            </w:pPr>
          </w:p>
        </w:tc>
      </w:tr>
      <w:tr w:rsidR="00EA4F7D" w14:paraId="0BF28465" w14:textId="77777777" w:rsidTr="004F29DA">
        <w:trPr>
          <w:trHeight w:val="255"/>
          <w:jc w:val="center"/>
        </w:trPr>
        <w:tc>
          <w:tcPr>
            <w:tcW w:w="2059" w:type="dxa"/>
            <w:gridSpan w:val="2"/>
            <w:tcBorders>
              <w:top w:val="nil"/>
              <w:left w:val="nil"/>
              <w:bottom w:val="nil"/>
              <w:right w:val="nil"/>
            </w:tcBorders>
            <w:shd w:val="clear" w:color="auto" w:fill="auto"/>
            <w:noWrap/>
          </w:tcPr>
          <w:p w14:paraId="57BE7AC5" w14:textId="77777777" w:rsidR="008A7077" w:rsidRPr="00C66DFA" w:rsidRDefault="00D93639" w:rsidP="008A7077">
            <w:pPr>
              <w:rPr>
                <w:b/>
                <w:bCs/>
              </w:rPr>
            </w:pPr>
            <w:r>
              <w:rPr>
                <w:b/>
                <w:bCs/>
                <w:bdr w:val="nil"/>
                <w:lang w:val="es-ES"/>
              </w:rPr>
              <w:t>Residencial</w:t>
            </w:r>
          </w:p>
        </w:tc>
        <w:tc>
          <w:tcPr>
            <w:tcW w:w="270" w:type="dxa"/>
            <w:tcBorders>
              <w:top w:val="nil"/>
              <w:left w:val="nil"/>
              <w:bottom w:val="nil"/>
              <w:right w:val="nil"/>
            </w:tcBorders>
            <w:shd w:val="clear" w:color="auto" w:fill="auto"/>
            <w:noWrap/>
          </w:tcPr>
          <w:p w14:paraId="4178B9B9" w14:textId="77777777" w:rsidR="008A7077" w:rsidRPr="00C66DFA" w:rsidRDefault="005A7D75" w:rsidP="008A7077">
            <w:pPr>
              <w:rPr>
                <w:highlight w:val="yellow"/>
              </w:rPr>
            </w:pPr>
          </w:p>
        </w:tc>
        <w:tc>
          <w:tcPr>
            <w:tcW w:w="1853" w:type="dxa"/>
            <w:tcBorders>
              <w:top w:val="nil"/>
              <w:left w:val="nil"/>
              <w:bottom w:val="nil"/>
              <w:right w:val="nil"/>
            </w:tcBorders>
            <w:shd w:val="clear" w:color="auto" w:fill="auto"/>
            <w:noWrap/>
            <w:vAlign w:val="bottom"/>
          </w:tcPr>
          <w:p w14:paraId="4F79C619" w14:textId="77777777" w:rsidR="008A7077" w:rsidRPr="00C66DFA" w:rsidRDefault="00D93639" w:rsidP="008A7077">
            <w:pPr>
              <w:jc w:val="center"/>
            </w:pPr>
            <w:r>
              <w:rPr>
                <w:bdr w:val="nil"/>
                <w:lang w:val="es-ES"/>
              </w:rPr>
              <w:t>14.302</w:t>
            </w:r>
          </w:p>
        </w:tc>
        <w:tc>
          <w:tcPr>
            <w:tcW w:w="236" w:type="dxa"/>
            <w:tcBorders>
              <w:top w:val="nil"/>
              <w:left w:val="nil"/>
              <w:bottom w:val="nil"/>
              <w:right w:val="nil"/>
            </w:tcBorders>
            <w:shd w:val="clear" w:color="auto" w:fill="auto"/>
            <w:noWrap/>
          </w:tcPr>
          <w:p w14:paraId="0DB18966" w14:textId="77777777" w:rsidR="008A7077" w:rsidRPr="00C66DFA" w:rsidRDefault="005A7D75" w:rsidP="008A7077"/>
        </w:tc>
        <w:tc>
          <w:tcPr>
            <w:tcW w:w="2026" w:type="dxa"/>
            <w:tcBorders>
              <w:top w:val="nil"/>
              <w:left w:val="nil"/>
              <w:bottom w:val="nil"/>
              <w:right w:val="nil"/>
            </w:tcBorders>
            <w:vAlign w:val="bottom"/>
          </w:tcPr>
          <w:p w14:paraId="6EF0B923" w14:textId="77777777" w:rsidR="008A7077" w:rsidRPr="00C66DFA" w:rsidRDefault="00D93639" w:rsidP="008A7077">
            <w:pPr>
              <w:jc w:val="center"/>
            </w:pPr>
            <w:r>
              <w:rPr>
                <w:bdr w:val="nil"/>
                <w:lang w:val="es-ES"/>
              </w:rPr>
              <w:t>14.857</w:t>
            </w:r>
          </w:p>
        </w:tc>
        <w:tc>
          <w:tcPr>
            <w:tcW w:w="270" w:type="dxa"/>
            <w:tcBorders>
              <w:left w:val="nil"/>
              <w:bottom w:val="nil"/>
              <w:right w:val="nil"/>
            </w:tcBorders>
          </w:tcPr>
          <w:p w14:paraId="23FB5E91"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7D67950C" w14:textId="77777777" w:rsidR="008A7077" w:rsidRPr="00C66DFA" w:rsidRDefault="005A7D75" w:rsidP="008A7077"/>
        </w:tc>
        <w:tc>
          <w:tcPr>
            <w:tcW w:w="1188" w:type="dxa"/>
            <w:tcBorders>
              <w:top w:val="nil"/>
              <w:left w:val="nil"/>
              <w:bottom w:val="nil"/>
              <w:right w:val="nil"/>
            </w:tcBorders>
            <w:shd w:val="clear" w:color="auto" w:fill="auto"/>
            <w:noWrap/>
            <w:vAlign w:val="bottom"/>
          </w:tcPr>
          <w:p w14:paraId="09CDEC4B" w14:textId="77777777" w:rsidR="008A7077" w:rsidRPr="00C66DFA" w:rsidRDefault="00D93639" w:rsidP="008A7077">
            <w:pPr>
              <w:jc w:val="center"/>
            </w:pPr>
            <w:r>
              <w:rPr>
                <w:bdr w:val="nil"/>
                <w:lang w:val="es-ES"/>
              </w:rPr>
              <w:t>0.555</w:t>
            </w:r>
          </w:p>
        </w:tc>
        <w:tc>
          <w:tcPr>
            <w:tcW w:w="236" w:type="dxa"/>
            <w:tcBorders>
              <w:top w:val="nil"/>
              <w:left w:val="nil"/>
              <w:bottom w:val="nil"/>
              <w:right w:val="nil"/>
            </w:tcBorders>
            <w:shd w:val="clear" w:color="auto" w:fill="auto"/>
            <w:noWrap/>
          </w:tcPr>
          <w:p w14:paraId="3BEEA155" w14:textId="77777777" w:rsidR="008A7077" w:rsidRPr="00C66DFA" w:rsidRDefault="005A7D75" w:rsidP="008A7077">
            <w:pPr>
              <w:jc w:val="center"/>
            </w:pPr>
          </w:p>
        </w:tc>
        <w:tc>
          <w:tcPr>
            <w:tcW w:w="1752" w:type="dxa"/>
            <w:tcBorders>
              <w:top w:val="nil"/>
              <w:left w:val="nil"/>
              <w:bottom w:val="nil"/>
              <w:right w:val="nil"/>
            </w:tcBorders>
            <w:vAlign w:val="bottom"/>
          </w:tcPr>
          <w:p w14:paraId="4CB01A89" w14:textId="77777777" w:rsidR="008A7077" w:rsidRPr="00C66DFA" w:rsidRDefault="00D93639" w:rsidP="008A7077">
            <w:pPr>
              <w:jc w:val="center"/>
            </w:pPr>
            <w:r>
              <w:rPr>
                <w:bdr w:val="nil"/>
                <w:lang w:val="es-ES"/>
              </w:rPr>
              <w:t>3.88%</w:t>
            </w:r>
          </w:p>
        </w:tc>
        <w:tc>
          <w:tcPr>
            <w:tcW w:w="289" w:type="dxa"/>
            <w:tcBorders>
              <w:left w:val="nil"/>
              <w:bottom w:val="nil"/>
              <w:right w:val="nil"/>
            </w:tcBorders>
          </w:tcPr>
          <w:p w14:paraId="1AF6DFC0" w14:textId="77777777" w:rsidR="008A7077" w:rsidRPr="00C66DFA" w:rsidRDefault="005A7D75" w:rsidP="008A7077">
            <w:pPr>
              <w:jc w:val="center"/>
            </w:pPr>
          </w:p>
        </w:tc>
      </w:tr>
      <w:tr w:rsidR="00EA4F7D" w14:paraId="471E1291" w14:textId="77777777" w:rsidTr="00A40F28">
        <w:trPr>
          <w:trHeight w:val="255"/>
          <w:jc w:val="center"/>
        </w:trPr>
        <w:tc>
          <w:tcPr>
            <w:tcW w:w="2059" w:type="dxa"/>
            <w:gridSpan w:val="2"/>
            <w:tcBorders>
              <w:top w:val="nil"/>
              <w:left w:val="nil"/>
              <w:bottom w:val="nil"/>
              <w:right w:val="nil"/>
            </w:tcBorders>
            <w:shd w:val="clear" w:color="auto" w:fill="auto"/>
            <w:noWrap/>
          </w:tcPr>
          <w:p w14:paraId="71CDE0A5" w14:textId="77777777" w:rsidR="008A7077" w:rsidRPr="00C66DFA" w:rsidRDefault="00D93639" w:rsidP="008A7077">
            <w:pPr>
              <w:rPr>
                <w:b/>
                <w:bCs/>
              </w:rPr>
            </w:pPr>
            <w:r>
              <w:rPr>
                <w:b/>
                <w:bCs/>
                <w:bdr w:val="nil"/>
                <w:lang w:val="es-ES"/>
              </w:rPr>
              <w:t xml:space="preserve">Comercial pequeño </w:t>
            </w:r>
          </w:p>
        </w:tc>
        <w:tc>
          <w:tcPr>
            <w:tcW w:w="270" w:type="dxa"/>
            <w:tcBorders>
              <w:top w:val="nil"/>
              <w:left w:val="nil"/>
              <w:bottom w:val="nil"/>
              <w:right w:val="nil"/>
            </w:tcBorders>
            <w:shd w:val="clear" w:color="auto" w:fill="auto"/>
            <w:noWrap/>
          </w:tcPr>
          <w:p w14:paraId="022FFE80" w14:textId="77777777" w:rsidR="008A7077" w:rsidRPr="00C66DFA" w:rsidRDefault="005A7D75" w:rsidP="008A7077">
            <w:pPr>
              <w:rPr>
                <w:highlight w:val="yellow"/>
              </w:rPr>
            </w:pPr>
          </w:p>
        </w:tc>
        <w:tc>
          <w:tcPr>
            <w:tcW w:w="1853" w:type="dxa"/>
            <w:tcBorders>
              <w:top w:val="nil"/>
              <w:left w:val="nil"/>
              <w:bottom w:val="nil"/>
              <w:right w:val="nil"/>
            </w:tcBorders>
            <w:shd w:val="clear" w:color="auto" w:fill="auto"/>
            <w:noWrap/>
            <w:vAlign w:val="bottom"/>
          </w:tcPr>
          <w:p w14:paraId="06431EFD" w14:textId="77777777" w:rsidR="008A7077" w:rsidRPr="00C66DFA" w:rsidRDefault="00D93639" w:rsidP="008A7077">
            <w:pPr>
              <w:jc w:val="center"/>
            </w:pPr>
            <w:r>
              <w:rPr>
                <w:bdr w:val="nil"/>
                <w:lang w:val="es-ES"/>
              </w:rPr>
              <w:t>13.495</w:t>
            </w:r>
          </w:p>
        </w:tc>
        <w:tc>
          <w:tcPr>
            <w:tcW w:w="236" w:type="dxa"/>
            <w:tcBorders>
              <w:top w:val="nil"/>
              <w:left w:val="nil"/>
              <w:bottom w:val="nil"/>
              <w:right w:val="nil"/>
            </w:tcBorders>
            <w:shd w:val="clear" w:color="auto" w:fill="auto"/>
            <w:noWrap/>
          </w:tcPr>
          <w:p w14:paraId="58088303" w14:textId="77777777" w:rsidR="008A7077" w:rsidRPr="00C66DFA" w:rsidRDefault="005A7D75" w:rsidP="008A7077"/>
        </w:tc>
        <w:tc>
          <w:tcPr>
            <w:tcW w:w="2026" w:type="dxa"/>
            <w:tcBorders>
              <w:top w:val="nil"/>
              <w:left w:val="nil"/>
              <w:bottom w:val="nil"/>
              <w:right w:val="nil"/>
            </w:tcBorders>
            <w:vAlign w:val="bottom"/>
          </w:tcPr>
          <w:p w14:paraId="5996F647" w14:textId="77777777" w:rsidR="008A7077" w:rsidRPr="00C66DFA" w:rsidRDefault="00D93639" w:rsidP="008A7077">
            <w:pPr>
              <w:jc w:val="center"/>
            </w:pPr>
            <w:r>
              <w:rPr>
                <w:bdr w:val="nil"/>
                <w:lang w:val="es-ES"/>
              </w:rPr>
              <w:t>14.034</w:t>
            </w:r>
          </w:p>
        </w:tc>
        <w:tc>
          <w:tcPr>
            <w:tcW w:w="270" w:type="dxa"/>
            <w:tcBorders>
              <w:top w:val="nil"/>
              <w:left w:val="nil"/>
              <w:bottom w:val="nil"/>
              <w:right w:val="nil"/>
            </w:tcBorders>
          </w:tcPr>
          <w:p w14:paraId="0F72D770"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43BFAEC4" w14:textId="77777777" w:rsidR="008A7077" w:rsidRPr="00C66DFA" w:rsidRDefault="005A7D75" w:rsidP="008A7077"/>
        </w:tc>
        <w:tc>
          <w:tcPr>
            <w:tcW w:w="1188" w:type="dxa"/>
            <w:tcBorders>
              <w:top w:val="nil"/>
              <w:left w:val="nil"/>
              <w:bottom w:val="nil"/>
              <w:right w:val="nil"/>
            </w:tcBorders>
            <w:shd w:val="clear" w:color="auto" w:fill="auto"/>
            <w:noWrap/>
            <w:vAlign w:val="bottom"/>
          </w:tcPr>
          <w:p w14:paraId="2BA06F32" w14:textId="77777777" w:rsidR="008A7077" w:rsidRPr="00C66DFA" w:rsidRDefault="00D93639" w:rsidP="008A7077">
            <w:pPr>
              <w:jc w:val="center"/>
            </w:pPr>
            <w:r>
              <w:rPr>
                <w:bdr w:val="nil"/>
                <w:lang w:val="es-ES"/>
              </w:rPr>
              <w:t>0.539</w:t>
            </w:r>
          </w:p>
        </w:tc>
        <w:tc>
          <w:tcPr>
            <w:tcW w:w="236" w:type="dxa"/>
            <w:tcBorders>
              <w:top w:val="nil"/>
              <w:left w:val="nil"/>
              <w:bottom w:val="nil"/>
              <w:right w:val="nil"/>
            </w:tcBorders>
            <w:shd w:val="clear" w:color="auto" w:fill="auto"/>
            <w:noWrap/>
          </w:tcPr>
          <w:p w14:paraId="44D68A69" w14:textId="77777777" w:rsidR="008A7077" w:rsidRPr="00C66DFA" w:rsidRDefault="005A7D75" w:rsidP="008A7077"/>
        </w:tc>
        <w:tc>
          <w:tcPr>
            <w:tcW w:w="1752" w:type="dxa"/>
            <w:tcBorders>
              <w:top w:val="nil"/>
              <w:left w:val="nil"/>
              <w:bottom w:val="nil"/>
              <w:right w:val="nil"/>
            </w:tcBorders>
            <w:vAlign w:val="bottom"/>
          </w:tcPr>
          <w:p w14:paraId="7588AF4A" w14:textId="77777777" w:rsidR="008A7077" w:rsidRPr="00C66DFA" w:rsidRDefault="00D93639" w:rsidP="008A7077">
            <w:pPr>
              <w:jc w:val="center"/>
            </w:pPr>
            <w:r>
              <w:rPr>
                <w:bdr w:val="nil"/>
                <w:lang w:val="es-ES"/>
              </w:rPr>
              <w:t>3.99%</w:t>
            </w:r>
          </w:p>
        </w:tc>
        <w:tc>
          <w:tcPr>
            <w:tcW w:w="289" w:type="dxa"/>
            <w:tcBorders>
              <w:top w:val="nil"/>
              <w:left w:val="nil"/>
              <w:bottom w:val="nil"/>
              <w:right w:val="nil"/>
            </w:tcBorders>
          </w:tcPr>
          <w:p w14:paraId="17B99F39" w14:textId="77777777" w:rsidR="008A7077" w:rsidRPr="00C66DFA" w:rsidRDefault="005A7D75" w:rsidP="008A7077">
            <w:pPr>
              <w:jc w:val="center"/>
            </w:pPr>
          </w:p>
        </w:tc>
      </w:tr>
      <w:tr w:rsidR="00EA4F7D" w14:paraId="12A3C7B1" w14:textId="77777777" w:rsidTr="00A40F28">
        <w:trPr>
          <w:trHeight w:val="255"/>
          <w:jc w:val="center"/>
        </w:trPr>
        <w:tc>
          <w:tcPr>
            <w:tcW w:w="2059" w:type="dxa"/>
            <w:gridSpan w:val="2"/>
            <w:tcBorders>
              <w:top w:val="nil"/>
              <w:left w:val="nil"/>
              <w:bottom w:val="nil"/>
              <w:right w:val="nil"/>
            </w:tcBorders>
            <w:shd w:val="clear" w:color="auto" w:fill="auto"/>
            <w:noWrap/>
          </w:tcPr>
          <w:p w14:paraId="67BB1BBE" w14:textId="77777777" w:rsidR="008A7077" w:rsidRPr="00C66DFA" w:rsidRDefault="00D93639" w:rsidP="00E25D64">
            <w:pPr>
              <w:rPr>
                <w:b/>
                <w:bCs/>
              </w:rPr>
            </w:pPr>
            <w:proofErr w:type="spellStart"/>
            <w:r>
              <w:rPr>
                <w:b/>
                <w:bCs/>
                <w:bdr w:val="nil"/>
                <w:lang w:val="es-ES"/>
              </w:rPr>
              <w:t>CeI</w:t>
            </w:r>
            <w:proofErr w:type="spellEnd"/>
            <w:r>
              <w:rPr>
                <w:b/>
                <w:bCs/>
                <w:bdr w:val="nil"/>
                <w:lang w:val="es-ES"/>
              </w:rPr>
              <w:t xml:space="preserve"> mediano y grande</w:t>
            </w:r>
            <w:r w:rsidRPr="00E25D64">
              <w:rPr>
                <w:b/>
                <w:bCs/>
                <w:bdr w:val="nil"/>
                <w:vertAlign w:val="superscript"/>
                <w:lang w:val="es-ES"/>
              </w:rPr>
              <w:t>3</w:t>
            </w:r>
            <w:r>
              <w:rPr>
                <w:b/>
                <w:bCs/>
                <w:bdr w:val="nil"/>
                <w:lang w:val="es-ES"/>
              </w:rPr>
              <w:t xml:space="preserve"> </w:t>
            </w:r>
          </w:p>
        </w:tc>
        <w:tc>
          <w:tcPr>
            <w:tcW w:w="270" w:type="dxa"/>
            <w:tcBorders>
              <w:top w:val="nil"/>
              <w:left w:val="nil"/>
              <w:bottom w:val="nil"/>
              <w:right w:val="nil"/>
            </w:tcBorders>
            <w:shd w:val="clear" w:color="auto" w:fill="auto"/>
            <w:noWrap/>
          </w:tcPr>
          <w:p w14:paraId="1024246A" w14:textId="77777777" w:rsidR="008A7077" w:rsidRPr="00C66DFA" w:rsidRDefault="005A7D75" w:rsidP="008A7077">
            <w:pPr>
              <w:rPr>
                <w:highlight w:val="yellow"/>
              </w:rPr>
            </w:pPr>
          </w:p>
        </w:tc>
        <w:tc>
          <w:tcPr>
            <w:tcW w:w="1853" w:type="dxa"/>
            <w:tcBorders>
              <w:top w:val="nil"/>
              <w:left w:val="nil"/>
              <w:bottom w:val="nil"/>
              <w:right w:val="nil"/>
            </w:tcBorders>
            <w:shd w:val="clear" w:color="auto" w:fill="auto"/>
            <w:noWrap/>
            <w:vAlign w:val="bottom"/>
          </w:tcPr>
          <w:p w14:paraId="5595A88F" w14:textId="77777777" w:rsidR="008A7077" w:rsidRPr="00C66DFA" w:rsidRDefault="00D93639" w:rsidP="008A7077">
            <w:pPr>
              <w:jc w:val="center"/>
            </w:pPr>
            <w:r>
              <w:rPr>
                <w:bdr w:val="nil"/>
                <w:lang w:val="es-ES"/>
              </w:rPr>
              <w:t>9.378</w:t>
            </w:r>
          </w:p>
        </w:tc>
        <w:tc>
          <w:tcPr>
            <w:tcW w:w="236" w:type="dxa"/>
            <w:tcBorders>
              <w:top w:val="nil"/>
              <w:left w:val="nil"/>
              <w:bottom w:val="nil"/>
              <w:right w:val="nil"/>
            </w:tcBorders>
            <w:shd w:val="clear" w:color="auto" w:fill="auto"/>
            <w:noWrap/>
          </w:tcPr>
          <w:p w14:paraId="69705CAC" w14:textId="77777777" w:rsidR="008A7077" w:rsidRPr="00C66DFA" w:rsidRDefault="005A7D75" w:rsidP="008A7077"/>
        </w:tc>
        <w:tc>
          <w:tcPr>
            <w:tcW w:w="2026" w:type="dxa"/>
            <w:tcBorders>
              <w:top w:val="nil"/>
              <w:left w:val="nil"/>
              <w:bottom w:val="nil"/>
              <w:right w:val="nil"/>
            </w:tcBorders>
            <w:vAlign w:val="bottom"/>
          </w:tcPr>
          <w:p w14:paraId="16A033D0" w14:textId="77777777" w:rsidR="008A7077" w:rsidRPr="00C66DFA" w:rsidRDefault="00D93639" w:rsidP="008A7077">
            <w:pPr>
              <w:jc w:val="center"/>
            </w:pPr>
            <w:r>
              <w:rPr>
                <w:bdr w:val="nil"/>
                <w:lang w:val="es-ES"/>
              </w:rPr>
              <w:t>9.893</w:t>
            </w:r>
          </w:p>
        </w:tc>
        <w:tc>
          <w:tcPr>
            <w:tcW w:w="270" w:type="dxa"/>
            <w:tcBorders>
              <w:top w:val="nil"/>
              <w:left w:val="nil"/>
              <w:bottom w:val="nil"/>
              <w:right w:val="nil"/>
            </w:tcBorders>
          </w:tcPr>
          <w:p w14:paraId="1AF079AC"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16787D6D" w14:textId="77777777" w:rsidR="008A7077" w:rsidRPr="00C66DFA" w:rsidRDefault="005A7D75" w:rsidP="008A7077"/>
        </w:tc>
        <w:tc>
          <w:tcPr>
            <w:tcW w:w="1188" w:type="dxa"/>
            <w:tcBorders>
              <w:top w:val="nil"/>
              <w:left w:val="nil"/>
              <w:bottom w:val="nil"/>
              <w:right w:val="nil"/>
            </w:tcBorders>
            <w:shd w:val="clear" w:color="auto" w:fill="auto"/>
            <w:noWrap/>
            <w:vAlign w:val="bottom"/>
          </w:tcPr>
          <w:p w14:paraId="27706C15" w14:textId="77777777" w:rsidR="008A7077" w:rsidRPr="00C66DFA" w:rsidRDefault="00D93639" w:rsidP="008A7077">
            <w:pPr>
              <w:jc w:val="center"/>
            </w:pPr>
            <w:r>
              <w:rPr>
                <w:bdr w:val="nil"/>
                <w:lang w:val="es-ES"/>
              </w:rPr>
              <w:t>0.515</w:t>
            </w:r>
          </w:p>
        </w:tc>
        <w:tc>
          <w:tcPr>
            <w:tcW w:w="236" w:type="dxa"/>
            <w:tcBorders>
              <w:top w:val="nil"/>
              <w:left w:val="nil"/>
              <w:bottom w:val="nil"/>
              <w:right w:val="nil"/>
            </w:tcBorders>
            <w:shd w:val="clear" w:color="auto" w:fill="auto"/>
            <w:noWrap/>
          </w:tcPr>
          <w:p w14:paraId="1EEF1EEC" w14:textId="77777777" w:rsidR="008A7077" w:rsidRPr="00C66DFA" w:rsidRDefault="005A7D75" w:rsidP="008A7077"/>
        </w:tc>
        <w:tc>
          <w:tcPr>
            <w:tcW w:w="1752" w:type="dxa"/>
            <w:tcBorders>
              <w:top w:val="nil"/>
              <w:left w:val="nil"/>
              <w:bottom w:val="nil"/>
              <w:right w:val="nil"/>
            </w:tcBorders>
            <w:vAlign w:val="bottom"/>
          </w:tcPr>
          <w:p w14:paraId="56820D8A" w14:textId="77777777" w:rsidR="008A7077" w:rsidRPr="00C66DFA" w:rsidRDefault="00D93639" w:rsidP="008A7077">
            <w:pPr>
              <w:jc w:val="center"/>
            </w:pPr>
            <w:r>
              <w:rPr>
                <w:bdr w:val="nil"/>
                <w:lang w:val="es-ES"/>
              </w:rPr>
              <w:t>5.49%</w:t>
            </w:r>
          </w:p>
        </w:tc>
        <w:tc>
          <w:tcPr>
            <w:tcW w:w="289" w:type="dxa"/>
            <w:tcBorders>
              <w:top w:val="nil"/>
              <w:left w:val="nil"/>
              <w:bottom w:val="nil"/>
              <w:right w:val="nil"/>
            </w:tcBorders>
          </w:tcPr>
          <w:p w14:paraId="564E3DC0" w14:textId="77777777" w:rsidR="008A7077" w:rsidRPr="00C66DFA" w:rsidRDefault="005A7D75" w:rsidP="008A7077">
            <w:pPr>
              <w:jc w:val="center"/>
            </w:pPr>
          </w:p>
        </w:tc>
      </w:tr>
      <w:tr w:rsidR="00EA4F7D" w14:paraId="6BBF6317" w14:textId="77777777" w:rsidTr="00A40F28">
        <w:trPr>
          <w:trHeight w:val="255"/>
          <w:jc w:val="center"/>
        </w:trPr>
        <w:tc>
          <w:tcPr>
            <w:tcW w:w="2059" w:type="dxa"/>
            <w:gridSpan w:val="2"/>
            <w:tcBorders>
              <w:top w:val="nil"/>
              <w:left w:val="nil"/>
              <w:bottom w:val="nil"/>
              <w:right w:val="nil"/>
            </w:tcBorders>
            <w:shd w:val="clear" w:color="auto" w:fill="auto"/>
            <w:noWrap/>
          </w:tcPr>
          <w:p w14:paraId="30309C15" w14:textId="77777777" w:rsidR="008A7077" w:rsidRPr="00C66DFA" w:rsidRDefault="00D93639" w:rsidP="008A7077">
            <w:pPr>
              <w:rPr>
                <w:b/>
                <w:bCs/>
              </w:rPr>
            </w:pPr>
            <w:r>
              <w:rPr>
                <w:b/>
                <w:bCs/>
                <w:bdr w:val="nil"/>
                <w:lang w:val="es-ES"/>
              </w:rPr>
              <w:t>Agrícola</w:t>
            </w:r>
          </w:p>
        </w:tc>
        <w:tc>
          <w:tcPr>
            <w:tcW w:w="270" w:type="dxa"/>
            <w:tcBorders>
              <w:top w:val="nil"/>
              <w:left w:val="nil"/>
              <w:bottom w:val="nil"/>
              <w:right w:val="nil"/>
            </w:tcBorders>
            <w:shd w:val="clear" w:color="auto" w:fill="auto"/>
            <w:noWrap/>
          </w:tcPr>
          <w:p w14:paraId="53E08FBE" w14:textId="77777777" w:rsidR="008A7077" w:rsidRPr="00C66DFA" w:rsidRDefault="005A7D75" w:rsidP="008A7077">
            <w:pPr>
              <w:rPr>
                <w:highlight w:val="yellow"/>
              </w:rPr>
            </w:pPr>
          </w:p>
        </w:tc>
        <w:tc>
          <w:tcPr>
            <w:tcW w:w="1853" w:type="dxa"/>
            <w:tcBorders>
              <w:top w:val="nil"/>
              <w:left w:val="nil"/>
              <w:bottom w:val="nil"/>
              <w:right w:val="nil"/>
            </w:tcBorders>
            <w:shd w:val="clear" w:color="auto" w:fill="auto"/>
            <w:noWrap/>
            <w:vAlign w:val="bottom"/>
          </w:tcPr>
          <w:p w14:paraId="68F75C1D" w14:textId="77777777" w:rsidR="008A7077" w:rsidRPr="00C66DFA" w:rsidRDefault="00D93639" w:rsidP="008A7077">
            <w:pPr>
              <w:jc w:val="center"/>
            </w:pPr>
            <w:r>
              <w:rPr>
                <w:bdr w:val="nil"/>
                <w:lang w:val="es-ES"/>
              </w:rPr>
              <w:t>8.992</w:t>
            </w:r>
          </w:p>
        </w:tc>
        <w:tc>
          <w:tcPr>
            <w:tcW w:w="236" w:type="dxa"/>
            <w:tcBorders>
              <w:top w:val="nil"/>
              <w:left w:val="nil"/>
              <w:bottom w:val="nil"/>
              <w:right w:val="nil"/>
            </w:tcBorders>
            <w:shd w:val="clear" w:color="auto" w:fill="auto"/>
            <w:noWrap/>
          </w:tcPr>
          <w:p w14:paraId="7495BA8B" w14:textId="77777777" w:rsidR="008A7077" w:rsidRPr="00C66DFA" w:rsidRDefault="005A7D75" w:rsidP="008A7077"/>
        </w:tc>
        <w:tc>
          <w:tcPr>
            <w:tcW w:w="2026" w:type="dxa"/>
            <w:tcBorders>
              <w:top w:val="nil"/>
              <w:left w:val="nil"/>
              <w:bottom w:val="nil"/>
              <w:right w:val="nil"/>
            </w:tcBorders>
            <w:vAlign w:val="bottom"/>
          </w:tcPr>
          <w:p w14:paraId="2F2269EC" w14:textId="77777777" w:rsidR="008A7077" w:rsidRPr="00C66DFA" w:rsidRDefault="00D93639" w:rsidP="008A7077">
            <w:pPr>
              <w:jc w:val="center"/>
            </w:pPr>
            <w:r>
              <w:rPr>
                <w:bdr w:val="nil"/>
                <w:lang w:val="es-ES"/>
              </w:rPr>
              <w:t>9.286</w:t>
            </w:r>
          </w:p>
        </w:tc>
        <w:tc>
          <w:tcPr>
            <w:tcW w:w="270" w:type="dxa"/>
            <w:tcBorders>
              <w:top w:val="nil"/>
              <w:left w:val="nil"/>
              <w:bottom w:val="nil"/>
              <w:right w:val="nil"/>
            </w:tcBorders>
          </w:tcPr>
          <w:p w14:paraId="56464D49"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620FDF74" w14:textId="77777777" w:rsidR="008A7077" w:rsidRPr="00C66DFA" w:rsidRDefault="005A7D75" w:rsidP="008A7077"/>
        </w:tc>
        <w:tc>
          <w:tcPr>
            <w:tcW w:w="1188" w:type="dxa"/>
            <w:tcBorders>
              <w:top w:val="nil"/>
              <w:left w:val="nil"/>
              <w:bottom w:val="nil"/>
              <w:right w:val="nil"/>
            </w:tcBorders>
            <w:shd w:val="clear" w:color="auto" w:fill="auto"/>
            <w:noWrap/>
            <w:vAlign w:val="bottom"/>
          </w:tcPr>
          <w:p w14:paraId="15FC6199" w14:textId="77777777" w:rsidR="008A7077" w:rsidRPr="00C66DFA" w:rsidRDefault="00D93639" w:rsidP="008A7077">
            <w:pPr>
              <w:jc w:val="center"/>
            </w:pPr>
            <w:r>
              <w:rPr>
                <w:bdr w:val="nil"/>
                <w:lang w:val="es-ES"/>
              </w:rPr>
              <w:t>0.294</w:t>
            </w:r>
          </w:p>
        </w:tc>
        <w:tc>
          <w:tcPr>
            <w:tcW w:w="236" w:type="dxa"/>
            <w:tcBorders>
              <w:top w:val="nil"/>
              <w:left w:val="nil"/>
              <w:bottom w:val="nil"/>
              <w:right w:val="nil"/>
            </w:tcBorders>
            <w:shd w:val="clear" w:color="auto" w:fill="auto"/>
            <w:noWrap/>
          </w:tcPr>
          <w:p w14:paraId="0E38F91C" w14:textId="77777777" w:rsidR="008A7077" w:rsidRPr="00C66DFA" w:rsidRDefault="005A7D75" w:rsidP="008A7077"/>
        </w:tc>
        <w:tc>
          <w:tcPr>
            <w:tcW w:w="1752" w:type="dxa"/>
            <w:tcBorders>
              <w:top w:val="nil"/>
              <w:left w:val="nil"/>
              <w:bottom w:val="nil"/>
              <w:right w:val="nil"/>
            </w:tcBorders>
            <w:vAlign w:val="bottom"/>
          </w:tcPr>
          <w:p w14:paraId="3AB9686F" w14:textId="77777777" w:rsidR="008A7077" w:rsidRPr="00C66DFA" w:rsidRDefault="00D93639" w:rsidP="008A7077">
            <w:pPr>
              <w:jc w:val="center"/>
            </w:pPr>
            <w:r>
              <w:rPr>
                <w:bdr w:val="nil"/>
                <w:lang w:val="es-ES"/>
              </w:rPr>
              <w:t>3.27%</w:t>
            </w:r>
          </w:p>
        </w:tc>
        <w:tc>
          <w:tcPr>
            <w:tcW w:w="289" w:type="dxa"/>
            <w:tcBorders>
              <w:top w:val="nil"/>
              <w:left w:val="nil"/>
              <w:bottom w:val="nil"/>
              <w:right w:val="nil"/>
            </w:tcBorders>
          </w:tcPr>
          <w:p w14:paraId="75E84C2D" w14:textId="77777777" w:rsidR="008A7077" w:rsidRPr="00C66DFA" w:rsidRDefault="005A7D75" w:rsidP="008A7077">
            <w:pPr>
              <w:jc w:val="center"/>
            </w:pPr>
          </w:p>
        </w:tc>
      </w:tr>
      <w:tr w:rsidR="00EA4F7D" w14:paraId="1DAB871E" w14:textId="77777777" w:rsidTr="00A40F28">
        <w:trPr>
          <w:trHeight w:val="255"/>
          <w:jc w:val="center"/>
        </w:trPr>
        <w:tc>
          <w:tcPr>
            <w:tcW w:w="2059" w:type="dxa"/>
            <w:gridSpan w:val="2"/>
            <w:tcBorders>
              <w:top w:val="nil"/>
              <w:left w:val="nil"/>
              <w:bottom w:val="nil"/>
              <w:right w:val="nil"/>
            </w:tcBorders>
            <w:shd w:val="clear" w:color="auto" w:fill="auto"/>
            <w:noWrap/>
          </w:tcPr>
          <w:p w14:paraId="2849563A" w14:textId="77777777" w:rsidR="008A7077" w:rsidRPr="00C66DFA" w:rsidRDefault="00E25D64" w:rsidP="008A7077">
            <w:pPr>
              <w:rPr>
                <w:b/>
                <w:bCs/>
              </w:rPr>
            </w:pPr>
            <w:r>
              <w:rPr>
                <w:b/>
                <w:bCs/>
                <w:bdr w:val="nil"/>
                <w:lang w:val="es-ES"/>
              </w:rPr>
              <w:t>Iluminación</w:t>
            </w:r>
          </w:p>
        </w:tc>
        <w:tc>
          <w:tcPr>
            <w:tcW w:w="270" w:type="dxa"/>
            <w:tcBorders>
              <w:top w:val="nil"/>
              <w:left w:val="nil"/>
              <w:bottom w:val="nil"/>
              <w:right w:val="nil"/>
            </w:tcBorders>
            <w:shd w:val="clear" w:color="auto" w:fill="auto"/>
            <w:noWrap/>
          </w:tcPr>
          <w:p w14:paraId="207DC610" w14:textId="77777777" w:rsidR="008A7077" w:rsidRPr="00C66DFA" w:rsidRDefault="005A7D75" w:rsidP="008A7077">
            <w:pPr>
              <w:rPr>
                <w:highlight w:val="yellow"/>
              </w:rPr>
            </w:pPr>
          </w:p>
        </w:tc>
        <w:tc>
          <w:tcPr>
            <w:tcW w:w="1853" w:type="dxa"/>
            <w:tcBorders>
              <w:top w:val="nil"/>
              <w:left w:val="nil"/>
              <w:bottom w:val="nil"/>
              <w:right w:val="nil"/>
            </w:tcBorders>
            <w:shd w:val="clear" w:color="auto" w:fill="auto"/>
            <w:noWrap/>
            <w:vAlign w:val="bottom"/>
          </w:tcPr>
          <w:p w14:paraId="1424293C" w14:textId="77777777" w:rsidR="008A7077" w:rsidRPr="00C66DFA" w:rsidRDefault="00D93639" w:rsidP="008A7077">
            <w:pPr>
              <w:jc w:val="center"/>
            </w:pPr>
            <w:r>
              <w:rPr>
                <w:bdr w:val="nil"/>
                <w:lang w:val="es-ES"/>
              </w:rPr>
              <w:t>12.862</w:t>
            </w:r>
          </w:p>
        </w:tc>
        <w:tc>
          <w:tcPr>
            <w:tcW w:w="236" w:type="dxa"/>
            <w:tcBorders>
              <w:top w:val="nil"/>
              <w:left w:val="nil"/>
              <w:bottom w:val="nil"/>
              <w:right w:val="nil"/>
            </w:tcBorders>
            <w:shd w:val="clear" w:color="auto" w:fill="auto"/>
            <w:noWrap/>
          </w:tcPr>
          <w:p w14:paraId="4A4E98F8" w14:textId="77777777" w:rsidR="008A7077" w:rsidRPr="00C66DFA" w:rsidRDefault="005A7D75" w:rsidP="008A7077"/>
        </w:tc>
        <w:tc>
          <w:tcPr>
            <w:tcW w:w="2026" w:type="dxa"/>
            <w:tcBorders>
              <w:top w:val="nil"/>
              <w:left w:val="nil"/>
              <w:bottom w:val="nil"/>
              <w:right w:val="nil"/>
            </w:tcBorders>
            <w:vAlign w:val="bottom"/>
          </w:tcPr>
          <w:p w14:paraId="444F4872" w14:textId="77777777" w:rsidR="008A7077" w:rsidRPr="00C66DFA" w:rsidRDefault="00D93639" w:rsidP="008A7077">
            <w:pPr>
              <w:jc w:val="center"/>
            </w:pPr>
            <w:r>
              <w:rPr>
                <w:bdr w:val="nil"/>
                <w:lang w:val="es-ES"/>
              </w:rPr>
              <w:t>13.304</w:t>
            </w:r>
          </w:p>
        </w:tc>
        <w:tc>
          <w:tcPr>
            <w:tcW w:w="270" w:type="dxa"/>
            <w:tcBorders>
              <w:top w:val="nil"/>
              <w:left w:val="nil"/>
              <w:bottom w:val="nil"/>
              <w:right w:val="nil"/>
            </w:tcBorders>
          </w:tcPr>
          <w:p w14:paraId="309B1BE6"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498A2244" w14:textId="77777777" w:rsidR="008A7077" w:rsidRPr="00C66DFA" w:rsidRDefault="005A7D75" w:rsidP="008A7077"/>
        </w:tc>
        <w:tc>
          <w:tcPr>
            <w:tcW w:w="1188" w:type="dxa"/>
            <w:tcBorders>
              <w:top w:val="nil"/>
              <w:left w:val="nil"/>
              <w:bottom w:val="nil"/>
              <w:right w:val="nil"/>
            </w:tcBorders>
            <w:shd w:val="clear" w:color="auto" w:fill="auto"/>
            <w:noWrap/>
            <w:vAlign w:val="bottom"/>
          </w:tcPr>
          <w:p w14:paraId="53517121" w14:textId="77777777" w:rsidR="008A7077" w:rsidRPr="00C66DFA" w:rsidRDefault="00D93639" w:rsidP="008A7077">
            <w:pPr>
              <w:jc w:val="center"/>
            </w:pPr>
            <w:r>
              <w:rPr>
                <w:bdr w:val="nil"/>
                <w:lang w:val="es-ES"/>
              </w:rPr>
              <w:t>0.442</w:t>
            </w:r>
          </w:p>
        </w:tc>
        <w:tc>
          <w:tcPr>
            <w:tcW w:w="236" w:type="dxa"/>
            <w:tcBorders>
              <w:top w:val="nil"/>
              <w:left w:val="nil"/>
              <w:bottom w:val="nil"/>
              <w:right w:val="nil"/>
            </w:tcBorders>
            <w:shd w:val="clear" w:color="auto" w:fill="auto"/>
            <w:noWrap/>
          </w:tcPr>
          <w:p w14:paraId="766DE470" w14:textId="77777777" w:rsidR="008A7077" w:rsidRPr="00C66DFA" w:rsidRDefault="005A7D75" w:rsidP="008A7077"/>
        </w:tc>
        <w:tc>
          <w:tcPr>
            <w:tcW w:w="1752" w:type="dxa"/>
            <w:tcBorders>
              <w:top w:val="nil"/>
              <w:left w:val="nil"/>
              <w:bottom w:val="nil"/>
              <w:right w:val="nil"/>
            </w:tcBorders>
            <w:vAlign w:val="bottom"/>
          </w:tcPr>
          <w:p w14:paraId="70E19AA4" w14:textId="77777777" w:rsidR="008A7077" w:rsidRPr="00C66DFA" w:rsidRDefault="00D93639" w:rsidP="008A7077">
            <w:pPr>
              <w:jc w:val="center"/>
            </w:pPr>
            <w:r>
              <w:rPr>
                <w:bdr w:val="nil"/>
                <w:lang w:val="es-ES"/>
              </w:rPr>
              <w:t>3.44%</w:t>
            </w:r>
          </w:p>
        </w:tc>
        <w:tc>
          <w:tcPr>
            <w:tcW w:w="289" w:type="dxa"/>
            <w:tcBorders>
              <w:top w:val="nil"/>
              <w:left w:val="nil"/>
              <w:bottom w:val="nil"/>
              <w:right w:val="nil"/>
            </w:tcBorders>
          </w:tcPr>
          <w:p w14:paraId="19F66C75" w14:textId="77777777" w:rsidR="008A7077" w:rsidRPr="00C66DFA" w:rsidRDefault="005A7D75" w:rsidP="008A7077">
            <w:pPr>
              <w:jc w:val="center"/>
            </w:pPr>
          </w:p>
        </w:tc>
      </w:tr>
      <w:tr w:rsidR="00EA4F7D" w14:paraId="557EE4F5" w14:textId="77777777" w:rsidTr="00A40F28">
        <w:trPr>
          <w:trHeight w:val="255"/>
          <w:jc w:val="center"/>
        </w:trPr>
        <w:tc>
          <w:tcPr>
            <w:tcW w:w="2059" w:type="dxa"/>
            <w:gridSpan w:val="2"/>
            <w:tcBorders>
              <w:top w:val="nil"/>
              <w:left w:val="nil"/>
              <w:bottom w:val="nil"/>
              <w:right w:val="nil"/>
            </w:tcBorders>
            <w:shd w:val="clear" w:color="auto" w:fill="auto"/>
            <w:noWrap/>
          </w:tcPr>
          <w:p w14:paraId="586B4FBB" w14:textId="77777777" w:rsidR="008A7077" w:rsidRPr="00C66DFA" w:rsidRDefault="00D93639" w:rsidP="008A7077">
            <w:pPr>
              <w:rPr>
                <w:b/>
                <w:bCs/>
              </w:rPr>
            </w:pPr>
            <w:r>
              <w:rPr>
                <w:b/>
                <w:bCs/>
                <w:bdr w:val="nil"/>
                <w:lang w:val="es-ES"/>
              </w:rPr>
              <w:t>Total del sistema</w:t>
            </w:r>
          </w:p>
        </w:tc>
        <w:tc>
          <w:tcPr>
            <w:tcW w:w="270" w:type="dxa"/>
            <w:tcBorders>
              <w:top w:val="nil"/>
              <w:left w:val="nil"/>
              <w:bottom w:val="nil"/>
              <w:right w:val="nil"/>
            </w:tcBorders>
            <w:shd w:val="clear" w:color="auto" w:fill="auto"/>
            <w:noWrap/>
          </w:tcPr>
          <w:p w14:paraId="27DE9DDD" w14:textId="77777777" w:rsidR="008A7077" w:rsidRPr="00C66DFA" w:rsidRDefault="005A7D75" w:rsidP="008A7077">
            <w:pPr>
              <w:rPr>
                <w:highlight w:val="yellow"/>
              </w:rPr>
            </w:pPr>
          </w:p>
        </w:tc>
        <w:tc>
          <w:tcPr>
            <w:tcW w:w="1853" w:type="dxa"/>
            <w:tcBorders>
              <w:top w:val="nil"/>
              <w:left w:val="nil"/>
              <w:bottom w:val="nil"/>
              <w:right w:val="nil"/>
            </w:tcBorders>
            <w:shd w:val="clear" w:color="auto" w:fill="auto"/>
            <w:noWrap/>
            <w:vAlign w:val="bottom"/>
          </w:tcPr>
          <w:p w14:paraId="225AF477" w14:textId="77777777" w:rsidR="008A7077" w:rsidRPr="00C66DFA" w:rsidRDefault="00D93639" w:rsidP="008A7077">
            <w:pPr>
              <w:jc w:val="center"/>
            </w:pPr>
            <w:r>
              <w:rPr>
                <w:bdr w:val="nil"/>
                <w:lang w:val="es-ES"/>
              </w:rPr>
              <w:t>11.612</w:t>
            </w:r>
          </w:p>
        </w:tc>
        <w:tc>
          <w:tcPr>
            <w:tcW w:w="236" w:type="dxa"/>
            <w:tcBorders>
              <w:top w:val="nil"/>
              <w:left w:val="nil"/>
              <w:bottom w:val="nil"/>
              <w:right w:val="nil"/>
            </w:tcBorders>
            <w:shd w:val="clear" w:color="auto" w:fill="auto"/>
            <w:noWrap/>
          </w:tcPr>
          <w:p w14:paraId="16613028" w14:textId="77777777" w:rsidR="008A7077" w:rsidRPr="00C66DFA" w:rsidRDefault="005A7D75" w:rsidP="008A7077"/>
        </w:tc>
        <w:tc>
          <w:tcPr>
            <w:tcW w:w="2026" w:type="dxa"/>
            <w:tcBorders>
              <w:top w:val="nil"/>
              <w:left w:val="nil"/>
              <w:bottom w:val="nil"/>
              <w:right w:val="nil"/>
            </w:tcBorders>
            <w:vAlign w:val="bottom"/>
          </w:tcPr>
          <w:p w14:paraId="2981277A" w14:textId="77777777" w:rsidR="008A7077" w:rsidRPr="00C66DFA" w:rsidRDefault="00D93639" w:rsidP="008A7077">
            <w:pPr>
              <w:jc w:val="center"/>
            </w:pPr>
            <w:r>
              <w:rPr>
                <w:bdr w:val="nil"/>
                <w:lang w:val="es-ES"/>
              </w:rPr>
              <w:t>12.140</w:t>
            </w:r>
          </w:p>
        </w:tc>
        <w:tc>
          <w:tcPr>
            <w:tcW w:w="270" w:type="dxa"/>
            <w:tcBorders>
              <w:top w:val="nil"/>
              <w:left w:val="nil"/>
              <w:bottom w:val="nil"/>
              <w:right w:val="nil"/>
            </w:tcBorders>
          </w:tcPr>
          <w:p w14:paraId="5AD44EF5" w14:textId="77777777" w:rsidR="008A7077" w:rsidRPr="00C66DFA" w:rsidRDefault="005A7D75" w:rsidP="008A7077">
            <w:pPr>
              <w:jc w:val="center"/>
            </w:pPr>
          </w:p>
        </w:tc>
        <w:tc>
          <w:tcPr>
            <w:tcW w:w="236" w:type="dxa"/>
            <w:tcBorders>
              <w:top w:val="nil"/>
              <w:left w:val="nil"/>
              <w:bottom w:val="nil"/>
              <w:right w:val="nil"/>
            </w:tcBorders>
            <w:shd w:val="clear" w:color="auto" w:fill="auto"/>
            <w:noWrap/>
          </w:tcPr>
          <w:p w14:paraId="1DE5EC77" w14:textId="77777777" w:rsidR="008A7077" w:rsidRPr="00C66DFA" w:rsidRDefault="005A7D75" w:rsidP="008A7077"/>
        </w:tc>
        <w:tc>
          <w:tcPr>
            <w:tcW w:w="1188" w:type="dxa"/>
            <w:tcBorders>
              <w:top w:val="nil"/>
              <w:left w:val="nil"/>
              <w:bottom w:val="nil"/>
              <w:right w:val="nil"/>
            </w:tcBorders>
            <w:shd w:val="clear" w:color="auto" w:fill="auto"/>
            <w:noWrap/>
            <w:vAlign w:val="bottom"/>
          </w:tcPr>
          <w:p w14:paraId="18AD5472" w14:textId="77777777" w:rsidR="008A7077" w:rsidRPr="00C66DFA" w:rsidRDefault="00D93639" w:rsidP="008A7077">
            <w:pPr>
              <w:jc w:val="center"/>
            </w:pPr>
            <w:r>
              <w:rPr>
                <w:bdr w:val="nil"/>
                <w:lang w:val="es-ES"/>
              </w:rPr>
              <w:t>0.528</w:t>
            </w:r>
          </w:p>
        </w:tc>
        <w:tc>
          <w:tcPr>
            <w:tcW w:w="236" w:type="dxa"/>
            <w:tcBorders>
              <w:top w:val="nil"/>
              <w:left w:val="nil"/>
              <w:bottom w:val="nil"/>
              <w:right w:val="nil"/>
            </w:tcBorders>
            <w:shd w:val="clear" w:color="auto" w:fill="auto"/>
            <w:noWrap/>
          </w:tcPr>
          <w:p w14:paraId="4C8D4A44" w14:textId="77777777" w:rsidR="008A7077" w:rsidRPr="00C66DFA" w:rsidRDefault="005A7D75" w:rsidP="008A7077"/>
        </w:tc>
        <w:tc>
          <w:tcPr>
            <w:tcW w:w="1752" w:type="dxa"/>
            <w:tcBorders>
              <w:top w:val="nil"/>
              <w:left w:val="nil"/>
              <w:bottom w:val="nil"/>
              <w:right w:val="nil"/>
            </w:tcBorders>
            <w:vAlign w:val="bottom"/>
          </w:tcPr>
          <w:p w14:paraId="6366FD06" w14:textId="77777777" w:rsidR="008A7077" w:rsidRPr="00C66DFA" w:rsidRDefault="00D93639" w:rsidP="008A7077">
            <w:pPr>
              <w:jc w:val="center"/>
            </w:pPr>
            <w:r>
              <w:rPr>
                <w:bdr w:val="nil"/>
                <w:lang w:val="es-ES"/>
              </w:rPr>
              <w:t>4.55%</w:t>
            </w:r>
          </w:p>
        </w:tc>
        <w:tc>
          <w:tcPr>
            <w:tcW w:w="289" w:type="dxa"/>
            <w:tcBorders>
              <w:top w:val="nil"/>
              <w:left w:val="nil"/>
              <w:bottom w:val="nil"/>
              <w:right w:val="nil"/>
            </w:tcBorders>
          </w:tcPr>
          <w:p w14:paraId="0105C5B8" w14:textId="77777777" w:rsidR="008A7077" w:rsidRPr="00C66DFA" w:rsidRDefault="005A7D75" w:rsidP="008A7077">
            <w:pPr>
              <w:jc w:val="center"/>
            </w:pPr>
          </w:p>
        </w:tc>
      </w:tr>
      <w:tr w:rsidR="00EA4F7D" w14:paraId="41A079D2" w14:textId="77777777" w:rsidTr="00A40F28">
        <w:trPr>
          <w:gridAfter w:val="11"/>
          <w:wAfter w:w="10176" w:type="dxa"/>
          <w:trHeight w:val="198"/>
          <w:jc w:val="center"/>
        </w:trPr>
        <w:tc>
          <w:tcPr>
            <w:tcW w:w="239" w:type="dxa"/>
            <w:tcBorders>
              <w:top w:val="nil"/>
              <w:left w:val="nil"/>
              <w:bottom w:val="nil"/>
              <w:right w:val="nil"/>
            </w:tcBorders>
          </w:tcPr>
          <w:p w14:paraId="00225EEE" w14:textId="77777777" w:rsidR="00A23FBC" w:rsidRPr="00C66DFA" w:rsidRDefault="005A7D75" w:rsidP="00A66869">
            <w:pPr>
              <w:jc w:val="center"/>
              <w:rPr>
                <w:b/>
                <w:caps/>
              </w:rPr>
            </w:pPr>
          </w:p>
        </w:tc>
      </w:tr>
    </w:tbl>
    <w:p w14:paraId="446E5152" w14:textId="77777777" w:rsidR="00356776" w:rsidRPr="00E25D64" w:rsidRDefault="00D93639" w:rsidP="00E25D64">
      <w:pPr>
        <w:ind w:left="142" w:hanging="142"/>
      </w:pPr>
      <w:r w:rsidRPr="00E25D64">
        <w:rPr>
          <w:bdr w:val="nil"/>
          <w:vertAlign w:val="superscript"/>
          <w:lang w:val="es-ES"/>
        </w:rPr>
        <w:t xml:space="preserve">1 </w:t>
      </w:r>
      <w:r w:rsidRPr="00E25D64">
        <w:rPr>
          <w:bdr w:val="nil"/>
          <w:lang w:val="es-ES"/>
        </w:rPr>
        <w:t>Las tarifas UDC incluyen el cargo Bond Charge del Departamento de Recursos Hídricos (DWR).</w:t>
      </w:r>
    </w:p>
    <w:p w14:paraId="57328B75" w14:textId="77777777" w:rsidR="008D6909" w:rsidRPr="00E25D64" w:rsidRDefault="00E25D64" w:rsidP="00A23FBC">
      <w:pPr>
        <w:ind w:left="-1260" w:firstLine="1260"/>
      </w:pPr>
      <w:r>
        <w:rPr>
          <w:bdr w:val="nil"/>
          <w:vertAlign w:val="superscript"/>
          <w:lang w:val="es-ES"/>
        </w:rPr>
        <w:t>2</w:t>
      </w:r>
      <w:r w:rsidR="00D93639" w:rsidRPr="00E25D64">
        <w:rPr>
          <w:bdr w:val="nil"/>
          <w:lang w:val="es-ES"/>
        </w:rPr>
        <w:t xml:space="preserve"> Tarifas en vigor a partir del 3/1/17 conforme a la AL 3034-E/E-A.</w:t>
      </w:r>
    </w:p>
    <w:p w14:paraId="491CEB15" w14:textId="77777777" w:rsidR="00A23FBC" w:rsidRPr="00E25D64" w:rsidRDefault="00E25D64" w:rsidP="00A23FBC">
      <w:pPr>
        <w:ind w:left="-1260" w:firstLine="1260"/>
      </w:pPr>
      <w:r w:rsidRPr="00E25D64">
        <w:rPr>
          <w:bdr w:val="nil"/>
          <w:vertAlign w:val="superscript"/>
          <w:lang w:val="es-ES"/>
        </w:rPr>
        <w:t>3</w:t>
      </w:r>
      <w:r w:rsidR="00D93639" w:rsidRPr="00E25D64">
        <w:rPr>
          <w:bdr w:val="nil"/>
          <w:lang w:val="es-ES"/>
        </w:rPr>
        <w:t xml:space="preserve"> </w:t>
      </w:r>
      <w:proofErr w:type="spellStart"/>
      <w:r w:rsidR="00D93639" w:rsidRPr="00E25D64">
        <w:rPr>
          <w:bdr w:val="nil"/>
          <w:lang w:val="es-ES"/>
        </w:rPr>
        <w:t>CeI</w:t>
      </w:r>
      <w:proofErr w:type="spellEnd"/>
      <w:r w:rsidR="00D93639" w:rsidRPr="00E25D64">
        <w:rPr>
          <w:bdr w:val="nil"/>
          <w:lang w:val="es-ES"/>
        </w:rPr>
        <w:t xml:space="preserve"> significa Comercial e Industrial.</w:t>
      </w:r>
    </w:p>
    <w:p w14:paraId="75736DD3" w14:textId="77777777" w:rsidR="0089053B" w:rsidRPr="0089053B" w:rsidRDefault="005A7D75" w:rsidP="00A40F28">
      <w:pPr>
        <w:pStyle w:val="BodyText"/>
        <w:jc w:val="both"/>
        <w:rPr>
          <w:bCs/>
          <w:szCs w:val="24"/>
        </w:rPr>
      </w:pPr>
    </w:p>
    <w:p w14:paraId="684938C0" w14:textId="77777777" w:rsidR="00A23FBC" w:rsidRPr="00C66DFA" w:rsidRDefault="00D93639" w:rsidP="00A40F28">
      <w:pPr>
        <w:pStyle w:val="BodyText"/>
        <w:jc w:val="both"/>
        <w:rPr>
          <w:b/>
          <w:bCs/>
          <w:szCs w:val="24"/>
        </w:rPr>
      </w:pPr>
      <w:r>
        <w:rPr>
          <w:b/>
          <w:bCs/>
          <w:szCs w:val="24"/>
          <w:bdr w:val="nil"/>
          <w:lang w:val="es-ES"/>
        </w:rPr>
        <w:t>Para mayor información sobre estas propuestas, puede comunicarse a la línea de Servicio al Cliente de SDG&amp;E al 1-800-311-SDGE (7343).</w:t>
      </w:r>
    </w:p>
    <w:p w14:paraId="5C131CC1" w14:textId="77777777" w:rsidR="00A23FBC" w:rsidRPr="00C66DFA" w:rsidRDefault="005A7D75" w:rsidP="00A40F28">
      <w:pPr>
        <w:pStyle w:val="BodyText"/>
        <w:jc w:val="both"/>
        <w:rPr>
          <w:b/>
          <w:bCs/>
          <w:szCs w:val="24"/>
        </w:rPr>
      </w:pPr>
    </w:p>
    <w:p w14:paraId="6442ED61" w14:textId="77777777" w:rsidR="00472FB8" w:rsidRPr="00C66DFA" w:rsidRDefault="00D93639" w:rsidP="00A40F28">
      <w:pPr>
        <w:pStyle w:val="BodyText"/>
        <w:jc w:val="both"/>
        <w:rPr>
          <w:b/>
          <w:bCs/>
          <w:szCs w:val="24"/>
        </w:rPr>
      </w:pPr>
      <w:r>
        <w:rPr>
          <w:b/>
          <w:bCs/>
          <w:szCs w:val="24"/>
          <w:bdr w:val="nil"/>
          <w:lang w:val="es-ES"/>
        </w:rPr>
        <w:t>PARA MÁS INFORMACIÓN</w:t>
      </w:r>
    </w:p>
    <w:p w14:paraId="76999733" w14:textId="77777777" w:rsidR="00472FB8" w:rsidRPr="00C66DFA" w:rsidRDefault="00D93639" w:rsidP="00A40F28">
      <w:pPr>
        <w:jc w:val="both"/>
      </w:pPr>
      <w:r>
        <w:rPr>
          <w:bdr w:val="nil"/>
          <w:lang w:val="es-ES"/>
        </w:rPr>
        <w:t xml:space="preserve">Puede solicitar mayor información u obtener una copia de la solicitud y los anexos relacionados escribiendo a: Kellen Gill, San Diego Gas &amp; Electric Company, 8330 Century Park Court, San Diego, CA 92123. SDG&amp;E proporcionará una copia de esta solicitud </w:t>
      </w:r>
      <w:r w:rsidR="009143A0">
        <w:rPr>
          <w:bdr w:val="nil"/>
          <w:lang w:val="es-ES"/>
        </w:rPr>
        <w:t>a petición</w:t>
      </w:r>
      <w:r w:rsidR="00055EC7">
        <w:rPr>
          <w:bdr w:val="nil"/>
          <w:lang w:val="es-ES"/>
        </w:rPr>
        <w:t xml:space="preserve"> del interesado</w:t>
      </w:r>
      <w:r>
        <w:rPr>
          <w:bdr w:val="nil"/>
          <w:lang w:val="es-ES"/>
        </w:rPr>
        <w:t xml:space="preserve">. Se pueden revisar la solicitud y los anexos de SDG&amp;E en la Central Files Office de la CPUC, previa cita. Para más información, póngase en contacto con ellos escribiendo a </w:t>
      </w:r>
      <w:hyperlink r:id="rId9" w:history="1">
        <w:r>
          <w:rPr>
            <w:color w:val="0000FF"/>
            <w:u w:val="single"/>
            <w:bdr w:val="nil"/>
            <w:lang w:val="es-ES"/>
          </w:rPr>
          <w:t>aljcentralfilesid@cpuc.ca.gov</w:t>
        </w:r>
      </w:hyperlink>
      <w:r>
        <w:rPr>
          <w:bdr w:val="nil"/>
          <w:lang w:val="es-ES"/>
        </w:rPr>
        <w:t xml:space="preserve"> o llamando al (415) 703-2045. Una copia de esta solicitud puede inspeccionarse en las siguientes oficinas comerciales de SDG&amp;E:</w:t>
      </w:r>
    </w:p>
    <w:p w14:paraId="7D4A6E1E" w14:textId="77777777" w:rsidR="00472FB8" w:rsidRPr="00C66DFA" w:rsidRDefault="005A7D75"/>
    <w:tbl>
      <w:tblPr>
        <w:tblW w:w="0" w:type="auto"/>
        <w:tblLayout w:type="fixed"/>
        <w:tblLook w:val="0000" w:firstRow="0" w:lastRow="0" w:firstColumn="0" w:lastColumn="0" w:noHBand="0" w:noVBand="0"/>
      </w:tblPr>
      <w:tblGrid>
        <w:gridCol w:w="2952"/>
        <w:gridCol w:w="2952"/>
        <w:gridCol w:w="2952"/>
      </w:tblGrid>
      <w:tr w:rsidR="00EA4F7D" w14:paraId="7C80567D" w14:textId="77777777">
        <w:tc>
          <w:tcPr>
            <w:tcW w:w="2952" w:type="dxa"/>
            <w:tcBorders>
              <w:top w:val="nil"/>
              <w:left w:val="nil"/>
              <w:bottom w:val="nil"/>
              <w:right w:val="nil"/>
            </w:tcBorders>
          </w:tcPr>
          <w:p w14:paraId="2B6F7900" w14:textId="77777777" w:rsidR="00472FB8" w:rsidRPr="00C66DFA" w:rsidRDefault="00D93639">
            <w:r>
              <w:rPr>
                <w:bdr w:val="nil"/>
                <w:lang w:val="es-ES"/>
              </w:rPr>
              <w:t>436 H St.</w:t>
            </w:r>
          </w:p>
          <w:p w14:paraId="6E81B177" w14:textId="77777777" w:rsidR="00472FB8" w:rsidRPr="00C66DFA" w:rsidRDefault="00D93639">
            <w:r>
              <w:rPr>
                <w:bdr w:val="nil"/>
                <w:lang w:val="es-ES"/>
              </w:rPr>
              <w:t>Chula Vista, CA 91910</w:t>
            </w:r>
          </w:p>
          <w:p w14:paraId="0082127A" w14:textId="77777777" w:rsidR="00472FB8" w:rsidRPr="00C66DFA" w:rsidRDefault="005A7D75"/>
          <w:p w14:paraId="190B89B2" w14:textId="77777777" w:rsidR="00472FB8" w:rsidRPr="00C66DFA" w:rsidRDefault="00D93639">
            <w:r>
              <w:rPr>
                <w:bdr w:val="nil"/>
                <w:lang w:val="es-ES"/>
              </w:rPr>
              <w:t>2405 E. Plaza Blvd.</w:t>
            </w:r>
          </w:p>
          <w:p w14:paraId="6AAE2E0E" w14:textId="77777777" w:rsidR="00472FB8" w:rsidRPr="00C66DFA" w:rsidRDefault="00D93639">
            <w:r>
              <w:rPr>
                <w:bdr w:val="nil"/>
                <w:lang w:val="es-ES"/>
              </w:rPr>
              <w:t>National City, CA 91950</w:t>
            </w:r>
          </w:p>
          <w:p w14:paraId="3729C3DD" w14:textId="77777777" w:rsidR="00472FB8" w:rsidRPr="00C66DFA" w:rsidRDefault="005A7D75"/>
          <w:p w14:paraId="584BBF50" w14:textId="77777777" w:rsidR="00472FB8" w:rsidRPr="00C66DFA" w:rsidRDefault="00D93639">
            <w:r>
              <w:rPr>
                <w:bdr w:val="nil"/>
                <w:lang w:val="es-ES"/>
              </w:rPr>
              <w:t>440 Beech St.</w:t>
            </w:r>
          </w:p>
          <w:p w14:paraId="6CF74B95" w14:textId="77777777" w:rsidR="00472FB8" w:rsidRPr="00C66DFA" w:rsidRDefault="00D93639">
            <w:r>
              <w:rPr>
                <w:bdr w:val="nil"/>
                <w:lang w:val="es-ES"/>
              </w:rPr>
              <w:t>San Diego, CA 92101</w:t>
            </w:r>
          </w:p>
        </w:tc>
        <w:tc>
          <w:tcPr>
            <w:tcW w:w="2952" w:type="dxa"/>
            <w:tcBorders>
              <w:top w:val="nil"/>
              <w:left w:val="nil"/>
              <w:bottom w:val="nil"/>
              <w:right w:val="nil"/>
            </w:tcBorders>
          </w:tcPr>
          <w:p w14:paraId="661B8611" w14:textId="77777777" w:rsidR="00472FB8" w:rsidRPr="00C66DFA" w:rsidRDefault="00D93639">
            <w:r>
              <w:rPr>
                <w:bdr w:val="nil"/>
                <w:lang w:val="es-ES"/>
              </w:rPr>
              <w:t>104 N. Johnson Ave.</w:t>
            </w:r>
          </w:p>
          <w:p w14:paraId="48F32C97" w14:textId="77777777" w:rsidR="00472FB8" w:rsidRPr="00C66DFA" w:rsidRDefault="00D93639">
            <w:r>
              <w:rPr>
                <w:bdr w:val="nil"/>
                <w:lang w:val="es-ES"/>
              </w:rPr>
              <w:t>El Cajon, CA 92020</w:t>
            </w:r>
          </w:p>
          <w:p w14:paraId="340284B5" w14:textId="77777777" w:rsidR="00472FB8" w:rsidRPr="00C66DFA" w:rsidRDefault="005A7D75"/>
          <w:p w14:paraId="5FA9E426" w14:textId="77777777" w:rsidR="00472FB8" w:rsidRPr="00C66DFA" w:rsidRDefault="00D93639">
            <w:r>
              <w:rPr>
                <w:bdr w:val="nil"/>
                <w:lang w:val="es-ES"/>
              </w:rPr>
              <w:t>336 Euclid Ave.</w:t>
            </w:r>
          </w:p>
          <w:p w14:paraId="13A28230" w14:textId="77777777" w:rsidR="00472FB8" w:rsidRPr="00C66DFA" w:rsidRDefault="00D93639">
            <w:r>
              <w:rPr>
                <w:bdr w:val="nil"/>
                <w:lang w:val="es-ES"/>
              </w:rPr>
              <w:t>San Diego, CA 92114</w:t>
            </w:r>
          </w:p>
          <w:p w14:paraId="5C6932FE" w14:textId="77777777" w:rsidR="00472FB8" w:rsidRPr="00C66DFA" w:rsidRDefault="005A7D75"/>
          <w:p w14:paraId="4AD62605" w14:textId="77777777" w:rsidR="00472FB8" w:rsidRPr="00C66DFA" w:rsidRDefault="005A7D75"/>
        </w:tc>
        <w:tc>
          <w:tcPr>
            <w:tcW w:w="2952" w:type="dxa"/>
            <w:tcBorders>
              <w:top w:val="nil"/>
              <w:left w:val="nil"/>
              <w:bottom w:val="nil"/>
              <w:right w:val="nil"/>
            </w:tcBorders>
          </w:tcPr>
          <w:p w14:paraId="147D6F4D" w14:textId="77777777" w:rsidR="00472FB8" w:rsidRPr="00C66DFA" w:rsidRDefault="00D93639">
            <w:r>
              <w:rPr>
                <w:bdr w:val="nil"/>
                <w:lang w:val="es-ES"/>
              </w:rPr>
              <w:t>644 W. Mission Ave.</w:t>
            </w:r>
          </w:p>
          <w:p w14:paraId="2B239C83" w14:textId="77777777" w:rsidR="00472FB8" w:rsidRPr="00C66DFA" w:rsidRDefault="00D93639">
            <w:r>
              <w:rPr>
                <w:bdr w:val="nil"/>
                <w:lang w:val="es-ES"/>
              </w:rPr>
              <w:t>Escondido, CA 92025</w:t>
            </w:r>
          </w:p>
          <w:p w14:paraId="103828A2" w14:textId="77777777" w:rsidR="00472FB8" w:rsidRPr="00C66DFA" w:rsidRDefault="005A7D75"/>
          <w:p w14:paraId="557B7690" w14:textId="77777777" w:rsidR="00472FB8" w:rsidRPr="00C66DFA" w:rsidRDefault="005A7D75"/>
        </w:tc>
      </w:tr>
    </w:tbl>
    <w:p w14:paraId="6282F3FE" w14:textId="77777777" w:rsidR="00472FB8" w:rsidRPr="00C66DFA" w:rsidRDefault="005A7D75"/>
    <w:p w14:paraId="54D73768" w14:textId="77777777" w:rsidR="00472FB8" w:rsidRPr="00C66DFA" w:rsidRDefault="00D93639" w:rsidP="00A40F28">
      <w:pPr>
        <w:jc w:val="both"/>
      </w:pPr>
      <w:r>
        <w:rPr>
          <w:bdr w:val="nil"/>
          <w:lang w:val="es-ES"/>
        </w:rPr>
        <w:t xml:space="preserve">La solicitud y los anexos relacionados también puede encontrarlos electrónicamente en el sitio web de SDG&amp;E en </w:t>
      </w:r>
      <w:hyperlink r:id="rId10" w:history="1">
        <w:r>
          <w:rPr>
            <w:color w:val="0000FF"/>
            <w:u w:val="single"/>
            <w:bdr w:val="nil"/>
            <w:lang w:val="es-ES"/>
          </w:rPr>
          <w:t>www.sdge.com/regulatory/cpuc.shtml</w:t>
        </w:r>
      </w:hyperlink>
      <w:r>
        <w:rPr>
          <w:bdr w:val="nil"/>
          <w:lang w:val="es-ES"/>
        </w:rPr>
        <w:t>.</w:t>
      </w:r>
    </w:p>
    <w:p w14:paraId="5F756C58" w14:textId="77777777" w:rsidR="00FB1785" w:rsidRPr="00C66DFA" w:rsidRDefault="005A7D75" w:rsidP="00A40F28">
      <w:pPr>
        <w:jc w:val="both"/>
      </w:pPr>
    </w:p>
    <w:p w14:paraId="36CA4476" w14:textId="77777777" w:rsidR="00472FB8" w:rsidRPr="00C66DFA" w:rsidRDefault="00D93639" w:rsidP="00A40F28">
      <w:pPr>
        <w:jc w:val="both"/>
      </w:pPr>
      <w:r>
        <w:rPr>
          <w:bdr w:val="nil"/>
          <w:lang w:val="es-ES"/>
        </w:rPr>
        <w:t xml:space="preserve">Habrá copias de este encarte de factura para su consulta e impresión en el sitio web de SDG&amp;E en </w:t>
      </w:r>
      <w:hyperlink r:id="rId11" w:history="1">
        <w:r>
          <w:rPr>
            <w:color w:val="0000FF"/>
            <w:u w:val="single"/>
            <w:bdr w:val="nil"/>
            <w:lang w:val="es-ES"/>
          </w:rPr>
          <w:t>www.sdge.com/billinserts/regulatory.shtml</w:t>
        </w:r>
      </w:hyperlink>
      <w:r>
        <w:rPr>
          <w:bdr w:val="nil"/>
          <w:lang w:val="es-ES"/>
        </w:rPr>
        <w:t>.</w:t>
      </w:r>
    </w:p>
    <w:p w14:paraId="08B12A34" w14:textId="77777777" w:rsidR="00472FB8" w:rsidRPr="00C66DFA" w:rsidRDefault="005A7D75" w:rsidP="00A40F28">
      <w:pPr>
        <w:jc w:val="both"/>
      </w:pPr>
    </w:p>
    <w:p w14:paraId="0FACBD5F" w14:textId="77777777" w:rsidR="00C66DFA" w:rsidRDefault="005A7D75" w:rsidP="00FD4690">
      <w:pPr>
        <w:pStyle w:val="BodyText"/>
        <w:rPr>
          <w:b/>
          <w:bCs/>
          <w:szCs w:val="24"/>
        </w:rPr>
      </w:pPr>
    </w:p>
    <w:p w14:paraId="70E9ACFE" w14:textId="77777777" w:rsidR="00FD4690" w:rsidRPr="00C66DFA" w:rsidRDefault="00D93639" w:rsidP="00FD4690">
      <w:pPr>
        <w:pStyle w:val="BodyText"/>
        <w:rPr>
          <w:b/>
          <w:bCs/>
          <w:szCs w:val="24"/>
        </w:rPr>
      </w:pPr>
      <w:r>
        <w:rPr>
          <w:b/>
          <w:bCs/>
          <w:szCs w:val="24"/>
          <w:bdr w:val="nil"/>
          <w:lang w:val="es-ES"/>
        </w:rPr>
        <w:t xml:space="preserve">PROCESO DE LA CPUC </w:t>
      </w:r>
    </w:p>
    <w:p w14:paraId="4F9E710D" w14:textId="77777777" w:rsidR="00FD4690" w:rsidRPr="00C66DFA" w:rsidRDefault="00D93639" w:rsidP="00FD4690">
      <w:r>
        <w:rPr>
          <w:bdr w:val="nil"/>
          <w:lang w:val="es-ES"/>
        </w:rPr>
        <w:t xml:space="preserve">La presente solicitud será asignada a un Juez de Derecho Administrativo (Juez) quien determinará cómo se recibirán las pruebas y otros documentos relacionados, necesarios para que la CPUC establezca un acta en la que basará su decisión. Las audiencias para la presentación de pruebas pueden llevarse a cabo en donde las partes que aparecen en el acta presentarán su testimonio y pueden estar sujetas a un contrainterrogatorio por otras de las partes. Estas audiencias para la presentación de pruebas están abiertas al público, pero sólo las partes que aparecen en el acta pueden participar. </w:t>
      </w:r>
    </w:p>
    <w:p w14:paraId="0C63E567" w14:textId="77777777" w:rsidR="00FD4690" w:rsidRPr="00C66DFA" w:rsidRDefault="005A7D75" w:rsidP="00FD4690"/>
    <w:p w14:paraId="6F64668C" w14:textId="77777777" w:rsidR="00FD4690" w:rsidRPr="00C66DFA" w:rsidRDefault="00D93639" w:rsidP="00FD4690">
      <w:r>
        <w:rPr>
          <w:bdr w:val="nil"/>
          <w:lang w:val="es-ES"/>
        </w:rPr>
        <w:t xml:space="preserve">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 </w:t>
      </w:r>
    </w:p>
    <w:p w14:paraId="79BF09A8" w14:textId="77777777" w:rsidR="00FD4690" w:rsidRPr="00C66DFA" w:rsidRDefault="005A7D75" w:rsidP="00FD4690"/>
    <w:p w14:paraId="30E27B87" w14:textId="77777777" w:rsidR="00FD4690" w:rsidRPr="00C66DFA" w:rsidRDefault="00D93639" w:rsidP="00FD4690">
      <w:r>
        <w:rPr>
          <w:bdr w:val="nil"/>
          <w:lang w:val="es-ES"/>
        </w:rPr>
        <w:t xml:space="preserve">Como una de las partes que aparecen en el acta, la Oficina de Defensores del Contribuyente (ORA) examinará esta solicitud.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ORA cuenta con un personal multidisciplinario con pericia en economía, finanzas, contabilidad e ingeniería. Para más información sobre ORA, por favor llame al (415) 703-1584, envíe un mensaje por correo electrónico a </w:t>
      </w:r>
      <w:hyperlink r:id="rId12" w:history="1">
        <w:r>
          <w:rPr>
            <w:color w:val="0000FF"/>
            <w:u w:val="single"/>
            <w:bdr w:val="nil"/>
            <w:lang w:val="es-ES"/>
          </w:rPr>
          <w:t>ora@cpuc.ca.gov</w:t>
        </w:r>
      </w:hyperlink>
      <w:r>
        <w:rPr>
          <w:bdr w:val="nil"/>
          <w:lang w:val="es-ES"/>
        </w:rPr>
        <w:t xml:space="preserve"> o visite el sitio web de ORA en </w:t>
      </w:r>
      <w:hyperlink r:id="rId13" w:history="1">
        <w:r>
          <w:rPr>
            <w:color w:val="0000FF"/>
            <w:u w:val="single"/>
            <w:bdr w:val="nil"/>
            <w:lang w:val="es-ES"/>
          </w:rPr>
          <w:t>www.ora.ca.gov</w:t>
        </w:r>
      </w:hyperlink>
      <w:r>
        <w:rPr>
          <w:bdr w:val="nil"/>
          <w:lang w:val="es-ES"/>
        </w:rPr>
        <w:t>.</w:t>
      </w:r>
    </w:p>
    <w:p w14:paraId="7BA9A981" w14:textId="77777777" w:rsidR="00FD4690" w:rsidRPr="00C66DFA" w:rsidRDefault="005A7D75" w:rsidP="00FD4690"/>
    <w:p w14:paraId="36D8B44C" w14:textId="77777777" w:rsidR="00FD4690" w:rsidRPr="00C66DFA" w:rsidRDefault="00D93639" w:rsidP="00FD4690">
      <w:pPr>
        <w:rPr>
          <w:b/>
        </w:rPr>
      </w:pPr>
      <w:r>
        <w:rPr>
          <w:b/>
          <w:bCs/>
          <w:bdr w:val="nil"/>
          <w:lang w:val="es-ES"/>
        </w:rPr>
        <w:t>MANTÉNGASE INFORMADO</w:t>
      </w:r>
    </w:p>
    <w:p w14:paraId="328999F5" w14:textId="77777777" w:rsidR="00737AAE" w:rsidRPr="00C66DFA" w:rsidRDefault="00D93639" w:rsidP="00737AAE">
      <w:r>
        <w:rPr>
          <w:bdr w:val="nil"/>
          <w:lang w:val="es-ES"/>
        </w:rPr>
        <w:t xml:space="preserve">Si desea seguir este procedimiento, o cualquier otro asunto presentado ante la CPUC, puede utilizar el servicio de suscripción gratuito de la CPUC. Suscríbase en: </w:t>
      </w:r>
      <w:hyperlink r:id="rId14" w:history="1">
        <w:r>
          <w:rPr>
            <w:color w:val="0000FF"/>
            <w:u w:val="single"/>
            <w:bdr w:val="nil"/>
            <w:lang w:val="es-ES"/>
          </w:rPr>
          <w:t>http://subscribecpuc.cpuc.ca.gov/</w:t>
        </w:r>
      </w:hyperlink>
      <w:r>
        <w:rPr>
          <w:bdr w:val="nil"/>
          <w:lang w:val="es-ES"/>
        </w:rPr>
        <w:t>.</w:t>
      </w:r>
    </w:p>
    <w:p w14:paraId="63E41761" w14:textId="77777777" w:rsidR="00737AAE" w:rsidRPr="00C66DFA" w:rsidRDefault="005A7D75" w:rsidP="00737AAE"/>
    <w:p w14:paraId="4061DA1A" w14:textId="77777777" w:rsidR="00737AAE" w:rsidRPr="00C66DFA" w:rsidRDefault="00D93639" w:rsidP="00737AAE">
      <w:r>
        <w:rPr>
          <w:bdr w:val="nil"/>
          <w:lang w:val="es-ES"/>
        </w:rPr>
        <w:t xml:space="preserve">Si quiere obtener información sobre cómo puede participar en el procedimiento, o si tiene comentarios informales acerca de la solicitud, o preguntas sobre los procesos de la CPUC, </w:t>
      </w:r>
      <w:r>
        <w:rPr>
          <w:bdr w:val="nil"/>
          <w:lang w:val="es-ES"/>
        </w:rPr>
        <w:lastRenderedPageBreak/>
        <w:t xml:space="preserve">puede entrar a la página web de la Oficina del Asesor Público (PAO) de la CPUC en </w:t>
      </w:r>
      <w:hyperlink r:id="rId15" w:history="1">
        <w:r>
          <w:rPr>
            <w:color w:val="0000FF"/>
            <w:u w:val="single"/>
            <w:bdr w:val="nil"/>
            <w:lang w:val="es-ES"/>
          </w:rPr>
          <w:t>http://www.cpuc.ca.gov/pao/</w:t>
        </w:r>
      </w:hyperlink>
      <w:r>
        <w:rPr>
          <w:bdr w:val="nil"/>
          <w:lang w:val="es-ES"/>
        </w:rPr>
        <w:t xml:space="preserve">. También puede ponerse en contacto con la PAO de la siguiente manera: </w:t>
      </w:r>
    </w:p>
    <w:p w14:paraId="04F8E693" w14:textId="77777777" w:rsidR="00737AAE" w:rsidRPr="00C66DFA" w:rsidRDefault="005A7D75" w:rsidP="00737AAE"/>
    <w:p w14:paraId="5BB241AF" w14:textId="77777777" w:rsidR="00737AAE" w:rsidRPr="00C66DFA" w:rsidRDefault="00D93639" w:rsidP="00737AAE">
      <w:r>
        <w:rPr>
          <w:bdr w:val="nil"/>
          <w:lang w:val="es-ES"/>
        </w:rPr>
        <w:t xml:space="preserve">Envíe un mensaje por correo electrónico a: public.advisor@cpuc.ca.gov </w:t>
      </w:r>
    </w:p>
    <w:p w14:paraId="608EBDD3" w14:textId="77777777" w:rsidR="00737AAE" w:rsidRPr="00C66DFA" w:rsidRDefault="005A7D75" w:rsidP="00737AAE"/>
    <w:p w14:paraId="5F152D07" w14:textId="77777777" w:rsidR="00737AAE" w:rsidRPr="00C66DFA" w:rsidRDefault="00D93639" w:rsidP="00737AAE">
      <w:r>
        <w:rPr>
          <w:bdr w:val="nil"/>
          <w:lang w:val="es-ES"/>
        </w:rPr>
        <w:t>Escriba a:</w:t>
      </w:r>
      <w:r>
        <w:rPr>
          <w:bdr w:val="nil"/>
          <w:lang w:val="es-ES"/>
        </w:rPr>
        <w:tab/>
        <w:t xml:space="preserve">CPUC </w:t>
      </w:r>
    </w:p>
    <w:p w14:paraId="4A6D5C87" w14:textId="77777777" w:rsidR="00737AAE" w:rsidRPr="00C66DFA" w:rsidRDefault="00300F90" w:rsidP="00737AAE">
      <w:r>
        <w:rPr>
          <w:bdr w:val="nil"/>
          <w:lang w:val="es-ES"/>
        </w:rPr>
        <w:tab/>
      </w:r>
      <w:r>
        <w:rPr>
          <w:bdr w:val="nil"/>
          <w:lang w:val="es-ES"/>
        </w:rPr>
        <w:tab/>
      </w:r>
      <w:proofErr w:type="spellStart"/>
      <w:r w:rsidR="00D93639">
        <w:rPr>
          <w:bdr w:val="nil"/>
          <w:lang w:val="es-ES"/>
        </w:rPr>
        <w:t>Public</w:t>
      </w:r>
      <w:proofErr w:type="spellEnd"/>
      <w:r w:rsidR="00D93639">
        <w:rPr>
          <w:bdr w:val="nil"/>
          <w:lang w:val="es-ES"/>
        </w:rPr>
        <w:t xml:space="preserve"> </w:t>
      </w:r>
      <w:proofErr w:type="spellStart"/>
      <w:r w:rsidR="00D93639">
        <w:rPr>
          <w:bdr w:val="nil"/>
          <w:lang w:val="es-ES"/>
        </w:rPr>
        <w:t>Advisor’s</w:t>
      </w:r>
      <w:proofErr w:type="spellEnd"/>
      <w:r w:rsidR="00D93639">
        <w:rPr>
          <w:bdr w:val="nil"/>
          <w:lang w:val="es-ES"/>
        </w:rPr>
        <w:t xml:space="preserve"> Office</w:t>
      </w:r>
    </w:p>
    <w:p w14:paraId="608391F7" w14:textId="77777777" w:rsidR="00737AAE" w:rsidRPr="00C66DFA" w:rsidRDefault="00D93639" w:rsidP="00300F90">
      <w:pPr>
        <w:ind w:left="1440"/>
      </w:pPr>
      <w:r>
        <w:rPr>
          <w:bdr w:val="nil"/>
          <w:lang w:val="es-ES"/>
        </w:rPr>
        <w:t xml:space="preserve">505 Van Ness </w:t>
      </w:r>
      <w:proofErr w:type="spellStart"/>
      <w:r>
        <w:rPr>
          <w:bdr w:val="nil"/>
          <w:lang w:val="es-ES"/>
        </w:rPr>
        <w:t>Avenue</w:t>
      </w:r>
      <w:proofErr w:type="spellEnd"/>
    </w:p>
    <w:p w14:paraId="3283924A" w14:textId="77777777" w:rsidR="00737AAE" w:rsidRPr="00C66DFA" w:rsidRDefault="00D93639" w:rsidP="00737AAE">
      <w:r>
        <w:rPr>
          <w:bdr w:val="nil"/>
          <w:lang w:val="es-ES"/>
        </w:rPr>
        <w:tab/>
      </w:r>
      <w:r w:rsidR="00300F90">
        <w:rPr>
          <w:bdr w:val="nil"/>
          <w:lang w:val="es-ES"/>
        </w:rPr>
        <w:tab/>
      </w:r>
      <w:r>
        <w:rPr>
          <w:bdr w:val="nil"/>
          <w:lang w:val="es-ES"/>
        </w:rPr>
        <w:t>San Francisco, CA 94102</w:t>
      </w:r>
    </w:p>
    <w:p w14:paraId="7C8FE763" w14:textId="77777777" w:rsidR="00737AAE" w:rsidRPr="00C66DFA" w:rsidRDefault="00D93639" w:rsidP="00737AAE">
      <w:r>
        <w:rPr>
          <w:bdr w:val="nil"/>
          <w:lang w:val="es-ES"/>
        </w:rPr>
        <w:t xml:space="preserve">Llame al: </w:t>
      </w:r>
      <w:r>
        <w:rPr>
          <w:bdr w:val="nil"/>
          <w:lang w:val="es-ES"/>
        </w:rPr>
        <w:tab/>
        <w:t>1-866-849-8390 (sin costo) o al 1-415-703-2074</w:t>
      </w:r>
    </w:p>
    <w:p w14:paraId="37ACBE3F" w14:textId="77777777" w:rsidR="00737AAE" w:rsidRPr="00C66DFA" w:rsidRDefault="00D93639" w:rsidP="00737AAE">
      <w:pPr>
        <w:pStyle w:val="BodyText"/>
        <w:jc w:val="both"/>
        <w:rPr>
          <w:szCs w:val="24"/>
        </w:rPr>
      </w:pPr>
      <w:r>
        <w:rPr>
          <w:szCs w:val="24"/>
          <w:bdr w:val="nil"/>
          <w:lang w:val="es-ES"/>
        </w:rPr>
        <w:tab/>
      </w:r>
      <w:r w:rsidR="00300F90">
        <w:rPr>
          <w:szCs w:val="24"/>
          <w:bdr w:val="nil"/>
          <w:lang w:val="es-ES"/>
        </w:rPr>
        <w:tab/>
      </w:r>
      <w:r>
        <w:rPr>
          <w:szCs w:val="24"/>
          <w:bdr w:val="nil"/>
          <w:lang w:val="es-ES"/>
        </w:rPr>
        <w:t>TTY 1-866-836-7825 (sin costo) o 1-415-703-5282</w:t>
      </w:r>
    </w:p>
    <w:p w14:paraId="790B4555" w14:textId="77777777" w:rsidR="00737AAE" w:rsidRPr="00C66DFA" w:rsidRDefault="005A7D75" w:rsidP="00737AAE">
      <w:pPr>
        <w:pStyle w:val="BodyText"/>
        <w:jc w:val="both"/>
        <w:rPr>
          <w:szCs w:val="24"/>
        </w:rPr>
      </w:pPr>
    </w:p>
    <w:p w14:paraId="406FD4E6" w14:textId="77777777" w:rsidR="00737AAE" w:rsidRPr="00C66DFA" w:rsidRDefault="00D93639" w:rsidP="00737AAE">
      <w:pPr>
        <w:pStyle w:val="BodyText"/>
        <w:jc w:val="both"/>
        <w:rPr>
          <w:szCs w:val="24"/>
        </w:rPr>
      </w:pPr>
      <w:r>
        <w:rPr>
          <w:szCs w:val="24"/>
          <w:bdr w:val="nil"/>
          <w:lang w:val="es-ES"/>
        </w:rPr>
        <w:t>Por favor haga referencia a 2017 ERRA Forecast Application No. A.17-04-016 de SDG&amp;E en cualesquiera comunicaciones que sostenga con la CPUC en relación con este asunto. Todos los comentarios públicos se volverán parte del expediente de correspondencia pública de este procedimiento y se pondrán a disposición del Juez asignado, los Comisionados y el personal pertinente de la CPUC para su revisión.</w:t>
      </w:r>
    </w:p>
    <w:p w14:paraId="1D4761AF" w14:textId="77777777" w:rsidR="00472FB8" w:rsidRPr="00C66DFA" w:rsidRDefault="005A7D75" w:rsidP="00737AAE"/>
    <w:sectPr w:rsidR="00472FB8" w:rsidRPr="00C66DFA" w:rsidSect="00A40F28">
      <w:headerReference w:type="default" r:id="rId16"/>
      <w:footerReference w:type="default" r:id="rId17"/>
      <w:pgSz w:w="12240" w:h="15840"/>
      <w:pgMar w:top="1008" w:right="1728" w:bottom="1008" w:left="172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426DF" w14:textId="77777777" w:rsidR="005A7D75" w:rsidRDefault="005A7D75">
      <w:r>
        <w:separator/>
      </w:r>
    </w:p>
  </w:endnote>
  <w:endnote w:type="continuationSeparator" w:id="0">
    <w:p w14:paraId="466D8448" w14:textId="77777777" w:rsidR="005A7D75" w:rsidRDefault="005A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8579" w14:textId="77777777" w:rsidR="001839EA" w:rsidRDefault="005A7D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A206E" w14:textId="77777777" w:rsidR="005A7D75" w:rsidRDefault="005A7D75" w:rsidP="007450E0">
      <w:r>
        <w:separator/>
      </w:r>
    </w:p>
  </w:footnote>
  <w:footnote w:type="continuationSeparator" w:id="0">
    <w:p w14:paraId="223A915B" w14:textId="77777777" w:rsidR="005A7D75" w:rsidRDefault="005A7D75" w:rsidP="007450E0">
      <w:r>
        <w:continuationSeparator/>
      </w:r>
    </w:p>
  </w:footnote>
  <w:footnote w:id="1">
    <w:p w14:paraId="32CA1103" w14:textId="77777777" w:rsidR="001839EA" w:rsidRDefault="00D93639">
      <w:pPr>
        <w:pStyle w:val="FootnoteText"/>
      </w:pPr>
      <w:r>
        <w:rPr>
          <w:rStyle w:val="FootnoteReference"/>
        </w:rPr>
        <w:footnoteRef/>
      </w:r>
      <w:r>
        <w:rPr>
          <w:bdr w:val="nil"/>
          <w:lang w:val="es-ES"/>
        </w:rPr>
        <w:t xml:space="preserve"> Actualmente SDG&amp;E no tiene ningún cliente de CCA.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857A" w14:textId="77777777" w:rsidR="001839EA" w:rsidRDefault="005A7D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B1CC1"/>
    <w:multiLevelType w:val="hybridMultilevel"/>
    <w:tmpl w:val="C08C2BCA"/>
    <w:lvl w:ilvl="0" w:tplc="9BD6FB86">
      <w:start w:val="1"/>
      <w:numFmt w:val="decimal"/>
      <w:lvlText w:val="%1."/>
      <w:lvlJc w:val="left"/>
      <w:pPr>
        <w:ind w:left="720" w:hanging="360"/>
      </w:pPr>
      <w:rPr>
        <w:rFonts w:hint="default"/>
      </w:rPr>
    </w:lvl>
    <w:lvl w:ilvl="1" w:tplc="E0F6D484" w:tentative="1">
      <w:start w:val="1"/>
      <w:numFmt w:val="lowerLetter"/>
      <w:lvlText w:val="%2."/>
      <w:lvlJc w:val="left"/>
      <w:pPr>
        <w:ind w:left="1440" w:hanging="360"/>
      </w:pPr>
    </w:lvl>
    <w:lvl w:ilvl="2" w:tplc="5EDED752" w:tentative="1">
      <w:start w:val="1"/>
      <w:numFmt w:val="lowerRoman"/>
      <w:lvlText w:val="%3."/>
      <w:lvlJc w:val="right"/>
      <w:pPr>
        <w:ind w:left="2160" w:hanging="180"/>
      </w:pPr>
    </w:lvl>
    <w:lvl w:ilvl="3" w:tplc="12A22AC6" w:tentative="1">
      <w:start w:val="1"/>
      <w:numFmt w:val="decimal"/>
      <w:lvlText w:val="%4."/>
      <w:lvlJc w:val="left"/>
      <w:pPr>
        <w:ind w:left="2880" w:hanging="360"/>
      </w:pPr>
    </w:lvl>
    <w:lvl w:ilvl="4" w:tplc="35741544" w:tentative="1">
      <w:start w:val="1"/>
      <w:numFmt w:val="lowerLetter"/>
      <w:lvlText w:val="%5."/>
      <w:lvlJc w:val="left"/>
      <w:pPr>
        <w:ind w:left="3600" w:hanging="360"/>
      </w:pPr>
    </w:lvl>
    <w:lvl w:ilvl="5" w:tplc="14B24D30" w:tentative="1">
      <w:start w:val="1"/>
      <w:numFmt w:val="lowerRoman"/>
      <w:lvlText w:val="%6."/>
      <w:lvlJc w:val="right"/>
      <w:pPr>
        <w:ind w:left="4320" w:hanging="180"/>
      </w:pPr>
    </w:lvl>
    <w:lvl w:ilvl="6" w:tplc="85743CAA" w:tentative="1">
      <w:start w:val="1"/>
      <w:numFmt w:val="decimal"/>
      <w:lvlText w:val="%7."/>
      <w:lvlJc w:val="left"/>
      <w:pPr>
        <w:ind w:left="5040" w:hanging="360"/>
      </w:pPr>
    </w:lvl>
    <w:lvl w:ilvl="7" w:tplc="B7F26E76" w:tentative="1">
      <w:start w:val="1"/>
      <w:numFmt w:val="lowerLetter"/>
      <w:lvlText w:val="%8."/>
      <w:lvlJc w:val="left"/>
      <w:pPr>
        <w:ind w:left="5760" w:hanging="360"/>
      </w:pPr>
    </w:lvl>
    <w:lvl w:ilvl="8" w:tplc="4484F66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7D"/>
    <w:rsid w:val="00055EC7"/>
    <w:rsid w:val="001E0ADB"/>
    <w:rsid w:val="00300F90"/>
    <w:rsid w:val="00386D92"/>
    <w:rsid w:val="00562045"/>
    <w:rsid w:val="005A7D75"/>
    <w:rsid w:val="005B7F37"/>
    <w:rsid w:val="005D43D3"/>
    <w:rsid w:val="00813505"/>
    <w:rsid w:val="009007F8"/>
    <w:rsid w:val="009143A0"/>
    <w:rsid w:val="00916C77"/>
    <w:rsid w:val="00AB05C7"/>
    <w:rsid w:val="00BA6656"/>
    <w:rsid w:val="00BE3D71"/>
    <w:rsid w:val="00BF3FAD"/>
    <w:rsid w:val="00D05284"/>
    <w:rsid w:val="00D93639"/>
    <w:rsid w:val="00E25D64"/>
    <w:rsid w:val="00EA4F7D"/>
    <w:rsid w:val="00EB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5B5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rPr>
      <w:szCs w:val="20"/>
    </w:rPr>
  </w:style>
  <w:style w:type="paragraph" w:styleId="FootnoteText">
    <w:name w:val="footnote text"/>
    <w:basedOn w:val="Normal"/>
    <w:link w:val="FootnoteTextChar"/>
    <w:rsid w:val="007450E0"/>
    <w:rPr>
      <w:sz w:val="20"/>
      <w:szCs w:val="20"/>
    </w:rPr>
  </w:style>
  <w:style w:type="character" w:customStyle="1" w:styleId="FootnoteTextChar">
    <w:name w:val="Footnote Text Char"/>
    <w:basedOn w:val="DefaultParagraphFont"/>
    <w:link w:val="FootnoteText"/>
    <w:rsid w:val="007450E0"/>
  </w:style>
  <w:style w:type="character" w:styleId="FootnoteReference">
    <w:name w:val="footnote reference"/>
    <w:rsid w:val="007450E0"/>
    <w:rPr>
      <w:vertAlign w:val="superscript"/>
    </w:rPr>
  </w:style>
  <w:style w:type="character" w:customStyle="1" w:styleId="FootnoteTextChar1">
    <w:name w:val="Footnote Text Char1"/>
    <w:rsid w:val="005C2D7E"/>
  </w:style>
  <w:style w:type="character" w:styleId="Strong">
    <w:name w:val="Strong"/>
    <w:qFormat/>
    <w:rsid w:val="00A30BD0"/>
    <w:rPr>
      <w:b/>
      <w:bCs/>
    </w:rPr>
  </w:style>
  <w:style w:type="paragraph" w:styleId="Header">
    <w:name w:val="header"/>
    <w:basedOn w:val="Normal"/>
    <w:link w:val="HeaderChar"/>
    <w:uiPriority w:val="99"/>
    <w:rsid w:val="00DE0334"/>
    <w:pPr>
      <w:tabs>
        <w:tab w:val="center" w:pos="4680"/>
        <w:tab w:val="right" w:pos="9360"/>
      </w:tabs>
    </w:pPr>
  </w:style>
  <w:style w:type="character" w:customStyle="1" w:styleId="HeaderChar">
    <w:name w:val="Header Char"/>
    <w:link w:val="Header"/>
    <w:uiPriority w:val="99"/>
    <w:rsid w:val="00DE0334"/>
    <w:rPr>
      <w:sz w:val="24"/>
      <w:szCs w:val="24"/>
    </w:rPr>
  </w:style>
  <w:style w:type="paragraph" w:styleId="Footer">
    <w:name w:val="footer"/>
    <w:basedOn w:val="Normal"/>
    <w:link w:val="FooterChar"/>
    <w:rsid w:val="00DE0334"/>
    <w:pPr>
      <w:tabs>
        <w:tab w:val="center" w:pos="4680"/>
        <w:tab w:val="right" w:pos="9360"/>
      </w:tabs>
    </w:pPr>
  </w:style>
  <w:style w:type="character" w:customStyle="1" w:styleId="FooterChar">
    <w:name w:val="Footer Char"/>
    <w:link w:val="Footer"/>
    <w:rsid w:val="00DE0334"/>
    <w:rPr>
      <w:sz w:val="24"/>
      <w:szCs w:val="24"/>
    </w:rPr>
  </w:style>
  <w:style w:type="paragraph" w:styleId="Revision">
    <w:name w:val="Revision"/>
    <w:hidden/>
    <w:uiPriority w:val="99"/>
    <w:semiHidden/>
    <w:rsid w:val="001E15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dge.com/billinserts/regulatory.shtml" TargetMode="External"/><Relationship Id="rId12" Type="http://schemas.openxmlformats.org/officeDocument/2006/relationships/hyperlink" Target="mailto:ora@cpuc.ca.gov" TargetMode="External"/><Relationship Id="rId13" Type="http://schemas.openxmlformats.org/officeDocument/2006/relationships/hyperlink" Target="http://www.ora.ca.gov" TargetMode="External"/><Relationship Id="rId14" Type="http://schemas.openxmlformats.org/officeDocument/2006/relationships/hyperlink" Target="http://subscribecpuc.cpuc.ca.gov/" TargetMode="External"/><Relationship Id="rId15" Type="http://schemas.openxmlformats.org/officeDocument/2006/relationships/hyperlink" Target="http://www.cpuc.ca.gov/pao/"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ljcentralfilesid@cpuc.ca.gov" TargetMode="External"/><Relationship Id="rId10" Type="http://schemas.openxmlformats.org/officeDocument/2006/relationships/hyperlink" Target="http://www.sdge.com/regulatory/cpu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FDC5-3B1D-D04E-8ABF-56C28935AD85}">
  <ds:schemaRefs>
    <ds:schemaRef ds:uri="http://schemas.openxmlformats.org/officeDocument/2006/bibliography"/>
  </ds:schemaRefs>
</ds:datastoreItem>
</file>

<file path=customXml/itemProps2.xml><?xml version="1.0" encoding="utf-8"?>
<ds:datastoreItem xmlns:ds="http://schemas.openxmlformats.org/officeDocument/2006/customXml" ds:itemID="{9716965E-B58B-1045-B69D-6EB3DA0D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1834</Words>
  <Characters>9818</Characters>
  <Application>Microsoft Macintosh Word</Application>
  <DocSecurity>0</DocSecurity>
  <Lines>426</Lines>
  <Paragraphs>159</Paragraphs>
  <ScaleCrop>false</ScaleCrop>
  <HeadingPairs>
    <vt:vector size="2" baseType="variant">
      <vt:variant>
        <vt:lpstr>Title</vt:lpstr>
      </vt:variant>
      <vt:variant>
        <vt:i4>1</vt:i4>
      </vt:variant>
    </vt:vector>
  </HeadingPairs>
  <TitlesOfParts>
    <vt:vector size="1" baseType="lpstr">
      <vt:lpstr>Para mas detalles llame al 1-800-311-7343</vt:lpstr>
    </vt:vector>
  </TitlesOfParts>
  <Manager/>
  <Company>Sempra Energy Utilities</Company>
  <LinksUpToDate>false</LinksUpToDate>
  <CharactersWithSpaces>11493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mas detalles llame al 1-800-311-7343</dc:title>
  <dc:subject/>
  <dc:creator>Kari Kloberdanz</dc:creator>
  <cp:keywords/>
  <dc:description/>
  <cp:lastModifiedBy>Microsoft Office User</cp:lastModifiedBy>
  <cp:revision>2</cp:revision>
  <cp:lastPrinted>2015-04-10T17:05:00Z</cp:lastPrinted>
  <dcterms:created xsi:type="dcterms:W3CDTF">2017-04-25T02:05:00Z</dcterms:created>
  <dcterms:modified xsi:type="dcterms:W3CDTF">2017-04-25T02:05:00Z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ABAAmJ+7jnJ2eOWQzQWIAT2SIh/QpaDvDAeCzcuCtEx3ZioYnMJ0LxspkYdZArC1+7jD</vt:lpwstr>
  </property>
  <property fmtid="{D5CDD505-2E9C-101B-9397-08002B2CF9AE}" pid="3" name="MAIL_MSG_ID1">
    <vt:lpwstr>oFAAuCENMj9rVEKKCjI45HPK5e2Qpx3sJLcQja5m9fiZbeB96tuKsW7g9c8x9/ZZw263fGxvZxAaZaoA
z4I5TU5KnXhqKGopYHkq0+QrAlbFe8KJgsPFSajmUjeTLVGUH2sTEvhCSksQ86vzRjIHYd3jfOV3
aml4PYKH698Ypj/NoRZwmYyYwuE5qTez9BUxXukmGtG32Dt4bE5IHV2pfoXEo3tVUr/PN9yUIMwm
3oqbZVHBvA/2QT9Iu</vt:lpwstr>
  </property>
  <property fmtid="{D5CDD505-2E9C-101B-9397-08002B2CF9AE}" pid="4" name="MAIL_MSG_ID2">
    <vt:lpwstr>ltP1IoRSlKC93iMTAegHOjoOVROMQxTGDJJgWwYyFfONWMRYkTXuO7Yf2CD
bHyx3Ych41dUnMn2gtLi0tBXHDyxHzmrRkaWR4rL2KoKHXO2</vt:lpwstr>
  </property>
  <property fmtid="{D5CDD505-2E9C-101B-9397-08002B2CF9AE}" pid="5" name="RESPONSE_SENDER_NAME">
    <vt:lpwstr>sAAAE9kkUq3pEoIDj4NBZIY8bBF9jxOoqu62aFkwCteBKmY=</vt:lpwstr>
  </property>
  <property fmtid="{D5CDD505-2E9C-101B-9397-08002B2CF9AE}" pid="6" name="_NewReviewCycle">
    <vt:lpwstr/>
  </property>
</Properties>
</file>