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F161" w14:textId="794C7C00" w:rsidR="00624F33" w:rsidRPr="003138F6" w:rsidRDefault="00C06842" w:rsidP="00624F33">
      <w:pPr>
        <w:pStyle w:val="ListParagraph"/>
        <w:numPr>
          <w:ilvl w:val="0"/>
          <w:numId w:val="7"/>
        </w:numPr>
        <w:rPr>
          <w:rFonts w:eastAsia="Times New Roman"/>
        </w:rPr>
      </w:pPr>
      <w:r w:rsidRPr="003138F6">
        <w:rPr>
          <w:rFonts w:eastAsia="Times New Roman"/>
        </w:rPr>
        <w:t xml:space="preserve">Are bidders allowed to select 100% of the available long-term supply to be available on a short-term basis? </w:t>
      </w:r>
    </w:p>
    <w:p w14:paraId="51B46A70" w14:textId="77777777" w:rsidR="00624F33" w:rsidRPr="003138F6" w:rsidRDefault="00624F33" w:rsidP="00624F33">
      <w:pPr>
        <w:pStyle w:val="ListParagraph"/>
      </w:pPr>
    </w:p>
    <w:p w14:paraId="4384DBB8" w14:textId="444ECED3" w:rsidR="00311943" w:rsidRPr="003138F6" w:rsidRDefault="00624F33" w:rsidP="00EC5A6F">
      <w:pPr>
        <w:pStyle w:val="ListParagraph"/>
        <w:rPr>
          <w:rFonts w:eastAsia="Times New Roman"/>
          <w:b/>
          <w:bCs/>
        </w:rPr>
      </w:pPr>
      <w:r w:rsidRPr="003138F6">
        <w:t xml:space="preserve">SDG&amp;E’s Response: </w:t>
      </w:r>
      <w:r w:rsidR="00311943" w:rsidRPr="003138F6">
        <w:t xml:space="preserve"> </w:t>
      </w:r>
      <w:r w:rsidR="00311943" w:rsidRPr="003138F6">
        <w:rPr>
          <w:rFonts w:eastAsia="Times New Roman"/>
        </w:rPr>
        <w:t xml:space="preserve">Yes, bidders may select the term of the contract, </w:t>
      </w:r>
      <w:r w:rsidR="00311943" w:rsidRPr="003138F6">
        <w:rPr>
          <w:rFonts w:eastAsia="Times New Roman"/>
          <w:b/>
          <w:bCs/>
        </w:rPr>
        <w:t>either short-term or long-term (remaining term of the contract). Per the Decision, SDG&amp;E may sell up to 65% of its unallocated long-term contracts as short-term.</w:t>
      </w:r>
    </w:p>
    <w:p w14:paraId="12345F59" w14:textId="5AEDEF78" w:rsidR="00624F33" w:rsidRPr="003138F6" w:rsidRDefault="00624F33" w:rsidP="00624F33">
      <w:pPr>
        <w:pStyle w:val="ListParagraph"/>
        <w:rPr>
          <w:rFonts w:eastAsia="Times New Roman"/>
        </w:rPr>
      </w:pPr>
    </w:p>
    <w:p w14:paraId="347AAFBD" w14:textId="0CE9FCEA" w:rsidR="00624F33" w:rsidRPr="003138F6" w:rsidRDefault="00C06842" w:rsidP="00624F33">
      <w:pPr>
        <w:pStyle w:val="ListParagraph"/>
        <w:numPr>
          <w:ilvl w:val="0"/>
          <w:numId w:val="7"/>
        </w:numPr>
        <w:rPr>
          <w:rFonts w:eastAsia="Times New Roman"/>
        </w:rPr>
      </w:pPr>
      <w:r w:rsidRPr="003138F6">
        <w:rPr>
          <w:rFonts w:eastAsia="Times New Roman"/>
        </w:rPr>
        <w:t xml:space="preserve">If </w:t>
      </w:r>
      <w:r w:rsidR="00744651" w:rsidRPr="003138F6">
        <w:rPr>
          <w:rFonts w:eastAsia="Times New Roman"/>
        </w:rPr>
        <w:t>a bidder</w:t>
      </w:r>
      <w:r w:rsidRPr="003138F6">
        <w:rPr>
          <w:rFonts w:eastAsia="Times New Roman"/>
        </w:rPr>
        <w:t xml:space="preserve"> bids for a high percentage of the long-term portfolio, would SDG&amp;E award </w:t>
      </w:r>
      <w:r w:rsidR="00744651" w:rsidRPr="003138F6">
        <w:rPr>
          <w:rFonts w:eastAsia="Times New Roman"/>
        </w:rPr>
        <w:t>the bidder</w:t>
      </w:r>
      <w:r w:rsidRPr="003138F6">
        <w:rPr>
          <w:rFonts w:eastAsia="Times New Roman"/>
        </w:rPr>
        <w:t xml:space="preserve"> a lower amount if some quantity is first awarded to another bidder?</w:t>
      </w:r>
    </w:p>
    <w:p w14:paraId="6C34F96A" w14:textId="77777777" w:rsidR="00624F33" w:rsidRPr="003138F6" w:rsidRDefault="00624F33" w:rsidP="00624F33">
      <w:pPr>
        <w:pStyle w:val="ListParagraph"/>
        <w:rPr>
          <w:rFonts w:eastAsia="Times New Roman"/>
        </w:rPr>
      </w:pPr>
    </w:p>
    <w:p w14:paraId="765E9D30" w14:textId="435E589B" w:rsidR="00624F33" w:rsidRPr="003138F6" w:rsidRDefault="00624F33" w:rsidP="00624F33">
      <w:pPr>
        <w:pStyle w:val="ListParagraph"/>
        <w:rPr>
          <w:rFonts w:eastAsia="Times New Roman"/>
        </w:rPr>
      </w:pPr>
      <w:r w:rsidRPr="003138F6">
        <w:rPr>
          <w:rFonts w:eastAsia="Times New Roman"/>
        </w:rPr>
        <w:t xml:space="preserve"> </w:t>
      </w:r>
      <w:r w:rsidRPr="003138F6">
        <w:t xml:space="preserve">SDG&amp;E’s Response: </w:t>
      </w:r>
      <w:r w:rsidRPr="003138F6">
        <w:rPr>
          <w:rFonts w:eastAsia="Times New Roman"/>
        </w:rPr>
        <w:t>It is possible that SDG&amp;E will award a lower percentage, contingent upon SDG&amp;E’s evaluation and remaining available volume in portfolio.</w:t>
      </w:r>
    </w:p>
    <w:p w14:paraId="157A1661" w14:textId="07B93DCA" w:rsidR="008B7F25" w:rsidRPr="003138F6" w:rsidRDefault="008B7F25" w:rsidP="00624F33">
      <w:pPr>
        <w:pStyle w:val="ListParagraph"/>
        <w:rPr>
          <w:rFonts w:eastAsia="Times New Roman"/>
        </w:rPr>
      </w:pPr>
    </w:p>
    <w:p w14:paraId="572C531B" w14:textId="67C390D8" w:rsidR="009F5450" w:rsidRPr="003138F6" w:rsidRDefault="008B7F25" w:rsidP="009F5450">
      <w:pPr>
        <w:pStyle w:val="ListParagraph"/>
        <w:numPr>
          <w:ilvl w:val="0"/>
          <w:numId w:val="7"/>
        </w:numPr>
        <w:rPr>
          <w:rFonts w:eastAsia="Times New Roman"/>
        </w:rPr>
      </w:pPr>
      <w:r w:rsidRPr="003138F6">
        <w:rPr>
          <w:rFonts w:eastAsia="Times New Roman"/>
        </w:rPr>
        <w:t>Is the volume available to be contracted as short-term or long-term products in SDG&amp;E’s Long-Term Market Offer from the same pool of resources (</w:t>
      </w:r>
      <w:proofErr w:type="gramStart"/>
      <w:r w:rsidRPr="003138F6">
        <w:rPr>
          <w:rFonts w:eastAsia="Times New Roman"/>
        </w:rPr>
        <w:t>i.e.</w:t>
      </w:r>
      <w:proofErr w:type="gramEnd"/>
      <w:r w:rsidRPr="003138F6">
        <w:rPr>
          <w:rFonts w:eastAsia="Times New Roman"/>
        </w:rPr>
        <w:t xml:space="preserve"> it all comes out from the volumes highlighted in row 37 starting in column Z)? Or are short term contracts in this solicitation receiving deliveries from a different pool of available volume?</w:t>
      </w:r>
    </w:p>
    <w:p w14:paraId="09958A6B" w14:textId="77777777" w:rsidR="009F5450" w:rsidRPr="003138F6" w:rsidRDefault="009F5450" w:rsidP="009F5450"/>
    <w:p w14:paraId="48EBF20E" w14:textId="61D7D95E" w:rsidR="009F5450" w:rsidRPr="003138F6" w:rsidRDefault="009F5450" w:rsidP="009F5450">
      <w:pPr>
        <w:pStyle w:val="ListParagraph"/>
        <w:rPr>
          <w:rFonts w:eastAsia="Times New Roman"/>
        </w:rPr>
      </w:pPr>
      <w:r w:rsidRPr="003138F6">
        <w:t xml:space="preserve">SDG&amp;E’s Response:  </w:t>
      </w:r>
      <w:r w:rsidRPr="003138F6">
        <w:rPr>
          <w:rFonts w:eastAsia="Times New Roman"/>
        </w:rPr>
        <w:t>The available RECs to be contracted as short-term or long-term will come from the same pool (on row 37).</w:t>
      </w:r>
    </w:p>
    <w:p w14:paraId="6C5EC5EB" w14:textId="77777777" w:rsidR="008B7F25" w:rsidRPr="003138F6" w:rsidRDefault="008B7F25" w:rsidP="008B7F25">
      <w:pPr>
        <w:rPr>
          <w:rFonts w:eastAsia="Times New Roman"/>
        </w:rPr>
      </w:pPr>
    </w:p>
    <w:p w14:paraId="54BFBDD7" w14:textId="77777777" w:rsidR="008B7F25" w:rsidRPr="003138F6" w:rsidRDefault="008B7F25" w:rsidP="008B7F25">
      <w:pPr>
        <w:pStyle w:val="ListParagraph"/>
        <w:numPr>
          <w:ilvl w:val="0"/>
          <w:numId w:val="7"/>
        </w:numPr>
        <w:rPr>
          <w:rFonts w:eastAsia="Times New Roman"/>
        </w:rPr>
      </w:pPr>
      <w:r w:rsidRPr="003138F6">
        <w:rPr>
          <w:rFonts w:eastAsia="Times New Roman"/>
        </w:rPr>
        <w:t xml:space="preserve">Does SDG&amp;E assume that deliveries </w:t>
      </w:r>
      <w:r w:rsidRPr="003138F6">
        <w:rPr>
          <w:rFonts w:eastAsia="Times New Roman"/>
          <w:i/>
          <w:iCs/>
        </w:rPr>
        <w:t>will not</w:t>
      </w:r>
      <w:r w:rsidRPr="003138F6">
        <w:rPr>
          <w:rFonts w:eastAsia="Times New Roman"/>
        </w:rPr>
        <w:t xml:space="preserve"> begin before 2024 for its Long-Term Market Offer? Or will delivery start still </w:t>
      </w:r>
      <w:proofErr w:type="gramStart"/>
      <w:r w:rsidRPr="003138F6">
        <w:rPr>
          <w:rFonts w:eastAsia="Times New Roman"/>
        </w:rPr>
        <w:t>be</w:t>
      </w:r>
      <w:proofErr w:type="gramEnd"/>
      <w:r w:rsidRPr="003138F6">
        <w:rPr>
          <w:rFonts w:eastAsia="Times New Roman"/>
        </w:rPr>
        <w:t xml:space="preserve"> contingent on CPUC approval, meaning that if things are approved this year, deliveries will begin in 2023?</w:t>
      </w:r>
    </w:p>
    <w:p w14:paraId="5AE2C6DB" w14:textId="714B9892" w:rsidR="008B7F25" w:rsidRPr="003138F6" w:rsidRDefault="008B7F25" w:rsidP="008B7F25">
      <w:pPr>
        <w:pStyle w:val="ListParagraph"/>
        <w:numPr>
          <w:ilvl w:val="1"/>
          <w:numId w:val="7"/>
        </w:numPr>
        <w:rPr>
          <w:rFonts w:eastAsia="Times New Roman"/>
        </w:rPr>
      </w:pPr>
      <w:r w:rsidRPr="003138F6">
        <w:rPr>
          <w:rFonts w:eastAsia="Times New Roman"/>
        </w:rPr>
        <w:t>Does SDG&amp;E have a monthly volume estimate for 2023 for its remaining long- term portfolio offered in this solicitation?</w:t>
      </w:r>
    </w:p>
    <w:p w14:paraId="30BFB605" w14:textId="77777777" w:rsidR="002C0E04" w:rsidRPr="003138F6" w:rsidRDefault="002C0E04" w:rsidP="002C0E04">
      <w:pPr>
        <w:rPr>
          <w:rFonts w:eastAsia="Times New Roman"/>
        </w:rPr>
      </w:pPr>
    </w:p>
    <w:p w14:paraId="1192C222" w14:textId="1B395579" w:rsidR="002C0E04" w:rsidRPr="003138F6" w:rsidRDefault="002C0E04" w:rsidP="002C0E04">
      <w:pPr>
        <w:ind w:left="720"/>
        <w:rPr>
          <w:rFonts w:eastAsia="Times New Roman"/>
        </w:rPr>
      </w:pPr>
      <w:r w:rsidRPr="003138F6">
        <w:rPr>
          <w:rFonts w:eastAsia="Times New Roman"/>
        </w:rPr>
        <w:t>SDG&amp;E’s Response: Delivery start day will be contingent upon CPUC approval. The estimate for 2023 is the same as 2024 delivery. The 2023 estimate can be calculated by prorating based on the number of months remaining, if any.</w:t>
      </w:r>
    </w:p>
    <w:p w14:paraId="0190C1AD" w14:textId="2962CCFC" w:rsidR="0099003C" w:rsidRPr="003138F6" w:rsidRDefault="0099003C" w:rsidP="002C0E04">
      <w:pPr>
        <w:ind w:left="720"/>
        <w:rPr>
          <w:rFonts w:eastAsia="Times New Roman"/>
        </w:rPr>
      </w:pPr>
    </w:p>
    <w:p w14:paraId="4E5EAFCC" w14:textId="15D5B25A" w:rsidR="0099003C" w:rsidRPr="003138F6" w:rsidRDefault="0099003C" w:rsidP="002C0E04">
      <w:pPr>
        <w:ind w:left="720"/>
        <w:rPr>
          <w:rFonts w:eastAsia="Times New Roman"/>
          <w:i/>
          <w:iCs/>
        </w:rPr>
      </w:pPr>
      <w:r w:rsidRPr="003138F6">
        <w:rPr>
          <w:rFonts w:eastAsia="Times New Roman"/>
          <w:i/>
          <w:iCs/>
        </w:rPr>
        <w:t xml:space="preserve">Questions </w:t>
      </w:r>
      <w:r w:rsidR="005A236E" w:rsidRPr="003138F6">
        <w:rPr>
          <w:rFonts w:eastAsia="Times New Roman"/>
          <w:i/>
          <w:iCs/>
        </w:rPr>
        <w:t>r</w:t>
      </w:r>
      <w:r w:rsidRPr="003138F6">
        <w:rPr>
          <w:rFonts w:eastAsia="Times New Roman"/>
          <w:i/>
          <w:iCs/>
        </w:rPr>
        <w:t xml:space="preserve">egarding </w:t>
      </w:r>
      <w:r w:rsidR="003138F6" w:rsidRPr="003138F6">
        <w:rPr>
          <w:rFonts w:eastAsia="Times New Roman"/>
          <w:i/>
          <w:iCs/>
        </w:rPr>
        <w:t>SDG&amp;</w:t>
      </w:r>
      <w:proofErr w:type="gramStart"/>
      <w:r w:rsidR="003138F6" w:rsidRPr="003138F6">
        <w:rPr>
          <w:rFonts w:eastAsia="Times New Roman"/>
          <w:i/>
          <w:iCs/>
        </w:rPr>
        <w:t>E’s</w:t>
      </w:r>
      <w:proofErr w:type="gramEnd"/>
      <w:r w:rsidR="003138F6" w:rsidRPr="003138F6">
        <w:rPr>
          <w:rFonts w:eastAsia="Times New Roman"/>
          <w:i/>
          <w:iCs/>
        </w:rPr>
        <w:t xml:space="preserve"> </w:t>
      </w:r>
      <w:r w:rsidR="00315138" w:rsidRPr="003138F6">
        <w:rPr>
          <w:rFonts w:eastAsia="Times New Roman"/>
          <w:i/>
          <w:iCs/>
        </w:rPr>
        <w:t>estimated long-term RPS generation</w:t>
      </w:r>
      <w:r w:rsidR="005A236E" w:rsidRPr="003138F6">
        <w:rPr>
          <w:rFonts w:eastAsia="Times New Roman"/>
          <w:i/>
          <w:iCs/>
        </w:rPr>
        <w:t>:</w:t>
      </w:r>
    </w:p>
    <w:p w14:paraId="193AA5B7" w14:textId="77777777" w:rsidR="00EC5A6F" w:rsidRPr="003138F6" w:rsidRDefault="00AC209C" w:rsidP="00EC5A6F">
      <w:pPr>
        <w:pStyle w:val="ListParagraph"/>
        <w:numPr>
          <w:ilvl w:val="0"/>
          <w:numId w:val="7"/>
        </w:numPr>
        <w:rPr>
          <w:rFonts w:eastAsia="Times New Roman"/>
        </w:rPr>
      </w:pPr>
      <w:r w:rsidRPr="003138F6">
        <w:rPr>
          <w:rFonts w:eastAsia="Times New Roman"/>
        </w:rPr>
        <w:t>Row 31 is defined as ‘</w:t>
      </w:r>
      <w:r w:rsidRPr="003138F6">
        <w:rPr>
          <w:rFonts w:eastAsia="Times New Roman"/>
          <w:i/>
          <w:iCs/>
        </w:rPr>
        <w:t>Estimated Short-term RPS Generation (MWh)’</w:t>
      </w:r>
      <w:r w:rsidRPr="003138F6">
        <w:rPr>
          <w:rFonts w:eastAsia="Times New Roman"/>
        </w:rPr>
        <w:t xml:space="preserve"> –can you please clarify if these are the forecasted volumes for long-term resources (</w:t>
      </w:r>
      <w:proofErr w:type="gramStart"/>
      <w:r w:rsidRPr="003138F6">
        <w:rPr>
          <w:rFonts w:eastAsia="Times New Roman"/>
        </w:rPr>
        <w:t>i.e.</w:t>
      </w:r>
      <w:proofErr w:type="gramEnd"/>
      <w:r w:rsidRPr="003138F6">
        <w:rPr>
          <w:rFonts w:eastAsia="Times New Roman"/>
        </w:rPr>
        <w:t xml:space="preserve"> ones with a remaining term of more than 10 years) as well given the “short-term” label?  </w:t>
      </w:r>
    </w:p>
    <w:p w14:paraId="2EA70FCC" w14:textId="77777777" w:rsidR="00F31930" w:rsidRPr="003138F6" w:rsidRDefault="00F31930" w:rsidP="00EC5A6F">
      <w:pPr>
        <w:pStyle w:val="ListParagraph"/>
      </w:pPr>
    </w:p>
    <w:p w14:paraId="36AF8422" w14:textId="3BF7DB5B" w:rsidR="00AC209C" w:rsidRPr="003138F6" w:rsidRDefault="009E1CA5" w:rsidP="00EC5A6F">
      <w:pPr>
        <w:pStyle w:val="ListParagraph"/>
        <w:rPr>
          <w:rFonts w:eastAsia="Times New Roman"/>
        </w:rPr>
      </w:pPr>
      <w:r w:rsidRPr="003138F6">
        <w:t xml:space="preserve">SDG&amp;E’s Response:  </w:t>
      </w:r>
      <w:r w:rsidR="00AC209C" w:rsidRPr="003138F6">
        <w:rPr>
          <w:rFonts w:eastAsia="Times New Roman"/>
        </w:rPr>
        <w:t>Yes, the estimated generation is for long-term resources only.</w:t>
      </w:r>
    </w:p>
    <w:p w14:paraId="6572E19D" w14:textId="77777777" w:rsidR="00EC5A6F" w:rsidRPr="003138F6" w:rsidRDefault="00EC5A6F" w:rsidP="00EC5A6F">
      <w:pPr>
        <w:pStyle w:val="ListParagraph"/>
        <w:rPr>
          <w:rFonts w:eastAsia="Times New Roman"/>
        </w:rPr>
      </w:pPr>
    </w:p>
    <w:p w14:paraId="066CDD0E" w14:textId="77777777" w:rsidR="00AC209C" w:rsidRPr="003138F6" w:rsidRDefault="00AC209C" w:rsidP="00EC5A6F">
      <w:pPr>
        <w:pStyle w:val="ListParagraph"/>
        <w:numPr>
          <w:ilvl w:val="0"/>
          <w:numId w:val="7"/>
        </w:numPr>
        <w:rPr>
          <w:rFonts w:eastAsia="Times New Roman"/>
        </w:rPr>
      </w:pPr>
      <w:r w:rsidRPr="003138F6">
        <w:rPr>
          <w:rFonts w:eastAsia="Times New Roman"/>
        </w:rPr>
        <w:t xml:space="preserve">Based on the value in Row 35, it looks like approximately 96.7% of available Long-Term PCIA volumes have been allocated. Can you please confirm: </w:t>
      </w:r>
    </w:p>
    <w:p w14:paraId="72331B53" w14:textId="77777777" w:rsidR="00F32E3B" w:rsidRPr="003138F6" w:rsidRDefault="00AC209C" w:rsidP="00EC5A6F">
      <w:pPr>
        <w:pStyle w:val="ListParagraph"/>
        <w:numPr>
          <w:ilvl w:val="1"/>
          <w:numId w:val="7"/>
        </w:numPr>
        <w:rPr>
          <w:rFonts w:eastAsia="Times New Roman"/>
        </w:rPr>
      </w:pPr>
      <w:r w:rsidRPr="003138F6">
        <w:rPr>
          <w:rFonts w:eastAsia="Times New Roman"/>
        </w:rPr>
        <w:t>that these estimated allocation quantities are based on actual contract executions (</w:t>
      </w:r>
      <w:proofErr w:type="gramStart"/>
      <w:r w:rsidRPr="003138F6">
        <w:rPr>
          <w:rFonts w:eastAsia="Times New Roman"/>
        </w:rPr>
        <w:t>i.e.</w:t>
      </w:r>
      <w:proofErr w:type="gramEnd"/>
      <w:r w:rsidRPr="003138F6">
        <w:rPr>
          <w:rFonts w:eastAsia="Times New Roman"/>
        </w:rPr>
        <w:t xml:space="preserve"> elected allocations from LSEs within SDG&amp;E’s Service Territory) as opposed to estimated based on an allocation forecast assumption? </w:t>
      </w:r>
    </w:p>
    <w:p w14:paraId="19690741" w14:textId="51A997D8" w:rsidR="00AC209C" w:rsidRPr="003138F6" w:rsidRDefault="00F32E3B" w:rsidP="00F32E3B">
      <w:pPr>
        <w:pStyle w:val="ListParagraph"/>
        <w:ind w:left="1440"/>
        <w:rPr>
          <w:rFonts w:eastAsia="Times New Roman"/>
        </w:rPr>
      </w:pPr>
      <w:r w:rsidRPr="003138F6">
        <w:lastRenderedPageBreak/>
        <w:t xml:space="preserve">SDG&amp;E’s Response:  </w:t>
      </w:r>
      <w:r w:rsidR="00AC209C" w:rsidRPr="003138F6">
        <w:rPr>
          <w:rFonts w:eastAsia="Times New Roman"/>
        </w:rPr>
        <w:t xml:space="preserve">The current unallocated portion in percentage is based on actual contract executions and apply to 2023 only.  Future calendar year portions to be transacted in these long-term Market Offer sales shall be based on actual load shares determined in the future. SDG&amp;E will provide notice to counterparties of these transactions of the actual percent to be delivered in a calendar year prior to the delivery year commencing. </w:t>
      </w:r>
    </w:p>
    <w:p w14:paraId="1F9E73EB" w14:textId="77777777" w:rsidR="00AC209C" w:rsidRPr="003138F6" w:rsidRDefault="00AC209C" w:rsidP="00AC209C">
      <w:pPr>
        <w:ind w:left="1440"/>
      </w:pPr>
    </w:p>
    <w:p w14:paraId="3F829D1B" w14:textId="77777777" w:rsidR="000A2FFE" w:rsidRPr="003138F6" w:rsidRDefault="00AC209C" w:rsidP="00EC5A6F">
      <w:pPr>
        <w:pStyle w:val="ListParagraph"/>
        <w:numPr>
          <w:ilvl w:val="1"/>
          <w:numId w:val="7"/>
        </w:numPr>
        <w:rPr>
          <w:rFonts w:eastAsia="Times New Roman"/>
        </w:rPr>
      </w:pPr>
      <w:r w:rsidRPr="003138F6">
        <w:rPr>
          <w:rFonts w:eastAsia="Times New Roman"/>
        </w:rPr>
        <w:t xml:space="preserve">Estimated allocations shown in row 35 are based </w:t>
      </w:r>
      <w:r w:rsidRPr="0075349B">
        <w:rPr>
          <w:rFonts w:eastAsia="Times New Roman"/>
        </w:rPr>
        <w:t xml:space="preserve">on executed </w:t>
      </w:r>
      <w:r w:rsidRPr="0075349B">
        <w:rPr>
          <w:rFonts w:eastAsia="Times New Roman"/>
          <w:i/>
          <w:iCs/>
        </w:rPr>
        <w:t>long-term</w:t>
      </w:r>
      <w:r w:rsidRPr="0075349B">
        <w:rPr>
          <w:rFonts w:eastAsia="Times New Roman"/>
        </w:rPr>
        <w:t xml:space="preserve"> allocation contracts with other LSEs, for eligible volumes in SDG&amp;E’s PCIA RPS portfolio from resources with more</w:t>
      </w:r>
      <w:r w:rsidRPr="003138F6">
        <w:rPr>
          <w:rFonts w:eastAsia="Times New Roman"/>
        </w:rPr>
        <w:t xml:space="preserve"> than 10 years in contract term remaining? </w:t>
      </w:r>
    </w:p>
    <w:p w14:paraId="5816C4F9" w14:textId="77777777" w:rsidR="000A2FFE" w:rsidRPr="003138F6" w:rsidRDefault="000A2FFE" w:rsidP="000A2FFE"/>
    <w:p w14:paraId="7EAC090E" w14:textId="44E7C187" w:rsidR="000A2FFE" w:rsidRPr="003138F6" w:rsidRDefault="000A2FFE" w:rsidP="000A2FFE">
      <w:pPr>
        <w:ind w:left="1440"/>
        <w:rPr>
          <w:rFonts w:eastAsia="Times New Roman"/>
        </w:rPr>
      </w:pPr>
      <w:r w:rsidRPr="003138F6">
        <w:t xml:space="preserve">SDG&amp;E’s Response:  </w:t>
      </w:r>
      <w:r w:rsidR="00AC209C" w:rsidRPr="003138F6">
        <w:rPr>
          <w:rFonts w:eastAsia="Times New Roman"/>
        </w:rPr>
        <w:t xml:space="preserve">Yes, the estimated quantities are based on executed contracts, subject to changes to allocation load shares in the future (discussed in (a), above). </w:t>
      </w:r>
    </w:p>
    <w:p w14:paraId="7CB228F6" w14:textId="77777777" w:rsidR="00FF2C75" w:rsidRPr="003138F6" w:rsidRDefault="00AC209C" w:rsidP="000A2FFE">
      <w:pPr>
        <w:ind w:left="1440"/>
        <w:rPr>
          <w:rFonts w:eastAsia="Times New Roman"/>
        </w:rPr>
      </w:pPr>
      <w:r w:rsidRPr="003138F6">
        <w:rPr>
          <w:rFonts w:eastAsia="Times New Roman"/>
        </w:rPr>
        <w:t xml:space="preserve">If not, were the volumes from resources in the long-term pool allocated as short-term contracts? If so, will they be returning to SDG&amp;E’s long-term PCIA portfolio in the next VAMO cycle? </w:t>
      </w:r>
    </w:p>
    <w:p w14:paraId="3358C6BD" w14:textId="59DA6FD5" w:rsidR="00AC209C" w:rsidRPr="003138F6" w:rsidRDefault="00FF2C75" w:rsidP="000A2FFE">
      <w:pPr>
        <w:ind w:left="1440"/>
        <w:rPr>
          <w:rFonts w:eastAsia="Times New Roman"/>
        </w:rPr>
      </w:pPr>
      <w:r w:rsidRPr="003138F6">
        <w:t xml:space="preserve">SDG&amp;E’s Response:  </w:t>
      </w:r>
      <w:r w:rsidR="00AC209C" w:rsidRPr="003138F6">
        <w:rPr>
          <w:rFonts w:eastAsia="Times New Roman"/>
        </w:rPr>
        <w:t>No long-term volumes were allocated as short term.</w:t>
      </w:r>
    </w:p>
    <w:p w14:paraId="6FCD0DFC" w14:textId="77777777" w:rsidR="00AC209C" w:rsidRPr="003138F6" w:rsidRDefault="00AC209C" w:rsidP="00AC209C">
      <w:pPr>
        <w:pStyle w:val="ListParagraph"/>
        <w:ind w:left="1440"/>
      </w:pPr>
    </w:p>
    <w:p w14:paraId="289E67C5" w14:textId="77777777" w:rsidR="00AC209C" w:rsidRPr="003138F6" w:rsidRDefault="00AC209C" w:rsidP="00EC5A6F">
      <w:pPr>
        <w:pStyle w:val="ListParagraph"/>
        <w:numPr>
          <w:ilvl w:val="0"/>
          <w:numId w:val="7"/>
        </w:numPr>
        <w:rPr>
          <w:rFonts w:eastAsia="Times New Roman"/>
        </w:rPr>
      </w:pPr>
      <w:r w:rsidRPr="003138F6">
        <w:rPr>
          <w:rFonts w:eastAsia="Times New Roman"/>
        </w:rPr>
        <w:t xml:space="preserve">Based on the quantities in the forecasted generation, it does not </w:t>
      </w:r>
      <w:proofErr w:type="gramStart"/>
      <w:r w:rsidRPr="003138F6">
        <w:rPr>
          <w:rFonts w:eastAsia="Times New Roman"/>
        </w:rPr>
        <w:t>looks</w:t>
      </w:r>
      <w:proofErr w:type="gramEnd"/>
      <w:r w:rsidRPr="003138F6">
        <w:rPr>
          <w:rFonts w:eastAsia="Times New Roman"/>
        </w:rPr>
        <w:t xml:space="preserve"> like there is any decline due to resource degradation or annual changes in generation (i.e. weather changes). Can you confirm that forecasted generation declines (shown as beginning in 2033, column AI) are only due to resource retirement/ contract termination?</w:t>
      </w:r>
    </w:p>
    <w:p w14:paraId="0F15BACE" w14:textId="77777777" w:rsidR="00383BD1" w:rsidRPr="003138F6" w:rsidRDefault="00383BD1" w:rsidP="00AC209C">
      <w:pPr>
        <w:pStyle w:val="ListParagraph"/>
      </w:pPr>
    </w:p>
    <w:p w14:paraId="5FFFC7B5" w14:textId="525B2E8D" w:rsidR="00AC209C" w:rsidRPr="003138F6" w:rsidRDefault="00383BD1" w:rsidP="00AC209C">
      <w:pPr>
        <w:pStyle w:val="ListParagraph"/>
      </w:pPr>
      <w:r w:rsidRPr="003138F6">
        <w:t xml:space="preserve">SDG&amp;E’s Response:  </w:t>
      </w:r>
      <w:r w:rsidR="00AC209C" w:rsidRPr="003138F6">
        <w:t xml:space="preserve">Estimated volumes are based on 2018-2020 average generation only, and no assumptions were made for weather or resource degradation.  Declining volumes are attributable to expiring contracts only.  </w:t>
      </w:r>
    </w:p>
    <w:p w14:paraId="1B28738C" w14:textId="77777777" w:rsidR="00AC209C" w:rsidRPr="003138F6" w:rsidRDefault="00AC209C" w:rsidP="002C0E04">
      <w:pPr>
        <w:ind w:left="720"/>
        <w:rPr>
          <w:rFonts w:eastAsia="Times New Roman"/>
        </w:rPr>
      </w:pPr>
    </w:p>
    <w:p w14:paraId="2F651B12" w14:textId="54CC3D1B" w:rsidR="00612EA8" w:rsidRPr="003138F6" w:rsidRDefault="00612EA8" w:rsidP="002C0E04">
      <w:pPr>
        <w:ind w:left="720"/>
        <w:rPr>
          <w:rFonts w:eastAsia="Times New Roman"/>
        </w:rPr>
      </w:pPr>
    </w:p>
    <w:p w14:paraId="3A511E29" w14:textId="77777777" w:rsidR="00612EA8" w:rsidRPr="003138F6" w:rsidRDefault="00612EA8" w:rsidP="002C0E04">
      <w:pPr>
        <w:ind w:left="720"/>
        <w:rPr>
          <w:rFonts w:eastAsia="Times New Roman"/>
        </w:rPr>
      </w:pPr>
    </w:p>
    <w:p w14:paraId="2FF199C8" w14:textId="462E4CB8" w:rsidR="002C0E04" w:rsidRPr="003138F6" w:rsidRDefault="002C0E04" w:rsidP="002C0E04">
      <w:pPr>
        <w:ind w:left="720"/>
        <w:rPr>
          <w:rFonts w:eastAsia="Times New Roman"/>
        </w:rPr>
      </w:pPr>
    </w:p>
    <w:p w14:paraId="68842AD9" w14:textId="02B86B97" w:rsidR="008B7F25" w:rsidRPr="003138F6" w:rsidRDefault="008B7F25" w:rsidP="008B7F25">
      <w:pPr>
        <w:rPr>
          <w:rFonts w:eastAsia="Times New Roman"/>
        </w:rPr>
      </w:pPr>
    </w:p>
    <w:sectPr w:rsidR="008B7F25" w:rsidRPr="00313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D50"/>
    <w:multiLevelType w:val="hybridMultilevel"/>
    <w:tmpl w:val="5BD0A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D330C"/>
    <w:multiLevelType w:val="hybridMultilevel"/>
    <w:tmpl w:val="EE585F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01D6D"/>
    <w:multiLevelType w:val="hybridMultilevel"/>
    <w:tmpl w:val="7EB20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D4FA7"/>
    <w:multiLevelType w:val="hybridMultilevel"/>
    <w:tmpl w:val="0668FF3A"/>
    <w:lvl w:ilvl="0" w:tplc="DFA45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D3320A"/>
    <w:multiLevelType w:val="hybridMultilevel"/>
    <w:tmpl w:val="D220BA8C"/>
    <w:lvl w:ilvl="0" w:tplc="2A5C88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7D509D"/>
    <w:multiLevelType w:val="hybridMultilevel"/>
    <w:tmpl w:val="F0A806DA"/>
    <w:lvl w:ilvl="0" w:tplc="6C00B5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216B78"/>
    <w:multiLevelType w:val="hybridMultilevel"/>
    <w:tmpl w:val="5B5C4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532616"/>
    <w:multiLevelType w:val="hybridMultilevel"/>
    <w:tmpl w:val="2FCAD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95D22"/>
    <w:multiLevelType w:val="hybridMultilevel"/>
    <w:tmpl w:val="0462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903430"/>
    <w:multiLevelType w:val="hybridMultilevel"/>
    <w:tmpl w:val="D2604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176715">
    <w:abstractNumId w:val="8"/>
  </w:num>
  <w:num w:numId="2" w16cid:durableId="2091534781">
    <w:abstractNumId w:val="2"/>
  </w:num>
  <w:num w:numId="3" w16cid:durableId="1609006115">
    <w:abstractNumId w:val="7"/>
  </w:num>
  <w:num w:numId="4" w16cid:durableId="391275844">
    <w:abstractNumId w:val="0"/>
  </w:num>
  <w:num w:numId="5" w16cid:durableId="171913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620127">
    <w:abstractNumId w:val="3"/>
  </w:num>
  <w:num w:numId="7" w16cid:durableId="875120813">
    <w:abstractNumId w:val="9"/>
  </w:num>
  <w:num w:numId="8" w16cid:durableId="17397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250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97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02"/>
    <w:rsid w:val="000A2FFE"/>
    <w:rsid w:val="000E098A"/>
    <w:rsid w:val="00113D4D"/>
    <w:rsid w:val="00222352"/>
    <w:rsid w:val="002517F2"/>
    <w:rsid w:val="002B08B0"/>
    <w:rsid w:val="002C0E04"/>
    <w:rsid w:val="00311943"/>
    <w:rsid w:val="003138F6"/>
    <w:rsid w:val="00315138"/>
    <w:rsid w:val="00341ADD"/>
    <w:rsid w:val="00351259"/>
    <w:rsid w:val="003527A3"/>
    <w:rsid w:val="00374694"/>
    <w:rsid w:val="00383BD1"/>
    <w:rsid w:val="00394CC6"/>
    <w:rsid w:val="003B67A4"/>
    <w:rsid w:val="0045012D"/>
    <w:rsid w:val="004C2465"/>
    <w:rsid w:val="004E2039"/>
    <w:rsid w:val="004E6400"/>
    <w:rsid w:val="0055557A"/>
    <w:rsid w:val="005A236E"/>
    <w:rsid w:val="005D2FAA"/>
    <w:rsid w:val="005F7186"/>
    <w:rsid w:val="00612EA8"/>
    <w:rsid w:val="00624F33"/>
    <w:rsid w:val="00626E5A"/>
    <w:rsid w:val="006C269A"/>
    <w:rsid w:val="00744651"/>
    <w:rsid w:val="0075349B"/>
    <w:rsid w:val="007634F9"/>
    <w:rsid w:val="007751E9"/>
    <w:rsid w:val="00791643"/>
    <w:rsid w:val="007A3F62"/>
    <w:rsid w:val="008B7F25"/>
    <w:rsid w:val="0099003C"/>
    <w:rsid w:val="0099058F"/>
    <w:rsid w:val="009A64D2"/>
    <w:rsid w:val="009E1CA5"/>
    <w:rsid w:val="009F5450"/>
    <w:rsid w:val="00AC209C"/>
    <w:rsid w:val="00AC21A7"/>
    <w:rsid w:val="00B106C5"/>
    <w:rsid w:val="00BC2484"/>
    <w:rsid w:val="00BE7BA6"/>
    <w:rsid w:val="00C06842"/>
    <w:rsid w:val="00C44502"/>
    <w:rsid w:val="00C53630"/>
    <w:rsid w:val="00C71C02"/>
    <w:rsid w:val="00CB665D"/>
    <w:rsid w:val="00CE1696"/>
    <w:rsid w:val="00DB4D53"/>
    <w:rsid w:val="00DD6C45"/>
    <w:rsid w:val="00EC5A6F"/>
    <w:rsid w:val="00F31930"/>
    <w:rsid w:val="00F32E3B"/>
    <w:rsid w:val="00F505E0"/>
    <w:rsid w:val="00FB3528"/>
    <w:rsid w:val="00FF2C75"/>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FAE5"/>
  <w15:chartTrackingRefBased/>
  <w15:docId w15:val="{AD0F5136-5D5D-49C9-8822-E468193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02"/>
    <w:pPr>
      <w:spacing w:after="0" w:line="240" w:lineRule="auto"/>
      <w:ind w:left="720"/>
    </w:pPr>
    <w:rPr>
      <w:rFonts w:ascii="Calibri" w:hAnsi="Calibri" w:cs="Calibri"/>
    </w:rPr>
  </w:style>
  <w:style w:type="character" w:styleId="Hyperlink">
    <w:name w:val="Hyperlink"/>
    <w:basedOn w:val="DefaultParagraphFont"/>
    <w:uiPriority w:val="99"/>
    <w:unhideWhenUsed/>
    <w:rsid w:val="00CE1696"/>
    <w:rPr>
      <w:color w:val="0563C1" w:themeColor="hyperlink"/>
      <w:u w:val="single"/>
    </w:rPr>
  </w:style>
  <w:style w:type="character" w:styleId="UnresolvedMention">
    <w:name w:val="Unresolved Mention"/>
    <w:basedOn w:val="DefaultParagraphFont"/>
    <w:uiPriority w:val="99"/>
    <w:semiHidden/>
    <w:unhideWhenUsed/>
    <w:rsid w:val="00CE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7693">
      <w:bodyDiv w:val="1"/>
      <w:marLeft w:val="0"/>
      <w:marRight w:val="0"/>
      <w:marTop w:val="0"/>
      <w:marBottom w:val="0"/>
      <w:divBdr>
        <w:top w:val="none" w:sz="0" w:space="0" w:color="auto"/>
        <w:left w:val="none" w:sz="0" w:space="0" w:color="auto"/>
        <w:bottom w:val="none" w:sz="0" w:space="0" w:color="auto"/>
        <w:right w:val="none" w:sz="0" w:space="0" w:color="auto"/>
      </w:divBdr>
    </w:div>
    <w:div w:id="430900921">
      <w:bodyDiv w:val="1"/>
      <w:marLeft w:val="0"/>
      <w:marRight w:val="0"/>
      <w:marTop w:val="0"/>
      <w:marBottom w:val="0"/>
      <w:divBdr>
        <w:top w:val="none" w:sz="0" w:space="0" w:color="auto"/>
        <w:left w:val="none" w:sz="0" w:space="0" w:color="auto"/>
        <w:bottom w:val="none" w:sz="0" w:space="0" w:color="auto"/>
        <w:right w:val="none" w:sz="0" w:space="0" w:color="auto"/>
      </w:divBdr>
    </w:div>
    <w:div w:id="1035813825">
      <w:bodyDiv w:val="1"/>
      <w:marLeft w:val="0"/>
      <w:marRight w:val="0"/>
      <w:marTop w:val="0"/>
      <w:marBottom w:val="0"/>
      <w:divBdr>
        <w:top w:val="none" w:sz="0" w:space="0" w:color="auto"/>
        <w:left w:val="none" w:sz="0" w:space="0" w:color="auto"/>
        <w:bottom w:val="none" w:sz="0" w:space="0" w:color="auto"/>
        <w:right w:val="none" w:sz="0" w:space="0" w:color="auto"/>
      </w:divBdr>
    </w:div>
    <w:div w:id="1329213655">
      <w:bodyDiv w:val="1"/>
      <w:marLeft w:val="0"/>
      <w:marRight w:val="0"/>
      <w:marTop w:val="0"/>
      <w:marBottom w:val="0"/>
      <w:divBdr>
        <w:top w:val="none" w:sz="0" w:space="0" w:color="auto"/>
        <w:left w:val="none" w:sz="0" w:space="0" w:color="auto"/>
        <w:bottom w:val="none" w:sz="0" w:space="0" w:color="auto"/>
        <w:right w:val="none" w:sz="0" w:space="0" w:color="auto"/>
      </w:divBdr>
    </w:div>
    <w:div w:id="1341853228">
      <w:bodyDiv w:val="1"/>
      <w:marLeft w:val="0"/>
      <w:marRight w:val="0"/>
      <w:marTop w:val="0"/>
      <w:marBottom w:val="0"/>
      <w:divBdr>
        <w:top w:val="none" w:sz="0" w:space="0" w:color="auto"/>
        <w:left w:val="none" w:sz="0" w:space="0" w:color="auto"/>
        <w:bottom w:val="none" w:sz="0" w:space="0" w:color="auto"/>
        <w:right w:val="none" w:sz="0" w:space="0" w:color="auto"/>
      </w:divBdr>
    </w:div>
    <w:div w:id="1565068025">
      <w:bodyDiv w:val="1"/>
      <w:marLeft w:val="0"/>
      <w:marRight w:val="0"/>
      <w:marTop w:val="0"/>
      <w:marBottom w:val="0"/>
      <w:divBdr>
        <w:top w:val="none" w:sz="0" w:space="0" w:color="auto"/>
        <w:left w:val="none" w:sz="0" w:space="0" w:color="auto"/>
        <w:bottom w:val="none" w:sz="0" w:space="0" w:color="auto"/>
        <w:right w:val="none" w:sz="0" w:space="0" w:color="auto"/>
      </w:divBdr>
    </w:div>
    <w:div w:id="1753507091">
      <w:bodyDiv w:val="1"/>
      <w:marLeft w:val="0"/>
      <w:marRight w:val="0"/>
      <w:marTop w:val="0"/>
      <w:marBottom w:val="0"/>
      <w:divBdr>
        <w:top w:val="none" w:sz="0" w:space="0" w:color="auto"/>
        <w:left w:val="none" w:sz="0" w:space="0" w:color="auto"/>
        <w:bottom w:val="none" w:sz="0" w:space="0" w:color="auto"/>
        <w:right w:val="none" w:sz="0" w:space="0" w:color="auto"/>
      </w:divBdr>
    </w:div>
    <w:div w:id="1777358748">
      <w:bodyDiv w:val="1"/>
      <w:marLeft w:val="0"/>
      <w:marRight w:val="0"/>
      <w:marTop w:val="0"/>
      <w:marBottom w:val="0"/>
      <w:divBdr>
        <w:top w:val="none" w:sz="0" w:space="0" w:color="auto"/>
        <w:left w:val="none" w:sz="0" w:space="0" w:color="auto"/>
        <w:bottom w:val="none" w:sz="0" w:space="0" w:color="auto"/>
        <w:right w:val="none" w:sz="0" w:space="0" w:color="auto"/>
      </w:divBdr>
    </w:div>
    <w:div w:id="1916013398">
      <w:bodyDiv w:val="1"/>
      <w:marLeft w:val="0"/>
      <w:marRight w:val="0"/>
      <w:marTop w:val="0"/>
      <w:marBottom w:val="0"/>
      <w:divBdr>
        <w:top w:val="none" w:sz="0" w:space="0" w:color="auto"/>
        <w:left w:val="none" w:sz="0" w:space="0" w:color="auto"/>
        <w:bottom w:val="none" w:sz="0" w:space="0" w:color="auto"/>
        <w:right w:val="none" w:sz="0" w:space="0" w:color="auto"/>
      </w:divBdr>
    </w:div>
    <w:div w:id="1992126900">
      <w:bodyDiv w:val="1"/>
      <w:marLeft w:val="0"/>
      <w:marRight w:val="0"/>
      <w:marTop w:val="0"/>
      <w:marBottom w:val="0"/>
      <w:divBdr>
        <w:top w:val="none" w:sz="0" w:space="0" w:color="auto"/>
        <w:left w:val="none" w:sz="0" w:space="0" w:color="auto"/>
        <w:bottom w:val="none" w:sz="0" w:space="0" w:color="auto"/>
        <w:right w:val="none" w:sz="0" w:space="0" w:color="auto"/>
      </w:divBdr>
    </w:div>
    <w:div w:id="2060594568">
      <w:bodyDiv w:val="1"/>
      <w:marLeft w:val="0"/>
      <w:marRight w:val="0"/>
      <w:marTop w:val="0"/>
      <w:marBottom w:val="0"/>
      <w:divBdr>
        <w:top w:val="none" w:sz="0" w:space="0" w:color="auto"/>
        <w:left w:val="none" w:sz="0" w:space="0" w:color="auto"/>
        <w:bottom w:val="none" w:sz="0" w:space="0" w:color="auto"/>
        <w:right w:val="none" w:sz="0" w:space="0" w:color="auto"/>
      </w:divBdr>
    </w:div>
    <w:div w:id="20644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Sempra</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Czarina M -  E&amp;FP</dc:creator>
  <cp:keywords/>
  <dc:description/>
  <cp:lastModifiedBy>Reyes, Czarina M -  E&amp;FP</cp:lastModifiedBy>
  <cp:revision>28</cp:revision>
  <dcterms:created xsi:type="dcterms:W3CDTF">2023-03-17T18:39:00Z</dcterms:created>
  <dcterms:modified xsi:type="dcterms:W3CDTF">2023-04-06T20:21:00Z</dcterms:modified>
</cp:coreProperties>
</file>