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8DC4A" w14:textId="77777777" w:rsidR="00C55D40" w:rsidRPr="003A12FA" w:rsidRDefault="003A12FA">
      <w:pPr>
        <w:pStyle w:val="Header"/>
        <w:jc w:val="center"/>
        <w:rPr>
          <w:b/>
          <w:bCs/>
          <w:sz w:val="22"/>
          <w:szCs w:val="22"/>
          <w:lang w:val="es-ES"/>
        </w:rPr>
      </w:pPr>
      <w:bookmarkStart w:id="0" w:name="_Hlk529438868"/>
      <w:r w:rsidRPr="003A12FA">
        <w:rPr>
          <w:b/>
          <w:bCs/>
          <w:sz w:val="22"/>
          <w:szCs w:val="22"/>
          <w:lang w:val="es-ES"/>
        </w:rPr>
        <w:t xml:space="preserve">Para más detalles en español, llame al </w:t>
      </w:r>
      <w:bookmarkEnd w:id="0"/>
      <w:r w:rsidRPr="003A12FA">
        <w:rPr>
          <w:b/>
          <w:bCs/>
          <w:sz w:val="22"/>
          <w:szCs w:val="22"/>
          <w:lang w:val="es-ES"/>
        </w:rPr>
        <w:t>1-800-311-7343</w:t>
      </w:r>
    </w:p>
    <w:p w14:paraId="56C7ECE8" w14:textId="77777777" w:rsidR="00C55D40" w:rsidRPr="003A12FA" w:rsidRDefault="00C55D40">
      <w:pPr>
        <w:jc w:val="center"/>
        <w:rPr>
          <w:b/>
          <w:sz w:val="24"/>
          <w:szCs w:val="24"/>
          <w:lang w:val="es-ES"/>
        </w:rPr>
      </w:pPr>
    </w:p>
    <w:p w14:paraId="5D25C782" w14:textId="7A73A717" w:rsidR="00523B21" w:rsidRPr="003A12FA" w:rsidRDefault="003A12FA" w:rsidP="00E677F8">
      <w:pPr>
        <w:jc w:val="center"/>
        <w:rPr>
          <w:b/>
          <w:sz w:val="24"/>
          <w:szCs w:val="24"/>
          <w:lang w:val="es-ES"/>
        </w:rPr>
      </w:pPr>
      <w:r w:rsidRPr="003A12FA">
        <w:rPr>
          <w:b/>
          <w:bCs/>
          <w:sz w:val="24"/>
          <w:szCs w:val="24"/>
          <w:lang w:val="es-ES"/>
        </w:rPr>
        <w:t>NOTIFICACIÓN DE SOLICITUD DE SAN DIEGO GAS &amp; ELECTRIC COMPANY PARA ELIMINAR LA DIFERENCIACIÓN ESTACIONAL EN SUS TARIFAS RESIDENCIALES</w:t>
      </w:r>
    </w:p>
    <w:p w14:paraId="0D63BF04" w14:textId="5CEA56D8" w:rsidR="00523B21" w:rsidRPr="003A12FA" w:rsidRDefault="003A12FA">
      <w:pPr>
        <w:jc w:val="center"/>
        <w:rPr>
          <w:b/>
          <w:sz w:val="24"/>
          <w:szCs w:val="24"/>
          <w:lang w:val="es-ES"/>
        </w:rPr>
      </w:pPr>
      <w:r w:rsidRPr="003A12FA">
        <w:rPr>
          <w:b/>
          <w:bCs/>
          <w:sz w:val="24"/>
          <w:szCs w:val="24"/>
          <w:lang w:val="es-ES"/>
        </w:rPr>
        <w:t xml:space="preserve">SOLICITUD NÚM. </w:t>
      </w:r>
      <w:r w:rsidRPr="003A12FA">
        <w:rPr>
          <w:rFonts w:ascii="Interstate-BoldCondensed" w:eastAsia="Interstate-BoldCondensed" w:hAnsi="Interstate-BoldCondensed" w:cs="Interstate-BoldCondensed"/>
          <w:b/>
          <w:bCs/>
          <w:sz w:val="23"/>
          <w:szCs w:val="23"/>
          <w:lang w:val="es-ES"/>
        </w:rPr>
        <w:t>A.19-09-014</w:t>
      </w:r>
      <w:bookmarkStart w:id="1" w:name="_GoBack"/>
      <w:bookmarkEnd w:id="1"/>
    </w:p>
    <w:p w14:paraId="46A3A870" w14:textId="77777777" w:rsidR="00523B21" w:rsidRPr="003A12FA" w:rsidRDefault="00523B21">
      <w:pPr>
        <w:jc w:val="center"/>
        <w:rPr>
          <w:b/>
          <w:sz w:val="24"/>
          <w:szCs w:val="24"/>
          <w:lang w:val="es-ES"/>
        </w:rPr>
      </w:pPr>
    </w:p>
    <w:p w14:paraId="0F819C12" w14:textId="5204CC04" w:rsidR="00417772" w:rsidRPr="003A12FA" w:rsidRDefault="003A12FA" w:rsidP="00417772">
      <w:pPr>
        <w:rPr>
          <w:lang w:val="es-ES"/>
        </w:rPr>
      </w:pPr>
      <w:r w:rsidRPr="003A12FA">
        <w:rPr>
          <w:sz w:val="24"/>
          <w:szCs w:val="24"/>
          <w:lang w:val="es-ES"/>
        </w:rPr>
        <w:t>El 23 de septiembre de 2019, San Diego Gas &amp; Electric Company (SDG&amp;E</w:t>
      </w:r>
      <w:r w:rsidRPr="003A12FA">
        <w:rPr>
          <w:sz w:val="24"/>
          <w:szCs w:val="24"/>
          <w:vertAlign w:val="superscript"/>
          <w:lang w:val="es-ES"/>
        </w:rPr>
        <w:t>®</w:t>
      </w:r>
      <w:r w:rsidRPr="003A12FA">
        <w:rPr>
          <w:sz w:val="24"/>
          <w:szCs w:val="24"/>
          <w:lang w:val="es-ES"/>
        </w:rPr>
        <w:t xml:space="preserve">) presentó la Solicitud No. </w:t>
      </w:r>
      <w:r w:rsidRPr="003A12FA">
        <w:rPr>
          <w:rFonts w:ascii="Interstate-BoldCondensed" w:eastAsia="Interstate-BoldCondensed" w:hAnsi="Interstate-BoldCondensed" w:cs="Interstate-BoldCondensed"/>
          <w:b/>
          <w:bCs/>
          <w:sz w:val="23"/>
          <w:szCs w:val="23"/>
          <w:lang w:val="es-ES"/>
        </w:rPr>
        <w:t xml:space="preserve">A.19-09-014 </w:t>
      </w:r>
      <w:r w:rsidRPr="003A12FA">
        <w:rPr>
          <w:sz w:val="24"/>
          <w:szCs w:val="24"/>
          <w:lang w:val="es-ES"/>
        </w:rPr>
        <w:t xml:space="preserve">ante la Comisión de Servicios Públicos de California (CPUC) </w:t>
      </w:r>
      <w:r w:rsidR="00196A4B">
        <w:rPr>
          <w:sz w:val="24"/>
          <w:szCs w:val="24"/>
          <w:lang w:val="es-ES"/>
        </w:rPr>
        <w:t>en la que pide autorización</w:t>
      </w:r>
      <w:r w:rsidRPr="003A12FA">
        <w:rPr>
          <w:sz w:val="24"/>
          <w:szCs w:val="24"/>
          <w:lang w:val="es-ES"/>
        </w:rPr>
        <w:t xml:space="preserve"> para eliminar los diferenciales estacionales en todas sus tarifas residenciales. Actualmente, SDG&amp;E diferencia sus tarifas eléctricas residenciales por temporada, con tarifas más altas en el verano y tarifas más bajas en el invierno. La propuesta de SDG&amp;E igualaría las tarifas residenciales al bajar las tarifas de verano y </w:t>
      </w:r>
      <w:r w:rsidR="00196A4B">
        <w:rPr>
          <w:sz w:val="24"/>
          <w:szCs w:val="24"/>
          <w:lang w:val="es-ES"/>
        </w:rPr>
        <w:t>aumentar</w:t>
      </w:r>
      <w:r w:rsidRPr="003A12FA">
        <w:rPr>
          <w:sz w:val="24"/>
          <w:szCs w:val="24"/>
          <w:lang w:val="es-ES"/>
        </w:rPr>
        <w:t xml:space="preserve"> las tarifas de invierno </w:t>
      </w:r>
      <w:r w:rsidR="00196A4B">
        <w:rPr>
          <w:sz w:val="24"/>
          <w:szCs w:val="24"/>
          <w:lang w:val="es-ES"/>
        </w:rPr>
        <w:t>para</w:t>
      </w:r>
      <w:r w:rsidRPr="003A12FA">
        <w:rPr>
          <w:sz w:val="24"/>
          <w:szCs w:val="24"/>
          <w:lang w:val="es-ES"/>
        </w:rPr>
        <w:t xml:space="preserve"> que los clientes experimenten un solo conjunto de tarifas eléctricas a lo largo del año. Esta propuesta no afectará las asignaciones iniciales de consumo residencial</w:t>
      </w:r>
      <w:r w:rsidR="00196A4B">
        <w:rPr>
          <w:sz w:val="24"/>
          <w:szCs w:val="24"/>
          <w:lang w:val="es-ES"/>
        </w:rPr>
        <w:t>es</w:t>
      </w:r>
      <w:r w:rsidRPr="003A12FA">
        <w:rPr>
          <w:sz w:val="24"/>
          <w:szCs w:val="24"/>
          <w:lang w:val="es-ES"/>
        </w:rPr>
        <w:t xml:space="preserve">, que continuarán variando por temporada. SDG&amp;E solicita que las tarifas propuestas se implementen antes del verano de 2020. </w:t>
      </w:r>
    </w:p>
    <w:p w14:paraId="7A4D07AC" w14:textId="77777777" w:rsidR="00266138" w:rsidRPr="003A12FA" w:rsidRDefault="00266138" w:rsidP="00C81BE4">
      <w:pPr>
        <w:rPr>
          <w:sz w:val="24"/>
          <w:szCs w:val="24"/>
          <w:lang w:val="es-ES"/>
        </w:rPr>
      </w:pPr>
    </w:p>
    <w:p w14:paraId="782C46F8" w14:textId="77777777" w:rsidR="00F07FC5" w:rsidRPr="003A12FA" w:rsidRDefault="003A12FA" w:rsidP="00F07FC5">
      <w:pPr>
        <w:jc w:val="center"/>
        <w:rPr>
          <w:b/>
          <w:sz w:val="24"/>
          <w:szCs w:val="24"/>
          <w:lang w:val="es-ES"/>
        </w:rPr>
      </w:pPr>
      <w:r w:rsidRPr="003A12FA">
        <w:rPr>
          <w:b/>
          <w:bCs/>
          <w:sz w:val="24"/>
          <w:szCs w:val="24"/>
          <w:lang w:val="es-ES"/>
        </w:rPr>
        <w:t>IMPACTO ESTIMADO EN LAS TARIFAS Y FACTURAS ELÉCTRICAS</w:t>
      </w:r>
    </w:p>
    <w:p w14:paraId="55AB911A" w14:textId="77777777" w:rsidR="00F07FC5" w:rsidRPr="003A12FA" w:rsidRDefault="00F07FC5" w:rsidP="00F07FC5">
      <w:pPr>
        <w:jc w:val="center"/>
        <w:rPr>
          <w:b/>
          <w:sz w:val="24"/>
          <w:szCs w:val="24"/>
          <w:lang w:val="es-ES"/>
        </w:rPr>
      </w:pPr>
    </w:p>
    <w:p w14:paraId="31EA79C6" w14:textId="5586E1D0" w:rsidR="00EC3B29" w:rsidRPr="003A12FA" w:rsidRDefault="003A12FA" w:rsidP="00AC12C0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>La solicitud de SDG&amp;E no aumenta los ingresos que la empresa de servicios públicos está autorizada a recaudar a través de sus tarifas. Si la CPUC aprueba la solicitud de SDG&amp;E, un cliente residencial típico que no participe en CARE, tenga servicio básico y viva ya sea en la zona climática del interior o en la zona costera y consuma 500 kilovatios-hora al mes verá un incremento del 4.1% en su factura eléctrica de invierno, de $145 a $151, y verá una reducción del 4.6% en su factura de verano, de $157 a $150. En promedio, un cliente no vería ningún impacto significativo en la factura en una base anual. Las facturas por cliente individual pueden variar.</w:t>
      </w:r>
    </w:p>
    <w:p w14:paraId="722DC585" w14:textId="77777777" w:rsidR="00662542" w:rsidRPr="003A12FA" w:rsidRDefault="00662542" w:rsidP="00E677F8">
      <w:pPr>
        <w:pStyle w:val="Heading1"/>
        <w:jc w:val="left"/>
        <w:rPr>
          <w:sz w:val="22"/>
          <w:szCs w:val="22"/>
          <w:lang w:val="es-ES"/>
        </w:rPr>
      </w:pPr>
    </w:p>
    <w:p w14:paraId="60FF83B7" w14:textId="77777777" w:rsidR="002252B1" w:rsidRPr="003A12FA" w:rsidRDefault="003A12FA" w:rsidP="004302EB">
      <w:pPr>
        <w:pStyle w:val="Heading1"/>
        <w:rPr>
          <w:sz w:val="24"/>
          <w:szCs w:val="24"/>
          <w:lang w:val="es-ES"/>
        </w:rPr>
      </w:pPr>
      <w:r w:rsidRPr="003A12FA">
        <w:rPr>
          <w:bCs/>
          <w:sz w:val="24"/>
          <w:szCs w:val="24"/>
          <w:lang w:val="es-ES"/>
        </w:rPr>
        <w:t>PARA MÁS INFORMACIÓN</w:t>
      </w:r>
    </w:p>
    <w:p w14:paraId="456CDBD2" w14:textId="77777777" w:rsidR="0044407B" w:rsidRPr="003A12FA" w:rsidRDefault="0044407B" w:rsidP="0044407B">
      <w:pPr>
        <w:pStyle w:val="BodyText"/>
        <w:jc w:val="both"/>
        <w:rPr>
          <w:bCs/>
          <w:szCs w:val="24"/>
          <w:lang w:val="es-ES"/>
        </w:rPr>
      </w:pPr>
    </w:p>
    <w:p w14:paraId="7C39E70B" w14:textId="322E2270" w:rsidR="0044407B" w:rsidRPr="003A12FA" w:rsidRDefault="003A12FA" w:rsidP="0044407B">
      <w:pPr>
        <w:pStyle w:val="BodyText"/>
        <w:jc w:val="both"/>
        <w:rPr>
          <w:b/>
          <w:bCs/>
          <w:szCs w:val="24"/>
          <w:lang w:val="es-ES"/>
        </w:rPr>
      </w:pPr>
      <w:r w:rsidRPr="003A12FA">
        <w:rPr>
          <w:b/>
          <w:bCs/>
          <w:szCs w:val="24"/>
          <w:lang w:val="es-ES"/>
        </w:rPr>
        <w:t>Si desea obtener más información sobre estas propuestas, puede comunicarse a la línea de Servicio al Cliente de SDG&amp;E al 1-800-311-SDGE (7343).</w:t>
      </w:r>
    </w:p>
    <w:p w14:paraId="54619671" w14:textId="77777777" w:rsidR="00523B21" w:rsidRPr="003A12FA" w:rsidRDefault="003A12FA" w:rsidP="4139208E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>Puede solicitar información adicional u obtener una copia de la solicitud y los anexos relacionados escribiendo a: Will Fuller, San Diego Gas &amp; Electric Company, 8330 Century Park Court, San Diego, CA 92123. Una copia de esta solicitud también puede inspeccionarse en las siguientes oficinas comerciales de SDG&amp;E:</w:t>
      </w:r>
    </w:p>
    <w:p w14:paraId="3ED55A39" w14:textId="77777777" w:rsidR="00523B21" w:rsidRPr="003A12FA" w:rsidRDefault="00523B21">
      <w:pPr>
        <w:rPr>
          <w:sz w:val="24"/>
          <w:szCs w:val="24"/>
          <w:lang w:val="es-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52"/>
        <w:gridCol w:w="2952"/>
      </w:tblGrid>
      <w:tr w:rsidR="00337A74" w:rsidRPr="003A12FA" w14:paraId="7E9A78A8" w14:textId="77777777" w:rsidTr="00D74903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9F30923" w14:textId="501C76F9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436 H St.</w:t>
            </w:r>
          </w:p>
          <w:p w14:paraId="1BB241AF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Chula Vista, CA 91910</w:t>
            </w:r>
          </w:p>
          <w:p w14:paraId="208E925F" w14:textId="77777777" w:rsidR="00CC0DDA" w:rsidRPr="003A12FA" w:rsidRDefault="00CC0DD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1891F80B" w14:textId="570C408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2405 E Plaza Blvd.</w:t>
            </w:r>
          </w:p>
          <w:p w14:paraId="32E573F2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National City, CA 91950</w:t>
            </w:r>
          </w:p>
          <w:p w14:paraId="279DDC5D" w14:textId="77777777" w:rsidR="00CC0DDA" w:rsidRPr="003A12FA" w:rsidRDefault="00CC0DD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6E1BA044" w14:textId="0C145C61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440 Beech St.</w:t>
            </w:r>
          </w:p>
          <w:p w14:paraId="34E051A8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San Diego, CA 92101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14:paraId="1CA964BD" w14:textId="26956963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104 N. Johnson Ave.</w:t>
            </w:r>
          </w:p>
          <w:p w14:paraId="298A5DCF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El Cajon, CA 92020</w:t>
            </w:r>
          </w:p>
          <w:p w14:paraId="3C3D9C0D" w14:textId="77777777" w:rsidR="00CC0DDA" w:rsidRPr="003A12FA" w:rsidRDefault="00CC0DD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22986E00" w14:textId="6F0D14E2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336 Euclid Ave.</w:t>
            </w:r>
          </w:p>
          <w:p w14:paraId="4CC0B038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San Diego, CA 92114</w:t>
            </w:r>
          </w:p>
          <w:p w14:paraId="1735335B" w14:textId="77777777" w:rsidR="00F02AE2" w:rsidRPr="003A12FA" w:rsidRDefault="00F02AE2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</w:p>
          <w:p w14:paraId="6EFFE9D2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644 W. Mission Ave.</w:t>
            </w:r>
          </w:p>
          <w:p w14:paraId="6ABA0D3B" w14:textId="77777777" w:rsidR="00CC0DDA" w:rsidRPr="003A12FA" w:rsidRDefault="003A12FA" w:rsidP="00CC0DDA">
            <w:pPr>
              <w:jc w:val="both"/>
              <w:rPr>
                <w:color w:val="000000"/>
                <w:sz w:val="24"/>
                <w:szCs w:val="24"/>
                <w:lang w:val="es-ES"/>
              </w:rPr>
            </w:pPr>
            <w:r w:rsidRPr="003A12FA">
              <w:rPr>
                <w:color w:val="000000"/>
                <w:sz w:val="24"/>
                <w:szCs w:val="24"/>
                <w:lang w:val="es-ES"/>
              </w:rPr>
              <w:t>Escondido, CA 92025</w:t>
            </w:r>
          </w:p>
        </w:tc>
      </w:tr>
    </w:tbl>
    <w:p w14:paraId="0713B846" w14:textId="77777777" w:rsidR="00CC0DDA" w:rsidRPr="003A12FA" w:rsidRDefault="00CC0DDA" w:rsidP="00CC0DDA">
      <w:pPr>
        <w:rPr>
          <w:bCs/>
          <w:color w:val="000000"/>
          <w:sz w:val="24"/>
          <w:szCs w:val="24"/>
          <w:lang w:val="es-ES"/>
        </w:rPr>
      </w:pPr>
    </w:p>
    <w:p w14:paraId="1A9116FF" w14:textId="77777777" w:rsidR="00CC0DDA" w:rsidRPr="003A12FA" w:rsidRDefault="003A12FA" w:rsidP="00CC0DDA">
      <w:pPr>
        <w:rPr>
          <w:color w:val="000000"/>
          <w:sz w:val="24"/>
          <w:szCs w:val="24"/>
          <w:lang w:val="es-ES"/>
        </w:rPr>
      </w:pPr>
      <w:r w:rsidRPr="003A12FA">
        <w:rPr>
          <w:color w:val="000000"/>
          <w:sz w:val="24"/>
          <w:szCs w:val="24"/>
          <w:lang w:val="es-ES"/>
        </w:rPr>
        <w:lastRenderedPageBreak/>
        <w:t xml:space="preserve">Hay copias de esta solicitud en el sitio web de SDG&amp;E en </w:t>
      </w:r>
      <w:hyperlink r:id="rId11" w:history="1">
        <w:r w:rsidRPr="003A12FA">
          <w:rPr>
            <w:color w:val="0000FF"/>
            <w:sz w:val="24"/>
            <w:szCs w:val="24"/>
            <w:u w:val="single"/>
            <w:lang w:val="es-ES"/>
          </w:rPr>
          <w:t>http://www.sdge.com/rates-and-regulations/proceedings</w:t>
        </w:r>
      </w:hyperlink>
      <w:r w:rsidRPr="003A12FA">
        <w:rPr>
          <w:color w:val="000000"/>
          <w:sz w:val="24"/>
          <w:szCs w:val="24"/>
          <w:lang w:val="es-ES"/>
        </w:rPr>
        <w:t>.</w:t>
      </w:r>
    </w:p>
    <w:p w14:paraId="4B2BE5A4" w14:textId="77777777" w:rsidR="00CC0DDA" w:rsidRPr="003A12FA" w:rsidRDefault="00CC0DDA" w:rsidP="00CC0DDA">
      <w:pPr>
        <w:rPr>
          <w:color w:val="0000FF"/>
          <w:sz w:val="24"/>
          <w:szCs w:val="24"/>
          <w:u w:val="single"/>
          <w:lang w:val="es-ES"/>
        </w:rPr>
      </w:pPr>
    </w:p>
    <w:p w14:paraId="6E159679" w14:textId="77777777" w:rsidR="00CC0DDA" w:rsidRPr="003A12FA" w:rsidRDefault="003A12FA" w:rsidP="00CC0DDA">
      <w:pPr>
        <w:rPr>
          <w:color w:val="000000"/>
          <w:sz w:val="24"/>
          <w:szCs w:val="24"/>
          <w:lang w:val="es-ES"/>
        </w:rPr>
      </w:pPr>
      <w:r w:rsidRPr="003A12FA">
        <w:rPr>
          <w:color w:val="000000"/>
          <w:sz w:val="24"/>
          <w:szCs w:val="24"/>
          <w:lang w:val="es-ES"/>
        </w:rPr>
        <w:t xml:space="preserve">Habrá copias de este encarte para su consulta e impresión en el sitio web de SDG&amp;E en </w:t>
      </w:r>
      <w:hyperlink r:id="rId12" w:history="1">
        <w:r w:rsidRPr="003A12FA">
          <w:rPr>
            <w:color w:val="0000FF"/>
            <w:sz w:val="24"/>
            <w:szCs w:val="24"/>
            <w:u w:val="single"/>
            <w:lang w:val="es-ES"/>
          </w:rPr>
          <w:t>www.sdge.com/regulatory-notices</w:t>
        </w:r>
      </w:hyperlink>
      <w:r w:rsidRPr="003A12FA">
        <w:rPr>
          <w:color w:val="000000"/>
          <w:sz w:val="24"/>
          <w:szCs w:val="24"/>
          <w:lang w:val="es-ES"/>
        </w:rPr>
        <w:t>.</w:t>
      </w:r>
    </w:p>
    <w:p w14:paraId="4D3A8E40" w14:textId="77777777" w:rsidR="00626AE9" w:rsidRPr="003A12FA" w:rsidRDefault="00626AE9" w:rsidP="00CC0DDA">
      <w:pPr>
        <w:rPr>
          <w:color w:val="000000"/>
          <w:sz w:val="24"/>
          <w:lang w:val="es-ES"/>
        </w:rPr>
      </w:pPr>
    </w:p>
    <w:p w14:paraId="5A701579" w14:textId="22A7FC2F" w:rsidR="00626AE9" w:rsidRPr="003A12FA" w:rsidRDefault="00196A4B" w:rsidP="00626AE9">
      <w:pPr>
        <w:pStyle w:val="BodyText"/>
        <w:rPr>
          <w:b/>
          <w:bCs/>
          <w:lang w:val="es-ES"/>
        </w:rPr>
      </w:pPr>
      <w:r>
        <w:rPr>
          <w:szCs w:val="24"/>
          <w:lang w:val="es-ES"/>
        </w:rPr>
        <w:t>Hay u</w:t>
      </w:r>
      <w:r w:rsidR="003A12FA" w:rsidRPr="003A12FA">
        <w:rPr>
          <w:szCs w:val="24"/>
          <w:lang w:val="es-ES"/>
        </w:rPr>
        <w:t xml:space="preserve">na copia en papel </w:t>
      </w:r>
      <w:r>
        <w:rPr>
          <w:szCs w:val="24"/>
          <w:lang w:val="es-ES"/>
        </w:rPr>
        <w:t xml:space="preserve">que </w:t>
      </w:r>
      <w:r w:rsidR="003A12FA" w:rsidRPr="003A12FA">
        <w:rPr>
          <w:szCs w:val="24"/>
          <w:lang w:val="es-ES"/>
        </w:rPr>
        <w:t>puede</w:t>
      </w:r>
      <w:r>
        <w:rPr>
          <w:szCs w:val="24"/>
          <w:lang w:val="es-ES"/>
        </w:rPr>
        <w:t xml:space="preserve"> examinarse</w:t>
      </w:r>
      <w:r w:rsidR="003A12FA" w:rsidRPr="003A12FA">
        <w:rPr>
          <w:szCs w:val="24"/>
          <w:lang w:val="es-ES"/>
        </w:rPr>
        <w:t xml:space="preserve"> en la Central Files Office de la CPUC, previa cita. Si desea obtener más información, póngase en contacto escribiendo a aljcentralfilesid@cpuc.ca.gov o llamando al (415) 703-2045.</w:t>
      </w:r>
    </w:p>
    <w:p w14:paraId="18F4B633" w14:textId="77777777" w:rsidR="00626AE9" w:rsidRPr="003A12FA" w:rsidRDefault="00626AE9" w:rsidP="00CC0DDA">
      <w:pPr>
        <w:rPr>
          <w:color w:val="000000"/>
          <w:sz w:val="24"/>
          <w:szCs w:val="24"/>
          <w:lang w:val="es-ES"/>
        </w:rPr>
      </w:pPr>
    </w:p>
    <w:p w14:paraId="7EFE83F0" w14:textId="77777777" w:rsidR="00063A3B" w:rsidRPr="003A12FA" w:rsidRDefault="00063A3B" w:rsidP="00063A3B">
      <w:pPr>
        <w:rPr>
          <w:sz w:val="22"/>
          <w:szCs w:val="22"/>
          <w:lang w:val="es-ES"/>
        </w:rPr>
      </w:pPr>
    </w:p>
    <w:p w14:paraId="05187DFC" w14:textId="77777777" w:rsidR="00141CAA" w:rsidRPr="003A12FA" w:rsidRDefault="003A12FA" w:rsidP="004302EB">
      <w:pPr>
        <w:pStyle w:val="BodyText"/>
        <w:jc w:val="center"/>
        <w:rPr>
          <w:b/>
          <w:szCs w:val="24"/>
          <w:u w:val="single"/>
          <w:lang w:val="es-ES"/>
        </w:rPr>
      </w:pPr>
      <w:r w:rsidRPr="003A12FA">
        <w:rPr>
          <w:b/>
          <w:bCs/>
          <w:szCs w:val="24"/>
          <w:lang w:val="es-ES"/>
        </w:rPr>
        <w:t>PROCESO DE LA CPUC</w:t>
      </w:r>
    </w:p>
    <w:p w14:paraId="17A5E053" w14:textId="77777777" w:rsidR="00141CAA" w:rsidRPr="003A12FA" w:rsidRDefault="00141CAA" w:rsidP="00141CAA">
      <w:pPr>
        <w:pStyle w:val="BodyText"/>
        <w:rPr>
          <w:b/>
          <w:szCs w:val="24"/>
          <w:u w:val="single"/>
          <w:lang w:val="es-ES"/>
        </w:rPr>
      </w:pPr>
    </w:p>
    <w:p w14:paraId="59098725" w14:textId="6B78CACA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 xml:space="preserve">La presente solicitud será asignada a un Juez de Derecho Administrativo (Juez) quien determinará cómo se recibirán las pruebas y otros documentos relacionados, necesarios para que la CPUC establezca un acta en la cual basar su decisión. Las Audiencias para la Presentación de Pruebas (EH) pueden llevarse a cabo en donde las partes que aparecen en el acta presentarán su testimonio y pueden estar sujetas a un contrainterrogatorio por otras de las partes. Estas EH están abiertas al público, pero sólo las partes que aparecen en el acta pueden participar. </w:t>
      </w:r>
    </w:p>
    <w:p w14:paraId="53CB7B78" w14:textId="77777777" w:rsidR="00C15FC3" w:rsidRPr="003A12FA" w:rsidRDefault="00C15FC3" w:rsidP="00AD215D">
      <w:pPr>
        <w:rPr>
          <w:sz w:val="24"/>
          <w:szCs w:val="24"/>
          <w:lang w:val="es-ES"/>
        </w:rPr>
      </w:pPr>
    </w:p>
    <w:p w14:paraId="5D928C87" w14:textId="0610A14D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 xml:space="preserve">Después de considerar todas las propuestas y pruebas presentadas durante el proceso formal de las audiencias, el Juez asignado emitirá una propuesta de decisión que tal vez adopte la propuesta de SDG&amp;E, la modifique o la deniegue. Cualquiera de los cinco Comisionados de la CPUC puede proponer una decisión alterna. La decisión propuesta y cualquier decisión alterna serán discutidas y votadas por los Comisionados en una Reunión de Votación de la CPUC que se programe. </w:t>
      </w:r>
    </w:p>
    <w:p w14:paraId="5A25FB12" w14:textId="77777777" w:rsidR="00AD215D" w:rsidRPr="003A12FA" w:rsidRDefault="00AD215D" w:rsidP="00AD215D">
      <w:pPr>
        <w:rPr>
          <w:sz w:val="24"/>
          <w:szCs w:val="24"/>
          <w:lang w:val="es-ES"/>
        </w:rPr>
      </w:pPr>
    </w:p>
    <w:p w14:paraId="7E1DCE2E" w14:textId="37F047E2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>La Oficina de Defensores Públicos (Cal PA) puede examinar esta solicitud. Cal PA es el defensor independiente del consumidor dentro de la CPUC con un mandato legislativo para representar a clientes de empresas de servicios públicos propiedad de inversionistas a fin de obtener la tarifa más baja posible por un servicio acorde con los niveles de un servicio confiable y seguro. Cal PA cuenta con un personal multidisciplinario con pericia en economía, finanzas, contabilidad e ingeniería. Para más información sobre Cal PA, por favor llame al (415) 703-1584, envíe un mensaje por correo electrónico a PublicAdvocatesOffice@cpuc.ca.gov o visite el sitio web de Cal PA en:</w:t>
      </w:r>
      <w:hyperlink r:id="rId13" w:history="1">
        <w:r w:rsidRPr="003A12FA">
          <w:rPr>
            <w:color w:val="0000FF"/>
            <w:sz w:val="24"/>
            <w:szCs w:val="24"/>
            <w:u w:val="single"/>
            <w:lang w:val="es-ES"/>
          </w:rPr>
          <w:t>www.publicadvocates.cpuc.ca.gov/</w:t>
        </w:r>
      </w:hyperlink>
      <w:r w:rsidRPr="003A12FA">
        <w:rPr>
          <w:sz w:val="24"/>
          <w:szCs w:val="24"/>
          <w:lang w:val="es-ES"/>
        </w:rPr>
        <w:t>.</w:t>
      </w:r>
    </w:p>
    <w:p w14:paraId="587BC973" w14:textId="77777777" w:rsidR="00141CAA" w:rsidRPr="003A12FA" w:rsidRDefault="00141CAA" w:rsidP="00141CAA">
      <w:pPr>
        <w:rPr>
          <w:sz w:val="24"/>
          <w:szCs w:val="24"/>
          <w:lang w:val="es-ES"/>
        </w:rPr>
      </w:pPr>
    </w:p>
    <w:p w14:paraId="1FEC1BAB" w14:textId="77777777" w:rsidR="00AD215D" w:rsidRPr="003A12FA" w:rsidRDefault="003A12FA" w:rsidP="004302EB">
      <w:pPr>
        <w:pStyle w:val="BodyText"/>
        <w:jc w:val="center"/>
        <w:rPr>
          <w:b/>
          <w:szCs w:val="24"/>
          <w:lang w:val="es-ES"/>
        </w:rPr>
      </w:pPr>
      <w:r w:rsidRPr="003A12FA">
        <w:rPr>
          <w:b/>
          <w:bCs/>
          <w:szCs w:val="24"/>
          <w:lang w:val="es-ES"/>
        </w:rPr>
        <w:t>MANTÉNGASE INFORMADO</w:t>
      </w:r>
    </w:p>
    <w:p w14:paraId="3FEE2F43" w14:textId="77777777" w:rsidR="00AD215D" w:rsidRPr="003A12FA" w:rsidRDefault="00AD215D" w:rsidP="00AD215D">
      <w:pPr>
        <w:jc w:val="center"/>
        <w:rPr>
          <w:b/>
          <w:sz w:val="24"/>
          <w:szCs w:val="24"/>
          <w:lang w:val="es-ES"/>
        </w:rPr>
      </w:pPr>
    </w:p>
    <w:p w14:paraId="2F97E366" w14:textId="77777777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>Si desea seguir este procedimiento, o cualquier otro asunto presentado ante la CPUC, puede utilizar el servicio de suscripción gratuito de la CPUC. Inscríbase en: http://subscribecpuc.cpuc.ca.gov/.</w:t>
      </w:r>
    </w:p>
    <w:p w14:paraId="70FB9386" w14:textId="77777777" w:rsidR="00AD215D" w:rsidRPr="003A12FA" w:rsidRDefault="00AD215D" w:rsidP="00AD215D">
      <w:pPr>
        <w:rPr>
          <w:sz w:val="24"/>
          <w:szCs w:val="24"/>
          <w:lang w:val="es-ES"/>
        </w:rPr>
      </w:pPr>
    </w:p>
    <w:p w14:paraId="7E5762DA" w14:textId="274942C0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 xml:space="preserve">Si quiere obtener información sobre cómo puede participar en el procedimiento, o si tiene comentarios informales o preguntas sobre los procesos de la CPUC, puede entrar a la página web de la Oficina del Asesor Público (PAO) de la CPUC en: </w:t>
      </w:r>
      <w:hyperlink r:id="rId14" w:history="1">
        <w:r w:rsidRPr="003A12FA">
          <w:rPr>
            <w:color w:val="0000FF"/>
            <w:sz w:val="24"/>
            <w:szCs w:val="24"/>
            <w:u w:val="single"/>
            <w:lang w:val="es-ES"/>
          </w:rPr>
          <w:t>http://www.cpuc.ca.gov/pao/</w:t>
        </w:r>
      </w:hyperlink>
      <w:r w:rsidRPr="003A12FA">
        <w:rPr>
          <w:sz w:val="24"/>
          <w:szCs w:val="24"/>
          <w:lang w:val="es-ES"/>
        </w:rPr>
        <w:t>. También puede ponerse en contacto con la PAO de la siguiente manera:</w:t>
      </w:r>
    </w:p>
    <w:p w14:paraId="79784A0A" w14:textId="77777777" w:rsidR="00AD215D" w:rsidRPr="003A12FA" w:rsidRDefault="00AD215D" w:rsidP="00AD215D">
      <w:pPr>
        <w:rPr>
          <w:sz w:val="24"/>
          <w:szCs w:val="24"/>
          <w:lang w:val="es-ES"/>
        </w:rPr>
      </w:pPr>
    </w:p>
    <w:p w14:paraId="16BD63C9" w14:textId="77777777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>Escribiendo a:</w:t>
      </w:r>
      <w:r w:rsidRPr="003A12FA">
        <w:rPr>
          <w:sz w:val="24"/>
          <w:szCs w:val="24"/>
          <w:lang w:val="es-ES"/>
        </w:rPr>
        <w:tab/>
        <w:t>CPUC Public Advisor’s Office</w:t>
      </w:r>
    </w:p>
    <w:p w14:paraId="7AA9DD20" w14:textId="3B873BDC" w:rsidR="00AD215D" w:rsidRPr="003A12FA" w:rsidRDefault="00196A4B" w:rsidP="00FB14FB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 w:rsidR="003A12FA" w:rsidRPr="003A12FA">
        <w:rPr>
          <w:sz w:val="24"/>
          <w:szCs w:val="24"/>
          <w:lang w:val="es-ES"/>
        </w:rPr>
        <w:t>505 Van Ness Avenue</w:t>
      </w:r>
    </w:p>
    <w:p w14:paraId="6194FCEC" w14:textId="4E1030BA" w:rsidR="00AD215D" w:rsidRPr="003A12FA" w:rsidRDefault="00196A4B" w:rsidP="00FB14FB">
      <w:pPr>
        <w:ind w:firstLine="720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</w:r>
      <w:r w:rsidR="003A12FA" w:rsidRPr="003A12FA">
        <w:rPr>
          <w:sz w:val="24"/>
          <w:szCs w:val="24"/>
          <w:lang w:val="es-ES"/>
        </w:rPr>
        <w:t>San Francisco, CA 94102</w:t>
      </w:r>
    </w:p>
    <w:p w14:paraId="2BB7E3F2" w14:textId="77777777" w:rsidR="00AD215D" w:rsidRPr="003A12FA" w:rsidRDefault="00AD215D" w:rsidP="00AD215D">
      <w:pPr>
        <w:rPr>
          <w:sz w:val="24"/>
          <w:szCs w:val="24"/>
          <w:lang w:val="es-ES"/>
        </w:rPr>
      </w:pPr>
    </w:p>
    <w:p w14:paraId="48B07835" w14:textId="4E721D32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 xml:space="preserve">Enviando un mensaje por correo electrónico a: public.advisor@cpuc.ca.gov </w:t>
      </w:r>
    </w:p>
    <w:p w14:paraId="3500530F" w14:textId="77777777" w:rsidR="00AD215D" w:rsidRPr="003A12FA" w:rsidRDefault="00AD215D" w:rsidP="00AD215D">
      <w:pPr>
        <w:rPr>
          <w:sz w:val="24"/>
          <w:szCs w:val="24"/>
          <w:lang w:val="es-ES"/>
        </w:rPr>
      </w:pPr>
    </w:p>
    <w:p w14:paraId="687F3D10" w14:textId="77777777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 xml:space="preserve">Llamando al: 1-866-849-8390 (sin costo) o al 1-415-703-2074 </w:t>
      </w:r>
    </w:p>
    <w:p w14:paraId="74568E1D" w14:textId="72D10A50" w:rsidR="00AD215D" w:rsidRPr="003A12FA" w:rsidRDefault="003A12FA" w:rsidP="00AD215D">
      <w:pPr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ab/>
        <w:t>TTY: 1-866-836-7825 (sin costo) o 1-415-703-5282</w:t>
      </w:r>
    </w:p>
    <w:p w14:paraId="3796DFAD" w14:textId="77777777" w:rsidR="00063A3B" w:rsidRPr="003A12FA" w:rsidRDefault="00063A3B">
      <w:pPr>
        <w:rPr>
          <w:sz w:val="24"/>
          <w:lang w:val="es-ES"/>
        </w:rPr>
      </w:pPr>
    </w:p>
    <w:p w14:paraId="320FD47A" w14:textId="265F7FA6" w:rsidR="00626AE9" w:rsidRPr="003A12FA" w:rsidRDefault="003A12FA" w:rsidP="00626AE9">
      <w:pPr>
        <w:autoSpaceDE w:val="0"/>
        <w:autoSpaceDN w:val="0"/>
        <w:adjustRightInd w:val="0"/>
        <w:rPr>
          <w:sz w:val="24"/>
          <w:szCs w:val="24"/>
          <w:lang w:val="es-ES"/>
        </w:rPr>
      </w:pPr>
      <w:r w:rsidRPr="003A12FA">
        <w:rPr>
          <w:sz w:val="24"/>
          <w:szCs w:val="24"/>
          <w:lang w:val="es-ES"/>
        </w:rPr>
        <w:t xml:space="preserve">Por favor haga referencia a </w:t>
      </w:r>
      <w:r w:rsidRPr="00196A4B">
        <w:rPr>
          <w:bCs/>
          <w:sz w:val="24"/>
          <w:szCs w:val="24"/>
          <w:lang w:val="es-ES"/>
        </w:rPr>
        <w:t>la petición de SDG&amp;E para eliminar el diferencial estacional en sus tarifas residenciales</w:t>
      </w:r>
      <w:r w:rsidRPr="003A12FA">
        <w:rPr>
          <w:b/>
          <w:bCs/>
          <w:sz w:val="24"/>
          <w:szCs w:val="24"/>
          <w:lang w:val="es-ES"/>
        </w:rPr>
        <w:t xml:space="preserve"> (Request to Eliminate the Seasonal Differential in its Residential Rates) - Application No.</w:t>
      </w:r>
      <w:r w:rsidRPr="003A12FA">
        <w:rPr>
          <w:rFonts w:ascii="Interstate-BoldCondensed" w:eastAsia="Interstate-BoldCondensed" w:hAnsi="Interstate-BoldCondensed" w:cs="Interstate-BoldCondensed"/>
          <w:b/>
          <w:bCs/>
          <w:sz w:val="23"/>
          <w:szCs w:val="23"/>
          <w:lang w:val="es-ES"/>
        </w:rPr>
        <w:t xml:space="preserve">A.19-09-014 </w:t>
      </w:r>
      <w:r w:rsidRPr="003A12FA">
        <w:rPr>
          <w:sz w:val="24"/>
          <w:szCs w:val="24"/>
          <w:lang w:val="es-ES"/>
        </w:rPr>
        <w:t>en cualesquiera comunicaciones que sostenga con la CPUC en relación con este asunto. Todos los comentarios públicos se volverán parte del expediente de correspondencia pública de este procedimiento y se pondrán a disposición del Juez asignado, los Comisionados y el personal pertinente de la CPUC para su revisión.</w:t>
      </w:r>
    </w:p>
    <w:p w14:paraId="245723FD" w14:textId="77777777" w:rsidR="00005EC3" w:rsidRPr="003A12FA" w:rsidRDefault="00005EC3" w:rsidP="00626AE9">
      <w:pPr>
        <w:autoSpaceDE w:val="0"/>
        <w:autoSpaceDN w:val="0"/>
        <w:adjustRightInd w:val="0"/>
        <w:rPr>
          <w:color w:val="000000"/>
          <w:sz w:val="24"/>
          <w:szCs w:val="24"/>
          <w:lang w:val="es-ES"/>
        </w:rPr>
      </w:pPr>
    </w:p>
    <w:p w14:paraId="3E0C6851" w14:textId="77777777" w:rsidR="00523B21" w:rsidRPr="003A12FA" w:rsidRDefault="00523B21">
      <w:pPr>
        <w:rPr>
          <w:sz w:val="22"/>
          <w:szCs w:val="22"/>
          <w:lang w:val="es-ES"/>
        </w:rPr>
      </w:pPr>
    </w:p>
    <w:sectPr w:rsidR="00523B21" w:rsidRPr="003A12FA" w:rsidSect="00080410">
      <w:headerReference w:type="default" r:id="rId15"/>
      <w:footerReference w:type="default" r:id="rId1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34D5" w14:textId="77777777" w:rsidR="00B659DB" w:rsidRDefault="00B659DB">
      <w:r>
        <w:separator/>
      </w:r>
    </w:p>
  </w:endnote>
  <w:endnote w:type="continuationSeparator" w:id="0">
    <w:p w14:paraId="5618F10E" w14:textId="77777777" w:rsidR="00B659DB" w:rsidRDefault="00B6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BoldCondense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6B2E" w14:textId="77777777" w:rsidR="00B60915" w:rsidRDefault="00B609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A810D" w14:textId="77777777" w:rsidR="00B659DB" w:rsidRDefault="00B659DB">
      <w:r>
        <w:separator/>
      </w:r>
    </w:p>
  </w:footnote>
  <w:footnote w:type="continuationSeparator" w:id="0">
    <w:p w14:paraId="392A71F4" w14:textId="77777777" w:rsidR="00B659DB" w:rsidRDefault="00B65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D39A" w14:textId="77777777" w:rsidR="00B60915" w:rsidRDefault="00B609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D24A3"/>
    <w:multiLevelType w:val="hybridMultilevel"/>
    <w:tmpl w:val="7DACC240"/>
    <w:lvl w:ilvl="0" w:tplc="D20A7314">
      <w:start w:val="1"/>
      <w:numFmt w:val="decimal"/>
      <w:lvlText w:val="%1."/>
      <w:lvlJc w:val="left"/>
      <w:pPr>
        <w:ind w:left="720" w:hanging="360"/>
      </w:pPr>
    </w:lvl>
    <w:lvl w:ilvl="1" w:tplc="2E4444BC" w:tentative="1">
      <w:start w:val="1"/>
      <w:numFmt w:val="lowerLetter"/>
      <w:lvlText w:val="%2."/>
      <w:lvlJc w:val="left"/>
      <w:pPr>
        <w:ind w:left="1440" w:hanging="360"/>
      </w:pPr>
    </w:lvl>
    <w:lvl w:ilvl="2" w:tplc="3F40D73A" w:tentative="1">
      <w:start w:val="1"/>
      <w:numFmt w:val="lowerRoman"/>
      <w:lvlText w:val="%3."/>
      <w:lvlJc w:val="right"/>
      <w:pPr>
        <w:ind w:left="2160" w:hanging="180"/>
      </w:pPr>
    </w:lvl>
    <w:lvl w:ilvl="3" w:tplc="4F909F7C" w:tentative="1">
      <w:start w:val="1"/>
      <w:numFmt w:val="decimal"/>
      <w:lvlText w:val="%4."/>
      <w:lvlJc w:val="left"/>
      <w:pPr>
        <w:ind w:left="2880" w:hanging="360"/>
      </w:pPr>
    </w:lvl>
    <w:lvl w:ilvl="4" w:tplc="F88CDB00" w:tentative="1">
      <w:start w:val="1"/>
      <w:numFmt w:val="lowerLetter"/>
      <w:lvlText w:val="%5."/>
      <w:lvlJc w:val="left"/>
      <w:pPr>
        <w:ind w:left="3600" w:hanging="360"/>
      </w:pPr>
    </w:lvl>
    <w:lvl w:ilvl="5" w:tplc="2E62D280" w:tentative="1">
      <w:start w:val="1"/>
      <w:numFmt w:val="lowerRoman"/>
      <w:lvlText w:val="%6."/>
      <w:lvlJc w:val="right"/>
      <w:pPr>
        <w:ind w:left="4320" w:hanging="180"/>
      </w:pPr>
    </w:lvl>
    <w:lvl w:ilvl="6" w:tplc="F126E6CC" w:tentative="1">
      <w:start w:val="1"/>
      <w:numFmt w:val="decimal"/>
      <w:lvlText w:val="%7."/>
      <w:lvlJc w:val="left"/>
      <w:pPr>
        <w:ind w:left="5040" w:hanging="360"/>
      </w:pPr>
    </w:lvl>
    <w:lvl w:ilvl="7" w:tplc="AE4068D6" w:tentative="1">
      <w:start w:val="1"/>
      <w:numFmt w:val="lowerLetter"/>
      <w:lvlText w:val="%8."/>
      <w:lvlJc w:val="left"/>
      <w:pPr>
        <w:ind w:left="5760" w:hanging="360"/>
      </w:pPr>
    </w:lvl>
    <w:lvl w:ilvl="8" w:tplc="503449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79F0"/>
    <w:multiLevelType w:val="hybridMultilevel"/>
    <w:tmpl w:val="9D32F5BA"/>
    <w:lvl w:ilvl="0" w:tplc="C1521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65A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473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20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05F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38A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8D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CC6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EF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53AC3"/>
    <w:multiLevelType w:val="hybridMultilevel"/>
    <w:tmpl w:val="4E8476A4"/>
    <w:lvl w:ilvl="0" w:tplc="2DE2A7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63E6DCB4" w:tentative="1">
      <w:start w:val="1"/>
      <w:numFmt w:val="lowerLetter"/>
      <w:lvlText w:val="%2."/>
      <w:lvlJc w:val="left"/>
      <w:pPr>
        <w:ind w:left="1440" w:hanging="360"/>
      </w:pPr>
    </w:lvl>
    <w:lvl w:ilvl="2" w:tplc="8494A164" w:tentative="1">
      <w:start w:val="1"/>
      <w:numFmt w:val="lowerRoman"/>
      <w:lvlText w:val="%3."/>
      <w:lvlJc w:val="right"/>
      <w:pPr>
        <w:ind w:left="2160" w:hanging="180"/>
      </w:pPr>
    </w:lvl>
    <w:lvl w:ilvl="3" w:tplc="0D168136" w:tentative="1">
      <w:start w:val="1"/>
      <w:numFmt w:val="decimal"/>
      <w:lvlText w:val="%4."/>
      <w:lvlJc w:val="left"/>
      <w:pPr>
        <w:ind w:left="2880" w:hanging="360"/>
      </w:pPr>
    </w:lvl>
    <w:lvl w:ilvl="4" w:tplc="852200F4" w:tentative="1">
      <w:start w:val="1"/>
      <w:numFmt w:val="lowerLetter"/>
      <w:lvlText w:val="%5."/>
      <w:lvlJc w:val="left"/>
      <w:pPr>
        <w:ind w:left="3600" w:hanging="360"/>
      </w:pPr>
    </w:lvl>
    <w:lvl w:ilvl="5" w:tplc="F4D2BE26" w:tentative="1">
      <w:start w:val="1"/>
      <w:numFmt w:val="lowerRoman"/>
      <w:lvlText w:val="%6."/>
      <w:lvlJc w:val="right"/>
      <w:pPr>
        <w:ind w:left="4320" w:hanging="180"/>
      </w:pPr>
    </w:lvl>
    <w:lvl w:ilvl="6" w:tplc="459E439A" w:tentative="1">
      <w:start w:val="1"/>
      <w:numFmt w:val="decimal"/>
      <w:lvlText w:val="%7."/>
      <w:lvlJc w:val="left"/>
      <w:pPr>
        <w:ind w:left="5040" w:hanging="360"/>
      </w:pPr>
    </w:lvl>
    <w:lvl w:ilvl="7" w:tplc="CDD85C64" w:tentative="1">
      <w:start w:val="1"/>
      <w:numFmt w:val="lowerLetter"/>
      <w:lvlText w:val="%8."/>
      <w:lvlJc w:val="left"/>
      <w:pPr>
        <w:ind w:left="5760" w:hanging="360"/>
      </w:pPr>
    </w:lvl>
    <w:lvl w:ilvl="8" w:tplc="FCFAC28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BE4"/>
    <w:rsid w:val="00005EC3"/>
    <w:rsid w:val="00022D63"/>
    <w:rsid w:val="00025D09"/>
    <w:rsid w:val="00033575"/>
    <w:rsid w:val="000417DE"/>
    <w:rsid w:val="000475BA"/>
    <w:rsid w:val="000507F1"/>
    <w:rsid w:val="000544DD"/>
    <w:rsid w:val="00063A3B"/>
    <w:rsid w:val="00075482"/>
    <w:rsid w:val="00080410"/>
    <w:rsid w:val="0008204B"/>
    <w:rsid w:val="00082423"/>
    <w:rsid w:val="0008268A"/>
    <w:rsid w:val="000A3202"/>
    <w:rsid w:val="000B31D1"/>
    <w:rsid w:val="000B44C6"/>
    <w:rsid w:val="000C0B51"/>
    <w:rsid w:val="000D2166"/>
    <w:rsid w:val="000E59E5"/>
    <w:rsid w:val="000F3561"/>
    <w:rsid w:val="0010538A"/>
    <w:rsid w:val="001311DA"/>
    <w:rsid w:val="0013765D"/>
    <w:rsid w:val="00141BA5"/>
    <w:rsid w:val="00141CAA"/>
    <w:rsid w:val="001454A6"/>
    <w:rsid w:val="00151F2E"/>
    <w:rsid w:val="00173F2D"/>
    <w:rsid w:val="00187A9C"/>
    <w:rsid w:val="001918AA"/>
    <w:rsid w:val="00196A4B"/>
    <w:rsid w:val="001A55A4"/>
    <w:rsid w:val="001A6165"/>
    <w:rsid w:val="001B57A4"/>
    <w:rsid w:val="001C4542"/>
    <w:rsid w:val="001C5AAE"/>
    <w:rsid w:val="001D136A"/>
    <w:rsid w:val="001E4156"/>
    <w:rsid w:val="0020419C"/>
    <w:rsid w:val="002246C3"/>
    <w:rsid w:val="002252B1"/>
    <w:rsid w:val="00234334"/>
    <w:rsid w:val="002372E9"/>
    <w:rsid w:val="00243FF7"/>
    <w:rsid w:val="002446FD"/>
    <w:rsid w:val="002451CC"/>
    <w:rsid w:val="00252DA3"/>
    <w:rsid w:val="002547E5"/>
    <w:rsid w:val="00266138"/>
    <w:rsid w:val="0027250F"/>
    <w:rsid w:val="002729FC"/>
    <w:rsid w:val="0027492B"/>
    <w:rsid w:val="00277C7D"/>
    <w:rsid w:val="002807F7"/>
    <w:rsid w:val="00290B13"/>
    <w:rsid w:val="002A1794"/>
    <w:rsid w:val="002B2BF7"/>
    <w:rsid w:val="002B57EC"/>
    <w:rsid w:val="002C1865"/>
    <w:rsid w:val="002C3224"/>
    <w:rsid w:val="002C3762"/>
    <w:rsid w:val="002D790E"/>
    <w:rsid w:val="002D7E9A"/>
    <w:rsid w:val="002E3C81"/>
    <w:rsid w:val="002E6328"/>
    <w:rsid w:val="002E7BFA"/>
    <w:rsid w:val="002F7C1A"/>
    <w:rsid w:val="00300510"/>
    <w:rsid w:val="00311C43"/>
    <w:rsid w:val="0031532E"/>
    <w:rsid w:val="0032022C"/>
    <w:rsid w:val="003205EF"/>
    <w:rsid w:val="00324B9F"/>
    <w:rsid w:val="00327DC6"/>
    <w:rsid w:val="0033156C"/>
    <w:rsid w:val="00337A74"/>
    <w:rsid w:val="00345BCC"/>
    <w:rsid w:val="003479C4"/>
    <w:rsid w:val="00354BB6"/>
    <w:rsid w:val="003658B1"/>
    <w:rsid w:val="003675D4"/>
    <w:rsid w:val="00371DF6"/>
    <w:rsid w:val="00372DD5"/>
    <w:rsid w:val="003772A7"/>
    <w:rsid w:val="00380553"/>
    <w:rsid w:val="00382877"/>
    <w:rsid w:val="0038718C"/>
    <w:rsid w:val="003931E6"/>
    <w:rsid w:val="00394BFA"/>
    <w:rsid w:val="003A12FA"/>
    <w:rsid w:val="003B5D4E"/>
    <w:rsid w:val="003C25DC"/>
    <w:rsid w:val="003C4541"/>
    <w:rsid w:val="003C4854"/>
    <w:rsid w:val="003C6E00"/>
    <w:rsid w:val="003C6F51"/>
    <w:rsid w:val="003D0329"/>
    <w:rsid w:val="003D0817"/>
    <w:rsid w:val="003E7FA8"/>
    <w:rsid w:val="003F6AEE"/>
    <w:rsid w:val="003F7C10"/>
    <w:rsid w:val="00400718"/>
    <w:rsid w:val="0040179D"/>
    <w:rsid w:val="00413CA0"/>
    <w:rsid w:val="00417772"/>
    <w:rsid w:val="00423D28"/>
    <w:rsid w:val="004302EB"/>
    <w:rsid w:val="0044407B"/>
    <w:rsid w:val="004527AA"/>
    <w:rsid w:val="004531E4"/>
    <w:rsid w:val="00475A85"/>
    <w:rsid w:val="00494A7C"/>
    <w:rsid w:val="004A228F"/>
    <w:rsid w:val="004A6DB9"/>
    <w:rsid w:val="004A7C40"/>
    <w:rsid w:val="004B5766"/>
    <w:rsid w:val="004B6503"/>
    <w:rsid w:val="004B77EC"/>
    <w:rsid w:val="004B7D3D"/>
    <w:rsid w:val="004C14C2"/>
    <w:rsid w:val="004C3EA7"/>
    <w:rsid w:val="004C4893"/>
    <w:rsid w:val="004D26C6"/>
    <w:rsid w:val="004E24F4"/>
    <w:rsid w:val="004E3015"/>
    <w:rsid w:val="004E789B"/>
    <w:rsid w:val="00503384"/>
    <w:rsid w:val="00506DD4"/>
    <w:rsid w:val="00507E88"/>
    <w:rsid w:val="005122BD"/>
    <w:rsid w:val="00514E47"/>
    <w:rsid w:val="00517355"/>
    <w:rsid w:val="00522945"/>
    <w:rsid w:val="00523B21"/>
    <w:rsid w:val="00526701"/>
    <w:rsid w:val="005301EC"/>
    <w:rsid w:val="00535A55"/>
    <w:rsid w:val="00541200"/>
    <w:rsid w:val="00545198"/>
    <w:rsid w:val="00547184"/>
    <w:rsid w:val="00551078"/>
    <w:rsid w:val="00552EBD"/>
    <w:rsid w:val="00560401"/>
    <w:rsid w:val="00562760"/>
    <w:rsid w:val="00563A21"/>
    <w:rsid w:val="005705AF"/>
    <w:rsid w:val="00570B92"/>
    <w:rsid w:val="00582A89"/>
    <w:rsid w:val="00583601"/>
    <w:rsid w:val="005873F1"/>
    <w:rsid w:val="00587AA4"/>
    <w:rsid w:val="005A2A2C"/>
    <w:rsid w:val="005A4BC9"/>
    <w:rsid w:val="005A5688"/>
    <w:rsid w:val="005B24BA"/>
    <w:rsid w:val="005B4E2B"/>
    <w:rsid w:val="005C15A5"/>
    <w:rsid w:val="005E08E5"/>
    <w:rsid w:val="005E4C5A"/>
    <w:rsid w:val="005E753E"/>
    <w:rsid w:val="006134EA"/>
    <w:rsid w:val="00621B0F"/>
    <w:rsid w:val="00626AE9"/>
    <w:rsid w:val="0064349C"/>
    <w:rsid w:val="006463B4"/>
    <w:rsid w:val="00651E4F"/>
    <w:rsid w:val="00662542"/>
    <w:rsid w:val="006625D8"/>
    <w:rsid w:val="006B0E64"/>
    <w:rsid w:val="006B42A8"/>
    <w:rsid w:val="006B5140"/>
    <w:rsid w:val="006B780C"/>
    <w:rsid w:val="006C02F9"/>
    <w:rsid w:val="006C0BF1"/>
    <w:rsid w:val="006E06BA"/>
    <w:rsid w:val="006E1CAD"/>
    <w:rsid w:val="006E53C3"/>
    <w:rsid w:val="006E71FF"/>
    <w:rsid w:val="006F1687"/>
    <w:rsid w:val="007067E9"/>
    <w:rsid w:val="007152E8"/>
    <w:rsid w:val="00715461"/>
    <w:rsid w:val="0072516D"/>
    <w:rsid w:val="007302AB"/>
    <w:rsid w:val="00734507"/>
    <w:rsid w:val="007407F3"/>
    <w:rsid w:val="0075024B"/>
    <w:rsid w:val="00751067"/>
    <w:rsid w:val="007513EF"/>
    <w:rsid w:val="00751482"/>
    <w:rsid w:val="00753119"/>
    <w:rsid w:val="00760216"/>
    <w:rsid w:val="00775712"/>
    <w:rsid w:val="00783453"/>
    <w:rsid w:val="00793E25"/>
    <w:rsid w:val="00794515"/>
    <w:rsid w:val="00797BDB"/>
    <w:rsid w:val="007B62E9"/>
    <w:rsid w:val="007C3F1F"/>
    <w:rsid w:val="007C6E1D"/>
    <w:rsid w:val="007D1D06"/>
    <w:rsid w:val="007D3C22"/>
    <w:rsid w:val="007E60F7"/>
    <w:rsid w:val="007E75F1"/>
    <w:rsid w:val="007F31AB"/>
    <w:rsid w:val="007F5FE3"/>
    <w:rsid w:val="00803CE4"/>
    <w:rsid w:val="0081358C"/>
    <w:rsid w:val="008220E4"/>
    <w:rsid w:val="0084171D"/>
    <w:rsid w:val="00842210"/>
    <w:rsid w:val="00843D52"/>
    <w:rsid w:val="00860132"/>
    <w:rsid w:val="0086324E"/>
    <w:rsid w:val="00872A7B"/>
    <w:rsid w:val="008818ED"/>
    <w:rsid w:val="00885A16"/>
    <w:rsid w:val="00886BC2"/>
    <w:rsid w:val="0089524E"/>
    <w:rsid w:val="008952AE"/>
    <w:rsid w:val="008B7DC3"/>
    <w:rsid w:val="008C1BB6"/>
    <w:rsid w:val="008D0E6B"/>
    <w:rsid w:val="008E06BE"/>
    <w:rsid w:val="008E0CE6"/>
    <w:rsid w:val="008E43CE"/>
    <w:rsid w:val="008F32EC"/>
    <w:rsid w:val="00907AE1"/>
    <w:rsid w:val="00924275"/>
    <w:rsid w:val="00931252"/>
    <w:rsid w:val="009313BD"/>
    <w:rsid w:val="009322DB"/>
    <w:rsid w:val="00932A35"/>
    <w:rsid w:val="0093419F"/>
    <w:rsid w:val="00951FAC"/>
    <w:rsid w:val="009524A1"/>
    <w:rsid w:val="00957EFF"/>
    <w:rsid w:val="00957F45"/>
    <w:rsid w:val="00965A13"/>
    <w:rsid w:val="009746C4"/>
    <w:rsid w:val="00974B0F"/>
    <w:rsid w:val="009A68E6"/>
    <w:rsid w:val="009A6E62"/>
    <w:rsid w:val="009B20BE"/>
    <w:rsid w:val="009D0E1C"/>
    <w:rsid w:val="009D38F4"/>
    <w:rsid w:val="009E16CF"/>
    <w:rsid w:val="009E28A6"/>
    <w:rsid w:val="009E454A"/>
    <w:rsid w:val="009E63D3"/>
    <w:rsid w:val="009F695F"/>
    <w:rsid w:val="00A12193"/>
    <w:rsid w:val="00A31E1F"/>
    <w:rsid w:val="00A3209A"/>
    <w:rsid w:val="00A54AAE"/>
    <w:rsid w:val="00A63599"/>
    <w:rsid w:val="00A648D7"/>
    <w:rsid w:val="00A74DC8"/>
    <w:rsid w:val="00A855FC"/>
    <w:rsid w:val="00AB22CE"/>
    <w:rsid w:val="00AB35F4"/>
    <w:rsid w:val="00AC12C0"/>
    <w:rsid w:val="00AC7CDE"/>
    <w:rsid w:val="00AD215D"/>
    <w:rsid w:val="00AD561E"/>
    <w:rsid w:val="00AE0EF7"/>
    <w:rsid w:val="00AE51A5"/>
    <w:rsid w:val="00AF109C"/>
    <w:rsid w:val="00AF4063"/>
    <w:rsid w:val="00B11E27"/>
    <w:rsid w:val="00B1702C"/>
    <w:rsid w:val="00B1749C"/>
    <w:rsid w:val="00B24A15"/>
    <w:rsid w:val="00B26ABA"/>
    <w:rsid w:val="00B26C5D"/>
    <w:rsid w:val="00B37B0D"/>
    <w:rsid w:val="00B44908"/>
    <w:rsid w:val="00B60915"/>
    <w:rsid w:val="00B640A0"/>
    <w:rsid w:val="00B659DB"/>
    <w:rsid w:val="00B71A1C"/>
    <w:rsid w:val="00B81027"/>
    <w:rsid w:val="00B8569A"/>
    <w:rsid w:val="00BA0C79"/>
    <w:rsid w:val="00BA72D2"/>
    <w:rsid w:val="00BB5EB3"/>
    <w:rsid w:val="00BD15AC"/>
    <w:rsid w:val="00BD4D6B"/>
    <w:rsid w:val="00BE2FC4"/>
    <w:rsid w:val="00BE52FD"/>
    <w:rsid w:val="00BF16A0"/>
    <w:rsid w:val="00BF453C"/>
    <w:rsid w:val="00C024BD"/>
    <w:rsid w:val="00C06F18"/>
    <w:rsid w:val="00C15FC3"/>
    <w:rsid w:val="00C27A03"/>
    <w:rsid w:val="00C3718B"/>
    <w:rsid w:val="00C43C87"/>
    <w:rsid w:val="00C45D66"/>
    <w:rsid w:val="00C55D40"/>
    <w:rsid w:val="00C579AB"/>
    <w:rsid w:val="00C73721"/>
    <w:rsid w:val="00C7573E"/>
    <w:rsid w:val="00C7636E"/>
    <w:rsid w:val="00C81BE4"/>
    <w:rsid w:val="00CA39C4"/>
    <w:rsid w:val="00CA3D83"/>
    <w:rsid w:val="00CA5C93"/>
    <w:rsid w:val="00CB3C57"/>
    <w:rsid w:val="00CB409E"/>
    <w:rsid w:val="00CC0DDA"/>
    <w:rsid w:val="00CF5A0A"/>
    <w:rsid w:val="00D107A1"/>
    <w:rsid w:val="00D165D4"/>
    <w:rsid w:val="00D35A99"/>
    <w:rsid w:val="00D40D8F"/>
    <w:rsid w:val="00D41458"/>
    <w:rsid w:val="00D52211"/>
    <w:rsid w:val="00D52339"/>
    <w:rsid w:val="00D53926"/>
    <w:rsid w:val="00D5729F"/>
    <w:rsid w:val="00D74903"/>
    <w:rsid w:val="00D93D59"/>
    <w:rsid w:val="00D978B9"/>
    <w:rsid w:val="00DA05ED"/>
    <w:rsid w:val="00DA127E"/>
    <w:rsid w:val="00DA14FB"/>
    <w:rsid w:val="00DA40BC"/>
    <w:rsid w:val="00DA7973"/>
    <w:rsid w:val="00DB299A"/>
    <w:rsid w:val="00DB579D"/>
    <w:rsid w:val="00DC222F"/>
    <w:rsid w:val="00DC5709"/>
    <w:rsid w:val="00DC6817"/>
    <w:rsid w:val="00DD0E9F"/>
    <w:rsid w:val="00DD1929"/>
    <w:rsid w:val="00DD3F85"/>
    <w:rsid w:val="00DD4A1F"/>
    <w:rsid w:val="00DD60CB"/>
    <w:rsid w:val="00DD693F"/>
    <w:rsid w:val="00DE04A4"/>
    <w:rsid w:val="00DE21A8"/>
    <w:rsid w:val="00DE3B54"/>
    <w:rsid w:val="00E206C9"/>
    <w:rsid w:val="00E22099"/>
    <w:rsid w:val="00E2256A"/>
    <w:rsid w:val="00E42DF7"/>
    <w:rsid w:val="00E5584E"/>
    <w:rsid w:val="00E63119"/>
    <w:rsid w:val="00E642AF"/>
    <w:rsid w:val="00E64549"/>
    <w:rsid w:val="00E677F8"/>
    <w:rsid w:val="00E67EE5"/>
    <w:rsid w:val="00E70080"/>
    <w:rsid w:val="00E71197"/>
    <w:rsid w:val="00E85DE3"/>
    <w:rsid w:val="00E90416"/>
    <w:rsid w:val="00E957B2"/>
    <w:rsid w:val="00E96A3E"/>
    <w:rsid w:val="00E97951"/>
    <w:rsid w:val="00EA2394"/>
    <w:rsid w:val="00EB2C67"/>
    <w:rsid w:val="00EB5C6A"/>
    <w:rsid w:val="00EC3B29"/>
    <w:rsid w:val="00EC5EAF"/>
    <w:rsid w:val="00ED7AA4"/>
    <w:rsid w:val="00EE01C7"/>
    <w:rsid w:val="00EE040F"/>
    <w:rsid w:val="00EE7D57"/>
    <w:rsid w:val="00EF1EBC"/>
    <w:rsid w:val="00F02AE2"/>
    <w:rsid w:val="00F07E3E"/>
    <w:rsid w:val="00F07FC5"/>
    <w:rsid w:val="00F118FA"/>
    <w:rsid w:val="00F147A5"/>
    <w:rsid w:val="00F21645"/>
    <w:rsid w:val="00F24D9A"/>
    <w:rsid w:val="00F33724"/>
    <w:rsid w:val="00F34E40"/>
    <w:rsid w:val="00F37FDB"/>
    <w:rsid w:val="00F43761"/>
    <w:rsid w:val="00F43FAF"/>
    <w:rsid w:val="00F46428"/>
    <w:rsid w:val="00F50D30"/>
    <w:rsid w:val="00F54222"/>
    <w:rsid w:val="00F61F9E"/>
    <w:rsid w:val="00F7528C"/>
    <w:rsid w:val="00F824D9"/>
    <w:rsid w:val="00F85F9E"/>
    <w:rsid w:val="00F87FA6"/>
    <w:rsid w:val="00F91C33"/>
    <w:rsid w:val="00F91E85"/>
    <w:rsid w:val="00F94D3D"/>
    <w:rsid w:val="00FA080D"/>
    <w:rsid w:val="00FA09F0"/>
    <w:rsid w:val="00FA0E34"/>
    <w:rsid w:val="00FB0D12"/>
    <w:rsid w:val="00FB14FB"/>
    <w:rsid w:val="00FB71FD"/>
    <w:rsid w:val="00FC29F1"/>
    <w:rsid w:val="00FC44B0"/>
    <w:rsid w:val="00FD22A6"/>
    <w:rsid w:val="00FD7EAB"/>
    <w:rsid w:val="00FE01C3"/>
    <w:rsid w:val="00FE3D18"/>
    <w:rsid w:val="02EB4D45"/>
    <w:rsid w:val="1F078AB2"/>
    <w:rsid w:val="22A0BD6F"/>
    <w:rsid w:val="3FC18691"/>
    <w:rsid w:val="4139208E"/>
    <w:rsid w:val="61C6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2F7438-F554-B146-9C7A-4A6A76C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8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Ex24">
    <w:name w:val="NormalEx24"/>
    <w:basedOn w:val="Normal"/>
    <w:pPr>
      <w:widowControl w:val="0"/>
      <w:spacing w:before="120" w:after="120" w:line="360" w:lineRule="auto"/>
      <w:ind w:firstLine="720"/>
    </w:pPr>
    <w:rPr>
      <w:sz w:val="24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link w:val="CommentText"/>
    <w:uiPriority w:val="99"/>
    <w:semiHidden/>
    <w:rsid w:val="00141CAA"/>
  </w:style>
  <w:style w:type="paragraph" w:styleId="FootnoteText">
    <w:name w:val="footnote text"/>
    <w:basedOn w:val="Normal"/>
    <w:link w:val="FootnoteTextChar"/>
    <w:uiPriority w:val="98"/>
    <w:rsid w:val="009E16CF"/>
  </w:style>
  <w:style w:type="character" w:customStyle="1" w:styleId="FootnoteTextChar">
    <w:name w:val="Footnote Text Char"/>
    <w:basedOn w:val="DefaultParagraphFont"/>
    <w:link w:val="FootnoteText"/>
    <w:uiPriority w:val="98"/>
    <w:rsid w:val="009E16CF"/>
  </w:style>
  <w:style w:type="character" w:styleId="FootnoteReference">
    <w:name w:val="footnote reference"/>
    <w:uiPriority w:val="99"/>
    <w:rsid w:val="009E16CF"/>
    <w:rPr>
      <w:vertAlign w:val="superscript"/>
    </w:rPr>
  </w:style>
  <w:style w:type="paragraph" w:styleId="Revision">
    <w:name w:val="Revision"/>
    <w:hidden/>
    <w:uiPriority w:val="99"/>
    <w:semiHidden/>
    <w:rsid w:val="00CA3D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215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AD215D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07E88"/>
  </w:style>
  <w:style w:type="paragraph" w:styleId="ListParagraph">
    <w:name w:val="List Paragraph"/>
    <w:basedOn w:val="Normal"/>
    <w:uiPriority w:val="34"/>
    <w:qFormat/>
    <w:rsid w:val="00E20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blicadvocates.cpuc.ca.gov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dge.com/regulatory-noti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dge.com/rates-and-regulations/proceeding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puc.ca.gov/pa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AA533EF2C05459889440C0350ED98" ma:contentTypeVersion="4" ma:contentTypeDescription="Create a new document." ma:contentTypeScope="" ma:versionID="88cba28023d7b8efae2e7523230c2fbd">
  <xsd:schema xmlns:xsd="http://www.w3.org/2001/XMLSchema" xmlns:xs="http://www.w3.org/2001/XMLSchema" xmlns:p="http://schemas.microsoft.com/office/2006/metadata/properties" xmlns:ns2="66492d2c-6e0d-411c-8f11-9da78715e500" targetNamespace="http://schemas.microsoft.com/office/2006/metadata/properties" ma:root="true" ma:fieldsID="2caf56e62fa370c9dff8a715e766367c" ns2:_="">
    <xsd:import namespace="66492d2c-6e0d-411c-8f11-9da78715e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2d2c-6e0d-411c-8f11-9da78715e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83BB-F249-4F9D-BDA1-72593334C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9E73A-EBD8-4C60-84F9-6E7BDE2658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4BFCB-DC61-4521-9D0B-65B1CD98F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92d2c-6e0d-411c-8f11-9da78715e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54002-339F-9642-9C00-83797BE5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5333</Characters>
  <Application>Microsoft Office Word</Application>
  <DocSecurity>0</DocSecurity>
  <Lines>130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Sempra Energy</Company>
  <LinksUpToDate>false</LinksUpToDate>
  <CharactersWithSpaces>6265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Klaiber, Steven</dc:creator>
  <cp:keywords/>
  <dc:description/>
  <cp:lastModifiedBy>Microsoft Office User</cp:lastModifiedBy>
  <cp:revision>2</cp:revision>
  <cp:lastPrinted>2017-01-20T18:17:00Z</cp:lastPrinted>
  <dcterms:created xsi:type="dcterms:W3CDTF">2019-10-02T17:18:00Z</dcterms:created>
  <dcterms:modified xsi:type="dcterms:W3CDTF">2019-10-02T17:18:00Z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536">
    <vt:lpwstr>58</vt:lpwstr>
  </property>
  <property fmtid="{D5CDD505-2E9C-101B-9397-08002B2CF9AE}" pid="3" name="ContentTypeId">
    <vt:lpwstr>0x010100F6DAA533EF2C05459889440C0350ED98</vt:lpwstr>
  </property>
  <property fmtid="{D5CDD505-2E9C-101B-9397-08002B2CF9AE}" pid="4" name="EMAIL_OWNER_ADDRESS">
    <vt:lpwstr>ABAAmJ+7jnJ2eOWQzQWIAT2SIh/QpaDvDAeCzcuCtEx3ZioYnMJ0LxspkYdZArC1+7jD</vt:lpwstr>
  </property>
  <property fmtid="{D5CDD505-2E9C-101B-9397-08002B2CF9AE}" pid="5" name="MAIL_MSG_ID1">
    <vt:lpwstr>oFAAfyEHtdkN2VUdNdNu9psxYe2Qpx3sJLcQja5m9fiZbeB96tuKsW7g9c8x9/ZZw263fGxvZxAaZaoA_x000d_
z4I5TU5KnXhqKGopYHkq0+QrAlbFe8KJgsPFSajmUjeTLVGUH2sTEvhCSksQ86vP69ahR3AWYk7n_x000d_
jw+tubdzbC9BySHOC351vEmiH0TRgcQUD913AwtQ47H/QfU0qEi4yacY7sAF44UZfcgqim9iAZ40_x000d_
AU0uS6cZ3K+5w/SlN</vt:lpwstr>
  </property>
  <property fmtid="{D5CDD505-2E9C-101B-9397-08002B2CF9AE}" pid="6" name="MAIL_MSG_ID2">
    <vt:lpwstr>HZxoLj4MqBT8KX961qpolyJMIkXeBHZQNrJVUWTDkNO0MGzJ8zpWrkP5yOS_x000d_
KTMBreHGzzdP1ROEPS6udorBYU5FSES3/7f8eLkT9AJeI4cB</vt:lpwstr>
  </property>
  <property fmtid="{D5CDD505-2E9C-101B-9397-08002B2CF9AE}" pid="7" name="RESPONSE_SENDER_NAME">
    <vt:lpwstr>sAAAE9kkUq3pEoJcR9YF7pkTSMDioeDCHYblqNC/jgAvMcE=</vt:lpwstr>
  </property>
</Properties>
</file>