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5B93B" w14:textId="77777777" w:rsidR="0072769E" w:rsidRPr="00FD1AA2" w:rsidRDefault="00B06DA9" w:rsidP="00284CE6">
      <w:pPr>
        <w:rPr>
          <w:lang w:val="es-ES_tradnl"/>
        </w:rPr>
      </w:pPr>
      <w:bookmarkStart w:id="0" w:name="_Hlk33004944"/>
      <w:r w:rsidRPr="00FD1AA2">
        <w:rPr>
          <w:lang w:val="es-ES_tradnl"/>
        </w:rPr>
        <w:t>Éste es un anuncio de que sus tarifas pueden cambiar. Para más detalles en español, llame al 1-800-311-7343.</w:t>
      </w:r>
    </w:p>
    <w:bookmarkEnd w:id="0"/>
    <w:p w14:paraId="6495B93C" w14:textId="77777777" w:rsidR="0072769E" w:rsidRPr="00FD1AA2" w:rsidRDefault="0072769E" w:rsidP="0072769E">
      <w:pPr>
        <w:pStyle w:val="Table"/>
        <w:rPr>
          <w:lang w:val="es-ES_tradnl"/>
        </w:rPr>
      </w:pPr>
    </w:p>
    <w:p w14:paraId="2FFE4635" w14:textId="77777777" w:rsidR="00117A5F" w:rsidRPr="00FD1AA2" w:rsidRDefault="00B06DA9" w:rsidP="003001DA">
      <w:pPr>
        <w:pStyle w:val="Table"/>
        <w:jc w:val="center"/>
        <w:rPr>
          <w:rFonts w:ascii="Times New Roman" w:hAnsi="Times New Roman" w:cs="Times New Roman"/>
          <w:caps/>
          <w:sz w:val="24"/>
          <w:szCs w:val="24"/>
          <w:lang w:val="es-ES_tradnl"/>
        </w:rPr>
      </w:pPr>
      <w:r w:rsidRPr="00FD1AA2">
        <w:rPr>
          <w:rFonts w:ascii="Times New Roman" w:hAnsi="Times New Roman" w:cs="Times New Roman"/>
          <w:caps/>
          <w:sz w:val="24"/>
          <w:szCs w:val="24"/>
          <w:lang w:val="es-ES_tradnl"/>
        </w:rPr>
        <w:t xml:space="preserve">NOTIFICACIÓN DE </w:t>
      </w:r>
    </w:p>
    <w:p w14:paraId="6495B93D" w14:textId="4EB3E7A8" w:rsidR="00D512FD" w:rsidRPr="00FD1AA2" w:rsidRDefault="00B06DA9" w:rsidP="003001DA">
      <w:pPr>
        <w:pStyle w:val="Table"/>
        <w:jc w:val="center"/>
        <w:rPr>
          <w:lang w:val="es-ES_tradnl"/>
        </w:rPr>
      </w:pPr>
      <w:r w:rsidRPr="00FD1AA2">
        <w:rPr>
          <w:rFonts w:ascii="Times New Roman" w:hAnsi="Times New Roman" w:cs="Times New Roman"/>
          <w:caps/>
          <w:sz w:val="24"/>
          <w:szCs w:val="24"/>
          <w:lang w:val="es-ES_tradnl"/>
        </w:rPr>
        <w:t xml:space="preserve">SOLICITUD DE SAN DIEGO GAS &amp; ELECTRIC COMPANY PARA </w:t>
      </w:r>
      <w:bookmarkStart w:id="1" w:name="_Hlk33004932"/>
      <w:r w:rsidR="0011552C" w:rsidRPr="00FD1AA2">
        <w:rPr>
          <w:rFonts w:ascii="Times New Roman" w:hAnsi="Times New Roman" w:cs="Times New Roman"/>
          <w:caps/>
          <w:sz w:val="24"/>
          <w:szCs w:val="24"/>
          <w:lang w:val="es-ES_tradnl"/>
        </w:rPr>
        <w:br/>
      </w:r>
      <w:r w:rsidRPr="00FD1AA2">
        <w:rPr>
          <w:rFonts w:ascii="Times New Roman" w:hAnsi="Times New Roman" w:cs="Times New Roman"/>
          <w:caps/>
          <w:sz w:val="24"/>
          <w:szCs w:val="24"/>
          <w:lang w:val="es-ES_tradnl"/>
        </w:rPr>
        <w:t xml:space="preserve">AUMENTAR LAS TARIFAS ELÉCTRICAS </w:t>
      </w:r>
    </w:p>
    <w:bookmarkEnd w:id="1"/>
    <w:p w14:paraId="6495B93E" w14:textId="77777777" w:rsidR="0072769E" w:rsidRPr="00FD1AA2" w:rsidRDefault="00B06DA9" w:rsidP="4F4EC528">
      <w:pPr>
        <w:pStyle w:val="TableCaption"/>
        <w:keepNext w:val="0"/>
        <w:keepLines w:val="0"/>
        <w:autoSpaceDE w:val="0"/>
        <w:autoSpaceDN w:val="0"/>
        <w:adjustRightInd w:val="0"/>
        <w:spacing w:before="0" w:after="0" w:line="240" w:lineRule="auto"/>
        <w:outlineLvl w:val="0"/>
        <w:rPr>
          <w:rFonts w:ascii="Times New Roman" w:hAnsi="Times New Roman" w:cs="Times New Roman"/>
          <w:caps w:val="0"/>
          <w:sz w:val="24"/>
          <w:szCs w:val="24"/>
          <w:lang w:val="es-ES_tradnl"/>
        </w:rPr>
      </w:pPr>
      <w:r w:rsidRPr="00FD1AA2">
        <w:rPr>
          <w:rFonts w:ascii="Times New Roman" w:hAnsi="Times New Roman" w:cs="Times New Roman"/>
          <w:sz w:val="24"/>
          <w:szCs w:val="24"/>
          <w:lang w:val="es-ES_tradnl"/>
        </w:rPr>
        <w:t>NÚM. A.21-12-006</w:t>
      </w:r>
    </w:p>
    <w:p w14:paraId="6495B93F" w14:textId="77777777" w:rsidR="00041241" w:rsidRPr="00FD1AA2" w:rsidRDefault="00041241" w:rsidP="00FE7B12">
      <w:pPr>
        <w:pStyle w:val="Table"/>
        <w:rPr>
          <w:rFonts w:ascii="Times New Roman" w:hAnsi="Times New Roman" w:cs="Times New Roman"/>
          <w:lang w:val="es-ES_tradnl"/>
        </w:rPr>
      </w:pPr>
    </w:p>
    <w:p w14:paraId="6495B940" w14:textId="77777777" w:rsidR="00091523" w:rsidRPr="00FD1AA2" w:rsidRDefault="00B06DA9" w:rsidP="00FE7B12">
      <w:pPr>
        <w:pStyle w:val="BodyText"/>
        <w:rPr>
          <w:lang w:val="es-ES_tradnl"/>
        </w:rPr>
      </w:pPr>
      <w:r w:rsidRPr="00FD1AA2">
        <w:rPr>
          <w:b/>
          <w:bCs/>
          <w:lang w:val="es-ES_tradnl"/>
        </w:rPr>
        <w:t>¿Por qué estoy recibiendo este aviso?</w:t>
      </w:r>
    </w:p>
    <w:p w14:paraId="6495B941" w14:textId="050456D7" w:rsidR="00143E6E" w:rsidRPr="00FD1AA2" w:rsidRDefault="00B06DA9" w:rsidP="003C0D81">
      <w:pPr>
        <w:autoSpaceDE w:val="0"/>
        <w:autoSpaceDN w:val="0"/>
        <w:adjustRightInd w:val="0"/>
        <w:rPr>
          <w:lang w:val="es-ES_tradnl"/>
        </w:rPr>
      </w:pPr>
      <w:r w:rsidRPr="00FD1AA2">
        <w:rPr>
          <w:lang w:val="es-ES_tradnl"/>
        </w:rPr>
        <w:t>El 13 de diciembre de 2021, San Diego Gas &amp; Electric Company (SDG&amp;E</w:t>
      </w:r>
      <w:r w:rsidRPr="00FD1AA2">
        <w:rPr>
          <w:vertAlign w:val="superscript"/>
          <w:lang w:val="es-ES_tradnl"/>
        </w:rPr>
        <w:t>®</w:t>
      </w:r>
      <w:r w:rsidRPr="00FD1AA2">
        <w:rPr>
          <w:lang w:val="es-ES_tradnl"/>
        </w:rPr>
        <w:t xml:space="preserve">) presentó una solicitud ante la Comisión de Servicios Públicos de California (CPUC) </w:t>
      </w:r>
      <w:r w:rsidR="00D06FB6">
        <w:rPr>
          <w:lang w:val="es-ES_tradnl"/>
        </w:rPr>
        <w:t xml:space="preserve">a fin de </w:t>
      </w:r>
      <w:r w:rsidR="009F1688">
        <w:rPr>
          <w:lang w:val="es-ES_tradnl"/>
        </w:rPr>
        <w:t xml:space="preserve">obtener </w:t>
      </w:r>
      <w:r w:rsidRPr="00FD1AA2">
        <w:rPr>
          <w:lang w:val="es-ES_tradnl"/>
        </w:rPr>
        <w:t xml:space="preserve">la aprobación </w:t>
      </w:r>
      <w:r w:rsidR="009F1688">
        <w:rPr>
          <w:lang w:val="es-ES_tradnl"/>
        </w:rPr>
        <w:t xml:space="preserve">para </w:t>
      </w:r>
      <w:r w:rsidRPr="00FD1AA2">
        <w:rPr>
          <w:lang w:val="es-ES_tradnl"/>
        </w:rPr>
        <w:t>una prueba piloto de tarifas con base en precios en tiempo real (</w:t>
      </w:r>
      <w:r w:rsidRPr="00AA2F6F">
        <w:rPr>
          <w:i/>
          <w:iCs/>
          <w:lang w:val="es-ES_tradnl"/>
        </w:rPr>
        <w:t xml:space="preserve">Real Time </w:t>
      </w:r>
      <w:proofErr w:type="spellStart"/>
      <w:r w:rsidRPr="00AA2F6F">
        <w:rPr>
          <w:i/>
          <w:iCs/>
          <w:lang w:val="es-ES_tradnl"/>
        </w:rPr>
        <w:t>Pricing</w:t>
      </w:r>
      <w:proofErr w:type="spellEnd"/>
      <w:r w:rsidRPr="00FD1AA2">
        <w:rPr>
          <w:lang w:val="es-ES_tradnl"/>
        </w:rPr>
        <w:t xml:space="preserve">, RTP). De aprobarse, la solicitud dará lugar a un </w:t>
      </w:r>
      <w:r w:rsidRPr="00FD1AA2">
        <w:rPr>
          <w:b/>
          <w:bCs/>
          <w:lang w:val="es-ES_tradnl"/>
        </w:rPr>
        <w:t>aumento en las tarifas eléctricas</w:t>
      </w:r>
      <w:r w:rsidRPr="00FD1AA2">
        <w:rPr>
          <w:lang w:val="es-ES_tradnl"/>
        </w:rPr>
        <w:t>, a partir del 1 de enero de 2023. Los costos totales de las mejoras solicitadas y el apoyo asociado son de aproximadamente $2.6 millones a lo largo de nueve años. Tal como se autorizó en la Decisión (D.) 21-07-010</w:t>
      </w:r>
      <w:r w:rsidR="009205DD" w:rsidRPr="00FD1AA2">
        <w:rPr>
          <w:lang w:val="es-ES_tradnl"/>
        </w:rPr>
        <w:t xml:space="preserve"> de la CPUC</w:t>
      </w:r>
      <w:r w:rsidRPr="00FD1AA2">
        <w:rPr>
          <w:lang w:val="es-ES_tradnl"/>
        </w:rPr>
        <w:t>, SDG&amp;E solicita que el monto aprobado se registre en una nueva cuenta de balance propuesta.</w:t>
      </w:r>
    </w:p>
    <w:p w14:paraId="6495B942" w14:textId="77777777" w:rsidR="00FE7B12" w:rsidRPr="00FD1AA2" w:rsidRDefault="00FE7B12" w:rsidP="003C0D81">
      <w:pPr>
        <w:autoSpaceDE w:val="0"/>
        <w:autoSpaceDN w:val="0"/>
        <w:adjustRightInd w:val="0"/>
        <w:rPr>
          <w:lang w:val="es-ES_tradnl"/>
        </w:rPr>
      </w:pPr>
    </w:p>
    <w:p w14:paraId="6495B943" w14:textId="1D7A9AC3" w:rsidR="00FE7B12" w:rsidRPr="00FD1AA2" w:rsidRDefault="00B06DA9" w:rsidP="00FE7B12">
      <w:pPr>
        <w:pStyle w:val="paragraph"/>
        <w:spacing w:before="0" w:beforeAutospacing="0" w:after="0" w:afterAutospacing="0"/>
        <w:textAlignment w:val="baseline"/>
        <w:rPr>
          <w:rStyle w:val="eop"/>
          <w:lang w:val="es-ES_tradnl"/>
        </w:rPr>
      </w:pPr>
      <w:r w:rsidRPr="00FD1AA2">
        <w:rPr>
          <w:rStyle w:val="normaltextrun"/>
          <w:b/>
          <w:bCs/>
          <w:lang w:val="es-ES_tradnl"/>
        </w:rPr>
        <w:t>¿Por qué está solicitando SDG&amp;E este aumento</w:t>
      </w:r>
      <w:r w:rsidR="00465F0F" w:rsidRPr="00FD1AA2">
        <w:rPr>
          <w:rStyle w:val="normaltextrun"/>
          <w:b/>
          <w:bCs/>
          <w:lang w:val="es-ES_tradnl"/>
        </w:rPr>
        <w:t xml:space="preserve"> </w:t>
      </w:r>
      <w:r w:rsidRPr="00FD1AA2">
        <w:rPr>
          <w:rStyle w:val="normaltextrun"/>
          <w:b/>
          <w:bCs/>
          <w:lang w:val="es-ES_tradnl"/>
        </w:rPr>
        <w:t>tarifario?</w:t>
      </w:r>
      <w:r w:rsidRPr="00FD1AA2">
        <w:rPr>
          <w:rStyle w:val="normaltextrun"/>
          <w:lang w:val="es-ES_tradnl"/>
        </w:rPr>
        <w:t> </w:t>
      </w:r>
    </w:p>
    <w:p w14:paraId="6495B944" w14:textId="77777777" w:rsidR="00847D98" w:rsidRPr="00FD1AA2" w:rsidRDefault="00847D98" w:rsidP="00FE7B12">
      <w:pPr>
        <w:pStyle w:val="paragraph"/>
        <w:spacing w:before="0" w:beforeAutospacing="0" w:after="0" w:afterAutospacing="0"/>
        <w:textAlignment w:val="baseline"/>
        <w:rPr>
          <w:lang w:val="es-ES_tradnl"/>
        </w:rPr>
      </w:pPr>
    </w:p>
    <w:p w14:paraId="6495B945" w14:textId="6F47420A" w:rsidR="00E245CE" w:rsidRPr="00FD1AA2" w:rsidRDefault="001665AA" w:rsidP="1EB01B8A">
      <w:pPr>
        <w:pStyle w:val="paragraph"/>
        <w:numPr>
          <w:ilvl w:val="0"/>
          <w:numId w:val="9"/>
        </w:numPr>
        <w:spacing w:before="0" w:beforeAutospacing="0" w:after="0" w:afterAutospacing="0"/>
        <w:textAlignment w:val="baseline"/>
        <w:rPr>
          <w:rStyle w:val="normaltextrun"/>
          <w:lang w:val="es-ES_tradnl"/>
        </w:rPr>
      </w:pPr>
      <w:r w:rsidRPr="00FD1AA2">
        <w:rPr>
          <w:rStyle w:val="normaltextrun"/>
          <w:lang w:val="es-ES_tradnl"/>
        </w:rPr>
        <w:t xml:space="preserve">De conformidad con </w:t>
      </w:r>
      <w:r w:rsidR="00B06DA9" w:rsidRPr="00FD1AA2">
        <w:rPr>
          <w:rStyle w:val="normaltextrun"/>
          <w:lang w:val="es-ES_tradnl"/>
        </w:rPr>
        <w:t>la D.21-07-010</w:t>
      </w:r>
      <w:r w:rsidRPr="00FD1AA2">
        <w:rPr>
          <w:rStyle w:val="normaltextrun"/>
          <w:lang w:val="es-ES_tradnl"/>
        </w:rPr>
        <w:t xml:space="preserve"> de</w:t>
      </w:r>
      <w:r w:rsidR="00B06DA9" w:rsidRPr="00FD1AA2">
        <w:rPr>
          <w:rStyle w:val="normaltextrun"/>
          <w:lang w:val="es-ES_tradnl"/>
        </w:rPr>
        <w:t xml:space="preserve"> la CPUC</w:t>
      </w:r>
      <w:r w:rsidRPr="00FD1AA2">
        <w:rPr>
          <w:rStyle w:val="normaltextrun"/>
          <w:lang w:val="es-ES_tradnl"/>
        </w:rPr>
        <w:t>,</w:t>
      </w:r>
      <w:r w:rsidR="00B06DA9" w:rsidRPr="00FD1AA2">
        <w:rPr>
          <w:rStyle w:val="normaltextrun"/>
          <w:lang w:val="es-ES_tradnl"/>
        </w:rPr>
        <w:t xml:space="preserve"> </w:t>
      </w:r>
      <w:r w:rsidR="00A40ABC" w:rsidRPr="00FD1AA2">
        <w:rPr>
          <w:rStyle w:val="normaltextrun"/>
          <w:lang w:val="es-ES_tradnl"/>
        </w:rPr>
        <w:t xml:space="preserve">se requería que </w:t>
      </w:r>
      <w:r w:rsidR="00B06DA9" w:rsidRPr="00FD1AA2">
        <w:rPr>
          <w:rStyle w:val="normaltextrun"/>
          <w:lang w:val="es-ES_tradnl"/>
        </w:rPr>
        <w:t xml:space="preserve">SDG&amp;E </w:t>
      </w:r>
      <w:r w:rsidR="00A40ABC" w:rsidRPr="00FD1AA2">
        <w:rPr>
          <w:rStyle w:val="normaltextrun"/>
          <w:lang w:val="es-ES_tradnl"/>
        </w:rPr>
        <w:t xml:space="preserve">propusiera </w:t>
      </w:r>
      <w:r w:rsidR="00B06DA9" w:rsidRPr="00FD1AA2">
        <w:rPr>
          <w:rStyle w:val="normaltextrun"/>
          <w:lang w:val="es-ES_tradnl"/>
        </w:rPr>
        <w:t xml:space="preserve">una prueba piloto de tarifa dinámica </w:t>
      </w:r>
      <w:r w:rsidR="00D57F38" w:rsidRPr="00FD1AA2">
        <w:rPr>
          <w:rStyle w:val="normaltextrun"/>
          <w:lang w:val="es-ES_tradnl"/>
        </w:rPr>
        <w:t>con base en</w:t>
      </w:r>
      <w:r w:rsidR="00B06DA9" w:rsidRPr="00FD1AA2">
        <w:rPr>
          <w:rStyle w:val="normaltextrun"/>
          <w:lang w:val="es-ES_tradnl"/>
        </w:rPr>
        <w:t xml:space="preserve"> precios en tiempo real</w:t>
      </w:r>
      <w:r w:rsidR="004464F5" w:rsidRPr="00FD1AA2">
        <w:rPr>
          <w:rStyle w:val="normaltextrun"/>
          <w:lang w:val="es-ES_tradnl"/>
        </w:rPr>
        <w:t xml:space="preserve"> (</w:t>
      </w:r>
      <w:r w:rsidR="00A30263" w:rsidRPr="00FD1AA2">
        <w:rPr>
          <w:lang w:val="es-ES_tradnl"/>
        </w:rPr>
        <w:t>RTP)</w:t>
      </w:r>
      <w:r w:rsidR="00B06DA9" w:rsidRPr="00FD1AA2">
        <w:rPr>
          <w:rStyle w:val="normaltextrun"/>
          <w:lang w:val="es-ES_tradnl"/>
        </w:rPr>
        <w:t xml:space="preserve">. SDG&amp;E está presentando esta solicitud </w:t>
      </w:r>
      <w:r w:rsidR="00D57F38" w:rsidRPr="00FD1AA2">
        <w:rPr>
          <w:rStyle w:val="normaltextrun"/>
          <w:lang w:val="es-ES_tradnl"/>
        </w:rPr>
        <w:t xml:space="preserve">para dar </w:t>
      </w:r>
      <w:r w:rsidR="00B06DA9" w:rsidRPr="00FD1AA2">
        <w:rPr>
          <w:rStyle w:val="normaltextrun"/>
          <w:lang w:val="es-ES_tradnl"/>
        </w:rPr>
        <w:t xml:space="preserve">cumplimiento. </w:t>
      </w:r>
    </w:p>
    <w:p w14:paraId="6495B946" w14:textId="1A31F1AC" w:rsidR="009D57CF" w:rsidRPr="00FD1AA2" w:rsidRDefault="00B06DA9" w:rsidP="1EB01B8A">
      <w:pPr>
        <w:pStyle w:val="paragraph"/>
        <w:numPr>
          <w:ilvl w:val="0"/>
          <w:numId w:val="9"/>
        </w:numPr>
        <w:spacing w:before="0" w:beforeAutospacing="0" w:after="0" w:afterAutospacing="0"/>
        <w:textAlignment w:val="baseline"/>
        <w:rPr>
          <w:rStyle w:val="normaltextrun"/>
          <w:lang w:val="es-ES_tradnl"/>
        </w:rPr>
      </w:pPr>
      <w:r w:rsidRPr="00FD1AA2">
        <w:rPr>
          <w:rStyle w:val="normaltextrun"/>
          <w:lang w:val="es-ES_tradnl"/>
        </w:rPr>
        <w:t xml:space="preserve">La prueba piloto con la tarifa RTP propuesta dará a los participantes en la prueba piloto señales de precios cada hora </w:t>
      </w:r>
      <w:r w:rsidR="00CA17A4" w:rsidRPr="00FD1AA2">
        <w:rPr>
          <w:rStyle w:val="normaltextrun"/>
          <w:lang w:val="es-ES_tradnl"/>
        </w:rPr>
        <w:t>para el día siguiente</w:t>
      </w:r>
      <w:r w:rsidRPr="00FD1AA2">
        <w:rPr>
          <w:rStyle w:val="normaltextrun"/>
          <w:lang w:val="es-ES_tradnl"/>
        </w:rPr>
        <w:t>, lo que les permitirá ajustar su consumo eléctrico</w:t>
      </w:r>
      <w:r w:rsidR="00AD2EBF" w:rsidRPr="00FD1AA2">
        <w:rPr>
          <w:rStyle w:val="normaltextrun"/>
          <w:lang w:val="es-ES_tradnl"/>
        </w:rPr>
        <w:t xml:space="preserve"> como corresponde</w:t>
      </w:r>
      <w:r w:rsidRPr="00FD1AA2">
        <w:rPr>
          <w:rStyle w:val="normaltextrun"/>
          <w:lang w:val="es-ES_tradnl"/>
        </w:rPr>
        <w:t xml:space="preserve">. Entre los posibles beneficios de una tarifa RTP que se están examinando en la prueba piloto se incluyen: costos de la red reducidos, mitigación </w:t>
      </w:r>
      <w:r w:rsidR="00DB4665" w:rsidRPr="00FD1AA2">
        <w:rPr>
          <w:rStyle w:val="normaltextrun"/>
          <w:lang w:val="es-ES_tradnl"/>
        </w:rPr>
        <w:t>de</w:t>
      </w:r>
      <w:r w:rsidRPr="00FD1AA2">
        <w:rPr>
          <w:rStyle w:val="normaltextrun"/>
          <w:lang w:val="es-ES_tradnl"/>
        </w:rPr>
        <w:t xml:space="preserve"> las emisiones de gases de efecto invernadero, mayor uso de energía renovable y mejoras en la confiabilidad de la red.</w:t>
      </w:r>
    </w:p>
    <w:p w14:paraId="6495B947" w14:textId="1469DDC0" w:rsidR="00FE7B12" w:rsidRPr="00FD1AA2" w:rsidRDefault="00B06DA9" w:rsidP="1EB01B8A">
      <w:pPr>
        <w:pStyle w:val="paragraph"/>
        <w:numPr>
          <w:ilvl w:val="0"/>
          <w:numId w:val="9"/>
        </w:numPr>
        <w:spacing w:before="0" w:beforeAutospacing="0" w:after="0" w:afterAutospacing="0"/>
        <w:textAlignment w:val="baseline"/>
        <w:rPr>
          <w:lang w:val="es-ES_tradnl"/>
        </w:rPr>
      </w:pPr>
      <w:r w:rsidRPr="00FD1AA2">
        <w:rPr>
          <w:rStyle w:val="normaltextrun"/>
          <w:lang w:val="es-ES_tradnl"/>
        </w:rPr>
        <w:t xml:space="preserve">La solicitud cubre los costos potenciales asociados con la planeación y la instrumentación de la prueba piloto, como la obtención de </w:t>
      </w:r>
      <w:r w:rsidR="00523AAD" w:rsidRPr="00FD1AA2">
        <w:rPr>
          <w:rStyle w:val="normaltextrun"/>
          <w:lang w:val="es-ES_tradnl"/>
        </w:rPr>
        <w:t>comentarios y opiniones</w:t>
      </w:r>
      <w:r w:rsidRPr="00FD1AA2">
        <w:rPr>
          <w:rStyle w:val="normaltextrun"/>
          <w:lang w:val="es-ES_tradnl"/>
        </w:rPr>
        <w:t xml:space="preserve"> de las partes interesadas, la expansión de mejoras al sistema, mercadotecnia y difusión entre los clientes, notificaciones a los clientes y el establecimiento de un equipo para supervisar y evaluar la prueba piloto.</w:t>
      </w:r>
    </w:p>
    <w:p w14:paraId="6495B948" w14:textId="77777777" w:rsidR="0072769E" w:rsidRPr="00FD1AA2" w:rsidRDefault="0072769E" w:rsidP="0072769E">
      <w:pPr>
        <w:keepNext/>
        <w:keepLines/>
        <w:rPr>
          <w:lang w:val="es-ES_tradnl"/>
        </w:rPr>
      </w:pPr>
    </w:p>
    <w:p w14:paraId="6495B949" w14:textId="77777777" w:rsidR="00E46080" w:rsidRPr="00FD1AA2" w:rsidRDefault="00B06DA9" w:rsidP="00FE7B12">
      <w:pPr>
        <w:autoSpaceDE w:val="0"/>
        <w:autoSpaceDN w:val="0"/>
        <w:adjustRightInd w:val="0"/>
        <w:rPr>
          <w:b/>
          <w:bCs/>
          <w:lang w:val="es-ES_tradnl"/>
        </w:rPr>
      </w:pPr>
      <w:bookmarkStart w:id="2" w:name="_DV_M51"/>
      <w:bookmarkEnd w:id="2"/>
      <w:r w:rsidRPr="00FD1AA2">
        <w:rPr>
          <w:b/>
          <w:bCs/>
          <w:lang w:val="es-ES_tradnl"/>
        </w:rPr>
        <w:t>¿Cómo podría esto afectar mis tarifas eléctricas mensuales?</w:t>
      </w:r>
    </w:p>
    <w:p w14:paraId="6495B94A" w14:textId="77777777" w:rsidR="00E46080" w:rsidRPr="00FD1AA2" w:rsidRDefault="00E46080" w:rsidP="00E46080">
      <w:pPr>
        <w:autoSpaceDE w:val="0"/>
        <w:autoSpaceDN w:val="0"/>
        <w:adjustRightInd w:val="0"/>
        <w:rPr>
          <w:highlight w:val="yellow"/>
          <w:lang w:val="es-ES_tradnl"/>
        </w:rPr>
      </w:pPr>
    </w:p>
    <w:p w14:paraId="6495B94B" w14:textId="22BA4364" w:rsidR="00E46080" w:rsidRPr="00FD1AA2" w:rsidRDefault="00B06DA9" w:rsidP="00F56BC9">
      <w:pPr>
        <w:spacing w:line="259" w:lineRule="auto"/>
        <w:rPr>
          <w:b/>
          <w:bCs/>
          <w:lang w:val="es-ES_tradnl"/>
        </w:rPr>
      </w:pPr>
      <w:r w:rsidRPr="00FD1AA2">
        <w:rPr>
          <w:lang w:val="es-ES_tradnl"/>
        </w:rPr>
        <w:t xml:space="preserve">Si la CPUC aprueba la petición de SDG&amp;E para </w:t>
      </w:r>
      <w:r w:rsidR="003C1D77" w:rsidRPr="00FD1AA2">
        <w:rPr>
          <w:lang w:val="es-ES_tradnl"/>
        </w:rPr>
        <w:t>una</w:t>
      </w:r>
      <w:r w:rsidRPr="00FD1AA2">
        <w:rPr>
          <w:lang w:val="es-ES_tradnl"/>
        </w:rPr>
        <w:t xml:space="preserve"> prueba piloto RTP en esta solicitud, la factura promedio de un cliente residencial típico con servicios en paquete,</w:t>
      </w:r>
      <w:r w:rsidR="00E55A65" w:rsidRPr="00FD1AA2">
        <w:rPr>
          <w:rStyle w:val="FootnoteReference"/>
          <w:lang w:val="es-ES_tradnl"/>
        </w:rPr>
        <w:footnoteReference w:id="2"/>
      </w:r>
      <w:r w:rsidRPr="00FD1AA2">
        <w:rPr>
          <w:lang w:val="es-ES_tradnl"/>
        </w:rPr>
        <w:t xml:space="preserve"> que vive en la zona climática del interior y costera y consume 400 </w:t>
      </w:r>
      <w:proofErr w:type="spellStart"/>
      <w:r w:rsidRPr="00FD1AA2">
        <w:rPr>
          <w:lang w:val="es-ES_tradnl"/>
        </w:rPr>
        <w:t>kWh</w:t>
      </w:r>
      <w:proofErr w:type="spellEnd"/>
      <w:r w:rsidRPr="00FD1AA2">
        <w:rPr>
          <w:lang w:val="es-ES_tradnl"/>
        </w:rPr>
        <w:t xml:space="preserve"> al mes </w:t>
      </w:r>
      <w:r w:rsidRPr="00FD1AA2">
        <w:rPr>
          <w:b/>
          <w:bCs/>
          <w:lang w:val="es-ES_tradnl"/>
        </w:rPr>
        <w:t>aumentaría</w:t>
      </w:r>
      <w:r w:rsidRPr="00FD1AA2">
        <w:rPr>
          <w:lang w:val="es-ES_tradnl"/>
        </w:rPr>
        <w:t xml:space="preserve"> $0.02 (o 0.0%) en 2023. Las facturas por cliente individual pueden variar. </w:t>
      </w:r>
      <w:r w:rsidRPr="00FD1AA2">
        <w:rPr>
          <w:b/>
          <w:bCs/>
          <w:lang w:val="es-ES_tradnl"/>
        </w:rPr>
        <w:t>De aprobarse, las nuevas tarifas entrarían en vigor con el siguiente cambio tarifa</w:t>
      </w:r>
      <w:r w:rsidR="00EB4961" w:rsidRPr="00FD1AA2">
        <w:rPr>
          <w:b/>
          <w:bCs/>
          <w:lang w:val="es-ES_tradnl"/>
        </w:rPr>
        <w:t>rio</w:t>
      </w:r>
      <w:r w:rsidRPr="00FD1AA2">
        <w:rPr>
          <w:b/>
          <w:bCs/>
          <w:lang w:val="es-ES_tradnl"/>
        </w:rPr>
        <w:t xml:space="preserve"> disponible.</w:t>
      </w:r>
    </w:p>
    <w:p w14:paraId="6495B952" w14:textId="77777777" w:rsidR="00E46080" w:rsidRPr="00FD1AA2" w:rsidRDefault="00B06DA9" w:rsidP="00E46080">
      <w:pPr>
        <w:autoSpaceDE w:val="0"/>
        <w:autoSpaceDN w:val="0"/>
        <w:adjustRightInd w:val="0"/>
        <w:jc w:val="center"/>
        <w:rPr>
          <w:lang w:val="es-ES_tradnl"/>
        </w:rPr>
      </w:pPr>
      <w:r w:rsidRPr="00FD1AA2">
        <w:rPr>
          <w:b/>
          <w:bCs/>
          <w:lang w:val="es-ES_tradnl"/>
        </w:rPr>
        <w:lastRenderedPageBreak/>
        <w:t>Resumen de tarifas eléctricas promedio por clase ilustrativas</w:t>
      </w:r>
    </w:p>
    <w:p w14:paraId="6495B953" w14:textId="2BFB9046" w:rsidR="00E46080" w:rsidRPr="00FD1AA2" w:rsidRDefault="007B6E1F" w:rsidP="001F6086">
      <w:pPr>
        <w:autoSpaceDE w:val="0"/>
        <w:autoSpaceDN w:val="0"/>
        <w:adjustRightInd w:val="0"/>
        <w:jc w:val="center"/>
        <w:rPr>
          <w:lang w:val="es-ES_tradnl"/>
        </w:rPr>
      </w:pPr>
      <w:r w:rsidRPr="00FD1AA2">
        <w:rPr>
          <w:lang w:val="es-ES_tradnl"/>
        </w:rPr>
        <w:t xml:space="preserve">Solicitud </w:t>
      </w:r>
      <w:r w:rsidR="00D21E24" w:rsidRPr="00FD1AA2">
        <w:rPr>
          <w:lang w:val="es-ES_tradnl"/>
        </w:rPr>
        <w:t xml:space="preserve">para prueba piloto de precios en </w:t>
      </w:r>
      <w:r w:rsidR="00B06DA9" w:rsidRPr="00FD1AA2">
        <w:rPr>
          <w:lang w:val="es-ES_tradnl"/>
        </w:rPr>
        <w:t>tiempo real</w:t>
      </w:r>
    </w:p>
    <w:p w14:paraId="6495B954" w14:textId="77777777" w:rsidR="00E46080" w:rsidRPr="00FD1AA2" w:rsidRDefault="00E46080" w:rsidP="00E46080">
      <w:pPr>
        <w:rPr>
          <w:b/>
          <w:bCs/>
          <w:highlight w:val="yellow"/>
          <w:lang w:val="es-ES_tradnl"/>
        </w:rPr>
      </w:pPr>
    </w:p>
    <w:tbl>
      <w:tblPr>
        <w:tblStyle w:val="TableGrid"/>
        <w:tblW w:w="9085" w:type="dxa"/>
        <w:jc w:val="center"/>
        <w:tblLayout w:type="fixed"/>
        <w:tblLook w:val="06A0" w:firstRow="1" w:lastRow="0" w:firstColumn="1" w:lastColumn="0" w:noHBand="1" w:noVBand="1"/>
      </w:tblPr>
      <w:tblGrid>
        <w:gridCol w:w="712"/>
        <w:gridCol w:w="2348"/>
        <w:gridCol w:w="326"/>
        <w:gridCol w:w="1337"/>
        <w:gridCol w:w="1337"/>
        <w:gridCol w:w="325"/>
        <w:gridCol w:w="1350"/>
        <w:gridCol w:w="1350"/>
      </w:tblGrid>
      <w:tr w:rsidR="00735788" w:rsidRPr="00FD1AA2" w14:paraId="6495B95B" w14:textId="77777777" w:rsidTr="39E2998D">
        <w:trPr>
          <w:jc w:val="center"/>
        </w:trPr>
        <w:tc>
          <w:tcPr>
            <w:tcW w:w="712" w:type="dxa"/>
            <w:vMerge w:val="restart"/>
          </w:tcPr>
          <w:p w14:paraId="6495B955" w14:textId="77777777" w:rsidR="00C7452D" w:rsidRPr="00FD1AA2" w:rsidRDefault="00B06DA9" w:rsidP="00CF15A8">
            <w:pPr>
              <w:ind w:left="-41" w:right="-8"/>
              <w:jc w:val="center"/>
              <w:rPr>
                <w:rFonts w:eastAsia="Arial"/>
                <w:b/>
                <w:bCs/>
                <w:sz w:val="22"/>
                <w:szCs w:val="22"/>
                <w:lang w:val="es-ES_tradnl"/>
              </w:rPr>
            </w:pPr>
            <w:r w:rsidRPr="00FD1AA2">
              <w:rPr>
                <w:b/>
                <w:bCs/>
                <w:sz w:val="22"/>
                <w:szCs w:val="22"/>
                <w:lang w:val="es-ES_tradnl"/>
              </w:rPr>
              <w:t>Línea núm.</w:t>
            </w:r>
          </w:p>
        </w:tc>
        <w:tc>
          <w:tcPr>
            <w:tcW w:w="2348" w:type="dxa"/>
            <w:vMerge w:val="restart"/>
          </w:tcPr>
          <w:p w14:paraId="6495B956" w14:textId="77777777" w:rsidR="00C7452D" w:rsidRPr="00FD1AA2" w:rsidRDefault="00B06DA9" w:rsidP="005732A9">
            <w:pPr>
              <w:jc w:val="center"/>
              <w:rPr>
                <w:b/>
                <w:bCs/>
                <w:sz w:val="22"/>
                <w:szCs w:val="22"/>
                <w:lang w:val="es-ES_tradnl"/>
              </w:rPr>
            </w:pPr>
            <w:r w:rsidRPr="00FD1AA2">
              <w:rPr>
                <w:b/>
                <w:bCs/>
                <w:sz w:val="22"/>
                <w:szCs w:val="22"/>
                <w:lang w:val="es-ES_tradnl"/>
              </w:rPr>
              <w:t>Clase de cliente</w:t>
            </w:r>
          </w:p>
        </w:tc>
        <w:tc>
          <w:tcPr>
            <w:tcW w:w="326" w:type="dxa"/>
          </w:tcPr>
          <w:p w14:paraId="6495B957" w14:textId="77777777" w:rsidR="00C7452D" w:rsidRPr="00FD1AA2" w:rsidRDefault="00B06DA9" w:rsidP="39E2998D">
            <w:pPr>
              <w:rPr>
                <w:b/>
                <w:bCs/>
                <w:sz w:val="22"/>
                <w:szCs w:val="22"/>
                <w:lang w:val="es-ES_tradnl"/>
              </w:rPr>
            </w:pPr>
            <w:r w:rsidRPr="00FD1AA2">
              <w:rPr>
                <w:rFonts w:eastAsia="Arial"/>
                <w:b/>
                <w:bCs/>
                <w:sz w:val="22"/>
                <w:szCs w:val="22"/>
                <w:lang w:val="es-ES_tradnl"/>
              </w:rPr>
              <w:t xml:space="preserve"> </w:t>
            </w:r>
          </w:p>
        </w:tc>
        <w:tc>
          <w:tcPr>
            <w:tcW w:w="2674" w:type="dxa"/>
            <w:gridSpan w:val="2"/>
          </w:tcPr>
          <w:p w14:paraId="6495B958" w14:textId="77777777" w:rsidR="00C7452D" w:rsidRPr="00FD1AA2" w:rsidRDefault="00B06DA9" w:rsidP="005732A9">
            <w:pPr>
              <w:jc w:val="center"/>
              <w:rPr>
                <w:b/>
                <w:bCs/>
                <w:sz w:val="22"/>
                <w:szCs w:val="22"/>
                <w:highlight w:val="yellow"/>
                <w:lang w:val="es-ES_tradnl"/>
              </w:rPr>
            </w:pPr>
            <w:r w:rsidRPr="00FD1AA2">
              <w:rPr>
                <w:b/>
                <w:bCs/>
                <w:sz w:val="22"/>
                <w:szCs w:val="22"/>
                <w:lang w:val="es-ES_tradnl"/>
              </w:rPr>
              <w:t>Tarifas totales</w:t>
            </w:r>
            <w:r w:rsidRPr="00FD1AA2">
              <w:rPr>
                <w:rStyle w:val="FootnoteReference"/>
                <w:rFonts w:eastAsia="Arial"/>
                <w:sz w:val="22"/>
                <w:szCs w:val="22"/>
                <w:lang w:val="es-ES_tradnl"/>
              </w:rPr>
              <w:footnoteReference w:id="3"/>
            </w:r>
          </w:p>
        </w:tc>
        <w:tc>
          <w:tcPr>
            <w:tcW w:w="325" w:type="dxa"/>
          </w:tcPr>
          <w:p w14:paraId="6495B959" w14:textId="77777777" w:rsidR="00C7452D" w:rsidRPr="00FD1AA2" w:rsidRDefault="00C7452D" w:rsidP="005732A9">
            <w:pPr>
              <w:jc w:val="center"/>
              <w:rPr>
                <w:rFonts w:eastAsia="Arial"/>
                <w:b/>
                <w:bCs/>
                <w:sz w:val="22"/>
                <w:szCs w:val="22"/>
                <w:highlight w:val="yellow"/>
                <w:lang w:val="es-ES_tradnl"/>
              </w:rPr>
            </w:pPr>
          </w:p>
        </w:tc>
        <w:tc>
          <w:tcPr>
            <w:tcW w:w="2700" w:type="dxa"/>
            <w:gridSpan w:val="2"/>
          </w:tcPr>
          <w:p w14:paraId="6495B95A" w14:textId="77777777" w:rsidR="00C7452D" w:rsidRPr="00FD1AA2" w:rsidRDefault="00B06DA9" w:rsidP="005732A9">
            <w:pPr>
              <w:jc w:val="center"/>
              <w:rPr>
                <w:b/>
                <w:bCs/>
                <w:sz w:val="22"/>
                <w:szCs w:val="22"/>
                <w:lang w:val="es-ES_tradnl"/>
              </w:rPr>
            </w:pPr>
            <w:r w:rsidRPr="00FD1AA2">
              <w:rPr>
                <w:b/>
                <w:bCs/>
                <w:sz w:val="22"/>
                <w:szCs w:val="22"/>
                <w:lang w:val="es-ES_tradnl"/>
              </w:rPr>
              <w:t>Cambio</w:t>
            </w:r>
          </w:p>
        </w:tc>
      </w:tr>
      <w:tr w:rsidR="00735788" w:rsidRPr="00FD1AA2" w14:paraId="6495B966" w14:textId="77777777" w:rsidTr="39E2998D">
        <w:trPr>
          <w:jc w:val="center"/>
        </w:trPr>
        <w:tc>
          <w:tcPr>
            <w:tcW w:w="712" w:type="dxa"/>
            <w:vMerge/>
          </w:tcPr>
          <w:p w14:paraId="6495B95C" w14:textId="77777777" w:rsidR="00C7452D" w:rsidRPr="00FD1AA2" w:rsidRDefault="00C7452D" w:rsidP="005732A9">
            <w:pPr>
              <w:rPr>
                <w:b/>
                <w:bCs/>
                <w:sz w:val="22"/>
                <w:szCs w:val="22"/>
                <w:lang w:val="es-ES_tradnl"/>
              </w:rPr>
            </w:pPr>
          </w:p>
        </w:tc>
        <w:tc>
          <w:tcPr>
            <w:tcW w:w="2348" w:type="dxa"/>
            <w:vMerge/>
          </w:tcPr>
          <w:p w14:paraId="6495B95D" w14:textId="77777777" w:rsidR="00C7452D" w:rsidRPr="00FD1AA2" w:rsidRDefault="00C7452D" w:rsidP="005732A9">
            <w:pPr>
              <w:rPr>
                <w:b/>
                <w:bCs/>
                <w:sz w:val="22"/>
                <w:szCs w:val="22"/>
                <w:lang w:val="es-ES_tradnl"/>
              </w:rPr>
            </w:pPr>
          </w:p>
        </w:tc>
        <w:tc>
          <w:tcPr>
            <w:tcW w:w="326" w:type="dxa"/>
          </w:tcPr>
          <w:p w14:paraId="6495B95E" w14:textId="77777777" w:rsidR="00C7452D" w:rsidRPr="00FD1AA2" w:rsidRDefault="00C7452D" w:rsidP="39E2998D">
            <w:pPr>
              <w:rPr>
                <w:b/>
                <w:bCs/>
                <w:sz w:val="22"/>
                <w:szCs w:val="22"/>
                <w:lang w:val="es-ES_tradnl"/>
              </w:rPr>
            </w:pPr>
          </w:p>
        </w:tc>
        <w:tc>
          <w:tcPr>
            <w:tcW w:w="1337" w:type="dxa"/>
          </w:tcPr>
          <w:p w14:paraId="6495B95F" w14:textId="77777777" w:rsidR="00C7452D" w:rsidRPr="00FD1AA2" w:rsidRDefault="00B06DA9" w:rsidP="005732A9">
            <w:pPr>
              <w:jc w:val="center"/>
              <w:rPr>
                <w:rFonts w:eastAsia="Arial"/>
                <w:b/>
                <w:bCs/>
                <w:sz w:val="22"/>
                <w:szCs w:val="22"/>
                <w:lang w:val="es-ES_tradnl"/>
              </w:rPr>
            </w:pPr>
            <w:r w:rsidRPr="00FD1AA2">
              <w:rPr>
                <w:bCs/>
                <w:sz w:val="22"/>
                <w:szCs w:val="22"/>
                <w:lang w:val="es-ES_tradnl"/>
              </w:rPr>
              <w:t xml:space="preserve"> </w:t>
            </w:r>
            <w:r w:rsidRPr="00FD1AA2">
              <w:rPr>
                <w:b/>
                <w:bCs/>
                <w:sz w:val="22"/>
                <w:szCs w:val="22"/>
                <w:lang w:val="es-ES_tradnl"/>
              </w:rPr>
              <w:t>En vigor el 11/1/2021</w:t>
            </w:r>
            <w:r w:rsidRPr="00FD1AA2">
              <w:rPr>
                <w:rStyle w:val="FootnoteReference"/>
                <w:rFonts w:eastAsia="Arial"/>
                <w:sz w:val="22"/>
                <w:szCs w:val="22"/>
                <w:lang w:val="es-ES_tradnl"/>
              </w:rPr>
              <w:footnoteReference w:id="4"/>
            </w:r>
            <w:r w:rsidRPr="00FD1AA2">
              <w:rPr>
                <w:sz w:val="22"/>
                <w:szCs w:val="22"/>
                <w:lang w:val="es-ES_tradnl"/>
              </w:rPr>
              <w:t xml:space="preserve"> </w:t>
            </w:r>
          </w:p>
          <w:p w14:paraId="6495B960" w14:textId="77777777" w:rsidR="00E55A5F" w:rsidRPr="00FD1AA2" w:rsidRDefault="00B06DA9" w:rsidP="005732A9">
            <w:pPr>
              <w:jc w:val="center"/>
              <w:rPr>
                <w:rFonts w:eastAsia="Arial"/>
                <w:b/>
                <w:bCs/>
                <w:sz w:val="22"/>
                <w:szCs w:val="22"/>
                <w:lang w:val="es-ES_tradnl"/>
              </w:rPr>
            </w:pPr>
            <w:r w:rsidRPr="00FD1AA2">
              <w:rPr>
                <w:b/>
                <w:bCs/>
                <w:sz w:val="22"/>
                <w:szCs w:val="22"/>
                <w:lang w:val="es-ES_tradnl"/>
              </w:rPr>
              <w:t xml:space="preserve">(¢ / </w:t>
            </w:r>
            <w:proofErr w:type="spellStart"/>
            <w:r w:rsidRPr="00FD1AA2">
              <w:rPr>
                <w:b/>
                <w:bCs/>
                <w:sz w:val="22"/>
                <w:szCs w:val="22"/>
                <w:lang w:val="es-ES_tradnl"/>
              </w:rPr>
              <w:t>kWh</w:t>
            </w:r>
            <w:proofErr w:type="spellEnd"/>
            <w:r w:rsidRPr="00FD1AA2">
              <w:rPr>
                <w:b/>
                <w:bCs/>
                <w:sz w:val="22"/>
                <w:szCs w:val="22"/>
                <w:lang w:val="es-ES_tradnl"/>
              </w:rPr>
              <w:t>)</w:t>
            </w:r>
          </w:p>
        </w:tc>
        <w:tc>
          <w:tcPr>
            <w:tcW w:w="1337" w:type="dxa"/>
          </w:tcPr>
          <w:p w14:paraId="6495B961" w14:textId="77777777" w:rsidR="005F3D41" w:rsidRPr="00FD1AA2" w:rsidRDefault="00B06DA9" w:rsidP="00E86F87">
            <w:pPr>
              <w:jc w:val="center"/>
              <w:rPr>
                <w:lang w:val="es-ES_tradnl"/>
              </w:rPr>
            </w:pPr>
            <w:r w:rsidRPr="00FD1AA2">
              <w:rPr>
                <w:b/>
                <w:bCs/>
                <w:sz w:val="22"/>
                <w:szCs w:val="22"/>
                <w:lang w:val="es-ES_tradnl"/>
              </w:rPr>
              <w:t>Tarifas propuestas</w:t>
            </w:r>
          </w:p>
          <w:p w14:paraId="6495B962" w14:textId="77777777" w:rsidR="00E55A5F" w:rsidRPr="00FD1AA2" w:rsidRDefault="00B06DA9" w:rsidP="005732A9">
            <w:pPr>
              <w:jc w:val="center"/>
              <w:rPr>
                <w:rFonts w:eastAsia="Arial"/>
                <w:b/>
                <w:bCs/>
                <w:sz w:val="22"/>
                <w:szCs w:val="22"/>
                <w:lang w:val="es-ES_tradnl"/>
              </w:rPr>
            </w:pPr>
            <w:r w:rsidRPr="00FD1AA2">
              <w:rPr>
                <w:b/>
                <w:bCs/>
                <w:sz w:val="22"/>
                <w:szCs w:val="22"/>
                <w:lang w:val="es-ES_tradnl"/>
              </w:rPr>
              <w:t xml:space="preserve">(¢ / </w:t>
            </w:r>
            <w:proofErr w:type="spellStart"/>
            <w:r w:rsidRPr="00FD1AA2">
              <w:rPr>
                <w:b/>
                <w:bCs/>
                <w:sz w:val="22"/>
                <w:szCs w:val="22"/>
                <w:lang w:val="es-ES_tradnl"/>
              </w:rPr>
              <w:t>kWh</w:t>
            </w:r>
            <w:proofErr w:type="spellEnd"/>
            <w:r w:rsidRPr="00FD1AA2">
              <w:rPr>
                <w:b/>
                <w:bCs/>
                <w:sz w:val="22"/>
                <w:szCs w:val="22"/>
                <w:lang w:val="es-ES_tradnl"/>
              </w:rPr>
              <w:t>)</w:t>
            </w:r>
          </w:p>
        </w:tc>
        <w:tc>
          <w:tcPr>
            <w:tcW w:w="325" w:type="dxa"/>
          </w:tcPr>
          <w:p w14:paraId="6495B963" w14:textId="77777777" w:rsidR="00C7452D" w:rsidRPr="00FD1AA2" w:rsidRDefault="00C7452D" w:rsidP="005732A9">
            <w:pPr>
              <w:jc w:val="center"/>
              <w:rPr>
                <w:rFonts w:eastAsia="Arial"/>
                <w:b/>
                <w:bCs/>
                <w:sz w:val="22"/>
                <w:szCs w:val="22"/>
                <w:lang w:val="es-ES_tradnl"/>
              </w:rPr>
            </w:pPr>
          </w:p>
        </w:tc>
        <w:tc>
          <w:tcPr>
            <w:tcW w:w="1350" w:type="dxa"/>
          </w:tcPr>
          <w:p w14:paraId="6495B964" w14:textId="77777777" w:rsidR="00C7452D" w:rsidRPr="00FD1AA2" w:rsidRDefault="00B06DA9" w:rsidP="005732A9">
            <w:pPr>
              <w:jc w:val="center"/>
              <w:rPr>
                <w:rFonts w:eastAsia="Arial"/>
                <w:b/>
                <w:bCs/>
                <w:sz w:val="22"/>
                <w:szCs w:val="22"/>
                <w:lang w:val="es-ES_tradnl"/>
              </w:rPr>
            </w:pPr>
            <w:r w:rsidRPr="00FD1AA2">
              <w:rPr>
                <w:b/>
                <w:bCs/>
                <w:sz w:val="22"/>
                <w:szCs w:val="22"/>
                <w:lang w:val="es-ES_tradnl"/>
              </w:rPr>
              <w:t xml:space="preserve">¢ / </w:t>
            </w:r>
            <w:proofErr w:type="spellStart"/>
            <w:r w:rsidRPr="00FD1AA2">
              <w:rPr>
                <w:b/>
                <w:bCs/>
                <w:sz w:val="22"/>
                <w:szCs w:val="22"/>
                <w:lang w:val="es-ES_tradnl"/>
              </w:rPr>
              <w:t>kWh</w:t>
            </w:r>
            <w:proofErr w:type="spellEnd"/>
          </w:p>
        </w:tc>
        <w:tc>
          <w:tcPr>
            <w:tcW w:w="1350" w:type="dxa"/>
          </w:tcPr>
          <w:p w14:paraId="6495B965" w14:textId="77777777" w:rsidR="00C7452D" w:rsidRPr="00FD1AA2" w:rsidRDefault="00B06DA9" w:rsidP="005732A9">
            <w:pPr>
              <w:jc w:val="center"/>
              <w:rPr>
                <w:rFonts w:eastAsia="Arial"/>
                <w:b/>
                <w:bCs/>
                <w:sz w:val="22"/>
                <w:szCs w:val="22"/>
                <w:lang w:val="es-ES_tradnl"/>
              </w:rPr>
            </w:pPr>
            <w:r w:rsidRPr="00FD1AA2">
              <w:rPr>
                <w:rFonts w:eastAsia="Arial"/>
                <w:b/>
                <w:bCs/>
                <w:sz w:val="22"/>
                <w:szCs w:val="22"/>
                <w:lang w:val="es-ES_tradnl"/>
              </w:rPr>
              <w:t>%</w:t>
            </w:r>
          </w:p>
        </w:tc>
      </w:tr>
      <w:tr w:rsidR="00735788" w:rsidRPr="00FD1AA2" w14:paraId="6495B96F" w14:textId="77777777" w:rsidTr="39E2998D">
        <w:trPr>
          <w:jc w:val="center"/>
        </w:trPr>
        <w:tc>
          <w:tcPr>
            <w:tcW w:w="712" w:type="dxa"/>
          </w:tcPr>
          <w:p w14:paraId="6495B967" w14:textId="77777777" w:rsidR="006B627A" w:rsidRPr="00FD1AA2" w:rsidRDefault="00B06DA9" w:rsidP="006B627A">
            <w:pPr>
              <w:jc w:val="center"/>
              <w:rPr>
                <w:sz w:val="22"/>
                <w:szCs w:val="22"/>
                <w:lang w:val="es-ES_tradnl"/>
              </w:rPr>
            </w:pPr>
            <w:r w:rsidRPr="00FD1AA2">
              <w:rPr>
                <w:sz w:val="22"/>
                <w:szCs w:val="22"/>
                <w:lang w:val="es-ES_tradnl"/>
              </w:rPr>
              <w:t>1</w:t>
            </w:r>
          </w:p>
        </w:tc>
        <w:tc>
          <w:tcPr>
            <w:tcW w:w="2348" w:type="dxa"/>
          </w:tcPr>
          <w:p w14:paraId="6495B968" w14:textId="77777777" w:rsidR="006B627A" w:rsidRPr="00FD1AA2" w:rsidRDefault="00B06DA9" w:rsidP="006B627A">
            <w:pPr>
              <w:rPr>
                <w:sz w:val="22"/>
                <w:szCs w:val="22"/>
                <w:lang w:val="es-ES_tradnl"/>
              </w:rPr>
            </w:pPr>
            <w:r w:rsidRPr="00FD1AA2">
              <w:rPr>
                <w:color w:val="000000"/>
                <w:sz w:val="22"/>
                <w:szCs w:val="22"/>
                <w:lang w:val="es-ES_tradnl"/>
              </w:rPr>
              <w:t>Residencial</w:t>
            </w:r>
          </w:p>
        </w:tc>
        <w:tc>
          <w:tcPr>
            <w:tcW w:w="326" w:type="dxa"/>
          </w:tcPr>
          <w:p w14:paraId="6495B969" w14:textId="77777777" w:rsidR="006B627A" w:rsidRPr="00FD1AA2" w:rsidRDefault="00B06DA9" w:rsidP="006B627A">
            <w:pPr>
              <w:rPr>
                <w:sz w:val="22"/>
                <w:szCs w:val="22"/>
                <w:lang w:val="es-ES_tradnl"/>
              </w:rPr>
            </w:pPr>
            <w:r w:rsidRPr="00FD1AA2">
              <w:rPr>
                <w:rFonts w:eastAsia="Arial"/>
                <w:color w:val="000000" w:themeColor="text1"/>
                <w:sz w:val="22"/>
                <w:szCs w:val="22"/>
                <w:lang w:val="es-ES_tradnl"/>
              </w:rPr>
              <w:t xml:space="preserve"> </w:t>
            </w:r>
          </w:p>
        </w:tc>
        <w:tc>
          <w:tcPr>
            <w:tcW w:w="1337" w:type="dxa"/>
          </w:tcPr>
          <w:p w14:paraId="6495B96A" w14:textId="77777777" w:rsidR="006B627A" w:rsidRPr="00FD1AA2" w:rsidRDefault="00B06DA9" w:rsidP="006B627A">
            <w:pPr>
              <w:jc w:val="center"/>
              <w:rPr>
                <w:sz w:val="22"/>
                <w:szCs w:val="22"/>
                <w:lang w:val="es-ES_tradnl"/>
              </w:rPr>
            </w:pPr>
            <w:r w:rsidRPr="00FD1AA2">
              <w:rPr>
                <w:sz w:val="22"/>
                <w:szCs w:val="22"/>
                <w:lang w:val="es-ES_tradnl"/>
              </w:rPr>
              <w:t>32.072</w:t>
            </w:r>
          </w:p>
        </w:tc>
        <w:tc>
          <w:tcPr>
            <w:tcW w:w="1337" w:type="dxa"/>
          </w:tcPr>
          <w:p w14:paraId="6495B96B" w14:textId="77777777" w:rsidR="006B627A" w:rsidRPr="00FD1AA2" w:rsidRDefault="00B06DA9" w:rsidP="006B627A">
            <w:pPr>
              <w:jc w:val="center"/>
              <w:rPr>
                <w:sz w:val="22"/>
                <w:szCs w:val="22"/>
                <w:lang w:val="es-ES_tradnl"/>
              </w:rPr>
            </w:pPr>
            <w:r w:rsidRPr="00FD1AA2">
              <w:rPr>
                <w:lang w:val="es-ES_tradnl"/>
              </w:rPr>
              <w:t>32.079</w:t>
            </w:r>
          </w:p>
        </w:tc>
        <w:tc>
          <w:tcPr>
            <w:tcW w:w="325" w:type="dxa"/>
          </w:tcPr>
          <w:p w14:paraId="6495B96C" w14:textId="77777777" w:rsidR="006B627A" w:rsidRPr="00FD1AA2" w:rsidRDefault="00B06DA9" w:rsidP="006B627A">
            <w:pPr>
              <w:jc w:val="center"/>
              <w:rPr>
                <w:rFonts w:eastAsia="Arial"/>
                <w:sz w:val="22"/>
                <w:szCs w:val="22"/>
                <w:lang w:val="es-ES_tradnl"/>
              </w:rPr>
            </w:pPr>
            <w:r w:rsidRPr="00FD1AA2">
              <w:rPr>
                <w:rStyle w:val="eop"/>
                <w:rFonts w:ascii="Arial" w:hAnsi="Arial" w:cs="Arial"/>
                <w:sz w:val="22"/>
                <w:szCs w:val="22"/>
                <w:lang w:val="es-ES_tradnl"/>
              </w:rPr>
              <w:t> </w:t>
            </w:r>
          </w:p>
        </w:tc>
        <w:tc>
          <w:tcPr>
            <w:tcW w:w="1350" w:type="dxa"/>
          </w:tcPr>
          <w:p w14:paraId="6495B96D" w14:textId="77777777" w:rsidR="006B627A" w:rsidRPr="00FD1AA2" w:rsidRDefault="00B06DA9" w:rsidP="006B627A">
            <w:pPr>
              <w:jc w:val="center"/>
              <w:rPr>
                <w:lang w:val="es-ES_tradnl"/>
              </w:rPr>
            </w:pPr>
            <w:r w:rsidRPr="00FD1AA2">
              <w:rPr>
                <w:lang w:val="es-ES_tradnl"/>
              </w:rPr>
              <w:t>0.007</w:t>
            </w:r>
          </w:p>
        </w:tc>
        <w:tc>
          <w:tcPr>
            <w:tcW w:w="1350" w:type="dxa"/>
          </w:tcPr>
          <w:p w14:paraId="6495B96E" w14:textId="77777777" w:rsidR="006B627A" w:rsidRPr="00FD1AA2" w:rsidRDefault="00B06DA9" w:rsidP="006B627A">
            <w:pPr>
              <w:jc w:val="center"/>
              <w:rPr>
                <w:lang w:val="es-ES_tradnl"/>
              </w:rPr>
            </w:pPr>
            <w:r w:rsidRPr="00FD1AA2">
              <w:rPr>
                <w:lang w:val="es-ES_tradnl"/>
              </w:rPr>
              <w:t>0.02%</w:t>
            </w:r>
          </w:p>
        </w:tc>
      </w:tr>
      <w:tr w:rsidR="00735788" w:rsidRPr="00FD1AA2" w14:paraId="6495B978" w14:textId="77777777" w:rsidTr="39E2998D">
        <w:trPr>
          <w:jc w:val="center"/>
        </w:trPr>
        <w:tc>
          <w:tcPr>
            <w:tcW w:w="712" w:type="dxa"/>
          </w:tcPr>
          <w:p w14:paraId="6495B970" w14:textId="77777777" w:rsidR="006B627A" w:rsidRPr="00FD1AA2" w:rsidRDefault="00B06DA9" w:rsidP="006B627A">
            <w:pPr>
              <w:jc w:val="center"/>
              <w:rPr>
                <w:sz w:val="22"/>
                <w:szCs w:val="22"/>
                <w:lang w:val="es-ES_tradnl"/>
              </w:rPr>
            </w:pPr>
            <w:r w:rsidRPr="00FD1AA2">
              <w:rPr>
                <w:sz w:val="22"/>
                <w:szCs w:val="22"/>
                <w:lang w:val="es-ES_tradnl"/>
              </w:rPr>
              <w:t>2</w:t>
            </w:r>
          </w:p>
        </w:tc>
        <w:tc>
          <w:tcPr>
            <w:tcW w:w="2348" w:type="dxa"/>
          </w:tcPr>
          <w:p w14:paraId="6495B971" w14:textId="77777777" w:rsidR="006B627A" w:rsidRPr="00FD1AA2" w:rsidRDefault="00B06DA9" w:rsidP="006B627A">
            <w:pPr>
              <w:rPr>
                <w:sz w:val="22"/>
                <w:szCs w:val="22"/>
                <w:lang w:val="es-ES_tradnl"/>
              </w:rPr>
            </w:pPr>
            <w:r w:rsidRPr="00FD1AA2">
              <w:rPr>
                <w:color w:val="000000"/>
                <w:sz w:val="22"/>
                <w:szCs w:val="22"/>
                <w:lang w:val="es-ES_tradnl"/>
              </w:rPr>
              <w:t xml:space="preserve">Comercial pequeño </w:t>
            </w:r>
          </w:p>
        </w:tc>
        <w:tc>
          <w:tcPr>
            <w:tcW w:w="326" w:type="dxa"/>
          </w:tcPr>
          <w:p w14:paraId="6495B972" w14:textId="77777777" w:rsidR="006B627A" w:rsidRPr="00FD1AA2" w:rsidRDefault="006B627A" w:rsidP="006B627A">
            <w:pPr>
              <w:rPr>
                <w:sz w:val="22"/>
                <w:szCs w:val="22"/>
                <w:lang w:val="es-ES_tradnl"/>
              </w:rPr>
            </w:pPr>
          </w:p>
        </w:tc>
        <w:tc>
          <w:tcPr>
            <w:tcW w:w="1337" w:type="dxa"/>
          </w:tcPr>
          <w:p w14:paraId="6495B973" w14:textId="77777777" w:rsidR="006B627A" w:rsidRPr="00FD1AA2" w:rsidRDefault="00B06DA9" w:rsidP="006B627A">
            <w:pPr>
              <w:spacing w:line="259" w:lineRule="auto"/>
              <w:jc w:val="center"/>
              <w:rPr>
                <w:lang w:val="es-ES_tradnl"/>
              </w:rPr>
            </w:pPr>
            <w:r w:rsidRPr="00FD1AA2">
              <w:rPr>
                <w:sz w:val="22"/>
                <w:szCs w:val="22"/>
                <w:lang w:val="es-ES_tradnl"/>
              </w:rPr>
              <w:t>28.876</w:t>
            </w:r>
          </w:p>
        </w:tc>
        <w:tc>
          <w:tcPr>
            <w:tcW w:w="1337" w:type="dxa"/>
          </w:tcPr>
          <w:p w14:paraId="6495B974" w14:textId="77777777" w:rsidR="006B627A" w:rsidRPr="00FD1AA2" w:rsidRDefault="00B06DA9" w:rsidP="006B627A">
            <w:pPr>
              <w:jc w:val="center"/>
              <w:rPr>
                <w:sz w:val="22"/>
                <w:szCs w:val="22"/>
                <w:lang w:val="es-ES_tradnl"/>
              </w:rPr>
            </w:pPr>
            <w:r w:rsidRPr="00FD1AA2">
              <w:rPr>
                <w:lang w:val="es-ES_tradnl"/>
              </w:rPr>
              <w:t>28.882</w:t>
            </w:r>
          </w:p>
        </w:tc>
        <w:tc>
          <w:tcPr>
            <w:tcW w:w="325" w:type="dxa"/>
          </w:tcPr>
          <w:p w14:paraId="6495B975" w14:textId="77777777" w:rsidR="006B627A" w:rsidRPr="00FD1AA2" w:rsidRDefault="00B06DA9" w:rsidP="006B627A">
            <w:pPr>
              <w:jc w:val="center"/>
              <w:rPr>
                <w:rFonts w:eastAsia="Arial"/>
                <w:sz w:val="22"/>
                <w:szCs w:val="22"/>
                <w:lang w:val="es-ES_tradnl"/>
              </w:rPr>
            </w:pPr>
            <w:r w:rsidRPr="00FD1AA2">
              <w:rPr>
                <w:rStyle w:val="eop"/>
                <w:rFonts w:ascii="Arial" w:hAnsi="Arial" w:cs="Arial"/>
                <w:sz w:val="22"/>
                <w:szCs w:val="22"/>
                <w:lang w:val="es-ES_tradnl"/>
              </w:rPr>
              <w:t> </w:t>
            </w:r>
          </w:p>
        </w:tc>
        <w:tc>
          <w:tcPr>
            <w:tcW w:w="1350" w:type="dxa"/>
          </w:tcPr>
          <w:p w14:paraId="6495B976" w14:textId="77777777" w:rsidR="006B627A" w:rsidRPr="00FD1AA2" w:rsidRDefault="00B06DA9" w:rsidP="006B627A">
            <w:pPr>
              <w:jc w:val="center"/>
              <w:rPr>
                <w:lang w:val="es-ES_tradnl"/>
              </w:rPr>
            </w:pPr>
            <w:r w:rsidRPr="00FD1AA2">
              <w:rPr>
                <w:lang w:val="es-ES_tradnl"/>
              </w:rPr>
              <w:t>0.006</w:t>
            </w:r>
          </w:p>
        </w:tc>
        <w:tc>
          <w:tcPr>
            <w:tcW w:w="1350" w:type="dxa"/>
          </w:tcPr>
          <w:p w14:paraId="6495B977" w14:textId="77777777" w:rsidR="006B627A" w:rsidRPr="00FD1AA2" w:rsidRDefault="00B06DA9" w:rsidP="006B627A">
            <w:pPr>
              <w:jc w:val="center"/>
              <w:rPr>
                <w:lang w:val="es-ES_tradnl"/>
              </w:rPr>
            </w:pPr>
            <w:r w:rsidRPr="00FD1AA2">
              <w:rPr>
                <w:lang w:val="es-ES_tradnl"/>
              </w:rPr>
              <w:t>0.02%</w:t>
            </w:r>
          </w:p>
        </w:tc>
      </w:tr>
      <w:tr w:rsidR="00735788" w:rsidRPr="00FD1AA2" w14:paraId="6495B981" w14:textId="77777777" w:rsidTr="39E2998D">
        <w:trPr>
          <w:jc w:val="center"/>
        </w:trPr>
        <w:tc>
          <w:tcPr>
            <w:tcW w:w="712" w:type="dxa"/>
          </w:tcPr>
          <w:p w14:paraId="6495B979" w14:textId="77777777" w:rsidR="006B627A" w:rsidRPr="00FD1AA2" w:rsidRDefault="00B06DA9" w:rsidP="006B627A">
            <w:pPr>
              <w:jc w:val="center"/>
              <w:rPr>
                <w:sz w:val="22"/>
                <w:szCs w:val="22"/>
                <w:lang w:val="es-ES_tradnl"/>
              </w:rPr>
            </w:pPr>
            <w:r w:rsidRPr="00FD1AA2">
              <w:rPr>
                <w:sz w:val="22"/>
                <w:szCs w:val="22"/>
                <w:lang w:val="es-ES_tradnl"/>
              </w:rPr>
              <w:t>3</w:t>
            </w:r>
          </w:p>
        </w:tc>
        <w:tc>
          <w:tcPr>
            <w:tcW w:w="2348" w:type="dxa"/>
          </w:tcPr>
          <w:p w14:paraId="6495B97A" w14:textId="3B4611F2" w:rsidR="006B627A" w:rsidRPr="00FD1AA2" w:rsidRDefault="00B06DA9" w:rsidP="006B627A">
            <w:pPr>
              <w:rPr>
                <w:sz w:val="22"/>
                <w:szCs w:val="22"/>
                <w:lang w:val="es-ES_tradnl"/>
              </w:rPr>
            </w:pPr>
            <w:r w:rsidRPr="00FD1AA2">
              <w:rPr>
                <w:color w:val="000000"/>
                <w:sz w:val="22"/>
                <w:szCs w:val="22"/>
                <w:lang w:val="es-ES_tradnl"/>
              </w:rPr>
              <w:t>C</w:t>
            </w:r>
            <w:r w:rsidR="00BF12D0">
              <w:rPr>
                <w:color w:val="000000"/>
                <w:sz w:val="22"/>
                <w:szCs w:val="22"/>
                <w:lang w:val="es-ES_tradnl"/>
              </w:rPr>
              <w:t xml:space="preserve"> </w:t>
            </w:r>
            <w:r w:rsidRPr="00FD1AA2">
              <w:rPr>
                <w:color w:val="000000"/>
                <w:sz w:val="22"/>
                <w:szCs w:val="22"/>
                <w:lang w:val="es-ES_tradnl"/>
              </w:rPr>
              <w:t>e</w:t>
            </w:r>
            <w:r w:rsidR="00BF12D0">
              <w:rPr>
                <w:color w:val="000000"/>
                <w:sz w:val="22"/>
                <w:szCs w:val="22"/>
                <w:lang w:val="es-ES_tradnl"/>
              </w:rPr>
              <w:t xml:space="preserve"> </w:t>
            </w:r>
            <w:r w:rsidRPr="00FD1AA2">
              <w:rPr>
                <w:color w:val="000000"/>
                <w:sz w:val="22"/>
                <w:szCs w:val="22"/>
                <w:lang w:val="es-ES_tradnl"/>
              </w:rPr>
              <w:t>I mediano y grande</w:t>
            </w:r>
          </w:p>
        </w:tc>
        <w:tc>
          <w:tcPr>
            <w:tcW w:w="326" w:type="dxa"/>
          </w:tcPr>
          <w:p w14:paraId="6495B97B" w14:textId="77777777" w:rsidR="006B627A" w:rsidRPr="00FD1AA2" w:rsidRDefault="00B06DA9" w:rsidP="006B627A">
            <w:pPr>
              <w:rPr>
                <w:sz w:val="22"/>
                <w:szCs w:val="22"/>
                <w:lang w:val="es-ES_tradnl"/>
              </w:rPr>
            </w:pPr>
            <w:r w:rsidRPr="00FD1AA2">
              <w:rPr>
                <w:rFonts w:eastAsia="Arial"/>
                <w:color w:val="000000" w:themeColor="text1"/>
                <w:sz w:val="22"/>
                <w:szCs w:val="22"/>
                <w:lang w:val="es-ES_tradnl"/>
              </w:rPr>
              <w:t xml:space="preserve"> </w:t>
            </w:r>
          </w:p>
        </w:tc>
        <w:tc>
          <w:tcPr>
            <w:tcW w:w="1337" w:type="dxa"/>
          </w:tcPr>
          <w:p w14:paraId="6495B97C" w14:textId="77777777" w:rsidR="006B627A" w:rsidRPr="00FD1AA2" w:rsidRDefault="00B06DA9" w:rsidP="006B627A">
            <w:pPr>
              <w:spacing w:line="259" w:lineRule="auto"/>
              <w:jc w:val="center"/>
              <w:rPr>
                <w:sz w:val="22"/>
                <w:szCs w:val="22"/>
                <w:lang w:val="es-ES_tradnl"/>
              </w:rPr>
            </w:pPr>
            <w:r w:rsidRPr="00FD1AA2">
              <w:rPr>
                <w:sz w:val="22"/>
                <w:szCs w:val="22"/>
                <w:lang w:val="es-ES_tradnl"/>
              </w:rPr>
              <w:t>26.090</w:t>
            </w:r>
          </w:p>
        </w:tc>
        <w:tc>
          <w:tcPr>
            <w:tcW w:w="1337" w:type="dxa"/>
          </w:tcPr>
          <w:p w14:paraId="6495B97D" w14:textId="77777777" w:rsidR="006B627A" w:rsidRPr="00FD1AA2" w:rsidRDefault="00B06DA9" w:rsidP="006B627A">
            <w:pPr>
              <w:jc w:val="center"/>
              <w:rPr>
                <w:sz w:val="22"/>
                <w:szCs w:val="22"/>
                <w:lang w:val="es-ES_tradnl"/>
              </w:rPr>
            </w:pPr>
            <w:r w:rsidRPr="00FD1AA2">
              <w:rPr>
                <w:lang w:val="es-ES_tradnl"/>
              </w:rPr>
              <w:t>26.094</w:t>
            </w:r>
          </w:p>
        </w:tc>
        <w:tc>
          <w:tcPr>
            <w:tcW w:w="325" w:type="dxa"/>
          </w:tcPr>
          <w:p w14:paraId="6495B97E" w14:textId="77777777" w:rsidR="006B627A" w:rsidRPr="00FD1AA2" w:rsidRDefault="00B06DA9" w:rsidP="006B627A">
            <w:pPr>
              <w:jc w:val="center"/>
              <w:rPr>
                <w:rFonts w:eastAsia="Arial"/>
                <w:sz w:val="22"/>
                <w:szCs w:val="22"/>
                <w:lang w:val="es-ES_tradnl"/>
              </w:rPr>
            </w:pPr>
            <w:r w:rsidRPr="00FD1AA2">
              <w:rPr>
                <w:rStyle w:val="eop"/>
                <w:rFonts w:ascii="Arial" w:hAnsi="Arial" w:cs="Arial"/>
                <w:sz w:val="22"/>
                <w:szCs w:val="22"/>
                <w:lang w:val="es-ES_tradnl"/>
              </w:rPr>
              <w:t> </w:t>
            </w:r>
          </w:p>
        </w:tc>
        <w:tc>
          <w:tcPr>
            <w:tcW w:w="1350" w:type="dxa"/>
          </w:tcPr>
          <w:p w14:paraId="6495B97F" w14:textId="77777777" w:rsidR="006B627A" w:rsidRPr="00FD1AA2" w:rsidRDefault="00B06DA9" w:rsidP="006B627A">
            <w:pPr>
              <w:jc w:val="center"/>
              <w:rPr>
                <w:lang w:val="es-ES_tradnl"/>
              </w:rPr>
            </w:pPr>
            <w:r w:rsidRPr="00FD1AA2">
              <w:rPr>
                <w:lang w:val="es-ES_tradnl"/>
              </w:rPr>
              <w:t>0.004</w:t>
            </w:r>
          </w:p>
        </w:tc>
        <w:tc>
          <w:tcPr>
            <w:tcW w:w="1350" w:type="dxa"/>
          </w:tcPr>
          <w:p w14:paraId="6495B980" w14:textId="77777777" w:rsidR="006B627A" w:rsidRPr="00FD1AA2" w:rsidRDefault="00B06DA9" w:rsidP="006B627A">
            <w:pPr>
              <w:jc w:val="center"/>
              <w:rPr>
                <w:lang w:val="es-ES_tradnl"/>
              </w:rPr>
            </w:pPr>
            <w:r w:rsidRPr="00FD1AA2">
              <w:rPr>
                <w:lang w:val="es-ES_tradnl"/>
              </w:rPr>
              <w:t>0.02%</w:t>
            </w:r>
          </w:p>
        </w:tc>
      </w:tr>
      <w:tr w:rsidR="00735788" w:rsidRPr="00FD1AA2" w14:paraId="6495B98A" w14:textId="77777777" w:rsidTr="39E2998D">
        <w:trPr>
          <w:jc w:val="center"/>
        </w:trPr>
        <w:tc>
          <w:tcPr>
            <w:tcW w:w="712" w:type="dxa"/>
          </w:tcPr>
          <w:p w14:paraId="6495B982" w14:textId="77777777" w:rsidR="006B627A" w:rsidRPr="00FD1AA2" w:rsidRDefault="00B06DA9" w:rsidP="006B627A">
            <w:pPr>
              <w:jc w:val="center"/>
              <w:rPr>
                <w:sz w:val="22"/>
                <w:szCs w:val="22"/>
                <w:lang w:val="es-ES_tradnl"/>
              </w:rPr>
            </w:pPr>
            <w:r w:rsidRPr="00FD1AA2">
              <w:rPr>
                <w:sz w:val="22"/>
                <w:szCs w:val="22"/>
                <w:lang w:val="es-ES_tradnl"/>
              </w:rPr>
              <w:t>4</w:t>
            </w:r>
          </w:p>
        </w:tc>
        <w:tc>
          <w:tcPr>
            <w:tcW w:w="2348" w:type="dxa"/>
          </w:tcPr>
          <w:p w14:paraId="6495B983" w14:textId="77777777" w:rsidR="006B627A" w:rsidRPr="00FD1AA2" w:rsidRDefault="00B06DA9" w:rsidP="006B627A">
            <w:pPr>
              <w:rPr>
                <w:sz w:val="22"/>
                <w:szCs w:val="22"/>
                <w:lang w:val="es-ES_tradnl"/>
              </w:rPr>
            </w:pPr>
            <w:r w:rsidRPr="00FD1AA2">
              <w:rPr>
                <w:color w:val="000000"/>
                <w:sz w:val="22"/>
                <w:szCs w:val="22"/>
                <w:lang w:val="es-ES_tradnl"/>
              </w:rPr>
              <w:t>Agricultura</w:t>
            </w:r>
          </w:p>
        </w:tc>
        <w:tc>
          <w:tcPr>
            <w:tcW w:w="326" w:type="dxa"/>
          </w:tcPr>
          <w:p w14:paraId="6495B984" w14:textId="77777777" w:rsidR="006B627A" w:rsidRPr="00FD1AA2" w:rsidRDefault="006B627A" w:rsidP="006B627A">
            <w:pPr>
              <w:rPr>
                <w:sz w:val="22"/>
                <w:szCs w:val="22"/>
                <w:lang w:val="es-ES_tradnl"/>
              </w:rPr>
            </w:pPr>
          </w:p>
        </w:tc>
        <w:tc>
          <w:tcPr>
            <w:tcW w:w="1337" w:type="dxa"/>
          </w:tcPr>
          <w:p w14:paraId="6495B985" w14:textId="77777777" w:rsidR="006B627A" w:rsidRPr="00FD1AA2" w:rsidRDefault="00B06DA9" w:rsidP="006B627A">
            <w:pPr>
              <w:spacing w:line="259" w:lineRule="auto"/>
              <w:jc w:val="center"/>
              <w:rPr>
                <w:lang w:val="es-ES_tradnl"/>
              </w:rPr>
            </w:pPr>
            <w:r w:rsidRPr="00FD1AA2">
              <w:rPr>
                <w:sz w:val="22"/>
                <w:szCs w:val="22"/>
                <w:lang w:val="es-ES_tradnl"/>
              </w:rPr>
              <w:t>20.026</w:t>
            </w:r>
          </w:p>
        </w:tc>
        <w:tc>
          <w:tcPr>
            <w:tcW w:w="1337" w:type="dxa"/>
          </w:tcPr>
          <w:p w14:paraId="6495B986" w14:textId="77777777" w:rsidR="006B627A" w:rsidRPr="00FD1AA2" w:rsidRDefault="00B06DA9" w:rsidP="006B627A">
            <w:pPr>
              <w:jc w:val="center"/>
              <w:rPr>
                <w:sz w:val="22"/>
                <w:szCs w:val="22"/>
                <w:lang w:val="es-ES_tradnl"/>
              </w:rPr>
            </w:pPr>
            <w:r w:rsidRPr="00FD1AA2">
              <w:rPr>
                <w:lang w:val="es-ES_tradnl"/>
              </w:rPr>
              <w:t>20.030</w:t>
            </w:r>
          </w:p>
        </w:tc>
        <w:tc>
          <w:tcPr>
            <w:tcW w:w="325" w:type="dxa"/>
          </w:tcPr>
          <w:p w14:paraId="6495B987" w14:textId="77777777" w:rsidR="006B627A" w:rsidRPr="00FD1AA2" w:rsidRDefault="00B06DA9" w:rsidP="006B627A">
            <w:pPr>
              <w:jc w:val="center"/>
              <w:rPr>
                <w:rFonts w:eastAsia="Arial"/>
                <w:sz w:val="22"/>
                <w:szCs w:val="22"/>
                <w:lang w:val="es-ES_tradnl"/>
              </w:rPr>
            </w:pPr>
            <w:r w:rsidRPr="00FD1AA2">
              <w:rPr>
                <w:rStyle w:val="eop"/>
                <w:rFonts w:ascii="Arial" w:hAnsi="Arial" w:cs="Arial"/>
                <w:sz w:val="22"/>
                <w:szCs w:val="22"/>
                <w:lang w:val="es-ES_tradnl"/>
              </w:rPr>
              <w:t> </w:t>
            </w:r>
          </w:p>
        </w:tc>
        <w:tc>
          <w:tcPr>
            <w:tcW w:w="1350" w:type="dxa"/>
          </w:tcPr>
          <w:p w14:paraId="6495B988" w14:textId="77777777" w:rsidR="006B627A" w:rsidRPr="00FD1AA2" w:rsidRDefault="00B06DA9" w:rsidP="006B627A">
            <w:pPr>
              <w:jc w:val="center"/>
              <w:rPr>
                <w:lang w:val="es-ES_tradnl"/>
              </w:rPr>
            </w:pPr>
            <w:r w:rsidRPr="00FD1AA2">
              <w:rPr>
                <w:lang w:val="es-ES_tradnl"/>
              </w:rPr>
              <w:t>0.004</w:t>
            </w:r>
          </w:p>
        </w:tc>
        <w:tc>
          <w:tcPr>
            <w:tcW w:w="1350" w:type="dxa"/>
          </w:tcPr>
          <w:p w14:paraId="6495B989" w14:textId="77777777" w:rsidR="006B627A" w:rsidRPr="00FD1AA2" w:rsidRDefault="00B06DA9" w:rsidP="006B627A">
            <w:pPr>
              <w:jc w:val="center"/>
              <w:rPr>
                <w:lang w:val="es-ES_tradnl"/>
              </w:rPr>
            </w:pPr>
            <w:r w:rsidRPr="00FD1AA2">
              <w:rPr>
                <w:lang w:val="es-ES_tradnl"/>
              </w:rPr>
              <w:t>0.02%</w:t>
            </w:r>
          </w:p>
        </w:tc>
      </w:tr>
      <w:tr w:rsidR="00735788" w:rsidRPr="00FD1AA2" w14:paraId="6495B993" w14:textId="77777777" w:rsidTr="39E2998D">
        <w:trPr>
          <w:jc w:val="center"/>
        </w:trPr>
        <w:tc>
          <w:tcPr>
            <w:tcW w:w="712" w:type="dxa"/>
          </w:tcPr>
          <w:p w14:paraId="6495B98B" w14:textId="77777777" w:rsidR="006B627A" w:rsidRPr="00FD1AA2" w:rsidRDefault="00B06DA9" w:rsidP="006B627A">
            <w:pPr>
              <w:jc w:val="center"/>
              <w:rPr>
                <w:sz w:val="22"/>
                <w:szCs w:val="22"/>
                <w:lang w:val="es-ES_tradnl"/>
              </w:rPr>
            </w:pPr>
            <w:r w:rsidRPr="00FD1AA2">
              <w:rPr>
                <w:sz w:val="22"/>
                <w:szCs w:val="22"/>
                <w:lang w:val="es-ES_tradnl"/>
              </w:rPr>
              <w:t>5</w:t>
            </w:r>
          </w:p>
        </w:tc>
        <w:tc>
          <w:tcPr>
            <w:tcW w:w="2348" w:type="dxa"/>
          </w:tcPr>
          <w:p w14:paraId="6495B98C" w14:textId="77777777" w:rsidR="006B627A" w:rsidRPr="00FD1AA2" w:rsidRDefault="00B06DA9" w:rsidP="006B627A">
            <w:pPr>
              <w:rPr>
                <w:sz w:val="22"/>
                <w:szCs w:val="22"/>
                <w:lang w:val="es-ES_tradnl"/>
              </w:rPr>
            </w:pPr>
            <w:r w:rsidRPr="00FD1AA2">
              <w:rPr>
                <w:color w:val="000000"/>
                <w:sz w:val="22"/>
                <w:szCs w:val="22"/>
                <w:lang w:val="es-ES_tradnl"/>
              </w:rPr>
              <w:t xml:space="preserve">Iluminación </w:t>
            </w:r>
          </w:p>
        </w:tc>
        <w:tc>
          <w:tcPr>
            <w:tcW w:w="326" w:type="dxa"/>
          </w:tcPr>
          <w:p w14:paraId="6495B98D" w14:textId="77777777" w:rsidR="006B627A" w:rsidRPr="00FD1AA2" w:rsidRDefault="00B06DA9" w:rsidP="006B627A">
            <w:pPr>
              <w:rPr>
                <w:sz w:val="22"/>
                <w:szCs w:val="22"/>
                <w:lang w:val="es-ES_tradnl"/>
              </w:rPr>
            </w:pPr>
            <w:r w:rsidRPr="00FD1AA2">
              <w:rPr>
                <w:rFonts w:eastAsia="Arial"/>
                <w:color w:val="000000" w:themeColor="text1"/>
                <w:sz w:val="22"/>
                <w:szCs w:val="22"/>
                <w:lang w:val="es-ES_tradnl"/>
              </w:rPr>
              <w:t xml:space="preserve"> </w:t>
            </w:r>
          </w:p>
        </w:tc>
        <w:tc>
          <w:tcPr>
            <w:tcW w:w="1337" w:type="dxa"/>
          </w:tcPr>
          <w:p w14:paraId="6495B98E" w14:textId="77777777" w:rsidR="006B627A" w:rsidRPr="00FD1AA2" w:rsidRDefault="00B06DA9" w:rsidP="006B627A">
            <w:pPr>
              <w:spacing w:line="259" w:lineRule="auto"/>
              <w:jc w:val="center"/>
              <w:rPr>
                <w:lang w:val="es-ES_tradnl"/>
              </w:rPr>
            </w:pPr>
            <w:r w:rsidRPr="00FD1AA2">
              <w:rPr>
                <w:sz w:val="22"/>
                <w:szCs w:val="22"/>
                <w:lang w:val="es-ES_tradnl"/>
              </w:rPr>
              <w:t>26.140</w:t>
            </w:r>
          </w:p>
        </w:tc>
        <w:tc>
          <w:tcPr>
            <w:tcW w:w="1337" w:type="dxa"/>
          </w:tcPr>
          <w:p w14:paraId="6495B98F" w14:textId="77777777" w:rsidR="006B627A" w:rsidRPr="00FD1AA2" w:rsidRDefault="00B06DA9" w:rsidP="006B627A">
            <w:pPr>
              <w:jc w:val="center"/>
              <w:rPr>
                <w:sz w:val="22"/>
                <w:szCs w:val="22"/>
                <w:lang w:val="es-ES_tradnl"/>
              </w:rPr>
            </w:pPr>
            <w:r w:rsidRPr="00FD1AA2">
              <w:rPr>
                <w:lang w:val="es-ES_tradnl"/>
              </w:rPr>
              <w:t>26.147</w:t>
            </w:r>
          </w:p>
        </w:tc>
        <w:tc>
          <w:tcPr>
            <w:tcW w:w="325" w:type="dxa"/>
          </w:tcPr>
          <w:p w14:paraId="6495B990" w14:textId="77777777" w:rsidR="006B627A" w:rsidRPr="00FD1AA2" w:rsidRDefault="00B06DA9" w:rsidP="006B627A">
            <w:pPr>
              <w:rPr>
                <w:rFonts w:eastAsia="Arial"/>
                <w:sz w:val="22"/>
                <w:szCs w:val="22"/>
                <w:lang w:val="es-ES_tradnl"/>
              </w:rPr>
            </w:pPr>
            <w:r w:rsidRPr="00FD1AA2">
              <w:rPr>
                <w:rStyle w:val="eop"/>
                <w:rFonts w:ascii="Arial" w:hAnsi="Arial" w:cs="Arial"/>
                <w:sz w:val="22"/>
                <w:szCs w:val="22"/>
                <w:lang w:val="es-ES_tradnl"/>
              </w:rPr>
              <w:t> </w:t>
            </w:r>
          </w:p>
        </w:tc>
        <w:tc>
          <w:tcPr>
            <w:tcW w:w="1350" w:type="dxa"/>
          </w:tcPr>
          <w:p w14:paraId="6495B991" w14:textId="77777777" w:rsidR="006B627A" w:rsidRPr="00FD1AA2" w:rsidRDefault="00B06DA9" w:rsidP="006B627A">
            <w:pPr>
              <w:jc w:val="center"/>
              <w:rPr>
                <w:lang w:val="es-ES_tradnl"/>
              </w:rPr>
            </w:pPr>
            <w:r w:rsidRPr="00FD1AA2">
              <w:rPr>
                <w:lang w:val="es-ES_tradnl"/>
              </w:rPr>
              <w:t>0.007</w:t>
            </w:r>
          </w:p>
        </w:tc>
        <w:tc>
          <w:tcPr>
            <w:tcW w:w="1350" w:type="dxa"/>
          </w:tcPr>
          <w:p w14:paraId="6495B992" w14:textId="77777777" w:rsidR="006B627A" w:rsidRPr="00FD1AA2" w:rsidRDefault="00B06DA9" w:rsidP="006B627A">
            <w:pPr>
              <w:jc w:val="center"/>
              <w:rPr>
                <w:lang w:val="es-ES_tradnl"/>
              </w:rPr>
            </w:pPr>
            <w:r w:rsidRPr="00FD1AA2">
              <w:rPr>
                <w:lang w:val="es-ES_tradnl"/>
              </w:rPr>
              <w:t>0.03%</w:t>
            </w:r>
          </w:p>
        </w:tc>
      </w:tr>
      <w:tr w:rsidR="00735788" w:rsidRPr="00FD1AA2" w14:paraId="6495B99C" w14:textId="77777777" w:rsidTr="39E2998D">
        <w:trPr>
          <w:jc w:val="center"/>
        </w:trPr>
        <w:tc>
          <w:tcPr>
            <w:tcW w:w="712" w:type="dxa"/>
          </w:tcPr>
          <w:p w14:paraId="6495B994" w14:textId="77777777" w:rsidR="006B627A" w:rsidRPr="00FD1AA2" w:rsidRDefault="006B627A" w:rsidP="006B627A">
            <w:pPr>
              <w:jc w:val="center"/>
              <w:rPr>
                <w:sz w:val="22"/>
                <w:szCs w:val="22"/>
                <w:lang w:val="es-ES_tradnl"/>
              </w:rPr>
            </w:pPr>
          </w:p>
        </w:tc>
        <w:tc>
          <w:tcPr>
            <w:tcW w:w="2348" w:type="dxa"/>
          </w:tcPr>
          <w:p w14:paraId="6495B995" w14:textId="77777777" w:rsidR="006B627A" w:rsidRPr="00FD1AA2" w:rsidRDefault="006B627A" w:rsidP="006B627A">
            <w:pPr>
              <w:rPr>
                <w:rFonts w:eastAsia="Arial"/>
                <w:color w:val="000000" w:themeColor="text1"/>
                <w:sz w:val="22"/>
                <w:szCs w:val="22"/>
                <w:lang w:val="es-ES_tradnl"/>
              </w:rPr>
            </w:pPr>
          </w:p>
        </w:tc>
        <w:tc>
          <w:tcPr>
            <w:tcW w:w="326" w:type="dxa"/>
          </w:tcPr>
          <w:p w14:paraId="6495B996" w14:textId="77777777" w:rsidR="006B627A" w:rsidRPr="00FD1AA2" w:rsidRDefault="006B627A" w:rsidP="006B627A">
            <w:pPr>
              <w:rPr>
                <w:rFonts w:eastAsia="Arial"/>
                <w:color w:val="000000" w:themeColor="text1"/>
                <w:sz w:val="22"/>
                <w:szCs w:val="22"/>
                <w:lang w:val="es-ES_tradnl"/>
              </w:rPr>
            </w:pPr>
          </w:p>
        </w:tc>
        <w:tc>
          <w:tcPr>
            <w:tcW w:w="1337" w:type="dxa"/>
          </w:tcPr>
          <w:p w14:paraId="6495B997" w14:textId="77777777" w:rsidR="006B627A" w:rsidRPr="00FD1AA2" w:rsidRDefault="006B627A" w:rsidP="006B627A">
            <w:pPr>
              <w:jc w:val="center"/>
              <w:rPr>
                <w:sz w:val="22"/>
                <w:szCs w:val="22"/>
                <w:lang w:val="es-ES_tradnl"/>
              </w:rPr>
            </w:pPr>
          </w:p>
        </w:tc>
        <w:tc>
          <w:tcPr>
            <w:tcW w:w="1337" w:type="dxa"/>
          </w:tcPr>
          <w:p w14:paraId="6495B998" w14:textId="77777777" w:rsidR="006B627A" w:rsidRPr="00FD1AA2" w:rsidRDefault="00B06DA9" w:rsidP="006B627A">
            <w:pPr>
              <w:jc w:val="center"/>
              <w:rPr>
                <w:sz w:val="22"/>
                <w:szCs w:val="22"/>
                <w:lang w:val="es-ES_tradnl"/>
              </w:rPr>
            </w:pPr>
            <w:r w:rsidRPr="00FD1AA2">
              <w:rPr>
                <w:lang w:val="es-ES_tradnl"/>
              </w:rPr>
              <w:t> </w:t>
            </w:r>
          </w:p>
        </w:tc>
        <w:tc>
          <w:tcPr>
            <w:tcW w:w="325" w:type="dxa"/>
          </w:tcPr>
          <w:p w14:paraId="6495B999" w14:textId="77777777" w:rsidR="006B627A" w:rsidRPr="00FD1AA2" w:rsidRDefault="00B06DA9" w:rsidP="006B627A">
            <w:pPr>
              <w:rPr>
                <w:rFonts w:eastAsia="Arial"/>
                <w:sz w:val="22"/>
                <w:szCs w:val="22"/>
                <w:lang w:val="es-ES_tradnl"/>
              </w:rPr>
            </w:pPr>
            <w:r w:rsidRPr="00FD1AA2">
              <w:rPr>
                <w:rStyle w:val="eop"/>
                <w:rFonts w:ascii="Arial" w:hAnsi="Arial" w:cs="Arial"/>
                <w:sz w:val="22"/>
                <w:szCs w:val="22"/>
                <w:lang w:val="es-ES_tradnl"/>
              </w:rPr>
              <w:t> </w:t>
            </w:r>
          </w:p>
        </w:tc>
        <w:tc>
          <w:tcPr>
            <w:tcW w:w="1350" w:type="dxa"/>
          </w:tcPr>
          <w:p w14:paraId="6495B99A" w14:textId="77777777" w:rsidR="006B627A" w:rsidRPr="00FD1AA2" w:rsidRDefault="00B06DA9" w:rsidP="006B627A">
            <w:pPr>
              <w:jc w:val="center"/>
              <w:rPr>
                <w:lang w:val="es-ES_tradnl"/>
              </w:rPr>
            </w:pPr>
            <w:r w:rsidRPr="00FD1AA2">
              <w:rPr>
                <w:lang w:val="es-ES_tradnl"/>
              </w:rPr>
              <w:t> </w:t>
            </w:r>
          </w:p>
        </w:tc>
        <w:tc>
          <w:tcPr>
            <w:tcW w:w="1350" w:type="dxa"/>
          </w:tcPr>
          <w:p w14:paraId="6495B99B" w14:textId="77777777" w:rsidR="006B627A" w:rsidRPr="00FD1AA2" w:rsidRDefault="00B06DA9" w:rsidP="006B627A">
            <w:pPr>
              <w:jc w:val="center"/>
              <w:rPr>
                <w:lang w:val="es-ES_tradnl"/>
              </w:rPr>
            </w:pPr>
            <w:r w:rsidRPr="00FD1AA2">
              <w:rPr>
                <w:lang w:val="es-ES_tradnl"/>
              </w:rPr>
              <w:t> </w:t>
            </w:r>
          </w:p>
        </w:tc>
      </w:tr>
      <w:tr w:rsidR="00735788" w:rsidRPr="00FD1AA2" w14:paraId="6495B9A5" w14:textId="77777777" w:rsidTr="39E2998D">
        <w:trPr>
          <w:jc w:val="center"/>
        </w:trPr>
        <w:tc>
          <w:tcPr>
            <w:tcW w:w="712" w:type="dxa"/>
          </w:tcPr>
          <w:p w14:paraId="6495B99D" w14:textId="77777777" w:rsidR="006B627A" w:rsidRPr="00FD1AA2" w:rsidRDefault="00B06DA9" w:rsidP="006B627A">
            <w:pPr>
              <w:jc w:val="center"/>
              <w:rPr>
                <w:sz w:val="22"/>
                <w:szCs w:val="22"/>
                <w:lang w:val="es-ES_tradnl"/>
              </w:rPr>
            </w:pPr>
            <w:r w:rsidRPr="00FD1AA2">
              <w:rPr>
                <w:sz w:val="22"/>
                <w:szCs w:val="22"/>
                <w:lang w:val="es-ES_tradnl"/>
              </w:rPr>
              <w:t>6</w:t>
            </w:r>
          </w:p>
        </w:tc>
        <w:tc>
          <w:tcPr>
            <w:tcW w:w="2348" w:type="dxa"/>
          </w:tcPr>
          <w:p w14:paraId="6495B99E" w14:textId="77777777" w:rsidR="006B627A" w:rsidRPr="00FD1AA2" w:rsidRDefault="00B06DA9" w:rsidP="006B627A">
            <w:pPr>
              <w:rPr>
                <w:sz w:val="22"/>
                <w:szCs w:val="22"/>
                <w:lang w:val="es-ES_tradnl"/>
              </w:rPr>
            </w:pPr>
            <w:proofErr w:type="gramStart"/>
            <w:r w:rsidRPr="00FD1AA2">
              <w:rPr>
                <w:sz w:val="22"/>
                <w:szCs w:val="22"/>
                <w:lang w:val="es-ES_tradnl"/>
              </w:rPr>
              <w:t>TOTAL</w:t>
            </w:r>
            <w:proofErr w:type="gramEnd"/>
            <w:r w:rsidRPr="00FD1AA2">
              <w:rPr>
                <w:sz w:val="22"/>
                <w:szCs w:val="22"/>
                <w:lang w:val="es-ES_tradnl"/>
              </w:rPr>
              <w:t xml:space="preserve"> DEL SISTEMA</w:t>
            </w:r>
          </w:p>
        </w:tc>
        <w:tc>
          <w:tcPr>
            <w:tcW w:w="326" w:type="dxa"/>
          </w:tcPr>
          <w:p w14:paraId="6495B99F" w14:textId="77777777" w:rsidR="006B627A" w:rsidRPr="00FD1AA2" w:rsidRDefault="00B06DA9" w:rsidP="006B627A">
            <w:pPr>
              <w:rPr>
                <w:sz w:val="22"/>
                <w:szCs w:val="22"/>
                <w:lang w:val="es-ES_tradnl"/>
              </w:rPr>
            </w:pPr>
            <w:r w:rsidRPr="00FD1AA2">
              <w:rPr>
                <w:rFonts w:eastAsia="Arial"/>
                <w:color w:val="000000" w:themeColor="text1"/>
                <w:sz w:val="22"/>
                <w:szCs w:val="22"/>
                <w:lang w:val="es-ES_tradnl"/>
              </w:rPr>
              <w:t xml:space="preserve"> </w:t>
            </w:r>
          </w:p>
        </w:tc>
        <w:tc>
          <w:tcPr>
            <w:tcW w:w="1337" w:type="dxa"/>
          </w:tcPr>
          <w:p w14:paraId="6495B9A0" w14:textId="77777777" w:rsidR="006B627A" w:rsidRPr="00FD1AA2" w:rsidRDefault="00B06DA9" w:rsidP="006B627A">
            <w:pPr>
              <w:spacing w:line="259" w:lineRule="auto"/>
              <w:jc w:val="center"/>
              <w:rPr>
                <w:lang w:val="es-ES_tradnl"/>
              </w:rPr>
            </w:pPr>
            <w:r w:rsidRPr="00FD1AA2">
              <w:rPr>
                <w:sz w:val="22"/>
                <w:szCs w:val="22"/>
                <w:lang w:val="es-ES_tradnl"/>
              </w:rPr>
              <w:t>28.036</w:t>
            </w:r>
          </w:p>
        </w:tc>
        <w:tc>
          <w:tcPr>
            <w:tcW w:w="1337" w:type="dxa"/>
          </w:tcPr>
          <w:p w14:paraId="6495B9A1" w14:textId="77777777" w:rsidR="006B627A" w:rsidRPr="00FD1AA2" w:rsidRDefault="00B06DA9" w:rsidP="006B627A">
            <w:pPr>
              <w:jc w:val="center"/>
              <w:rPr>
                <w:sz w:val="22"/>
                <w:szCs w:val="22"/>
                <w:lang w:val="es-ES_tradnl"/>
              </w:rPr>
            </w:pPr>
            <w:r w:rsidRPr="00FD1AA2">
              <w:rPr>
                <w:lang w:val="es-ES_tradnl"/>
              </w:rPr>
              <w:t>28.041</w:t>
            </w:r>
          </w:p>
        </w:tc>
        <w:tc>
          <w:tcPr>
            <w:tcW w:w="325" w:type="dxa"/>
          </w:tcPr>
          <w:p w14:paraId="6495B9A2" w14:textId="77777777" w:rsidR="006B627A" w:rsidRPr="00FD1AA2" w:rsidRDefault="00B06DA9" w:rsidP="006B627A">
            <w:pPr>
              <w:jc w:val="center"/>
              <w:rPr>
                <w:rFonts w:eastAsia="Arial"/>
                <w:sz w:val="22"/>
                <w:szCs w:val="22"/>
                <w:lang w:val="es-ES_tradnl"/>
              </w:rPr>
            </w:pPr>
            <w:r w:rsidRPr="00FD1AA2">
              <w:rPr>
                <w:rStyle w:val="eop"/>
                <w:rFonts w:ascii="Arial" w:hAnsi="Arial" w:cs="Arial"/>
                <w:sz w:val="22"/>
                <w:szCs w:val="22"/>
                <w:lang w:val="es-ES_tradnl"/>
              </w:rPr>
              <w:t> </w:t>
            </w:r>
          </w:p>
        </w:tc>
        <w:tc>
          <w:tcPr>
            <w:tcW w:w="1350" w:type="dxa"/>
          </w:tcPr>
          <w:p w14:paraId="6495B9A3" w14:textId="77777777" w:rsidR="006B627A" w:rsidRPr="00FD1AA2" w:rsidRDefault="00B06DA9" w:rsidP="006B627A">
            <w:pPr>
              <w:jc w:val="center"/>
              <w:rPr>
                <w:lang w:val="es-ES_tradnl"/>
              </w:rPr>
            </w:pPr>
            <w:r w:rsidRPr="00FD1AA2">
              <w:rPr>
                <w:lang w:val="es-ES_tradnl"/>
              </w:rPr>
              <w:t>0.005</w:t>
            </w:r>
          </w:p>
        </w:tc>
        <w:tc>
          <w:tcPr>
            <w:tcW w:w="1350" w:type="dxa"/>
          </w:tcPr>
          <w:p w14:paraId="6495B9A4" w14:textId="77777777" w:rsidR="006B627A" w:rsidRPr="00FD1AA2" w:rsidRDefault="00B06DA9" w:rsidP="006B627A">
            <w:pPr>
              <w:jc w:val="center"/>
              <w:rPr>
                <w:lang w:val="es-ES_tradnl"/>
              </w:rPr>
            </w:pPr>
            <w:r w:rsidRPr="00FD1AA2">
              <w:rPr>
                <w:lang w:val="es-ES_tradnl"/>
              </w:rPr>
              <w:t>0.02%</w:t>
            </w:r>
          </w:p>
        </w:tc>
      </w:tr>
    </w:tbl>
    <w:p w14:paraId="6495B9A6" w14:textId="77777777" w:rsidR="006664ED" w:rsidRPr="00FD1AA2" w:rsidRDefault="006664ED" w:rsidP="00E46080">
      <w:pPr>
        <w:jc w:val="center"/>
        <w:rPr>
          <w:b/>
          <w:bCs/>
          <w:highlight w:val="yellow"/>
          <w:lang w:val="es-ES_tradnl"/>
        </w:rPr>
      </w:pPr>
    </w:p>
    <w:p w14:paraId="6495B9A7" w14:textId="77777777" w:rsidR="00FE7B12" w:rsidRPr="00FD1AA2" w:rsidRDefault="00FE7B12" w:rsidP="00E46080">
      <w:pPr>
        <w:autoSpaceDE w:val="0"/>
        <w:autoSpaceDN w:val="0"/>
        <w:adjustRightInd w:val="0"/>
        <w:rPr>
          <w:rStyle w:val="normaltextrun"/>
          <w:b/>
          <w:bCs/>
          <w:color w:val="000000"/>
          <w:shd w:val="clear" w:color="auto" w:fill="FFFFFF"/>
          <w:lang w:val="es-ES_tradnl"/>
        </w:rPr>
      </w:pPr>
    </w:p>
    <w:p w14:paraId="6495B9A8" w14:textId="286C3F07" w:rsidR="00E46080" w:rsidRPr="00FD1AA2" w:rsidRDefault="00B06DA9" w:rsidP="00E46080">
      <w:pPr>
        <w:autoSpaceDE w:val="0"/>
        <w:autoSpaceDN w:val="0"/>
        <w:adjustRightInd w:val="0"/>
        <w:rPr>
          <w:rStyle w:val="normaltextrun"/>
          <w:b/>
          <w:bCs/>
          <w:color w:val="000000"/>
          <w:shd w:val="clear" w:color="auto" w:fill="FFFFFF"/>
          <w:lang w:val="es-ES_tradnl"/>
        </w:rPr>
      </w:pPr>
      <w:r w:rsidRPr="00FD1AA2">
        <w:rPr>
          <w:rStyle w:val="normaltextrun"/>
          <w:b/>
          <w:bCs/>
          <w:color w:val="000000"/>
          <w:shd w:val="clear" w:color="auto" w:fill="FFFFFF"/>
          <w:lang w:val="es-ES_tradnl"/>
        </w:rPr>
        <w:t>¿Cómo podría</w:t>
      </w:r>
      <w:r w:rsidR="00465F0F" w:rsidRPr="00FD1AA2">
        <w:rPr>
          <w:rStyle w:val="normaltextrun"/>
          <w:b/>
          <w:bCs/>
          <w:color w:val="000000"/>
          <w:shd w:val="clear" w:color="auto" w:fill="FFFFFF"/>
          <w:lang w:val="es-ES_tradnl"/>
        </w:rPr>
        <w:t xml:space="preserve"> </w:t>
      </w:r>
      <w:r w:rsidRPr="00FD1AA2">
        <w:rPr>
          <w:rStyle w:val="normaltextrun"/>
          <w:b/>
          <w:bCs/>
          <w:color w:val="000000"/>
          <w:shd w:val="clear" w:color="auto" w:fill="FFFFFF"/>
          <w:lang w:val="es-ES_tradnl"/>
        </w:rPr>
        <w:t>afectar esto mis tarifas mensuales de</w:t>
      </w:r>
      <w:r w:rsidR="00F917CA" w:rsidRPr="00FD1AA2">
        <w:rPr>
          <w:rStyle w:val="normaltextrun"/>
          <w:b/>
          <w:bCs/>
          <w:color w:val="000000"/>
          <w:shd w:val="clear" w:color="auto" w:fill="FFFFFF"/>
          <w:lang w:val="es-ES_tradnl"/>
        </w:rPr>
        <w:t xml:space="preserve"> </w:t>
      </w:r>
      <w:r w:rsidRPr="00FD1AA2">
        <w:rPr>
          <w:rStyle w:val="normaltextrun"/>
          <w:b/>
          <w:bCs/>
          <w:color w:val="000000"/>
          <w:shd w:val="clear" w:color="auto" w:fill="FFFFFF"/>
          <w:lang w:val="es-ES_tradnl"/>
        </w:rPr>
        <w:t>gas?</w:t>
      </w:r>
    </w:p>
    <w:p w14:paraId="6495B9A9" w14:textId="77777777" w:rsidR="00FE7B12" w:rsidRPr="00FD1AA2" w:rsidRDefault="00FE7B12" w:rsidP="00E46080">
      <w:pPr>
        <w:autoSpaceDE w:val="0"/>
        <w:autoSpaceDN w:val="0"/>
        <w:adjustRightInd w:val="0"/>
        <w:rPr>
          <w:lang w:val="es-ES_tradnl"/>
        </w:rPr>
      </w:pPr>
    </w:p>
    <w:p w14:paraId="6495B9AA" w14:textId="77777777" w:rsidR="00E46080" w:rsidRPr="00FD1AA2" w:rsidRDefault="00B06DA9" w:rsidP="00E46080">
      <w:pPr>
        <w:rPr>
          <w:b/>
          <w:bCs/>
          <w:lang w:val="es-ES_tradnl"/>
        </w:rPr>
      </w:pPr>
      <w:r w:rsidRPr="00FD1AA2">
        <w:rPr>
          <w:lang w:val="es-ES_tradnl"/>
        </w:rPr>
        <w:t xml:space="preserve">La petición de SDG&amp;E no tendrá ninguna repercusión en las tarifas de gas. </w:t>
      </w:r>
    </w:p>
    <w:p w14:paraId="6495B9AB" w14:textId="77777777" w:rsidR="00E46080" w:rsidRPr="00FD1AA2" w:rsidRDefault="00B06DA9" w:rsidP="39E2998D">
      <w:pPr>
        <w:autoSpaceDE w:val="0"/>
        <w:autoSpaceDN w:val="0"/>
        <w:adjustRightInd w:val="0"/>
        <w:rPr>
          <w:lang w:val="es-ES_tradnl"/>
        </w:rPr>
      </w:pPr>
      <w:r w:rsidRPr="00FD1AA2">
        <w:rPr>
          <w:lang w:val="es-ES_tradnl"/>
        </w:rPr>
        <w:t xml:space="preserve"> </w:t>
      </w:r>
    </w:p>
    <w:p w14:paraId="6495B9AC" w14:textId="77777777" w:rsidR="0072769E" w:rsidRPr="00FD1AA2" w:rsidRDefault="00B06DA9" w:rsidP="00FE7B12">
      <w:pPr>
        <w:pStyle w:val="BodyText"/>
        <w:spacing w:after="0"/>
        <w:rPr>
          <w:b/>
          <w:bCs/>
          <w:lang w:val="es-ES_tradnl"/>
        </w:rPr>
      </w:pPr>
      <w:r w:rsidRPr="00FD1AA2">
        <w:rPr>
          <w:rStyle w:val="normaltextrun"/>
          <w:b/>
          <w:bCs/>
          <w:color w:val="000000"/>
          <w:shd w:val="clear" w:color="auto" w:fill="FFFFFF"/>
          <w:lang w:val="es-ES_tradnl"/>
        </w:rPr>
        <w:t>¿Cómo funciona el resto de este proceso?</w:t>
      </w:r>
    </w:p>
    <w:p w14:paraId="6495B9AD" w14:textId="77777777" w:rsidR="00AD6E86" w:rsidRPr="00FD1AA2" w:rsidRDefault="00AD6E86" w:rsidP="006B6AA3">
      <w:pPr>
        <w:pStyle w:val="BodyText"/>
        <w:spacing w:after="0"/>
        <w:jc w:val="center"/>
        <w:rPr>
          <w:b/>
          <w:bCs/>
          <w:lang w:val="es-ES_tradnl"/>
        </w:rPr>
      </w:pPr>
    </w:p>
    <w:p w14:paraId="6495B9AE" w14:textId="77777777" w:rsidR="00813BDE" w:rsidRPr="00FD1AA2" w:rsidRDefault="00B06DA9" w:rsidP="004A4FAC">
      <w:pPr>
        <w:pStyle w:val="BodyText"/>
        <w:rPr>
          <w:lang w:val="es-ES_tradnl" w:eastAsia="en-US"/>
        </w:rPr>
      </w:pPr>
      <w:r w:rsidRPr="00FD1AA2">
        <w:rPr>
          <w:lang w:val="es-ES_tradnl" w:eastAsia="en-US"/>
        </w:rPr>
        <w:t xml:space="preserve">La presente solicitud se asignará a un Juez de Derecho Administrativo de la CPUC, quien considerará las propuestas y pruebas presentadas durante el proceso formal de las audiencias. El Juez de Derecho Administrativo emitirá una propuesta de decisión que tal vez adopte la solicitud de SDG&amp;E, la modifique o la deniegue. Cualquier Comisionado de la CPUC puede proponer una decisión alterna con un resultado distinto. La decisión propuesta y cualquier decisión alterna serán sometidas a la discusión y votación de los Comisionados de la CPUC en una Reunión de Votación pública de la CPUC. </w:t>
      </w:r>
    </w:p>
    <w:p w14:paraId="6495B9AF" w14:textId="77777777" w:rsidR="00FE7B12" w:rsidRPr="00FD1AA2" w:rsidRDefault="00B06DA9" w:rsidP="00FE7B12">
      <w:pPr>
        <w:rPr>
          <w:lang w:val="es-ES_tradnl"/>
        </w:rPr>
      </w:pPr>
      <w:r w:rsidRPr="00FD1AA2">
        <w:rPr>
          <w:lang w:val="es-ES_tradnl"/>
        </w:rPr>
        <w:t>Las partes en el procedimiento pueden examinar la solicitud de SDG&amp;E; entre ellas se incluye la Oficina de Defensores Públicos, la cual es un defensor independiente de los consumidores dentro de la CPUC que representa a los clientes para obtener la tarifa más baja posible por un servicio acorde con niveles de servicio confiables y seguros. Para más información acerca de la Oficina de Defensores Públicos, sírvase llamar al 1-415-703-1584, escribir un correo electrónico a PublicAdvocatesOffice@cpuc.ca.gov o visitar PublicAdvocates.cpuc.ca.gov.</w:t>
      </w:r>
    </w:p>
    <w:p w14:paraId="6495B9B0" w14:textId="77777777" w:rsidR="002303F5" w:rsidRPr="00FD1AA2" w:rsidRDefault="002303F5" w:rsidP="00FE7B12">
      <w:pPr>
        <w:rPr>
          <w:lang w:val="es-ES_tradnl"/>
        </w:rPr>
      </w:pPr>
    </w:p>
    <w:p w14:paraId="4C7E3496" w14:textId="77777777" w:rsidR="00AC6254" w:rsidRPr="00FD1AA2" w:rsidRDefault="00AC6254">
      <w:pPr>
        <w:rPr>
          <w:b/>
          <w:bCs/>
          <w:lang w:val="es-ES_tradnl"/>
        </w:rPr>
      </w:pPr>
      <w:r w:rsidRPr="00FD1AA2">
        <w:rPr>
          <w:b/>
          <w:bCs/>
          <w:lang w:val="es-ES_tradnl"/>
        </w:rPr>
        <w:br w:type="page"/>
      </w:r>
    </w:p>
    <w:p w14:paraId="6495B9B1" w14:textId="0CC71506" w:rsidR="0072769E" w:rsidRPr="00FD1AA2" w:rsidRDefault="00B06DA9" w:rsidP="00FE7B12">
      <w:pPr>
        <w:rPr>
          <w:b/>
          <w:bCs/>
          <w:lang w:val="es-ES_tradnl"/>
        </w:rPr>
      </w:pPr>
      <w:r w:rsidRPr="00FD1AA2">
        <w:rPr>
          <w:b/>
          <w:bCs/>
          <w:lang w:val="es-ES_tradnl"/>
        </w:rPr>
        <w:lastRenderedPageBreak/>
        <w:t>¿Dónde puedo obtener más información?</w:t>
      </w:r>
    </w:p>
    <w:p w14:paraId="6495B9B2" w14:textId="77777777" w:rsidR="00BE0930" w:rsidRPr="00FD1AA2" w:rsidRDefault="00BE0930" w:rsidP="0072769E">
      <w:pPr>
        <w:rPr>
          <w:lang w:val="es-ES_tradnl"/>
        </w:rPr>
      </w:pPr>
    </w:p>
    <w:p w14:paraId="6495B9B3" w14:textId="77777777" w:rsidR="00DA1BB5" w:rsidRPr="00FD1AA2" w:rsidRDefault="00B06DA9" w:rsidP="0072769E">
      <w:pPr>
        <w:rPr>
          <w:lang w:val="es-ES_tradnl"/>
        </w:rPr>
      </w:pPr>
      <w:r w:rsidRPr="00FD1AA2">
        <w:rPr>
          <w:lang w:val="es-ES_tradnl"/>
        </w:rPr>
        <w:t>PÓNGASE EN CONTACTO CON SDG&amp;E</w:t>
      </w:r>
    </w:p>
    <w:p w14:paraId="6495B9B4" w14:textId="77777777" w:rsidR="00306E6D" w:rsidRPr="00FD1AA2" w:rsidRDefault="00B06DA9" w:rsidP="0079586B">
      <w:pPr>
        <w:numPr>
          <w:ilvl w:val="0"/>
          <w:numId w:val="3"/>
        </w:numPr>
        <w:rPr>
          <w:lang w:val="es-ES_tradnl"/>
        </w:rPr>
      </w:pPr>
      <w:r w:rsidRPr="00FD1AA2">
        <w:rPr>
          <w:lang w:val="es-ES_tradnl"/>
        </w:rPr>
        <w:t xml:space="preserve">Enviando un mensaje por correo electrónico a: kbarlow@sdge.com </w:t>
      </w:r>
    </w:p>
    <w:p w14:paraId="6495B9B5" w14:textId="77777777" w:rsidR="00DA1BB5" w:rsidRPr="00FD1AA2" w:rsidRDefault="00B06DA9" w:rsidP="00FF0FB8">
      <w:pPr>
        <w:numPr>
          <w:ilvl w:val="0"/>
          <w:numId w:val="3"/>
        </w:numPr>
        <w:rPr>
          <w:lang w:val="es-ES_tradnl"/>
        </w:rPr>
      </w:pPr>
      <w:r w:rsidRPr="00FD1AA2">
        <w:rPr>
          <w:lang w:val="es-ES_tradnl"/>
        </w:rPr>
        <w:t xml:space="preserve">Escribiendo a: </w:t>
      </w:r>
      <w:proofErr w:type="spellStart"/>
      <w:r w:rsidRPr="00FD1AA2">
        <w:rPr>
          <w:lang w:val="es-ES_tradnl"/>
        </w:rPr>
        <w:t>Kaitlin</w:t>
      </w:r>
      <w:proofErr w:type="spellEnd"/>
      <w:r w:rsidRPr="00FD1AA2">
        <w:rPr>
          <w:lang w:val="es-ES_tradnl"/>
        </w:rPr>
        <w:t xml:space="preserve"> </w:t>
      </w:r>
      <w:proofErr w:type="spellStart"/>
      <w:r w:rsidRPr="00FD1AA2">
        <w:rPr>
          <w:lang w:val="es-ES_tradnl"/>
        </w:rPr>
        <w:t>Barlow</w:t>
      </w:r>
      <w:proofErr w:type="spellEnd"/>
    </w:p>
    <w:p w14:paraId="6495B9B6" w14:textId="77777777" w:rsidR="000721B8" w:rsidRPr="00FD1AA2" w:rsidRDefault="00B06DA9" w:rsidP="003001DA">
      <w:pPr>
        <w:ind w:left="720"/>
        <w:rPr>
          <w:lang w:val="es-ES_tradnl"/>
        </w:rPr>
      </w:pPr>
      <w:proofErr w:type="spellStart"/>
      <w:r w:rsidRPr="00FD1AA2">
        <w:rPr>
          <w:lang w:val="es-ES_tradnl"/>
        </w:rPr>
        <w:t>Regulatory</w:t>
      </w:r>
      <w:proofErr w:type="spellEnd"/>
      <w:r w:rsidRPr="00FD1AA2">
        <w:rPr>
          <w:lang w:val="es-ES_tradnl"/>
        </w:rPr>
        <w:t xml:space="preserve"> Case Manager </w:t>
      </w:r>
      <w:proofErr w:type="spellStart"/>
      <w:r w:rsidRPr="00FD1AA2">
        <w:rPr>
          <w:lang w:val="es-ES_tradnl"/>
        </w:rPr>
        <w:t>for</w:t>
      </w:r>
      <w:proofErr w:type="spellEnd"/>
      <w:r w:rsidRPr="00FD1AA2">
        <w:rPr>
          <w:lang w:val="es-ES_tradnl"/>
        </w:rPr>
        <w:t xml:space="preserve"> SDG&amp;E</w:t>
      </w:r>
    </w:p>
    <w:p w14:paraId="6495B9B7" w14:textId="77777777" w:rsidR="000721B8" w:rsidRPr="00FD1AA2" w:rsidRDefault="00B06DA9" w:rsidP="003001DA">
      <w:pPr>
        <w:ind w:left="720"/>
        <w:rPr>
          <w:lang w:val="es-ES_tradnl"/>
        </w:rPr>
      </w:pPr>
      <w:r w:rsidRPr="00FD1AA2">
        <w:rPr>
          <w:lang w:val="es-ES_tradnl"/>
        </w:rPr>
        <w:t xml:space="preserve">8330 Century Park </w:t>
      </w:r>
      <w:proofErr w:type="spellStart"/>
      <w:r w:rsidRPr="00FD1AA2">
        <w:rPr>
          <w:lang w:val="es-ES_tradnl"/>
        </w:rPr>
        <w:t>Court</w:t>
      </w:r>
      <w:proofErr w:type="spellEnd"/>
      <w:r w:rsidRPr="00FD1AA2">
        <w:rPr>
          <w:lang w:val="es-ES_tradnl"/>
        </w:rPr>
        <w:t xml:space="preserve"> #CP32E, San Diego, CA 92123</w:t>
      </w:r>
    </w:p>
    <w:p w14:paraId="6495B9B8" w14:textId="77777777" w:rsidR="00DA1BB5" w:rsidRPr="00FD1AA2" w:rsidRDefault="00DA1BB5" w:rsidP="0072769E">
      <w:pPr>
        <w:rPr>
          <w:lang w:val="es-ES_tradnl"/>
        </w:rPr>
      </w:pPr>
    </w:p>
    <w:p w14:paraId="6495B9B9" w14:textId="77777777" w:rsidR="00DA1BB5" w:rsidRPr="00FD1AA2" w:rsidRDefault="00B06DA9" w:rsidP="007771BB">
      <w:pPr>
        <w:numPr>
          <w:ilvl w:val="0"/>
          <w:numId w:val="3"/>
        </w:numPr>
        <w:rPr>
          <w:lang w:val="es-ES_tradnl"/>
        </w:rPr>
      </w:pPr>
      <w:r w:rsidRPr="00FD1AA2">
        <w:rPr>
          <w:lang w:val="es-ES_tradnl"/>
        </w:rPr>
        <w:t xml:space="preserve">Una copia de la solicitud y cualesquier documentos relacionados se pueden examinar también en </w:t>
      </w:r>
      <w:hyperlink r:id="rId11" w:history="1">
        <w:r w:rsidRPr="00FD1AA2">
          <w:rPr>
            <w:color w:val="0000FF"/>
            <w:u w:val="single"/>
            <w:lang w:val="es-ES_tradnl"/>
          </w:rPr>
          <w:t>https://www.sdge.com/rates-and-regulations/proceedings</w:t>
        </w:r>
      </w:hyperlink>
      <w:r w:rsidRPr="00FD1AA2">
        <w:rPr>
          <w:lang w:val="es-ES_tradnl"/>
        </w:rPr>
        <w:t>.</w:t>
      </w:r>
    </w:p>
    <w:p w14:paraId="6495B9BA" w14:textId="77777777" w:rsidR="00DA1BB5" w:rsidRPr="00FD1AA2" w:rsidRDefault="00DA1BB5" w:rsidP="0072769E">
      <w:pPr>
        <w:rPr>
          <w:lang w:val="es-ES_tradnl"/>
        </w:rPr>
      </w:pPr>
    </w:p>
    <w:p w14:paraId="6495B9BB" w14:textId="77777777" w:rsidR="00DA1BB5" w:rsidRPr="00FD1AA2" w:rsidRDefault="00B06DA9" w:rsidP="0072769E">
      <w:pPr>
        <w:rPr>
          <w:b/>
          <w:bCs/>
          <w:sz w:val="22"/>
          <w:szCs w:val="22"/>
          <w:lang w:val="es-ES_tradnl"/>
        </w:rPr>
      </w:pPr>
      <w:r w:rsidRPr="00FD1AA2">
        <w:rPr>
          <w:b/>
          <w:bCs/>
          <w:sz w:val="22"/>
          <w:szCs w:val="22"/>
          <w:lang w:val="es-ES_tradnl"/>
        </w:rPr>
        <w:t>Póngase en contacto con la CPUC</w:t>
      </w:r>
    </w:p>
    <w:p w14:paraId="6495B9BC" w14:textId="77777777" w:rsidR="00523F56" w:rsidRPr="00FD1AA2" w:rsidRDefault="00B06DA9" w:rsidP="2B4F8D92">
      <w:pPr>
        <w:pStyle w:val="paragraph"/>
        <w:spacing w:before="0" w:beforeAutospacing="0" w:after="0" w:afterAutospacing="0"/>
        <w:textAlignment w:val="baseline"/>
        <w:rPr>
          <w:lang w:val="es-ES_tradnl"/>
        </w:rPr>
      </w:pPr>
      <w:r w:rsidRPr="00FD1AA2">
        <w:rPr>
          <w:rStyle w:val="normaltextrun"/>
          <w:color w:val="000000"/>
          <w:lang w:val="es-ES_tradnl"/>
        </w:rPr>
        <w:t xml:space="preserve">Por favor, visite </w:t>
      </w:r>
      <w:r w:rsidRPr="00FD1AA2">
        <w:rPr>
          <w:rStyle w:val="normaltextrun"/>
          <w:b/>
          <w:bCs/>
          <w:color w:val="000000"/>
          <w:lang w:val="es-ES_tradnl"/>
        </w:rPr>
        <w:t xml:space="preserve">apps.cpuc.ca.gov/c/A2112006 </w:t>
      </w:r>
      <w:r w:rsidRPr="00FD1AA2">
        <w:rPr>
          <w:rStyle w:val="normaltextrun"/>
          <w:color w:val="000000"/>
          <w:lang w:val="es-ES_tradnl"/>
        </w:rPr>
        <w:t>para enviar un comentario acerca de este procedimiento en la Ficha del Expediente de la CPUC. Aquí también puede ver documentos y otros comentarios públicos relacionados con este procedimiento. </w:t>
      </w:r>
    </w:p>
    <w:p w14:paraId="6495B9BD" w14:textId="77777777" w:rsidR="00523F56" w:rsidRPr="00FD1AA2" w:rsidRDefault="00B06DA9" w:rsidP="00523F56">
      <w:pPr>
        <w:pStyle w:val="paragraph"/>
        <w:spacing w:before="0" w:beforeAutospacing="0" w:after="0" w:afterAutospacing="0"/>
        <w:textAlignment w:val="baseline"/>
        <w:rPr>
          <w:lang w:val="es-ES_tradnl"/>
        </w:rPr>
      </w:pPr>
      <w:r w:rsidRPr="00FD1AA2">
        <w:rPr>
          <w:rStyle w:val="eop"/>
          <w:color w:val="000000"/>
          <w:lang w:val="es-ES_tradnl"/>
        </w:rPr>
        <w:t> </w:t>
      </w:r>
    </w:p>
    <w:p w14:paraId="6495B9BE" w14:textId="77777777" w:rsidR="00523F56" w:rsidRPr="00FD1AA2" w:rsidRDefault="00B06DA9" w:rsidP="00523F56">
      <w:pPr>
        <w:pStyle w:val="paragraph"/>
        <w:spacing w:before="0" w:beforeAutospacing="0" w:after="0" w:afterAutospacing="0"/>
        <w:textAlignment w:val="baseline"/>
        <w:rPr>
          <w:lang w:val="es-ES_tradnl"/>
        </w:rPr>
      </w:pPr>
      <w:r w:rsidRPr="00FD1AA2">
        <w:rPr>
          <w:rStyle w:val="normaltextrun"/>
          <w:lang w:val="es-ES_tradnl"/>
        </w:rPr>
        <w:t>Si tiene preguntas acerca de los procesos de la CPUC, puede comunicarse a la Oficina del Asesor Público de la CPUC:</w:t>
      </w:r>
    </w:p>
    <w:p w14:paraId="6495B9BF" w14:textId="77777777" w:rsidR="00523F56" w:rsidRPr="00FD1AA2" w:rsidRDefault="00B06DA9" w:rsidP="00523F56">
      <w:pPr>
        <w:pStyle w:val="paragraph"/>
        <w:spacing w:before="0" w:beforeAutospacing="0" w:after="0" w:afterAutospacing="0"/>
        <w:ind w:left="720"/>
        <w:textAlignment w:val="baseline"/>
        <w:rPr>
          <w:lang w:val="es-ES_tradnl"/>
        </w:rPr>
      </w:pPr>
      <w:r w:rsidRPr="00FD1AA2">
        <w:rPr>
          <w:rStyle w:val="normaltextrun"/>
          <w:lang w:val="es-ES_tradnl"/>
        </w:rPr>
        <w:t xml:space="preserve">Llamando al: </w:t>
      </w:r>
      <w:r w:rsidRPr="00FD1AA2">
        <w:rPr>
          <w:rStyle w:val="normaltextrun"/>
          <w:b/>
          <w:bCs/>
          <w:lang w:val="es-ES_tradnl"/>
        </w:rPr>
        <w:t>1-866-849-8390</w:t>
      </w:r>
      <w:r w:rsidRPr="00FD1AA2">
        <w:rPr>
          <w:rStyle w:val="normaltextrun"/>
          <w:lang w:val="es-ES_tradnl"/>
        </w:rPr>
        <w:t xml:space="preserve"> (sin costo) o al </w:t>
      </w:r>
      <w:r w:rsidRPr="00FD1AA2">
        <w:rPr>
          <w:rStyle w:val="normaltextrun"/>
          <w:b/>
          <w:bCs/>
          <w:lang w:val="es-ES_tradnl"/>
        </w:rPr>
        <w:t>1-415-703-2074</w:t>
      </w:r>
    </w:p>
    <w:p w14:paraId="6495B9C0" w14:textId="2A691A86" w:rsidR="00523F56" w:rsidRPr="00FD1AA2" w:rsidRDefault="00B06DA9" w:rsidP="00523F56">
      <w:pPr>
        <w:pStyle w:val="paragraph"/>
        <w:spacing w:before="0" w:beforeAutospacing="0" w:after="0" w:afterAutospacing="0"/>
        <w:ind w:left="720"/>
        <w:textAlignment w:val="baseline"/>
        <w:rPr>
          <w:lang w:val="es-ES_tradnl"/>
        </w:rPr>
      </w:pPr>
      <w:r w:rsidRPr="00FD1AA2">
        <w:rPr>
          <w:rStyle w:val="normaltextrun"/>
          <w:lang w:val="es-ES_tradnl"/>
        </w:rPr>
        <w:t>Enviando un mensaje de correo electrónico a: Public.Advisor@cpuc.ca.gov</w:t>
      </w:r>
    </w:p>
    <w:p w14:paraId="6495B9C1" w14:textId="2365B8F9" w:rsidR="00523F56" w:rsidRPr="00FD1AA2" w:rsidRDefault="00B06DA9" w:rsidP="00523F56">
      <w:pPr>
        <w:pStyle w:val="paragraph"/>
        <w:spacing w:before="0" w:beforeAutospacing="0" w:after="0" w:afterAutospacing="0"/>
        <w:ind w:left="720"/>
        <w:textAlignment w:val="baseline"/>
        <w:rPr>
          <w:lang w:val="es-ES_tradnl"/>
        </w:rPr>
      </w:pPr>
      <w:r w:rsidRPr="00FD1AA2">
        <w:rPr>
          <w:rStyle w:val="normaltextrun"/>
          <w:lang w:val="es-ES_tradnl"/>
        </w:rPr>
        <w:t>Escribiendo a:</w:t>
      </w:r>
      <w:r w:rsidR="00465F0F" w:rsidRPr="00FD1AA2">
        <w:rPr>
          <w:rStyle w:val="normaltextrun"/>
          <w:lang w:val="es-ES_tradnl"/>
        </w:rPr>
        <w:t xml:space="preserve"> </w:t>
      </w:r>
      <w:r w:rsidRPr="00FD1AA2">
        <w:rPr>
          <w:rStyle w:val="normaltextrun"/>
          <w:lang w:val="es-ES_tradnl"/>
        </w:rPr>
        <w:tab/>
        <w:t xml:space="preserve">CPUC </w:t>
      </w:r>
      <w:proofErr w:type="spellStart"/>
      <w:r w:rsidRPr="00FD1AA2">
        <w:rPr>
          <w:rStyle w:val="normaltextrun"/>
          <w:lang w:val="es-ES_tradnl"/>
        </w:rPr>
        <w:t>Public</w:t>
      </w:r>
      <w:proofErr w:type="spellEnd"/>
      <w:r w:rsidRPr="00FD1AA2">
        <w:rPr>
          <w:rStyle w:val="normaltextrun"/>
          <w:lang w:val="es-ES_tradnl"/>
        </w:rPr>
        <w:t xml:space="preserve"> </w:t>
      </w:r>
      <w:proofErr w:type="spellStart"/>
      <w:r w:rsidRPr="00FD1AA2">
        <w:rPr>
          <w:rStyle w:val="normaltextrun"/>
          <w:lang w:val="es-ES_tradnl"/>
        </w:rPr>
        <w:t>Advisor’s</w:t>
      </w:r>
      <w:proofErr w:type="spellEnd"/>
      <w:r w:rsidRPr="00FD1AA2">
        <w:rPr>
          <w:rStyle w:val="normaltextrun"/>
          <w:lang w:val="es-ES_tradnl"/>
        </w:rPr>
        <w:t xml:space="preserve"> Office</w:t>
      </w:r>
    </w:p>
    <w:p w14:paraId="6495B9C2" w14:textId="77777777" w:rsidR="00523F56" w:rsidRPr="00FD1AA2" w:rsidRDefault="00B06DA9" w:rsidP="00523F56">
      <w:pPr>
        <w:pStyle w:val="paragraph"/>
        <w:spacing w:before="0" w:beforeAutospacing="0" w:after="0" w:afterAutospacing="0"/>
        <w:ind w:left="720" w:firstLine="720"/>
        <w:textAlignment w:val="baseline"/>
        <w:rPr>
          <w:lang w:val="es-ES_tradnl"/>
        </w:rPr>
      </w:pPr>
      <w:r w:rsidRPr="00FD1AA2">
        <w:rPr>
          <w:rStyle w:val="normaltextrun"/>
          <w:lang w:val="es-ES_tradnl"/>
        </w:rPr>
        <w:t xml:space="preserve">505 </w:t>
      </w:r>
      <w:proofErr w:type="gramStart"/>
      <w:r w:rsidRPr="00FD1AA2">
        <w:rPr>
          <w:rStyle w:val="normaltextrun"/>
          <w:lang w:val="es-ES_tradnl"/>
        </w:rPr>
        <w:t>Van</w:t>
      </w:r>
      <w:proofErr w:type="gramEnd"/>
      <w:r w:rsidRPr="00FD1AA2">
        <w:rPr>
          <w:rStyle w:val="normaltextrun"/>
          <w:lang w:val="es-ES_tradnl"/>
        </w:rPr>
        <w:t xml:space="preserve"> Ness </w:t>
      </w:r>
      <w:proofErr w:type="spellStart"/>
      <w:r w:rsidRPr="00FD1AA2">
        <w:rPr>
          <w:rStyle w:val="normaltextrun"/>
          <w:lang w:val="es-ES_tradnl"/>
        </w:rPr>
        <w:t>Avenue</w:t>
      </w:r>
      <w:proofErr w:type="spellEnd"/>
      <w:r w:rsidRPr="00FD1AA2">
        <w:rPr>
          <w:rStyle w:val="normaltextrun"/>
          <w:lang w:val="es-ES_tradnl"/>
        </w:rPr>
        <w:t> </w:t>
      </w:r>
    </w:p>
    <w:p w14:paraId="6495B9C3" w14:textId="77777777" w:rsidR="00523F56" w:rsidRPr="00FD1AA2" w:rsidRDefault="00B06DA9" w:rsidP="00523F56">
      <w:pPr>
        <w:pStyle w:val="paragraph"/>
        <w:spacing w:before="0" w:beforeAutospacing="0" w:after="0" w:afterAutospacing="0"/>
        <w:ind w:left="720" w:firstLine="720"/>
        <w:textAlignment w:val="baseline"/>
        <w:rPr>
          <w:lang w:val="es-ES_tradnl"/>
        </w:rPr>
      </w:pPr>
      <w:r w:rsidRPr="00FD1AA2">
        <w:rPr>
          <w:rStyle w:val="normaltextrun"/>
          <w:lang w:val="es-ES_tradnl"/>
        </w:rPr>
        <w:t>San Francisco, CA 94102</w:t>
      </w:r>
    </w:p>
    <w:p w14:paraId="6495B9C4" w14:textId="77777777" w:rsidR="00523F56" w:rsidRPr="00FD1AA2" w:rsidRDefault="00B06DA9" w:rsidP="00523F56">
      <w:pPr>
        <w:pStyle w:val="paragraph"/>
        <w:spacing w:before="0" w:beforeAutospacing="0" w:after="0" w:afterAutospacing="0"/>
        <w:textAlignment w:val="baseline"/>
        <w:rPr>
          <w:lang w:val="es-ES_tradnl"/>
        </w:rPr>
      </w:pPr>
      <w:r w:rsidRPr="00FD1AA2">
        <w:rPr>
          <w:rStyle w:val="eop"/>
          <w:lang w:val="es-ES_tradnl"/>
        </w:rPr>
        <w:t> </w:t>
      </w:r>
    </w:p>
    <w:p w14:paraId="6495B9C5" w14:textId="08B2BCC1" w:rsidR="002D3487" w:rsidRPr="00FD1AA2" w:rsidRDefault="00B06DA9" w:rsidP="7071A4B4">
      <w:pPr>
        <w:pStyle w:val="paragraph"/>
        <w:spacing w:before="0" w:beforeAutospacing="0" w:after="0" w:afterAutospacing="0"/>
        <w:textAlignment w:val="baseline"/>
        <w:rPr>
          <w:lang w:val="es-ES_tradnl"/>
        </w:rPr>
      </w:pPr>
      <w:r w:rsidRPr="00FD1AA2">
        <w:rPr>
          <w:rStyle w:val="normaltextrun"/>
          <w:lang w:val="es-ES_tradnl"/>
        </w:rPr>
        <w:t xml:space="preserve">Por favor, haga referencia a la solicitud </w:t>
      </w:r>
      <w:proofErr w:type="spellStart"/>
      <w:r w:rsidRPr="00FD1AA2">
        <w:rPr>
          <w:rStyle w:val="normaltextrun"/>
          <w:b/>
          <w:bCs/>
          <w:lang w:val="es-ES_tradnl"/>
        </w:rPr>
        <w:t>Application</w:t>
      </w:r>
      <w:proofErr w:type="spellEnd"/>
      <w:r w:rsidRPr="00FD1AA2">
        <w:rPr>
          <w:rStyle w:val="normaltextrun"/>
          <w:b/>
          <w:bCs/>
          <w:lang w:val="es-ES_tradnl"/>
        </w:rPr>
        <w:t xml:space="preserve"> A.21-12-006</w:t>
      </w:r>
      <w:r w:rsidRPr="00FD1AA2">
        <w:rPr>
          <w:rStyle w:val="normaltextrun"/>
          <w:lang w:val="es-ES_tradnl"/>
        </w:rPr>
        <w:t xml:space="preserve"> en cualesquiera comunicaciones que sostenga con la CPUC en relación con este asunto.</w:t>
      </w:r>
    </w:p>
    <w:sectPr w:rsidR="002D3487" w:rsidRPr="00FD1A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91CC" w14:textId="77777777" w:rsidR="00F46E64" w:rsidRDefault="00F46E64">
      <w:r>
        <w:separator/>
      </w:r>
    </w:p>
  </w:endnote>
  <w:endnote w:type="continuationSeparator" w:id="0">
    <w:p w14:paraId="16818A62" w14:textId="77777777" w:rsidR="00F46E64" w:rsidRDefault="00F4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D12A" w14:textId="77777777" w:rsidR="00F46E64" w:rsidRDefault="00F46E64" w:rsidP="00BB4510">
      <w:r>
        <w:separator/>
      </w:r>
    </w:p>
  </w:footnote>
  <w:footnote w:type="continuationSeparator" w:id="0">
    <w:p w14:paraId="286B89AF" w14:textId="77777777" w:rsidR="00F46E64" w:rsidRDefault="00F46E64" w:rsidP="00BB4510">
      <w:r>
        <w:continuationSeparator/>
      </w:r>
    </w:p>
  </w:footnote>
  <w:footnote w:type="continuationNotice" w:id="1">
    <w:p w14:paraId="1B9A78DB" w14:textId="77777777" w:rsidR="00F46E64" w:rsidRDefault="00F46E64"/>
  </w:footnote>
  <w:footnote w:id="2">
    <w:p w14:paraId="04A1D2DC" w14:textId="1E933BCB" w:rsidR="00E55A65" w:rsidRPr="00E45FA2" w:rsidRDefault="00E55A65" w:rsidP="00E55A65">
      <w:pPr>
        <w:pStyle w:val="FootnoteText"/>
        <w:rPr>
          <w:sz w:val="22"/>
          <w:szCs w:val="22"/>
          <w:lang w:val="es-MX"/>
        </w:rPr>
      </w:pPr>
      <w:r w:rsidRPr="00130061">
        <w:rPr>
          <w:rStyle w:val="FootnoteReference"/>
          <w:sz w:val="22"/>
          <w:szCs w:val="22"/>
        </w:rPr>
        <w:footnoteRef/>
      </w:r>
      <w:r w:rsidR="004B5D31">
        <w:rPr>
          <w:sz w:val="22"/>
          <w:szCs w:val="22"/>
          <w:lang w:val="es-ES_tradnl"/>
        </w:rPr>
        <w:t xml:space="preserve"> </w:t>
      </w:r>
      <w:r>
        <w:rPr>
          <w:sz w:val="22"/>
          <w:szCs w:val="22"/>
          <w:lang w:val="es-ES_tradnl"/>
        </w:rPr>
        <w:t xml:space="preserve">Un cliente con servicios en paquete es aquel que recibe tanto el servicio de la compañía de distribución de servicios públicos </w:t>
      </w:r>
      <w:proofErr w:type="spellStart"/>
      <w:r>
        <w:rPr>
          <w:sz w:val="22"/>
          <w:szCs w:val="22"/>
          <w:lang w:val="es-ES_tradnl"/>
        </w:rPr>
        <w:t>Utility</w:t>
      </w:r>
      <w:proofErr w:type="spellEnd"/>
      <w:r>
        <w:rPr>
          <w:sz w:val="22"/>
          <w:szCs w:val="22"/>
          <w:lang w:val="es-ES_tradnl"/>
        </w:rPr>
        <w:t xml:space="preserve"> </w:t>
      </w:r>
      <w:proofErr w:type="spellStart"/>
      <w:r>
        <w:rPr>
          <w:sz w:val="22"/>
          <w:szCs w:val="22"/>
          <w:lang w:val="es-ES_tradnl"/>
        </w:rPr>
        <w:t>Distribution</w:t>
      </w:r>
      <w:proofErr w:type="spellEnd"/>
      <w:r>
        <w:rPr>
          <w:sz w:val="22"/>
          <w:szCs w:val="22"/>
          <w:lang w:val="es-ES_tradnl"/>
        </w:rPr>
        <w:t xml:space="preserve"> Company (UDC) como el servicio de producto básico de SDG&amp;E, como en el esquema tarifario TOU-DR1.</w:t>
      </w:r>
    </w:p>
  </w:footnote>
  <w:footnote w:id="3">
    <w:p w14:paraId="6495B9CC" w14:textId="77777777" w:rsidR="005F3D41" w:rsidRPr="00E45FA2" w:rsidRDefault="00B06DA9">
      <w:pPr>
        <w:pStyle w:val="FootnoteText"/>
        <w:rPr>
          <w:sz w:val="22"/>
          <w:szCs w:val="22"/>
          <w:lang w:val="es-MX"/>
        </w:rPr>
      </w:pPr>
      <w:r w:rsidRPr="008F7891">
        <w:rPr>
          <w:rStyle w:val="FootnoteReference"/>
          <w:sz w:val="22"/>
          <w:szCs w:val="22"/>
        </w:rPr>
        <w:footnoteRef/>
      </w:r>
      <w:r>
        <w:rPr>
          <w:sz w:val="22"/>
          <w:szCs w:val="22"/>
          <w:lang w:val="es-ES_tradnl"/>
        </w:rPr>
        <w:t xml:space="preserve"> Representa a clientes que reciben servicio en paquete.</w:t>
      </w:r>
    </w:p>
  </w:footnote>
  <w:footnote w:id="4">
    <w:p w14:paraId="6495B9CD" w14:textId="2EBB211A" w:rsidR="001F6086" w:rsidRPr="00E45FA2" w:rsidRDefault="00B06DA9">
      <w:pPr>
        <w:pStyle w:val="FootnoteText"/>
        <w:rPr>
          <w:sz w:val="22"/>
          <w:szCs w:val="22"/>
          <w:lang w:val="es-MX"/>
        </w:rPr>
      </w:pPr>
      <w:r w:rsidRPr="008F7891">
        <w:rPr>
          <w:rStyle w:val="FootnoteReference"/>
          <w:sz w:val="22"/>
          <w:szCs w:val="22"/>
        </w:rPr>
        <w:footnoteRef/>
      </w:r>
      <w:r w:rsidR="002F26B0">
        <w:rPr>
          <w:sz w:val="22"/>
          <w:szCs w:val="22"/>
          <w:lang w:val="es-ES_tradnl"/>
        </w:rPr>
        <w:t xml:space="preserve"> </w:t>
      </w:r>
      <w:r>
        <w:rPr>
          <w:sz w:val="22"/>
          <w:szCs w:val="22"/>
          <w:lang w:val="es-ES_tradnl"/>
        </w:rPr>
        <w:t>Tarifas en vigor a partir del 11/1/2021 conforme a la Carta de Aviso 3855-E.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CF6"/>
    <w:multiLevelType w:val="hybridMultilevel"/>
    <w:tmpl w:val="BB7C1042"/>
    <w:lvl w:ilvl="0" w:tplc="08760C34">
      <w:start w:val="1"/>
      <w:numFmt w:val="bullet"/>
      <w:lvlText w:val=""/>
      <w:lvlJc w:val="left"/>
      <w:pPr>
        <w:ind w:left="720" w:hanging="360"/>
      </w:pPr>
      <w:rPr>
        <w:rFonts w:ascii="Symbol" w:hAnsi="Symbol" w:hint="default"/>
      </w:rPr>
    </w:lvl>
    <w:lvl w:ilvl="1" w:tplc="99B2C7A2" w:tentative="1">
      <w:start w:val="1"/>
      <w:numFmt w:val="bullet"/>
      <w:lvlText w:val="o"/>
      <w:lvlJc w:val="left"/>
      <w:pPr>
        <w:ind w:left="1440" w:hanging="360"/>
      </w:pPr>
      <w:rPr>
        <w:rFonts w:ascii="Courier New" w:hAnsi="Courier New" w:cs="Courier New" w:hint="default"/>
      </w:rPr>
    </w:lvl>
    <w:lvl w:ilvl="2" w:tplc="37C4DCD0" w:tentative="1">
      <w:start w:val="1"/>
      <w:numFmt w:val="bullet"/>
      <w:lvlText w:val=""/>
      <w:lvlJc w:val="left"/>
      <w:pPr>
        <w:ind w:left="2160" w:hanging="360"/>
      </w:pPr>
      <w:rPr>
        <w:rFonts w:ascii="Wingdings" w:hAnsi="Wingdings" w:hint="default"/>
      </w:rPr>
    </w:lvl>
    <w:lvl w:ilvl="3" w:tplc="D96A511A" w:tentative="1">
      <w:start w:val="1"/>
      <w:numFmt w:val="bullet"/>
      <w:lvlText w:val=""/>
      <w:lvlJc w:val="left"/>
      <w:pPr>
        <w:ind w:left="2880" w:hanging="360"/>
      </w:pPr>
      <w:rPr>
        <w:rFonts w:ascii="Symbol" w:hAnsi="Symbol" w:hint="default"/>
      </w:rPr>
    </w:lvl>
    <w:lvl w:ilvl="4" w:tplc="CD48ED98" w:tentative="1">
      <w:start w:val="1"/>
      <w:numFmt w:val="bullet"/>
      <w:lvlText w:val="o"/>
      <w:lvlJc w:val="left"/>
      <w:pPr>
        <w:ind w:left="3600" w:hanging="360"/>
      </w:pPr>
      <w:rPr>
        <w:rFonts w:ascii="Courier New" w:hAnsi="Courier New" w:cs="Courier New" w:hint="default"/>
      </w:rPr>
    </w:lvl>
    <w:lvl w:ilvl="5" w:tplc="7188E8C2" w:tentative="1">
      <w:start w:val="1"/>
      <w:numFmt w:val="bullet"/>
      <w:lvlText w:val=""/>
      <w:lvlJc w:val="left"/>
      <w:pPr>
        <w:ind w:left="4320" w:hanging="360"/>
      </w:pPr>
      <w:rPr>
        <w:rFonts w:ascii="Wingdings" w:hAnsi="Wingdings" w:hint="default"/>
      </w:rPr>
    </w:lvl>
    <w:lvl w:ilvl="6" w:tplc="F6CA6126" w:tentative="1">
      <w:start w:val="1"/>
      <w:numFmt w:val="bullet"/>
      <w:lvlText w:val=""/>
      <w:lvlJc w:val="left"/>
      <w:pPr>
        <w:ind w:left="5040" w:hanging="360"/>
      </w:pPr>
      <w:rPr>
        <w:rFonts w:ascii="Symbol" w:hAnsi="Symbol" w:hint="default"/>
      </w:rPr>
    </w:lvl>
    <w:lvl w:ilvl="7" w:tplc="5D9EF3BE" w:tentative="1">
      <w:start w:val="1"/>
      <w:numFmt w:val="bullet"/>
      <w:lvlText w:val="o"/>
      <w:lvlJc w:val="left"/>
      <w:pPr>
        <w:ind w:left="5760" w:hanging="360"/>
      </w:pPr>
      <w:rPr>
        <w:rFonts w:ascii="Courier New" w:hAnsi="Courier New" w:cs="Courier New" w:hint="default"/>
      </w:rPr>
    </w:lvl>
    <w:lvl w:ilvl="8" w:tplc="439E9234" w:tentative="1">
      <w:start w:val="1"/>
      <w:numFmt w:val="bullet"/>
      <w:lvlText w:val=""/>
      <w:lvlJc w:val="left"/>
      <w:pPr>
        <w:ind w:left="6480" w:hanging="360"/>
      </w:pPr>
      <w:rPr>
        <w:rFonts w:ascii="Wingdings" w:hAnsi="Wingdings" w:hint="default"/>
      </w:rPr>
    </w:lvl>
  </w:abstractNum>
  <w:abstractNum w:abstractNumId="1" w15:restartNumberingAfterBreak="0">
    <w:nsid w:val="0AE34E9F"/>
    <w:multiLevelType w:val="hybridMultilevel"/>
    <w:tmpl w:val="F8461AE4"/>
    <w:lvl w:ilvl="0" w:tplc="31362BE0">
      <w:start w:val="1"/>
      <w:numFmt w:val="bullet"/>
      <w:lvlText w:val=""/>
      <w:lvlJc w:val="left"/>
      <w:pPr>
        <w:ind w:left="720" w:hanging="360"/>
      </w:pPr>
      <w:rPr>
        <w:rFonts w:ascii="Symbol" w:hAnsi="Symbol" w:hint="default"/>
      </w:rPr>
    </w:lvl>
    <w:lvl w:ilvl="1" w:tplc="82FEEE80" w:tentative="1">
      <w:start w:val="1"/>
      <w:numFmt w:val="bullet"/>
      <w:lvlText w:val="o"/>
      <w:lvlJc w:val="left"/>
      <w:pPr>
        <w:ind w:left="1440" w:hanging="360"/>
      </w:pPr>
      <w:rPr>
        <w:rFonts w:ascii="Courier New" w:hAnsi="Courier New" w:cs="Courier New" w:hint="default"/>
      </w:rPr>
    </w:lvl>
    <w:lvl w:ilvl="2" w:tplc="5776B3AE" w:tentative="1">
      <w:start w:val="1"/>
      <w:numFmt w:val="bullet"/>
      <w:lvlText w:val=""/>
      <w:lvlJc w:val="left"/>
      <w:pPr>
        <w:ind w:left="2160" w:hanging="360"/>
      </w:pPr>
      <w:rPr>
        <w:rFonts w:ascii="Wingdings" w:hAnsi="Wingdings" w:hint="default"/>
      </w:rPr>
    </w:lvl>
    <w:lvl w:ilvl="3" w:tplc="87648AF8" w:tentative="1">
      <w:start w:val="1"/>
      <w:numFmt w:val="bullet"/>
      <w:lvlText w:val=""/>
      <w:lvlJc w:val="left"/>
      <w:pPr>
        <w:ind w:left="2880" w:hanging="360"/>
      </w:pPr>
      <w:rPr>
        <w:rFonts w:ascii="Symbol" w:hAnsi="Symbol" w:hint="default"/>
      </w:rPr>
    </w:lvl>
    <w:lvl w:ilvl="4" w:tplc="E048E5F2" w:tentative="1">
      <w:start w:val="1"/>
      <w:numFmt w:val="bullet"/>
      <w:lvlText w:val="o"/>
      <w:lvlJc w:val="left"/>
      <w:pPr>
        <w:ind w:left="3600" w:hanging="360"/>
      </w:pPr>
      <w:rPr>
        <w:rFonts w:ascii="Courier New" w:hAnsi="Courier New" w:cs="Courier New" w:hint="default"/>
      </w:rPr>
    </w:lvl>
    <w:lvl w:ilvl="5" w:tplc="368C07EC" w:tentative="1">
      <w:start w:val="1"/>
      <w:numFmt w:val="bullet"/>
      <w:lvlText w:val=""/>
      <w:lvlJc w:val="left"/>
      <w:pPr>
        <w:ind w:left="4320" w:hanging="360"/>
      </w:pPr>
      <w:rPr>
        <w:rFonts w:ascii="Wingdings" w:hAnsi="Wingdings" w:hint="default"/>
      </w:rPr>
    </w:lvl>
    <w:lvl w:ilvl="6" w:tplc="23167556" w:tentative="1">
      <w:start w:val="1"/>
      <w:numFmt w:val="bullet"/>
      <w:lvlText w:val=""/>
      <w:lvlJc w:val="left"/>
      <w:pPr>
        <w:ind w:left="5040" w:hanging="360"/>
      </w:pPr>
      <w:rPr>
        <w:rFonts w:ascii="Symbol" w:hAnsi="Symbol" w:hint="default"/>
      </w:rPr>
    </w:lvl>
    <w:lvl w:ilvl="7" w:tplc="08E8F3B2" w:tentative="1">
      <w:start w:val="1"/>
      <w:numFmt w:val="bullet"/>
      <w:lvlText w:val="o"/>
      <w:lvlJc w:val="left"/>
      <w:pPr>
        <w:ind w:left="5760" w:hanging="360"/>
      </w:pPr>
      <w:rPr>
        <w:rFonts w:ascii="Courier New" w:hAnsi="Courier New" w:cs="Courier New" w:hint="default"/>
      </w:rPr>
    </w:lvl>
    <w:lvl w:ilvl="8" w:tplc="B4D0467C" w:tentative="1">
      <w:start w:val="1"/>
      <w:numFmt w:val="bullet"/>
      <w:lvlText w:val=""/>
      <w:lvlJc w:val="left"/>
      <w:pPr>
        <w:ind w:left="6480" w:hanging="360"/>
      </w:pPr>
      <w:rPr>
        <w:rFonts w:ascii="Wingdings" w:hAnsi="Wingdings" w:hint="default"/>
      </w:rPr>
    </w:lvl>
  </w:abstractNum>
  <w:abstractNum w:abstractNumId="2" w15:restartNumberingAfterBreak="0">
    <w:nsid w:val="117F5BC4"/>
    <w:multiLevelType w:val="hybridMultilevel"/>
    <w:tmpl w:val="54D860CC"/>
    <w:lvl w:ilvl="0" w:tplc="40C6737E">
      <w:start w:val="1"/>
      <w:numFmt w:val="bullet"/>
      <w:lvlText w:val=""/>
      <w:lvlJc w:val="left"/>
      <w:pPr>
        <w:tabs>
          <w:tab w:val="num" w:pos="720"/>
        </w:tabs>
        <w:ind w:left="720" w:hanging="360"/>
      </w:pPr>
      <w:rPr>
        <w:rFonts w:ascii="Wingdings" w:hAnsi="Wingdings" w:hint="default"/>
      </w:rPr>
    </w:lvl>
    <w:lvl w:ilvl="1" w:tplc="1AAC86B6" w:tentative="1">
      <w:start w:val="1"/>
      <w:numFmt w:val="bullet"/>
      <w:lvlText w:val="o"/>
      <w:lvlJc w:val="left"/>
      <w:pPr>
        <w:tabs>
          <w:tab w:val="num" w:pos="1440"/>
        </w:tabs>
        <w:ind w:left="1440" w:hanging="360"/>
      </w:pPr>
      <w:rPr>
        <w:rFonts w:ascii="Courier New" w:hAnsi="Courier New" w:hint="default"/>
      </w:rPr>
    </w:lvl>
    <w:lvl w:ilvl="2" w:tplc="71541DDE" w:tentative="1">
      <w:start w:val="1"/>
      <w:numFmt w:val="bullet"/>
      <w:lvlText w:val=""/>
      <w:lvlJc w:val="left"/>
      <w:pPr>
        <w:tabs>
          <w:tab w:val="num" w:pos="2160"/>
        </w:tabs>
        <w:ind w:left="2160" w:hanging="360"/>
      </w:pPr>
      <w:rPr>
        <w:rFonts w:ascii="Wingdings" w:hAnsi="Wingdings" w:hint="default"/>
      </w:rPr>
    </w:lvl>
    <w:lvl w:ilvl="3" w:tplc="25BE70E8" w:tentative="1">
      <w:start w:val="1"/>
      <w:numFmt w:val="bullet"/>
      <w:lvlText w:val=""/>
      <w:lvlJc w:val="left"/>
      <w:pPr>
        <w:tabs>
          <w:tab w:val="num" w:pos="2880"/>
        </w:tabs>
        <w:ind w:left="2880" w:hanging="360"/>
      </w:pPr>
      <w:rPr>
        <w:rFonts w:ascii="Symbol" w:hAnsi="Symbol" w:hint="default"/>
      </w:rPr>
    </w:lvl>
    <w:lvl w:ilvl="4" w:tplc="FFEA421E" w:tentative="1">
      <w:start w:val="1"/>
      <w:numFmt w:val="bullet"/>
      <w:lvlText w:val="o"/>
      <w:lvlJc w:val="left"/>
      <w:pPr>
        <w:tabs>
          <w:tab w:val="num" w:pos="3600"/>
        </w:tabs>
        <w:ind w:left="3600" w:hanging="360"/>
      </w:pPr>
      <w:rPr>
        <w:rFonts w:ascii="Courier New" w:hAnsi="Courier New" w:hint="default"/>
      </w:rPr>
    </w:lvl>
    <w:lvl w:ilvl="5" w:tplc="C6E03ADE" w:tentative="1">
      <w:start w:val="1"/>
      <w:numFmt w:val="bullet"/>
      <w:lvlText w:val=""/>
      <w:lvlJc w:val="left"/>
      <w:pPr>
        <w:tabs>
          <w:tab w:val="num" w:pos="4320"/>
        </w:tabs>
        <w:ind w:left="4320" w:hanging="360"/>
      </w:pPr>
      <w:rPr>
        <w:rFonts w:ascii="Wingdings" w:hAnsi="Wingdings" w:hint="default"/>
      </w:rPr>
    </w:lvl>
    <w:lvl w:ilvl="6" w:tplc="B0D69A30" w:tentative="1">
      <w:start w:val="1"/>
      <w:numFmt w:val="bullet"/>
      <w:lvlText w:val=""/>
      <w:lvlJc w:val="left"/>
      <w:pPr>
        <w:tabs>
          <w:tab w:val="num" w:pos="5040"/>
        </w:tabs>
        <w:ind w:left="5040" w:hanging="360"/>
      </w:pPr>
      <w:rPr>
        <w:rFonts w:ascii="Symbol" w:hAnsi="Symbol" w:hint="default"/>
      </w:rPr>
    </w:lvl>
    <w:lvl w:ilvl="7" w:tplc="BB960F12" w:tentative="1">
      <w:start w:val="1"/>
      <w:numFmt w:val="bullet"/>
      <w:lvlText w:val="o"/>
      <w:lvlJc w:val="left"/>
      <w:pPr>
        <w:tabs>
          <w:tab w:val="num" w:pos="5760"/>
        </w:tabs>
        <w:ind w:left="5760" w:hanging="360"/>
      </w:pPr>
      <w:rPr>
        <w:rFonts w:ascii="Courier New" w:hAnsi="Courier New" w:hint="default"/>
      </w:rPr>
    </w:lvl>
    <w:lvl w:ilvl="8" w:tplc="9DE877F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11561D"/>
    <w:multiLevelType w:val="hybridMultilevel"/>
    <w:tmpl w:val="60A2C16C"/>
    <w:lvl w:ilvl="0" w:tplc="BEEE280E">
      <w:start w:val="1"/>
      <w:numFmt w:val="decimal"/>
      <w:lvlText w:val="%1)"/>
      <w:lvlJc w:val="left"/>
      <w:pPr>
        <w:ind w:left="720" w:hanging="360"/>
      </w:pPr>
      <w:rPr>
        <w:rFonts w:hint="default"/>
      </w:rPr>
    </w:lvl>
    <w:lvl w:ilvl="1" w:tplc="F87A1A64" w:tentative="1">
      <w:start w:val="1"/>
      <w:numFmt w:val="lowerLetter"/>
      <w:lvlText w:val="%2."/>
      <w:lvlJc w:val="left"/>
      <w:pPr>
        <w:ind w:left="1440" w:hanging="360"/>
      </w:pPr>
    </w:lvl>
    <w:lvl w:ilvl="2" w:tplc="B21698E6" w:tentative="1">
      <w:start w:val="1"/>
      <w:numFmt w:val="lowerRoman"/>
      <w:lvlText w:val="%3."/>
      <w:lvlJc w:val="right"/>
      <w:pPr>
        <w:ind w:left="2160" w:hanging="180"/>
      </w:pPr>
    </w:lvl>
    <w:lvl w:ilvl="3" w:tplc="15A25552" w:tentative="1">
      <w:start w:val="1"/>
      <w:numFmt w:val="decimal"/>
      <w:lvlText w:val="%4."/>
      <w:lvlJc w:val="left"/>
      <w:pPr>
        <w:ind w:left="2880" w:hanging="360"/>
      </w:pPr>
    </w:lvl>
    <w:lvl w:ilvl="4" w:tplc="C316B150" w:tentative="1">
      <w:start w:val="1"/>
      <w:numFmt w:val="lowerLetter"/>
      <w:lvlText w:val="%5."/>
      <w:lvlJc w:val="left"/>
      <w:pPr>
        <w:ind w:left="3600" w:hanging="360"/>
      </w:pPr>
    </w:lvl>
    <w:lvl w:ilvl="5" w:tplc="FA60E1D8" w:tentative="1">
      <w:start w:val="1"/>
      <w:numFmt w:val="lowerRoman"/>
      <w:lvlText w:val="%6."/>
      <w:lvlJc w:val="right"/>
      <w:pPr>
        <w:ind w:left="4320" w:hanging="180"/>
      </w:pPr>
    </w:lvl>
    <w:lvl w:ilvl="6" w:tplc="99FE422A" w:tentative="1">
      <w:start w:val="1"/>
      <w:numFmt w:val="decimal"/>
      <w:lvlText w:val="%7."/>
      <w:lvlJc w:val="left"/>
      <w:pPr>
        <w:ind w:left="5040" w:hanging="360"/>
      </w:pPr>
    </w:lvl>
    <w:lvl w:ilvl="7" w:tplc="BA96A406" w:tentative="1">
      <w:start w:val="1"/>
      <w:numFmt w:val="lowerLetter"/>
      <w:lvlText w:val="%8."/>
      <w:lvlJc w:val="left"/>
      <w:pPr>
        <w:ind w:left="5760" w:hanging="360"/>
      </w:pPr>
    </w:lvl>
    <w:lvl w:ilvl="8" w:tplc="286ADBE4" w:tentative="1">
      <w:start w:val="1"/>
      <w:numFmt w:val="lowerRoman"/>
      <w:lvlText w:val="%9."/>
      <w:lvlJc w:val="right"/>
      <w:pPr>
        <w:ind w:left="6480" w:hanging="180"/>
      </w:pPr>
    </w:lvl>
  </w:abstractNum>
  <w:abstractNum w:abstractNumId="4" w15:restartNumberingAfterBreak="0">
    <w:nsid w:val="36FD3542"/>
    <w:multiLevelType w:val="hybridMultilevel"/>
    <w:tmpl w:val="BFF01396"/>
    <w:lvl w:ilvl="0" w:tplc="0A304870">
      <w:start w:val="1"/>
      <w:numFmt w:val="decimal"/>
      <w:lvlText w:val="%1."/>
      <w:lvlJc w:val="left"/>
      <w:pPr>
        <w:ind w:left="720" w:hanging="360"/>
      </w:pPr>
      <w:rPr>
        <w:rFonts w:hint="default"/>
      </w:rPr>
    </w:lvl>
    <w:lvl w:ilvl="1" w:tplc="51FA38D6" w:tentative="1">
      <w:start w:val="1"/>
      <w:numFmt w:val="lowerLetter"/>
      <w:lvlText w:val="%2."/>
      <w:lvlJc w:val="left"/>
      <w:pPr>
        <w:ind w:left="1440" w:hanging="360"/>
      </w:pPr>
    </w:lvl>
    <w:lvl w:ilvl="2" w:tplc="EBCEF1CA" w:tentative="1">
      <w:start w:val="1"/>
      <w:numFmt w:val="lowerRoman"/>
      <w:lvlText w:val="%3."/>
      <w:lvlJc w:val="right"/>
      <w:pPr>
        <w:ind w:left="2160" w:hanging="180"/>
      </w:pPr>
    </w:lvl>
    <w:lvl w:ilvl="3" w:tplc="595CA01A" w:tentative="1">
      <w:start w:val="1"/>
      <w:numFmt w:val="decimal"/>
      <w:lvlText w:val="%4."/>
      <w:lvlJc w:val="left"/>
      <w:pPr>
        <w:ind w:left="2880" w:hanging="360"/>
      </w:pPr>
    </w:lvl>
    <w:lvl w:ilvl="4" w:tplc="947E089E" w:tentative="1">
      <w:start w:val="1"/>
      <w:numFmt w:val="lowerLetter"/>
      <w:lvlText w:val="%5."/>
      <w:lvlJc w:val="left"/>
      <w:pPr>
        <w:ind w:left="3600" w:hanging="360"/>
      </w:pPr>
    </w:lvl>
    <w:lvl w:ilvl="5" w:tplc="1A1ADF96" w:tentative="1">
      <w:start w:val="1"/>
      <w:numFmt w:val="lowerRoman"/>
      <w:lvlText w:val="%6."/>
      <w:lvlJc w:val="right"/>
      <w:pPr>
        <w:ind w:left="4320" w:hanging="180"/>
      </w:pPr>
    </w:lvl>
    <w:lvl w:ilvl="6" w:tplc="0C14C6B8" w:tentative="1">
      <w:start w:val="1"/>
      <w:numFmt w:val="decimal"/>
      <w:lvlText w:val="%7."/>
      <w:lvlJc w:val="left"/>
      <w:pPr>
        <w:ind w:left="5040" w:hanging="360"/>
      </w:pPr>
    </w:lvl>
    <w:lvl w:ilvl="7" w:tplc="104C7F40" w:tentative="1">
      <w:start w:val="1"/>
      <w:numFmt w:val="lowerLetter"/>
      <w:lvlText w:val="%8."/>
      <w:lvlJc w:val="left"/>
      <w:pPr>
        <w:ind w:left="5760" w:hanging="360"/>
      </w:pPr>
    </w:lvl>
    <w:lvl w:ilvl="8" w:tplc="408216F6" w:tentative="1">
      <w:start w:val="1"/>
      <w:numFmt w:val="lowerRoman"/>
      <w:lvlText w:val="%9."/>
      <w:lvlJc w:val="right"/>
      <w:pPr>
        <w:ind w:left="6480" w:hanging="180"/>
      </w:pPr>
    </w:lvl>
  </w:abstractNum>
  <w:abstractNum w:abstractNumId="5" w15:restartNumberingAfterBreak="0">
    <w:nsid w:val="41330063"/>
    <w:multiLevelType w:val="hybridMultilevel"/>
    <w:tmpl w:val="FE081180"/>
    <w:lvl w:ilvl="0" w:tplc="3B78BB8E">
      <w:start w:val="1"/>
      <w:numFmt w:val="bullet"/>
      <w:lvlText w:val=""/>
      <w:lvlJc w:val="left"/>
      <w:pPr>
        <w:ind w:left="720" w:hanging="360"/>
      </w:pPr>
      <w:rPr>
        <w:rFonts w:ascii="Symbol" w:hAnsi="Symbol" w:hint="default"/>
      </w:rPr>
    </w:lvl>
    <w:lvl w:ilvl="1" w:tplc="CB26F4D8" w:tentative="1">
      <w:start w:val="1"/>
      <w:numFmt w:val="bullet"/>
      <w:lvlText w:val="o"/>
      <w:lvlJc w:val="left"/>
      <w:pPr>
        <w:ind w:left="1440" w:hanging="360"/>
      </w:pPr>
      <w:rPr>
        <w:rFonts w:ascii="Courier New" w:hAnsi="Courier New" w:cs="Courier New" w:hint="default"/>
      </w:rPr>
    </w:lvl>
    <w:lvl w:ilvl="2" w:tplc="8362AE9C" w:tentative="1">
      <w:start w:val="1"/>
      <w:numFmt w:val="bullet"/>
      <w:lvlText w:val=""/>
      <w:lvlJc w:val="left"/>
      <w:pPr>
        <w:ind w:left="2160" w:hanging="360"/>
      </w:pPr>
      <w:rPr>
        <w:rFonts w:ascii="Wingdings" w:hAnsi="Wingdings" w:hint="default"/>
      </w:rPr>
    </w:lvl>
    <w:lvl w:ilvl="3" w:tplc="2B70DD18" w:tentative="1">
      <w:start w:val="1"/>
      <w:numFmt w:val="bullet"/>
      <w:lvlText w:val=""/>
      <w:lvlJc w:val="left"/>
      <w:pPr>
        <w:ind w:left="2880" w:hanging="360"/>
      </w:pPr>
      <w:rPr>
        <w:rFonts w:ascii="Symbol" w:hAnsi="Symbol" w:hint="default"/>
      </w:rPr>
    </w:lvl>
    <w:lvl w:ilvl="4" w:tplc="5F0CD3BE" w:tentative="1">
      <w:start w:val="1"/>
      <w:numFmt w:val="bullet"/>
      <w:lvlText w:val="o"/>
      <w:lvlJc w:val="left"/>
      <w:pPr>
        <w:ind w:left="3600" w:hanging="360"/>
      </w:pPr>
      <w:rPr>
        <w:rFonts w:ascii="Courier New" w:hAnsi="Courier New" w:cs="Courier New" w:hint="default"/>
      </w:rPr>
    </w:lvl>
    <w:lvl w:ilvl="5" w:tplc="BBF669F2" w:tentative="1">
      <w:start w:val="1"/>
      <w:numFmt w:val="bullet"/>
      <w:lvlText w:val=""/>
      <w:lvlJc w:val="left"/>
      <w:pPr>
        <w:ind w:left="4320" w:hanging="360"/>
      </w:pPr>
      <w:rPr>
        <w:rFonts w:ascii="Wingdings" w:hAnsi="Wingdings" w:hint="default"/>
      </w:rPr>
    </w:lvl>
    <w:lvl w:ilvl="6" w:tplc="F06AA67C" w:tentative="1">
      <w:start w:val="1"/>
      <w:numFmt w:val="bullet"/>
      <w:lvlText w:val=""/>
      <w:lvlJc w:val="left"/>
      <w:pPr>
        <w:ind w:left="5040" w:hanging="360"/>
      </w:pPr>
      <w:rPr>
        <w:rFonts w:ascii="Symbol" w:hAnsi="Symbol" w:hint="default"/>
      </w:rPr>
    </w:lvl>
    <w:lvl w:ilvl="7" w:tplc="7792996E" w:tentative="1">
      <w:start w:val="1"/>
      <w:numFmt w:val="bullet"/>
      <w:lvlText w:val="o"/>
      <w:lvlJc w:val="left"/>
      <w:pPr>
        <w:ind w:left="5760" w:hanging="360"/>
      </w:pPr>
      <w:rPr>
        <w:rFonts w:ascii="Courier New" w:hAnsi="Courier New" w:cs="Courier New" w:hint="default"/>
      </w:rPr>
    </w:lvl>
    <w:lvl w:ilvl="8" w:tplc="9DBA719A" w:tentative="1">
      <w:start w:val="1"/>
      <w:numFmt w:val="bullet"/>
      <w:lvlText w:val=""/>
      <w:lvlJc w:val="left"/>
      <w:pPr>
        <w:ind w:left="6480" w:hanging="360"/>
      </w:pPr>
      <w:rPr>
        <w:rFonts w:ascii="Wingdings" w:hAnsi="Wingdings" w:hint="default"/>
      </w:rPr>
    </w:lvl>
  </w:abstractNum>
  <w:abstractNum w:abstractNumId="6" w15:restartNumberingAfterBreak="0">
    <w:nsid w:val="488E3C33"/>
    <w:multiLevelType w:val="hybridMultilevel"/>
    <w:tmpl w:val="1F821DB2"/>
    <w:lvl w:ilvl="0" w:tplc="F330111E">
      <w:start w:val="1"/>
      <w:numFmt w:val="bullet"/>
      <w:lvlText w:val=""/>
      <w:lvlJc w:val="left"/>
      <w:pPr>
        <w:ind w:left="720" w:hanging="360"/>
      </w:pPr>
      <w:rPr>
        <w:rFonts w:ascii="Symbol" w:hAnsi="Symbol" w:hint="default"/>
      </w:rPr>
    </w:lvl>
    <w:lvl w:ilvl="1" w:tplc="ED240ABC" w:tentative="1">
      <w:start w:val="1"/>
      <w:numFmt w:val="bullet"/>
      <w:lvlText w:val="o"/>
      <w:lvlJc w:val="left"/>
      <w:pPr>
        <w:ind w:left="1440" w:hanging="360"/>
      </w:pPr>
      <w:rPr>
        <w:rFonts w:ascii="Courier New" w:hAnsi="Courier New" w:cs="Courier New" w:hint="default"/>
      </w:rPr>
    </w:lvl>
    <w:lvl w:ilvl="2" w:tplc="492A4A96" w:tentative="1">
      <w:start w:val="1"/>
      <w:numFmt w:val="bullet"/>
      <w:lvlText w:val=""/>
      <w:lvlJc w:val="left"/>
      <w:pPr>
        <w:ind w:left="2160" w:hanging="360"/>
      </w:pPr>
      <w:rPr>
        <w:rFonts w:ascii="Wingdings" w:hAnsi="Wingdings" w:hint="default"/>
      </w:rPr>
    </w:lvl>
    <w:lvl w:ilvl="3" w:tplc="D51E929A" w:tentative="1">
      <w:start w:val="1"/>
      <w:numFmt w:val="bullet"/>
      <w:lvlText w:val=""/>
      <w:lvlJc w:val="left"/>
      <w:pPr>
        <w:ind w:left="2880" w:hanging="360"/>
      </w:pPr>
      <w:rPr>
        <w:rFonts w:ascii="Symbol" w:hAnsi="Symbol" w:hint="default"/>
      </w:rPr>
    </w:lvl>
    <w:lvl w:ilvl="4" w:tplc="8A7E7C22" w:tentative="1">
      <w:start w:val="1"/>
      <w:numFmt w:val="bullet"/>
      <w:lvlText w:val="o"/>
      <w:lvlJc w:val="left"/>
      <w:pPr>
        <w:ind w:left="3600" w:hanging="360"/>
      </w:pPr>
      <w:rPr>
        <w:rFonts w:ascii="Courier New" w:hAnsi="Courier New" w:cs="Courier New" w:hint="default"/>
      </w:rPr>
    </w:lvl>
    <w:lvl w:ilvl="5" w:tplc="B38230A2" w:tentative="1">
      <w:start w:val="1"/>
      <w:numFmt w:val="bullet"/>
      <w:lvlText w:val=""/>
      <w:lvlJc w:val="left"/>
      <w:pPr>
        <w:ind w:left="4320" w:hanging="360"/>
      </w:pPr>
      <w:rPr>
        <w:rFonts w:ascii="Wingdings" w:hAnsi="Wingdings" w:hint="default"/>
      </w:rPr>
    </w:lvl>
    <w:lvl w:ilvl="6" w:tplc="1610E3A4" w:tentative="1">
      <w:start w:val="1"/>
      <w:numFmt w:val="bullet"/>
      <w:lvlText w:val=""/>
      <w:lvlJc w:val="left"/>
      <w:pPr>
        <w:ind w:left="5040" w:hanging="360"/>
      </w:pPr>
      <w:rPr>
        <w:rFonts w:ascii="Symbol" w:hAnsi="Symbol" w:hint="default"/>
      </w:rPr>
    </w:lvl>
    <w:lvl w:ilvl="7" w:tplc="C83AD9A4" w:tentative="1">
      <w:start w:val="1"/>
      <w:numFmt w:val="bullet"/>
      <w:lvlText w:val="o"/>
      <w:lvlJc w:val="left"/>
      <w:pPr>
        <w:ind w:left="5760" w:hanging="360"/>
      </w:pPr>
      <w:rPr>
        <w:rFonts w:ascii="Courier New" w:hAnsi="Courier New" w:cs="Courier New" w:hint="default"/>
      </w:rPr>
    </w:lvl>
    <w:lvl w:ilvl="8" w:tplc="1EBA38A8" w:tentative="1">
      <w:start w:val="1"/>
      <w:numFmt w:val="bullet"/>
      <w:lvlText w:val=""/>
      <w:lvlJc w:val="left"/>
      <w:pPr>
        <w:ind w:left="6480" w:hanging="360"/>
      </w:pPr>
      <w:rPr>
        <w:rFonts w:ascii="Wingdings" w:hAnsi="Wingdings" w:hint="default"/>
      </w:rPr>
    </w:lvl>
  </w:abstractNum>
  <w:abstractNum w:abstractNumId="7" w15:restartNumberingAfterBreak="0">
    <w:nsid w:val="4E211257"/>
    <w:multiLevelType w:val="hybridMultilevel"/>
    <w:tmpl w:val="090441FC"/>
    <w:lvl w:ilvl="0" w:tplc="1E96B062">
      <w:start w:val="1"/>
      <w:numFmt w:val="decimal"/>
      <w:lvlText w:val="%1."/>
      <w:lvlJc w:val="left"/>
      <w:pPr>
        <w:ind w:left="720" w:hanging="360"/>
      </w:pPr>
      <w:rPr>
        <w:rFonts w:hint="default"/>
      </w:rPr>
    </w:lvl>
    <w:lvl w:ilvl="1" w:tplc="48847444" w:tentative="1">
      <w:start w:val="1"/>
      <w:numFmt w:val="lowerLetter"/>
      <w:lvlText w:val="%2."/>
      <w:lvlJc w:val="left"/>
      <w:pPr>
        <w:ind w:left="1440" w:hanging="360"/>
      </w:pPr>
    </w:lvl>
    <w:lvl w:ilvl="2" w:tplc="C46E62E8" w:tentative="1">
      <w:start w:val="1"/>
      <w:numFmt w:val="lowerRoman"/>
      <w:lvlText w:val="%3."/>
      <w:lvlJc w:val="right"/>
      <w:pPr>
        <w:ind w:left="2160" w:hanging="180"/>
      </w:pPr>
    </w:lvl>
    <w:lvl w:ilvl="3" w:tplc="CCFEAA0A" w:tentative="1">
      <w:start w:val="1"/>
      <w:numFmt w:val="decimal"/>
      <w:lvlText w:val="%4."/>
      <w:lvlJc w:val="left"/>
      <w:pPr>
        <w:ind w:left="2880" w:hanging="360"/>
      </w:pPr>
    </w:lvl>
    <w:lvl w:ilvl="4" w:tplc="C9541C34" w:tentative="1">
      <w:start w:val="1"/>
      <w:numFmt w:val="lowerLetter"/>
      <w:lvlText w:val="%5."/>
      <w:lvlJc w:val="left"/>
      <w:pPr>
        <w:ind w:left="3600" w:hanging="360"/>
      </w:pPr>
    </w:lvl>
    <w:lvl w:ilvl="5" w:tplc="7AD84916" w:tentative="1">
      <w:start w:val="1"/>
      <w:numFmt w:val="lowerRoman"/>
      <w:lvlText w:val="%6."/>
      <w:lvlJc w:val="right"/>
      <w:pPr>
        <w:ind w:left="4320" w:hanging="180"/>
      </w:pPr>
    </w:lvl>
    <w:lvl w:ilvl="6" w:tplc="5226CE8E" w:tentative="1">
      <w:start w:val="1"/>
      <w:numFmt w:val="decimal"/>
      <w:lvlText w:val="%7."/>
      <w:lvlJc w:val="left"/>
      <w:pPr>
        <w:ind w:left="5040" w:hanging="360"/>
      </w:pPr>
    </w:lvl>
    <w:lvl w:ilvl="7" w:tplc="B03A3B62" w:tentative="1">
      <w:start w:val="1"/>
      <w:numFmt w:val="lowerLetter"/>
      <w:lvlText w:val="%8."/>
      <w:lvlJc w:val="left"/>
      <w:pPr>
        <w:ind w:left="5760" w:hanging="360"/>
      </w:pPr>
    </w:lvl>
    <w:lvl w:ilvl="8" w:tplc="805A8280" w:tentative="1">
      <w:start w:val="1"/>
      <w:numFmt w:val="lowerRoman"/>
      <w:lvlText w:val="%9."/>
      <w:lvlJc w:val="right"/>
      <w:pPr>
        <w:ind w:left="6480" w:hanging="180"/>
      </w:pPr>
    </w:lvl>
  </w:abstractNum>
  <w:abstractNum w:abstractNumId="8" w15:restartNumberingAfterBreak="0">
    <w:nsid w:val="7D306339"/>
    <w:multiLevelType w:val="hybridMultilevel"/>
    <w:tmpl w:val="A310363E"/>
    <w:lvl w:ilvl="0" w:tplc="F89056A4">
      <w:start w:val="1"/>
      <w:numFmt w:val="decimal"/>
      <w:lvlText w:val="%1."/>
      <w:lvlJc w:val="left"/>
      <w:pPr>
        <w:ind w:left="720" w:hanging="360"/>
      </w:pPr>
      <w:rPr>
        <w:rFonts w:hint="default"/>
      </w:rPr>
    </w:lvl>
    <w:lvl w:ilvl="1" w:tplc="27648EB0" w:tentative="1">
      <w:start w:val="1"/>
      <w:numFmt w:val="lowerLetter"/>
      <w:lvlText w:val="%2."/>
      <w:lvlJc w:val="left"/>
      <w:pPr>
        <w:ind w:left="1440" w:hanging="360"/>
      </w:pPr>
    </w:lvl>
    <w:lvl w:ilvl="2" w:tplc="874E53F6" w:tentative="1">
      <w:start w:val="1"/>
      <w:numFmt w:val="lowerRoman"/>
      <w:lvlText w:val="%3."/>
      <w:lvlJc w:val="right"/>
      <w:pPr>
        <w:ind w:left="2160" w:hanging="180"/>
      </w:pPr>
    </w:lvl>
    <w:lvl w:ilvl="3" w:tplc="6622A786" w:tentative="1">
      <w:start w:val="1"/>
      <w:numFmt w:val="decimal"/>
      <w:lvlText w:val="%4."/>
      <w:lvlJc w:val="left"/>
      <w:pPr>
        <w:ind w:left="2880" w:hanging="360"/>
      </w:pPr>
    </w:lvl>
    <w:lvl w:ilvl="4" w:tplc="5C4AF9A4" w:tentative="1">
      <w:start w:val="1"/>
      <w:numFmt w:val="lowerLetter"/>
      <w:lvlText w:val="%5."/>
      <w:lvlJc w:val="left"/>
      <w:pPr>
        <w:ind w:left="3600" w:hanging="360"/>
      </w:pPr>
    </w:lvl>
    <w:lvl w:ilvl="5" w:tplc="94E45B7E" w:tentative="1">
      <w:start w:val="1"/>
      <w:numFmt w:val="lowerRoman"/>
      <w:lvlText w:val="%6."/>
      <w:lvlJc w:val="right"/>
      <w:pPr>
        <w:ind w:left="4320" w:hanging="180"/>
      </w:pPr>
    </w:lvl>
    <w:lvl w:ilvl="6" w:tplc="4F56E74A" w:tentative="1">
      <w:start w:val="1"/>
      <w:numFmt w:val="decimal"/>
      <w:lvlText w:val="%7."/>
      <w:lvlJc w:val="left"/>
      <w:pPr>
        <w:ind w:left="5040" w:hanging="360"/>
      </w:pPr>
    </w:lvl>
    <w:lvl w:ilvl="7" w:tplc="BA8AE6DA" w:tentative="1">
      <w:start w:val="1"/>
      <w:numFmt w:val="lowerLetter"/>
      <w:lvlText w:val="%8."/>
      <w:lvlJc w:val="left"/>
      <w:pPr>
        <w:ind w:left="5760" w:hanging="360"/>
      </w:pPr>
    </w:lvl>
    <w:lvl w:ilvl="8" w:tplc="D69A8036"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8"/>
  </w:num>
  <w:num w:numId="5">
    <w:abstractNumId w:val="7"/>
  </w:num>
  <w:num w:numId="6">
    <w:abstractNumId w:val="4"/>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9E"/>
    <w:rsid w:val="000027C9"/>
    <w:rsid w:val="00003126"/>
    <w:rsid w:val="00006940"/>
    <w:rsid w:val="00015649"/>
    <w:rsid w:val="00033693"/>
    <w:rsid w:val="00041241"/>
    <w:rsid w:val="0004504E"/>
    <w:rsid w:val="000523CB"/>
    <w:rsid w:val="000721B8"/>
    <w:rsid w:val="0007684A"/>
    <w:rsid w:val="00086239"/>
    <w:rsid w:val="0009055B"/>
    <w:rsid w:val="00091523"/>
    <w:rsid w:val="00091743"/>
    <w:rsid w:val="000942F7"/>
    <w:rsid w:val="0009432B"/>
    <w:rsid w:val="00095492"/>
    <w:rsid w:val="000A146F"/>
    <w:rsid w:val="000A38BC"/>
    <w:rsid w:val="000A7EA3"/>
    <w:rsid w:val="000B2A3C"/>
    <w:rsid w:val="000B5E7F"/>
    <w:rsid w:val="000C1795"/>
    <w:rsid w:val="000C71E9"/>
    <w:rsid w:val="000D0F84"/>
    <w:rsid w:val="000D3C4D"/>
    <w:rsid w:val="000D4ED1"/>
    <w:rsid w:val="000D64C1"/>
    <w:rsid w:val="000D6ADA"/>
    <w:rsid w:val="000E0136"/>
    <w:rsid w:val="000E09A4"/>
    <w:rsid w:val="000E11A6"/>
    <w:rsid w:val="000E70C1"/>
    <w:rsid w:val="000F1A20"/>
    <w:rsid w:val="000F1EB6"/>
    <w:rsid w:val="00104905"/>
    <w:rsid w:val="00110713"/>
    <w:rsid w:val="0011552C"/>
    <w:rsid w:val="00115718"/>
    <w:rsid w:val="00116A5F"/>
    <w:rsid w:val="00117013"/>
    <w:rsid w:val="00117A5F"/>
    <w:rsid w:val="00120A93"/>
    <w:rsid w:val="0012259E"/>
    <w:rsid w:val="00122CB2"/>
    <w:rsid w:val="0012607F"/>
    <w:rsid w:val="0012658F"/>
    <w:rsid w:val="001266B2"/>
    <w:rsid w:val="001277F2"/>
    <w:rsid w:val="00130061"/>
    <w:rsid w:val="00130879"/>
    <w:rsid w:val="001413A9"/>
    <w:rsid w:val="00143E6E"/>
    <w:rsid w:val="001472EE"/>
    <w:rsid w:val="001474DB"/>
    <w:rsid w:val="00153D8E"/>
    <w:rsid w:val="00154D51"/>
    <w:rsid w:val="001552CD"/>
    <w:rsid w:val="00156188"/>
    <w:rsid w:val="00156D8C"/>
    <w:rsid w:val="00160A1F"/>
    <w:rsid w:val="001665AA"/>
    <w:rsid w:val="00171CEE"/>
    <w:rsid w:val="00173440"/>
    <w:rsid w:val="001761CD"/>
    <w:rsid w:val="001765CE"/>
    <w:rsid w:val="001768E8"/>
    <w:rsid w:val="00177458"/>
    <w:rsid w:val="001777B7"/>
    <w:rsid w:val="00191F52"/>
    <w:rsid w:val="001925F4"/>
    <w:rsid w:val="00192BD3"/>
    <w:rsid w:val="0019378E"/>
    <w:rsid w:val="001957FB"/>
    <w:rsid w:val="001A0051"/>
    <w:rsid w:val="001A04E3"/>
    <w:rsid w:val="001A7E89"/>
    <w:rsid w:val="001B67F2"/>
    <w:rsid w:val="001B6BD3"/>
    <w:rsid w:val="001B6C69"/>
    <w:rsid w:val="001B7CDE"/>
    <w:rsid w:val="001C10E5"/>
    <w:rsid w:val="001C2B4B"/>
    <w:rsid w:val="001D19F3"/>
    <w:rsid w:val="001D3360"/>
    <w:rsid w:val="001D5C5F"/>
    <w:rsid w:val="001D6EC7"/>
    <w:rsid w:val="001E1EA5"/>
    <w:rsid w:val="001E5135"/>
    <w:rsid w:val="001E5518"/>
    <w:rsid w:val="001F1400"/>
    <w:rsid w:val="001F2846"/>
    <w:rsid w:val="001F6086"/>
    <w:rsid w:val="002009C2"/>
    <w:rsid w:val="0020111E"/>
    <w:rsid w:val="002107AB"/>
    <w:rsid w:val="00211418"/>
    <w:rsid w:val="002117C5"/>
    <w:rsid w:val="00212083"/>
    <w:rsid w:val="00212BE6"/>
    <w:rsid w:val="00215549"/>
    <w:rsid w:val="0021655D"/>
    <w:rsid w:val="00216CAE"/>
    <w:rsid w:val="00217125"/>
    <w:rsid w:val="00220865"/>
    <w:rsid w:val="00222A3E"/>
    <w:rsid w:val="00223647"/>
    <w:rsid w:val="0022549B"/>
    <w:rsid w:val="002303F5"/>
    <w:rsid w:val="0023162C"/>
    <w:rsid w:val="0023492C"/>
    <w:rsid w:val="00235A36"/>
    <w:rsid w:val="00236ACD"/>
    <w:rsid w:val="00244BFB"/>
    <w:rsid w:val="00251C16"/>
    <w:rsid w:val="00252CF6"/>
    <w:rsid w:val="00255E82"/>
    <w:rsid w:val="0025687E"/>
    <w:rsid w:val="0026343C"/>
    <w:rsid w:val="002641F1"/>
    <w:rsid w:val="00264BBA"/>
    <w:rsid w:val="0027256E"/>
    <w:rsid w:val="00272E8D"/>
    <w:rsid w:val="00276A05"/>
    <w:rsid w:val="002810B0"/>
    <w:rsid w:val="00283AC5"/>
    <w:rsid w:val="00284CE6"/>
    <w:rsid w:val="002864DF"/>
    <w:rsid w:val="00290314"/>
    <w:rsid w:val="002958DE"/>
    <w:rsid w:val="002A0AC1"/>
    <w:rsid w:val="002B130F"/>
    <w:rsid w:val="002B6B65"/>
    <w:rsid w:val="002C3B61"/>
    <w:rsid w:val="002D0B5A"/>
    <w:rsid w:val="002D1A99"/>
    <w:rsid w:val="002D1F1D"/>
    <w:rsid w:val="002D3487"/>
    <w:rsid w:val="002D4235"/>
    <w:rsid w:val="002D4820"/>
    <w:rsid w:val="002E71D8"/>
    <w:rsid w:val="002F1680"/>
    <w:rsid w:val="002F1AAB"/>
    <w:rsid w:val="002F26B0"/>
    <w:rsid w:val="002F698E"/>
    <w:rsid w:val="002F782F"/>
    <w:rsid w:val="003001DA"/>
    <w:rsid w:val="0030054E"/>
    <w:rsid w:val="00300DF4"/>
    <w:rsid w:val="00306E6D"/>
    <w:rsid w:val="00312CEA"/>
    <w:rsid w:val="00325F3E"/>
    <w:rsid w:val="00327D09"/>
    <w:rsid w:val="003437FB"/>
    <w:rsid w:val="00343ECB"/>
    <w:rsid w:val="00345A36"/>
    <w:rsid w:val="00351E68"/>
    <w:rsid w:val="0035203F"/>
    <w:rsid w:val="00360A74"/>
    <w:rsid w:val="003619DF"/>
    <w:rsid w:val="003647B8"/>
    <w:rsid w:val="003658F9"/>
    <w:rsid w:val="00373032"/>
    <w:rsid w:val="00373FBE"/>
    <w:rsid w:val="0038065F"/>
    <w:rsid w:val="00381696"/>
    <w:rsid w:val="00387599"/>
    <w:rsid w:val="00394472"/>
    <w:rsid w:val="00394595"/>
    <w:rsid w:val="003B7E48"/>
    <w:rsid w:val="003C0D81"/>
    <w:rsid w:val="003C0E5D"/>
    <w:rsid w:val="003C1D77"/>
    <w:rsid w:val="003C79FC"/>
    <w:rsid w:val="003D20DC"/>
    <w:rsid w:val="003D35F6"/>
    <w:rsid w:val="003D3E7F"/>
    <w:rsid w:val="003D5FB6"/>
    <w:rsid w:val="003D5FF5"/>
    <w:rsid w:val="003D60A8"/>
    <w:rsid w:val="003E363A"/>
    <w:rsid w:val="003F27E4"/>
    <w:rsid w:val="003F6571"/>
    <w:rsid w:val="003F69E8"/>
    <w:rsid w:val="00402DA1"/>
    <w:rsid w:val="0040600A"/>
    <w:rsid w:val="004143AF"/>
    <w:rsid w:val="0041442C"/>
    <w:rsid w:val="00415205"/>
    <w:rsid w:val="0041716C"/>
    <w:rsid w:val="00430B06"/>
    <w:rsid w:val="00433193"/>
    <w:rsid w:val="00433A4B"/>
    <w:rsid w:val="00435197"/>
    <w:rsid w:val="004376A3"/>
    <w:rsid w:val="00437E46"/>
    <w:rsid w:val="0043B4F8"/>
    <w:rsid w:val="00440548"/>
    <w:rsid w:val="004464F5"/>
    <w:rsid w:val="00446E91"/>
    <w:rsid w:val="004507E3"/>
    <w:rsid w:val="004508DF"/>
    <w:rsid w:val="0045644B"/>
    <w:rsid w:val="00461939"/>
    <w:rsid w:val="00465AB8"/>
    <w:rsid w:val="00465F0F"/>
    <w:rsid w:val="004660D6"/>
    <w:rsid w:val="00482421"/>
    <w:rsid w:val="00491FC2"/>
    <w:rsid w:val="004967AA"/>
    <w:rsid w:val="004A4FAC"/>
    <w:rsid w:val="004B599A"/>
    <w:rsid w:val="004B5D31"/>
    <w:rsid w:val="004B6D6A"/>
    <w:rsid w:val="004B7864"/>
    <w:rsid w:val="004C1D92"/>
    <w:rsid w:val="004C355B"/>
    <w:rsid w:val="004C6EFF"/>
    <w:rsid w:val="004D3680"/>
    <w:rsid w:val="004D4A1D"/>
    <w:rsid w:val="004D51D2"/>
    <w:rsid w:val="004D7717"/>
    <w:rsid w:val="004E1208"/>
    <w:rsid w:val="004E2B76"/>
    <w:rsid w:val="004E2DA5"/>
    <w:rsid w:val="004E3934"/>
    <w:rsid w:val="0050227B"/>
    <w:rsid w:val="00502E60"/>
    <w:rsid w:val="0050343F"/>
    <w:rsid w:val="00505E0E"/>
    <w:rsid w:val="00521669"/>
    <w:rsid w:val="00523AAD"/>
    <w:rsid w:val="00523F56"/>
    <w:rsid w:val="0053187B"/>
    <w:rsid w:val="0053675E"/>
    <w:rsid w:val="00537B19"/>
    <w:rsid w:val="00542052"/>
    <w:rsid w:val="0054308D"/>
    <w:rsid w:val="00553E56"/>
    <w:rsid w:val="00566246"/>
    <w:rsid w:val="00566E9F"/>
    <w:rsid w:val="005707EC"/>
    <w:rsid w:val="005732A9"/>
    <w:rsid w:val="005753C6"/>
    <w:rsid w:val="00581FBD"/>
    <w:rsid w:val="00583211"/>
    <w:rsid w:val="00583CBC"/>
    <w:rsid w:val="00586D44"/>
    <w:rsid w:val="0059022C"/>
    <w:rsid w:val="00596B8D"/>
    <w:rsid w:val="00596D93"/>
    <w:rsid w:val="005B12EE"/>
    <w:rsid w:val="005B34E6"/>
    <w:rsid w:val="005B3FA5"/>
    <w:rsid w:val="005C2F13"/>
    <w:rsid w:val="005C3EEE"/>
    <w:rsid w:val="005D0FE1"/>
    <w:rsid w:val="005D49D7"/>
    <w:rsid w:val="005D4F33"/>
    <w:rsid w:val="005D61CE"/>
    <w:rsid w:val="005E00B8"/>
    <w:rsid w:val="005E68B3"/>
    <w:rsid w:val="005E72F3"/>
    <w:rsid w:val="005F2494"/>
    <w:rsid w:val="005F3D41"/>
    <w:rsid w:val="005F5C72"/>
    <w:rsid w:val="005F6ACF"/>
    <w:rsid w:val="0060173F"/>
    <w:rsid w:val="00601B6E"/>
    <w:rsid w:val="00603C6C"/>
    <w:rsid w:val="00604F81"/>
    <w:rsid w:val="00611C8D"/>
    <w:rsid w:val="006126D6"/>
    <w:rsid w:val="00612CEE"/>
    <w:rsid w:val="00614046"/>
    <w:rsid w:val="00614493"/>
    <w:rsid w:val="00615EEE"/>
    <w:rsid w:val="006207B0"/>
    <w:rsid w:val="00622426"/>
    <w:rsid w:val="00630CC4"/>
    <w:rsid w:val="00630DE3"/>
    <w:rsid w:val="0063143B"/>
    <w:rsid w:val="00633704"/>
    <w:rsid w:val="00633AA7"/>
    <w:rsid w:val="0063414A"/>
    <w:rsid w:val="00637729"/>
    <w:rsid w:val="00640E78"/>
    <w:rsid w:val="00651D84"/>
    <w:rsid w:val="006528EA"/>
    <w:rsid w:val="00653D8E"/>
    <w:rsid w:val="006552FA"/>
    <w:rsid w:val="00656C13"/>
    <w:rsid w:val="006664ED"/>
    <w:rsid w:val="00671960"/>
    <w:rsid w:val="00672253"/>
    <w:rsid w:val="00673260"/>
    <w:rsid w:val="00676DAC"/>
    <w:rsid w:val="006868F5"/>
    <w:rsid w:val="00692444"/>
    <w:rsid w:val="00692AD1"/>
    <w:rsid w:val="00693F8C"/>
    <w:rsid w:val="006948BA"/>
    <w:rsid w:val="006A0D38"/>
    <w:rsid w:val="006A1DDB"/>
    <w:rsid w:val="006A5443"/>
    <w:rsid w:val="006A5C87"/>
    <w:rsid w:val="006B254B"/>
    <w:rsid w:val="006B2CCE"/>
    <w:rsid w:val="006B3FCB"/>
    <w:rsid w:val="006B4473"/>
    <w:rsid w:val="006B627A"/>
    <w:rsid w:val="006B6AA3"/>
    <w:rsid w:val="006C13C4"/>
    <w:rsid w:val="006C3F26"/>
    <w:rsid w:val="006D5F46"/>
    <w:rsid w:val="006E1A3A"/>
    <w:rsid w:val="006E1D43"/>
    <w:rsid w:val="006E25BE"/>
    <w:rsid w:val="006E478E"/>
    <w:rsid w:val="006E599C"/>
    <w:rsid w:val="006E730D"/>
    <w:rsid w:val="006E7A9D"/>
    <w:rsid w:val="006F7960"/>
    <w:rsid w:val="00703DAC"/>
    <w:rsid w:val="00704742"/>
    <w:rsid w:val="007058FB"/>
    <w:rsid w:val="00711CB4"/>
    <w:rsid w:val="007122FA"/>
    <w:rsid w:val="00713B41"/>
    <w:rsid w:val="00715C4B"/>
    <w:rsid w:val="0071769A"/>
    <w:rsid w:val="007221B9"/>
    <w:rsid w:val="0072769E"/>
    <w:rsid w:val="00735788"/>
    <w:rsid w:val="00737ACB"/>
    <w:rsid w:val="00746EA7"/>
    <w:rsid w:val="007553A2"/>
    <w:rsid w:val="0076029C"/>
    <w:rsid w:val="00760B62"/>
    <w:rsid w:val="00763A04"/>
    <w:rsid w:val="00763EA2"/>
    <w:rsid w:val="00770EDB"/>
    <w:rsid w:val="007767EF"/>
    <w:rsid w:val="007771BB"/>
    <w:rsid w:val="00780C6B"/>
    <w:rsid w:val="00785017"/>
    <w:rsid w:val="00790267"/>
    <w:rsid w:val="00794339"/>
    <w:rsid w:val="0079586B"/>
    <w:rsid w:val="00797379"/>
    <w:rsid w:val="007A032D"/>
    <w:rsid w:val="007A3453"/>
    <w:rsid w:val="007A465C"/>
    <w:rsid w:val="007A5C3B"/>
    <w:rsid w:val="007B22F5"/>
    <w:rsid w:val="007B44CD"/>
    <w:rsid w:val="007B6E1F"/>
    <w:rsid w:val="007B7DD9"/>
    <w:rsid w:val="007C151E"/>
    <w:rsid w:val="007D0A45"/>
    <w:rsid w:val="007D329D"/>
    <w:rsid w:val="007E197F"/>
    <w:rsid w:val="007E1B56"/>
    <w:rsid w:val="007E7BAF"/>
    <w:rsid w:val="007E7C16"/>
    <w:rsid w:val="007F08EE"/>
    <w:rsid w:val="007F400B"/>
    <w:rsid w:val="007F640A"/>
    <w:rsid w:val="00803142"/>
    <w:rsid w:val="0080769D"/>
    <w:rsid w:val="00813802"/>
    <w:rsid w:val="00813BDE"/>
    <w:rsid w:val="0081436D"/>
    <w:rsid w:val="00825E69"/>
    <w:rsid w:val="00833978"/>
    <w:rsid w:val="00834529"/>
    <w:rsid w:val="00835F20"/>
    <w:rsid w:val="00836C1C"/>
    <w:rsid w:val="00841F8F"/>
    <w:rsid w:val="00845D9B"/>
    <w:rsid w:val="00847D98"/>
    <w:rsid w:val="008513FD"/>
    <w:rsid w:val="00852CEB"/>
    <w:rsid w:val="00855041"/>
    <w:rsid w:val="00857664"/>
    <w:rsid w:val="00860998"/>
    <w:rsid w:val="00865804"/>
    <w:rsid w:val="00872795"/>
    <w:rsid w:val="00872F59"/>
    <w:rsid w:val="0087471C"/>
    <w:rsid w:val="00875C37"/>
    <w:rsid w:val="0088082B"/>
    <w:rsid w:val="00881126"/>
    <w:rsid w:val="0088208B"/>
    <w:rsid w:val="00890C75"/>
    <w:rsid w:val="00897166"/>
    <w:rsid w:val="00897331"/>
    <w:rsid w:val="00897B98"/>
    <w:rsid w:val="008A06D9"/>
    <w:rsid w:val="008A1417"/>
    <w:rsid w:val="008A2634"/>
    <w:rsid w:val="008B3C09"/>
    <w:rsid w:val="008C08E9"/>
    <w:rsid w:val="008C3F4D"/>
    <w:rsid w:val="008D059E"/>
    <w:rsid w:val="008D4092"/>
    <w:rsid w:val="008D667E"/>
    <w:rsid w:val="008E40C5"/>
    <w:rsid w:val="008E4233"/>
    <w:rsid w:val="008F24A2"/>
    <w:rsid w:val="008F7891"/>
    <w:rsid w:val="009006F3"/>
    <w:rsid w:val="009009F5"/>
    <w:rsid w:val="009063CB"/>
    <w:rsid w:val="009179C1"/>
    <w:rsid w:val="009205DD"/>
    <w:rsid w:val="009232A8"/>
    <w:rsid w:val="009241F1"/>
    <w:rsid w:val="0093032D"/>
    <w:rsid w:val="00931829"/>
    <w:rsid w:val="00934C69"/>
    <w:rsid w:val="00935485"/>
    <w:rsid w:val="00935583"/>
    <w:rsid w:val="00936367"/>
    <w:rsid w:val="009430F4"/>
    <w:rsid w:val="00947860"/>
    <w:rsid w:val="009507B5"/>
    <w:rsid w:val="00950BF8"/>
    <w:rsid w:val="00951BF0"/>
    <w:rsid w:val="0095206E"/>
    <w:rsid w:val="00953BE9"/>
    <w:rsid w:val="00955457"/>
    <w:rsid w:val="009607F2"/>
    <w:rsid w:val="00963326"/>
    <w:rsid w:val="009646EF"/>
    <w:rsid w:val="0096566C"/>
    <w:rsid w:val="00970BC2"/>
    <w:rsid w:val="00975C46"/>
    <w:rsid w:val="0098254D"/>
    <w:rsid w:val="00984647"/>
    <w:rsid w:val="00992D3E"/>
    <w:rsid w:val="00996D1A"/>
    <w:rsid w:val="009A21BD"/>
    <w:rsid w:val="009A3F14"/>
    <w:rsid w:val="009A5E78"/>
    <w:rsid w:val="009B1D16"/>
    <w:rsid w:val="009D383E"/>
    <w:rsid w:val="009D57CF"/>
    <w:rsid w:val="009D5868"/>
    <w:rsid w:val="009D6BAD"/>
    <w:rsid w:val="009E0CE0"/>
    <w:rsid w:val="009E31DC"/>
    <w:rsid w:val="009E3F82"/>
    <w:rsid w:val="009E442E"/>
    <w:rsid w:val="009E61DE"/>
    <w:rsid w:val="009F0908"/>
    <w:rsid w:val="009F0DA9"/>
    <w:rsid w:val="009F1688"/>
    <w:rsid w:val="009F2965"/>
    <w:rsid w:val="009F46F8"/>
    <w:rsid w:val="009F7DA2"/>
    <w:rsid w:val="00A07209"/>
    <w:rsid w:val="00A1123C"/>
    <w:rsid w:val="00A11422"/>
    <w:rsid w:val="00A14A79"/>
    <w:rsid w:val="00A14A81"/>
    <w:rsid w:val="00A232BC"/>
    <w:rsid w:val="00A25F39"/>
    <w:rsid w:val="00A271F3"/>
    <w:rsid w:val="00A30263"/>
    <w:rsid w:val="00A32C67"/>
    <w:rsid w:val="00A40ABC"/>
    <w:rsid w:val="00A4139E"/>
    <w:rsid w:val="00A53F76"/>
    <w:rsid w:val="00A56754"/>
    <w:rsid w:val="00A65235"/>
    <w:rsid w:val="00A713B8"/>
    <w:rsid w:val="00A831A5"/>
    <w:rsid w:val="00A85F53"/>
    <w:rsid w:val="00A9232A"/>
    <w:rsid w:val="00A92F2F"/>
    <w:rsid w:val="00AA2F6F"/>
    <w:rsid w:val="00AA3FE3"/>
    <w:rsid w:val="00AA47EC"/>
    <w:rsid w:val="00AA7F7D"/>
    <w:rsid w:val="00AB0474"/>
    <w:rsid w:val="00AB0F1F"/>
    <w:rsid w:val="00AB1017"/>
    <w:rsid w:val="00AB3ADC"/>
    <w:rsid w:val="00AB5DD5"/>
    <w:rsid w:val="00AB6E6B"/>
    <w:rsid w:val="00AC02FD"/>
    <w:rsid w:val="00AC0522"/>
    <w:rsid w:val="00AC6254"/>
    <w:rsid w:val="00AD0E1D"/>
    <w:rsid w:val="00AD2EBF"/>
    <w:rsid w:val="00AD6E86"/>
    <w:rsid w:val="00AD7257"/>
    <w:rsid w:val="00AE152C"/>
    <w:rsid w:val="00AE616C"/>
    <w:rsid w:val="00AE7615"/>
    <w:rsid w:val="00AF0C64"/>
    <w:rsid w:val="00AF118D"/>
    <w:rsid w:val="00AF1B06"/>
    <w:rsid w:val="00AF7ECE"/>
    <w:rsid w:val="00B01E25"/>
    <w:rsid w:val="00B06DA9"/>
    <w:rsid w:val="00B079FA"/>
    <w:rsid w:val="00B11CA5"/>
    <w:rsid w:val="00B13856"/>
    <w:rsid w:val="00B1578B"/>
    <w:rsid w:val="00B172B8"/>
    <w:rsid w:val="00B17852"/>
    <w:rsid w:val="00B33672"/>
    <w:rsid w:val="00B35B6C"/>
    <w:rsid w:val="00B3708D"/>
    <w:rsid w:val="00B46014"/>
    <w:rsid w:val="00B466B9"/>
    <w:rsid w:val="00B46DD0"/>
    <w:rsid w:val="00B5002B"/>
    <w:rsid w:val="00B52564"/>
    <w:rsid w:val="00B52B6B"/>
    <w:rsid w:val="00B72487"/>
    <w:rsid w:val="00B7385E"/>
    <w:rsid w:val="00B829B9"/>
    <w:rsid w:val="00B92116"/>
    <w:rsid w:val="00B936E1"/>
    <w:rsid w:val="00B94248"/>
    <w:rsid w:val="00B9670E"/>
    <w:rsid w:val="00BA4E81"/>
    <w:rsid w:val="00BB183D"/>
    <w:rsid w:val="00BB4510"/>
    <w:rsid w:val="00BB741A"/>
    <w:rsid w:val="00BC03A9"/>
    <w:rsid w:val="00BC427A"/>
    <w:rsid w:val="00BC43A2"/>
    <w:rsid w:val="00BC4A9D"/>
    <w:rsid w:val="00BC7355"/>
    <w:rsid w:val="00BD20E6"/>
    <w:rsid w:val="00BD2C79"/>
    <w:rsid w:val="00BD6C13"/>
    <w:rsid w:val="00BD7F64"/>
    <w:rsid w:val="00BE0930"/>
    <w:rsid w:val="00BF12D0"/>
    <w:rsid w:val="00C001B6"/>
    <w:rsid w:val="00C003D9"/>
    <w:rsid w:val="00C02019"/>
    <w:rsid w:val="00C13F9F"/>
    <w:rsid w:val="00C16257"/>
    <w:rsid w:val="00C327D2"/>
    <w:rsid w:val="00C35612"/>
    <w:rsid w:val="00C43B18"/>
    <w:rsid w:val="00C47735"/>
    <w:rsid w:val="00C51758"/>
    <w:rsid w:val="00C5287C"/>
    <w:rsid w:val="00C532BB"/>
    <w:rsid w:val="00C630C5"/>
    <w:rsid w:val="00C646BF"/>
    <w:rsid w:val="00C742BF"/>
    <w:rsid w:val="00C7452D"/>
    <w:rsid w:val="00C75454"/>
    <w:rsid w:val="00C77806"/>
    <w:rsid w:val="00C821EE"/>
    <w:rsid w:val="00C83C63"/>
    <w:rsid w:val="00C940DC"/>
    <w:rsid w:val="00C95557"/>
    <w:rsid w:val="00C95E67"/>
    <w:rsid w:val="00CA176F"/>
    <w:rsid w:val="00CA17A4"/>
    <w:rsid w:val="00CA369D"/>
    <w:rsid w:val="00CA564A"/>
    <w:rsid w:val="00CA575F"/>
    <w:rsid w:val="00CA60F8"/>
    <w:rsid w:val="00CA753A"/>
    <w:rsid w:val="00CB032A"/>
    <w:rsid w:val="00CC6777"/>
    <w:rsid w:val="00CD4E66"/>
    <w:rsid w:val="00CD694B"/>
    <w:rsid w:val="00CE492E"/>
    <w:rsid w:val="00CF0900"/>
    <w:rsid w:val="00CF15A8"/>
    <w:rsid w:val="00CF29E7"/>
    <w:rsid w:val="00CF377F"/>
    <w:rsid w:val="00CF3F34"/>
    <w:rsid w:val="00D00B2A"/>
    <w:rsid w:val="00D043BF"/>
    <w:rsid w:val="00D0464C"/>
    <w:rsid w:val="00D06FB6"/>
    <w:rsid w:val="00D10C31"/>
    <w:rsid w:val="00D13121"/>
    <w:rsid w:val="00D15156"/>
    <w:rsid w:val="00D1710B"/>
    <w:rsid w:val="00D217E3"/>
    <w:rsid w:val="00D21E24"/>
    <w:rsid w:val="00D23734"/>
    <w:rsid w:val="00D34332"/>
    <w:rsid w:val="00D37172"/>
    <w:rsid w:val="00D405DE"/>
    <w:rsid w:val="00D43140"/>
    <w:rsid w:val="00D50B2E"/>
    <w:rsid w:val="00D512FD"/>
    <w:rsid w:val="00D56F53"/>
    <w:rsid w:val="00D57F38"/>
    <w:rsid w:val="00D63779"/>
    <w:rsid w:val="00D646B7"/>
    <w:rsid w:val="00D74ADC"/>
    <w:rsid w:val="00D75E5F"/>
    <w:rsid w:val="00D763CA"/>
    <w:rsid w:val="00D9266E"/>
    <w:rsid w:val="00DA06D2"/>
    <w:rsid w:val="00DA1BB5"/>
    <w:rsid w:val="00DA25DE"/>
    <w:rsid w:val="00DA4ADF"/>
    <w:rsid w:val="00DA75D5"/>
    <w:rsid w:val="00DB4662"/>
    <w:rsid w:val="00DB4665"/>
    <w:rsid w:val="00DB4FC8"/>
    <w:rsid w:val="00DB626C"/>
    <w:rsid w:val="00DC1521"/>
    <w:rsid w:val="00DC43F1"/>
    <w:rsid w:val="00DC697F"/>
    <w:rsid w:val="00DE0334"/>
    <w:rsid w:val="00DE308D"/>
    <w:rsid w:val="00DE799B"/>
    <w:rsid w:val="00DF204B"/>
    <w:rsid w:val="00DF231E"/>
    <w:rsid w:val="00DF319E"/>
    <w:rsid w:val="00DF33ED"/>
    <w:rsid w:val="00DF7F5C"/>
    <w:rsid w:val="00E0287E"/>
    <w:rsid w:val="00E04E01"/>
    <w:rsid w:val="00E058D9"/>
    <w:rsid w:val="00E07C23"/>
    <w:rsid w:val="00E16AA4"/>
    <w:rsid w:val="00E16B93"/>
    <w:rsid w:val="00E23F04"/>
    <w:rsid w:val="00E245CE"/>
    <w:rsid w:val="00E37E48"/>
    <w:rsid w:val="00E408CD"/>
    <w:rsid w:val="00E40D04"/>
    <w:rsid w:val="00E411CE"/>
    <w:rsid w:val="00E41E4E"/>
    <w:rsid w:val="00E45018"/>
    <w:rsid w:val="00E45FA2"/>
    <w:rsid w:val="00E46080"/>
    <w:rsid w:val="00E53451"/>
    <w:rsid w:val="00E5512C"/>
    <w:rsid w:val="00E55A5F"/>
    <w:rsid w:val="00E55A65"/>
    <w:rsid w:val="00E60C43"/>
    <w:rsid w:val="00E66E75"/>
    <w:rsid w:val="00E74D94"/>
    <w:rsid w:val="00E86F87"/>
    <w:rsid w:val="00E90018"/>
    <w:rsid w:val="00E92C64"/>
    <w:rsid w:val="00E93C2A"/>
    <w:rsid w:val="00E946EC"/>
    <w:rsid w:val="00E9569F"/>
    <w:rsid w:val="00EA3EE1"/>
    <w:rsid w:val="00EA7896"/>
    <w:rsid w:val="00EB119B"/>
    <w:rsid w:val="00EB1BCC"/>
    <w:rsid w:val="00EB1DA5"/>
    <w:rsid w:val="00EB3C3C"/>
    <w:rsid w:val="00EB4961"/>
    <w:rsid w:val="00EC3413"/>
    <w:rsid w:val="00EC3789"/>
    <w:rsid w:val="00EC380F"/>
    <w:rsid w:val="00EC6B95"/>
    <w:rsid w:val="00ED280A"/>
    <w:rsid w:val="00EE0B0C"/>
    <w:rsid w:val="00EE5A50"/>
    <w:rsid w:val="00EF2071"/>
    <w:rsid w:val="00EF64AF"/>
    <w:rsid w:val="00F00BC7"/>
    <w:rsid w:val="00F04354"/>
    <w:rsid w:val="00F0704A"/>
    <w:rsid w:val="00F10E41"/>
    <w:rsid w:val="00F136CF"/>
    <w:rsid w:val="00F14F61"/>
    <w:rsid w:val="00F23419"/>
    <w:rsid w:val="00F235B3"/>
    <w:rsid w:val="00F431A3"/>
    <w:rsid w:val="00F46E64"/>
    <w:rsid w:val="00F56BC9"/>
    <w:rsid w:val="00F62510"/>
    <w:rsid w:val="00F676FA"/>
    <w:rsid w:val="00F76253"/>
    <w:rsid w:val="00F917CA"/>
    <w:rsid w:val="00F93774"/>
    <w:rsid w:val="00F967B8"/>
    <w:rsid w:val="00FA39CF"/>
    <w:rsid w:val="00FA5A56"/>
    <w:rsid w:val="00FA5E07"/>
    <w:rsid w:val="00FA7793"/>
    <w:rsid w:val="00FB15CF"/>
    <w:rsid w:val="00FC1012"/>
    <w:rsid w:val="00FC1151"/>
    <w:rsid w:val="00FC2A9E"/>
    <w:rsid w:val="00FC73C3"/>
    <w:rsid w:val="00FD1AA2"/>
    <w:rsid w:val="00FD28E7"/>
    <w:rsid w:val="00FE1A9E"/>
    <w:rsid w:val="00FE7973"/>
    <w:rsid w:val="00FE7B12"/>
    <w:rsid w:val="00FF0FB8"/>
    <w:rsid w:val="00FF4C38"/>
    <w:rsid w:val="00FF599B"/>
    <w:rsid w:val="00FF6509"/>
    <w:rsid w:val="00FFA3EB"/>
    <w:rsid w:val="013D7B07"/>
    <w:rsid w:val="01559EBF"/>
    <w:rsid w:val="01A69171"/>
    <w:rsid w:val="01AF9BA4"/>
    <w:rsid w:val="01B5F7D3"/>
    <w:rsid w:val="01F18983"/>
    <w:rsid w:val="025E2894"/>
    <w:rsid w:val="02A9CAC7"/>
    <w:rsid w:val="030DA21C"/>
    <w:rsid w:val="03E73C23"/>
    <w:rsid w:val="0403E760"/>
    <w:rsid w:val="0442830E"/>
    <w:rsid w:val="05002D71"/>
    <w:rsid w:val="053D5ABE"/>
    <w:rsid w:val="05D60275"/>
    <w:rsid w:val="05D81A8E"/>
    <w:rsid w:val="062B448C"/>
    <w:rsid w:val="06FA6A2E"/>
    <w:rsid w:val="0800FEA6"/>
    <w:rsid w:val="0894880E"/>
    <w:rsid w:val="090B9E3E"/>
    <w:rsid w:val="097A1BCD"/>
    <w:rsid w:val="098717B3"/>
    <w:rsid w:val="09A0D395"/>
    <w:rsid w:val="0A4726E2"/>
    <w:rsid w:val="0AD5A600"/>
    <w:rsid w:val="0AF41A4F"/>
    <w:rsid w:val="0BD5D571"/>
    <w:rsid w:val="0BDD6519"/>
    <w:rsid w:val="0C348A64"/>
    <w:rsid w:val="0CDFCA8D"/>
    <w:rsid w:val="0D89FEDA"/>
    <w:rsid w:val="0DAA6C18"/>
    <w:rsid w:val="0DC28FA3"/>
    <w:rsid w:val="0E2BCA84"/>
    <w:rsid w:val="0E3E3654"/>
    <w:rsid w:val="0E8FE2A1"/>
    <w:rsid w:val="0F2CCB4F"/>
    <w:rsid w:val="0F5D00A6"/>
    <w:rsid w:val="0F94AB2D"/>
    <w:rsid w:val="1010C9C0"/>
    <w:rsid w:val="10639004"/>
    <w:rsid w:val="106A354F"/>
    <w:rsid w:val="10E9D75B"/>
    <w:rsid w:val="10FB7051"/>
    <w:rsid w:val="1114516E"/>
    <w:rsid w:val="111B6857"/>
    <w:rsid w:val="11481DF1"/>
    <w:rsid w:val="114F3E91"/>
    <w:rsid w:val="11D9F208"/>
    <w:rsid w:val="12289AD9"/>
    <w:rsid w:val="129247AF"/>
    <w:rsid w:val="129AF2E8"/>
    <w:rsid w:val="12A1E599"/>
    <w:rsid w:val="12C289BF"/>
    <w:rsid w:val="12DE95A2"/>
    <w:rsid w:val="132F610B"/>
    <w:rsid w:val="1386719A"/>
    <w:rsid w:val="13AB30F4"/>
    <w:rsid w:val="13BE0546"/>
    <w:rsid w:val="141AF257"/>
    <w:rsid w:val="14E5FAFB"/>
    <w:rsid w:val="156884DA"/>
    <w:rsid w:val="15877FF0"/>
    <w:rsid w:val="159F42AF"/>
    <w:rsid w:val="15D86936"/>
    <w:rsid w:val="1602AE35"/>
    <w:rsid w:val="1672D10E"/>
    <w:rsid w:val="16750611"/>
    <w:rsid w:val="17DF2E7A"/>
    <w:rsid w:val="188E947C"/>
    <w:rsid w:val="18AA9433"/>
    <w:rsid w:val="18BA2538"/>
    <w:rsid w:val="18EBCE72"/>
    <w:rsid w:val="18FE1745"/>
    <w:rsid w:val="198750A3"/>
    <w:rsid w:val="19ACB8F5"/>
    <w:rsid w:val="19AFF6D9"/>
    <w:rsid w:val="19F58DE5"/>
    <w:rsid w:val="19F9053D"/>
    <w:rsid w:val="1A50C3CF"/>
    <w:rsid w:val="1A711BA8"/>
    <w:rsid w:val="1A84E3D0"/>
    <w:rsid w:val="1B16D025"/>
    <w:rsid w:val="1B62438E"/>
    <w:rsid w:val="1BD0053D"/>
    <w:rsid w:val="1BF37835"/>
    <w:rsid w:val="1C1D9542"/>
    <w:rsid w:val="1C2135D9"/>
    <w:rsid w:val="1CDAA52E"/>
    <w:rsid w:val="1D23F33D"/>
    <w:rsid w:val="1D80EA49"/>
    <w:rsid w:val="1D969DAC"/>
    <w:rsid w:val="1E021E3E"/>
    <w:rsid w:val="1E23C629"/>
    <w:rsid w:val="1E5F8F95"/>
    <w:rsid w:val="1EB01B8A"/>
    <w:rsid w:val="1ECD0080"/>
    <w:rsid w:val="1F2ED4DA"/>
    <w:rsid w:val="1FAEC858"/>
    <w:rsid w:val="1FCA121A"/>
    <w:rsid w:val="2121365F"/>
    <w:rsid w:val="2148C846"/>
    <w:rsid w:val="21999F36"/>
    <w:rsid w:val="21CC907D"/>
    <w:rsid w:val="21EB604E"/>
    <w:rsid w:val="22BC24E4"/>
    <w:rsid w:val="22ED9E05"/>
    <w:rsid w:val="22FB83F5"/>
    <w:rsid w:val="2308D8A3"/>
    <w:rsid w:val="23634783"/>
    <w:rsid w:val="23777EBB"/>
    <w:rsid w:val="238CFD60"/>
    <w:rsid w:val="238D160E"/>
    <w:rsid w:val="239395A4"/>
    <w:rsid w:val="23A41663"/>
    <w:rsid w:val="23B9FFE9"/>
    <w:rsid w:val="23D640A6"/>
    <w:rsid w:val="23FA4E67"/>
    <w:rsid w:val="246A5CE0"/>
    <w:rsid w:val="247E3FBB"/>
    <w:rsid w:val="248A9865"/>
    <w:rsid w:val="24ABE1B9"/>
    <w:rsid w:val="24E4FD73"/>
    <w:rsid w:val="24EFB36F"/>
    <w:rsid w:val="250C01C0"/>
    <w:rsid w:val="252BC19B"/>
    <w:rsid w:val="2536F592"/>
    <w:rsid w:val="25F41E43"/>
    <w:rsid w:val="25F4FDD6"/>
    <w:rsid w:val="26A475B3"/>
    <w:rsid w:val="26C4B5CB"/>
    <w:rsid w:val="26E73B69"/>
    <w:rsid w:val="27A32276"/>
    <w:rsid w:val="27BB70DB"/>
    <w:rsid w:val="27E10E7F"/>
    <w:rsid w:val="286C18AD"/>
    <w:rsid w:val="28A17C25"/>
    <w:rsid w:val="28C27567"/>
    <w:rsid w:val="28C7FE27"/>
    <w:rsid w:val="28D1AF80"/>
    <w:rsid w:val="2A154005"/>
    <w:rsid w:val="2A1696B5"/>
    <w:rsid w:val="2A4644F4"/>
    <w:rsid w:val="2A57DD87"/>
    <w:rsid w:val="2AA2021B"/>
    <w:rsid w:val="2ACC7C57"/>
    <w:rsid w:val="2AF9B54C"/>
    <w:rsid w:val="2B0E9E47"/>
    <w:rsid w:val="2B4F8D92"/>
    <w:rsid w:val="2BA8535A"/>
    <w:rsid w:val="2BDCD76A"/>
    <w:rsid w:val="2C12D1A5"/>
    <w:rsid w:val="2C65F448"/>
    <w:rsid w:val="2C9F0F81"/>
    <w:rsid w:val="2CC82CE0"/>
    <w:rsid w:val="2D3FB4B1"/>
    <w:rsid w:val="2D50731E"/>
    <w:rsid w:val="2E537B1A"/>
    <w:rsid w:val="2EC80120"/>
    <w:rsid w:val="2EDB8684"/>
    <w:rsid w:val="2EF17930"/>
    <w:rsid w:val="2F6C0F56"/>
    <w:rsid w:val="30325C5F"/>
    <w:rsid w:val="308E9B9C"/>
    <w:rsid w:val="3099EA9E"/>
    <w:rsid w:val="30E2BAD2"/>
    <w:rsid w:val="313F1AEC"/>
    <w:rsid w:val="31E0F60C"/>
    <w:rsid w:val="327796C0"/>
    <w:rsid w:val="3316F809"/>
    <w:rsid w:val="34BAA79C"/>
    <w:rsid w:val="34DCAE00"/>
    <w:rsid w:val="34E6B4DB"/>
    <w:rsid w:val="350FCB76"/>
    <w:rsid w:val="354CA993"/>
    <w:rsid w:val="35854151"/>
    <w:rsid w:val="3590DB21"/>
    <w:rsid w:val="3605C253"/>
    <w:rsid w:val="36246287"/>
    <w:rsid w:val="36E44CE5"/>
    <w:rsid w:val="37013956"/>
    <w:rsid w:val="37C7D389"/>
    <w:rsid w:val="37D79A2E"/>
    <w:rsid w:val="384FDE7C"/>
    <w:rsid w:val="3894E00A"/>
    <w:rsid w:val="38F7303B"/>
    <w:rsid w:val="3913D388"/>
    <w:rsid w:val="397FEB78"/>
    <w:rsid w:val="39E2998D"/>
    <w:rsid w:val="3A0E6931"/>
    <w:rsid w:val="3A775367"/>
    <w:rsid w:val="3A7AD0C7"/>
    <w:rsid w:val="3ABD33AC"/>
    <w:rsid w:val="3ACEFA91"/>
    <w:rsid w:val="3B225291"/>
    <w:rsid w:val="3B535E1C"/>
    <w:rsid w:val="3B5963E3"/>
    <w:rsid w:val="3BF1319B"/>
    <w:rsid w:val="3C0A11FC"/>
    <w:rsid w:val="3C4E0FE8"/>
    <w:rsid w:val="3D78E98A"/>
    <w:rsid w:val="3D8906FE"/>
    <w:rsid w:val="3E047597"/>
    <w:rsid w:val="3E2C2606"/>
    <w:rsid w:val="3E30328E"/>
    <w:rsid w:val="3F00C6FE"/>
    <w:rsid w:val="3F411E79"/>
    <w:rsid w:val="3F618609"/>
    <w:rsid w:val="3F94044F"/>
    <w:rsid w:val="3FCE66EA"/>
    <w:rsid w:val="3FE7EDB0"/>
    <w:rsid w:val="402F196C"/>
    <w:rsid w:val="40886111"/>
    <w:rsid w:val="41FD543A"/>
    <w:rsid w:val="426B7164"/>
    <w:rsid w:val="426C8FC0"/>
    <w:rsid w:val="427B022E"/>
    <w:rsid w:val="427C63C3"/>
    <w:rsid w:val="428C2154"/>
    <w:rsid w:val="42A87A23"/>
    <w:rsid w:val="42D38DD1"/>
    <w:rsid w:val="42DE414D"/>
    <w:rsid w:val="435AA1BB"/>
    <w:rsid w:val="435AF691"/>
    <w:rsid w:val="437976C7"/>
    <w:rsid w:val="438E3E4F"/>
    <w:rsid w:val="43A3CE26"/>
    <w:rsid w:val="43F889E9"/>
    <w:rsid w:val="442CD465"/>
    <w:rsid w:val="44DF5A92"/>
    <w:rsid w:val="44F85F11"/>
    <w:rsid w:val="44FE0325"/>
    <w:rsid w:val="45050B7B"/>
    <w:rsid w:val="45B942F5"/>
    <w:rsid w:val="464A160D"/>
    <w:rsid w:val="46BFAF33"/>
    <w:rsid w:val="4711547C"/>
    <w:rsid w:val="473AD85F"/>
    <w:rsid w:val="4770B02B"/>
    <w:rsid w:val="477BD1BB"/>
    <w:rsid w:val="482F25EF"/>
    <w:rsid w:val="48C5C1CD"/>
    <w:rsid w:val="490D71FD"/>
    <w:rsid w:val="497DCD7A"/>
    <w:rsid w:val="49899CC9"/>
    <w:rsid w:val="49C70DC1"/>
    <w:rsid w:val="49D17448"/>
    <w:rsid w:val="4A2BDBED"/>
    <w:rsid w:val="4A2ED12B"/>
    <w:rsid w:val="4A69912D"/>
    <w:rsid w:val="4B1BFECB"/>
    <w:rsid w:val="4B7BEF6E"/>
    <w:rsid w:val="4B942188"/>
    <w:rsid w:val="4BC6969F"/>
    <w:rsid w:val="4C6BA68B"/>
    <w:rsid w:val="4C81384F"/>
    <w:rsid w:val="4C8C798F"/>
    <w:rsid w:val="4DC2C845"/>
    <w:rsid w:val="4E3A4775"/>
    <w:rsid w:val="4E830D14"/>
    <w:rsid w:val="4EB198BB"/>
    <w:rsid w:val="4EB39030"/>
    <w:rsid w:val="4F2334B4"/>
    <w:rsid w:val="4F2F89B8"/>
    <w:rsid w:val="4F4EC528"/>
    <w:rsid w:val="505BA445"/>
    <w:rsid w:val="508470AF"/>
    <w:rsid w:val="50C845CA"/>
    <w:rsid w:val="50E8ED0D"/>
    <w:rsid w:val="513C2EB2"/>
    <w:rsid w:val="5149C7CF"/>
    <w:rsid w:val="51995DF4"/>
    <w:rsid w:val="51EDD209"/>
    <w:rsid w:val="523C36CF"/>
    <w:rsid w:val="52F5064D"/>
    <w:rsid w:val="545C7C26"/>
    <w:rsid w:val="548FEF29"/>
    <w:rsid w:val="54A52425"/>
    <w:rsid w:val="54F1286D"/>
    <w:rsid w:val="55DF92EE"/>
    <w:rsid w:val="55EB58F5"/>
    <w:rsid w:val="563A08A2"/>
    <w:rsid w:val="56B8A4B2"/>
    <w:rsid w:val="57019C60"/>
    <w:rsid w:val="5703B844"/>
    <w:rsid w:val="57329FF4"/>
    <w:rsid w:val="578A91E6"/>
    <w:rsid w:val="57F432E6"/>
    <w:rsid w:val="587F0C7A"/>
    <w:rsid w:val="589F8DD1"/>
    <w:rsid w:val="58AB0A65"/>
    <w:rsid w:val="58E20525"/>
    <w:rsid w:val="594250A3"/>
    <w:rsid w:val="597277B1"/>
    <w:rsid w:val="59AC4806"/>
    <w:rsid w:val="59D48741"/>
    <w:rsid w:val="59F807ED"/>
    <w:rsid w:val="5A0CA57D"/>
    <w:rsid w:val="5A7C18BB"/>
    <w:rsid w:val="5A8DC29A"/>
    <w:rsid w:val="5AA54B01"/>
    <w:rsid w:val="5AC5F8FC"/>
    <w:rsid w:val="5B7148F4"/>
    <w:rsid w:val="5B7D2A5D"/>
    <w:rsid w:val="5BA335DF"/>
    <w:rsid w:val="5BFE8D31"/>
    <w:rsid w:val="5C221112"/>
    <w:rsid w:val="5C238AE5"/>
    <w:rsid w:val="5C2497BC"/>
    <w:rsid w:val="5C2BD2DA"/>
    <w:rsid w:val="5C30B339"/>
    <w:rsid w:val="5C315D02"/>
    <w:rsid w:val="5C31B17C"/>
    <w:rsid w:val="5C8365C9"/>
    <w:rsid w:val="5D0565B4"/>
    <w:rsid w:val="5D41FE63"/>
    <w:rsid w:val="5D4F721D"/>
    <w:rsid w:val="5D59F416"/>
    <w:rsid w:val="5D67E8BB"/>
    <w:rsid w:val="5D7BFC7F"/>
    <w:rsid w:val="5D89389E"/>
    <w:rsid w:val="5DA91600"/>
    <w:rsid w:val="5DAB7F6D"/>
    <w:rsid w:val="5DF54AF0"/>
    <w:rsid w:val="5EABE80B"/>
    <w:rsid w:val="5EBF694A"/>
    <w:rsid w:val="5F106EB4"/>
    <w:rsid w:val="5F3C3190"/>
    <w:rsid w:val="5F489B89"/>
    <w:rsid w:val="5FB12D1B"/>
    <w:rsid w:val="5FCA1C49"/>
    <w:rsid w:val="5FD1F4AF"/>
    <w:rsid w:val="60FA0B10"/>
    <w:rsid w:val="6136C5B6"/>
    <w:rsid w:val="61B2443A"/>
    <w:rsid w:val="61CCE320"/>
    <w:rsid w:val="6270A613"/>
    <w:rsid w:val="62CD2727"/>
    <w:rsid w:val="62FE2241"/>
    <w:rsid w:val="635E22E9"/>
    <w:rsid w:val="63F07ACC"/>
    <w:rsid w:val="642A0E53"/>
    <w:rsid w:val="643327D7"/>
    <w:rsid w:val="647DD444"/>
    <w:rsid w:val="6480DE7B"/>
    <w:rsid w:val="6493126B"/>
    <w:rsid w:val="64B6EF0A"/>
    <w:rsid w:val="64D0B613"/>
    <w:rsid w:val="65323029"/>
    <w:rsid w:val="6551EA1A"/>
    <w:rsid w:val="6611989F"/>
    <w:rsid w:val="66D0830D"/>
    <w:rsid w:val="672CA8A8"/>
    <w:rsid w:val="674C9260"/>
    <w:rsid w:val="67628F31"/>
    <w:rsid w:val="67CE139C"/>
    <w:rsid w:val="687754A6"/>
    <w:rsid w:val="689478A3"/>
    <w:rsid w:val="6897E0DB"/>
    <w:rsid w:val="696B01D9"/>
    <w:rsid w:val="6980D816"/>
    <w:rsid w:val="69FB2BCA"/>
    <w:rsid w:val="6A418602"/>
    <w:rsid w:val="6A8F2C1F"/>
    <w:rsid w:val="6AB547C2"/>
    <w:rsid w:val="6AD446F2"/>
    <w:rsid w:val="6AE667B4"/>
    <w:rsid w:val="6B1C1E71"/>
    <w:rsid w:val="6B2FA7EC"/>
    <w:rsid w:val="6B5779E4"/>
    <w:rsid w:val="6C5BF6CE"/>
    <w:rsid w:val="6C92540B"/>
    <w:rsid w:val="6CC6425B"/>
    <w:rsid w:val="6D28C598"/>
    <w:rsid w:val="6D319D53"/>
    <w:rsid w:val="6D67E9C6"/>
    <w:rsid w:val="6D732CC4"/>
    <w:rsid w:val="6E4D177F"/>
    <w:rsid w:val="6EEA5891"/>
    <w:rsid w:val="6F648B38"/>
    <w:rsid w:val="6F99224D"/>
    <w:rsid w:val="6FA3F130"/>
    <w:rsid w:val="6FACE540"/>
    <w:rsid w:val="6FC344E7"/>
    <w:rsid w:val="6FE34771"/>
    <w:rsid w:val="6FF76373"/>
    <w:rsid w:val="7071A4B4"/>
    <w:rsid w:val="709144AD"/>
    <w:rsid w:val="70CD725A"/>
    <w:rsid w:val="70E4BB21"/>
    <w:rsid w:val="714B4535"/>
    <w:rsid w:val="720FB5F4"/>
    <w:rsid w:val="7285956B"/>
    <w:rsid w:val="72937DDC"/>
    <w:rsid w:val="72D38A0C"/>
    <w:rsid w:val="73BCF859"/>
    <w:rsid w:val="73CF5137"/>
    <w:rsid w:val="7415464A"/>
    <w:rsid w:val="7419A646"/>
    <w:rsid w:val="7434C988"/>
    <w:rsid w:val="743838DC"/>
    <w:rsid w:val="74D24D5F"/>
    <w:rsid w:val="74E62559"/>
    <w:rsid w:val="7561D731"/>
    <w:rsid w:val="75A2EFEB"/>
    <w:rsid w:val="75B53B13"/>
    <w:rsid w:val="761907FF"/>
    <w:rsid w:val="76735904"/>
    <w:rsid w:val="76BAF4D2"/>
    <w:rsid w:val="770F5CF0"/>
    <w:rsid w:val="771B0672"/>
    <w:rsid w:val="774A6F80"/>
    <w:rsid w:val="7808125F"/>
    <w:rsid w:val="781F1289"/>
    <w:rsid w:val="7823A674"/>
    <w:rsid w:val="782E37F5"/>
    <w:rsid w:val="7849597F"/>
    <w:rsid w:val="786C3356"/>
    <w:rsid w:val="787E266E"/>
    <w:rsid w:val="791D4A23"/>
    <w:rsid w:val="79572564"/>
    <w:rsid w:val="7964B369"/>
    <w:rsid w:val="7A047988"/>
    <w:rsid w:val="7A1899E4"/>
    <w:rsid w:val="7A4324F5"/>
    <w:rsid w:val="7AF960D3"/>
    <w:rsid w:val="7B8A0B65"/>
    <w:rsid w:val="7BE20F5D"/>
    <w:rsid w:val="7BF960C7"/>
    <w:rsid w:val="7C25E987"/>
    <w:rsid w:val="7C3ABA3F"/>
    <w:rsid w:val="7CA9BD94"/>
    <w:rsid w:val="7CABB3C2"/>
    <w:rsid w:val="7CBF8098"/>
    <w:rsid w:val="7CBFD68D"/>
    <w:rsid w:val="7CD0E22C"/>
    <w:rsid w:val="7D3FF353"/>
    <w:rsid w:val="7D493B6D"/>
    <w:rsid w:val="7D4CE490"/>
    <w:rsid w:val="7D6A5E45"/>
    <w:rsid w:val="7D7DDFBE"/>
    <w:rsid w:val="7D8569A8"/>
    <w:rsid w:val="7DAEBBFD"/>
    <w:rsid w:val="7DBC13B7"/>
    <w:rsid w:val="7DBECFFF"/>
    <w:rsid w:val="7DC24216"/>
    <w:rsid w:val="7E0F99D9"/>
    <w:rsid w:val="7E0FFB08"/>
    <w:rsid w:val="7E33EBEF"/>
    <w:rsid w:val="7EB08110"/>
    <w:rsid w:val="7EB78A83"/>
    <w:rsid w:val="7FD94C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B93A"/>
  <w15:chartTrackingRefBased/>
  <w15:docId w15:val="{3650EF28-B9D8-4626-B9F4-EA51163D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69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2769E"/>
    <w:pPr>
      <w:widowControl w:val="0"/>
      <w:spacing w:after="240"/>
    </w:pPr>
    <w:rPr>
      <w:lang w:val="x-none" w:eastAsia="x-none"/>
    </w:rPr>
  </w:style>
  <w:style w:type="character" w:customStyle="1" w:styleId="BodyTextChar">
    <w:name w:val="Body Text Char"/>
    <w:link w:val="BodyText"/>
    <w:uiPriority w:val="99"/>
    <w:rsid w:val="0072769E"/>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72769E"/>
    <w:pPr>
      <w:tabs>
        <w:tab w:val="center" w:pos="4680"/>
        <w:tab w:val="right" w:pos="9360"/>
      </w:tabs>
    </w:pPr>
    <w:rPr>
      <w:lang w:val="x-none" w:eastAsia="x-none"/>
    </w:rPr>
  </w:style>
  <w:style w:type="character" w:customStyle="1" w:styleId="HeaderChar">
    <w:name w:val="Header Char"/>
    <w:link w:val="Header"/>
    <w:uiPriority w:val="99"/>
    <w:rsid w:val="0072769E"/>
    <w:rPr>
      <w:rFonts w:ascii="Times New Roman" w:eastAsia="Times New Roman" w:hAnsi="Times New Roman" w:cs="Times New Roman"/>
      <w:sz w:val="24"/>
      <w:szCs w:val="24"/>
      <w:lang w:val="x-none" w:eastAsia="x-none"/>
    </w:rPr>
  </w:style>
  <w:style w:type="paragraph" w:customStyle="1" w:styleId="TableCaption">
    <w:name w:val="Table Caption"/>
    <w:basedOn w:val="Normal"/>
    <w:next w:val="Table"/>
    <w:uiPriority w:val="99"/>
    <w:rsid w:val="0072769E"/>
    <w:pPr>
      <w:keepNext/>
      <w:keepLines/>
      <w:spacing w:before="440" w:after="440" w:line="240" w:lineRule="atLeast"/>
      <w:jc w:val="center"/>
    </w:pPr>
    <w:rPr>
      <w:rFonts w:ascii="Arial" w:hAnsi="Arial" w:cs="Arial"/>
      <w:b/>
      <w:bCs/>
      <w:caps/>
      <w:sz w:val="20"/>
      <w:szCs w:val="20"/>
    </w:rPr>
  </w:style>
  <w:style w:type="paragraph" w:customStyle="1" w:styleId="Table">
    <w:name w:val="Table"/>
    <w:basedOn w:val="Normal"/>
    <w:uiPriority w:val="99"/>
    <w:rsid w:val="0072769E"/>
    <w:pPr>
      <w:keepNext/>
      <w:keepLines/>
    </w:pPr>
    <w:rPr>
      <w:rFonts w:ascii="Arial" w:hAnsi="Arial" w:cs="Arial"/>
      <w:sz w:val="20"/>
      <w:szCs w:val="20"/>
    </w:rPr>
  </w:style>
  <w:style w:type="character" w:styleId="Hyperlink">
    <w:name w:val="Hyperlink"/>
    <w:uiPriority w:val="99"/>
    <w:rsid w:val="0072769E"/>
    <w:rPr>
      <w:rFonts w:cs="Times New Roman"/>
      <w:color w:val="0000FF"/>
      <w:u w:val="single"/>
    </w:rPr>
  </w:style>
  <w:style w:type="paragraph" w:customStyle="1" w:styleId="NormalEx24">
    <w:name w:val="NormalEx24"/>
    <w:basedOn w:val="Normal"/>
    <w:uiPriority w:val="99"/>
    <w:rsid w:val="0072769E"/>
    <w:pPr>
      <w:overflowPunct w:val="0"/>
      <w:autoSpaceDE w:val="0"/>
      <w:autoSpaceDN w:val="0"/>
      <w:adjustRightInd w:val="0"/>
      <w:spacing w:line="480" w:lineRule="exact"/>
      <w:ind w:firstLine="720"/>
      <w:textAlignment w:val="baseline"/>
    </w:pPr>
    <w:rPr>
      <w:rFonts w:ascii="Courier New" w:hAnsi="Courier New" w:cs="Courier New"/>
    </w:rPr>
  </w:style>
  <w:style w:type="paragraph" w:styleId="ListParagraph">
    <w:name w:val="List Paragraph"/>
    <w:basedOn w:val="Normal"/>
    <w:uiPriority w:val="34"/>
    <w:qFormat/>
    <w:rsid w:val="0072769E"/>
    <w:pPr>
      <w:ind w:left="720"/>
    </w:pPr>
  </w:style>
  <w:style w:type="character" w:styleId="CommentReference">
    <w:name w:val="annotation reference"/>
    <w:semiHidden/>
    <w:unhideWhenUsed/>
    <w:rsid w:val="0072769E"/>
    <w:rPr>
      <w:sz w:val="16"/>
      <w:szCs w:val="16"/>
    </w:rPr>
  </w:style>
  <w:style w:type="paragraph" w:styleId="CommentText">
    <w:name w:val="annotation text"/>
    <w:basedOn w:val="Normal"/>
    <w:link w:val="CommentTextChar"/>
    <w:unhideWhenUsed/>
    <w:rsid w:val="0072769E"/>
    <w:rPr>
      <w:sz w:val="20"/>
      <w:szCs w:val="20"/>
    </w:rPr>
  </w:style>
  <w:style w:type="character" w:customStyle="1" w:styleId="CommentTextChar">
    <w:name w:val="Comment Text Char"/>
    <w:link w:val="CommentText"/>
    <w:rsid w:val="0072769E"/>
    <w:rPr>
      <w:rFonts w:ascii="Times New Roman" w:eastAsia="Times New Roman" w:hAnsi="Times New Roman" w:cs="Times New Roman"/>
      <w:sz w:val="20"/>
      <w:szCs w:val="20"/>
    </w:rPr>
  </w:style>
  <w:style w:type="table" w:styleId="TableGrid">
    <w:name w:val="Table Grid"/>
    <w:basedOn w:val="TableNormal"/>
    <w:rsid w:val="007276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769E"/>
    <w:rPr>
      <w:rFonts w:ascii="Segoe UI" w:hAnsi="Segoe UI" w:cs="Segoe UI"/>
      <w:sz w:val="18"/>
      <w:szCs w:val="18"/>
    </w:rPr>
  </w:style>
  <w:style w:type="character" w:customStyle="1" w:styleId="BalloonTextChar">
    <w:name w:val="Balloon Text Char"/>
    <w:link w:val="BalloonText"/>
    <w:uiPriority w:val="99"/>
    <w:semiHidden/>
    <w:rsid w:val="0072769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327D2"/>
    <w:rPr>
      <w:b/>
      <w:bCs/>
    </w:rPr>
  </w:style>
  <w:style w:type="character" w:customStyle="1" w:styleId="CommentSubjectChar">
    <w:name w:val="Comment Subject Char"/>
    <w:link w:val="CommentSubject"/>
    <w:uiPriority w:val="99"/>
    <w:semiHidden/>
    <w:rsid w:val="00C327D2"/>
    <w:rPr>
      <w:rFonts w:ascii="Times New Roman" w:eastAsia="Times New Roman" w:hAnsi="Times New Roman" w:cs="Times New Roman"/>
      <w:b/>
      <w:bCs/>
      <w:sz w:val="20"/>
      <w:szCs w:val="20"/>
    </w:rPr>
  </w:style>
  <w:style w:type="paragraph" w:styleId="FootnoteText">
    <w:name w:val="footnote text"/>
    <w:aliases w:val="Char,Footnote Text Char Char,Footnote Text Char Char Char,Footnote Text Char Char Char Char Char,Footnote Text Char1,Footnote Text Char2 Char,Footnote Text Char2 Char Char Char,Footnote Text Char2 Char Char Char Char1 Char,f,fn"/>
    <w:basedOn w:val="Normal"/>
    <w:link w:val="FootnoteTextChar"/>
    <w:unhideWhenUsed/>
    <w:rsid w:val="00BB4510"/>
    <w:rPr>
      <w:sz w:val="20"/>
      <w:szCs w:val="20"/>
    </w:rPr>
  </w:style>
  <w:style w:type="character" w:customStyle="1" w:styleId="FootnoteTextChar">
    <w:name w:val="Footnote Text Char"/>
    <w:aliases w:val="Char Char,Footnote Text Char Char Char1,Footnote Text Char Char Char Char,Footnote Text Char Char Char Char Char Char,Footnote Text Char1 Char,Footnote Text Char2 Char Char,Footnote Text Char2 Char Char Char Char,f Char,fn Char"/>
    <w:link w:val="FootnoteText"/>
    <w:rsid w:val="00BB4510"/>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2,Style 124,Style 3,fr,o,o + Times New Roman,o1,o11,o2,o21,o3,o4,o5,o6,o7"/>
    <w:uiPriority w:val="99"/>
    <w:unhideWhenUsed/>
    <w:rsid w:val="00BB4510"/>
    <w:rPr>
      <w:vertAlign w:val="superscript"/>
    </w:rPr>
  </w:style>
  <w:style w:type="paragraph" w:styleId="Revision">
    <w:name w:val="Revision"/>
    <w:hidden/>
    <w:uiPriority w:val="99"/>
    <w:semiHidden/>
    <w:rsid w:val="006E25BE"/>
    <w:rPr>
      <w:rFonts w:ascii="Times New Roman" w:eastAsia="Times New Roman" w:hAnsi="Times New Roman"/>
      <w:sz w:val="24"/>
      <w:szCs w:val="24"/>
    </w:rPr>
  </w:style>
  <w:style w:type="character" w:customStyle="1" w:styleId="Mencinsinresolver1">
    <w:name w:val="Mención sin resolver1"/>
    <w:uiPriority w:val="99"/>
    <w:unhideWhenUsed/>
    <w:rsid w:val="00C001B6"/>
    <w:rPr>
      <w:color w:val="605E5C"/>
      <w:shd w:val="clear" w:color="auto" w:fill="E1DFDD"/>
    </w:rPr>
  </w:style>
  <w:style w:type="character" w:customStyle="1" w:styleId="Mencionar1">
    <w:name w:val="Mencionar1"/>
    <w:basedOn w:val="DefaultParagraphFont"/>
    <w:uiPriority w:val="99"/>
    <w:unhideWhenUsed/>
    <w:rsid w:val="003D35F6"/>
    <w:rPr>
      <w:color w:val="2B579A"/>
      <w:shd w:val="clear" w:color="auto" w:fill="E1DFDD"/>
    </w:rPr>
  </w:style>
  <w:style w:type="paragraph" w:styleId="Footer">
    <w:name w:val="footer"/>
    <w:basedOn w:val="Normal"/>
    <w:link w:val="FooterChar"/>
    <w:uiPriority w:val="99"/>
    <w:semiHidden/>
    <w:unhideWhenUsed/>
    <w:rsid w:val="009D5868"/>
    <w:pPr>
      <w:tabs>
        <w:tab w:val="center" w:pos="4680"/>
        <w:tab w:val="right" w:pos="9360"/>
      </w:tabs>
    </w:pPr>
  </w:style>
  <w:style w:type="character" w:customStyle="1" w:styleId="FooterChar">
    <w:name w:val="Footer Char"/>
    <w:basedOn w:val="DefaultParagraphFont"/>
    <w:link w:val="Footer"/>
    <w:uiPriority w:val="99"/>
    <w:semiHidden/>
    <w:rsid w:val="009D5868"/>
    <w:rPr>
      <w:rFonts w:ascii="Times New Roman" w:eastAsia="Times New Roman" w:hAnsi="Times New Roman"/>
      <w:sz w:val="24"/>
      <w:szCs w:val="24"/>
    </w:rPr>
  </w:style>
  <w:style w:type="paragraph" w:customStyle="1" w:styleId="paragraph">
    <w:name w:val="paragraph"/>
    <w:basedOn w:val="Normal"/>
    <w:rsid w:val="00FE7B12"/>
    <w:pPr>
      <w:spacing w:before="100" w:beforeAutospacing="1" w:after="100" w:afterAutospacing="1"/>
    </w:pPr>
  </w:style>
  <w:style w:type="character" w:customStyle="1" w:styleId="normaltextrun">
    <w:name w:val="normaltextrun"/>
    <w:basedOn w:val="DefaultParagraphFont"/>
    <w:rsid w:val="00FE7B12"/>
  </w:style>
  <w:style w:type="character" w:customStyle="1" w:styleId="eop">
    <w:name w:val="eop"/>
    <w:basedOn w:val="DefaultParagraphFont"/>
    <w:rsid w:val="00FE7B12"/>
  </w:style>
  <w:style w:type="character" w:customStyle="1" w:styleId="tabchar">
    <w:name w:val="tabchar"/>
    <w:basedOn w:val="DefaultParagraphFont"/>
    <w:rsid w:val="00523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dge.com/rates-and-regulations/proceeding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DAA533EF2C05459889440C0350ED98" ma:contentTypeVersion="4" ma:contentTypeDescription="Create a new document." ma:contentTypeScope="" ma:versionID="88cba28023d7b8efae2e7523230c2fbd">
  <xsd:schema xmlns:xsd="http://www.w3.org/2001/XMLSchema" xmlns:xs="http://www.w3.org/2001/XMLSchema" xmlns:p="http://schemas.microsoft.com/office/2006/metadata/properties" xmlns:ns2="66492d2c-6e0d-411c-8f11-9da78715e500" targetNamespace="http://schemas.microsoft.com/office/2006/metadata/properties" ma:root="true" ma:fieldsID="2caf56e62fa370c9dff8a715e766367c" ns2:_="">
    <xsd:import namespace="66492d2c-6e0d-411c-8f11-9da78715e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92d2c-6e0d-411c-8f11-9da78715e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8056C-A261-4FF7-9D8B-18BDCD16E24C}">
  <ds:schemaRefs>
    <ds:schemaRef ds:uri="http://schemas.openxmlformats.org/officeDocument/2006/bibliography"/>
  </ds:schemaRefs>
</ds:datastoreItem>
</file>

<file path=customXml/itemProps2.xml><?xml version="1.0" encoding="utf-8"?>
<ds:datastoreItem xmlns:ds="http://schemas.openxmlformats.org/officeDocument/2006/customXml" ds:itemID="{4229F39E-AC02-4F1F-BB0F-530384462B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4514E3-2DE4-414C-945C-5445C7C0805E}">
  <ds:schemaRefs>
    <ds:schemaRef ds:uri="http://schemas.microsoft.com/sharepoint/v3/contenttype/forms"/>
  </ds:schemaRefs>
</ds:datastoreItem>
</file>

<file path=customXml/itemProps4.xml><?xml version="1.0" encoding="utf-8"?>
<ds:datastoreItem xmlns:ds="http://schemas.openxmlformats.org/officeDocument/2006/customXml" ds:itemID="{1A054CE8-057B-49CD-89E6-803C872BA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92d2c-6e0d-411c-8f11-9da78715e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893</Words>
  <Characters>4779</Characters>
  <Application>Microsoft Office Word</Application>
  <DocSecurity>0</DocSecurity>
  <Lines>177</Lines>
  <Paragraphs>97</Paragraphs>
  <ScaleCrop>false</ScaleCrop>
  <HeadingPairs>
    <vt:vector size="2" baseType="variant">
      <vt:variant>
        <vt:lpstr>Title</vt:lpstr>
      </vt:variant>
      <vt:variant>
        <vt:i4>1</vt:i4>
      </vt:variant>
    </vt:vector>
  </HeadingPairs>
  <TitlesOfParts>
    <vt:vector size="1" baseType="lpstr">
      <vt:lpstr/>
    </vt:vector>
  </TitlesOfParts>
  <Manager/>
  <Company>CPUC</Company>
  <LinksUpToDate>false</LinksUpToDate>
  <CharactersWithSpaces>5575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Jessica "Jessie"</dc:creator>
  <cp:keywords/>
  <dc:description/>
  <cp:lastModifiedBy>Rogelio Camacho</cp:lastModifiedBy>
  <cp:revision>3</cp:revision>
  <cp:lastPrinted>1900-01-01T08:00:00Z</cp:lastPrinted>
  <dcterms:created xsi:type="dcterms:W3CDTF">2021-12-21T18:49:00Z</dcterms:created>
  <dcterms:modified xsi:type="dcterms:W3CDTF">2021-12-21T18:49:00Z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0x010100F6DAA533EF2C05459889440C0350ED98</vt:lpwstr>
  </property>
  <property fmtid="{D5CDD505-2E9C-101B-9397-08002B2CF9AE}" pid="3" name="LINKTEK-FILE-ID">
    <vt:lpwstr>01EC-7C48-88C6-850C</vt:lpwstr>
  </property>
</Properties>
</file>