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4F384" w14:textId="77777777" w:rsidR="00F45772" w:rsidRDefault="00F45772" w:rsidP="00F45772">
      <w:pPr>
        <w:jc w:val="center"/>
      </w:pPr>
      <w:bookmarkStart w:id="0" w:name="_GoBack"/>
      <w:bookmarkEnd w:id="0"/>
      <w:r>
        <w:t>FEDERAL ENERGY REGULATORY COMMISSION</w:t>
      </w:r>
    </w:p>
    <w:p w14:paraId="0914F385" w14:textId="77777777" w:rsidR="00F45772" w:rsidRDefault="00F45772" w:rsidP="00F45772">
      <w:pPr>
        <w:jc w:val="cente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20426</w:t>
      </w:r>
    </w:p>
    <w:p w14:paraId="0914F386" w14:textId="77777777" w:rsidR="00F45772" w:rsidRDefault="00F45772" w:rsidP="00F45772"/>
    <w:p w14:paraId="0914F387" w14:textId="77777777" w:rsidR="00F45772" w:rsidRDefault="00F45772" w:rsidP="00F45772"/>
    <w:p w14:paraId="0914F388" w14:textId="77777777" w:rsidR="00F45772" w:rsidRDefault="00F45772" w:rsidP="00F45772">
      <w:r>
        <w:t>OFFICE OF ENERGY MARKET REGULATION</w:t>
      </w:r>
    </w:p>
    <w:p w14:paraId="0914F389" w14:textId="77777777" w:rsidR="00F45772" w:rsidRDefault="00F45772" w:rsidP="00F45772"/>
    <w:p w14:paraId="0914F38A" w14:textId="77777777" w:rsidR="00262B3E" w:rsidRDefault="00F45772" w:rsidP="00262B3E">
      <w:pPr>
        <w:ind w:left="4320" w:firstLine="720"/>
      </w:pPr>
      <w:r w:rsidRPr="00D82D4B">
        <w:t>S</w:t>
      </w:r>
      <w:r w:rsidR="00262B3E">
        <w:t>an Diego Gas &amp; Electric Company</w:t>
      </w:r>
    </w:p>
    <w:p w14:paraId="0914F38B" w14:textId="77777777" w:rsidR="00F45772" w:rsidRPr="00285F6A" w:rsidRDefault="00285F6A" w:rsidP="00262B3E">
      <w:pPr>
        <w:ind w:left="4320" w:firstLine="720"/>
      </w:pPr>
      <w:r w:rsidRPr="00D82D4B">
        <w:t>Docket No</w:t>
      </w:r>
      <w:r w:rsidR="00BC5E4F">
        <w:t>.  ER1</w:t>
      </w:r>
      <w:r w:rsidR="00AE5097">
        <w:t>7</w:t>
      </w:r>
      <w:r w:rsidR="00A66F3E">
        <w:t>-1</w:t>
      </w:r>
      <w:r w:rsidR="00AE5097">
        <w:t>696</w:t>
      </w:r>
      <w:r w:rsidRPr="00D82D4B">
        <w:t>-000</w:t>
      </w:r>
    </w:p>
    <w:p w14:paraId="0914F38C" w14:textId="77777777" w:rsidR="00F45772" w:rsidRPr="00262B3E" w:rsidRDefault="00F45772" w:rsidP="00F45772"/>
    <w:p w14:paraId="0914F38D" w14:textId="77777777" w:rsidR="00003EB5" w:rsidRPr="002349A4" w:rsidRDefault="00003EB5" w:rsidP="00F45772">
      <w:r>
        <w:rPr>
          <w:b/>
        </w:rPr>
        <w:tab/>
      </w:r>
      <w:r>
        <w:rPr>
          <w:b/>
        </w:rPr>
        <w:tab/>
      </w:r>
      <w:r>
        <w:rPr>
          <w:b/>
        </w:rPr>
        <w:tab/>
      </w:r>
      <w:r>
        <w:rPr>
          <w:b/>
        </w:rPr>
        <w:tab/>
      </w:r>
      <w:r>
        <w:rPr>
          <w:b/>
        </w:rPr>
        <w:tab/>
      </w:r>
      <w:r>
        <w:rPr>
          <w:b/>
        </w:rPr>
        <w:tab/>
      </w:r>
      <w:r>
        <w:rPr>
          <w:b/>
        </w:rPr>
        <w:tab/>
      </w:r>
      <w:r w:rsidR="002349A4">
        <w:t>June 28, 2017</w:t>
      </w:r>
    </w:p>
    <w:p w14:paraId="0914F38E" w14:textId="77777777" w:rsidR="00F45772" w:rsidRPr="00262B3E" w:rsidRDefault="00F45772" w:rsidP="00F45772"/>
    <w:p w14:paraId="0914F38F" w14:textId="77777777" w:rsidR="00F45772" w:rsidRDefault="00F45772" w:rsidP="00F45772">
      <w:r>
        <w:t>San Diego Gas &amp; Electric Company</w:t>
      </w:r>
    </w:p>
    <w:p w14:paraId="0914F390" w14:textId="77777777" w:rsidR="00F45772" w:rsidRDefault="002A3203" w:rsidP="00F45772">
      <w:r>
        <w:t>8330 Century Park Court</w:t>
      </w:r>
      <w:r w:rsidR="00D6069A">
        <w:t>, CP32D</w:t>
      </w:r>
    </w:p>
    <w:p w14:paraId="0914F391" w14:textId="77777777" w:rsidR="00F45772" w:rsidRDefault="00F45772" w:rsidP="00F45772">
      <w:r>
        <w:t>San Diego, CA  921</w:t>
      </w:r>
      <w:r w:rsidR="002A3203">
        <w:t>23</w:t>
      </w:r>
    </w:p>
    <w:p w14:paraId="0914F392" w14:textId="77777777" w:rsidR="00F45772" w:rsidRDefault="00F45772" w:rsidP="00F45772"/>
    <w:p w14:paraId="0914F393" w14:textId="77777777" w:rsidR="00F45772" w:rsidRDefault="00F45772" w:rsidP="00F45772">
      <w:r>
        <w:t>Attention:</w:t>
      </w:r>
      <w:r>
        <w:tab/>
      </w:r>
      <w:r w:rsidR="00FF6715">
        <w:t>Christopher M. Lyons</w:t>
      </w:r>
    </w:p>
    <w:p w14:paraId="0914F394" w14:textId="77777777" w:rsidR="00F45772" w:rsidRDefault="00F45772" w:rsidP="00F45772">
      <w:r>
        <w:tab/>
      </w:r>
      <w:r>
        <w:tab/>
      </w:r>
      <w:r w:rsidR="00262B3E">
        <w:t>Senior Counsel</w:t>
      </w:r>
    </w:p>
    <w:p w14:paraId="0914F395" w14:textId="77777777" w:rsidR="00F45772" w:rsidRDefault="00F45772" w:rsidP="00F45772"/>
    <w:p w14:paraId="0914F396" w14:textId="77777777" w:rsidR="00F45772" w:rsidRDefault="00904119" w:rsidP="000378FD">
      <w:pPr>
        <w:ind w:left="1440" w:hanging="1440"/>
      </w:pPr>
      <w:r>
        <w:t>Reference:</w:t>
      </w:r>
      <w:r>
        <w:tab/>
      </w:r>
      <w:r w:rsidR="000378FD">
        <w:t xml:space="preserve">Appendix X </w:t>
      </w:r>
      <w:r w:rsidR="008B512F">
        <w:t>Sixth</w:t>
      </w:r>
      <w:r w:rsidR="00E377F0">
        <w:t xml:space="preserve"> Annual</w:t>
      </w:r>
      <w:r w:rsidR="000378FD">
        <w:t xml:space="preserve"> Informational Filing</w:t>
      </w:r>
    </w:p>
    <w:p w14:paraId="0914F397" w14:textId="77777777" w:rsidR="00F45772" w:rsidRDefault="00F45772" w:rsidP="00F45772"/>
    <w:p w14:paraId="0914F398" w14:textId="77777777" w:rsidR="00F45772" w:rsidRDefault="00F45772" w:rsidP="00F45772">
      <w:r>
        <w:t>Dear M</w:t>
      </w:r>
      <w:r w:rsidR="008B512F">
        <w:t>r</w:t>
      </w:r>
      <w:r>
        <w:t xml:space="preserve">. </w:t>
      </w:r>
      <w:r w:rsidR="008B512F">
        <w:t>Lyons</w:t>
      </w:r>
      <w:r>
        <w:t>:</w:t>
      </w:r>
    </w:p>
    <w:p w14:paraId="0914F399" w14:textId="77777777" w:rsidR="00F45772" w:rsidRDefault="00F45772" w:rsidP="00F45772"/>
    <w:p w14:paraId="0914F39A" w14:textId="77777777" w:rsidR="00F45772" w:rsidRDefault="00AE6A95" w:rsidP="002C34AE">
      <w:pPr>
        <w:spacing w:after="260"/>
        <w:ind w:firstLine="720"/>
      </w:pPr>
      <w:r w:rsidRPr="00C6134A">
        <w:t xml:space="preserve">On </w:t>
      </w:r>
      <w:r>
        <w:t>May 2</w:t>
      </w:r>
      <w:r w:rsidR="008B512F">
        <w:t>6</w:t>
      </w:r>
      <w:r w:rsidRPr="00C6134A">
        <w:t>, 201</w:t>
      </w:r>
      <w:r w:rsidR="008B512F">
        <w:t>7</w:t>
      </w:r>
      <w:r w:rsidRPr="00C6134A">
        <w:t xml:space="preserve">, San Diego Gas </w:t>
      </w:r>
      <w:r>
        <w:t>&amp;</w:t>
      </w:r>
      <w:r w:rsidRPr="00C6134A">
        <w:t xml:space="preserve"> Electric Company (SDG&amp;E) filed </w:t>
      </w:r>
      <w:r>
        <w:t xml:space="preserve">its </w:t>
      </w:r>
      <w:r w:rsidR="00E377F0">
        <w:t xml:space="preserve">Appendix X </w:t>
      </w:r>
      <w:r w:rsidR="008B512F">
        <w:t>Sixth</w:t>
      </w:r>
      <w:r>
        <w:t xml:space="preserve"> Informational Filing (Cycle </w:t>
      </w:r>
      <w:r w:rsidR="008B512F">
        <w:t>6</w:t>
      </w:r>
      <w:r>
        <w:t xml:space="preserve"> Filing) containing its annual update to the Border</w:t>
      </w:r>
      <w:r w:rsidR="00F95DF6">
        <w:t>-</w:t>
      </w:r>
      <w:r>
        <w:t>East</w:t>
      </w:r>
      <w:r w:rsidR="00F95DF6">
        <w:t xml:space="preserve"> </w:t>
      </w:r>
      <w:r>
        <w:t>Line Rate under Appendix X of its currently-effective Transmission Owner Tariff.</w:t>
      </w:r>
      <w:r w:rsidR="00E35494" w:rsidRPr="00E35494">
        <w:rPr>
          <w:rStyle w:val="FootnoteReference"/>
          <w:b/>
        </w:rPr>
        <w:footnoteReference w:id="1"/>
      </w:r>
      <w:r>
        <w:t xml:space="preserve">  </w:t>
      </w:r>
      <w:r w:rsidR="00753C61">
        <w:t xml:space="preserve">SDG&amp;E states that </w:t>
      </w:r>
      <w:r>
        <w:t>Citizens Sunrise Transmission</w:t>
      </w:r>
      <w:r w:rsidR="002A4AC4">
        <w:t>,</w:t>
      </w:r>
      <w:r>
        <w:t xml:space="preserve"> LLC (Citizens</w:t>
      </w:r>
      <w:r w:rsidR="002A4AC4">
        <w:t xml:space="preserve"> Sunrise</w:t>
      </w:r>
      <w:r>
        <w:t xml:space="preserve">) </w:t>
      </w:r>
      <w:r w:rsidR="00753C61">
        <w:t xml:space="preserve">leases 50 percent of the transfer </w:t>
      </w:r>
      <w:r w:rsidR="002A4AC4">
        <w:t>capability</w:t>
      </w:r>
      <w:r w:rsidR="00753C61">
        <w:t xml:space="preserve"> of </w:t>
      </w:r>
      <w:r>
        <w:t>the Border</w:t>
      </w:r>
      <w:r w:rsidR="00F95DF6">
        <w:t>-</w:t>
      </w:r>
      <w:r>
        <w:t xml:space="preserve">East Line of the Sunrise Powerlink Transmission Project, </w:t>
      </w:r>
      <w:r w:rsidR="00753C61">
        <w:t>and Appendix X includes a</w:t>
      </w:r>
      <w:r w:rsidR="00F95DF6">
        <w:t xml:space="preserve"> </w:t>
      </w:r>
      <w:r w:rsidR="00753C61">
        <w:t>formula to calculate Citizens Sunrise’s portion of operation and maintenance expenses attributable to the Border-East Line segment that Citizens Sunrise leases</w:t>
      </w:r>
      <w:r>
        <w:t xml:space="preserve">.  SDG&amp;E </w:t>
      </w:r>
      <w:r w:rsidR="000633AA">
        <w:t xml:space="preserve">notes </w:t>
      </w:r>
      <w:r>
        <w:t xml:space="preserve">that the </w:t>
      </w:r>
      <w:r w:rsidR="00E35494">
        <w:t xml:space="preserve">Cycle </w:t>
      </w:r>
      <w:r w:rsidR="008B512F">
        <w:t>6</w:t>
      </w:r>
      <w:r w:rsidR="00E35494">
        <w:t xml:space="preserve"> Filing reflects an over-collection of $</w:t>
      </w:r>
      <w:r w:rsidR="008B512F">
        <w:t>521</w:t>
      </w:r>
      <w:r w:rsidR="00E35494">
        <w:t xml:space="preserve">,000 compared to the annual charge rate </w:t>
      </w:r>
      <w:r w:rsidR="008B512F">
        <w:t xml:space="preserve">over-collection of $441,000 </w:t>
      </w:r>
      <w:r w:rsidR="00E35494">
        <w:t xml:space="preserve">in the </w:t>
      </w:r>
      <w:r w:rsidR="008B512F">
        <w:t xml:space="preserve">current </w:t>
      </w:r>
      <w:r w:rsidR="00E35494">
        <w:t xml:space="preserve">Cycle </w:t>
      </w:r>
      <w:r w:rsidR="008B512F">
        <w:t>5</w:t>
      </w:r>
      <w:r w:rsidR="00E35494">
        <w:t xml:space="preserve"> Filing</w:t>
      </w:r>
      <w:r w:rsidR="008B512F">
        <w:t>.</w:t>
      </w:r>
      <w:r w:rsidR="00E35494">
        <w:t xml:space="preserve"> </w:t>
      </w:r>
      <w:r w:rsidR="008B512F">
        <w:t xml:space="preserve"> </w:t>
      </w:r>
      <w:r w:rsidR="00B55821">
        <w:t xml:space="preserve">SDG&amp;E states that consistent with the normal operation of Appendix X, </w:t>
      </w:r>
      <w:r w:rsidR="00F95DF6">
        <w:t xml:space="preserve">absent an order requiring refunds outside of the true-up process, </w:t>
      </w:r>
      <w:r w:rsidR="00B55821">
        <w:t xml:space="preserve">the Cycle 5 and Cycle 6 over-collections </w:t>
      </w:r>
      <w:r w:rsidR="00E35494">
        <w:t xml:space="preserve">will be reflected as a credit in the Cycle </w:t>
      </w:r>
      <w:r w:rsidR="008B512F">
        <w:lastRenderedPageBreak/>
        <w:t>7</w:t>
      </w:r>
      <w:r w:rsidR="00E35494">
        <w:t xml:space="preserve"> Filing.</w:t>
      </w:r>
      <w:r>
        <w:t xml:space="preserve">  </w:t>
      </w:r>
      <w:r w:rsidR="000633AA">
        <w:t xml:space="preserve">SDG&amp;E’s </w:t>
      </w:r>
      <w:r>
        <w:t xml:space="preserve">Cycle </w:t>
      </w:r>
      <w:r w:rsidR="008B512F">
        <w:t>6</w:t>
      </w:r>
      <w:r>
        <w:t xml:space="preserve"> Filing</w:t>
      </w:r>
      <w:r w:rsidRPr="009A6EF8">
        <w:t xml:space="preserve"> is accepted for filing</w:t>
      </w:r>
      <w:r>
        <w:t xml:space="preserve">, </w:t>
      </w:r>
      <w:r w:rsidR="00E35494">
        <w:t xml:space="preserve">effective </w:t>
      </w:r>
      <w:r w:rsidR="0027550E">
        <w:t>June</w:t>
      </w:r>
      <w:r w:rsidR="00E35494">
        <w:t xml:space="preserve"> 1, 201</w:t>
      </w:r>
      <w:r w:rsidR="00B55821">
        <w:t>7</w:t>
      </w:r>
      <w:r w:rsidR="00E35494">
        <w:t>, as requested</w:t>
      </w:r>
      <w:r w:rsidRPr="009A6EF8">
        <w:t>.</w:t>
      </w:r>
    </w:p>
    <w:p w14:paraId="0914F39B" w14:textId="77777777" w:rsidR="00F45772" w:rsidRDefault="00E35494" w:rsidP="002C34AE">
      <w:pPr>
        <w:spacing w:after="260"/>
        <w:ind w:firstLine="720"/>
      </w:pPr>
      <w:r>
        <w:t>The filing was noticed on May 2</w:t>
      </w:r>
      <w:r w:rsidR="00B55821">
        <w:t>6</w:t>
      </w:r>
      <w:r w:rsidR="00355F0F">
        <w:t>, 201</w:t>
      </w:r>
      <w:r w:rsidR="00B55821">
        <w:t>7</w:t>
      </w:r>
      <w:r w:rsidR="00F45772">
        <w:t>, with comments, protests or interven</w:t>
      </w:r>
      <w:r w:rsidR="00D14E0A">
        <w:t>tions</w:t>
      </w:r>
      <w:r w:rsidR="00F45772">
        <w:t xml:space="preserve"> due on or before June </w:t>
      </w:r>
      <w:r>
        <w:t>1</w:t>
      </w:r>
      <w:r w:rsidR="00B55821">
        <w:t>6</w:t>
      </w:r>
      <w:r w:rsidR="00355F0F">
        <w:t>, 201</w:t>
      </w:r>
      <w:r w:rsidR="00B55821">
        <w:t>7</w:t>
      </w:r>
      <w:r w:rsidR="00F45772">
        <w:t>.  No protests or adverse comments were filed.  Notices of intervention and unopposed timely filed motions to intervene are granted pursuant to the operation of Rule 214 of the Commission</w:t>
      </w:r>
      <w:r w:rsidR="00224E9E">
        <w:t>’</w:t>
      </w:r>
      <w:r w:rsidR="00F45772">
        <w:t>s Rules of Practice and Procedure (18 C.F.R § 385.214).  Any opposed or untimely filed motion to intervene is governed by the provision</w:t>
      </w:r>
      <w:r w:rsidR="00FF07CF">
        <w:t xml:space="preserve">s of </w:t>
      </w:r>
      <w:r w:rsidR="00F45772">
        <w:t>Rule 214.</w:t>
      </w:r>
    </w:p>
    <w:p w14:paraId="0914F39C" w14:textId="77777777" w:rsidR="00F45772" w:rsidRDefault="00F45772" w:rsidP="002C34AE">
      <w:pPr>
        <w:spacing w:after="260"/>
        <w:ind w:firstLine="720"/>
      </w:pPr>
      <w: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SDG&amp;E.</w:t>
      </w:r>
    </w:p>
    <w:p w14:paraId="0914F39D" w14:textId="77777777" w:rsidR="00F45772" w:rsidRDefault="00F45772" w:rsidP="002C34AE">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60"/>
      </w:pPr>
      <w:r>
        <w:tab/>
        <w:t xml:space="preserve">This action is taken pursuant to authority delegated to the Director, Division of Electric Power Regulation </w:t>
      </w:r>
      <w:r w:rsidR="008053FA">
        <w:t>–</w:t>
      </w:r>
      <w:r>
        <w:t xml:space="preserve"> West</w:t>
      </w:r>
      <w:r w:rsidR="00D14E0A">
        <w:t>,</w:t>
      </w:r>
      <w:r>
        <w:t xml:space="preserve"> under 18 C.F.R. § 375.307.  This order constitutes final agency action.  Requests for rehearing by the Commission may be filed within 30 days of the date of issuance of this order, pursuant to 18 C.F.R. § 385.713.</w:t>
      </w:r>
    </w:p>
    <w:p w14:paraId="0914F39E" w14:textId="77777777" w:rsidR="00F45772" w:rsidRDefault="00F45772" w:rsidP="00F45772">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r>
        <w:tab/>
        <w:t>Sincerely,</w:t>
      </w:r>
    </w:p>
    <w:p w14:paraId="0914F39F" w14:textId="77777777" w:rsidR="00F45772" w:rsidRDefault="00F45772" w:rsidP="00F45772">
      <w:pPr>
        <w:tabs>
          <w:tab w:val="left" w:pos="-1080"/>
          <w:tab w:val="left" w:pos="-720"/>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914F3A0" w14:textId="77777777" w:rsidR="00003EB5" w:rsidRDefault="00003EB5" w:rsidP="002C34AE"/>
    <w:p w14:paraId="0914F3A1" w14:textId="77777777" w:rsidR="00F45772" w:rsidRDefault="00F45772" w:rsidP="002C34AE"/>
    <w:p w14:paraId="0914F3A2" w14:textId="77777777" w:rsidR="00F45772" w:rsidRDefault="00F45772" w:rsidP="00F45772">
      <w:pPr>
        <w:ind w:firstLine="5040"/>
      </w:pPr>
      <w:r>
        <w:t>Steve P. Rodgers, Director</w:t>
      </w:r>
    </w:p>
    <w:p w14:paraId="0914F3A3" w14:textId="77777777" w:rsidR="00F45772" w:rsidRDefault="00F45772" w:rsidP="00F45772">
      <w:pPr>
        <w:ind w:left="5040"/>
      </w:pPr>
      <w:r>
        <w:t xml:space="preserve">Division of Electric Power </w:t>
      </w:r>
    </w:p>
    <w:p w14:paraId="0914F3A4" w14:textId="77777777" w:rsidR="00967E8E" w:rsidRDefault="009608B4" w:rsidP="009608B4">
      <w:pPr>
        <w:ind w:left="5040"/>
      </w:pPr>
      <w:r>
        <w:t>Regulation – West</w:t>
      </w:r>
    </w:p>
    <w:sectPr w:rsidR="00967E8E" w:rsidSect="00FF00A4">
      <w:headerReference w:type="even" r:id="rId10"/>
      <w:headerReference w:type="default" r:id="rId11"/>
      <w:headerReference w:type="first" r:id="rId12"/>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4F3A7" w14:textId="77777777" w:rsidR="00F431A0" w:rsidRDefault="00F431A0" w:rsidP="00F45772">
      <w:r>
        <w:separator/>
      </w:r>
    </w:p>
  </w:endnote>
  <w:endnote w:type="continuationSeparator" w:id="0">
    <w:p w14:paraId="0914F3A8" w14:textId="77777777" w:rsidR="00F431A0" w:rsidRDefault="00F431A0" w:rsidP="00F4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4F3A5" w14:textId="77777777" w:rsidR="00F431A0" w:rsidRDefault="00F431A0" w:rsidP="00F45772">
      <w:r>
        <w:separator/>
      </w:r>
    </w:p>
  </w:footnote>
  <w:footnote w:type="continuationSeparator" w:id="0">
    <w:p w14:paraId="0914F3A6" w14:textId="77777777" w:rsidR="00F431A0" w:rsidRDefault="00F431A0" w:rsidP="00F45772">
      <w:r>
        <w:continuationSeparator/>
      </w:r>
    </w:p>
  </w:footnote>
  <w:footnote w:id="1">
    <w:p w14:paraId="0914F3AF" w14:textId="77777777" w:rsidR="00E35494" w:rsidRPr="00E35494" w:rsidRDefault="00E35494" w:rsidP="002C34AE">
      <w:pPr>
        <w:pStyle w:val="FootnoteText"/>
        <w:spacing w:after="240"/>
        <w:rPr>
          <w:b/>
          <w:sz w:val="26"/>
          <w:szCs w:val="26"/>
        </w:rPr>
      </w:pPr>
      <w:r>
        <w:rPr>
          <w:b/>
        </w:rPr>
        <w:tab/>
      </w:r>
      <w:r w:rsidRPr="00E35494">
        <w:rPr>
          <w:rStyle w:val="FootnoteReference"/>
          <w:b/>
          <w:sz w:val="26"/>
          <w:szCs w:val="26"/>
        </w:rPr>
        <w:footnoteRef/>
      </w:r>
      <w:r w:rsidRPr="002C34AE">
        <w:rPr>
          <w:sz w:val="26"/>
          <w:szCs w:val="26"/>
        </w:rPr>
        <w:t xml:space="preserve"> </w:t>
      </w:r>
      <w:r w:rsidR="00753C61" w:rsidRPr="002C34AE">
        <w:rPr>
          <w:sz w:val="26"/>
          <w:szCs w:val="26"/>
        </w:rPr>
        <w:t>SDG&amp;E states that t</w:t>
      </w:r>
      <w:r w:rsidRPr="00E35494">
        <w:rPr>
          <w:sz w:val="26"/>
          <w:szCs w:val="26"/>
        </w:rPr>
        <w:t xml:space="preserve">he Commission approved the original Appendix X Formula in </w:t>
      </w:r>
      <w:r w:rsidRPr="00E35494">
        <w:rPr>
          <w:i/>
          <w:sz w:val="26"/>
          <w:szCs w:val="26"/>
        </w:rPr>
        <w:t>San Diego Gas &amp; Electric Co</w:t>
      </w:r>
      <w:r w:rsidR="00753C61">
        <w:rPr>
          <w:i/>
          <w:sz w:val="26"/>
          <w:szCs w:val="26"/>
        </w:rPr>
        <w:t>.</w:t>
      </w:r>
      <w:r w:rsidRPr="002C34AE">
        <w:rPr>
          <w:sz w:val="26"/>
          <w:szCs w:val="26"/>
        </w:rPr>
        <w:t>,</w:t>
      </w:r>
      <w:r w:rsidRPr="00E35494">
        <w:rPr>
          <w:i/>
          <w:sz w:val="26"/>
          <w:szCs w:val="26"/>
        </w:rPr>
        <w:t xml:space="preserve"> </w:t>
      </w:r>
      <w:r w:rsidRPr="00E35494">
        <w:rPr>
          <w:sz w:val="26"/>
          <w:szCs w:val="26"/>
        </w:rPr>
        <w:t>139 FERC ¶</w:t>
      </w:r>
      <w:r w:rsidR="00774A7D">
        <w:rPr>
          <w:sz w:val="26"/>
          <w:szCs w:val="26"/>
        </w:rPr>
        <w:t xml:space="preserve"> </w:t>
      </w:r>
      <w:r w:rsidRPr="00E35494">
        <w:rPr>
          <w:sz w:val="26"/>
          <w:szCs w:val="26"/>
        </w:rPr>
        <w:t xml:space="preserve">61,188 (2012) and </w:t>
      </w:r>
      <w:r w:rsidR="00753C61">
        <w:rPr>
          <w:i/>
          <w:sz w:val="26"/>
          <w:szCs w:val="26"/>
        </w:rPr>
        <w:t>San Diego Gas &amp; Electric Co.</w:t>
      </w:r>
      <w:r w:rsidRPr="00E35494">
        <w:rPr>
          <w:sz w:val="26"/>
          <w:szCs w:val="26"/>
        </w:rPr>
        <w:t>, 141 FERC ¶</w:t>
      </w:r>
      <w:r w:rsidR="00774A7D">
        <w:rPr>
          <w:sz w:val="26"/>
          <w:szCs w:val="26"/>
        </w:rPr>
        <w:t xml:space="preserve"> </w:t>
      </w:r>
      <w:r w:rsidRPr="00E35494">
        <w:rPr>
          <w:sz w:val="26"/>
          <w:szCs w:val="26"/>
        </w:rPr>
        <w:t>61,054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F3A9" w14:textId="0D590EF0" w:rsidR="00F45772" w:rsidRDefault="002E1287" w:rsidP="00355F0F">
    <w:pPr>
      <w:pStyle w:val="Header"/>
      <w:rPr>
        <w:noProof/>
      </w:rPr>
    </w:pPr>
    <w:r>
      <w:t>Docket No. ER1</w:t>
    </w:r>
    <w:r w:rsidR="00AE5097">
      <w:t>7</w:t>
    </w:r>
    <w:r>
      <w:t>-1</w:t>
    </w:r>
    <w:r w:rsidR="00AE5097">
      <w:t>696</w:t>
    </w:r>
    <w:r w:rsidR="00355F0F">
      <w:t xml:space="preserve">-000                                                                                                </w:t>
    </w:r>
    <w:r w:rsidR="00F45772">
      <w:fldChar w:fldCharType="begin"/>
    </w:r>
    <w:r w:rsidR="00F45772">
      <w:instrText xml:space="preserve"> PAGE   \* MERGEFORMAT </w:instrText>
    </w:r>
    <w:r w:rsidR="00F45772">
      <w:fldChar w:fldCharType="separate"/>
    </w:r>
    <w:r w:rsidR="00F60CC2">
      <w:rPr>
        <w:noProof/>
      </w:rPr>
      <w:t>2</w:t>
    </w:r>
    <w:r w:rsidR="00F45772">
      <w:rPr>
        <w:noProof/>
      </w:rPr>
      <w:fldChar w:fldCharType="end"/>
    </w:r>
  </w:p>
  <w:p w14:paraId="0914F3AA" w14:textId="77777777" w:rsidR="00FF00A4" w:rsidRDefault="00FF00A4" w:rsidP="0035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F3AB" w14:textId="77777777" w:rsidR="00F45772" w:rsidRDefault="00F45772">
    <w:pPr>
      <w:pStyle w:val="Header"/>
    </w:pPr>
    <w:r>
      <w:t>[Type text]</w:t>
    </w:r>
  </w:p>
  <w:p w14:paraId="0914F3AC" w14:textId="77777777" w:rsidR="00F45772" w:rsidRDefault="00F4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F3AD" w14:textId="77777777" w:rsidR="00F45772" w:rsidRDefault="00F45772">
    <w:pPr>
      <w:pStyle w:val="Header"/>
    </w:pPr>
  </w:p>
  <w:p w14:paraId="0914F3AE" w14:textId="77777777" w:rsidR="00F45772" w:rsidRDefault="00F45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72"/>
    <w:rsid w:val="00003EB5"/>
    <w:rsid w:val="000378FD"/>
    <w:rsid w:val="000633AA"/>
    <w:rsid w:val="00184529"/>
    <w:rsid w:val="001D58AA"/>
    <w:rsid w:val="00215A68"/>
    <w:rsid w:val="00224E9E"/>
    <w:rsid w:val="002349A4"/>
    <w:rsid w:val="00262B3E"/>
    <w:rsid w:val="0027550E"/>
    <w:rsid w:val="00285F6A"/>
    <w:rsid w:val="002A3203"/>
    <w:rsid w:val="002A4AC4"/>
    <w:rsid w:val="002C34AE"/>
    <w:rsid w:val="002E1287"/>
    <w:rsid w:val="00315E8C"/>
    <w:rsid w:val="00355F0F"/>
    <w:rsid w:val="003C5827"/>
    <w:rsid w:val="00441515"/>
    <w:rsid w:val="00467878"/>
    <w:rsid w:val="004758E9"/>
    <w:rsid w:val="004801F1"/>
    <w:rsid w:val="004E3294"/>
    <w:rsid w:val="004F41EA"/>
    <w:rsid w:val="00520630"/>
    <w:rsid w:val="006C6F95"/>
    <w:rsid w:val="00753C61"/>
    <w:rsid w:val="007673F9"/>
    <w:rsid w:val="00774A7D"/>
    <w:rsid w:val="00793FF3"/>
    <w:rsid w:val="007D04B3"/>
    <w:rsid w:val="008053FA"/>
    <w:rsid w:val="00890A38"/>
    <w:rsid w:val="008B1395"/>
    <w:rsid w:val="008B512F"/>
    <w:rsid w:val="008C70DB"/>
    <w:rsid w:val="008F4881"/>
    <w:rsid w:val="00904119"/>
    <w:rsid w:val="00943AD9"/>
    <w:rsid w:val="00960162"/>
    <w:rsid w:val="009608B4"/>
    <w:rsid w:val="00967E8E"/>
    <w:rsid w:val="009B0A0F"/>
    <w:rsid w:val="009E0E56"/>
    <w:rsid w:val="00A60CD5"/>
    <w:rsid w:val="00A66F3E"/>
    <w:rsid w:val="00AE5097"/>
    <w:rsid w:val="00AE6A95"/>
    <w:rsid w:val="00B55821"/>
    <w:rsid w:val="00B97E3B"/>
    <w:rsid w:val="00BC5E4F"/>
    <w:rsid w:val="00BE1BD6"/>
    <w:rsid w:val="00BE6BDB"/>
    <w:rsid w:val="00C047D3"/>
    <w:rsid w:val="00C72493"/>
    <w:rsid w:val="00CC3917"/>
    <w:rsid w:val="00D01B45"/>
    <w:rsid w:val="00D14E0A"/>
    <w:rsid w:val="00D6069A"/>
    <w:rsid w:val="00D82D4B"/>
    <w:rsid w:val="00D83E3B"/>
    <w:rsid w:val="00E35494"/>
    <w:rsid w:val="00E377F0"/>
    <w:rsid w:val="00EB335D"/>
    <w:rsid w:val="00F36282"/>
    <w:rsid w:val="00F431A0"/>
    <w:rsid w:val="00F45772"/>
    <w:rsid w:val="00F60CC2"/>
    <w:rsid w:val="00F95DF6"/>
    <w:rsid w:val="00FD0D3C"/>
    <w:rsid w:val="00FF00A4"/>
    <w:rsid w:val="00FF07CF"/>
    <w:rsid w:val="00FF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0914F3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utoRedefine/>
    <w:qFormat/>
    <w:rsid w:val="00F45772"/>
    <w:pPr>
      <w:autoSpaceDE w:val="0"/>
      <w:autoSpaceDN w:val="0"/>
      <w:adjustRightInd w:val="0"/>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
    <w:basedOn w:val="Normal"/>
    <w:link w:val="FootnoteTextChar"/>
    <w:unhideWhenUsed/>
    <w:rsid w:val="00F45772"/>
    <w:rPr>
      <w:sz w:val="20"/>
      <w:szCs w:val="20"/>
    </w:rPr>
  </w:style>
  <w:style w:type="character" w:customStyle="1" w:styleId="FootnoteTextChar">
    <w:name w:val="Footnote Text Char"/>
    <w:aliases w:val="Footnote Text Char1 Char Char1,Footnote Text Char Char Char Char1,Footnote Text Char1 Char2,Footnote Text Char Char1 Char1,fn Char1,Footnote Text Char Char Char2,Footnote Text Char1 Char Char Char1 Char1"/>
    <w:link w:val="FootnoteText"/>
    <w:uiPriority w:val="99"/>
    <w:semiHidden/>
    <w:rsid w:val="00F45772"/>
    <w:rPr>
      <w:rFonts w:ascii="Times New Roman" w:eastAsia="Times New Roman" w:hAnsi="Times New Roman" w:cs="Times New Roman"/>
      <w:sz w:val="20"/>
      <w:szCs w:val="20"/>
    </w:rPr>
  </w:style>
  <w:style w:type="character" w:styleId="FootnoteReference">
    <w:name w:val="footnote reference"/>
    <w:aliases w:val="o,fr,Style 13,Style 12,Style 15,Style 17,Style 9,o1,fr1,o2,fr2,o3,fr3,Style 18,(NECG) Footnote Reference,Style 20,Style 7"/>
    <w:unhideWhenUsed/>
    <w:rsid w:val="00F45772"/>
    <w:rPr>
      <w:vertAlign w:val="superscript"/>
    </w:rPr>
  </w:style>
  <w:style w:type="paragraph" w:styleId="Header">
    <w:name w:val="header"/>
    <w:basedOn w:val="Normal"/>
    <w:link w:val="HeaderChar"/>
    <w:uiPriority w:val="99"/>
    <w:unhideWhenUsed/>
    <w:rsid w:val="00F45772"/>
    <w:pPr>
      <w:tabs>
        <w:tab w:val="center" w:pos="4680"/>
        <w:tab w:val="right" w:pos="9360"/>
      </w:tabs>
    </w:pPr>
  </w:style>
  <w:style w:type="character" w:customStyle="1" w:styleId="HeaderChar">
    <w:name w:val="Header Char"/>
    <w:link w:val="Header"/>
    <w:uiPriority w:val="99"/>
    <w:rsid w:val="00F45772"/>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F45772"/>
    <w:pPr>
      <w:tabs>
        <w:tab w:val="center" w:pos="4680"/>
        <w:tab w:val="right" w:pos="9360"/>
      </w:tabs>
    </w:pPr>
  </w:style>
  <w:style w:type="character" w:customStyle="1" w:styleId="FooterChar">
    <w:name w:val="Footer Char"/>
    <w:link w:val="Footer"/>
    <w:uiPriority w:val="99"/>
    <w:rsid w:val="00F45772"/>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F45772"/>
    <w:rPr>
      <w:rFonts w:ascii="Tahoma" w:hAnsi="Tahoma" w:cs="Tahoma"/>
      <w:sz w:val="16"/>
      <w:szCs w:val="16"/>
    </w:rPr>
  </w:style>
  <w:style w:type="character" w:customStyle="1" w:styleId="BalloonTextChar">
    <w:name w:val="Balloon Text Char"/>
    <w:link w:val="BalloonText"/>
    <w:uiPriority w:val="99"/>
    <w:semiHidden/>
    <w:rsid w:val="00F45772"/>
    <w:rPr>
      <w:rFonts w:ascii="Tahoma" w:eastAsia="Times New Roman" w:hAnsi="Tahoma" w:cs="Tahoma"/>
      <w:sz w:val="16"/>
      <w:szCs w:val="16"/>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rsid w:val="00AE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3925-3210-45C5-93E5-2FB967D7F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7591788-D3C6-4AFA-9867-BAFCFCE22DE3}">
  <ds:schemaRefs>
    <ds:schemaRef ds:uri="http://schemas.microsoft.com/sharepoint/v3/contenttype/forms"/>
  </ds:schemaRefs>
</ds:datastoreItem>
</file>

<file path=customXml/itemProps3.xml><?xml version="1.0" encoding="utf-8"?>
<ds:datastoreItem xmlns:ds="http://schemas.openxmlformats.org/officeDocument/2006/customXml" ds:itemID="{02B378FC-8A2F-41C8-AB26-AF2C79793AE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46AFA2F-7712-41CE-8AA1-127069F7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2017-06-28T15:32:00Z</dcterms:created>
  <dcterms:modified xsi:type="dcterms:W3CDTF">2017-06-28T15:32:00Z</dcterms:modified>
  <cp:category/>
  <dc:identifier/>
  <cp:contentStatus/>
  <cp:version/>
</cp:coreProperties>
</file>