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D580" w14:textId="77777777" w:rsidR="00610E3B" w:rsidRPr="00547EA7" w:rsidRDefault="00FA05CF" w:rsidP="00610E3B">
      <w:pPr>
        <w:jc w:val="center"/>
        <w:rPr>
          <w:b/>
          <w:lang w:val="es-ES"/>
        </w:rPr>
      </w:pPr>
      <w:bookmarkStart w:id="0" w:name="_GoBack"/>
      <w:bookmarkEnd w:id="0"/>
      <w:r w:rsidRPr="00547EA7">
        <w:rPr>
          <w:b/>
          <w:bCs/>
          <w:bdr w:val="nil"/>
          <w:lang w:val="es-ES"/>
        </w:rPr>
        <w:t>Para más detalles, llame al 1-800-311-7343</w:t>
      </w:r>
    </w:p>
    <w:p w14:paraId="21CC7E65" w14:textId="77777777" w:rsidR="00610E3B" w:rsidRPr="00547EA7" w:rsidRDefault="001B2005" w:rsidP="005F3FFF">
      <w:pPr>
        <w:jc w:val="center"/>
        <w:rPr>
          <w:b/>
          <w:lang w:val="es-ES"/>
        </w:rPr>
      </w:pPr>
    </w:p>
    <w:p w14:paraId="3D19BBF0" w14:textId="77777777" w:rsidR="00CC2E5E" w:rsidRPr="00547EA7" w:rsidRDefault="00FA05CF" w:rsidP="00CC2E5E">
      <w:pPr>
        <w:jc w:val="center"/>
        <w:rPr>
          <w:b/>
          <w:lang w:val="es-ES"/>
        </w:rPr>
      </w:pPr>
      <w:r w:rsidRPr="00547EA7">
        <w:rPr>
          <w:b/>
          <w:bCs/>
          <w:bdr w:val="nil"/>
          <w:lang w:val="es-ES"/>
        </w:rPr>
        <w:t xml:space="preserve">NOTIFICACIÓN DE PETICIÓN DE SAN DIEGO GAS &amp; ELECTRIC COMPANY A FIN DE INCREMENTAR LAS TARIFAS ELÉCTRICAS PARA SU MECANISMO DISPARADOR EXPEDITIVO DE LA CUENTA DE RECUPERACIÓN DE LOS RECURSOS ENERGÉTICOS </w:t>
      </w:r>
    </w:p>
    <w:p w14:paraId="1F4BB876" w14:textId="77777777" w:rsidR="00472FB8" w:rsidRPr="00547EA7" w:rsidRDefault="00FA05CF" w:rsidP="00CC2E5E">
      <w:pPr>
        <w:jc w:val="center"/>
        <w:rPr>
          <w:b/>
          <w:lang w:val="es-ES"/>
        </w:rPr>
      </w:pPr>
      <w:r w:rsidRPr="00547EA7">
        <w:rPr>
          <w:b/>
          <w:bCs/>
          <w:bdr w:val="nil"/>
          <w:lang w:val="es-ES"/>
        </w:rPr>
        <w:t xml:space="preserve">SOLICITUD NÚM. A. 17-05-012 </w:t>
      </w:r>
    </w:p>
    <w:p w14:paraId="36F04B47" w14:textId="77777777" w:rsidR="00472FB8" w:rsidRPr="00547EA7" w:rsidRDefault="001B2005">
      <w:pPr>
        <w:jc w:val="center"/>
        <w:rPr>
          <w:b/>
          <w:lang w:val="es-ES"/>
        </w:rPr>
      </w:pPr>
    </w:p>
    <w:p w14:paraId="3B84B66A" w14:textId="77777777" w:rsidR="000062B2" w:rsidRPr="00547EA7" w:rsidRDefault="00FA05CF" w:rsidP="00806826">
      <w:pPr>
        <w:autoSpaceDE w:val="0"/>
        <w:autoSpaceDN w:val="0"/>
        <w:adjustRightInd w:val="0"/>
        <w:jc w:val="both"/>
        <w:rPr>
          <w:lang w:val="es-ES"/>
        </w:rPr>
      </w:pPr>
      <w:r w:rsidRPr="00547EA7">
        <w:rPr>
          <w:bdr w:val="nil"/>
          <w:lang w:val="es-ES"/>
        </w:rPr>
        <w:t>El 17 de mayo de 2017, San Diego Gas &amp; Electric Company (SDG&amp;E</w:t>
      </w:r>
      <w:r w:rsidRPr="00547EA7">
        <w:rPr>
          <w:bdr w:val="nil"/>
          <w:vertAlign w:val="superscript"/>
          <w:lang w:val="es-ES"/>
        </w:rPr>
        <w:t>®</w:t>
      </w:r>
      <w:r w:rsidRPr="00547EA7">
        <w:rPr>
          <w:bdr w:val="nil"/>
          <w:lang w:val="es-ES"/>
        </w:rPr>
        <w:t xml:space="preserve">) presentó ante la Comisión de Servicios Públicos de California (CPUC) su Solicitud para el Disparador Expeditivo de la Cuenta de Recuperación de los Recursos Energéticos (ERRA) con el objeto de obtener la aprobación para aumentar las tarifas eléctricas. La CPUC estableció la ERRA para comparar los ingresos de las empresas de servicios públicos por concepto de combustible y electricidad adquirida con sus costos. </w:t>
      </w:r>
    </w:p>
    <w:p w14:paraId="6D56CF41" w14:textId="77777777" w:rsidR="000062B2" w:rsidRPr="00547EA7" w:rsidRDefault="001B2005" w:rsidP="00806826">
      <w:pPr>
        <w:autoSpaceDE w:val="0"/>
        <w:autoSpaceDN w:val="0"/>
        <w:adjustRightInd w:val="0"/>
        <w:jc w:val="both"/>
        <w:rPr>
          <w:lang w:val="es-ES"/>
        </w:rPr>
      </w:pPr>
    </w:p>
    <w:p w14:paraId="3659ED25" w14:textId="77777777" w:rsidR="006A1858" w:rsidRPr="00547EA7" w:rsidRDefault="00FA05CF" w:rsidP="00806826">
      <w:pPr>
        <w:autoSpaceDE w:val="0"/>
        <w:autoSpaceDN w:val="0"/>
        <w:adjustRightInd w:val="0"/>
        <w:jc w:val="both"/>
        <w:rPr>
          <w:lang w:val="es-ES"/>
        </w:rPr>
      </w:pPr>
      <w:r w:rsidRPr="00547EA7">
        <w:rPr>
          <w:bdr w:val="nil"/>
          <w:lang w:val="es-ES"/>
        </w:rPr>
        <w:t>El proyecto de ley Assembly Bill (AB) 57 exige a las empresas de servicios públicos mantenerse dentro del 5% de sus ingresos por generación del año anterior. Los disparadores expeditivos de la cuenta ERRA tienen lugar cuando la empresa de servicios públicos alcanza una cobranza inferior o superior al 4% y se proyecta que excederá el disparador del 5%. El saldo de SDG&amp;E excedió el disparador del 5% en marzo de 2017 y SDG&amp;E no está anticipando una autocorrección dentro del periodo prescrito de 120 días. Por consiguiente, SDG&amp;E debe presentar esta Solicitud para el Disparador Expeditivo de la ERRA, y está buscando obtener la aprobación para cobrar el último saldo proyectado de ERRA durante julio de 2017. A continuación se presenta un</w:t>
      </w:r>
      <w:r w:rsidR="00AD62B5" w:rsidRPr="00547EA7">
        <w:rPr>
          <w:bdr w:val="nil"/>
          <w:lang w:val="es-ES"/>
        </w:rPr>
        <w:t xml:space="preserve"> cuadro</w:t>
      </w:r>
      <w:r w:rsidRPr="00547EA7">
        <w:rPr>
          <w:bdr w:val="nil"/>
          <w:lang w:val="es-ES"/>
        </w:rPr>
        <w:t xml:space="preserve"> sobre el </w:t>
      </w:r>
      <w:r w:rsidR="00BE43D5" w:rsidRPr="00547EA7">
        <w:rPr>
          <w:bdr w:val="nil"/>
          <w:lang w:val="es-ES"/>
        </w:rPr>
        <w:t>efecto</w:t>
      </w:r>
      <w:r w:rsidRPr="00547EA7">
        <w:rPr>
          <w:bdr w:val="nil"/>
          <w:lang w:val="es-ES"/>
        </w:rPr>
        <w:t xml:space="preserve"> en las tarifas que refleja el </w:t>
      </w:r>
      <w:r w:rsidR="00AD62B5" w:rsidRPr="00547EA7">
        <w:rPr>
          <w:bdr w:val="nil"/>
          <w:lang w:val="es-ES"/>
        </w:rPr>
        <w:t>cobro</w:t>
      </w:r>
      <w:r w:rsidRPr="00547EA7">
        <w:rPr>
          <w:bdr w:val="nil"/>
          <w:lang w:val="es-ES"/>
        </w:rPr>
        <w:t xml:space="preserve"> </w:t>
      </w:r>
      <w:r w:rsidR="00AD62B5" w:rsidRPr="00547EA7">
        <w:rPr>
          <w:bdr w:val="nil"/>
          <w:lang w:val="es-ES"/>
        </w:rPr>
        <w:t xml:space="preserve">del saldo </w:t>
      </w:r>
      <w:r w:rsidRPr="00547EA7">
        <w:rPr>
          <w:bdr w:val="nil"/>
          <w:lang w:val="es-ES"/>
        </w:rPr>
        <w:t>actualmente proyectado cobrado de menos para julio de 2017, de $120 millones. Estos impactos presu</w:t>
      </w:r>
      <w:r w:rsidR="00B256D0" w:rsidRPr="00547EA7">
        <w:rPr>
          <w:bdr w:val="nil"/>
          <w:lang w:val="es-ES"/>
        </w:rPr>
        <w:t>ponen</w:t>
      </w:r>
      <w:r w:rsidRPr="00547EA7">
        <w:rPr>
          <w:bdr w:val="nil"/>
          <w:lang w:val="es-ES"/>
        </w:rPr>
        <w:t xml:space="preserve"> que las nuevas tarifas comenzarán el 1 de noviembre de 2017, y se cobrarán a lo largo de un periodo de 14 meses que termina el 31 de diciembre de 2018. </w:t>
      </w:r>
    </w:p>
    <w:p w14:paraId="32EB7A16" w14:textId="77777777" w:rsidR="00472FB8" w:rsidRPr="00547EA7" w:rsidRDefault="001B2005">
      <w:pPr>
        <w:pStyle w:val="BodyText"/>
        <w:rPr>
          <w:b/>
          <w:lang w:val="es-ES"/>
        </w:rPr>
      </w:pPr>
    </w:p>
    <w:p w14:paraId="0EB76913" w14:textId="77777777" w:rsidR="00334609" w:rsidRPr="00547EA7" w:rsidRDefault="00FA05CF" w:rsidP="00334609">
      <w:pPr>
        <w:pStyle w:val="BodyText"/>
        <w:rPr>
          <w:b/>
          <w:lang w:val="es-ES"/>
        </w:rPr>
      </w:pPr>
      <w:r w:rsidRPr="00547EA7">
        <w:rPr>
          <w:b/>
          <w:bCs/>
          <w:szCs w:val="24"/>
          <w:bdr w:val="nil"/>
          <w:lang w:val="es-ES"/>
        </w:rPr>
        <w:t>EFECTO ILUSTRATIVO EN TARIFAS Y FACTURAS ELÉCTRICAS</w:t>
      </w:r>
    </w:p>
    <w:p w14:paraId="2D46B188" w14:textId="77777777" w:rsidR="00334609" w:rsidRPr="00547EA7" w:rsidRDefault="00FA05CF" w:rsidP="00806826">
      <w:pPr>
        <w:pStyle w:val="BodyText"/>
        <w:jc w:val="both"/>
        <w:rPr>
          <w:szCs w:val="24"/>
          <w:lang w:val="es-ES"/>
        </w:rPr>
      </w:pPr>
      <w:r w:rsidRPr="00547EA7">
        <w:rPr>
          <w:szCs w:val="24"/>
          <w:bdr w:val="nil"/>
          <w:lang w:val="es-ES"/>
        </w:rPr>
        <w:t xml:space="preserve">Si la CPUC aprueba la petición de SDG&amp;E, un cliente residencial típico que no participe en CARE, viva en la zona climática del interior y consuma 500 kilovatios-hora al mes, podría ver un incremento en la factura mensual de invierno de $3.00, o 2.5%. Una factura eléctrica mensual típica podría aumentar de $122.40 a $125.40. Los incrementos en las facturas individuales dependerán también de cuánta electricidad consuma cada cliente. </w:t>
      </w:r>
    </w:p>
    <w:p w14:paraId="0C1567A8" w14:textId="77777777" w:rsidR="00334609" w:rsidRPr="00547EA7" w:rsidRDefault="001B2005" w:rsidP="00334609">
      <w:pPr>
        <w:pStyle w:val="BodyText"/>
        <w:rPr>
          <w:szCs w:val="24"/>
          <w:lang w:val="es-ES"/>
        </w:rPr>
      </w:pPr>
    </w:p>
    <w:tbl>
      <w:tblPr>
        <w:tblW w:w="10440" w:type="dxa"/>
        <w:jc w:val="center"/>
        <w:tblLook w:val="0000" w:firstRow="0" w:lastRow="0" w:firstColumn="0" w:lastColumn="0" w:noHBand="0" w:noVBand="0"/>
      </w:tblPr>
      <w:tblGrid>
        <w:gridCol w:w="2610"/>
        <w:gridCol w:w="270"/>
        <w:gridCol w:w="1890"/>
        <w:gridCol w:w="270"/>
        <w:gridCol w:w="2070"/>
        <w:gridCol w:w="270"/>
        <w:gridCol w:w="1350"/>
        <w:gridCol w:w="270"/>
        <w:gridCol w:w="1440"/>
      </w:tblGrid>
      <w:tr w:rsidR="00B24895" w:rsidRPr="00547EA7" w14:paraId="38AE1AE7" w14:textId="77777777" w:rsidTr="009A5B49">
        <w:trPr>
          <w:trHeight w:val="255"/>
          <w:jc w:val="center"/>
        </w:trPr>
        <w:tc>
          <w:tcPr>
            <w:tcW w:w="10440" w:type="dxa"/>
            <w:gridSpan w:val="9"/>
            <w:tcBorders>
              <w:top w:val="nil"/>
              <w:left w:val="nil"/>
              <w:bottom w:val="nil"/>
              <w:right w:val="nil"/>
            </w:tcBorders>
            <w:shd w:val="clear" w:color="auto" w:fill="auto"/>
            <w:noWrap/>
          </w:tcPr>
          <w:p w14:paraId="2C3642D1" w14:textId="77777777" w:rsidR="00334609" w:rsidRPr="00547EA7" w:rsidRDefault="00FA05CF" w:rsidP="0036597B">
            <w:pPr>
              <w:jc w:val="center"/>
              <w:rPr>
                <w:b/>
                <w:bCs/>
                <w:sz w:val="22"/>
                <w:szCs w:val="22"/>
                <w:lang w:val="es-ES"/>
              </w:rPr>
            </w:pPr>
            <w:r w:rsidRPr="00547EA7">
              <w:rPr>
                <w:b/>
                <w:bCs/>
                <w:sz w:val="22"/>
                <w:szCs w:val="22"/>
                <w:bdr w:val="nil"/>
                <w:lang w:val="es-ES"/>
              </w:rPr>
              <w:t>AUMENTO ILUSTRATIVO EN LA TARIFA ELÉCTRICA DE SAN DIEGO GAS &amp; ELECTRIC COMPANY</w:t>
            </w:r>
          </w:p>
        </w:tc>
      </w:tr>
      <w:tr w:rsidR="00B24895" w:rsidRPr="00547EA7" w14:paraId="73CBED9E" w14:textId="77777777" w:rsidTr="009A5B49">
        <w:trPr>
          <w:trHeight w:val="255"/>
          <w:jc w:val="center"/>
        </w:trPr>
        <w:tc>
          <w:tcPr>
            <w:tcW w:w="10440" w:type="dxa"/>
            <w:gridSpan w:val="9"/>
            <w:tcBorders>
              <w:top w:val="nil"/>
              <w:left w:val="nil"/>
              <w:bottom w:val="nil"/>
              <w:right w:val="nil"/>
            </w:tcBorders>
            <w:shd w:val="clear" w:color="auto" w:fill="auto"/>
            <w:noWrap/>
          </w:tcPr>
          <w:p w14:paraId="0A4AD4A1" w14:textId="77777777" w:rsidR="00334609" w:rsidRPr="00547EA7" w:rsidRDefault="00FA05CF" w:rsidP="00095C10">
            <w:pPr>
              <w:jc w:val="center"/>
              <w:rPr>
                <w:b/>
                <w:sz w:val="22"/>
                <w:szCs w:val="22"/>
                <w:lang w:val="es-ES"/>
              </w:rPr>
            </w:pPr>
            <w:r w:rsidRPr="00547EA7">
              <w:rPr>
                <w:b/>
                <w:caps/>
                <w:sz w:val="22"/>
                <w:szCs w:val="22"/>
                <w:bdr w:val="nil"/>
                <w:lang w:val="es-ES"/>
              </w:rPr>
              <w:t>(LAS TARIFAS TOTALES INCLUYEN UDC</w:t>
            </w:r>
            <w:r w:rsidRPr="00547EA7">
              <w:rPr>
                <w:b/>
                <w:caps/>
                <w:sz w:val="22"/>
                <w:szCs w:val="22"/>
                <w:bdr w:val="nil"/>
                <w:vertAlign w:val="superscript"/>
                <w:lang w:val="es-ES"/>
              </w:rPr>
              <w:t>1</w:t>
            </w:r>
            <w:r w:rsidRPr="00547EA7">
              <w:rPr>
                <w:b/>
                <w:caps/>
                <w:sz w:val="22"/>
                <w:szCs w:val="22"/>
                <w:bdr w:val="nil"/>
                <w:lang w:val="es-ES"/>
              </w:rPr>
              <w:t xml:space="preserve"> Y COMO PRODUCTO BÁSICO</w:t>
            </w:r>
            <w:r w:rsidRPr="00547EA7">
              <w:rPr>
                <w:b/>
                <w:caps/>
                <w:sz w:val="22"/>
                <w:szCs w:val="22"/>
                <w:bdr w:val="nil"/>
                <w:vertAlign w:val="superscript"/>
                <w:lang w:val="es-ES"/>
              </w:rPr>
              <w:t>2</w:t>
            </w:r>
            <w:r w:rsidRPr="00547EA7">
              <w:rPr>
                <w:b/>
                <w:caps/>
                <w:sz w:val="22"/>
                <w:szCs w:val="22"/>
                <w:bdr w:val="nil"/>
                <w:lang w:val="es-ES"/>
              </w:rPr>
              <w:t>)</w:t>
            </w:r>
          </w:p>
        </w:tc>
      </w:tr>
      <w:tr w:rsidR="00B24895" w:rsidRPr="00547EA7" w14:paraId="5DE30EA1" w14:textId="77777777" w:rsidTr="009A5B49">
        <w:trPr>
          <w:trHeight w:val="255"/>
          <w:jc w:val="center"/>
        </w:trPr>
        <w:tc>
          <w:tcPr>
            <w:tcW w:w="2610" w:type="dxa"/>
            <w:vMerge w:val="restart"/>
            <w:tcBorders>
              <w:top w:val="nil"/>
              <w:left w:val="nil"/>
              <w:right w:val="nil"/>
            </w:tcBorders>
            <w:shd w:val="clear" w:color="auto" w:fill="auto"/>
            <w:noWrap/>
            <w:vAlign w:val="center"/>
          </w:tcPr>
          <w:p w14:paraId="7167AB06" w14:textId="77777777" w:rsidR="00F951DC" w:rsidRPr="00547EA7" w:rsidRDefault="001B2005" w:rsidP="00374105">
            <w:pPr>
              <w:rPr>
                <w:b/>
                <w:bCs/>
                <w:lang w:val="es-ES"/>
              </w:rPr>
            </w:pPr>
          </w:p>
          <w:p w14:paraId="31190349" w14:textId="77777777" w:rsidR="00F951DC" w:rsidRPr="00547EA7" w:rsidRDefault="00FA05CF" w:rsidP="00334609">
            <w:pPr>
              <w:rPr>
                <w:b/>
                <w:bCs/>
                <w:sz w:val="22"/>
                <w:szCs w:val="22"/>
                <w:lang w:val="es-ES"/>
              </w:rPr>
            </w:pPr>
            <w:r w:rsidRPr="00547EA7">
              <w:rPr>
                <w:b/>
                <w:bCs/>
                <w:bdr w:val="nil"/>
                <w:lang w:val="es-ES"/>
              </w:rPr>
              <w:t>Clase de cliente</w:t>
            </w:r>
          </w:p>
        </w:tc>
        <w:tc>
          <w:tcPr>
            <w:tcW w:w="270" w:type="dxa"/>
            <w:tcBorders>
              <w:top w:val="nil"/>
              <w:left w:val="nil"/>
              <w:bottom w:val="nil"/>
              <w:right w:val="nil"/>
            </w:tcBorders>
            <w:shd w:val="clear" w:color="auto" w:fill="auto"/>
            <w:noWrap/>
          </w:tcPr>
          <w:p w14:paraId="279FD5F9" w14:textId="77777777" w:rsidR="00F951DC" w:rsidRPr="00547EA7" w:rsidRDefault="001B2005" w:rsidP="00334609">
            <w:pPr>
              <w:rPr>
                <w:sz w:val="22"/>
                <w:szCs w:val="22"/>
                <w:lang w:val="es-ES"/>
              </w:rPr>
            </w:pPr>
          </w:p>
        </w:tc>
        <w:tc>
          <w:tcPr>
            <w:tcW w:w="1890" w:type="dxa"/>
            <w:vMerge w:val="restart"/>
            <w:tcBorders>
              <w:top w:val="nil"/>
              <w:left w:val="nil"/>
              <w:right w:val="nil"/>
            </w:tcBorders>
            <w:shd w:val="clear" w:color="auto" w:fill="auto"/>
            <w:noWrap/>
            <w:vAlign w:val="center"/>
          </w:tcPr>
          <w:p w14:paraId="39E06BC0" w14:textId="77777777" w:rsidR="00F951DC" w:rsidRPr="00547EA7" w:rsidRDefault="00FA05CF" w:rsidP="00C61C57">
            <w:pPr>
              <w:jc w:val="center"/>
              <w:rPr>
                <w:sz w:val="22"/>
                <w:szCs w:val="22"/>
                <w:lang w:val="es-ES"/>
              </w:rPr>
            </w:pPr>
            <w:r w:rsidRPr="00547EA7">
              <w:rPr>
                <w:b/>
                <w:bdr w:val="nil"/>
                <w:lang w:val="es-ES"/>
              </w:rPr>
              <w:t xml:space="preserve"> Tarifas promedio por clase en vigor el 03/01/17</w:t>
            </w:r>
            <w:r w:rsidRPr="00547EA7">
              <w:rPr>
                <w:b/>
                <w:bdr w:val="nil"/>
                <w:vertAlign w:val="superscript"/>
                <w:lang w:val="es-ES"/>
              </w:rPr>
              <w:t>3</w:t>
            </w:r>
            <w:r w:rsidRPr="00547EA7">
              <w:rPr>
                <w:b/>
                <w:bdr w:val="nil"/>
                <w:lang w:val="es-ES"/>
              </w:rPr>
              <w:t xml:space="preserve"> (¢/kWh) </w:t>
            </w:r>
          </w:p>
        </w:tc>
        <w:tc>
          <w:tcPr>
            <w:tcW w:w="270" w:type="dxa"/>
            <w:tcBorders>
              <w:top w:val="nil"/>
              <w:left w:val="nil"/>
              <w:bottom w:val="nil"/>
              <w:right w:val="nil"/>
            </w:tcBorders>
            <w:shd w:val="clear" w:color="auto" w:fill="auto"/>
            <w:noWrap/>
            <w:vAlign w:val="center"/>
          </w:tcPr>
          <w:p w14:paraId="71928ABA" w14:textId="77777777" w:rsidR="00F951DC" w:rsidRPr="00547EA7" w:rsidRDefault="001B2005" w:rsidP="00334609">
            <w:pPr>
              <w:jc w:val="center"/>
              <w:rPr>
                <w:b/>
                <w:bCs/>
                <w:sz w:val="22"/>
                <w:szCs w:val="22"/>
                <w:lang w:val="es-ES"/>
              </w:rPr>
            </w:pPr>
          </w:p>
        </w:tc>
        <w:tc>
          <w:tcPr>
            <w:tcW w:w="2070" w:type="dxa"/>
            <w:vMerge w:val="restart"/>
            <w:tcBorders>
              <w:top w:val="nil"/>
              <w:left w:val="nil"/>
              <w:right w:val="nil"/>
            </w:tcBorders>
            <w:shd w:val="clear" w:color="auto" w:fill="auto"/>
            <w:noWrap/>
            <w:vAlign w:val="center"/>
          </w:tcPr>
          <w:p w14:paraId="1DE0E394" w14:textId="77777777" w:rsidR="00F951DC" w:rsidRPr="00547EA7" w:rsidRDefault="00FA05CF" w:rsidP="00C8504E">
            <w:pPr>
              <w:jc w:val="center"/>
              <w:rPr>
                <w:b/>
                <w:bCs/>
                <w:sz w:val="22"/>
                <w:szCs w:val="22"/>
                <w:lang w:val="es-ES"/>
              </w:rPr>
            </w:pPr>
            <w:r w:rsidRPr="00547EA7">
              <w:rPr>
                <w:b/>
                <w:bdr w:val="nil"/>
                <w:lang w:val="es-ES"/>
              </w:rPr>
              <w:t>Tarifas promedio por clase que reflejan el aumento de $104.106 millones</w:t>
            </w:r>
            <w:r w:rsidRPr="00547EA7">
              <w:rPr>
                <w:b/>
                <w:bdr w:val="nil"/>
                <w:vertAlign w:val="superscript"/>
                <w:lang w:val="es-ES"/>
              </w:rPr>
              <w:t>4</w:t>
            </w:r>
            <w:r w:rsidRPr="00547EA7">
              <w:rPr>
                <w:b/>
                <w:bdr w:val="nil"/>
                <w:lang w:val="es-ES"/>
              </w:rPr>
              <w:t xml:space="preserve"> (¢/kWh)</w:t>
            </w:r>
          </w:p>
        </w:tc>
        <w:tc>
          <w:tcPr>
            <w:tcW w:w="270" w:type="dxa"/>
            <w:tcBorders>
              <w:top w:val="nil"/>
              <w:left w:val="nil"/>
              <w:bottom w:val="nil"/>
              <w:right w:val="nil"/>
            </w:tcBorders>
            <w:shd w:val="clear" w:color="auto" w:fill="auto"/>
            <w:noWrap/>
            <w:vAlign w:val="center"/>
          </w:tcPr>
          <w:p w14:paraId="57876EB8" w14:textId="77777777" w:rsidR="00F951DC" w:rsidRPr="00547EA7" w:rsidRDefault="001B2005" w:rsidP="00334609">
            <w:pPr>
              <w:rPr>
                <w:sz w:val="22"/>
                <w:szCs w:val="22"/>
                <w:lang w:val="es-ES"/>
              </w:rPr>
            </w:pPr>
          </w:p>
        </w:tc>
        <w:tc>
          <w:tcPr>
            <w:tcW w:w="1350" w:type="dxa"/>
            <w:vMerge w:val="restart"/>
            <w:tcBorders>
              <w:top w:val="nil"/>
              <w:left w:val="nil"/>
              <w:right w:val="nil"/>
            </w:tcBorders>
            <w:shd w:val="clear" w:color="auto" w:fill="auto"/>
            <w:noWrap/>
            <w:vAlign w:val="center"/>
          </w:tcPr>
          <w:p w14:paraId="01AF6D67" w14:textId="77777777" w:rsidR="00F951DC" w:rsidRPr="00547EA7" w:rsidRDefault="00FA05CF" w:rsidP="005F3FFF">
            <w:pPr>
              <w:jc w:val="center"/>
              <w:rPr>
                <w:b/>
                <w:bCs/>
                <w:sz w:val="22"/>
                <w:szCs w:val="22"/>
                <w:lang w:val="es-ES"/>
              </w:rPr>
            </w:pPr>
            <w:r w:rsidRPr="00547EA7">
              <w:rPr>
                <w:b/>
                <w:bCs/>
                <w:bdr w:val="nil"/>
                <w:lang w:val="es-ES"/>
              </w:rPr>
              <w:t>Aumento total en la tarifa (¢/kWh)</w:t>
            </w:r>
          </w:p>
        </w:tc>
        <w:tc>
          <w:tcPr>
            <w:tcW w:w="270" w:type="dxa"/>
            <w:tcBorders>
              <w:top w:val="nil"/>
              <w:left w:val="nil"/>
              <w:bottom w:val="nil"/>
              <w:right w:val="nil"/>
            </w:tcBorders>
            <w:shd w:val="clear" w:color="auto" w:fill="auto"/>
            <w:noWrap/>
            <w:vAlign w:val="center"/>
          </w:tcPr>
          <w:p w14:paraId="4204B2C1" w14:textId="77777777" w:rsidR="00F951DC" w:rsidRPr="00547EA7" w:rsidRDefault="001B2005" w:rsidP="00334609">
            <w:pPr>
              <w:rPr>
                <w:sz w:val="22"/>
                <w:szCs w:val="22"/>
                <w:lang w:val="es-ES"/>
              </w:rPr>
            </w:pPr>
          </w:p>
        </w:tc>
        <w:tc>
          <w:tcPr>
            <w:tcW w:w="1440" w:type="dxa"/>
            <w:vMerge w:val="restart"/>
            <w:tcBorders>
              <w:top w:val="nil"/>
              <w:left w:val="nil"/>
              <w:right w:val="nil"/>
            </w:tcBorders>
            <w:shd w:val="clear" w:color="auto" w:fill="auto"/>
            <w:noWrap/>
            <w:vAlign w:val="center"/>
          </w:tcPr>
          <w:p w14:paraId="494A61A5" w14:textId="77777777" w:rsidR="00F951DC" w:rsidRPr="00547EA7" w:rsidRDefault="00FA05CF" w:rsidP="00374105">
            <w:pPr>
              <w:jc w:val="center"/>
              <w:rPr>
                <w:b/>
                <w:bCs/>
                <w:lang w:val="es-ES"/>
              </w:rPr>
            </w:pPr>
            <w:r w:rsidRPr="00547EA7">
              <w:rPr>
                <w:b/>
                <w:bCs/>
                <w:bdr w:val="nil"/>
                <w:lang w:val="es-ES"/>
              </w:rPr>
              <w:t xml:space="preserve">Aumento porcentual en la tarifa </w:t>
            </w:r>
          </w:p>
          <w:p w14:paraId="4590C504" w14:textId="77777777" w:rsidR="00F951DC" w:rsidRPr="00547EA7" w:rsidRDefault="00FA05CF" w:rsidP="00334609">
            <w:pPr>
              <w:jc w:val="center"/>
              <w:rPr>
                <w:b/>
                <w:bCs/>
                <w:sz w:val="22"/>
                <w:szCs w:val="22"/>
                <w:lang w:val="es-ES"/>
              </w:rPr>
            </w:pPr>
            <w:r w:rsidRPr="00547EA7">
              <w:rPr>
                <w:b/>
                <w:bCs/>
                <w:lang w:val="es-ES"/>
              </w:rPr>
              <w:t>(%)</w:t>
            </w:r>
          </w:p>
        </w:tc>
      </w:tr>
      <w:tr w:rsidR="00B24895" w:rsidRPr="00547EA7" w14:paraId="2A5589A6" w14:textId="77777777" w:rsidTr="009A5B49">
        <w:trPr>
          <w:trHeight w:val="255"/>
          <w:jc w:val="center"/>
        </w:trPr>
        <w:tc>
          <w:tcPr>
            <w:tcW w:w="2610" w:type="dxa"/>
            <w:vMerge/>
            <w:tcBorders>
              <w:left w:val="nil"/>
              <w:bottom w:val="single" w:sz="4" w:space="0" w:color="auto"/>
              <w:right w:val="nil"/>
            </w:tcBorders>
            <w:shd w:val="clear" w:color="auto" w:fill="auto"/>
            <w:noWrap/>
          </w:tcPr>
          <w:p w14:paraId="6AB53112" w14:textId="77777777" w:rsidR="00F951DC" w:rsidRPr="00547EA7" w:rsidRDefault="001B2005" w:rsidP="00334609">
            <w:pPr>
              <w:rPr>
                <w:b/>
                <w:bCs/>
                <w:sz w:val="22"/>
                <w:szCs w:val="22"/>
                <w:lang w:val="es-ES"/>
              </w:rPr>
            </w:pPr>
          </w:p>
        </w:tc>
        <w:tc>
          <w:tcPr>
            <w:tcW w:w="270" w:type="dxa"/>
            <w:tcBorders>
              <w:top w:val="nil"/>
              <w:left w:val="nil"/>
              <w:bottom w:val="nil"/>
              <w:right w:val="nil"/>
            </w:tcBorders>
            <w:shd w:val="clear" w:color="auto" w:fill="auto"/>
            <w:noWrap/>
          </w:tcPr>
          <w:p w14:paraId="44285FAC" w14:textId="77777777" w:rsidR="00F951DC" w:rsidRPr="00547EA7" w:rsidRDefault="001B2005" w:rsidP="00334609">
            <w:pPr>
              <w:rPr>
                <w:sz w:val="22"/>
                <w:szCs w:val="22"/>
                <w:lang w:val="es-ES"/>
              </w:rPr>
            </w:pPr>
          </w:p>
        </w:tc>
        <w:tc>
          <w:tcPr>
            <w:tcW w:w="1890" w:type="dxa"/>
            <w:vMerge/>
            <w:tcBorders>
              <w:left w:val="nil"/>
              <w:bottom w:val="single" w:sz="4" w:space="0" w:color="auto"/>
              <w:right w:val="nil"/>
            </w:tcBorders>
            <w:shd w:val="clear" w:color="auto" w:fill="auto"/>
            <w:noWrap/>
          </w:tcPr>
          <w:p w14:paraId="5BEB250C" w14:textId="77777777" w:rsidR="00F951DC" w:rsidRPr="00547EA7" w:rsidRDefault="001B2005" w:rsidP="00334609">
            <w:pPr>
              <w:jc w:val="center"/>
              <w:rPr>
                <w:sz w:val="22"/>
                <w:szCs w:val="22"/>
                <w:lang w:val="es-ES"/>
              </w:rPr>
            </w:pPr>
          </w:p>
        </w:tc>
        <w:tc>
          <w:tcPr>
            <w:tcW w:w="270" w:type="dxa"/>
            <w:tcBorders>
              <w:top w:val="nil"/>
              <w:left w:val="nil"/>
              <w:bottom w:val="nil"/>
              <w:right w:val="nil"/>
            </w:tcBorders>
            <w:shd w:val="clear" w:color="auto" w:fill="auto"/>
            <w:noWrap/>
          </w:tcPr>
          <w:p w14:paraId="66F915D9" w14:textId="77777777" w:rsidR="00F951DC" w:rsidRPr="00547EA7" w:rsidRDefault="001B2005" w:rsidP="00334609">
            <w:pPr>
              <w:jc w:val="center"/>
              <w:rPr>
                <w:b/>
                <w:bCs/>
                <w:sz w:val="22"/>
                <w:szCs w:val="22"/>
                <w:lang w:val="es-ES"/>
              </w:rPr>
            </w:pPr>
          </w:p>
        </w:tc>
        <w:tc>
          <w:tcPr>
            <w:tcW w:w="2070" w:type="dxa"/>
            <w:vMerge/>
            <w:tcBorders>
              <w:left w:val="nil"/>
              <w:bottom w:val="single" w:sz="4" w:space="0" w:color="auto"/>
              <w:right w:val="nil"/>
            </w:tcBorders>
            <w:shd w:val="clear" w:color="auto" w:fill="auto"/>
            <w:noWrap/>
          </w:tcPr>
          <w:p w14:paraId="7CC81386" w14:textId="77777777" w:rsidR="00F951DC" w:rsidRPr="00547EA7" w:rsidRDefault="001B2005" w:rsidP="00334609">
            <w:pPr>
              <w:jc w:val="center"/>
              <w:rPr>
                <w:b/>
                <w:bCs/>
                <w:sz w:val="22"/>
                <w:szCs w:val="22"/>
                <w:lang w:val="es-ES"/>
              </w:rPr>
            </w:pPr>
          </w:p>
        </w:tc>
        <w:tc>
          <w:tcPr>
            <w:tcW w:w="270" w:type="dxa"/>
            <w:tcBorders>
              <w:top w:val="nil"/>
              <w:left w:val="nil"/>
              <w:bottom w:val="nil"/>
              <w:right w:val="nil"/>
            </w:tcBorders>
            <w:shd w:val="clear" w:color="auto" w:fill="auto"/>
            <w:noWrap/>
          </w:tcPr>
          <w:p w14:paraId="22A1F8E3" w14:textId="77777777" w:rsidR="00F951DC" w:rsidRPr="00547EA7" w:rsidRDefault="001B2005" w:rsidP="00334609">
            <w:pPr>
              <w:rPr>
                <w:sz w:val="22"/>
                <w:szCs w:val="22"/>
                <w:lang w:val="es-ES"/>
              </w:rPr>
            </w:pPr>
          </w:p>
        </w:tc>
        <w:tc>
          <w:tcPr>
            <w:tcW w:w="1350" w:type="dxa"/>
            <w:vMerge/>
            <w:tcBorders>
              <w:left w:val="nil"/>
              <w:bottom w:val="single" w:sz="4" w:space="0" w:color="auto"/>
              <w:right w:val="nil"/>
            </w:tcBorders>
            <w:shd w:val="clear" w:color="auto" w:fill="auto"/>
            <w:noWrap/>
          </w:tcPr>
          <w:p w14:paraId="3AD5E406" w14:textId="77777777" w:rsidR="00F951DC" w:rsidRPr="00547EA7" w:rsidRDefault="001B2005" w:rsidP="00334609">
            <w:pPr>
              <w:jc w:val="center"/>
              <w:rPr>
                <w:b/>
                <w:bCs/>
                <w:sz w:val="22"/>
                <w:szCs w:val="22"/>
                <w:lang w:val="es-ES"/>
              </w:rPr>
            </w:pPr>
          </w:p>
        </w:tc>
        <w:tc>
          <w:tcPr>
            <w:tcW w:w="270" w:type="dxa"/>
            <w:tcBorders>
              <w:top w:val="nil"/>
              <w:left w:val="nil"/>
              <w:bottom w:val="nil"/>
              <w:right w:val="nil"/>
            </w:tcBorders>
            <w:shd w:val="clear" w:color="auto" w:fill="auto"/>
            <w:noWrap/>
          </w:tcPr>
          <w:p w14:paraId="3A997F90" w14:textId="77777777" w:rsidR="00F951DC" w:rsidRPr="00547EA7" w:rsidRDefault="001B2005" w:rsidP="00334609">
            <w:pPr>
              <w:rPr>
                <w:sz w:val="22"/>
                <w:szCs w:val="22"/>
                <w:lang w:val="es-ES"/>
              </w:rPr>
            </w:pPr>
          </w:p>
        </w:tc>
        <w:tc>
          <w:tcPr>
            <w:tcW w:w="1440" w:type="dxa"/>
            <w:vMerge/>
            <w:tcBorders>
              <w:left w:val="nil"/>
              <w:bottom w:val="single" w:sz="4" w:space="0" w:color="auto"/>
              <w:right w:val="nil"/>
            </w:tcBorders>
            <w:shd w:val="clear" w:color="auto" w:fill="auto"/>
            <w:noWrap/>
          </w:tcPr>
          <w:p w14:paraId="2DBF98CC" w14:textId="77777777" w:rsidR="00F951DC" w:rsidRPr="00547EA7" w:rsidRDefault="001B2005" w:rsidP="00334609">
            <w:pPr>
              <w:jc w:val="center"/>
              <w:rPr>
                <w:b/>
                <w:bCs/>
                <w:sz w:val="22"/>
                <w:szCs w:val="22"/>
                <w:lang w:val="es-ES"/>
              </w:rPr>
            </w:pPr>
          </w:p>
        </w:tc>
      </w:tr>
      <w:tr w:rsidR="00B24895" w:rsidRPr="00547EA7" w14:paraId="408A933D" w14:textId="77777777" w:rsidTr="009A5B49">
        <w:trPr>
          <w:trHeight w:val="255"/>
          <w:jc w:val="center"/>
        </w:trPr>
        <w:tc>
          <w:tcPr>
            <w:tcW w:w="2610" w:type="dxa"/>
            <w:tcBorders>
              <w:top w:val="nil"/>
              <w:left w:val="nil"/>
              <w:bottom w:val="nil"/>
              <w:right w:val="nil"/>
            </w:tcBorders>
            <w:shd w:val="clear" w:color="auto" w:fill="auto"/>
            <w:noWrap/>
          </w:tcPr>
          <w:p w14:paraId="2E8E8058" w14:textId="77777777" w:rsidR="00F951DC" w:rsidRPr="00547EA7" w:rsidRDefault="00FA05CF" w:rsidP="00334609">
            <w:pPr>
              <w:rPr>
                <w:b/>
                <w:bCs/>
                <w:sz w:val="22"/>
                <w:szCs w:val="22"/>
                <w:lang w:val="es-ES"/>
              </w:rPr>
            </w:pPr>
            <w:r w:rsidRPr="00547EA7">
              <w:rPr>
                <w:b/>
                <w:bCs/>
                <w:sz w:val="22"/>
                <w:szCs w:val="22"/>
                <w:bdr w:val="nil"/>
                <w:lang w:val="es-ES"/>
              </w:rPr>
              <w:t>Residencial</w:t>
            </w:r>
          </w:p>
        </w:tc>
        <w:tc>
          <w:tcPr>
            <w:tcW w:w="270" w:type="dxa"/>
            <w:tcBorders>
              <w:top w:val="nil"/>
              <w:left w:val="nil"/>
              <w:bottom w:val="nil"/>
              <w:right w:val="nil"/>
            </w:tcBorders>
            <w:shd w:val="clear" w:color="auto" w:fill="auto"/>
            <w:noWrap/>
          </w:tcPr>
          <w:p w14:paraId="2BDE7E0C"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1196502E" w14:textId="77777777" w:rsidR="00F951DC" w:rsidRPr="00547EA7" w:rsidRDefault="00FA05CF" w:rsidP="007D73D3">
            <w:pPr>
              <w:jc w:val="center"/>
              <w:rPr>
                <w:sz w:val="22"/>
                <w:szCs w:val="22"/>
                <w:lang w:val="es-ES"/>
              </w:rPr>
            </w:pPr>
            <w:r w:rsidRPr="00547EA7">
              <w:rPr>
                <w:sz w:val="22"/>
                <w:szCs w:val="22"/>
                <w:bdr w:val="nil"/>
                <w:lang w:val="es-ES"/>
              </w:rPr>
              <w:t>24.990</w:t>
            </w:r>
          </w:p>
        </w:tc>
        <w:tc>
          <w:tcPr>
            <w:tcW w:w="270" w:type="dxa"/>
            <w:tcBorders>
              <w:top w:val="nil"/>
              <w:left w:val="nil"/>
              <w:bottom w:val="nil"/>
              <w:right w:val="nil"/>
            </w:tcBorders>
            <w:shd w:val="clear" w:color="auto" w:fill="auto"/>
            <w:noWrap/>
          </w:tcPr>
          <w:p w14:paraId="4E8EA291"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50FF74CF" w14:textId="77777777" w:rsidR="00F951DC" w:rsidRPr="00547EA7" w:rsidRDefault="00FA05CF" w:rsidP="00793C29">
            <w:pPr>
              <w:jc w:val="center"/>
              <w:rPr>
                <w:sz w:val="22"/>
                <w:szCs w:val="22"/>
                <w:lang w:val="es-ES"/>
              </w:rPr>
            </w:pPr>
            <w:r w:rsidRPr="00547EA7">
              <w:rPr>
                <w:sz w:val="22"/>
                <w:szCs w:val="22"/>
                <w:bdr w:val="nil"/>
                <w:lang w:val="es-ES"/>
              </w:rPr>
              <w:t>25.635</w:t>
            </w:r>
          </w:p>
        </w:tc>
        <w:tc>
          <w:tcPr>
            <w:tcW w:w="270" w:type="dxa"/>
            <w:tcBorders>
              <w:top w:val="nil"/>
              <w:left w:val="nil"/>
              <w:bottom w:val="nil"/>
              <w:right w:val="nil"/>
            </w:tcBorders>
            <w:shd w:val="clear" w:color="auto" w:fill="auto"/>
            <w:noWrap/>
          </w:tcPr>
          <w:p w14:paraId="733104C2"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3A908555" w14:textId="77777777" w:rsidR="00F951DC" w:rsidRPr="00547EA7" w:rsidRDefault="00FA05CF" w:rsidP="00793C29">
            <w:pPr>
              <w:jc w:val="center"/>
              <w:rPr>
                <w:sz w:val="22"/>
                <w:szCs w:val="22"/>
                <w:lang w:val="es-ES"/>
              </w:rPr>
            </w:pPr>
            <w:r w:rsidRPr="00547EA7">
              <w:rPr>
                <w:sz w:val="22"/>
                <w:szCs w:val="22"/>
                <w:bdr w:val="nil"/>
                <w:lang w:val="es-ES"/>
              </w:rPr>
              <w:t>0.645</w:t>
            </w:r>
          </w:p>
        </w:tc>
        <w:tc>
          <w:tcPr>
            <w:tcW w:w="270" w:type="dxa"/>
            <w:tcBorders>
              <w:top w:val="nil"/>
              <w:left w:val="nil"/>
              <w:bottom w:val="nil"/>
              <w:right w:val="nil"/>
            </w:tcBorders>
            <w:shd w:val="clear" w:color="auto" w:fill="auto"/>
            <w:noWrap/>
          </w:tcPr>
          <w:p w14:paraId="5557D549" w14:textId="77777777" w:rsidR="00F951DC" w:rsidRPr="00547EA7" w:rsidRDefault="001B2005" w:rsidP="00334609">
            <w:pPr>
              <w:jc w:val="center"/>
              <w:rPr>
                <w:sz w:val="22"/>
                <w:szCs w:val="22"/>
                <w:lang w:val="es-ES"/>
              </w:rPr>
            </w:pPr>
          </w:p>
        </w:tc>
        <w:tc>
          <w:tcPr>
            <w:tcW w:w="1440" w:type="dxa"/>
            <w:tcBorders>
              <w:top w:val="nil"/>
              <w:left w:val="nil"/>
              <w:bottom w:val="nil"/>
              <w:right w:val="nil"/>
            </w:tcBorders>
            <w:shd w:val="clear" w:color="auto" w:fill="auto"/>
            <w:noWrap/>
            <w:vAlign w:val="bottom"/>
          </w:tcPr>
          <w:p w14:paraId="259E2F55" w14:textId="77777777" w:rsidR="00F951DC" w:rsidRPr="00547EA7" w:rsidRDefault="00FA05CF" w:rsidP="00793C29">
            <w:pPr>
              <w:jc w:val="center"/>
              <w:rPr>
                <w:sz w:val="22"/>
                <w:szCs w:val="22"/>
                <w:lang w:val="es-ES"/>
              </w:rPr>
            </w:pPr>
            <w:r w:rsidRPr="00547EA7">
              <w:rPr>
                <w:sz w:val="22"/>
                <w:szCs w:val="22"/>
                <w:bdr w:val="nil"/>
                <w:lang w:val="es-ES"/>
              </w:rPr>
              <w:t>2.58%</w:t>
            </w:r>
          </w:p>
        </w:tc>
      </w:tr>
      <w:tr w:rsidR="00B24895" w:rsidRPr="00547EA7" w14:paraId="51B04176" w14:textId="77777777" w:rsidTr="009A5B49">
        <w:trPr>
          <w:trHeight w:val="255"/>
          <w:jc w:val="center"/>
        </w:trPr>
        <w:tc>
          <w:tcPr>
            <w:tcW w:w="2610" w:type="dxa"/>
            <w:tcBorders>
              <w:top w:val="nil"/>
              <w:left w:val="nil"/>
              <w:bottom w:val="nil"/>
              <w:right w:val="nil"/>
            </w:tcBorders>
            <w:shd w:val="clear" w:color="auto" w:fill="auto"/>
            <w:noWrap/>
          </w:tcPr>
          <w:p w14:paraId="1F3F7051" w14:textId="77777777" w:rsidR="00F951DC" w:rsidRPr="00547EA7" w:rsidRDefault="00FA05CF" w:rsidP="00334609">
            <w:pPr>
              <w:rPr>
                <w:b/>
                <w:bCs/>
                <w:sz w:val="22"/>
                <w:szCs w:val="22"/>
                <w:lang w:val="es-ES"/>
              </w:rPr>
            </w:pPr>
            <w:r w:rsidRPr="00547EA7">
              <w:rPr>
                <w:b/>
                <w:bCs/>
                <w:sz w:val="22"/>
                <w:szCs w:val="22"/>
                <w:bdr w:val="nil"/>
                <w:lang w:val="es-ES"/>
              </w:rPr>
              <w:t xml:space="preserve">Comercial pequeño </w:t>
            </w:r>
          </w:p>
        </w:tc>
        <w:tc>
          <w:tcPr>
            <w:tcW w:w="270" w:type="dxa"/>
            <w:tcBorders>
              <w:top w:val="nil"/>
              <w:left w:val="nil"/>
              <w:bottom w:val="nil"/>
              <w:right w:val="nil"/>
            </w:tcBorders>
            <w:shd w:val="clear" w:color="auto" w:fill="auto"/>
            <w:noWrap/>
          </w:tcPr>
          <w:p w14:paraId="5FC48F24"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12B44F5E" w14:textId="77777777" w:rsidR="00F951DC" w:rsidRPr="00547EA7" w:rsidRDefault="00FA05CF" w:rsidP="007D73D3">
            <w:pPr>
              <w:jc w:val="center"/>
              <w:rPr>
                <w:sz w:val="22"/>
                <w:szCs w:val="22"/>
                <w:lang w:val="es-ES"/>
              </w:rPr>
            </w:pPr>
            <w:r w:rsidRPr="00547EA7">
              <w:rPr>
                <w:sz w:val="22"/>
                <w:szCs w:val="22"/>
                <w:bdr w:val="nil"/>
                <w:lang w:val="es-ES"/>
              </w:rPr>
              <w:t>23.928</w:t>
            </w:r>
          </w:p>
        </w:tc>
        <w:tc>
          <w:tcPr>
            <w:tcW w:w="270" w:type="dxa"/>
            <w:tcBorders>
              <w:top w:val="nil"/>
              <w:left w:val="nil"/>
              <w:bottom w:val="nil"/>
              <w:right w:val="nil"/>
            </w:tcBorders>
            <w:shd w:val="clear" w:color="auto" w:fill="auto"/>
            <w:noWrap/>
          </w:tcPr>
          <w:p w14:paraId="2A558338"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2D97CC6B" w14:textId="77777777" w:rsidR="00F951DC" w:rsidRPr="00547EA7" w:rsidRDefault="00FA05CF" w:rsidP="00793C29">
            <w:pPr>
              <w:jc w:val="center"/>
              <w:rPr>
                <w:sz w:val="22"/>
                <w:szCs w:val="22"/>
                <w:lang w:val="es-ES"/>
              </w:rPr>
            </w:pPr>
            <w:r w:rsidRPr="00547EA7">
              <w:rPr>
                <w:sz w:val="22"/>
                <w:szCs w:val="22"/>
                <w:bdr w:val="nil"/>
                <w:lang w:val="es-ES"/>
              </w:rPr>
              <w:t>24.513</w:t>
            </w:r>
          </w:p>
        </w:tc>
        <w:tc>
          <w:tcPr>
            <w:tcW w:w="270" w:type="dxa"/>
            <w:tcBorders>
              <w:top w:val="nil"/>
              <w:left w:val="nil"/>
              <w:bottom w:val="nil"/>
              <w:right w:val="nil"/>
            </w:tcBorders>
            <w:shd w:val="clear" w:color="auto" w:fill="auto"/>
            <w:noWrap/>
          </w:tcPr>
          <w:p w14:paraId="3389ECE1"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4D513C91" w14:textId="77777777" w:rsidR="00F951DC" w:rsidRPr="00547EA7" w:rsidRDefault="00FA05CF" w:rsidP="00793C29">
            <w:pPr>
              <w:jc w:val="center"/>
              <w:rPr>
                <w:sz w:val="22"/>
                <w:szCs w:val="22"/>
                <w:lang w:val="es-ES"/>
              </w:rPr>
            </w:pPr>
            <w:r w:rsidRPr="00547EA7">
              <w:rPr>
                <w:sz w:val="22"/>
                <w:szCs w:val="22"/>
                <w:bdr w:val="nil"/>
                <w:lang w:val="es-ES"/>
              </w:rPr>
              <w:t>0.585</w:t>
            </w:r>
          </w:p>
        </w:tc>
        <w:tc>
          <w:tcPr>
            <w:tcW w:w="270" w:type="dxa"/>
            <w:tcBorders>
              <w:top w:val="nil"/>
              <w:left w:val="nil"/>
              <w:bottom w:val="nil"/>
              <w:right w:val="nil"/>
            </w:tcBorders>
            <w:shd w:val="clear" w:color="auto" w:fill="auto"/>
            <w:noWrap/>
          </w:tcPr>
          <w:p w14:paraId="408D75CB" w14:textId="77777777" w:rsidR="00F951DC" w:rsidRPr="00547EA7" w:rsidRDefault="001B2005" w:rsidP="00334609">
            <w:pPr>
              <w:rPr>
                <w:sz w:val="22"/>
                <w:szCs w:val="22"/>
                <w:lang w:val="es-ES"/>
              </w:rPr>
            </w:pPr>
          </w:p>
        </w:tc>
        <w:tc>
          <w:tcPr>
            <w:tcW w:w="1440" w:type="dxa"/>
            <w:tcBorders>
              <w:top w:val="nil"/>
              <w:left w:val="nil"/>
              <w:bottom w:val="nil"/>
              <w:right w:val="nil"/>
            </w:tcBorders>
            <w:shd w:val="clear" w:color="auto" w:fill="auto"/>
            <w:noWrap/>
            <w:vAlign w:val="bottom"/>
          </w:tcPr>
          <w:p w14:paraId="0DECD4E6" w14:textId="77777777" w:rsidR="00F951DC" w:rsidRPr="00547EA7" w:rsidRDefault="00FA05CF" w:rsidP="00793C29">
            <w:pPr>
              <w:jc w:val="center"/>
              <w:rPr>
                <w:sz w:val="22"/>
                <w:szCs w:val="22"/>
                <w:lang w:val="es-ES"/>
              </w:rPr>
            </w:pPr>
            <w:r w:rsidRPr="00547EA7">
              <w:rPr>
                <w:sz w:val="22"/>
                <w:szCs w:val="22"/>
                <w:bdr w:val="nil"/>
                <w:lang w:val="es-ES"/>
              </w:rPr>
              <w:t>2.44%</w:t>
            </w:r>
          </w:p>
        </w:tc>
      </w:tr>
      <w:tr w:rsidR="00B24895" w:rsidRPr="00547EA7" w14:paraId="35B261A1" w14:textId="77777777" w:rsidTr="009A5B49">
        <w:trPr>
          <w:trHeight w:val="255"/>
          <w:jc w:val="center"/>
        </w:trPr>
        <w:tc>
          <w:tcPr>
            <w:tcW w:w="2610" w:type="dxa"/>
            <w:tcBorders>
              <w:top w:val="nil"/>
              <w:left w:val="nil"/>
              <w:bottom w:val="nil"/>
              <w:right w:val="nil"/>
            </w:tcBorders>
            <w:shd w:val="clear" w:color="auto" w:fill="auto"/>
            <w:noWrap/>
          </w:tcPr>
          <w:p w14:paraId="71CC37C3" w14:textId="77777777" w:rsidR="00F951DC" w:rsidRPr="00547EA7" w:rsidRDefault="00FA05CF" w:rsidP="00C61C57">
            <w:pPr>
              <w:rPr>
                <w:b/>
                <w:bCs/>
                <w:sz w:val="22"/>
                <w:szCs w:val="22"/>
                <w:lang w:val="es-ES"/>
              </w:rPr>
            </w:pPr>
            <w:r w:rsidRPr="00547EA7">
              <w:rPr>
                <w:b/>
                <w:bCs/>
                <w:sz w:val="22"/>
                <w:szCs w:val="22"/>
                <w:bdr w:val="nil"/>
                <w:lang w:val="es-ES"/>
              </w:rPr>
              <w:t>CeI mediano y grande</w:t>
            </w:r>
            <w:r w:rsidRPr="00547EA7">
              <w:rPr>
                <w:b/>
                <w:bCs/>
                <w:sz w:val="22"/>
                <w:szCs w:val="22"/>
                <w:vertAlign w:val="superscript"/>
                <w:lang w:val="es-ES"/>
              </w:rPr>
              <w:t>5</w:t>
            </w:r>
            <w:r w:rsidRPr="00547EA7">
              <w:rPr>
                <w:b/>
                <w:bCs/>
                <w:sz w:val="22"/>
                <w:szCs w:val="22"/>
                <w:bdr w:val="nil"/>
                <w:lang w:val="es-ES"/>
              </w:rPr>
              <w:t xml:space="preserve"> </w:t>
            </w:r>
          </w:p>
        </w:tc>
        <w:tc>
          <w:tcPr>
            <w:tcW w:w="270" w:type="dxa"/>
            <w:tcBorders>
              <w:top w:val="nil"/>
              <w:left w:val="nil"/>
              <w:bottom w:val="nil"/>
              <w:right w:val="nil"/>
            </w:tcBorders>
            <w:shd w:val="clear" w:color="auto" w:fill="auto"/>
            <w:noWrap/>
          </w:tcPr>
          <w:p w14:paraId="42842342"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624978B6" w14:textId="77777777" w:rsidR="00F951DC" w:rsidRPr="00547EA7" w:rsidRDefault="00FA05CF" w:rsidP="007D73D3">
            <w:pPr>
              <w:jc w:val="center"/>
              <w:rPr>
                <w:sz w:val="22"/>
                <w:szCs w:val="22"/>
                <w:lang w:val="es-ES"/>
              </w:rPr>
            </w:pPr>
            <w:r w:rsidRPr="00547EA7">
              <w:rPr>
                <w:sz w:val="22"/>
                <w:szCs w:val="22"/>
                <w:bdr w:val="nil"/>
                <w:lang w:val="es-ES"/>
              </w:rPr>
              <w:t>19.850</w:t>
            </w:r>
          </w:p>
        </w:tc>
        <w:tc>
          <w:tcPr>
            <w:tcW w:w="270" w:type="dxa"/>
            <w:tcBorders>
              <w:top w:val="nil"/>
              <w:left w:val="nil"/>
              <w:bottom w:val="nil"/>
              <w:right w:val="nil"/>
            </w:tcBorders>
            <w:shd w:val="clear" w:color="auto" w:fill="auto"/>
            <w:noWrap/>
          </w:tcPr>
          <w:p w14:paraId="37A8C0E0"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5FFC1449" w14:textId="77777777" w:rsidR="00F951DC" w:rsidRPr="00547EA7" w:rsidRDefault="00FA05CF" w:rsidP="00793C29">
            <w:pPr>
              <w:jc w:val="center"/>
              <w:rPr>
                <w:sz w:val="22"/>
                <w:szCs w:val="22"/>
                <w:lang w:val="es-ES"/>
              </w:rPr>
            </w:pPr>
            <w:r w:rsidRPr="00547EA7">
              <w:rPr>
                <w:sz w:val="22"/>
                <w:szCs w:val="22"/>
                <w:bdr w:val="nil"/>
                <w:lang w:val="es-ES"/>
              </w:rPr>
              <w:t>20.472</w:t>
            </w:r>
          </w:p>
        </w:tc>
        <w:tc>
          <w:tcPr>
            <w:tcW w:w="270" w:type="dxa"/>
            <w:tcBorders>
              <w:top w:val="nil"/>
              <w:left w:val="nil"/>
              <w:bottom w:val="nil"/>
              <w:right w:val="nil"/>
            </w:tcBorders>
            <w:shd w:val="clear" w:color="auto" w:fill="auto"/>
            <w:noWrap/>
          </w:tcPr>
          <w:p w14:paraId="64A31639"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5F988383" w14:textId="77777777" w:rsidR="00F951DC" w:rsidRPr="00547EA7" w:rsidRDefault="00FA05CF" w:rsidP="00793C29">
            <w:pPr>
              <w:jc w:val="center"/>
              <w:rPr>
                <w:sz w:val="22"/>
                <w:szCs w:val="22"/>
                <w:lang w:val="es-ES"/>
              </w:rPr>
            </w:pPr>
            <w:r w:rsidRPr="00547EA7">
              <w:rPr>
                <w:sz w:val="22"/>
                <w:szCs w:val="22"/>
                <w:bdr w:val="nil"/>
                <w:lang w:val="es-ES"/>
              </w:rPr>
              <w:t>0.622</w:t>
            </w:r>
          </w:p>
        </w:tc>
        <w:tc>
          <w:tcPr>
            <w:tcW w:w="270" w:type="dxa"/>
            <w:tcBorders>
              <w:top w:val="nil"/>
              <w:left w:val="nil"/>
              <w:bottom w:val="nil"/>
              <w:right w:val="nil"/>
            </w:tcBorders>
            <w:shd w:val="clear" w:color="auto" w:fill="auto"/>
            <w:noWrap/>
          </w:tcPr>
          <w:p w14:paraId="78FA2DA0" w14:textId="77777777" w:rsidR="00F951DC" w:rsidRPr="00547EA7" w:rsidRDefault="001B2005" w:rsidP="00334609">
            <w:pPr>
              <w:rPr>
                <w:sz w:val="22"/>
                <w:szCs w:val="22"/>
                <w:lang w:val="es-ES"/>
              </w:rPr>
            </w:pPr>
          </w:p>
        </w:tc>
        <w:tc>
          <w:tcPr>
            <w:tcW w:w="1440" w:type="dxa"/>
            <w:tcBorders>
              <w:top w:val="nil"/>
              <w:left w:val="nil"/>
              <w:bottom w:val="nil"/>
              <w:right w:val="nil"/>
            </w:tcBorders>
            <w:shd w:val="clear" w:color="auto" w:fill="auto"/>
            <w:noWrap/>
            <w:vAlign w:val="bottom"/>
          </w:tcPr>
          <w:p w14:paraId="30B548B0" w14:textId="77777777" w:rsidR="00F951DC" w:rsidRPr="00547EA7" w:rsidRDefault="00FA05CF" w:rsidP="00793C29">
            <w:pPr>
              <w:jc w:val="center"/>
              <w:rPr>
                <w:sz w:val="22"/>
                <w:szCs w:val="22"/>
                <w:lang w:val="es-ES"/>
              </w:rPr>
            </w:pPr>
            <w:r w:rsidRPr="00547EA7">
              <w:rPr>
                <w:sz w:val="22"/>
                <w:szCs w:val="22"/>
                <w:bdr w:val="nil"/>
                <w:lang w:val="es-ES"/>
              </w:rPr>
              <w:t>3.13%</w:t>
            </w:r>
          </w:p>
        </w:tc>
      </w:tr>
      <w:tr w:rsidR="00B24895" w:rsidRPr="00547EA7" w14:paraId="39B0A864" w14:textId="77777777" w:rsidTr="009A5B49">
        <w:trPr>
          <w:trHeight w:val="255"/>
          <w:jc w:val="center"/>
        </w:trPr>
        <w:tc>
          <w:tcPr>
            <w:tcW w:w="2610" w:type="dxa"/>
            <w:tcBorders>
              <w:top w:val="nil"/>
              <w:left w:val="nil"/>
              <w:bottom w:val="nil"/>
              <w:right w:val="nil"/>
            </w:tcBorders>
            <w:shd w:val="clear" w:color="auto" w:fill="auto"/>
            <w:noWrap/>
          </w:tcPr>
          <w:p w14:paraId="1758213A" w14:textId="77777777" w:rsidR="00F951DC" w:rsidRPr="00547EA7" w:rsidRDefault="00FA05CF" w:rsidP="00334609">
            <w:pPr>
              <w:rPr>
                <w:b/>
                <w:bCs/>
                <w:sz w:val="22"/>
                <w:szCs w:val="22"/>
                <w:lang w:val="es-ES"/>
              </w:rPr>
            </w:pPr>
            <w:r w:rsidRPr="00547EA7">
              <w:rPr>
                <w:b/>
                <w:bCs/>
                <w:sz w:val="22"/>
                <w:szCs w:val="22"/>
                <w:bdr w:val="nil"/>
                <w:lang w:val="es-ES"/>
              </w:rPr>
              <w:lastRenderedPageBreak/>
              <w:t>Agrícola</w:t>
            </w:r>
          </w:p>
        </w:tc>
        <w:tc>
          <w:tcPr>
            <w:tcW w:w="270" w:type="dxa"/>
            <w:tcBorders>
              <w:top w:val="nil"/>
              <w:left w:val="nil"/>
              <w:bottom w:val="nil"/>
              <w:right w:val="nil"/>
            </w:tcBorders>
            <w:shd w:val="clear" w:color="auto" w:fill="auto"/>
            <w:noWrap/>
          </w:tcPr>
          <w:p w14:paraId="2AFF6957"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2378FC15" w14:textId="77777777" w:rsidR="00F951DC" w:rsidRPr="00547EA7" w:rsidRDefault="00FA05CF" w:rsidP="00793C29">
            <w:pPr>
              <w:jc w:val="center"/>
              <w:rPr>
                <w:sz w:val="22"/>
                <w:szCs w:val="22"/>
                <w:lang w:val="es-ES"/>
              </w:rPr>
            </w:pPr>
            <w:r w:rsidRPr="00547EA7">
              <w:rPr>
                <w:sz w:val="22"/>
                <w:szCs w:val="22"/>
                <w:bdr w:val="nil"/>
                <w:lang w:val="es-ES"/>
              </w:rPr>
              <w:t>17.735</w:t>
            </w:r>
          </w:p>
        </w:tc>
        <w:tc>
          <w:tcPr>
            <w:tcW w:w="270" w:type="dxa"/>
            <w:tcBorders>
              <w:top w:val="nil"/>
              <w:left w:val="nil"/>
              <w:bottom w:val="nil"/>
              <w:right w:val="nil"/>
            </w:tcBorders>
            <w:shd w:val="clear" w:color="auto" w:fill="auto"/>
            <w:noWrap/>
          </w:tcPr>
          <w:p w14:paraId="736B846C"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7EC4186B" w14:textId="77777777" w:rsidR="00F951DC" w:rsidRPr="00547EA7" w:rsidRDefault="00FA05CF" w:rsidP="00793C29">
            <w:pPr>
              <w:jc w:val="center"/>
              <w:rPr>
                <w:sz w:val="22"/>
                <w:szCs w:val="22"/>
                <w:lang w:val="es-ES"/>
              </w:rPr>
            </w:pPr>
            <w:r w:rsidRPr="00547EA7">
              <w:rPr>
                <w:sz w:val="22"/>
                <w:szCs w:val="22"/>
                <w:bdr w:val="nil"/>
                <w:lang w:val="es-ES"/>
              </w:rPr>
              <w:t>18.263</w:t>
            </w:r>
          </w:p>
        </w:tc>
        <w:tc>
          <w:tcPr>
            <w:tcW w:w="270" w:type="dxa"/>
            <w:tcBorders>
              <w:top w:val="nil"/>
              <w:left w:val="nil"/>
              <w:bottom w:val="nil"/>
              <w:right w:val="nil"/>
            </w:tcBorders>
            <w:shd w:val="clear" w:color="auto" w:fill="auto"/>
            <w:noWrap/>
          </w:tcPr>
          <w:p w14:paraId="43E9C45F"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7A1F41F5" w14:textId="77777777" w:rsidR="00F951DC" w:rsidRPr="00547EA7" w:rsidRDefault="00FA05CF" w:rsidP="00793C29">
            <w:pPr>
              <w:jc w:val="center"/>
              <w:rPr>
                <w:sz w:val="22"/>
                <w:szCs w:val="22"/>
                <w:lang w:val="es-ES"/>
              </w:rPr>
            </w:pPr>
            <w:r w:rsidRPr="00547EA7">
              <w:rPr>
                <w:sz w:val="22"/>
                <w:szCs w:val="22"/>
                <w:bdr w:val="nil"/>
                <w:lang w:val="es-ES"/>
              </w:rPr>
              <w:t>0.528</w:t>
            </w:r>
          </w:p>
        </w:tc>
        <w:tc>
          <w:tcPr>
            <w:tcW w:w="270" w:type="dxa"/>
            <w:tcBorders>
              <w:top w:val="nil"/>
              <w:left w:val="nil"/>
              <w:bottom w:val="nil"/>
              <w:right w:val="nil"/>
            </w:tcBorders>
            <w:shd w:val="clear" w:color="auto" w:fill="auto"/>
            <w:noWrap/>
          </w:tcPr>
          <w:p w14:paraId="1C323EDB" w14:textId="77777777" w:rsidR="00F951DC" w:rsidRPr="00547EA7" w:rsidRDefault="001B2005" w:rsidP="00334609">
            <w:pPr>
              <w:rPr>
                <w:sz w:val="22"/>
                <w:szCs w:val="22"/>
                <w:lang w:val="es-ES"/>
              </w:rPr>
            </w:pPr>
          </w:p>
        </w:tc>
        <w:tc>
          <w:tcPr>
            <w:tcW w:w="1440" w:type="dxa"/>
            <w:tcBorders>
              <w:top w:val="nil"/>
              <w:left w:val="nil"/>
              <w:bottom w:val="nil"/>
              <w:right w:val="nil"/>
            </w:tcBorders>
            <w:shd w:val="clear" w:color="auto" w:fill="auto"/>
            <w:noWrap/>
            <w:vAlign w:val="bottom"/>
          </w:tcPr>
          <w:p w14:paraId="4EA20BEF" w14:textId="77777777" w:rsidR="00F951DC" w:rsidRPr="00547EA7" w:rsidRDefault="00FA05CF" w:rsidP="00793C29">
            <w:pPr>
              <w:jc w:val="center"/>
              <w:rPr>
                <w:sz w:val="22"/>
                <w:szCs w:val="22"/>
                <w:lang w:val="es-ES"/>
              </w:rPr>
            </w:pPr>
            <w:r w:rsidRPr="00547EA7">
              <w:rPr>
                <w:sz w:val="22"/>
                <w:szCs w:val="22"/>
                <w:bdr w:val="nil"/>
                <w:lang w:val="es-ES"/>
              </w:rPr>
              <w:t>2.98%</w:t>
            </w:r>
          </w:p>
        </w:tc>
      </w:tr>
      <w:tr w:rsidR="00B24895" w:rsidRPr="00547EA7" w14:paraId="5FAC5675" w14:textId="77777777" w:rsidTr="009A5B49">
        <w:trPr>
          <w:trHeight w:val="255"/>
          <w:jc w:val="center"/>
        </w:trPr>
        <w:tc>
          <w:tcPr>
            <w:tcW w:w="2610" w:type="dxa"/>
            <w:tcBorders>
              <w:top w:val="nil"/>
              <w:left w:val="nil"/>
              <w:bottom w:val="nil"/>
              <w:right w:val="nil"/>
            </w:tcBorders>
            <w:shd w:val="clear" w:color="auto" w:fill="auto"/>
            <w:noWrap/>
          </w:tcPr>
          <w:p w14:paraId="4938D2A1" w14:textId="77777777" w:rsidR="00F951DC" w:rsidRPr="00547EA7" w:rsidRDefault="00FA05CF" w:rsidP="00334609">
            <w:pPr>
              <w:rPr>
                <w:b/>
                <w:bCs/>
                <w:sz w:val="22"/>
                <w:szCs w:val="22"/>
                <w:lang w:val="es-ES"/>
              </w:rPr>
            </w:pPr>
            <w:r w:rsidRPr="00547EA7">
              <w:rPr>
                <w:b/>
                <w:bCs/>
                <w:sz w:val="22"/>
                <w:szCs w:val="22"/>
                <w:bdr w:val="nil"/>
                <w:lang w:val="es-ES"/>
              </w:rPr>
              <w:t>Iluminación</w:t>
            </w:r>
          </w:p>
        </w:tc>
        <w:tc>
          <w:tcPr>
            <w:tcW w:w="270" w:type="dxa"/>
            <w:tcBorders>
              <w:top w:val="nil"/>
              <w:left w:val="nil"/>
              <w:bottom w:val="nil"/>
              <w:right w:val="nil"/>
            </w:tcBorders>
            <w:shd w:val="clear" w:color="auto" w:fill="auto"/>
            <w:noWrap/>
          </w:tcPr>
          <w:p w14:paraId="23F53D36"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123A087A" w14:textId="77777777" w:rsidR="00F951DC" w:rsidRPr="00547EA7" w:rsidRDefault="00FA05CF" w:rsidP="00793C29">
            <w:pPr>
              <w:jc w:val="center"/>
              <w:rPr>
                <w:sz w:val="22"/>
                <w:szCs w:val="22"/>
                <w:lang w:val="es-ES"/>
              </w:rPr>
            </w:pPr>
            <w:r w:rsidRPr="00547EA7">
              <w:rPr>
                <w:sz w:val="22"/>
                <w:szCs w:val="22"/>
                <w:bdr w:val="nil"/>
                <w:lang w:val="es-ES"/>
              </w:rPr>
              <w:t>19.917</w:t>
            </w:r>
          </w:p>
        </w:tc>
        <w:tc>
          <w:tcPr>
            <w:tcW w:w="270" w:type="dxa"/>
            <w:tcBorders>
              <w:top w:val="nil"/>
              <w:left w:val="nil"/>
              <w:bottom w:val="nil"/>
              <w:right w:val="nil"/>
            </w:tcBorders>
            <w:shd w:val="clear" w:color="auto" w:fill="auto"/>
            <w:noWrap/>
          </w:tcPr>
          <w:p w14:paraId="5763EB36"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2F436DFB" w14:textId="77777777" w:rsidR="00F951DC" w:rsidRPr="00547EA7" w:rsidRDefault="00FA05CF" w:rsidP="00793C29">
            <w:pPr>
              <w:jc w:val="center"/>
              <w:rPr>
                <w:sz w:val="22"/>
                <w:szCs w:val="22"/>
                <w:lang w:val="es-ES"/>
              </w:rPr>
            </w:pPr>
            <w:r w:rsidRPr="00547EA7">
              <w:rPr>
                <w:sz w:val="22"/>
                <w:szCs w:val="22"/>
                <w:bdr w:val="nil"/>
                <w:lang w:val="es-ES"/>
              </w:rPr>
              <w:t>20.343</w:t>
            </w:r>
          </w:p>
        </w:tc>
        <w:tc>
          <w:tcPr>
            <w:tcW w:w="270" w:type="dxa"/>
            <w:tcBorders>
              <w:top w:val="nil"/>
              <w:left w:val="nil"/>
              <w:bottom w:val="nil"/>
              <w:right w:val="nil"/>
            </w:tcBorders>
            <w:shd w:val="clear" w:color="auto" w:fill="auto"/>
            <w:noWrap/>
          </w:tcPr>
          <w:p w14:paraId="48DEF739"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2CBF12A9" w14:textId="77777777" w:rsidR="00F951DC" w:rsidRPr="00547EA7" w:rsidRDefault="00FA05CF" w:rsidP="00793C29">
            <w:pPr>
              <w:jc w:val="center"/>
              <w:rPr>
                <w:sz w:val="22"/>
                <w:szCs w:val="22"/>
                <w:lang w:val="es-ES"/>
              </w:rPr>
            </w:pPr>
            <w:r w:rsidRPr="00547EA7">
              <w:rPr>
                <w:sz w:val="22"/>
                <w:szCs w:val="22"/>
                <w:bdr w:val="nil"/>
                <w:lang w:val="es-ES"/>
              </w:rPr>
              <w:t>0.426</w:t>
            </w:r>
          </w:p>
        </w:tc>
        <w:tc>
          <w:tcPr>
            <w:tcW w:w="270" w:type="dxa"/>
            <w:tcBorders>
              <w:top w:val="nil"/>
              <w:left w:val="nil"/>
              <w:bottom w:val="nil"/>
              <w:right w:val="nil"/>
            </w:tcBorders>
            <w:shd w:val="clear" w:color="auto" w:fill="auto"/>
            <w:noWrap/>
          </w:tcPr>
          <w:p w14:paraId="393BA5C7" w14:textId="77777777" w:rsidR="00F951DC" w:rsidRPr="00547EA7" w:rsidRDefault="001B2005" w:rsidP="00334609">
            <w:pPr>
              <w:rPr>
                <w:sz w:val="22"/>
                <w:szCs w:val="22"/>
                <w:lang w:val="es-ES"/>
              </w:rPr>
            </w:pPr>
          </w:p>
        </w:tc>
        <w:tc>
          <w:tcPr>
            <w:tcW w:w="1440" w:type="dxa"/>
            <w:tcBorders>
              <w:top w:val="nil"/>
              <w:left w:val="nil"/>
              <w:bottom w:val="nil"/>
              <w:right w:val="nil"/>
            </w:tcBorders>
            <w:shd w:val="clear" w:color="auto" w:fill="auto"/>
            <w:noWrap/>
            <w:vAlign w:val="bottom"/>
          </w:tcPr>
          <w:p w14:paraId="4053889A" w14:textId="77777777" w:rsidR="00F951DC" w:rsidRPr="00547EA7" w:rsidRDefault="00FA05CF" w:rsidP="00793C29">
            <w:pPr>
              <w:jc w:val="center"/>
              <w:rPr>
                <w:sz w:val="22"/>
                <w:szCs w:val="22"/>
                <w:lang w:val="es-ES"/>
              </w:rPr>
            </w:pPr>
            <w:r w:rsidRPr="00547EA7">
              <w:rPr>
                <w:sz w:val="22"/>
                <w:szCs w:val="22"/>
                <w:bdr w:val="nil"/>
                <w:lang w:val="es-ES"/>
              </w:rPr>
              <w:t>2.14%</w:t>
            </w:r>
          </w:p>
        </w:tc>
      </w:tr>
      <w:tr w:rsidR="00B24895" w:rsidRPr="00547EA7" w14:paraId="401A8056" w14:textId="77777777" w:rsidTr="009A5B49">
        <w:trPr>
          <w:trHeight w:val="255"/>
          <w:jc w:val="center"/>
        </w:trPr>
        <w:tc>
          <w:tcPr>
            <w:tcW w:w="2610" w:type="dxa"/>
            <w:tcBorders>
              <w:top w:val="nil"/>
              <w:left w:val="nil"/>
              <w:bottom w:val="nil"/>
              <w:right w:val="nil"/>
            </w:tcBorders>
            <w:shd w:val="clear" w:color="auto" w:fill="auto"/>
            <w:noWrap/>
          </w:tcPr>
          <w:p w14:paraId="717DB086" w14:textId="77777777" w:rsidR="00F951DC" w:rsidRPr="00547EA7" w:rsidRDefault="00FA05CF" w:rsidP="00334609">
            <w:pPr>
              <w:rPr>
                <w:b/>
                <w:bCs/>
                <w:sz w:val="22"/>
                <w:szCs w:val="22"/>
                <w:lang w:val="es-ES"/>
              </w:rPr>
            </w:pPr>
            <w:r w:rsidRPr="00547EA7">
              <w:rPr>
                <w:b/>
                <w:bCs/>
                <w:sz w:val="22"/>
                <w:szCs w:val="22"/>
                <w:bdr w:val="nil"/>
                <w:lang w:val="es-ES"/>
              </w:rPr>
              <w:t>Total del sistema</w:t>
            </w:r>
          </w:p>
        </w:tc>
        <w:tc>
          <w:tcPr>
            <w:tcW w:w="270" w:type="dxa"/>
            <w:tcBorders>
              <w:top w:val="nil"/>
              <w:left w:val="nil"/>
              <w:bottom w:val="nil"/>
              <w:right w:val="nil"/>
            </w:tcBorders>
            <w:shd w:val="clear" w:color="auto" w:fill="auto"/>
            <w:noWrap/>
          </w:tcPr>
          <w:p w14:paraId="7DEA05B4" w14:textId="77777777" w:rsidR="00F951DC" w:rsidRPr="00547EA7" w:rsidRDefault="001B2005" w:rsidP="00334609">
            <w:pPr>
              <w:rPr>
                <w:sz w:val="22"/>
                <w:szCs w:val="22"/>
                <w:lang w:val="es-ES"/>
              </w:rPr>
            </w:pPr>
          </w:p>
        </w:tc>
        <w:tc>
          <w:tcPr>
            <w:tcW w:w="1890" w:type="dxa"/>
            <w:tcBorders>
              <w:top w:val="nil"/>
              <w:left w:val="nil"/>
              <w:bottom w:val="nil"/>
              <w:right w:val="nil"/>
            </w:tcBorders>
            <w:shd w:val="clear" w:color="auto" w:fill="auto"/>
            <w:noWrap/>
            <w:vAlign w:val="bottom"/>
          </w:tcPr>
          <w:p w14:paraId="15E9C281" w14:textId="77777777" w:rsidR="00F951DC" w:rsidRPr="00547EA7" w:rsidRDefault="00FA05CF" w:rsidP="00793C29">
            <w:pPr>
              <w:jc w:val="center"/>
              <w:rPr>
                <w:sz w:val="22"/>
                <w:szCs w:val="22"/>
                <w:lang w:val="es-ES"/>
              </w:rPr>
            </w:pPr>
            <w:r w:rsidRPr="00547EA7">
              <w:rPr>
                <w:sz w:val="22"/>
                <w:szCs w:val="22"/>
                <w:bdr w:val="nil"/>
                <w:lang w:val="es-ES"/>
              </w:rPr>
              <w:t>22.122</w:t>
            </w:r>
          </w:p>
        </w:tc>
        <w:tc>
          <w:tcPr>
            <w:tcW w:w="270" w:type="dxa"/>
            <w:tcBorders>
              <w:top w:val="nil"/>
              <w:left w:val="nil"/>
              <w:bottom w:val="nil"/>
              <w:right w:val="nil"/>
            </w:tcBorders>
            <w:shd w:val="clear" w:color="auto" w:fill="auto"/>
            <w:noWrap/>
          </w:tcPr>
          <w:p w14:paraId="43D788EF" w14:textId="77777777" w:rsidR="00F951DC" w:rsidRPr="00547EA7" w:rsidRDefault="001B2005" w:rsidP="00334609">
            <w:pPr>
              <w:rPr>
                <w:sz w:val="22"/>
                <w:szCs w:val="22"/>
                <w:lang w:val="es-ES"/>
              </w:rPr>
            </w:pPr>
          </w:p>
        </w:tc>
        <w:tc>
          <w:tcPr>
            <w:tcW w:w="2070" w:type="dxa"/>
            <w:tcBorders>
              <w:top w:val="nil"/>
              <w:left w:val="nil"/>
              <w:bottom w:val="nil"/>
              <w:right w:val="nil"/>
            </w:tcBorders>
            <w:shd w:val="clear" w:color="auto" w:fill="auto"/>
            <w:noWrap/>
            <w:vAlign w:val="bottom"/>
          </w:tcPr>
          <w:p w14:paraId="3EAD09E6" w14:textId="77777777" w:rsidR="00F951DC" w:rsidRPr="00547EA7" w:rsidRDefault="00FA05CF" w:rsidP="00793C29">
            <w:pPr>
              <w:jc w:val="center"/>
              <w:rPr>
                <w:sz w:val="22"/>
                <w:szCs w:val="22"/>
                <w:lang w:val="es-ES"/>
              </w:rPr>
            </w:pPr>
            <w:r w:rsidRPr="00547EA7">
              <w:rPr>
                <w:sz w:val="22"/>
                <w:szCs w:val="22"/>
                <w:bdr w:val="nil"/>
                <w:lang w:val="es-ES"/>
              </w:rPr>
              <w:t>22.747</w:t>
            </w:r>
          </w:p>
        </w:tc>
        <w:tc>
          <w:tcPr>
            <w:tcW w:w="270" w:type="dxa"/>
            <w:tcBorders>
              <w:top w:val="nil"/>
              <w:left w:val="nil"/>
              <w:bottom w:val="nil"/>
              <w:right w:val="nil"/>
            </w:tcBorders>
            <w:shd w:val="clear" w:color="auto" w:fill="auto"/>
            <w:noWrap/>
          </w:tcPr>
          <w:p w14:paraId="0F618490" w14:textId="77777777" w:rsidR="00F951DC" w:rsidRPr="00547EA7" w:rsidRDefault="001B2005" w:rsidP="00334609">
            <w:pPr>
              <w:rPr>
                <w:sz w:val="22"/>
                <w:szCs w:val="22"/>
                <w:lang w:val="es-ES"/>
              </w:rPr>
            </w:pPr>
          </w:p>
        </w:tc>
        <w:tc>
          <w:tcPr>
            <w:tcW w:w="1350" w:type="dxa"/>
            <w:tcBorders>
              <w:top w:val="nil"/>
              <w:left w:val="nil"/>
              <w:bottom w:val="nil"/>
              <w:right w:val="nil"/>
            </w:tcBorders>
            <w:shd w:val="clear" w:color="auto" w:fill="auto"/>
            <w:noWrap/>
            <w:vAlign w:val="bottom"/>
          </w:tcPr>
          <w:p w14:paraId="2B275125" w14:textId="77777777" w:rsidR="00F951DC" w:rsidRPr="00547EA7" w:rsidRDefault="00FA05CF" w:rsidP="00793C29">
            <w:pPr>
              <w:jc w:val="center"/>
              <w:rPr>
                <w:sz w:val="22"/>
                <w:szCs w:val="22"/>
                <w:lang w:val="es-ES"/>
              </w:rPr>
            </w:pPr>
            <w:r w:rsidRPr="00547EA7">
              <w:rPr>
                <w:sz w:val="22"/>
                <w:szCs w:val="22"/>
                <w:bdr w:val="nil"/>
                <w:lang w:val="es-ES"/>
              </w:rPr>
              <w:t>0.625</w:t>
            </w:r>
          </w:p>
        </w:tc>
        <w:tc>
          <w:tcPr>
            <w:tcW w:w="270" w:type="dxa"/>
            <w:tcBorders>
              <w:top w:val="nil"/>
              <w:left w:val="nil"/>
              <w:bottom w:val="nil"/>
              <w:right w:val="nil"/>
            </w:tcBorders>
            <w:shd w:val="clear" w:color="auto" w:fill="auto"/>
            <w:noWrap/>
          </w:tcPr>
          <w:p w14:paraId="1E60C133" w14:textId="77777777" w:rsidR="00F951DC" w:rsidRPr="00547EA7" w:rsidRDefault="001B2005" w:rsidP="00334609">
            <w:pPr>
              <w:rPr>
                <w:sz w:val="22"/>
                <w:szCs w:val="22"/>
                <w:lang w:val="es-ES"/>
              </w:rPr>
            </w:pPr>
          </w:p>
        </w:tc>
        <w:tc>
          <w:tcPr>
            <w:tcW w:w="1440" w:type="dxa"/>
            <w:tcBorders>
              <w:top w:val="nil"/>
              <w:left w:val="nil"/>
              <w:bottom w:val="nil"/>
              <w:right w:val="nil"/>
            </w:tcBorders>
            <w:shd w:val="clear" w:color="auto" w:fill="auto"/>
            <w:noWrap/>
            <w:vAlign w:val="bottom"/>
          </w:tcPr>
          <w:p w14:paraId="00E08352" w14:textId="77777777" w:rsidR="00F951DC" w:rsidRPr="00547EA7" w:rsidRDefault="00FA05CF" w:rsidP="00334609">
            <w:pPr>
              <w:jc w:val="center"/>
              <w:rPr>
                <w:sz w:val="22"/>
                <w:szCs w:val="22"/>
                <w:lang w:val="es-ES"/>
              </w:rPr>
            </w:pPr>
            <w:r w:rsidRPr="00547EA7">
              <w:rPr>
                <w:sz w:val="22"/>
                <w:szCs w:val="22"/>
                <w:bdr w:val="nil"/>
                <w:lang w:val="es-ES"/>
              </w:rPr>
              <w:t>2.83%</w:t>
            </w:r>
          </w:p>
        </w:tc>
      </w:tr>
      <w:tr w:rsidR="00B24895" w:rsidRPr="00547EA7" w14:paraId="27BB2ED0" w14:textId="77777777" w:rsidTr="009A5B49">
        <w:trPr>
          <w:trHeight w:val="297"/>
          <w:jc w:val="center"/>
        </w:trPr>
        <w:tc>
          <w:tcPr>
            <w:tcW w:w="10440" w:type="dxa"/>
            <w:gridSpan w:val="9"/>
            <w:tcBorders>
              <w:top w:val="nil"/>
              <w:left w:val="nil"/>
              <w:bottom w:val="nil"/>
              <w:right w:val="nil"/>
            </w:tcBorders>
            <w:shd w:val="clear" w:color="auto" w:fill="auto"/>
            <w:noWrap/>
            <w:vAlign w:val="bottom"/>
          </w:tcPr>
          <w:p w14:paraId="53BA28C7" w14:textId="77777777" w:rsidR="00F951DC" w:rsidRPr="00547EA7" w:rsidRDefault="00FA05CF" w:rsidP="009A5B49">
            <w:pPr>
              <w:rPr>
                <w:b/>
                <w:bCs/>
                <w:sz w:val="20"/>
                <w:lang w:val="es-ES"/>
              </w:rPr>
            </w:pPr>
            <w:r w:rsidRPr="00547EA7">
              <w:rPr>
                <w:sz w:val="20"/>
                <w:szCs w:val="20"/>
                <w:bdr w:val="nil"/>
                <w:vertAlign w:val="superscript"/>
                <w:lang w:val="es-ES"/>
              </w:rPr>
              <w:t xml:space="preserve">1 </w:t>
            </w:r>
            <w:r w:rsidRPr="00547EA7">
              <w:rPr>
                <w:sz w:val="20"/>
                <w:szCs w:val="20"/>
                <w:bdr w:val="nil"/>
                <w:lang w:val="es-ES"/>
              </w:rPr>
              <w:t>Las tarifas UDC incluyen el cargo Bond Charge del Departamento de Recursos Hídricos (DWR).</w:t>
            </w:r>
          </w:p>
        </w:tc>
      </w:tr>
      <w:tr w:rsidR="00B24895" w:rsidRPr="00547EA7" w14:paraId="37243755" w14:textId="77777777" w:rsidTr="009A5B49">
        <w:trPr>
          <w:trHeight w:val="255"/>
          <w:jc w:val="center"/>
        </w:trPr>
        <w:tc>
          <w:tcPr>
            <w:tcW w:w="10440" w:type="dxa"/>
            <w:gridSpan w:val="9"/>
            <w:tcBorders>
              <w:top w:val="nil"/>
              <w:left w:val="nil"/>
              <w:bottom w:val="nil"/>
              <w:right w:val="nil"/>
            </w:tcBorders>
            <w:shd w:val="clear" w:color="auto" w:fill="auto"/>
            <w:noWrap/>
          </w:tcPr>
          <w:p w14:paraId="52FFB734" w14:textId="77777777" w:rsidR="00F951DC" w:rsidRPr="00547EA7" w:rsidRDefault="00FA05CF">
            <w:pPr>
              <w:rPr>
                <w:b/>
                <w:bCs/>
                <w:sz w:val="20"/>
                <w:lang w:val="es-ES"/>
              </w:rPr>
            </w:pPr>
            <w:r w:rsidRPr="00547EA7">
              <w:rPr>
                <w:sz w:val="20"/>
                <w:szCs w:val="20"/>
                <w:bdr w:val="nil"/>
                <w:vertAlign w:val="superscript"/>
                <w:lang w:val="es-ES"/>
              </w:rPr>
              <w:t xml:space="preserve">2 </w:t>
            </w:r>
            <w:r w:rsidRPr="00547EA7">
              <w:rPr>
                <w:sz w:val="20"/>
                <w:szCs w:val="20"/>
                <w:bdr w:val="nil"/>
                <w:lang w:val="es-ES"/>
              </w:rPr>
              <w:t>Las tarifas del producto básico incluyen el abono Power Charge del DWR.</w:t>
            </w:r>
          </w:p>
        </w:tc>
      </w:tr>
      <w:tr w:rsidR="00B24895" w:rsidRPr="00547EA7" w14:paraId="50C7D142" w14:textId="77777777" w:rsidTr="009A5B49">
        <w:trPr>
          <w:trHeight w:val="255"/>
          <w:jc w:val="center"/>
        </w:trPr>
        <w:tc>
          <w:tcPr>
            <w:tcW w:w="10440" w:type="dxa"/>
            <w:gridSpan w:val="9"/>
            <w:tcBorders>
              <w:top w:val="nil"/>
              <w:left w:val="nil"/>
              <w:bottom w:val="nil"/>
              <w:right w:val="nil"/>
            </w:tcBorders>
            <w:shd w:val="clear" w:color="auto" w:fill="auto"/>
            <w:noWrap/>
          </w:tcPr>
          <w:p w14:paraId="036B91DF" w14:textId="77777777" w:rsidR="00F951DC" w:rsidRPr="00547EA7" w:rsidRDefault="00FA05CF">
            <w:pPr>
              <w:rPr>
                <w:b/>
                <w:bCs/>
                <w:sz w:val="20"/>
                <w:lang w:val="es-ES"/>
              </w:rPr>
            </w:pPr>
            <w:r w:rsidRPr="00547EA7">
              <w:rPr>
                <w:sz w:val="20"/>
                <w:szCs w:val="20"/>
                <w:bdr w:val="nil"/>
                <w:vertAlign w:val="superscript"/>
                <w:lang w:val="es-ES"/>
              </w:rPr>
              <w:t>3</w:t>
            </w:r>
            <w:r w:rsidRPr="00547EA7">
              <w:rPr>
                <w:sz w:val="20"/>
                <w:szCs w:val="20"/>
                <w:bdr w:val="nil"/>
                <w:lang w:val="es-ES"/>
              </w:rPr>
              <w:t xml:space="preserve"> Tarifas en vigor a partir del 3/1/17 conforme a la Carta de Aviso (AL) 3034-E/3034-E-A.</w:t>
            </w:r>
          </w:p>
        </w:tc>
      </w:tr>
      <w:tr w:rsidR="00B24895" w:rsidRPr="00547EA7" w14:paraId="1308FCA8" w14:textId="77777777" w:rsidTr="009A5B49">
        <w:trPr>
          <w:trHeight w:val="255"/>
          <w:jc w:val="center"/>
        </w:trPr>
        <w:tc>
          <w:tcPr>
            <w:tcW w:w="10440" w:type="dxa"/>
            <w:gridSpan w:val="9"/>
            <w:tcBorders>
              <w:top w:val="nil"/>
              <w:left w:val="nil"/>
              <w:bottom w:val="nil"/>
              <w:right w:val="nil"/>
            </w:tcBorders>
            <w:shd w:val="clear" w:color="auto" w:fill="auto"/>
            <w:noWrap/>
          </w:tcPr>
          <w:p w14:paraId="1CB3A220" w14:textId="77777777" w:rsidR="000062B2" w:rsidRPr="00547EA7" w:rsidRDefault="00FA05CF" w:rsidP="00F87139">
            <w:pPr>
              <w:ind w:left="-1260" w:firstLine="1260"/>
              <w:rPr>
                <w:sz w:val="20"/>
                <w:lang w:val="es-ES"/>
              </w:rPr>
            </w:pPr>
            <w:r w:rsidRPr="00547EA7">
              <w:rPr>
                <w:sz w:val="20"/>
                <w:szCs w:val="20"/>
                <w:bdr w:val="nil"/>
                <w:vertAlign w:val="superscript"/>
                <w:lang w:val="es-ES"/>
              </w:rPr>
              <w:t xml:space="preserve">4 </w:t>
            </w:r>
            <w:r w:rsidRPr="00547EA7">
              <w:rPr>
                <w:sz w:val="20"/>
                <w:szCs w:val="20"/>
                <w:bdr w:val="nil"/>
                <w:lang w:val="es-ES"/>
              </w:rPr>
              <w:t>$120 millones más cuotas de franquicia y cuentas incobrables amortizadas a lo largo de 14 meses.</w:t>
            </w:r>
          </w:p>
          <w:p w14:paraId="325F749A" w14:textId="77777777" w:rsidR="00F951DC" w:rsidRPr="00547EA7" w:rsidRDefault="00FA05CF" w:rsidP="00F87139">
            <w:pPr>
              <w:ind w:left="-1260" w:firstLine="1260"/>
              <w:rPr>
                <w:b/>
                <w:bCs/>
                <w:sz w:val="20"/>
                <w:lang w:val="es-ES"/>
              </w:rPr>
            </w:pPr>
            <w:r w:rsidRPr="00547EA7">
              <w:rPr>
                <w:sz w:val="20"/>
                <w:szCs w:val="20"/>
                <w:bdr w:val="nil"/>
                <w:vertAlign w:val="superscript"/>
                <w:lang w:val="es-ES"/>
              </w:rPr>
              <w:t>5</w:t>
            </w:r>
            <w:r w:rsidRPr="00547EA7">
              <w:rPr>
                <w:sz w:val="20"/>
                <w:bdr w:val="nil"/>
                <w:vertAlign w:val="superscript"/>
                <w:lang w:val="es-ES"/>
              </w:rPr>
              <w:t xml:space="preserve"> </w:t>
            </w:r>
            <w:r w:rsidRPr="00547EA7">
              <w:rPr>
                <w:sz w:val="20"/>
                <w:szCs w:val="20"/>
                <w:bdr w:val="nil"/>
                <w:lang w:val="es-ES"/>
              </w:rPr>
              <w:t>CeI significa Comercial e Industrial.</w:t>
            </w:r>
          </w:p>
        </w:tc>
      </w:tr>
    </w:tbl>
    <w:p w14:paraId="5AD18229" w14:textId="77777777" w:rsidR="00472FB8" w:rsidRPr="00547EA7" w:rsidRDefault="001B2005">
      <w:pPr>
        <w:rPr>
          <w:lang w:val="es-ES"/>
        </w:rPr>
      </w:pPr>
    </w:p>
    <w:p w14:paraId="327B4386" w14:textId="77777777" w:rsidR="00806826" w:rsidRPr="00547EA7" w:rsidRDefault="00FA05CF" w:rsidP="00806826">
      <w:pPr>
        <w:pStyle w:val="BodyText"/>
        <w:jc w:val="both"/>
        <w:rPr>
          <w:b/>
          <w:bCs/>
          <w:szCs w:val="24"/>
          <w:lang w:val="es-ES"/>
        </w:rPr>
      </w:pPr>
      <w:r w:rsidRPr="00547EA7">
        <w:rPr>
          <w:b/>
          <w:bCs/>
          <w:szCs w:val="24"/>
          <w:bdr w:val="nil"/>
          <w:lang w:val="es-ES"/>
        </w:rPr>
        <w:t>Si desea obtener más información sobre estas propuestas, puede comunicarse a la línea de Servicio al Cliente de SDG&amp;E al 1-800-311-SDGE (7343).</w:t>
      </w:r>
    </w:p>
    <w:p w14:paraId="3DDA4359" w14:textId="77777777" w:rsidR="00806826" w:rsidRPr="00547EA7" w:rsidRDefault="001B2005" w:rsidP="00806826">
      <w:pPr>
        <w:pStyle w:val="BodyText"/>
        <w:jc w:val="both"/>
        <w:rPr>
          <w:b/>
          <w:bCs/>
          <w:szCs w:val="24"/>
          <w:lang w:val="es-ES"/>
        </w:rPr>
      </w:pPr>
    </w:p>
    <w:p w14:paraId="795674BC" w14:textId="77777777" w:rsidR="00806826" w:rsidRPr="00547EA7" w:rsidRDefault="00FA05CF" w:rsidP="00806826">
      <w:pPr>
        <w:pStyle w:val="BodyText"/>
        <w:jc w:val="both"/>
        <w:rPr>
          <w:b/>
          <w:bCs/>
          <w:szCs w:val="24"/>
          <w:lang w:val="es-ES"/>
        </w:rPr>
      </w:pPr>
      <w:r w:rsidRPr="00547EA7">
        <w:rPr>
          <w:b/>
          <w:bCs/>
          <w:szCs w:val="24"/>
          <w:bdr w:val="nil"/>
          <w:lang w:val="es-ES"/>
        </w:rPr>
        <w:t>PARA MÁS INFORMACIÓN</w:t>
      </w:r>
    </w:p>
    <w:p w14:paraId="04C95479" w14:textId="77777777" w:rsidR="00806826" w:rsidRPr="00547EA7" w:rsidRDefault="00FA05CF" w:rsidP="00806826">
      <w:pPr>
        <w:jc w:val="both"/>
        <w:rPr>
          <w:lang w:val="es-ES"/>
        </w:rPr>
      </w:pPr>
      <w:r w:rsidRPr="00547EA7">
        <w:rPr>
          <w:bdr w:val="nil"/>
          <w:lang w:val="es-ES"/>
        </w:rPr>
        <w:t xml:space="preserve">Puede solicitar mayor información u obtener una copia de la solicitud y los anexos relacionados escribiendo a: Kellen Gill, San Diego Gas &amp; Electric Company, 8330 Century Park Court, San Diego, CA 92123. SDG&amp;E proporcionará una copia de esta solicitud previa </w:t>
      </w:r>
      <w:r w:rsidR="000A3135" w:rsidRPr="00547EA7">
        <w:rPr>
          <w:bdr w:val="nil"/>
          <w:lang w:val="es-ES"/>
        </w:rPr>
        <w:t>petición</w:t>
      </w:r>
      <w:r w:rsidRPr="00547EA7">
        <w:rPr>
          <w:bdr w:val="nil"/>
          <w:lang w:val="es-ES"/>
        </w:rPr>
        <w:t xml:space="preserve">. Se pueden revisar la solicitud y los anexos de SDG&amp;E en la Central Files Office de la CPUC, previa cita. Para más información, póngase en contacto con ellos escribiendo a </w:t>
      </w:r>
      <w:hyperlink r:id="rId5" w:history="1">
        <w:r w:rsidRPr="00547EA7">
          <w:rPr>
            <w:color w:val="0000FF"/>
            <w:u w:val="single"/>
            <w:bdr w:val="nil"/>
            <w:lang w:val="es-ES"/>
          </w:rPr>
          <w:t>aljcentralfilesid@cpuc.ca.gov</w:t>
        </w:r>
      </w:hyperlink>
      <w:r w:rsidRPr="00547EA7">
        <w:rPr>
          <w:bdr w:val="nil"/>
          <w:lang w:val="es-ES"/>
        </w:rPr>
        <w:t xml:space="preserve"> o llamando al (415) 703-2045. Una copia de esta solicitud puede inspeccionarse en las siguientes oficinas comerciales de SDG&amp;E:</w:t>
      </w:r>
    </w:p>
    <w:p w14:paraId="3ABA6951" w14:textId="77777777" w:rsidR="00806826" w:rsidRPr="00547EA7" w:rsidRDefault="001B2005" w:rsidP="00806826">
      <w:pPr>
        <w:rPr>
          <w:lang w:val="es-ES"/>
        </w:rPr>
      </w:pPr>
    </w:p>
    <w:tbl>
      <w:tblPr>
        <w:tblW w:w="0" w:type="auto"/>
        <w:tblLayout w:type="fixed"/>
        <w:tblLook w:val="0000" w:firstRow="0" w:lastRow="0" w:firstColumn="0" w:lastColumn="0" w:noHBand="0" w:noVBand="0"/>
      </w:tblPr>
      <w:tblGrid>
        <w:gridCol w:w="2952"/>
        <w:gridCol w:w="2952"/>
        <w:gridCol w:w="2952"/>
      </w:tblGrid>
      <w:tr w:rsidR="00B24895" w:rsidRPr="00547EA7" w14:paraId="1EB26CE3" w14:textId="77777777" w:rsidTr="00F46815">
        <w:tc>
          <w:tcPr>
            <w:tcW w:w="2952" w:type="dxa"/>
            <w:tcBorders>
              <w:top w:val="nil"/>
              <w:left w:val="nil"/>
              <w:bottom w:val="nil"/>
              <w:right w:val="nil"/>
            </w:tcBorders>
          </w:tcPr>
          <w:p w14:paraId="1C672D95" w14:textId="77777777" w:rsidR="00806826" w:rsidRPr="00547EA7" w:rsidRDefault="00FA05CF" w:rsidP="00F46815">
            <w:pPr>
              <w:rPr>
                <w:lang w:val="es-ES"/>
              </w:rPr>
            </w:pPr>
            <w:r w:rsidRPr="00547EA7">
              <w:rPr>
                <w:bdr w:val="nil"/>
                <w:lang w:val="es-ES"/>
              </w:rPr>
              <w:t>436 H St.</w:t>
            </w:r>
          </w:p>
          <w:p w14:paraId="3D4C68D9" w14:textId="77777777" w:rsidR="00806826" w:rsidRPr="00547EA7" w:rsidRDefault="00FA05CF" w:rsidP="00F46815">
            <w:pPr>
              <w:rPr>
                <w:lang w:val="es-ES"/>
              </w:rPr>
            </w:pPr>
            <w:r w:rsidRPr="00547EA7">
              <w:rPr>
                <w:bdr w:val="nil"/>
                <w:lang w:val="es-ES"/>
              </w:rPr>
              <w:t>Chula Vista, CA 91910</w:t>
            </w:r>
          </w:p>
          <w:p w14:paraId="375F1DC1" w14:textId="77777777" w:rsidR="00806826" w:rsidRPr="00547EA7" w:rsidRDefault="001B2005" w:rsidP="00F46815">
            <w:pPr>
              <w:rPr>
                <w:lang w:val="es-ES"/>
              </w:rPr>
            </w:pPr>
          </w:p>
          <w:p w14:paraId="5705558B" w14:textId="77777777" w:rsidR="00806826" w:rsidRPr="00547EA7" w:rsidRDefault="00FA05CF" w:rsidP="00F46815">
            <w:pPr>
              <w:rPr>
                <w:lang w:val="es-ES"/>
              </w:rPr>
            </w:pPr>
            <w:r w:rsidRPr="00547EA7">
              <w:rPr>
                <w:bdr w:val="nil"/>
                <w:lang w:val="es-ES"/>
              </w:rPr>
              <w:t>2405 E. Plaza Blvd.</w:t>
            </w:r>
          </w:p>
          <w:p w14:paraId="02AFACF0" w14:textId="77777777" w:rsidR="00806826" w:rsidRPr="00547EA7" w:rsidRDefault="00FA05CF" w:rsidP="00F46815">
            <w:pPr>
              <w:rPr>
                <w:lang w:val="es-ES"/>
              </w:rPr>
            </w:pPr>
            <w:r w:rsidRPr="00547EA7">
              <w:rPr>
                <w:bdr w:val="nil"/>
                <w:lang w:val="es-ES"/>
              </w:rPr>
              <w:t>National City, CA 91950</w:t>
            </w:r>
          </w:p>
          <w:p w14:paraId="288A14D5" w14:textId="77777777" w:rsidR="00806826" w:rsidRPr="00547EA7" w:rsidRDefault="001B2005" w:rsidP="00F46815">
            <w:pPr>
              <w:rPr>
                <w:lang w:val="es-ES"/>
              </w:rPr>
            </w:pPr>
          </w:p>
          <w:p w14:paraId="544DF836" w14:textId="77777777" w:rsidR="00806826" w:rsidRPr="00547EA7" w:rsidRDefault="00FA05CF" w:rsidP="00F46815">
            <w:pPr>
              <w:rPr>
                <w:lang w:val="es-ES"/>
              </w:rPr>
            </w:pPr>
            <w:r w:rsidRPr="00547EA7">
              <w:rPr>
                <w:bdr w:val="nil"/>
                <w:lang w:val="es-ES"/>
              </w:rPr>
              <w:t>440 Beech St.</w:t>
            </w:r>
          </w:p>
          <w:p w14:paraId="4E380F60" w14:textId="77777777" w:rsidR="00806826" w:rsidRPr="00547EA7" w:rsidRDefault="00FA05CF" w:rsidP="00F46815">
            <w:pPr>
              <w:rPr>
                <w:lang w:val="es-ES"/>
              </w:rPr>
            </w:pPr>
            <w:r w:rsidRPr="00547EA7">
              <w:rPr>
                <w:bdr w:val="nil"/>
                <w:lang w:val="es-ES"/>
              </w:rPr>
              <w:t>San Diego, CA 92101</w:t>
            </w:r>
          </w:p>
        </w:tc>
        <w:tc>
          <w:tcPr>
            <w:tcW w:w="2952" w:type="dxa"/>
            <w:tcBorders>
              <w:top w:val="nil"/>
              <w:left w:val="nil"/>
              <w:bottom w:val="nil"/>
              <w:right w:val="nil"/>
            </w:tcBorders>
          </w:tcPr>
          <w:p w14:paraId="57B2B4F5" w14:textId="77777777" w:rsidR="00806826" w:rsidRPr="00547EA7" w:rsidRDefault="00FA05CF" w:rsidP="00F46815">
            <w:pPr>
              <w:rPr>
                <w:lang w:val="es-ES"/>
              </w:rPr>
            </w:pPr>
            <w:r w:rsidRPr="00547EA7">
              <w:rPr>
                <w:bdr w:val="nil"/>
                <w:lang w:val="es-ES"/>
              </w:rPr>
              <w:t>104 N. Johnson Ave.</w:t>
            </w:r>
          </w:p>
          <w:p w14:paraId="7DD50819" w14:textId="77777777" w:rsidR="00806826" w:rsidRPr="00547EA7" w:rsidRDefault="00FA05CF" w:rsidP="00F46815">
            <w:pPr>
              <w:rPr>
                <w:lang w:val="es-ES"/>
              </w:rPr>
            </w:pPr>
            <w:r w:rsidRPr="00547EA7">
              <w:rPr>
                <w:bdr w:val="nil"/>
                <w:lang w:val="es-ES"/>
              </w:rPr>
              <w:t>El Cajon, CA 92020</w:t>
            </w:r>
          </w:p>
          <w:p w14:paraId="70A492E7" w14:textId="77777777" w:rsidR="00806826" w:rsidRPr="00547EA7" w:rsidRDefault="001B2005" w:rsidP="00F46815">
            <w:pPr>
              <w:rPr>
                <w:lang w:val="es-ES"/>
              </w:rPr>
            </w:pPr>
          </w:p>
          <w:p w14:paraId="74A49071" w14:textId="77777777" w:rsidR="00806826" w:rsidRPr="00547EA7" w:rsidRDefault="00FA05CF" w:rsidP="00F46815">
            <w:pPr>
              <w:rPr>
                <w:lang w:val="es-ES"/>
              </w:rPr>
            </w:pPr>
            <w:r w:rsidRPr="00547EA7">
              <w:rPr>
                <w:bdr w:val="nil"/>
                <w:lang w:val="es-ES"/>
              </w:rPr>
              <w:t>336 Euclid Ave.</w:t>
            </w:r>
          </w:p>
          <w:p w14:paraId="684627E0" w14:textId="77777777" w:rsidR="00806826" w:rsidRPr="00547EA7" w:rsidRDefault="00FA05CF" w:rsidP="00F46815">
            <w:pPr>
              <w:rPr>
                <w:lang w:val="es-ES"/>
              </w:rPr>
            </w:pPr>
            <w:r w:rsidRPr="00547EA7">
              <w:rPr>
                <w:bdr w:val="nil"/>
                <w:lang w:val="es-ES"/>
              </w:rPr>
              <w:t>San Diego, CA 92114</w:t>
            </w:r>
          </w:p>
          <w:p w14:paraId="66749AB5" w14:textId="77777777" w:rsidR="00806826" w:rsidRPr="00547EA7" w:rsidRDefault="001B2005" w:rsidP="00F46815">
            <w:pPr>
              <w:rPr>
                <w:lang w:val="es-ES"/>
              </w:rPr>
            </w:pPr>
          </w:p>
          <w:p w14:paraId="226005E5" w14:textId="77777777" w:rsidR="00806826" w:rsidRPr="00547EA7" w:rsidRDefault="001B2005" w:rsidP="00F46815">
            <w:pPr>
              <w:rPr>
                <w:lang w:val="es-ES"/>
              </w:rPr>
            </w:pPr>
          </w:p>
        </w:tc>
        <w:tc>
          <w:tcPr>
            <w:tcW w:w="2952" w:type="dxa"/>
            <w:tcBorders>
              <w:top w:val="nil"/>
              <w:left w:val="nil"/>
              <w:bottom w:val="nil"/>
              <w:right w:val="nil"/>
            </w:tcBorders>
          </w:tcPr>
          <w:p w14:paraId="58CEEA7F" w14:textId="77777777" w:rsidR="00806826" w:rsidRPr="00547EA7" w:rsidRDefault="00FA05CF" w:rsidP="00F46815">
            <w:pPr>
              <w:rPr>
                <w:lang w:val="es-ES"/>
              </w:rPr>
            </w:pPr>
            <w:r w:rsidRPr="00547EA7">
              <w:rPr>
                <w:bdr w:val="nil"/>
                <w:lang w:val="es-ES"/>
              </w:rPr>
              <w:t>644 W. Mission Ave.</w:t>
            </w:r>
          </w:p>
          <w:p w14:paraId="1506EED8" w14:textId="77777777" w:rsidR="00806826" w:rsidRPr="00547EA7" w:rsidRDefault="00FA05CF" w:rsidP="00F46815">
            <w:pPr>
              <w:rPr>
                <w:lang w:val="es-ES"/>
              </w:rPr>
            </w:pPr>
            <w:r w:rsidRPr="00547EA7">
              <w:rPr>
                <w:bdr w:val="nil"/>
                <w:lang w:val="es-ES"/>
              </w:rPr>
              <w:t>Escondido, CA 92025</w:t>
            </w:r>
          </w:p>
          <w:p w14:paraId="46058CBD" w14:textId="77777777" w:rsidR="00806826" w:rsidRPr="00547EA7" w:rsidRDefault="001B2005" w:rsidP="00F46815">
            <w:pPr>
              <w:rPr>
                <w:lang w:val="es-ES"/>
              </w:rPr>
            </w:pPr>
          </w:p>
          <w:p w14:paraId="5DF5184F" w14:textId="77777777" w:rsidR="00806826" w:rsidRPr="00547EA7" w:rsidRDefault="001B2005" w:rsidP="00F46815">
            <w:pPr>
              <w:rPr>
                <w:lang w:val="es-ES"/>
              </w:rPr>
            </w:pPr>
          </w:p>
        </w:tc>
      </w:tr>
    </w:tbl>
    <w:p w14:paraId="3E08004E" w14:textId="77777777" w:rsidR="00806826" w:rsidRPr="00547EA7" w:rsidRDefault="001B2005" w:rsidP="00806826">
      <w:pPr>
        <w:rPr>
          <w:lang w:val="es-ES"/>
        </w:rPr>
      </w:pPr>
    </w:p>
    <w:p w14:paraId="540080E2" w14:textId="77777777" w:rsidR="00806826" w:rsidRPr="00547EA7" w:rsidRDefault="00FA05CF" w:rsidP="00806826">
      <w:pPr>
        <w:jc w:val="both"/>
        <w:rPr>
          <w:lang w:val="es-ES"/>
        </w:rPr>
      </w:pPr>
      <w:r w:rsidRPr="00547EA7">
        <w:rPr>
          <w:bdr w:val="nil"/>
          <w:lang w:val="es-ES"/>
        </w:rPr>
        <w:t xml:space="preserve">La solicitud y los anexos relacionados también puede encontrarlos electrónicamente en el sitio web de SDG&amp;E en </w:t>
      </w:r>
      <w:hyperlink r:id="rId6" w:history="1">
        <w:r w:rsidRPr="00547EA7">
          <w:rPr>
            <w:color w:val="0000FF"/>
            <w:u w:val="single"/>
            <w:bdr w:val="nil"/>
            <w:lang w:val="es-ES"/>
          </w:rPr>
          <w:t>www.sdge.com/regulatory/cpuc.shtml</w:t>
        </w:r>
      </w:hyperlink>
      <w:r w:rsidRPr="00547EA7">
        <w:rPr>
          <w:bdr w:val="nil"/>
          <w:lang w:val="es-ES"/>
        </w:rPr>
        <w:t>.</w:t>
      </w:r>
    </w:p>
    <w:p w14:paraId="325D420F" w14:textId="77777777" w:rsidR="00806826" w:rsidRPr="00547EA7" w:rsidRDefault="001B2005" w:rsidP="00806826">
      <w:pPr>
        <w:jc w:val="both"/>
        <w:rPr>
          <w:lang w:val="es-ES"/>
        </w:rPr>
      </w:pPr>
    </w:p>
    <w:p w14:paraId="3EBBF8C4" w14:textId="77777777" w:rsidR="00806826" w:rsidRPr="00547EA7" w:rsidRDefault="00FA05CF" w:rsidP="00806826">
      <w:pPr>
        <w:jc w:val="both"/>
        <w:rPr>
          <w:lang w:val="es-ES"/>
        </w:rPr>
      </w:pPr>
      <w:r w:rsidRPr="00547EA7">
        <w:rPr>
          <w:bdr w:val="nil"/>
          <w:lang w:val="es-ES"/>
        </w:rPr>
        <w:t xml:space="preserve">Habrá copias de este encarte de factura para su consulta e impresión en el sitio web de SDG&amp;E en </w:t>
      </w:r>
      <w:hyperlink r:id="rId7" w:history="1">
        <w:r w:rsidRPr="00547EA7">
          <w:rPr>
            <w:color w:val="0000FF"/>
            <w:u w:val="single"/>
            <w:bdr w:val="nil"/>
            <w:lang w:val="es-ES"/>
          </w:rPr>
          <w:t>www.sdge.com/billinserts/regulatory.shtml</w:t>
        </w:r>
      </w:hyperlink>
      <w:r w:rsidRPr="00547EA7">
        <w:rPr>
          <w:bdr w:val="nil"/>
          <w:lang w:val="es-ES"/>
        </w:rPr>
        <w:t>.</w:t>
      </w:r>
    </w:p>
    <w:p w14:paraId="4C433D56" w14:textId="77777777" w:rsidR="00806826" w:rsidRPr="00547EA7" w:rsidRDefault="001B2005" w:rsidP="00806826">
      <w:pPr>
        <w:jc w:val="both"/>
        <w:rPr>
          <w:lang w:val="es-ES"/>
        </w:rPr>
      </w:pPr>
    </w:p>
    <w:p w14:paraId="4A94E6AE" w14:textId="77777777" w:rsidR="00806826" w:rsidRPr="00547EA7" w:rsidRDefault="001B2005" w:rsidP="00806826">
      <w:pPr>
        <w:pStyle w:val="BodyText"/>
        <w:rPr>
          <w:b/>
          <w:bCs/>
          <w:szCs w:val="24"/>
          <w:lang w:val="es-ES"/>
        </w:rPr>
      </w:pPr>
    </w:p>
    <w:p w14:paraId="4D628444" w14:textId="77777777" w:rsidR="00806826" w:rsidRPr="00547EA7" w:rsidRDefault="00FA05CF" w:rsidP="00806826">
      <w:pPr>
        <w:pStyle w:val="BodyText"/>
        <w:jc w:val="both"/>
        <w:rPr>
          <w:b/>
          <w:bCs/>
          <w:szCs w:val="24"/>
          <w:lang w:val="es-ES"/>
        </w:rPr>
      </w:pPr>
      <w:r w:rsidRPr="00547EA7">
        <w:rPr>
          <w:b/>
          <w:bCs/>
          <w:szCs w:val="24"/>
          <w:bdr w:val="nil"/>
          <w:lang w:val="es-ES"/>
        </w:rPr>
        <w:t xml:space="preserve">PROCESO DE LA CPUC </w:t>
      </w:r>
    </w:p>
    <w:p w14:paraId="5779037C" w14:textId="77777777" w:rsidR="00806826" w:rsidRPr="00547EA7" w:rsidRDefault="00FA05CF" w:rsidP="00806826">
      <w:pPr>
        <w:jc w:val="both"/>
        <w:rPr>
          <w:lang w:val="es-ES"/>
        </w:rPr>
      </w:pPr>
      <w:r w:rsidRPr="00547EA7">
        <w:rPr>
          <w:bdr w:val="nil"/>
          <w:lang w:val="es-ES"/>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pueden llevarse a cabo en donde las partes que aparecen en el acta presentarán su testimonio y pueden estar sujetas a un contrainterrogatorio por otras de las partes. Estas audiencias para la presentación de pruebas están abiertas al público, pero sólo las partes que aparecen en el acta pueden participar. </w:t>
      </w:r>
    </w:p>
    <w:p w14:paraId="5887A3A2" w14:textId="77777777" w:rsidR="00806826" w:rsidRPr="00547EA7" w:rsidRDefault="001B2005" w:rsidP="00806826">
      <w:pPr>
        <w:jc w:val="both"/>
        <w:rPr>
          <w:lang w:val="es-ES"/>
        </w:rPr>
      </w:pPr>
    </w:p>
    <w:p w14:paraId="669D53CB" w14:textId="77777777" w:rsidR="00806826" w:rsidRPr="00547EA7" w:rsidRDefault="00FA05CF" w:rsidP="00806826">
      <w:pPr>
        <w:jc w:val="both"/>
        <w:rPr>
          <w:lang w:val="es-ES"/>
        </w:rPr>
      </w:pPr>
      <w:r w:rsidRPr="00547EA7">
        <w:rPr>
          <w:bdr w:val="nil"/>
          <w:lang w:val="es-ES"/>
        </w:rPr>
        <w:lastRenderedPageBreak/>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3CA479B3" w14:textId="77777777" w:rsidR="00806826" w:rsidRPr="00547EA7" w:rsidRDefault="001B2005" w:rsidP="00806826">
      <w:pPr>
        <w:jc w:val="both"/>
        <w:rPr>
          <w:lang w:val="es-ES"/>
        </w:rPr>
      </w:pPr>
    </w:p>
    <w:p w14:paraId="0CDD9189" w14:textId="77777777" w:rsidR="00806826" w:rsidRPr="00547EA7" w:rsidRDefault="00FA05CF" w:rsidP="00806826">
      <w:pPr>
        <w:jc w:val="both"/>
        <w:rPr>
          <w:lang w:val="es-ES"/>
        </w:rPr>
      </w:pPr>
      <w:r w:rsidRPr="00547EA7">
        <w:rPr>
          <w:bdr w:val="nil"/>
          <w:lang w:val="es-ES"/>
        </w:rPr>
        <w:t xml:space="preserve">La Oficina de Defensores del Contribuyente (ORA) puede examinar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w:t>
      </w:r>
      <w:hyperlink r:id="rId8" w:history="1">
        <w:r w:rsidRPr="00547EA7">
          <w:rPr>
            <w:color w:val="0000FF"/>
            <w:u w:val="single"/>
            <w:bdr w:val="nil"/>
            <w:lang w:val="es-ES"/>
          </w:rPr>
          <w:t>ora@cpuc.ca.gov</w:t>
        </w:r>
      </w:hyperlink>
      <w:r w:rsidRPr="00547EA7">
        <w:rPr>
          <w:bdr w:val="nil"/>
          <w:lang w:val="es-ES"/>
        </w:rPr>
        <w:t xml:space="preserve"> o visite el sitio web de ORA en </w:t>
      </w:r>
      <w:hyperlink r:id="rId9" w:history="1">
        <w:r w:rsidRPr="00547EA7">
          <w:rPr>
            <w:color w:val="0000FF"/>
            <w:u w:val="single"/>
            <w:bdr w:val="nil"/>
            <w:lang w:val="es-ES"/>
          </w:rPr>
          <w:t>www.ora.ca.gov</w:t>
        </w:r>
      </w:hyperlink>
      <w:r w:rsidRPr="00547EA7">
        <w:rPr>
          <w:bdr w:val="nil"/>
          <w:lang w:val="es-ES"/>
        </w:rPr>
        <w:t>.</w:t>
      </w:r>
    </w:p>
    <w:p w14:paraId="2B24EF84" w14:textId="77777777" w:rsidR="00806826" w:rsidRPr="00547EA7" w:rsidRDefault="001B2005" w:rsidP="00806826">
      <w:pPr>
        <w:jc w:val="both"/>
        <w:rPr>
          <w:lang w:val="es-ES"/>
        </w:rPr>
      </w:pPr>
    </w:p>
    <w:p w14:paraId="43055E04" w14:textId="77777777" w:rsidR="00806826" w:rsidRPr="00547EA7" w:rsidRDefault="00FA05CF" w:rsidP="00806826">
      <w:pPr>
        <w:jc w:val="both"/>
        <w:rPr>
          <w:b/>
          <w:lang w:val="es-ES"/>
        </w:rPr>
      </w:pPr>
      <w:r w:rsidRPr="00547EA7">
        <w:rPr>
          <w:b/>
          <w:bCs/>
          <w:bdr w:val="nil"/>
          <w:lang w:val="es-ES"/>
        </w:rPr>
        <w:t>MANTÉNGASE INFORMADO</w:t>
      </w:r>
    </w:p>
    <w:p w14:paraId="3FF488BC" w14:textId="77777777" w:rsidR="00806826" w:rsidRPr="00547EA7" w:rsidRDefault="00FA05CF" w:rsidP="00806826">
      <w:pPr>
        <w:jc w:val="both"/>
        <w:rPr>
          <w:lang w:val="es-ES"/>
        </w:rPr>
      </w:pPr>
      <w:r w:rsidRPr="00547EA7">
        <w:rPr>
          <w:bdr w:val="nil"/>
          <w:lang w:val="es-ES"/>
        </w:rPr>
        <w:t xml:space="preserve">Si desea seguir este procedimiento, o cualquier otro asunto presentado ante la CPUC, puede utilizar el servicio de suscripción gratuito de la CPUC. Suscríbase en: </w:t>
      </w:r>
      <w:hyperlink r:id="rId10" w:history="1">
        <w:r w:rsidRPr="00547EA7">
          <w:rPr>
            <w:color w:val="0000FF"/>
            <w:u w:val="single"/>
            <w:bdr w:val="nil"/>
            <w:lang w:val="es-ES"/>
          </w:rPr>
          <w:t>http://subscribecpuc.cpuc.ca.gov/</w:t>
        </w:r>
      </w:hyperlink>
      <w:r w:rsidRPr="00547EA7">
        <w:rPr>
          <w:bdr w:val="nil"/>
          <w:lang w:val="es-ES"/>
        </w:rPr>
        <w:t>.</w:t>
      </w:r>
    </w:p>
    <w:p w14:paraId="232E6080" w14:textId="77777777" w:rsidR="00806826" w:rsidRPr="00547EA7" w:rsidRDefault="001B2005" w:rsidP="00806826">
      <w:pPr>
        <w:jc w:val="both"/>
        <w:rPr>
          <w:lang w:val="es-ES"/>
        </w:rPr>
      </w:pPr>
    </w:p>
    <w:p w14:paraId="4538DDED" w14:textId="77777777" w:rsidR="00806826" w:rsidRPr="00547EA7" w:rsidRDefault="00FA05CF" w:rsidP="00806826">
      <w:pPr>
        <w:jc w:val="both"/>
        <w:rPr>
          <w:lang w:val="es-ES"/>
        </w:rPr>
      </w:pPr>
      <w:r w:rsidRPr="00547EA7">
        <w:rPr>
          <w:bdr w:val="nil"/>
          <w:lang w:val="es-ES"/>
        </w:rPr>
        <w:t xml:space="preserve">Si quiere obtener información sobre cómo puede participar en el procedimiento, o si tiene comentarios informales acerca de la solicitud, o preguntas sobre los procesos de la CPUC, puede entrar a la página web de la Oficina del Asesor Público (PAO) de la CPUC en </w:t>
      </w:r>
      <w:hyperlink r:id="rId11" w:history="1">
        <w:r w:rsidRPr="00547EA7">
          <w:rPr>
            <w:color w:val="0000FF"/>
            <w:u w:val="single"/>
            <w:bdr w:val="nil"/>
            <w:lang w:val="es-ES"/>
          </w:rPr>
          <w:t>http://www.cpuc.ca.gov/pao/</w:t>
        </w:r>
      </w:hyperlink>
      <w:r w:rsidRPr="00547EA7">
        <w:rPr>
          <w:bdr w:val="nil"/>
          <w:lang w:val="es-ES"/>
        </w:rPr>
        <w:t xml:space="preserve">.  También puede ponerse en contacto con la PAO de la siguiente manera: </w:t>
      </w:r>
    </w:p>
    <w:p w14:paraId="31A69541" w14:textId="77777777" w:rsidR="00806826" w:rsidRPr="00547EA7" w:rsidRDefault="001B2005" w:rsidP="00806826">
      <w:pPr>
        <w:jc w:val="both"/>
        <w:rPr>
          <w:lang w:val="es-ES"/>
        </w:rPr>
      </w:pPr>
    </w:p>
    <w:p w14:paraId="5EB8B561" w14:textId="77777777" w:rsidR="00806826" w:rsidRPr="00547EA7" w:rsidRDefault="00FA05CF" w:rsidP="00806826">
      <w:pPr>
        <w:jc w:val="both"/>
        <w:rPr>
          <w:lang w:val="es-ES"/>
        </w:rPr>
      </w:pPr>
      <w:r w:rsidRPr="00547EA7">
        <w:rPr>
          <w:bdr w:val="nil"/>
          <w:lang w:val="es-ES"/>
        </w:rPr>
        <w:t xml:space="preserve">Envíe un mensaje por correo electrónico a: </w:t>
      </w:r>
      <w:r w:rsidRPr="00547EA7">
        <w:rPr>
          <w:bdr w:val="nil"/>
          <w:lang w:val="es-ES"/>
        </w:rPr>
        <w:tab/>
        <w:t xml:space="preserve">public.advisor@cpuc.ca.gov </w:t>
      </w:r>
    </w:p>
    <w:p w14:paraId="6F13311D" w14:textId="77777777" w:rsidR="00806826" w:rsidRPr="00547EA7" w:rsidRDefault="001B2005" w:rsidP="00806826">
      <w:pPr>
        <w:jc w:val="both"/>
        <w:rPr>
          <w:lang w:val="es-ES"/>
        </w:rPr>
      </w:pPr>
    </w:p>
    <w:p w14:paraId="4E500E6F" w14:textId="77777777" w:rsidR="00806826" w:rsidRPr="00547EA7" w:rsidRDefault="00FA05CF" w:rsidP="00806826">
      <w:pPr>
        <w:jc w:val="both"/>
        <w:rPr>
          <w:lang w:val="es-ES"/>
        </w:rPr>
      </w:pPr>
      <w:r w:rsidRPr="00547EA7">
        <w:rPr>
          <w:bdr w:val="nil"/>
          <w:lang w:val="es-ES"/>
        </w:rPr>
        <w:t>Escriba a:</w:t>
      </w:r>
      <w:r w:rsidRPr="00547EA7">
        <w:rPr>
          <w:bdr w:val="nil"/>
          <w:lang w:val="es-ES"/>
        </w:rPr>
        <w:tab/>
        <w:t xml:space="preserve">CPUC </w:t>
      </w:r>
    </w:p>
    <w:p w14:paraId="70469D8D" w14:textId="77777777" w:rsidR="00806826" w:rsidRPr="00547EA7" w:rsidRDefault="00FA05CF" w:rsidP="00806826">
      <w:pPr>
        <w:jc w:val="both"/>
        <w:rPr>
          <w:lang w:val="es-ES"/>
        </w:rPr>
      </w:pPr>
      <w:r w:rsidRPr="00547EA7">
        <w:rPr>
          <w:bdr w:val="nil"/>
          <w:lang w:val="es-ES"/>
        </w:rPr>
        <w:t xml:space="preserve">      </w:t>
      </w:r>
      <w:r w:rsidRPr="00547EA7">
        <w:rPr>
          <w:bdr w:val="nil"/>
          <w:lang w:val="es-ES"/>
        </w:rPr>
        <w:tab/>
      </w:r>
      <w:r w:rsidRPr="00547EA7">
        <w:rPr>
          <w:bdr w:val="nil"/>
          <w:lang w:val="es-ES"/>
        </w:rPr>
        <w:tab/>
        <w:t>Public Advisor’s Office</w:t>
      </w:r>
    </w:p>
    <w:p w14:paraId="60171345" w14:textId="77777777" w:rsidR="00806826" w:rsidRPr="00547EA7" w:rsidRDefault="00FA05CF" w:rsidP="00FA05CF">
      <w:pPr>
        <w:ind w:left="720" w:firstLine="720"/>
        <w:jc w:val="both"/>
        <w:rPr>
          <w:lang w:val="es-ES"/>
        </w:rPr>
      </w:pPr>
      <w:r w:rsidRPr="00547EA7">
        <w:rPr>
          <w:bdr w:val="nil"/>
          <w:lang w:val="es-ES"/>
        </w:rPr>
        <w:t>505 Van Ness Ave.</w:t>
      </w:r>
    </w:p>
    <w:p w14:paraId="704B3161" w14:textId="77777777" w:rsidR="00806826" w:rsidRPr="00547EA7" w:rsidRDefault="00FA05CF" w:rsidP="00806826">
      <w:pPr>
        <w:jc w:val="both"/>
        <w:rPr>
          <w:lang w:val="es-ES"/>
        </w:rPr>
      </w:pPr>
      <w:r w:rsidRPr="00547EA7">
        <w:rPr>
          <w:bdr w:val="nil"/>
          <w:lang w:val="es-ES"/>
        </w:rPr>
        <w:tab/>
      </w:r>
      <w:r w:rsidRPr="00547EA7">
        <w:rPr>
          <w:bdr w:val="nil"/>
          <w:lang w:val="es-ES"/>
        </w:rPr>
        <w:tab/>
        <w:t>San Francisco, CA 94102</w:t>
      </w:r>
    </w:p>
    <w:p w14:paraId="0FB244FC" w14:textId="77777777" w:rsidR="00806826" w:rsidRPr="00547EA7" w:rsidRDefault="00FA05CF" w:rsidP="00806826">
      <w:pPr>
        <w:jc w:val="both"/>
        <w:rPr>
          <w:lang w:val="es-ES"/>
        </w:rPr>
      </w:pPr>
      <w:r w:rsidRPr="00547EA7">
        <w:rPr>
          <w:bdr w:val="nil"/>
          <w:lang w:val="es-ES"/>
        </w:rPr>
        <w:t>Llame al: 1-866-849-8390 (sin costo) o al 1-415-703-2074</w:t>
      </w:r>
    </w:p>
    <w:p w14:paraId="450D3D01" w14:textId="77777777" w:rsidR="00806826" w:rsidRPr="00547EA7" w:rsidRDefault="00FA05CF" w:rsidP="00FA05CF">
      <w:pPr>
        <w:pStyle w:val="BodyText"/>
        <w:ind w:left="993"/>
        <w:jc w:val="both"/>
        <w:rPr>
          <w:szCs w:val="24"/>
          <w:lang w:val="es-ES"/>
        </w:rPr>
      </w:pPr>
      <w:r w:rsidRPr="00547EA7">
        <w:rPr>
          <w:szCs w:val="24"/>
          <w:bdr w:val="nil"/>
          <w:lang w:val="es-ES"/>
        </w:rPr>
        <w:t>TTY 1-866-836-7825 (sin costo) o 1-415-703-5282</w:t>
      </w:r>
    </w:p>
    <w:p w14:paraId="27EA37D1" w14:textId="77777777" w:rsidR="00806826" w:rsidRPr="00547EA7" w:rsidRDefault="001B2005" w:rsidP="00806826">
      <w:pPr>
        <w:pStyle w:val="BodyText"/>
        <w:jc w:val="both"/>
        <w:rPr>
          <w:szCs w:val="24"/>
          <w:lang w:val="es-ES"/>
        </w:rPr>
      </w:pPr>
    </w:p>
    <w:p w14:paraId="5F6C0858" w14:textId="77777777" w:rsidR="00472FB8" w:rsidRPr="00547EA7" w:rsidRDefault="00FA05CF" w:rsidP="00806826">
      <w:pPr>
        <w:pStyle w:val="BodyText"/>
        <w:jc w:val="both"/>
        <w:rPr>
          <w:lang w:val="es-ES"/>
        </w:rPr>
      </w:pPr>
      <w:r w:rsidRPr="00547EA7">
        <w:rPr>
          <w:szCs w:val="24"/>
          <w:bdr w:val="nil"/>
          <w:lang w:val="es-ES"/>
        </w:rPr>
        <w:t xml:space="preserve">Por favor haga referencia a la solicitud </w:t>
      </w:r>
      <w:r w:rsidRPr="00547EA7">
        <w:rPr>
          <w:b/>
          <w:szCs w:val="24"/>
          <w:bdr w:val="nil"/>
          <w:lang w:val="es-ES"/>
        </w:rPr>
        <w:t>2017 Expedited ERRA Trigger Application No. A. 17-05-012 de SDG&amp;E</w:t>
      </w:r>
      <w:r w:rsidRPr="00547EA7">
        <w:rPr>
          <w:szCs w:val="24"/>
          <w:bdr w:val="nil"/>
          <w:lang w:val="es-ES"/>
        </w:rPr>
        <w:t xml:space="preserv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sectPr w:rsidR="00472FB8" w:rsidRPr="00547EA7" w:rsidSect="00806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95"/>
    <w:rsid w:val="000A3135"/>
    <w:rsid w:val="0010270A"/>
    <w:rsid w:val="001B2005"/>
    <w:rsid w:val="003B4767"/>
    <w:rsid w:val="00547EA7"/>
    <w:rsid w:val="00565D75"/>
    <w:rsid w:val="00594F81"/>
    <w:rsid w:val="008D4E6C"/>
    <w:rsid w:val="00AD62B5"/>
    <w:rsid w:val="00B24895"/>
    <w:rsid w:val="00B256D0"/>
    <w:rsid w:val="00BE43D5"/>
    <w:rsid w:val="00C61C57"/>
    <w:rsid w:val="00FA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7EB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Cs w:val="20"/>
    </w:rPr>
  </w:style>
  <w:style w:type="paragraph" w:styleId="FootnoteText">
    <w:name w:val="footnote text"/>
    <w:basedOn w:val="Normal"/>
    <w:link w:val="FootnoteTextChar"/>
    <w:rsid w:val="001E7DA0"/>
    <w:rPr>
      <w:sz w:val="20"/>
      <w:szCs w:val="20"/>
    </w:rPr>
  </w:style>
  <w:style w:type="character" w:customStyle="1" w:styleId="FootnoteTextChar">
    <w:name w:val="Footnote Text Char"/>
    <w:basedOn w:val="DefaultParagraphFont"/>
    <w:link w:val="FootnoteText"/>
    <w:rsid w:val="001E7DA0"/>
  </w:style>
  <w:style w:type="character" w:styleId="FootnoteReference">
    <w:name w:val="footnote reference"/>
    <w:rsid w:val="001E7DA0"/>
    <w:rPr>
      <w:vertAlign w:val="superscript"/>
    </w:rPr>
  </w:style>
  <w:style w:type="paragraph" w:styleId="Revision">
    <w:name w:val="Revision"/>
    <w:hidden/>
    <w:uiPriority w:val="99"/>
    <w:semiHidden/>
    <w:rsid w:val="002B0B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a@cpuc.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ge.com/billinserts/regulatory.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dge.com/regulatory/cpuc.shtml" TargetMode="External"/><Relationship Id="rId11" Type="http://schemas.openxmlformats.org/officeDocument/2006/relationships/hyperlink" Target="http://www.cpuc.ca.gov/pao/" TargetMode="External"/><Relationship Id="rId5" Type="http://schemas.openxmlformats.org/officeDocument/2006/relationships/hyperlink" Target="mailto:aljcentralfilesid@cpuc.ca.gov" TargetMode="External"/><Relationship Id="rId10" Type="http://schemas.openxmlformats.org/officeDocument/2006/relationships/hyperlink" Target="http://subscribecpuc.cpuc.ca.gov/" TargetMode="External"/><Relationship Id="rId4" Type="http://schemas.openxmlformats.org/officeDocument/2006/relationships/webSettings" Target="webSettings.xml"/><Relationship Id="rId9" Type="http://schemas.openxmlformats.org/officeDocument/2006/relationships/hyperlink" Target="http://www.or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253E-2CF1-4DD4-81FE-CFEA088E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NOTICE OF HEARINGS</vt:lpstr>
    </vt:vector>
  </TitlesOfParts>
  <Manager/>
  <Company>Sempra Energy Utilities</Company>
  <LinksUpToDate>false</LinksUpToDate>
  <CharactersWithSpaces>7998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HEARINGS</dc:title>
  <dc:subject/>
  <dc:creator>Kari Kloberdanz</dc:creator>
  <cp:keywords/>
  <dc:description/>
  <cp:lastModifiedBy>Tilos, Mary Ann</cp:lastModifiedBy>
  <cp:revision>2</cp:revision>
  <cp:lastPrinted>2017-05-10T18:34:00Z</cp:lastPrinted>
  <dcterms:created xsi:type="dcterms:W3CDTF">2017-05-30T20:12:00Z</dcterms:created>
  <dcterms:modified xsi:type="dcterms:W3CDTF">2017-05-30T20:12:00Z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ABAAmJ+7jnJ2eOWQzQWIAT2SIh/QpaDvDAeCzcuCtEx3ZioYnMJ0LxspkYdZArC1+7jD</vt:lpwstr>
  </property>
  <property fmtid="{D5CDD505-2E9C-101B-9397-08002B2CF9AE}" pid="3" name="MAIL_MSG_ID1">
    <vt:lpwstr>oFAAohepTGvwTLiqNLc3/iC9De2Qpx3sJLcQja5m9fiZbeB96tuKsW7g9c8x9/ZZw263fGxvZxAaZaoA
z4I5TU5KnXhqKGopYHkq0+QrAlbFe8KJgsPFSajmUjeTLVGUH2sTEvhCSksQ86vzRjIHYd3jfOV3
aml4PYKH698Ypj/NoRZwmYyYwuE5qbsiUDAq+xtfCUW9DibuX532m+hZeYcGJOLYVt6i0jwSqcKp
hJ+ODTFy/6gTwnGT9</vt:lpwstr>
  </property>
  <property fmtid="{D5CDD505-2E9C-101B-9397-08002B2CF9AE}" pid="4" name="MAIL_MSG_ID2">
    <vt:lpwstr>lXRRseIPGIeFiwqWxFY8A7/AkPERlEOQlaH1l6AxewP7cat5SjglwyTTt/i
Lp6/vSmPEnlhCzUCaDXtOiYmfnGCN2jgLuhI1++VAArVDeOg</vt:lpwstr>
  </property>
  <property fmtid="{D5CDD505-2E9C-101B-9397-08002B2CF9AE}" pid="5" name="RESPONSE_SENDER_NAME">
    <vt:lpwstr>sAAAb0xRtPDW5Uu4ZyF2VMx0HFyg9Q5SMPcCOUVAsytUgTk=</vt:lpwstr>
  </property>
  <property fmtid="{D5CDD505-2E9C-101B-9397-08002B2CF9AE}" pid="6" name="_NewReviewCycle">
    <vt:lpwstr/>
  </property>
</Properties>
</file>