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7BD9E" w14:textId="77777777" w:rsidR="00C55D40" w:rsidRPr="00370AF7" w:rsidRDefault="00E655F5">
      <w:pPr>
        <w:pStyle w:val="Header"/>
        <w:jc w:val="center"/>
        <w:rPr>
          <w:b/>
          <w:bCs/>
          <w:sz w:val="22"/>
          <w:szCs w:val="22"/>
          <w:lang w:val="es-ES"/>
        </w:rPr>
      </w:pPr>
      <w:bookmarkStart w:id="0" w:name="_Hlk529438868"/>
      <w:bookmarkStart w:id="1" w:name="_GoBack"/>
      <w:bookmarkEnd w:id="1"/>
      <w:r w:rsidRPr="00370AF7">
        <w:rPr>
          <w:b/>
          <w:bCs/>
          <w:sz w:val="22"/>
          <w:szCs w:val="22"/>
          <w:lang w:val="es-ES"/>
        </w:rPr>
        <w:t xml:space="preserve">Para más detalles en español, llame al </w:t>
      </w:r>
      <w:bookmarkEnd w:id="0"/>
      <w:r w:rsidRPr="00370AF7">
        <w:rPr>
          <w:b/>
          <w:bCs/>
          <w:sz w:val="22"/>
          <w:szCs w:val="22"/>
          <w:lang w:val="es-ES"/>
        </w:rPr>
        <w:t>1-800-311-7343</w:t>
      </w:r>
    </w:p>
    <w:p w14:paraId="2ED23722" w14:textId="77777777" w:rsidR="00C55D40" w:rsidRPr="00370AF7" w:rsidRDefault="00C55D40">
      <w:pPr>
        <w:jc w:val="center"/>
        <w:rPr>
          <w:b/>
          <w:sz w:val="24"/>
          <w:szCs w:val="24"/>
          <w:lang w:val="es-ES"/>
        </w:rPr>
      </w:pPr>
    </w:p>
    <w:p w14:paraId="164A83B6" w14:textId="2DD24AFA" w:rsidR="00523B21" w:rsidRPr="00370AF7" w:rsidRDefault="00E655F5" w:rsidP="00E677F8">
      <w:pPr>
        <w:jc w:val="center"/>
        <w:rPr>
          <w:b/>
          <w:sz w:val="24"/>
          <w:szCs w:val="24"/>
          <w:lang w:val="es-ES"/>
        </w:rPr>
      </w:pPr>
      <w:r w:rsidRPr="00370AF7">
        <w:rPr>
          <w:b/>
          <w:bCs/>
          <w:sz w:val="24"/>
          <w:szCs w:val="24"/>
          <w:lang w:val="es-ES"/>
        </w:rPr>
        <w:t>NOTIFICACIÓN DE SOLICITUD DE SAN DIEGO GAS &amp; ELECTRIC COMPANY PARA AUMENTAR LAS TARIFAS ELÉCTRICAS A FIN DE IMPLEMENTAR UNA NUEVA TARIFA DE ALTA POTENCIA PARA VEHÍCULOS ELÉCTRICOS</w:t>
      </w:r>
      <w:r w:rsidRPr="00370AF7">
        <w:rPr>
          <w:sz w:val="24"/>
          <w:szCs w:val="24"/>
          <w:lang w:val="es-ES"/>
        </w:rPr>
        <w:t xml:space="preserve"> </w:t>
      </w:r>
    </w:p>
    <w:p w14:paraId="43ABA772" w14:textId="72474A3D" w:rsidR="00523B21" w:rsidRPr="00370AF7" w:rsidRDefault="00E655F5">
      <w:pPr>
        <w:jc w:val="center"/>
        <w:rPr>
          <w:b/>
          <w:sz w:val="24"/>
          <w:szCs w:val="24"/>
          <w:lang w:val="es-ES"/>
        </w:rPr>
      </w:pPr>
      <w:r w:rsidRPr="00370AF7">
        <w:rPr>
          <w:b/>
          <w:bCs/>
          <w:sz w:val="24"/>
          <w:szCs w:val="24"/>
          <w:lang w:val="es-ES"/>
        </w:rPr>
        <w:t>SOLICITUD NÚM. A.19-07-006</w:t>
      </w:r>
    </w:p>
    <w:p w14:paraId="2B43A173" w14:textId="77777777" w:rsidR="00523B21" w:rsidRPr="00370AF7" w:rsidRDefault="00523B21">
      <w:pPr>
        <w:jc w:val="center"/>
        <w:rPr>
          <w:sz w:val="24"/>
          <w:szCs w:val="24"/>
          <w:lang w:val="es-ES"/>
        </w:rPr>
      </w:pPr>
    </w:p>
    <w:p w14:paraId="5C9574DE" w14:textId="7DBC6C06" w:rsidR="00417772" w:rsidRPr="00370AF7" w:rsidRDefault="00E655F5" w:rsidP="00417772">
      <w:pPr>
        <w:rPr>
          <w:sz w:val="24"/>
          <w:szCs w:val="24"/>
          <w:lang w:val="es-ES"/>
        </w:rPr>
      </w:pPr>
      <w:r w:rsidRPr="00370AF7">
        <w:rPr>
          <w:sz w:val="24"/>
          <w:szCs w:val="24"/>
          <w:lang w:val="es-ES"/>
        </w:rPr>
        <w:t>El 3 de julio de 2019, San Diego Gas &amp; Electric Company (SDG&amp;E®) presentó la Solicitud Núm. A.19</w:t>
      </w:r>
      <w:r w:rsidRPr="00370AF7">
        <w:rPr>
          <w:sz w:val="24"/>
          <w:szCs w:val="24"/>
          <w:lang w:val="es-ES"/>
        </w:rPr>
        <w:noBreakHyphen/>
        <w:t>07</w:t>
      </w:r>
      <w:r w:rsidRPr="00370AF7">
        <w:rPr>
          <w:sz w:val="24"/>
          <w:szCs w:val="24"/>
          <w:lang w:val="es-ES"/>
        </w:rPr>
        <w:noBreakHyphen/>
        <w:t xml:space="preserve">006 ante la Comisión de Servicios Públicos de California (CPUC) </w:t>
      </w:r>
      <w:r w:rsidR="00192BCA">
        <w:rPr>
          <w:sz w:val="24"/>
          <w:szCs w:val="24"/>
          <w:lang w:val="es-ES"/>
        </w:rPr>
        <w:t>en la que pide</w:t>
      </w:r>
      <w:r w:rsidRPr="00370AF7">
        <w:rPr>
          <w:sz w:val="24"/>
          <w:szCs w:val="24"/>
          <w:lang w:val="es-ES"/>
        </w:rPr>
        <w:t xml:space="preserve"> la aprobación para ofrecer una nueva tarifa eléctrica, EV-HP, para carga </w:t>
      </w:r>
      <w:r w:rsidR="00370AF7">
        <w:rPr>
          <w:sz w:val="24"/>
          <w:szCs w:val="24"/>
          <w:lang w:val="es-ES"/>
        </w:rPr>
        <w:t xml:space="preserve">de </w:t>
      </w:r>
      <w:r w:rsidRPr="00370AF7">
        <w:rPr>
          <w:sz w:val="24"/>
          <w:szCs w:val="24"/>
          <w:lang w:val="es-ES"/>
        </w:rPr>
        <w:t>alta potencia de vehículos eléctricos y un descuento asociado en la factura antes de que la nueva tarifa propuesta pueda implementarse. SDG&amp;E también solicita aumentar las tarifas para financiar la aplicación de este descuento en la factura. Los costos totales de las mejoras solicitadas y el apoyo asociado son de aproximadamente $1.1 millones a lo largo de dos años. SDG&amp;E solicita que el monto aprobado se registre en cuentas reglamentarias existentes y se recupere anualmente en tarifas de distribución eléctrica a partir del 1 de enero de 2021.</w:t>
      </w:r>
    </w:p>
    <w:p w14:paraId="6CB15C69" w14:textId="77777777" w:rsidR="00266138" w:rsidRPr="00370AF7" w:rsidRDefault="00266138" w:rsidP="00C81BE4">
      <w:pPr>
        <w:rPr>
          <w:sz w:val="24"/>
          <w:szCs w:val="24"/>
          <w:lang w:val="es-ES"/>
        </w:rPr>
      </w:pPr>
    </w:p>
    <w:p w14:paraId="6B331A55" w14:textId="2C918195" w:rsidR="00277C7D" w:rsidRPr="00370AF7" w:rsidRDefault="00E655F5">
      <w:pPr>
        <w:rPr>
          <w:sz w:val="24"/>
          <w:szCs w:val="24"/>
          <w:lang w:val="es-ES"/>
        </w:rPr>
      </w:pPr>
      <w:r w:rsidRPr="00370AF7">
        <w:rPr>
          <w:sz w:val="24"/>
          <w:szCs w:val="24"/>
          <w:lang w:val="es-ES"/>
        </w:rPr>
        <w:t>Se busca que la tarifa EV-HP propuesta sea fácil de entender y proporcion</w:t>
      </w:r>
      <w:r w:rsidR="00370AF7">
        <w:rPr>
          <w:sz w:val="24"/>
          <w:szCs w:val="24"/>
          <w:lang w:val="es-ES"/>
        </w:rPr>
        <w:t>e</w:t>
      </w:r>
      <w:r w:rsidRPr="00370AF7">
        <w:rPr>
          <w:sz w:val="24"/>
          <w:szCs w:val="24"/>
          <w:lang w:val="es-ES"/>
        </w:rPr>
        <w:t xml:space="preserve"> electricidad a un costo competitivo </w:t>
      </w:r>
      <w:r w:rsidR="00370AF7">
        <w:rPr>
          <w:sz w:val="24"/>
          <w:szCs w:val="24"/>
          <w:lang w:val="es-ES"/>
        </w:rPr>
        <w:t>a</w:t>
      </w:r>
      <w:r w:rsidRPr="00370AF7">
        <w:rPr>
          <w:sz w:val="24"/>
          <w:szCs w:val="24"/>
          <w:lang w:val="es-ES"/>
        </w:rPr>
        <w:t xml:space="preserve"> los clientes con vehículos eléctricos (VE) de carga rápida de corriente continua (</w:t>
      </w:r>
      <w:r w:rsidRPr="00370AF7">
        <w:rPr>
          <w:i/>
          <w:sz w:val="24"/>
          <w:szCs w:val="24"/>
          <w:lang w:val="es-ES"/>
        </w:rPr>
        <w:t>Direct Current Fast Charging</w:t>
      </w:r>
      <w:r w:rsidRPr="00370AF7">
        <w:rPr>
          <w:sz w:val="24"/>
          <w:szCs w:val="24"/>
          <w:lang w:val="es-ES"/>
        </w:rPr>
        <w:t>, DCFC) y de carga media y pesada (</w:t>
      </w:r>
      <w:r w:rsidRPr="00370AF7">
        <w:rPr>
          <w:i/>
          <w:sz w:val="24"/>
          <w:szCs w:val="24"/>
          <w:lang w:val="es-ES"/>
        </w:rPr>
        <w:t>Medium and Heavy-Duty</w:t>
      </w:r>
      <w:r w:rsidRPr="00370AF7">
        <w:rPr>
          <w:sz w:val="24"/>
          <w:szCs w:val="24"/>
          <w:lang w:val="es-ES"/>
        </w:rPr>
        <w:t>, MD/HD). El aumento solicitado en la tarifa cubre los costos asociados con la aplicación del descuento propuesto antes de que SDG&amp;E lance su nuevo Sistema de Información al Cliente (Customer Information System, CIS). Los cost</w:t>
      </w:r>
      <w:r w:rsidR="00370AF7">
        <w:rPr>
          <w:sz w:val="24"/>
          <w:szCs w:val="24"/>
          <w:lang w:val="es-ES"/>
        </w:rPr>
        <w:t>o</w:t>
      </w:r>
      <w:r w:rsidRPr="00370AF7">
        <w:rPr>
          <w:sz w:val="24"/>
          <w:szCs w:val="24"/>
          <w:lang w:val="es-ES"/>
        </w:rPr>
        <w:t xml:space="preserve">s incluyen (pero no se limitan a) trabajo y mano de obra de tecnología de la información para calcular, aplicar y dar seguimiento al descuento en la factura hasta que el nuevo CIS se lance. </w:t>
      </w:r>
    </w:p>
    <w:p w14:paraId="22862831" w14:textId="77777777" w:rsidR="00277C7D" w:rsidRPr="00370AF7" w:rsidRDefault="00277C7D">
      <w:pPr>
        <w:rPr>
          <w:sz w:val="24"/>
          <w:szCs w:val="24"/>
          <w:lang w:val="es-ES"/>
        </w:rPr>
      </w:pPr>
    </w:p>
    <w:p w14:paraId="0FC09647" w14:textId="77777777" w:rsidR="00D74903" w:rsidRPr="00370AF7" w:rsidRDefault="00D74903">
      <w:pPr>
        <w:rPr>
          <w:sz w:val="24"/>
          <w:szCs w:val="24"/>
          <w:lang w:val="es-ES"/>
        </w:rPr>
      </w:pPr>
    </w:p>
    <w:p w14:paraId="6A51D74A" w14:textId="77777777" w:rsidR="00F07FC5" w:rsidRPr="00370AF7" w:rsidRDefault="00E655F5" w:rsidP="00F07FC5">
      <w:pPr>
        <w:jc w:val="center"/>
        <w:rPr>
          <w:b/>
          <w:sz w:val="24"/>
          <w:szCs w:val="24"/>
          <w:lang w:val="es-ES"/>
        </w:rPr>
      </w:pPr>
      <w:r w:rsidRPr="00370AF7">
        <w:rPr>
          <w:b/>
          <w:bCs/>
          <w:sz w:val="24"/>
          <w:szCs w:val="24"/>
          <w:lang w:val="es-ES"/>
        </w:rPr>
        <w:t>IMPACTO ESTIMADO EN LAS TARIFAS Y FACTURAS ELÉCTRICAS</w:t>
      </w:r>
    </w:p>
    <w:p w14:paraId="60BD263F" w14:textId="77777777" w:rsidR="00F07FC5" w:rsidRPr="00370AF7" w:rsidRDefault="00F07FC5" w:rsidP="00F07FC5">
      <w:pPr>
        <w:jc w:val="center"/>
        <w:rPr>
          <w:b/>
          <w:sz w:val="24"/>
          <w:szCs w:val="24"/>
          <w:lang w:val="es-ES"/>
        </w:rPr>
      </w:pPr>
    </w:p>
    <w:p w14:paraId="53711C19" w14:textId="65250738" w:rsidR="00EC3B29" w:rsidRPr="00370AF7" w:rsidRDefault="00E655F5" w:rsidP="4139208E">
      <w:pPr>
        <w:rPr>
          <w:sz w:val="24"/>
          <w:szCs w:val="24"/>
          <w:lang w:val="es-ES"/>
        </w:rPr>
      </w:pPr>
      <w:r w:rsidRPr="00370AF7">
        <w:rPr>
          <w:sz w:val="24"/>
          <w:szCs w:val="24"/>
          <w:lang w:val="es-ES"/>
        </w:rPr>
        <w:t xml:space="preserve">Si la CPUC aprueba la solicitud de SDG&amp;E, un cliente residencial típico que no participe en CARE, viva tanto en la zona climática del interior como en la zona costera y consuma 500 kilovatios-hora al mes podría ver un incremento anual promedio en la factura en 2021 de $0.03, o 0.02%. Una factura mensual típica actual podría aumentar de $150.14 a $150.17. </w:t>
      </w:r>
    </w:p>
    <w:p w14:paraId="354FC36C" w14:textId="77777777" w:rsidR="00EC3B29" w:rsidRPr="00370AF7" w:rsidRDefault="00EC3B29" w:rsidP="4139208E">
      <w:pPr>
        <w:rPr>
          <w:sz w:val="24"/>
          <w:szCs w:val="24"/>
          <w:lang w:val="es-ES"/>
        </w:rPr>
      </w:pPr>
    </w:p>
    <w:p w14:paraId="5008E5FE" w14:textId="77777777" w:rsidR="00F07FC5" w:rsidRPr="00370AF7" w:rsidRDefault="00E655F5" w:rsidP="4139208E">
      <w:pPr>
        <w:rPr>
          <w:sz w:val="24"/>
          <w:szCs w:val="24"/>
          <w:lang w:val="es-ES"/>
        </w:rPr>
      </w:pPr>
      <w:r w:rsidRPr="00370AF7">
        <w:rPr>
          <w:sz w:val="24"/>
          <w:szCs w:val="24"/>
          <w:lang w:val="es-ES"/>
        </w:rPr>
        <w:t>Los cuadros mostrados a continuación ilustran el aumento en las tarifas que resultarían de la aprobación de la CPUC de esta solicitud, en comparación con los niveles tarifarios actuales. Los porcentajes mostrados no necesariamente reflejan los cambios que podría ver en su factura. Los cambios en las facturas individuales dependerán también de cuánta electricidad consuma cada cliente.</w:t>
      </w:r>
    </w:p>
    <w:p w14:paraId="006C205D" w14:textId="77777777" w:rsidR="005B4E2B" w:rsidRPr="00370AF7" w:rsidRDefault="005B4E2B">
      <w:pPr>
        <w:rPr>
          <w:sz w:val="22"/>
          <w:szCs w:val="22"/>
          <w:lang w:val="es-ES"/>
        </w:rPr>
      </w:pPr>
    </w:p>
    <w:p w14:paraId="0AA108C9" w14:textId="77777777" w:rsidR="00370AF7" w:rsidRDefault="00370AF7">
      <w:pPr>
        <w:rPr>
          <w:rFonts w:ascii="Times New Roman Bold" w:eastAsia="Times New Roman Bold" w:hAnsi="Times New Roman Bold"/>
          <w:b/>
          <w:bCs/>
          <w:caps/>
          <w:sz w:val="22"/>
          <w:szCs w:val="22"/>
          <w:lang w:val="es-ES"/>
        </w:rPr>
      </w:pPr>
      <w:r>
        <w:rPr>
          <w:rFonts w:ascii="Times New Roman Bold" w:eastAsia="Times New Roman Bold" w:hAnsi="Times New Roman Bold"/>
          <w:b/>
          <w:bCs/>
          <w:caps/>
          <w:sz w:val="22"/>
          <w:szCs w:val="22"/>
          <w:lang w:val="es-ES"/>
        </w:rPr>
        <w:br w:type="page"/>
      </w:r>
    </w:p>
    <w:p w14:paraId="4F223027" w14:textId="689DD92A" w:rsidR="00523B21" w:rsidRPr="00370AF7" w:rsidRDefault="00E655F5">
      <w:pPr>
        <w:jc w:val="center"/>
        <w:rPr>
          <w:rFonts w:ascii="Times New Roman Bold" w:hAnsi="Times New Roman Bold"/>
          <w:b/>
          <w:caps/>
          <w:sz w:val="22"/>
          <w:szCs w:val="22"/>
          <w:vertAlign w:val="superscript"/>
          <w:lang w:val="es-ES"/>
        </w:rPr>
      </w:pPr>
      <w:r w:rsidRPr="00370AF7">
        <w:rPr>
          <w:rFonts w:ascii="Times New Roman Bold" w:eastAsia="Times New Roman Bold" w:hAnsi="Times New Roman Bold"/>
          <w:b/>
          <w:bCs/>
          <w:caps/>
          <w:sz w:val="22"/>
          <w:szCs w:val="22"/>
          <w:lang w:val="es-ES"/>
        </w:rPr>
        <w:lastRenderedPageBreak/>
        <w:t>San Diego Gas &amp; Electric</w:t>
      </w:r>
      <w:r w:rsidRPr="00370AF7">
        <w:rPr>
          <w:rFonts w:ascii="Times New Roman Bold" w:eastAsia="Times New Roman Bold" w:hAnsi="Times New Roman Bold"/>
          <w:b/>
          <w:bCs/>
          <w:caps/>
          <w:sz w:val="22"/>
          <w:szCs w:val="22"/>
          <w:vertAlign w:val="superscript"/>
          <w:lang w:val="es-ES"/>
        </w:rPr>
        <w:t xml:space="preserve">® </w:t>
      </w:r>
    </w:p>
    <w:p w14:paraId="6D9E33FD" w14:textId="554AA8BE" w:rsidR="00523B21" w:rsidRPr="00370AF7" w:rsidRDefault="00E655F5">
      <w:pPr>
        <w:jc w:val="center"/>
        <w:rPr>
          <w:rFonts w:ascii="Times New Roman Bold" w:hAnsi="Times New Roman Bold"/>
          <w:b/>
          <w:caps/>
          <w:sz w:val="22"/>
          <w:szCs w:val="22"/>
          <w:lang w:val="es-ES"/>
        </w:rPr>
      </w:pPr>
      <w:r w:rsidRPr="00370AF7">
        <w:rPr>
          <w:rFonts w:ascii="Times New Roman Bold" w:eastAsia="Times New Roman Bold" w:hAnsi="Times New Roman Bold"/>
          <w:b/>
          <w:bCs/>
          <w:caps/>
          <w:sz w:val="22"/>
          <w:szCs w:val="22"/>
          <w:lang w:val="es-ES"/>
        </w:rPr>
        <w:t>Implementación de tarifas no residenc</w:t>
      </w:r>
      <w:r w:rsidR="00370AF7" w:rsidRPr="00370AF7">
        <w:rPr>
          <w:rFonts w:ascii="Times New Roman Bold" w:eastAsia="Times New Roman Bold" w:hAnsi="Times New Roman Bold"/>
          <w:b/>
          <w:bCs/>
          <w:caps/>
          <w:sz w:val="22"/>
          <w:szCs w:val="22"/>
          <w:lang w:val="es-ES"/>
        </w:rPr>
        <w:t>iales para vehículos eléctricos</w:t>
      </w:r>
      <w:r w:rsidRPr="00370AF7">
        <w:rPr>
          <w:rFonts w:ascii="Times New Roman Bold" w:eastAsia="Times New Roman Bold" w:hAnsi="Times New Roman Bold"/>
          <w:b/>
          <w:bCs/>
          <w:caps/>
          <w:sz w:val="22"/>
          <w:szCs w:val="22"/>
          <w:lang w:val="es-ES"/>
        </w:rPr>
        <w:t xml:space="preserve"> </w:t>
      </w:r>
    </w:p>
    <w:p w14:paraId="693D64D2" w14:textId="77777777" w:rsidR="00662542" w:rsidRPr="00370AF7" w:rsidRDefault="00E655F5" w:rsidP="00662542">
      <w:pPr>
        <w:jc w:val="center"/>
        <w:rPr>
          <w:rFonts w:ascii="Times New Roman Bold" w:hAnsi="Times New Roman Bold"/>
          <w:b/>
          <w:caps/>
          <w:sz w:val="22"/>
          <w:szCs w:val="22"/>
          <w:lang w:val="es-ES"/>
        </w:rPr>
      </w:pPr>
      <w:r w:rsidRPr="00370AF7">
        <w:rPr>
          <w:rFonts w:ascii="Times New Roman Bold" w:eastAsia="Times New Roman Bold" w:hAnsi="Times New Roman Bold"/>
          <w:b/>
          <w:bCs/>
          <w:caps/>
          <w:sz w:val="22"/>
          <w:szCs w:val="22"/>
          <w:lang w:val="es-ES"/>
        </w:rPr>
        <w:t>AUMENTO ILUSTRATIVO EN LA TARIFA ELÉCTRICA EN PAQUETE</w:t>
      </w:r>
    </w:p>
    <w:p w14:paraId="7351CC7D" w14:textId="77777777" w:rsidR="00523B21" w:rsidRPr="00370AF7" w:rsidRDefault="00E655F5">
      <w:pPr>
        <w:jc w:val="center"/>
        <w:rPr>
          <w:rFonts w:ascii="Times New Roman Bold" w:hAnsi="Times New Roman Bold"/>
          <w:b/>
          <w:caps/>
          <w:sz w:val="22"/>
          <w:szCs w:val="22"/>
          <w:lang w:val="es-ES"/>
        </w:rPr>
      </w:pPr>
      <w:r w:rsidRPr="00370AF7">
        <w:rPr>
          <w:rFonts w:ascii="Times New Roman Bold" w:eastAsia="Times New Roman Bold" w:hAnsi="Times New Roman Bold"/>
          <w:b/>
          <w:bCs/>
          <w:caps/>
          <w:sz w:val="22"/>
          <w:szCs w:val="22"/>
          <w:lang w:val="es-ES"/>
        </w:rPr>
        <w:t>2021</w:t>
      </w:r>
    </w:p>
    <w:p w14:paraId="241ECF73" w14:textId="77777777" w:rsidR="00662542" w:rsidRPr="00370AF7" w:rsidRDefault="00662542">
      <w:pPr>
        <w:jc w:val="center"/>
        <w:rPr>
          <w:rFonts w:ascii="Times New Roman Bold" w:hAnsi="Times New Roman Bold"/>
          <w:caps/>
          <w:sz w:val="22"/>
          <w:szCs w:val="22"/>
          <w:lang w:val="es-ES"/>
        </w:rPr>
      </w:pPr>
    </w:p>
    <w:tbl>
      <w:tblPr>
        <w:tblW w:w="7403" w:type="dxa"/>
        <w:jc w:val="center"/>
        <w:tblCellMar>
          <w:left w:w="0" w:type="dxa"/>
          <w:right w:w="0" w:type="dxa"/>
        </w:tblCellMar>
        <w:tblLook w:val="0000" w:firstRow="0" w:lastRow="0" w:firstColumn="0" w:lastColumn="0" w:noHBand="0" w:noVBand="0"/>
      </w:tblPr>
      <w:tblGrid>
        <w:gridCol w:w="7"/>
        <w:gridCol w:w="8"/>
        <w:gridCol w:w="2424"/>
        <w:gridCol w:w="8"/>
        <w:gridCol w:w="8"/>
        <w:gridCol w:w="1829"/>
        <w:gridCol w:w="1943"/>
        <w:gridCol w:w="588"/>
        <w:gridCol w:w="588"/>
      </w:tblGrid>
      <w:tr w:rsidR="00D03347" w:rsidRPr="00370AF7" w14:paraId="444192C2" w14:textId="77777777" w:rsidTr="4139208E">
        <w:trPr>
          <w:trHeight w:val="300"/>
          <w:jc w:val="center"/>
        </w:trPr>
        <w:tc>
          <w:tcPr>
            <w:tcW w:w="0" w:type="auto"/>
            <w:tcBorders>
              <w:top w:val="nil"/>
              <w:left w:val="nil"/>
              <w:bottom w:val="nil"/>
              <w:right w:val="nil"/>
            </w:tcBorders>
            <w:shd w:val="clear" w:color="auto" w:fill="auto"/>
            <w:noWrap/>
            <w:vAlign w:val="bottom"/>
          </w:tcPr>
          <w:p w14:paraId="4D0921F4" w14:textId="77777777" w:rsidR="00523B21" w:rsidRPr="00370AF7" w:rsidRDefault="00523B21">
            <w:pPr>
              <w:rPr>
                <w:rFonts w:ascii="Book Antiqua" w:hAnsi="Book Antiqua" w:cs="Arial"/>
                <w:lang w:val="es-ES"/>
              </w:rPr>
            </w:pPr>
          </w:p>
        </w:tc>
        <w:tc>
          <w:tcPr>
            <w:tcW w:w="0" w:type="auto"/>
            <w:gridSpan w:val="2"/>
            <w:tcBorders>
              <w:top w:val="nil"/>
              <w:left w:val="nil"/>
              <w:bottom w:val="single" w:sz="4" w:space="0" w:color="auto"/>
              <w:right w:val="nil"/>
            </w:tcBorders>
            <w:shd w:val="clear" w:color="auto" w:fill="auto"/>
            <w:noWrap/>
            <w:vAlign w:val="bottom"/>
          </w:tcPr>
          <w:p w14:paraId="726869CD" w14:textId="77777777" w:rsidR="00523B21" w:rsidRPr="00370AF7" w:rsidRDefault="00E655F5">
            <w:pPr>
              <w:jc w:val="center"/>
              <w:rPr>
                <w:rFonts w:ascii="Book Antiqua" w:hAnsi="Book Antiqua" w:cs="Arial"/>
                <w:b/>
                <w:bCs/>
                <w:lang w:val="es-ES"/>
              </w:rPr>
            </w:pPr>
            <w:r w:rsidRPr="00370AF7">
              <w:rPr>
                <w:rFonts w:ascii="Book Antiqua" w:eastAsia="Book Antiqua" w:hAnsi="Book Antiqua" w:cs="Arial"/>
                <w:b/>
                <w:bCs/>
                <w:lang w:val="es-ES"/>
              </w:rPr>
              <w:t>Clase de cliente</w:t>
            </w:r>
          </w:p>
        </w:tc>
        <w:tc>
          <w:tcPr>
            <w:tcW w:w="0" w:type="auto"/>
            <w:tcBorders>
              <w:top w:val="nil"/>
              <w:left w:val="nil"/>
              <w:bottom w:val="nil"/>
              <w:right w:val="nil"/>
            </w:tcBorders>
            <w:shd w:val="clear" w:color="auto" w:fill="auto"/>
            <w:noWrap/>
            <w:vAlign w:val="bottom"/>
          </w:tcPr>
          <w:p w14:paraId="2AAFC759" w14:textId="77777777" w:rsidR="00523B21" w:rsidRPr="00370AF7" w:rsidRDefault="00523B21">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347F6E22" w14:textId="77777777" w:rsidR="00523B21" w:rsidRPr="00370AF7" w:rsidRDefault="00523B21">
            <w:pPr>
              <w:jc w:val="center"/>
              <w:rPr>
                <w:rFonts w:ascii="Book Antiqua" w:hAnsi="Book Antiqua" w:cs="Arial"/>
                <w:b/>
                <w:bCs/>
                <w:lang w:val="es-ES"/>
              </w:rPr>
            </w:pPr>
          </w:p>
        </w:tc>
        <w:tc>
          <w:tcPr>
            <w:tcW w:w="0" w:type="auto"/>
            <w:tcBorders>
              <w:top w:val="nil"/>
              <w:left w:val="nil"/>
              <w:bottom w:val="single" w:sz="4" w:space="0" w:color="auto"/>
              <w:right w:val="nil"/>
            </w:tcBorders>
            <w:shd w:val="clear" w:color="auto" w:fill="auto"/>
            <w:noWrap/>
            <w:vAlign w:val="bottom"/>
          </w:tcPr>
          <w:p w14:paraId="17B0EF29" w14:textId="77777777" w:rsidR="00DC222F" w:rsidRPr="00370AF7" w:rsidRDefault="00E655F5" w:rsidP="00DC222F">
            <w:pPr>
              <w:jc w:val="center"/>
              <w:rPr>
                <w:rFonts w:ascii="Book Antiqua" w:hAnsi="Book Antiqua" w:cs="Arial"/>
                <w:b/>
                <w:bCs/>
                <w:lang w:val="es-ES"/>
              </w:rPr>
            </w:pPr>
            <w:r w:rsidRPr="00370AF7">
              <w:rPr>
                <w:rFonts w:ascii="Book Antiqua" w:eastAsia="Book Antiqua" w:hAnsi="Book Antiqua" w:cs="Arial"/>
                <w:b/>
                <w:bCs/>
                <w:lang w:val="es-ES"/>
              </w:rPr>
              <w:t>Tarifas actuales</w:t>
            </w:r>
            <w:r w:rsidRPr="00370AF7">
              <w:rPr>
                <w:rFonts w:ascii="Book Antiqua" w:eastAsia="Book Antiqua" w:hAnsi="Book Antiqua" w:cs="Arial"/>
                <w:lang w:val="es-ES"/>
              </w:rPr>
              <w:t xml:space="preserve"> </w:t>
            </w:r>
          </w:p>
          <w:p w14:paraId="79D3C571" w14:textId="77777777" w:rsidR="00523B21" w:rsidRPr="00370AF7" w:rsidRDefault="00E655F5">
            <w:pPr>
              <w:jc w:val="center"/>
              <w:rPr>
                <w:rFonts w:ascii="Book Antiqua" w:hAnsi="Book Antiqua" w:cs="Arial"/>
                <w:b/>
                <w:bCs/>
                <w:lang w:val="es-ES"/>
              </w:rPr>
            </w:pPr>
            <w:r w:rsidRPr="00370AF7">
              <w:rPr>
                <w:rFonts w:ascii="Book Antiqua" w:eastAsia="Book Antiqua" w:hAnsi="Book Antiqua" w:cs="Arial"/>
                <w:b/>
                <w:bCs/>
                <w:lang w:val="es-ES"/>
              </w:rPr>
              <w:t xml:space="preserve">(6/1/2019) </w:t>
            </w:r>
          </w:p>
        </w:tc>
        <w:tc>
          <w:tcPr>
            <w:tcW w:w="0" w:type="auto"/>
            <w:tcBorders>
              <w:top w:val="nil"/>
              <w:left w:val="nil"/>
              <w:bottom w:val="single" w:sz="4" w:space="0" w:color="auto"/>
              <w:right w:val="nil"/>
            </w:tcBorders>
            <w:shd w:val="clear" w:color="auto" w:fill="auto"/>
            <w:noWrap/>
            <w:vAlign w:val="bottom"/>
          </w:tcPr>
          <w:p w14:paraId="4C4A802E" w14:textId="77777777" w:rsidR="00523B21" w:rsidRPr="00370AF7" w:rsidRDefault="00E655F5" w:rsidP="00F43761">
            <w:pPr>
              <w:jc w:val="center"/>
              <w:rPr>
                <w:rFonts w:ascii="Book Antiqua" w:hAnsi="Book Antiqua" w:cs="Arial"/>
                <w:b/>
                <w:bCs/>
                <w:lang w:val="es-ES"/>
              </w:rPr>
            </w:pPr>
            <w:r w:rsidRPr="00370AF7">
              <w:rPr>
                <w:rFonts w:ascii="Book Antiqua" w:eastAsia="Book Antiqua" w:hAnsi="Book Antiqua" w:cs="Arial"/>
                <w:b/>
                <w:bCs/>
                <w:lang w:val="es-ES"/>
              </w:rPr>
              <w:t>Tarifa propuesta</w:t>
            </w:r>
          </w:p>
        </w:tc>
        <w:tc>
          <w:tcPr>
            <w:tcW w:w="0" w:type="auto"/>
            <w:gridSpan w:val="2"/>
            <w:tcBorders>
              <w:top w:val="nil"/>
              <w:left w:val="nil"/>
              <w:bottom w:val="single" w:sz="4" w:space="0" w:color="auto"/>
              <w:right w:val="nil"/>
            </w:tcBorders>
            <w:shd w:val="clear" w:color="auto" w:fill="auto"/>
            <w:noWrap/>
            <w:vAlign w:val="bottom"/>
          </w:tcPr>
          <w:p w14:paraId="61242F90" w14:textId="77777777" w:rsidR="00523B21" w:rsidRPr="00370AF7" w:rsidRDefault="00E655F5" w:rsidP="004B5766">
            <w:pPr>
              <w:ind w:left="-165" w:right="105"/>
              <w:jc w:val="center"/>
              <w:rPr>
                <w:rFonts w:ascii="Book Antiqua" w:hAnsi="Book Antiqua" w:cs="Arial"/>
                <w:b/>
                <w:bCs/>
                <w:lang w:val="es-ES"/>
              </w:rPr>
            </w:pPr>
            <w:r w:rsidRPr="00370AF7">
              <w:rPr>
                <w:rFonts w:ascii="Book Antiqua" w:eastAsia="Book Antiqua" w:hAnsi="Book Antiqua" w:cs="Arial"/>
                <w:b/>
                <w:bCs/>
                <w:lang w:val="es-ES"/>
              </w:rPr>
              <w:t>Aumento</w:t>
            </w:r>
          </w:p>
        </w:tc>
      </w:tr>
      <w:tr w:rsidR="00D03347" w:rsidRPr="00370AF7" w14:paraId="1563FD47" w14:textId="77777777" w:rsidTr="4139208E">
        <w:trPr>
          <w:trHeight w:val="300"/>
          <w:jc w:val="center"/>
        </w:trPr>
        <w:tc>
          <w:tcPr>
            <w:tcW w:w="0" w:type="auto"/>
            <w:tcBorders>
              <w:top w:val="nil"/>
              <w:left w:val="nil"/>
              <w:bottom w:val="nil"/>
              <w:right w:val="nil"/>
            </w:tcBorders>
            <w:shd w:val="clear" w:color="auto" w:fill="auto"/>
            <w:noWrap/>
            <w:vAlign w:val="bottom"/>
          </w:tcPr>
          <w:p w14:paraId="22A80873" w14:textId="77777777" w:rsidR="00523B21" w:rsidRPr="00370AF7" w:rsidRDefault="00523B21">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2358F3CE" w14:textId="77777777" w:rsidR="00523B21" w:rsidRPr="00370AF7" w:rsidRDefault="00523B21">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268DD904" w14:textId="77777777" w:rsidR="00523B21" w:rsidRPr="00370AF7" w:rsidRDefault="00523B21">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2ACB2441" w14:textId="77777777" w:rsidR="00523B21" w:rsidRPr="00370AF7" w:rsidRDefault="00523B21">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4E3A9520" w14:textId="77777777" w:rsidR="00523B21" w:rsidRPr="00370AF7" w:rsidRDefault="00523B21">
            <w:pPr>
              <w:jc w:val="center"/>
              <w:rPr>
                <w:rFonts w:ascii="Book Antiqua" w:hAnsi="Book Antiqua" w:cs="Arial"/>
                <w:b/>
                <w:bCs/>
                <w:lang w:val="es-ES"/>
              </w:rPr>
            </w:pPr>
          </w:p>
        </w:tc>
        <w:tc>
          <w:tcPr>
            <w:tcW w:w="0" w:type="auto"/>
            <w:tcBorders>
              <w:top w:val="nil"/>
              <w:left w:val="nil"/>
              <w:bottom w:val="nil"/>
              <w:right w:val="nil"/>
            </w:tcBorders>
            <w:shd w:val="clear" w:color="auto" w:fill="auto"/>
            <w:noWrap/>
            <w:vAlign w:val="bottom"/>
          </w:tcPr>
          <w:p w14:paraId="3877B95A" w14:textId="77777777" w:rsidR="00523B21" w:rsidRPr="00370AF7" w:rsidRDefault="00E655F5">
            <w:pPr>
              <w:jc w:val="center"/>
              <w:rPr>
                <w:rFonts w:ascii="Book Antiqua" w:hAnsi="Book Antiqua" w:cs="Arial"/>
                <w:b/>
                <w:bCs/>
                <w:lang w:val="es-ES"/>
              </w:rPr>
            </w:pPr>
            <w:r w:rsidRPr="00370AF7">
              <w:rPr>
                <w:rFonts w:ascii="Book Antiqua" w:eastAsia="Book Antiqua" w:hAnsi="Book Antiqua" w:cs="Arial"/>
                <w:b/>
                <w:bCs/>
                <w:lang w:val="es-ES"/>
              </w:rPr>
              <w:t>¢/kWh</w:t>
            </w:r>
          </w:p>
        </w:tc>
        <w:tc>
          <w:tcPr>
            <w:tcW w:w="0" w:type="auto"/>
            <w:tcBorders>
              <w:top w:val="nil"/>
              <w:left w:val="nil"/>
              <w:bottom w:val="nil"/>
              <w:right w:val="nil"/>
            </w:tcBorders>
            <w:shd w:val="clear" w:color="auto" w:fill="auto"/>
            <w:noWrap/>
            <w:vAlign w:val="bottom"/>
          </w:tcPr>
          <w:p w14:paraId="640E8B88" w14:textId="77777777" w:rsidR="00523B21" w:rsidRPr="00370AF7" w:rsidRDefault="00E655F5">
            <w:pPr>
              <w:jc w:val="center"/>
              <w:rPr>
                <w:rFonts w:ascii="Book Antiqua" w:hAnsi="Book Antiqua" w:cs="Arial"/>
                <w:b/>
                <w:bCs/>
                <w:lang w:val="es-ES"/>
              </w:rPr>
            </w:pPr>
            <w:r w:rsidRPr="00370AF7">
              <w:rPr>
                <w:rFonts w:ascii="Book Antiqua" w:eastAsia="Book Antiqua" w:hAnsi="Book Antiqua" w:cs="Arial"/>
                <w:b/>
                <w:bCs/>
                <w:lang w:val="es-ES"/>
              </w:rPr>
              <w:t>¢/kWh</w:t>
            </w:r>
          </w:p>
        </w:tc>
        <w:tc>
          <w:tcPr>
            <w:tcW w:w="0" w:type="auto"/>
            <w:tcBorders>
              <w:top w:val="nil"/>
              <w:left w:val="nil"/>
              <w:bottom w:val="nil"/>
              <w:right w:val="nil"/>
            </w:tcBorders>
          </w:tcPr>
          <w:p w14:paraId="1D0BD872" w14:textId="77777777" w:rsidR="00523B21" w:rsidRPr="00370AF7" w:rsidRDefault="00E655F5">
            <w:pPr>
              <w:jc w:val="center"/>
              <w:rPr>
                <w:rFonts w:ascii="Book Antiqua" w:hAnsi="Book Antiqua" w:cs="Arial"/>
                <w:b/>
                <w:bCs/>
                <w:lang w:val="es-ES"/>
              </w:rPr>
            </w:pPr>
            <w:r w:rsidRPr="00370AF7">
              <w:rPr>
                <w:rFonts w:ascii="Book Antiqua" w:hAnsi="Book Antiqua" w:cs="Arial"/>
                <w:b/>
                <w:bCs/>
                <w:lang w:val="es-ES"/>
              </w:rPr>
              <w:t>¢</w:t>
            </w:r>
          </w:p>
        </w:tc>
        <w:tc>
          <w:tcPr>
            <w:tcW w:w="0" w:type="auto"/>
            <w:tcBorders>
              <w:top w:val="nil"/>
              <w:left w:val="nil"/>
              <w:bottom w:val="nil"/>
              <w:right w:val="nil"/>
            </w:tcBorders>
            <w:shd w:val="clear" w:color="auto" w:fill="auto"/>
            <w:noWrap/>
            <w:vAlign w:val="bottom"/>
          </w:tcPr>
          <w:p w14:paraId="6A7B4070" w14:textId="77777777" w:rsidR="00523B21" w:rsidRPr="00370AF7" w:rsidRDefault="00E655F5">
            <w:pPr>
              <w:jc w:val="center"/>
              <w:rPr>
                <w:rFonts w:ascii="Book Antiqua" w:hAnsi="Book Antiqua" w:cs="Arial"/>
                <w:b/>
                <w:bCs/>
                <w:lang w:val="es-ES"/>
              </w:rPr>
            </w:pPr>
            <w:r w:rsidRPr="00370AF7">
              <w:rPr>
                <w:rFonts w:ascii="Book Antiqua" w:hAnsi="Book Antiqua" w:cs="Arial"/>
                <w:b/>
                <w:bCs/>
                <w:lang w:val="es-ES"/>
              </w:rPr>
              <w:t>%</w:t>
            </w:r>
          </w:p>
        </w:tc>
      </w:tr>
      <w:tr w:rsidR="00D03347" w:rsidRPr="00370AF7" w14:paraId="1E647867" w14:textId="77777777" w:rsidTr="4139208E">
        <w:trPr>
          <w:trHeight w:val="300"/>
          <w:jc w:val="center"/>
        </w:trPr>
        <w:tc>
          <w:tcPr>
            <w:tcW w:w="0" w:type="auto"/>
            <w:tcBorders>
              <w:top w:val="nil"/>
              <w:left w:val="nil"/>
              <w:bottom w:val="nil"/>
              <w:right w:val="nil"/>
            </w:tcBorders>
            <w:shd w:val="clear" w:color="auto" w:fill="auto"/>
            <w:noWrap/>
            <w:vAlign w:val="bottom"/>
          </w:tcPr>
          <w:p w14:paraId="37F8588C" w14:textId="77777777" w:rsidR="00523B21" w:rsidRPr="00370AF7" w:rsidRDefault="00523B21">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4D69BED6" w14:textId="77777777" w:rsidR="00523B21" w:rsidRPr="00370AF7" w:rsidRDefault="00523B21">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6CCAF89F" w14:textId="6DEA56FC" w:rsidR="00523B21" w:rsidRPr="00370AF7" w:rsidRDefault="00523B21">
            <w:pPr>
              <w:jc w:val="center"/>
              <w:rPr>
                <w:rFonts w:ascii="Book Antiqua" w:hAnsi="Book Antiqua" w:cs="Arial"/>
                <w:b/>
                <w:bCs/>
                <w:lang w:val="es-ES"/>
              </w:rPr>
            </w:pPr>
          </w:p>
        </w:tc>
        <w:tc>
          <w:tcPr>
            <w:tcW w:w="0" w:type="auto"/>
            <w:tcBorders>
              <w:top w:val="nil"/>
              <w:left w:val="nil"/>
              <w:bottom w:val="nil"/>
              <w:right w:val="nil"/>
            </w:tcBorders>
            <w:shd w:val="clear" w:color="auto" w:fill="auto"/>
            <w:noWrap/>
            <w:vAlign w:val="bottom"/>
          </w:tcPr>
          <w:p w14:paraId="41B0E6A5" w14:textId="77777777" w:rsidR="00523B21" w:rsidRPr="00370AF7" w:rsidRDefault="00523B21">
            <w:pPr>
              <w:rPr>
                <w:rFonts w:ascii="Book Antiqua" w:hAnsi="Book Antiqua" w:cs="Arial"/>
                <w:b/>
                <w:bCs/>
                <w:lang w:val="es-ES"/>
              </w:rPr>
            </w:pPr>
          </w:p>
        </w:tc>
        <w:tc>
          <w:tcPr>
            <w:tcW w:w="0" w:type="auto"/>
            <w:tcBorders>
              <w:top w:val="nil"/>
              <w:left w:val="nil"/>
              <w:bottom w:val="nil"/>
              <w:right w:val="nil"/>
            </w:tcBorders>
            <w:shd w:val="clear" w:color="auto" w:fill="auto"/>
            <w:noWrap/>
            <w:vAlign w:val="bottom"/>
          </w:tcPr>
          <w:p w14:paraId="3A8D1D96" w14:textId="77777777" w:rsidR="00523B21" w:rsidRPr="00370AF7" w:rsidRDefault="00523B21">
            <w:pPr>
              <w:jc w:val="center"/>
              <w:rPr>
                <w:rFonts w:ascii="Book Antiqua" w:hAnsi="Book Antiqua" w:cs="Arial"/>
                <w:b/>
                <w:bCs/>
                <w:lang w:val="es-ES"/>
              </w:rPr>
            </w:pPr>
          </w:p>
        </w:tc>
        <w:tc>
          <w:tcPr>
            <w:tcW w:w="0" w:type="auto"/>
            <w:tcBorders>
              <w:top w:val="nil"/>
              <w:left w:val="nil"/>
              <w:bottom w:val="nil"/>
              <w:right w:val="nil"/>
            </w:tcBorders>
            <w:shd w:val="clear" w:color="auto" w:fill="auto"/>
            <w:noWrap/>
            <w:vAlign w:val="bottom"/>
          </w:tcPr>
          <w:p w14:paraId="52B4CE92" w14:textId="52180293" w:rsidR="00523B21" w:rsidRPr="00370AF7" w:rsidRDefault="00523B21">
            <w:pPr>
              <w:jc w:val="center"/>
              <w:rPr>
                <w:rFonts w:ascii="Book Antiqua" w:hAnsi="Book Antiqua" w:cs="Arial"/>
                <w:b/>
                <w:bCs/>
                <w:lang w:val="es-ES"/>
              </w:rPr>
            </w:pPr>
          </w:p>
        </w:tc>
        <w:tc>
          <w:tcPr>
            <w:tcW w:w="0" w:type="auto"/>
            <w:tcBorders>
              <w:top w:val="nil"/>
              <w:left w:val="nil"/>
              <w:bottom w:val="nil"/>
              <w:right w:val="nil"/>
            </w:tcBorders>
            <w:shd w:val="clear" w:color="auto" w:fill="auto"/>
            <w:noWrap/>
            <w:vAlign w:val="bottom"/>
          </w:tcPr>
          <w:p w14:paraId="7D659106" w14:textId="7E279325" w:rsidR="00523B21" w:rsidRPr="00370AF7" w:rsidRDefault="00523B21">
            <w:pPr>
              <w:jc w:val="center"/>
              <w:rPr>
                <w:rFonts w:ascii="Book Antiqua" w:hAnsi="Book Antiqua" w:cs="Arial"/>
                <w:b/>
                <w:bCs/>
                <w:lang w:val="es-ES"/>
              </w:rPr>
            </w:pPr>
          </w:p>
        </w:tc>
        <w:tc>
          <w:tcPr>
            <w:tcW w:w="0" w:type="auto"/>
            <w:tcBorders>
              <w:top w:val="nil"/>
              <w:left w:val="nil"/>
              <w:bottom w:val="nil"/>
              <w:right w:val="nil"/>
            </w:tcBorders>
            <w:vAlign w:val="bottom"/>
          </w:tcPr>
          <w:p w14:paraId="3C799927" w14:textId="4F44F929" w:rsidR="00523B21" w:rsidRPr="00370AF7" w:rsidRDefault="00523B21">
            <w:pPr>
              <w:jc w:val="center"/>
              <w:rPr>
                <w:rFonts w:ascii="Book Antiqua" w:hAnsi="Book Antiqua" w:cs="Arial"/>
                <w:b/>
                <w:bCs/>
                <w:lang w:val="es-ES"/>
              </w:rPr>
            </w:pPr>
          </w:p>
        </w:tc>
        <w:tc>
          <w:tcPr>
            <w:tcW w:w="0" w:type="auto"/>
            <w:tcBorders>
              <w:top w:val="nil"/>
              <w:left w:val="nil"/>
              <w:bottom w:val="nil"/>
              <w:right w:val="nil"/>
            </w:tcBorders>
            <w:shd w:val="clear" w:color="auto" w:fill="auto"/>
            <w:noWrap/>
            <w:vAlign w:val="bottom"/>
          </w:tcPr>
          <w:p w14:paraId="1FF53E51" w14:textId="36299DA8" w:rsidR="00523B21" w:rsidRPr="00370AF7" w:rsidRDefault="00523B21">
            <w:pPr>
              <w:jc w:val="center"/>
              <w:rPr>
                <w:rFonts w:ascii="Book Antiqua" w:hAnsi="Book Antiqua" w:cs="Arial"/>
                <w:b/>
                <w:bCs/>
                <w:lang w:val="es-ES"/>
              </w:rPr>
            </w:pPr>
          </w:p>
        </w:tc>
      </w:tr>
      <w:tr w:rsidR="00D03347" w:rsidRPr="00370AF7" w14:paraId="13D4338B" w14:textId="77777777" w:rsidTr="4139208E">
        <w:trPr>
          <w:trHeight w:val="270"/>
          <w:jc w:val="center"/>
        </w:trPr>
        <w:tc>
          <w:tcPr>
            <w:tcW w:w="0" w:type="auto"/>
            <w:tcBorders>
              <w:top w:val="nil"/>
              <w:left w:val="nil"/>
              <w:bottom w:val="nil"/>
              <w:right w:val="nil"/>
            </w:tcBorders>
            <w:shd w:val="clear" w:color="auto" w:fill="auto"/>
            <w:noWrap/>
            <w:vAlign w:val="bottom"/>
          </w:tcPr>
          <w:p w14:paraId="0F6BCC21" w14:textId="77777777" w:rsidR="00F43FAF" w:rsidRPr="00370AF7" w:rsidRDefault="00F43FAF" w:rsidP="00F43FAF">
            <w:pPr>
              <w:jc w:val="right"/>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3582D71F"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77837E86" w14:textId="77777777" w:rsidR="00F43FAF" w:rsidRPr="00370AF7" w:rsidRDefault="00E655F5" w:rsidP="00F43FAF">
            <w:pPr>
              <w:rPr>
                <w:rFonts w:ascii="Book Antiqua" w:hAnsi="Book Antiqua" w:cs="Arial"/>
                <w:lang w:val="es-ES"/>
              </w:rPr>
            </w:pPr>
            <w:r w:rsidRPr="00370AF7">
              <w:rPr>
                <w:rFonts w:ascii="Book Antiqua" w:eastAsia="Book Antiqua" w:hAnsi="Book Antiqua" w:cs="Arial"/>
                <w:lang w:val="es-ES"/>
              </w:rPr>
              <w:t>Residencial</w:t>
            </w:r>
          </w:p>
        </w:tc>
        <w:tc>
          <w:tcPr>
            <w:tcW w:w="0" w:type="auto"/>
            <w:tcBorders>
              <w:top w:val="nil"/>
              <w:left w:val="nil"/>
              <w:bottom w:val="nil"/>
              <w:right w:val="nil"/>
            </w:tcBorders>
            <w:shd w:val="clear" w:color="auto" w:fill="auto"/>
            <w:noWrap/>
            <w:vAlign w:val="bottom"/>
          </w:tcPr>
          <w:p w14:paraId="0A99D8B6"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4B1B85AC" w14:textId="77777777" w:rsidR="00F43FAF" w:rsidRPr="00370AF7" w:rsidRDefault="00F43FAF" w:rsidP="00F43FAF">
            <w:pPr>
              <w:jc w:val="cente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79E4033A"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27.368</w:t>
            </w:r>
          </w:p>
        </w:tc>
        <w:tc>
          <w:tcPr>
            <w:tcW w:w="0" w:type="auto"/>
            <w:tcBorders>
              <w:top w:val="nil"/>
              <w:left w:val="nil"/>
              <w:bottom w:val="nil"/>
              <w:right w:val="nil"/>
            </w:tcBorders>
            <w:shd w:val="clear" w:color="auto" w:fill="auto"/>
            <w:noWrap/>
            <w:vAlign w:val="center"/>
          </w:tcPr>
          <w:p w14:paraId="3B5CCFEA"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27.376</w:t>
            </w:r>
          </w:p>
        </w:tc>
        <w:tc>
          <w:tcPr>
            <w:tcW w:w="0" w:type="auto"/>
            <w:tcBorders>
              <w:top w:val="nil"/>
              <w:left w:val="nil"/>
              <w:bottom w:val="nil"/>
              <w:right w:val="nil"/>
            </w:tcBorders>
          </w:tcPr>
          <w:p w14:paraId="72A129FC"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0.008</w:t>
            </w:r>
          </w:p>
        </w:tc>
        <w:tc>
          <w:tcPr>
            <w:tcW w:w="0" w:type="auto"/>
            <w:tcBorders>
              <w:top w:val="nil"/>
              <w:left w:val="nil"/>
              <w:bottom w:val="nil"/>
              <w:right w:val="nil"/>
            </w:tcBorders>
            <w:shd w:val="clear" w:color="auto" w:fill="auto"/>
            <w:noWrap/>
            <w:vAlign w:val="center"/>
          </w:tcPr>
          <w:p w14:paraId="2BD48A8E"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0.029</w:t>
            </w:r>
          </w:p>
        </w:tc>
      </w:tr>
      <w:tr w:rsidR="00D03347" w:rsidRPr="00370AF7" w14:paraId="715B2730" w14:textId="77777777" w:rsidTr="4139208E">
        <w:trPr>
          <w:trHeight w:val="270"/>
          <w:jc w:val="center"/>
        </w:trPr>
        <w:tc>
          <w:tcPr>
            <w:tcW w:w="0" w:type="auto"/>
            <w:tcBorders>
              <w:top w:val="nil"/>
              <w:left w:val="nil"/>
              <w:bottom w:val="nil"/>
              <w:right w:val="nil"/>
            </w:tcBorders>
            <w:shd w:val="clear" w:color="auto" w:fill="auto"/>
            <w:noWrap/>
            <w:vAlign w:val="bottom"/>
          </w:tcPr>
          <w:p w14:paraId="4ECA19B0" w14:textId="77777777" w:rsidR="00F43FAF" w:rsidRPr="00370AF7" w:rsidRDefault="00F43FAF" w:rsidP="00F43FAF">
            <w:pPr>
              <w:jc w:val="right"/>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3A4845A3"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01A449BF" w14:textId="77777777" w:rsidR="00F43FAF" w:rsidRPr="00370AF7" w:rsidRDefault="00E655F5" w:rsidP="00F43FAF">
            <w:pPr>
              <w:rPr>
                <w:rFonts w:ascii="Book Antiqua" w:hAnsi="Book Antiqua" w:cs="Arial"/>
                <w:lang w:val="es-ES"/>
              </w:rPr>
            </w:pPr>
            <w:r w:rsidRPr="00370AF7">
              <w:rPr>
                <w:rFonts w:ascii="Book Antiqua" w:eastAsia="Book Antiqua" w:hAnsi="Book Antiqua" w:cs="Arial"/>
                <w:lang w:val="es-ES"/>
              </w:rPr>
              <w:t>Comercial pequeño</w:t>
            </w:r>
          </w:p>
        </w:tc>
        <w:tc>
          <w:tcPr>
            <w:tcW w:w="0" w:type="auto"/>
            <w:tcBorders>
              <w:top w:val="nil"/>
              <w:left w:val="nil"/>
              <w:bottom w:val="nil"/>
              <w:right w:val="nil"/>
            </w:tcBorders>
            <w:shd w:val="clear" w:color="auto" w:fill="auto"/>
            <w:noWrap/>
            <w:vAlign w:val="bottom"/>
          </w:tcPr>
          <w:p w14:paraId="16ADDB76"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26C904C1" w14:textId="77777777" w:rsidR="00F43FAF" w:rsidRPr="00370AF7" w:rsidRDefault="00F43FAF" w:rsidP="00F43FAF">
            <w:pPr>
              <w:jc w:val="cente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08C818A6"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25.305</w:t>
            </w:r>
          </w:p>
        </w:tc>
        <w:tc>
          <w:tcPr>
            <w:tcW w:w="0" w:type="auto"/>
            <w:tcBorders>
              <w:top w:val="nil"/>
              <w:left w:val="nil"/>
              <w:bottom w:val="nil"/>
              <w:right w:val="nil"/>
            </w:tcBorders>
            <w:shd w:val="clear" w:color="auto" w:fill="auto"/>
            <w:noWrap/>
            <w:vAlign w:val="center"/>
          </w:tcPr>
          <w:p w14:paraId="7F6660CB"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25.312</w:t>
            </w:r>
          </w:p>
        </w:tc>
        <w:tc>
          <w:tcPr>
            <w:tcW w:w="0" w:type="auto"/>
            <w:tcBorders>
              <w:top w:val="nil"/>
              <w:left w:val="nil"/>
              <w:bottom w:val="nil"/>
              <w:right w:val="nil"/>
            </w:tcBorders>
          </w:tcPr>
          <w:p w14:paraId="159C550E"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0.007</w:t>
            </w:r>
          </w:p>
        </w:tc>
        <w:tc>
          <w:tcPr>
            <w:tcW w:w="0" w:type="auto"/>
            <w:tcBorders>
              <w:top w:val="nil"/>
              <w:left w:val="nil"/>
              <w:bottom w:val="nil"/>
              <w:right w:val="nil"/>
            </w:tcBorders>
            <w:shd w:val="clear" w:color="auto" w:fill="auto"/>
            <w:noWrap/>
            <w:vAlign w:val="center"/>
          </w:tcPr>
          <w:p w14:paraId="2977BB5A"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0.028</w:t>
            </w:r>
          </w:p>
        </w:tc>
      </w:tr>
      <w:tr w:rsidR="00D03347" w:rsidRPr="00370AF7" w14:paraId="4C462D86" w14:textId="77777777" w:rsidTr="4139208E">
        <w:trPr>
          <w:trHeight w:val="270"/>
          <w:jc w:val="center"/>
        </w:trPr>
        <w:tc>
          <w:tcPr>
            <w:tcW w:w="0" w:type="auto"/>
            <w:tcBorders>
              <w:top w:val="nil"/>
              <w:left w:val="nil"/>
              <w:bottom w:val="nil"/>
              <w:right w:val="nil"/>
            </w:tcBorders>
            <w:shd w:val="clear" w:color="auto" w:fill="auto"/>
            <w:noWrap/>
            <w:vAlign w:val="bottom"/>
          </w:tcPr>
          <w:p w14:paraId="50FB3ED1" w14:textId="77777777" w:rsidR="00F43FAF" w:rsidRPr="00370AF7" w:rsidRDefault="00F43FAF" w:rsidP="00F43FAF">
            <w:pPr>
              <w:jc w:val="right"/>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51A5C4CC"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5F7B9D06" w14:textId="1E1A0E28" w:rsidR="00F43FAF" w:rsidRPr="00370AF7" w:rsidRDefault="00E655F5" w:rsidP="00F43FAF">
            <w:pPr>
              <w:rPr>
                <w:rFonts w:ascii="Book Antiqua" w:hAnsi="Book Antiqua" w:cs="Arial"/>
                <w:lang w:val="es-ES"/>
              </w:rPr>
            </w:pPr>
            <w:r w:rsidRPr="00370AF7">
              <w:rPr>
                <w:rFonts w:ascii="Book Antiqua" w:eastAsia="Book Antiqua" w:hAnsi="Book Antiqua" w:cs="Arial"/>
                <w:lang w:val="es-ES"/>
              </w:rPr>
              <w:t xml:space="preserve">Comercial/industrial </w:t>
            </w:r>
            <w:r w:rsidR="00370AF7">
              <w:rPr>
                <w:rFonts w:ascii="Book Antiqua" w:eastAsia="Book Antiqua" w:hAnsi="Book Antiqua" w:cs="Arial"/>
                <w:lang w:val="es-ES"/>
              </w:rPr>
              <w:br/>
            </w:r>
            <w:r w:rsidRPr="00370AF7">
              <w:rPr>
                <w:rFonts w:ascii="Book Antiqua" w:eastAsia="Book Antiqua" w:hAnsi="Book Antiqua" w:cs="Arial"/>
                <w:lang w:val="es-ES"/>
              </w:rPr>
              <w:t>med</w:t>
            </w:r>
            <w:r w:rsidR="00370AF7">
              <w:rPr>
                <w:rFonts w:ascii="Book Antiqua" w:eastAsia="Book Antiqua" w:hAnsi="Book Antiqua" w:cs="Arial"/>
                <w:lang w:val="es-ES"/>
              </w:rPr>
              <w:t>iano</w:t>
            </w:r>
            <w:r w:rsidRPr="00370AF7">
              <w:rPr>
                <w:rFonts w:ascii="Book Antiqua" w:eastAsia="Book Antiqua" w:hAnsi="Book Antiqua" w:cs="Arial"/>
                <w:lang w:val="es-ES"/>
              </w:rPr>
              <w:t xml:space="preserve"> y g</w:t>
            </w:r>
            <w:r w:rsidR="00370AF7">
              <w:rPr>
                <w:rFonts w:ascii="Book Antiqua" w:eastAsia="Book Antiqua" w:hAnsi="Book Antiqua" w:cs="Arial"/>
                <w:lang w:val="es-ES"/>
              </w:rPr>
              <w:t>ran</w:t>
            </w:r>
            <w:r w:rsidRPr="00370AF7">
              <w:rPr>
                <w:rFonts w:ascii="Book Antiqua" w:eastAsia="Book Antiqua" w:hAnsi="Book Antiqua" w:cs="Arial"/>
                <w:lang w:val="es-ES"/>
              </w:rPr>
              <w:t>de</w:t>
            </w:r>
          </w:p>
        </w:tc>
        <w:tc>
          <w:tcPr>
            <w:tcW w:w="0" w:type="auto"/>
            <w:tcBorders>
              <w:top w:val="nil"/>
              <w:left w:val="nil"/>
              <w:bottom w:val="nil"/>
              <w:right w:val="nil"/>
            </w:tcBorders>
            <w:shd w:val="clear" w:color="auto" w:fill="auto"/>
            <w:noWrap/>
            <w:vAlign w:val="bottom"/>
          </w:tcPr>
          <w:p w14:paraId="2443E3FF"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5B8E67EE" w14:textId="77777777" w:rsidR="00F43FAF" w:rsidRPr="00370AF7" w:rsidRDefault="00F43FAF" w:rsidP="00F43FAF">
            <w:pPr>
              <w:jc w:val="cente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0135FB71"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23.045</w:t>
            </w:r>
          </w:p>
        </w:tc>
        <w:tc>
          <w:tcPr>
            <w:tcW w:w="0" w:type="auto"/>
            <w:tcBorders>
              <w:top w:val="nil"/>
              <w:left w:val="nil"/>
              <w:bottom w:val="nil"/>
              <w:right w:val="nil"/>
            </w:tcBorders>
            <w:shd w:val="clear" w:color="auto" w:fill="auto"/>
            <w:noWrap/>
            <w:vAlign w:val="center"/>
          </w:tcPr>
          <w:p w14:paraId="0EFBD9B2"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23.049</w:t>
            </w:r>
          </w:p>
        </w:tc>
        <w:tc>
          <w:tcPr>
            <w:tcW w:w="0" w:type="auto"/>
            <w:tcBorders>
              <w:top w:val="nil"/>
              <w:left w:val="nil"/>
              <w:bottom w:val="nil"/>
              <w:right w:val="nil"/>
            </w:tcBorders>
          </w:tcPr>
          <w:p w14:paraId="6EDB4B9E"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0.004</w:t>
            </w:r>
          </w:p>
        </w:tc>
        <w:tc>
          <w:tcPr>
            <w:tcW w:w="0" w:type="auto"/>
            <w:tcBorders>
              <w:top w:val="nil"/>
              <w:left w:val="nil"/>
              <w:bottom w:val="nil"/>
              <w:right w:val="nil"/>
            </w:tcBorders>
            <w:shd w:val="clear" w:color="auto" w:fill="auto"/>
            <w:noWrap/>
            <w:vAlign w:val="center"/>
          </w:tcPr>
          <w:p w14:paraId="6DF0DC74"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0.017</w:t>
            </w:r>
          </w:p>
        </w:tc>
      </w:tr>
      <w:tr w:rsidR="00D03347" w:rsidRPr="00370AF7" w14:paraId="601878B7" w14:textId="77777777" w:rsidTr="4139208E">
        <w:trPr>
          <w:trHeight w:val="270"/>
          <w:jc w:val="center"/>
        </w:trPr>
        <w:tc>
          <w:tcPr>
            <w:tcW w:w="0" w:type="auto"/>
            <w:tcBorders>
              <w:top w:val="nil"/>
              <w:left w:val="nil"/>
              <w:bottom w:val="nil"/>
              <w:right w:val="nil"/>
            </w:tcBorders>
            <w:shd w:val="clear" w:color="auto" w:fill="auto"/>
            <w:noWrap/>
            <w:vAlign w:val="bottom"/>
          </w:tcPr>
          <w:p w14:paraId="3B4D505C" w14:textId="77777777" w:rsidR="00F43FAF" w:rsidRPr="00370AF7" w:rsidRDefault="00F43FAF" w:rsidP="00F43FAF">
            <w:pPr>
              <w:jc w:val="right"/>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2010BBBB"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3CFEB466" w14:textId="77777777" w:rsidR="00F43FAF" w:rsidRPr="00370AF7" w:rsidRDefault="00E655F5" w:rsidP="00F43FAF">
            <w:pPr>
              <w:rPr>
                <w:rFonts w:ascii="Book Antiqua" w:hAnsi="Book Antiqua" w:cs="Arial"/>
                <w:lang w:val="es-ES"/>
              </w:rPr>
            </w:pPr>
            <w:r w:rsidRPr="00370AF7">
              <w:rPr>
                <w:rFonts w:ascii="Book Antiqua" w:eastAsia="Book Antiqua" w:hAnsi="Book Antiqua" w:cs="Arial"/>
                <w:lang w:val="es-ES"/>
              </w:rPr>
              <w:t>Agricultura</w:t>
            </w:r>
          </w:p>
        </w:tc>
        <w:tc>
          <w:tcPr>
            <w:tcW w:w="0" w:type="auto"/>
            <w:tcBorders>
              <w:top w:val="nil"/>
              <w:left w:val="nil"/>
              <w:bottom w:val="nil"/>
              <w:right w:val="nil"/>
            </w:tcBorders>
            <w:shd w:val="clear" w:color="auto" w:fill="auto"/>
            <w:noWrap/>
            <w:vAlign w:val="bottom"/>
          </w:tcPr>
          <w:p w14:paraId="125B8121"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5B757AD2" w14:textId="77777777" w:rsidR="00F43FAF" w:rsidRPr="00370AF7" w:rsidRDefault="00F43FAF" w:rsidP="00F43FAF">
            <w:pPr>
              <w:jc w:val="cente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44F5AE18"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17.625</w:t>
            </w:r>
          </w:p>
        </w:tc>
        <w:tc>
          <w:tcPr>
            <w:tcW w:w="0" w:type="auto"/>
            <w:tcBorders>
              <w:top w:val="nil"/>
              <w:left w:val="nil"/>
              <w:bottom w:val="nil"/>
              <w:right w:val="nil"/>
            </w:tcBorders>
            <w:shd w:val="clear" w:color="auto" w:fill="auto"/>
            <w:noWrap/>
            <w:vAlign w:val="center"/>
          </w:tcPr>
          <w:p w14:paraId="2024A676"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17.630</w:t>
            </w:r>
          </w:p>
        </w:tc>
        <w:tc>
          <w:tcPr>
            <w:tcW w:w="0" w:type="auto"/>
            <w:tcBorders>
              <w:top w:val="nil"/>
              <w:left w:val="nil"/>
              <w:bottom w:val="nil"/>
              <w:right w:val="nil"/>
            </w:tcBorders>
          </w:tcPr>
          <w:p w14:paraId="3912CB3E"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0.005</w:t>
            </w:r>
          </w:p>
        </w:tc>
        <w:tc>
          <w:tcPr>
            <w:tcW w:w="0" w:type="auto"/>
            <w:tcBorders>
              <w:top w:val="nil"/>
              <w:left w:val="nil"/>
              <w:bottom w:val="nil"/>
              <w:right w:val="nil"/>
            </w:tcBorders>
            <w:shd w:val="clear" w:color="auto" w:fill="auto"/>
            <w:noWrap/>
            <w:vAlign w:val="center"/>
          </w:tcPr>
          <w:p w14:paraId="210BE337"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0.028</w:t>
            </w:r>
          </w:p>
        </w:tc>
      </w:tr>
      <w:tr w:rsidR="00D03347" w:rsidRPr="00370AF7" w14:paraId="4D7F3534" w14:textId="77777777" w:rsidTr="4139208E">
        <w:trPr>
          <w:trHeight w:val="270"/>
          <w:jc w:val="center"/>
        </w:trPr>
        <w:tc>
          <w:tcPr>
            <w:tcW w:w="0" w:type="auto"/>
            <w:tcBorders>
              <w:top w:val="nil"/>
              <w:left w:val="nil"/>
              <w:bottom w:val="nil"/>
              <w:right w:val="nil"/>
            </w:tcBorders>
            <w:shd w:val="clear" w:color="auto" w:fill="auto"/>
            <w:noWrap/>
            <w:vAlign w:val="bottom"/>
          </w:tcPr>
          <w:p w14:paraId="25DBE61D"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0017B404"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2861A9E3" w14:textId="77777777" w:rsidR="00F43FAF" w:rsidRPr="00370AF7" w:rsidRDefault="00E655F5" w:rsidP="00F43FAF">
            <w:pPr>
              <w:rPr>
                <w:rFonts w:ascii="Book Antiqua" w:hAnsi="Book Antiqua" w:cs="Arial"/>
                <w:lang w:val="es-ES"/>
              </w:rPr>
            </w:pPr>
            <w:r w:rsidRPr="00370AF7">
              <w:rPr>
                <w:rFonts w:ascii="Book Antiqua" w:eastAsia="Book Antiqua" w:hAnsi="Book Antiqua" w:cs="Arial"/>
                <w:lang w:val="es-ES"/>
              </w:rPr>
              <w:t>Alumbrado público</w:t>
            </w:r>
          </w:p>
        </w:tc>
        <w:tc>
          <w:tcPr>
            <w:tcW w:w="0" w:type="auto"/>
            <w:tcBorders>
              <w:top w:val="nil"/>
              <w:left w:val="nil"/>
              <w:bottom w:val="nil"/>
              <w:right w:val="nil"/>
            </w:tcBorders>
            <w:shd w:val="clear" w:color="auto" w:fill="auto"/>
            <w:noWrap/>
            <w:vAlign w:val="bottom"/>
          </w:tcPr>
          <w:p w14:paraId="45BF384A"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53DF59A8" w14:textId="77777777" w:rsidR="00F43FAF" w:rsidRPr="00370AF7" w:rsidRDefault="00F43FAF" w:rsidP="00F43FAF">
            <w:pPr>
              <w:jc w:val="cente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3A7F55A7"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22.239</w:t>
            </w:r>
          </w:p>
        </w:tc>
        <w:tc>
          <w:tcPr>
            <w:tcW w:w="0" w:type="auto"/>
            <w:tcBorders>
              <w:top w:val="nil"/>
              <w:left w:val="nil"/>
              <w:bottom w:val="nil"/>
              <w:right w:val="nil"/>
            </w:tcBorders>
            <w:shd w:val="clear" w:color="auto" w:fill="auto"/>
            <w:noWrap/>
            <w:vAlign w:val="center"/>
          </w:tcPr>
          <w:p w14:paraId="4205B66B"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22.248</w:t>
            </w:r>
          </w:p>
        </w:tc>
        <w:tc>
          <w:tcPr>
            <w:tcW w:w="0" w:type="auto"/>
            <w:tcBorders>
              <w:top w:val="nil"/>
              <w:left w:val="nil"/>
              <w:bottom w:val="nil"/>
              <w:right w:val="nil"/>
            </w:tcBorders>
          </w:tcPr>
          <w:p w14:paraId="7033FD09"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0.009</w:t>
            </w:r>
          </w:p>
        </w:tc>
        <w:tc>
          <w:tcPr>
            <w:tcW w:w="0" w:type="auto"/>
            <w:tcBorders>
              <w:top w:val="nil"/>
              <w:left w:val="nil"/>
              <w:bottom w:val="nil"/>
              <w:right w:val="nil"/>
            </w:tcBorders>
            <w:shd w:val="clear" w:color="auto" w:fill="auto"/>
            <w:noWrap/>
            <w:vAlign w:val="center"/>
          </w:tcPr>
          <w:p w14:paraId="157F3E21"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0.040</w:t>
            </w:r>
          </w:p>
        </w:tc>
      </w:tr>
      <w:tr w:rsidR="00D03347" w:rsidRPr="00370AF7" w14:paraId="00561A3B" w14:textId="77777777" w:rsidTr="4139208E">
        <w:trPr>
          <w:trHeight w:val="73"/>
          <w:jc w:val="center"/>
        </w:trPr>
        <w:tc>
          <w:tcPr>
            <w:tcW w:w="0" w:type="auto"/>
            <w:tcBorders>
              <w:top w:val="nil"/>
              <w:left w:val="nil"/>
              <w:bottom w:val="nil"/>
              <w:right w:val="nil"/>
            </w:tcBorders>
            <w:shd w:val="clear" w:color="auto" w:fill="auto"/>
            <w:noWrap/>
            <w:vAlign w:val="bottom"/>
          </w:tcPr>
          <w:p w14:paraId="2428F518" w14:textId="77777777" w:rsidR="00F43FAF" w:rsidRPr="00370AF7" w:rsidRDefault="00F43FAF" w:rsidP="00F43FAF">
            <w:pPr>
              <w:jc w:val="right"/>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524F4E18"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bottom"/>
          </w:tcPr>
          <w:p w14:paraId="4773C749" w14:textId="77777777" w:rsidR="00F43FAF" w:rsidRPr="00370AF7" w:rsidRDefault="00E655F5" w:rsidP="00F43FAF">
            <w:pPr>
              <w:rPr>
                <w:rFonts w:ascii="Book Antiqua" w:hAnsi="Book Antiqua" w:cs="Arial"/>
                <w:lang w:val="es-ES"/>
              </w:rPr>
            </w:pPr>
            <w:r w:rsidRPr="00370AF7">
              <w:rPr>
                <w:rFonts w:ascii="Book Antiqua" w:eastAsia="Book Antiqua" w:hAnsi="Book Antiqua" w:cs="Arial"/>
                <w:lang w:val="es-ES"/>
              </w:rPr>
              <w:t>Total del sistema</w:t>
            </w:r>
          </w:p>
        </w:tc>
        <w:tc>
          <w:tcPr>
            <w:tcW w:w="0" w:type="auto"/>
            <w:tcBorders>
              <w:top w:val="nil"/>
              <w:left w:val="nil"/>
              <w:bottom w:val="nil"/>
              <w:right w:val="nil"/>
            </w:tcBorders>
            <w:shd w:val="clear" w:color="auto" w:fill="auto"/>
            <w:noWrap/>
            <w:vAlign w:val="bottom"/>
          </w:tcPr>
          <w:p w14:paraId="3FB109D2" w14:textId="77777777" w:rsidR="00F43FAF" w:rsidRPr="00370AF7" w:rsidRDefault="00F43FAF" w:rsidP="00F43FAF">
            <w:pP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05D29004" w14:textId="77777777" w:rsidR="00F43FAF" w:rsidRPr="00370AF7" w:rsidRDefault="00F43FAF" w:rsidP="00F43FAF">
            <w:pPr>
              <w:jc w:val="center"/>
              <w:rPr>
                <w:rFonts w:ascii="Book Antiqua" w:hAnsi="Book Antiqua" w:cs="Arial"/>
                <w:lang w:val="es-ES"/>
              </w:rPr>
            </w:pPr>
          </w:p>
        </w:tc>
        <w:tc>
          <w:tcPr>
            <w:tcW w:w="0" w:type="auto"/>
            <w:tcBorders>
              <w:top w:val="nil"/>
              <w:left w:val="nil"/>
              <w:bottom w:val="nil"/>
              <w:right w:val="nil"/>
            </w:tcBorders>
            <w:shd w:val="clear" w:color="auto" w:fill="auto"/>
            <w:noWrap/>
            <w:vAlign w:val="center"/>
          </w:tcPr>
          <w:p w14:paraId="79EB8AF1"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24.596</w:t>
            </w:r>
          </w:p>
        </w:tc>
        <w:tc>
          <w:tcPr>
            <w:tcW w:w="0" w:type="auto"/>
            <w:tcBorders>
              <w:top w:val="nil"/>
              <w:left w:val="nil"/>
              <w:bottom w:val="nil"/>
              <w:right w:val="nil"/>
            </w:tcBorders>
            <w:shd w:val="clear" w:color="auto" w:fill="auto"/>
            <w:noWrap/>
            <w:vAlign w:val="center"/>
          </w:tcPr>
          <w:p w14:paraId="5C3E472B"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24.602</w:t>
            </w:r>
          </w:p>
        </w:tc>
        <w:tc>
          <w:tcPr>
            <w:tcW w:w="0" w:type="auto"/>
            <w:tcBorders>
              <w:top w:val="nil"/>
              <w:left w:val="nil"/>
              <w:bottom w:val="nil"/>
              <w:right w:val="nil"/>
            </w:tcBorders>
          </w:tcPr>
          <w:p w14:paraId="5C3D3421"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0.006</w:t>
            </w:r>
          </w:p>
        </w:tc>
        <w:tc>
          <w:tcPr>
            <w:tcW w:w="0" w:type="auto"/>
            <w:tcBorders>
              <w:top w:val="nil"/>
              <w:left w:val="nil"/>
              <w:bottom w:val="nil"/>
              <w:right w:val="nil"/>
            </w:tcBorders>
            <w:shd w:val="clear" w:color="auto" w:fill="auto"/>
            <w:noWrap/>
            <w:vAlign w:val="center"/>
          </w:tcPr>
          <w:p w14:paraId="3305CB54" w14:textId="77777777" w:rsidR="00F43FAF" w:rsidRPr="00370AF7" w:rsidRDefault="00E655F5" w:rsidP="4139208E">
            <w:pPr>
              <w:jc w:val="center"/>
              <w:rPr>
                <w:rFonts w:ascii="Book Antiqua" w:hAnsi="Book Antiqua" w:cs="Arial"/>
                <w:lang w:val="es-ES"/>
              </w:rPr>
            </w:pPr>
            <w:r w:rsidRPr="00370AF7">
              <w:rPr>
                <w:rFonts w:ascii="Book Antiqua" w:eastAsia="Book Antiqua" w:hAnsi="Book Antiqua" w:cs="Arial"/>
                <w:lang w:val="es-ES"/>
              </w:rPr>
              <w:t>0.024</w:t>
            </w:r>
          </w:p>
        </w:tc>
      </w:tr>
    </w:tbl>
    <w:p w14:paraId="0238EC34" w14:textId="77777777" w:rsidR="00523B21" w:rsidRPr="00370AF7" w:rsidRDefault="00523B21">
      <w:pPr>
        <w:rPr>
          <w:sz w:val="22"/>
          <w:szCs w:val="22"/>
          <w:lang w:val="es-ES"/>
        </w:rPr>
      </w:pPr>
    </w:p>
    <w:p w14:paraId="5CCA4528" w14:textId="77777777" w:rsidR="00662542" w:rsidRPr="00370AF7" w:rsidRDefault="00662542" w:rsidP="00E677F8">
      <w:pPr>
        <w:pStyle w:val="Heading1"/>
        <w:jc w:val="left"/>
        <w:rPr>
          <w:sz w:val="22"/>
          <w:szCs w:val="22"/>
          <w:lang w:val="es-ES"/>
        </w:rPr>
      </w:pPr>
    </w:p>
    <w:p w14:paraId="56CBF592" w14:textId="77777777" w:rsidR="002252B1" w:rsidRPr="00370AF7" w:rsidRDefault="00E655F5" w:rsidP="004302EB">
      <w:pPr>
        <w:pStyle w:val="Heading1"/>
        <w:rPr>
          <w:sz w:val="24"/>
          <w:szCs w:val="24"/>
          <w:lang w:val="es-ES"/>
        </w:rPr>
      </w:pPr>
      <w:r w:rsidRPr="00370AF7">
        <w:rPr>
          <w:bCs/>
          <w:sz w:val="24"/>
          <w:szCs w:val="24"/>
          <w:lang w:val="es-ES"/>
        </w:rPr>
        <w:t>PARA MÁS INFORMACIÓN</w:t>
      </w:r>
    </w:p>
    <w:p w14:paraId="6998CB16" w14:textId="77777777" w:rsidR="0044407B" w:rsidRPr="00370AF7" w:rsidRDefault="0044407B" w:rsidP="0044407B">
      <w:pPr>
        <w:pStyle w:val="BodyText"/>
        <w:jc w:val="both"/>
        <w:rPr>
          <w:bCs/>
          <w:szCs w:val="24"/>
          <w:lang w:val="es-ES"/>
        </w:rPr>
      </w:pPr>
    </w:p>
    <w:p w14:paraId="25B3FE29" w14:textId="77777777" w:rsidR="0044407B" w:rsidRPr="00370AF7" w:rsidRDefault="00E655F5" w:rsidP="0044407B">
      <w:pPr>
        <w:pStyle w:val="BodyText"/>
        <w:jc w:val="both"/>
        <w:rPr>
          <w:b/>
          <w:bCs/>
          <w:szCs w:val="24"/>
          <w:lang w:val="es-ES"/>
        </w:rPr>
      </w:pPr>
      <w:r w:rsidRPr="00370AF7">
        <w:rPr>
          <w:b/>
          <w:bCs/>
          <w:szCs w:val="24"/>
          <w:lang w:val="es-ES"/>
        </w:rPr>
        <w:t>Si desea obtener más información sobre estas propuestas, puede comunicarse a la línea de Servicio al Cliente de SDG&amp;E al 1-800-311-SDGE (7343).</w:t>
      </w:r>
    </w:p>
    <w:p w14:paraId="052A2558" w14:textId="77777777" w:rsidR="00523B21" w:rsidRPr="00370AF7" w:rsidRDefault="00E655F5" w:rsidP="4139208E">
      <w:pPr>
        <w:rPr>
          <w:sz w:val="24"/>
          <w:szCs w:val="24"/>
          <w:lang w:val="es-ES"/>
        </w:rPr>
      </w:pPr>
      <w:r w:rsidRPr="00370AF7">
        <w:rPr>
          <w:sz w:val="24"/>
          <w:szCs w:val="24"/>
          <w:lang w:val="es-ES"/>
        </w:rPr>
        <w:t xml:space="preserve">Puede solicitar información adicional u obtener una copia de la solicitud y los anexos relacionados escribiendo a: Dean A. </w:t>
      </w:r>
      <w:proofErr w:type="spellStart"/>
      <w:r w:rsidRPr="00370AF7">
        <w:rPr>
          <w:sz w:val="24"/>
          <w:szCs w:val="24"/>
          <w:lang w:val="es-ES"/>
        </w:rPr>
        <w:t>Kinports</w:t>
      </w:r>
      <w:proofErr w:type="spellEnd"/>
      <w:r w:rsidRPr="00370AF7">
        <w:rPr>
          <w:sz w:val="24"/>
          <w:szCs w:val="24"/>
          <w:lang w:val="es-ES"/>
        </w:rPr>
        <w:t xml:space="preserve">, San Diego Gas &amp; Electric Company, 8330 Century Park </w:t>
      </w:r>
      <w:proofErr w:type="spellStart"/>
      <w:r w:rsidRPr="00370AF7">
        <w:rPr>
          <w:sz w:val="24"/>
          <w:szCs w:val="24"/>
          <w:lang w:val="es-ES"/>
        </w:rPr>
        <w:t>Court</w:t>
      </w:r>
      <w:proofErr w:type="spellEnd"/>
      <w:r w:rsidRPr="00370AF7">
        <w:rPr>
          <w:sz w:val="24"/>
          <w:szCs w:val="24"/>
          <w:lang w:val="es-ES"/>
        </w:rPr>
        <w:t>, San Diego, CA 92123. Una copia de esta solicitud también puede inspeccionarse en las siguientes oficinas comerciales de SDG&amp;E:</w:t>
      </w:r>
    </w:p>
    <w:p w14:paraId="3CE74828" w14:textId="77777777" w:rsidR="00523B21" w:rsidRPr="00370AF7" w:rsidRDefault="00523B21">
      <w:pPr>
        <w:rPr>
          <w:sz w:val="24"/>
          <w:szCs w:val="24"/>
          <w:lang w:val="es-ES"/>
        </w:rPr>
      </w:pPr>
    </w:p>
    <w:tbl>
      <w:tblPr>
        <w:tblW w:w="0" w:type="auto"/>
        <w:tblLayout w:type="fixed"/>
        <w:tblLook w:val="0000" w:firstRow="0" w:lastRow="0" w:firstColumn="0" w:lastColumn="0" w:noHBand="0" w:noVBand="0"/>
      </w:tblPr>
      <w:tblGrid>
        <w:gridCol w:w="2952"/>
        <w:gridCol w:w="2952"/>
      </w:tblGrid>
      <w:tr w:rsidR="00D03347" w:rsidRPr="00370AF7" w14:paraId="296381D7" w14:textId="77777777" w:rsidTr="00D74903">
        <w:tc>
          <w:tcPr>
            <w:tcW w:w="2952" w:type="dxa"/>
            <w:tcBorders>
              <w:top w:val="nil"/>
              <w:left w:val="nil"/>
              <w:bottom w:val="nil"/>
              <w:right w:val="nil"/>
            </w:tcBorders>
          </w:tcPr>
          <w:p w14:paraId="0FC8004C" w14:textId="6131A5DE" w:rsidR="00CC0DDA" w:rsidRPr="00370AF7" w:rsidRDefault="00E655F5" w:rsidP="00CC0DDA">
            <w:pPr>
              <w:jc w:val="both"/>
              <w:rPr>
                <w:color w:val="000000"/>
                <w:sz w:val="24"/>
                <w:szCs w:val="24"/>
                <w:lang w:val="es-ES"/>
              </w:rPr>
            </w:pPr>
            <w:r w:rsidRPr="00370AF7">
              <w:rPr>
                <w:color w:val="000000"/>
                <w:sz w:val="24"/>
                <w:szCs w:val="24"/>
                <w:lang w:val="es-ES"/>
              </w:rPr>
              <w:t>436 H St.</w:t>
            </w:r>
          </w:p>
          <w:p w14:paraId="06C02E51" w14:textId="77777777" w:rsidR="00CC0DDA" w:rsidRPr="00370AF7" w:rsidRDefault="00E655F5" w:rsidP="00CC0DDA">
            <w:pPr>
              <w:jc w:val="both"/>
              <w:rPr>
                <w:color w:val="000000"/>
                <w:sz w:val="24"/>
                <w:szCs w:val="24"/>
                <w:lang w:val="es-ES"/>
              </w:rPr>
            </w:pPr>
            <w:r w:rsidRPr="00370AF7">
              <w:rPr>
                <w:color w:val="000000"/>
                <w:sz w:val="24"/>
                <w:szCs w:val="24"/>
                <w:lang w:val="es-ES"/>
              </w:rPr>
              <w:t>Chula Vista, CA 91910</w:t>
            </w:r>
          </w:p>
          <w:p w14:paraId="15BD9093" w14:textId="77777777" w:rsidR="00CC0DDA" w:rsidRPr="00370AF7" w:rsidRDefault="00CC0DDA" w:rsidP="00CC0DDA">
            <w:pPr>
              <w:jc w:val="both"/>
              <w:rPr>
                <w:color w:val="000000"/>
                <w:sz w:val="24"/>
                <w:szCs w:val="24"/>
                <w:lang w:val="es-ES"/>
              </w:rPr>
            </w:pPr>
          </w:p>
          <w:p w14:paraId="24602541" w14:textId="52D4B14C" w:rsidR="00CC0DDA" w:rsidRPr="00370AF7" w:rsidRDefault="00E655F5" w:rsidP="00CC0DDA">
            <w:pPr>
              <w:jc w:val="both"/>
              <w:rPr>
                <w:color w:val="000000"/>
                <w:sz w:val="24"/>
                <w:szCs w:val="24"/>
                <w:lang w:val="es-ES"/>
              </w:rPr>
            </w:pPr>
            <w:r w:rsidRPr="00370AF7">
              <w:rPr>
                <w:color w:val="000000"/>
                <w:sz w:val="24"/>
                <w:szCs w:val="24"/>
                <w:lang w:val="es-ES"/>
              </w:rPr>
              <w:t xml:space="preserve">2405 E. Plaza </w:t>
            </w:r>
            <w:proofErr w:type="spellStart"/>
            <w:r w:rsidRPr="00370AF7">
              <w:rPr>
                <w:color w:val="000000"/>
                <w:sz w:val="24"/>
                <w:szCs w:val="24"/>
                <w:lang w:val="es-ES"/>
              </w:rPr>
              <w:t>Blvd</w:t>
            </w:r>
            <w:proofErr w:type="spellEnd"/>
            <w:r w:rsidRPr="00370AF7">
              <w:rPr>
                <w:color w:val="000000"/>
                <w:sz w:val="24"/>
                <w:szCs w:val="24"/>
                <w:lang w:val="es-ES"/>
              </w:rPr>
              <w:t>.</w:t>
            </w:r>
          </w:p>
          <w:p w14:paraId="1781FDE4" w14:textId="77777777" w:rsidR="00CC0DDA" w:rsidRPr="00370AF7" w:rsidRDefault="00E655F5" w:rsidP="00CC0DDA">
            <w:pPr>
              <w:jc w:val="both"/>
              <w:rPr>
                <w:color w:val="000000"/>
                <w:sz w:val="24"/>
                <w:szCs w:val="24"/>
                <w:lang w:val="es-ES"/>
              </w:rPr>
            </w:pPr>
            <w:proofErr w:type="spellStart"/>
            <w:r w:rsidRPr="00370AF7">
              <w:rPr>
                <w:color w:val="000000"/>
                <w:sz w:val="24"/>
                <w:szCs w:val="24"/>
                <w:lang w:val="es-ES"/>
              </w:rPr>
              <w:t>National</w:t>
            </w:r>
            <w:proofErr w:type="spellEnd"/>
            <w:r w:rsidRPr="00370AF7">
              <w:rPr>
                <w:color w:val="000000"/>
                <w:sz w:val="24"/>
                <w:szCs w:val="24"/>
                <w:lang w:val="es-ES"/>
              </w:rPr>
              <w:t xml:space="preserve"> City, CA 91950</w:t>
            </w:r>
          </w:p>
          <w:p w14:paraId="70F5CE0B" w14:textId="77777777" w:rsidR="00CC0DDA" w:rsidRPr="00370AF7" w:rsidRDefault="00CC0DDA" w:rsidP="00CC0DDA">
            <w:pPr>
              <w:jc w:val="both"/>
              <w:rPr>
                <w:color w:val="000000"/>
                <w:sz w:val="24"/>
                <w:szCs w:val="24"/>
                <w:lang w:val="es-ES"/>
              </w:rPr>
            </w:pPr>
          </w:p>
          <w:p w14:paraId="20EE815F" w14:textId="44A28B46" w:rsidR="00CC0DDA" w:rsidRPr="00370AF7" w:rsidRDefault="00E655F5" w:rsidP="00CC0DDA">
            <w:pPr>
              <w:jc w:val="both"/>
              <w:rPr>
                <w:color w:val="000000"/>
                <w:sz w:val="24"/>
                <w:szCs w:val="24"/>
                <w:lang w:val="es-ES"/>
              </w:rPr>
            </w:pPr>
            <w:r w:rsidRPr="00370AF7">
              <w:rPr>
                <w:color w:val="000000"/>
                <w:sz w:val="24"/>
                <w:szCs w:val="24"/>
                <w:lang w:val="es-ES"/>
              </w:rPr>
              <w:t xml:space="preserve">440 </w:t>
            </w:r>
            <w:proofErr w:type="spellStart"/>
            <w:r w:rsidRPr="00370AF7">
              <w:rPr>
                <w:color w:val="000000"/>
                <w:sz w:val="24"/>
                <w:szCs w:val="24"/>
                <w:lang w:val="es-ES"/>
              </w:rPr>
              <w:t>Beech</w:t>
            </w:r>
            <w:proofErr w:type="spellEnd"/>
            <w:r w:rsidRPr="00370AF7">
              <w:rPr>
                <w:color w:val="000000"/>
                <w:sz w:val="24"/>
                <w:szCs w:val="24"/>
                <w:lang w:val="es-ES"/>
              </w:rPr>
              <w:t xml:space="preserve"> St.</w:t>
            </w:r>
          </w:p>
          <w:p w14:paraId="78E5D946" w14:textId="77777777" w:rsidR="00CC0DDA" w:rsidRPr="00370AF7" w:rsidRDefault="00E655F5" w:rsidP="00CC0DDA">
            <w:pPr>
              <w:jc w:val="both"/>
              <w:rPr>
                <w:color w:val="000000"/>
                <w:sz w:val="24"/>
                <w:szCs w:val="24"/>
                <w:lang w:val="es-ES"/>
              </w:rPr>
            </w:pPr>
            <w:r w:rsidRPr="00370AF7">
              <w:rPr>
                <w:color w:val="000000"/>
                <w:sz w:val="24"/>
                <w:szCs w:val="24"/>
                <w:lang w:val="es-ES"/>
              </w:rPr>
              <w:t>San Diego, CA 92101</w:t>
            </w:r>
          </w:p>
        </w:tc>
        <w:tc>
          <w:tcPr>
            <w:tcW w:w="2952" w:type="dxa"/>
            <w:tcBorders>
              <w:top w:val="nil"/>
              <w:left w:val="nil"/>
              <w:bottom w:val="nil"/>
              <w:right w:val="nil"/>
            </w:tcBorders>
          </w:tcPr>
          <w:p w14:paraId="24CD4260" w14:textId="017DB4F8" w:rsidR="00CC0DDA" w:rsidRPr="00370AF7" w:rsidRDefault="00E655F5" w:rsidP="00CC0DDA">
            <w:pPr>
              <w:jc w:val="both"/>
              <w:rPr>
                <w:color w:val="000000"/>
                <w:sz w:val="24"/>
                <w:szCs w:val="24"/>
                <w:lang w:val="es-ES"/>
              </w:rPr>
            </w:pPr>
            <w:r w:rsidRPr="00370AF7">
              <w:rPr>
                <w:color w:val="000000"/>
                <w:sz w:val="24"/>
                <w:szCs w:val="24"/>
                <w:lang w:val="es-ES"/>
              </w:rPr>
              <w:t>104 N. Johnson Ave.</w:t>
            </w:r>
          </w:p>
          <w:p w14:paraId="71781EBC" w14:textId="77777777" w:rsidR="00CC0DDA" w:rsidRPr="00370AF7" w:rsidRDefault="00E655F5" w:rsidP="00CC0DDA">
            <w:pPr>
              <w:jc w:val="both"/>
              <w:rPr>
                <w:color w:val="000000"/>
                <w:sz w:val="24"/>
                <w:szCs w:val="24"/>
                <w:lang w:val="es-ES"/>
              </w:rPr>
            </w:pPr>
            <w:r w:rsidRPr="00370AF7">
              <w:rPr>
                <w:color w:val="000000"/>
                <w:sz w:val="24"/>
                <w:szCs w:val="24"/>
                <w:lang w:val="es-ES"/>
              </w:rPr>
              <w:t xml:space="preserve">El </w:t>
            </w:r>
            <w:proofErr w:type="spellStart"/>
            <w:r w:rsidRPr="00370AF7">
              <w:rPr>
                <w:color w:val="000000"/>
                <w:sz w:val="24"/>
                <w:szCs w:val="24"/>
                <w:lang w:val="es-ES"/>
              </w:rPr>
              <w:t>Cajon</w:t>
            </w:r>
            <w:proofErr w:type="spellEnd"/>
            <w:r w:rsidRPr="00370AF7">
              <w:rPr>
                <w:color w:val="000000"/>
                <w:sz w:val="24"/>
                <w:szCs w:val="24"/>
                <w:lang w:val="es-ES"/>
              </w:rPr>
              <w:t>, CA 92020</w:t>
            </w:r>
          </w:p>
          <w:p w14:paraId="2840058A" w14:textId="77777777" w:rsidR="00CC0DDA" w:rsidRPr="00370AF7" w:rsidRDefault="00CC0DDA" w:rsidP="00CC0DDA">
            <w:pPr>
              <w:jc w:val="both"/>
              <w:rPr>
                <w:color w:val="000000"/>
                <w:sz w:val="24"/>
                <w:szCs w:val="24"/>
                <w:lang w:val="es-ES"/>
              </w:rPr>
            </w:pPr>
          </w:p>
          <w:p w14:paraId="3B2140B2" w14:textId="48B51CAD" w:rsidR="00CC0DDA" w:rsidRPr="00370AF7" w:rsidRDefault="00E655F5" w:rsidP="00CC0DDA">
            <w:pPr>
              <w:jc w:val="both"/>
              <w:rPr>
                <w:color w:val="000000"/>
                <w:sz w:val="24"/>
                <w:szCs w:val="24"/>
                <w:lang w:val="es-ES"/>
              </w:rPr>
            </w:pPr>
            <w:r w:rsidRPr="00370AF7">
              <w:rPr>
                <w:color w:val="000000"/>
                <w:sz w:val="24"/>
                <w:szCs w:val="24"/>
                <w:lang w:val="es-ES"/>
              </w:rPr>
              <w:t>336 Euclid Ave.</w:t>
            </w:r>
          </w:p>
          <w:p w14:paraId="05BBC409" w14:textId="77777777" w:rsidR="00CC0DDA" w:rsidRPr="00370AF7" w:rsidRDefault="00E655F5" w:rsidP="00CC0DDA">
            <w:pPr>
              <w:jc w:val="both"/>
              <w:rPr>
                <w:color w:val="000000"/>
                <w:sz w:val="24"/>
                <w:szCs w:val="24"/>
                <w:lang w:val="es-ES"/>
              </w:rPr>
            </w:pPr>
            <w:r w:rsidRPr="00370AF7">
              <w:rPr>
                <w:color w:val="000000"/>
                <w:sz w:val="24"/>
                <w:szCs w:val="24"/>
                <w:lang w:val="es-ES"/>
              </w:rPr>
              <w:t>San Diego, CA 92114</w:t>
            </w:r>
          </w:p>
          <w:p w14:paraId="0F5C38CE" w14:textId="77777777" w:rsidR="00F02AE2" w:rsidRPr="00370AF7" w:rsidRDefault="00F02AE2" w:rsidP="00CC0DDA">
            <w:pPr>
              <w:jc w:val="both"/>
              <w:rPr>
                <w:color w:val="000000"/>
                <w:sz w:val="24"/>
                <w:szCs w:val="24"/>
                <w:lang w:val="es-ES"/>
              </w:rPr>
            </w:pPr>
          </w:p>
          <w:p w14:paraId="5FFBFEC4" w14:textId="77777777" w:rsidR="00CC0DDA" w:rsidRPr="00370AF7" w:rsidRDefault="00E655F5" w:rsidP="00CC0DDA">
            <w:pPr>
              <w:jc w:val="both"/>
              <w:rPr>
                <w:color w:val="000000"/>
                <w:sz w:val="24"/>
                <w:szCs w:val="24"/>
                <w:lang w:val="es-ES"/>
              </w:rPr>
            </w:pPr>
            <w:r w:rsidRPr="00370AF7">
              <w:rPr>
                <w:color w:val="000000"/>
                <w:sz w:val="24"/>
                <w:szCs w:val="24"/>
                <w:lang w:val="es-ES"/>
              </w:rPr>
              <w:t xml:space="preserve">644 W. </w:t>
            </w:r>
            <w:proofErr w:type="spellStart"/>
            <w:r w:rsidRPr="00370AF7">
              <w:rPr>
                <w:color w:val="000000"/>
                <w:sz w:val="24"/>
                <w:szCs w:val="24"/>
                <w:lang w:val="es-ES"/>
              </w:rPr>
              <w:t>Mission</w:t>
            </w:r>
            <w:proofErr w:type="spellEnd"/>
            <w:r w:rsidRPr="00370AF7">
              <w:rPr>
                <w:color w:val="000000"/>
                <w:sz w:val="24"/>
                <w:szCs w:val="24"/>
                <w:lang w:val="es-ES"/>
              </w:rPr>
              <w:t xml:space="preserve"> Ave.</w:t>
            </w:r>
          </w:p>
          <w:p w14:paraId="61698D6D" w14:textId="77777777" w:rsidR="00CC0DDA" w:rsidRPr="00370AF7" w:rsidRDefault="00E655F5" w:rsidP="00CC0DDA">
            <w:pPr>
              <w:jc w:val="both"/>
              <w:rPr>
                <w:color w:val="000000"/>
                <w:sz w:val="24"/>
                <w:szCs w:val="24"/>
                <w:lang w:val="es-ES"/>
              </w:rPr>
            </w:pPr>
            <w:r w:rsidRPr="00370AF7">
              <w:rPr>
                <w:color w:val="000000"/>
                <w:sz w:val="24"/>
                <w:szCs w:val="24"/>
                <w:lang w:val="es-ES"/>
              </w:rPr>
              <w:t>Escondido, CA 92025</w:t>
            </w:r>
          </w:p>
        </w:tc>
      </w:tr>
    </w:tbl>
    <w:p w14:paraId="6978D684" w14:textId="77777777" w:rsidR="00CC0DDA" w:rsidRPr="00370AF7" w:rsidRDefault="00CC0DDA" w:rsidP="00CC0DDA">
      <w:pPr>
        <w:rPr>
          <w:bCs/>
          <w:color w:val="000000"/>
          <w:sz w:val="24"/>
          <w:szCs w:val="24"/>
          <w:lang w:val="es-ES"/>
        </w:rPr>
      </w:pPr>
    </w:p>
    <w:p w14:paraId="5BCA75BF" w14:textId="77777777" w:rsidR="00CC0DDA" w:rsidRPr="00370AF7" w:rsidRDefault="00E655F5" w:rsidP="00CC0DDA">
      <w:pPr>
        <w:rPr>
          <w:color w:val="000000"/>
          <w:sz w:val="24"/>
          <w:szCs w:val="24"/>
          <w:lang w:val="es-ES"/>
        </w:rPr>
      </w:pPr>
      <w:r w:rsidRPr="00370AF7">
        <w:rPr>
          <w:color w:val="000000"/>
          <w:sz w:val="24"/>
          <w:szCs w:val="24"/>
          <w:lang w:val="es-ES"/>
        </w:rPr>
        <w:t xml:space="preserve">Hay copias de esta solicitud en el sitio web de SDG&amp;E en </w:t>
      </w:r>
      <w:hyperlink r:id="rId11" w:history="1">
        <w:r w:rsidRPr="00370AF7">
          <w:rPr>
            <w:color w:val="0000FF"/>
            <w:sz w:val="24"/>
            <w:szCs w:val="24"/>
            <w:u w:val="single"/>
            <w:lang w:val="es-ES"/>
          </w:rPr>
          <w:t>http://www.sdge.com/rates-and-regulations/proceedings</w:t>
        </w:r>
      </w:hyperlink>
      <w:r w:rsidRPr="00370AF7">
        <w:rPr>
          <w:color w:val="000000"/>
          <w:sz w:val="24"/>
          <w:szCs w:val="24"/>
          <w:lang w:val="es-ES"/>
        </w:rPr>
        <w:t>.</w:t>
      </w:r>
    </w:p>
    <w:p w14:paraId="0113FA88" w14:textId="77777777" w:rsidR="00CC0DDA" w:rsidRPr="00370AF7" w:rsidRDefault="00CC0DDA" w:rsidP="00CC0DDA">
      <w:pPr>
        <w:rPr>
          <w:color w:val="0000FF"/>
          <w:sz w:val="24"/>
          <w:szCs w:val="24"/>
          <w:u w:val="single"/>
          <w:lang w:val="es-ES"/>
        </w:rPr>
      </w:pPr>
    </w:p>
    <w:p w14:paraId="767ED439" w14:textId="77777777" w:rsidR="00CC0DDA" w:rsidRPr="00370AF7" w:rsidRDefault="00E655F5" w:rsidP="00CC0DDA">
      <w:pPr>
        <w:rPr>
          <w:color w:val="000000"/>
          <w:sz w:val="24"/>
          <w:szCs w:val="24"/>
          <w:lang w:val="es-ES"/>
        </w:rPr>
      </w:pPr>
      <w:r w:rsidRPr="00370AF7">
        <w:rPr>
          <w:color w:val="000000"/>
          <w:sz w:val="24"/>
          <w:szCs w:val="24"/>
          <w:lang w:val="es-ES"/>
        </w:rPr>
        <w:t xml:space="preserve">Habrá copias de este encarte para su consulta e impresión en el sitio web de SDG&amp;E en </w:t>
      </w:r>
      <w:hyperlink r:id="rId12" w:history="1">
        <w:r w:rsidRPr="00370AF7">
          <w:rPr>
            <w:color w:val="0000FF"/>
            <w:sz w:val="24"/>
            <w:szCs w:val="24"/>
            <w:u w:val="single"/>
            <w:lang w:val="es-ES"/>
          </w:rPr>
          <w:t>www.sdge.com/regulatory-notices</w:t>
        </w:r>
      </w:hyperlink>
      <w:r w:rsidRPr="00370AF7">
        <w:rPr>
          <w:color w:val="000000"/>
          <w:sz w:val="24"/>
          <w:szCs w:val="24"/>
          <w:lang w:val="es-ES"/>
        </w:rPr>
        <w:t>.</w:t>
      </w:r>
    </w:p>
    <w:p w14:paraId="7AA07DF9" w14:textId="77777777" w:rsidR="00626AE9" w:rsidRPr="00370AF7" w:rsidRDefault="00626AE9" w:rsidP="00CC0DDA">
      <w:pPr>
        <w:rPr>
          <w:color w:val="000000"/>
          <w:sz w:val="24"/>
          <w:lang w:val="es-ES"/>
        </w:rPr>
      </w:pPr>
    </w:p>
    <w:p w14:paraId="7A0DBB28" w14:textId="77777777" w:rsidR="00626AE9" w:rsidRPr="00370AF7" w:rsidRDefault="00E655F5" w:rsidP="00626AE9">
      <w:pPr>
        <w:pStyle w:val="BodyText"/>
        <w:rPr>
          <w:b/>
          <w:bCs/>
          <w:lang w:val="es-ES"/>
        </w:rPr>
      </w:pPr>
      <w:r w:rsidRPr="00370AF7">
        <w:rPr>
          <w:szCs w:val="24"/>
          <w:lang w:val="es-ES"/>
        </w:rPr>
        <w:t>Una copia en papel puede consultarse en la Central Files Office de la CPUC, previa cita. Si desea obtener más información, póngase en contacto escribiendo a aljcentralfilesid@cpuc.ca.gov o llamando al (415) 703-2045.</w:t>
      </w:r>
    </w:p>
    <w:p w14:paraId="7BD1D78D" w14:textId="77777777" w:rsidR="00626AE9" w:rsidRPr="00370AF7" w:rsidRDefault="00626AE9" w:rsidP="00CC0DDA">
      <w:pPr>
        <w:rPr>
          <w:color w:val="000000"/>
          <w:sz w:val="24"/>
          <w:szCs w:val="24"/>
          <w:lang w:val="es-ES"/>
        </w:rPr>
      </w:pPr>
    </w:p>
    <w:p w14:paraId="3C473D53" w14:textId="77777777" w:rsidR="00063A3B" w:rsidRPr="00370AF7" w:rsidRDefault="00063A3B" w:rsidP="00063A3B">
      <w:pPr>
        <w:rPr>
          <w:sz w:val="22"/>
          <w:szCs w:val="22"/>
          <w:lang w:val="es-ES"/>
        </w:rPr>
      </w:pPr>
    </w:p>
    <w:p w14:paraId="140871CC" w14:textId="77777777" w:rsidR="00141CAA" w:rsidRPr="00370AF7" w:rsidRDefault="00E655F5" w:rsidP="004302EB">
      <w:pPr>
        <w:pStyle w:val="BodyText"/>
        <w:jc w:val="center"/>
        <w:rPr>
          <w:b/>
          <w:szCs w:val="24"/>
          <w:u w:val="single"/>
          <w:lang w:val="es-ES"/>
        </w:rPr>
      </w:pPr>
      <w:r w:rsidRPr="00370AF7">
        <w:rPr>
          <w:b/>
          <w:bCs/>
          <w:szCs w:val="24"/>
          <w:lang w:val="es-ES"/>
        </w:rPr>
        <w:lastRenderedPageBreak/>
        <w:t>PROCESO DE LA CPUC</w:t>
      </w:r>
    </w:p>
    <w:p w14:paraId="23024E04" w14:textId="77777777" w:rsidR="00141CAA" w:rsidRPr="00370AF7" w:rsidRDefault="00141CAA" w:rsidP="00141CAA">
      <w:pPr>
        <w:pStyle w:val="BodyText"/>
        <w:rPr>
          <w:b/>
          <w:szCs w:val="24"/>
          <w:u w:val="single"/>
          <w:lang w:val="es-ES"/>
        </w:rPr>
      </w:pPr>
    </w:p>
    <w:p w14:paraId="2A77BE0E" w14:textId="2C386368" w:rsidR="00AD215D" w:rsidRPr="00370AF7" w:rsidRDefault="00E655F5" w:rsidP="00AD215D">
      <w:pPr>
        <w:rPr>
          <w:sz w:val="24"/>
          <w:szCs w:val="24"/>
          <w:lang w:val="es-ES"/>
        </w:rPr>
      </w:pPr>
      <w:r w:rsidRPr="00370AF7">
        <w:rPr>
          <w:sz w:val="24"/>
          <w:szCs w:val="24"/>
          <w:lang w:val="es-ES"/>
        </w:rPr>
        <w:t xml:space="preserve">La presente solicitud será asignada a un Juez de Derecho Administrativo (Juez) quien determinará cómo se recibirán las pruebas y otros documentos relacionados, necesarios para que la CPUC establezca un acta en la cual basar su decisión. Las Audiencias para la Presentación de Pruebas (EH) pueden llevarse a cabo en donde las partes que aparecen en el acta presentarán su testimonio y pueden estar sujetas a un contrainterrogatorio por otras de las partes. Estas EH están abiertas al público, pero sólo las partes que aparecen en el acta pueden participar. </w:t>
      </w:r>
    </w:p>
    <w:p w14:paraId="4EC2E751" w14:textId="77777777" w:rsidR="00AD215D" w:rsidRPr="00370AF7" w:rsidRDefault="00AD215D" w:rsidP="00AD215D">
      <w:pPr>
        <w:rPr>
          <w:sz w:val="24"/>
          <w:szCs w:val="24"/>
          <w:lang w:val="es-ES"/>
        </w:rPr>
      </w:pPr>
    </w:p>
    <w:p w14:paraId="2630EC2A" w14:textId="77777777" w:rsidR="00AD215D" w:rsidRPr="00370AF7" w:rsidRDefault="00E655F5" w:rsidP="00AD215D">
      <w:pPr>
        <w:rPr>
          <w:sz w:val="24"/>
          <w:szCs w:val="24"/>
          <w:lang w:val="es-ES"/>
        </w:rPr>
      </w:pPr>
      <w:r w:rsidRPr="00370AF7">
        <w:rPr>
          <w:sz w:val="24"/>
          <w:szCs w:val="24"/>
          <w:lang w:val="es-ES"/>
        </w:rPr>
        <w:t xml:space="preserve">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 </w:t>
      </w:r>
    </w:p>
    <w:p w14:paraId="3DE0C3A7" w14:textId="77777777" w:rsidR="00AD215D" w:rsidRPr="00370AF7" w:rsidRDefault="00AD215D" w:rsidP="00AD215D">
      <w:pPr>
        <w:rPr>
          <w:sz w:val="24"/>
          <w:szCs w:val="24"/>
          <w:lang w:val="es-ES"/>
        </w:rPr>
      </w:pPr>
    </w:p>
    <w:p w14:paraId="72BEA093" w14:textId="77777777" w:rsidR="00AD215D" w:rsidRPr="00370AF7" w:rsidRDefault="00E655F5" w:rsidP="00AD215D">
      <w:pPr>
        <w:rPr>
          <w:sz w:val="24"/>
          <w:szCs w:val="24"/>
          <w:lang w:val="es-ES"/>
        </w:rPr>
      </w:pPr>
      <w:r w:rsidRPr="00370AF7">
        <w:rPr>
          <w:sz w:val="24"/>
          <w:szCs w:val="24"/>
          <w:lang w:val="es-ES"/>
        </w:rPr>
        <w:t xml:space="preserve">La Oficina de Defensores Públicos (Cal PA) puede examinar esta solicitud. Cal PA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Cal PA cuenta con un personal multidisciplinario con pericia en economía, finanzas, contabilidad e ingeniería. Para más información sobre Cal PA, por favor llame al (415) 703-1584, envíe un mensaje por correo electrónico a publicadvocatesoffice@cpuc.ca.gov o visite el sitio web de Cal PA en: </w:t>
      </w:r>
      <w:hyperlink r:id="rId13" w:history="1">
        <w:r w:rsidRPr="00370AF7">
          <w:rPr>
            <w:color w:val="0000FF"/>
            <w:sz w:val="24"/>
            <w:szCs w:val="24"/>
            <w:u w:val="single"/>
            <w:lang w:val="es-ES"/>
          </w:rPr>
          <w:t>www.publicadvocates.cpuc.ca.gov/</w:t>
        </w:r>
      </w:hyperlink>
      <w:r w:rsidRPr="00370AF7">
        <w:rPr>
          <w:sz w:val="24"/>
          <w:szCs w:val="24"/>
          <w:lang w:val="es-ES"/>
        </w:rPr>
        <w:t>.</w:t>
      </w:r>
    </w:p>
    <w:p w14:paraId="16232F7A" w14:textId="77777777" w:rsidR="00141CAA" w:rsidRPr="00370AF7" w:rsidRDefault="00141CAA" w:rsidP="00141CAA">
      <w:pPr>
        <w:rPr>
          <w:sz w:val="24"/>
          <w:szCs w:val="24"/>
          <w:lang w:val="es-ES"/>
        </w:rPr>
      </w:pPr>
    </w:p>
    <w:p w14:paraId="5EE10966" w14:textId="77777777" w:rsidR="00AD215D" w:rsidRPr="00370AF7" w:rsidRDefault="00E655F5" w:rsidP="004302EB">
      <w:pPr>
        <w:pStyle w:val="BodyText"/>
        <w:jc w:val="center"/>
        <w:rPr>
          <w:b/>
          <w:szCs w:val="24"/>
          <w:lang w:val="es-ES"/>
        </w:rPr>
      </w:pPr>
      <w:r w:rsidRPr="00370AF7">
        <w:rPr>
          <w:b/>
          <w:bCs/>
          <w:szCs w:val="24"/>
          <w:lang w:val="es-ES"/>
        </w:rPr>
        <w:t>MANTÉNGASE INFORMADO</w:t>
      </w:r>
    </w:p>
    <w:p w14:paraId="7A328317" w14:textId="77777777" w:rsidR="00AD215D" w:rsidRPr="00370AF7" w:rsidRDefault="00AD215D" w:rsidP="00AD215D">
      <w:pPr>
        <w:jc w:val="center"/>
        <w:rPr>
          <w:b/>
          <w:sz w:val="24"/>
          <w:szCs w:val="24"/>
          <w:lang w:val="es-ES"/>
        </w:rPr>
      </w:pPr>
    </w:p>
    <w:p w14:paraId="7EDBFEEA" w14:textId="77777777" w:rsidR="00AD215D" w:rsidRPr="00370AF7" w:rsidRDefault="00E655F5" w:rsidP="00AD215D">
      <w:pPr>
        <w:rPr>
          <w:sz w:val="24"/>
          <w:szCs w:val="24"/>
          <w:lang w:val="es-ES"/>
        </w:rPr>
      </w:pPr>
      <w:r w:rsidRPr="00370AF7">
        <w:rPr>
          <w:sz w:val="24"/>
          <w:szCs w:val="24"/>
          <w:lang w:val="es-ES"/>
        </w:rPr>
        <w:t>Si desea seguir este procedimiento, o cualquier otro asunto presentado ante la CPUC, puede utilizar el servicio de suscripción gratuito de la CPUC. Inscríbase en: http://subscribecpuc.cpuc.ca.gov/.</w:t>
      </w:r>
    </w:p>
    <w:p w14:paraId="58CF570F" w14:textId="77777777" w:rsidR="00AD215D" w:rsidRPr="00370AF7" w:rsidRDefault="00AD215D" w:rsidP="00AD215D">
      <w:pPr>
        <w:rPr>
          <w:sz w:val="24"/>
          <w:szCs w:val="24"/>
          <w:lang w:val="es-ES"/>
        </w:rPr>
      </w:pPr>
    </w:p>
    <w:p w14:paraId="254BC4A0" w14:textId="0A4A5338" w:rsidR="00AD215D" w:rsidRPr="00370AF7" w:rsidRDefault="00E655F5" w:rsidP="00AD215D">
      <w:pPr>
        <w:rPr>
          <w:sz w:val="24"/>
          <w:szCs w:val="24"/>
          <w:lang w:val="es-ES"/>
        </w:rPr>
      </w:pPr>
      <w:r w:rsidRPr="00370AF7">
        <w:rPr>
          <w:sz w:val="24"/>
          <w:szCs w:val="24"/>
          <w:lang w:val="es-ES"/>
        </w:rPr>
        <w:t xml:space="preserve">Si quiere obtener información sobre cómo puede participar en el procedimiento, o si tiene comentarios informales o preguntas sobre los procesos de la CPUC, puede entrar a la página web de la Oficina del Asesor Público (PAO) de la CPUC en: </w:t>
      </w:r>
      <w:hyperlink r:id="rId14" w:history="1">
        <w:r w:rsidRPr="00370AF7">
          <w:rPr>
            <w:color w:val="0000FF"/>
            <w:sz w:val="24"/>
            <w:szCs w:val="24"/>
            <w:u w:val="single"/>
            <w:lang w:val="es-ES"/>
          </w:rPr>
          <w:t>http://www.cpuc.ca.gov/pao/</w:t>
        </w:r>
      </w:hyperlink>
      <w:r w:rsidRPr="00370AF7">
        <w:rPr>
          <w:sz w:val="24"/>
          <w:szCs w:val="24"/>
          <w:lang w:val="es-ES"/>
        </w:rPr>
        <w:t xml:space="preserve">. También puede ponerse en contacto con la PAO de la siguiente manera: </w:t>
      </w:r>
    </w:p>
    <w:p w14:paraId="66C2F05C" w14:textId="77777777" w:rsidR="00AD215D" w:rsidRPr="00370AF7" w:rsidRDefault="00AD215D" w:rsidP="00AD215D">
      <w:pPr>
        <w:rPr>
          <w:sz w:val="24"/>
          <w:szCs w:val="24"/>
          <w:lang w:val="es-ES"/>
        </w:rPr>
      </w:pPr>
    </w:p>
    <w:p w14:paraId="5F8BE923" w14:textId="77777777" w:rsidR="00AD215D" w:rsidRPr="00370AF7" w:rsidRDefault="00E655F5" w:rsidP="00AD215D">
      <w:pPr>
        <w:rPr>
          <w:sz w:val="24"/>
          <w:szCs w:val="24"/>
          <w:lang w:val="es-ES"/>
        </w:rPr>
      </w:pPr>
      <w:r w:rsidRPr="00370AF7">
        <w:rPr>
          <w:sz w:val="24"/>
          <w:szCs w:val="24"/>
          <w:lang w:val="es-ES"/>
        </w:rPr>
        <w:t>Escribiendo a:</w:t>
      </w:r>
      <w:r w:rsidRPr="00370AF7">
        <w:rPr>
          <w:sz w:val="24"/>
          <w:szCs w:val="24"/>
          <w:lang w:val="es-ES"/>
        </w:rPr>
        <w:tab/>
      </w:r>
      <w:proofErr w:type="spellStart"/>
      <w:r w:rsidRPr="00370AF7">
        <w:rPr>
          <w:sz w:val="24"/>
          <w:szCs w:val="24"/>
          <w:lang w:val="es-ES"/>
        </w:rPr>
        <w:t>CPUC</w:t>
      </w:r>
      <w:proofErr w:type="spellEnd"/>
      <w:r w:rsidRPr="00370AF7">
        <w:rPr>
          <w:sz w:val="24"/>
          <w:szCs w:val="24"/>
          <w:lang w:val="es-ES"/>
        </w:rPr>
        <w:t xml:space="preserve"> </w:t>
      </w:r>
      <w:proofErr w:type="spellStart"/>
      <w:r w:rsidRPr="00370AF7">
        <w:rPr>
          <w:sz w:val="24"/>
          <w:szCs w:val="24"/>
          <w:lang w:val="es-ES"/>
        </w:rPr>
        <w:t>Public</w:t>
      </w:r>
      <w:proofErr w:type="spellEnd"/>
      <w:r w:rsidRPr="00370AF7">
        <w:rPr>
          <w:sz w:val="24"/>
          <w:szCs w:val="24"/>
          <w:lang w:val="es-ES"/>
        </w:rPr>
        <w:t xml:space="preserve"> </w:t>
      </w:r>
      <w:proofErr w:type="spellStart"/>
      <w:r w:rsidRPr="00370AF7">
        <w:rPr>
          <w:sz w:val="24"/>
          <w:szCs w:val="24"/>
          <w:lang w:val="es-ES"/>
        </w:rPr>
        <w:t>Advisor’s</w:t>
      </w:r>
      <w:proofErr w:type="spellEnd"/>
      <w:r w:rsidRPr="00370AF7">
        <w:rPr>
          <w:sz w:val="24"/>
          <w:szCs w:val="24"/>
          <w:lang w:val="es-ES"/>
        </w:rPr>
        <w:t xml:space="preserve"> Office</w:t>
      </w:r>
    </w:p>
    <w:p w14:paraId="157BDD40" w14:textId="77777777" w:rsidR="00AD215D" w:rsidRPr="00370AF7" w:rsidRDefault="00E655F5" w:rsidP="00FB14FB">
      <w:pPr>
        <w:ind w:firstLine="720"/>
        <w:rPr>
          <w:sz w:val="24"/>
          <w:szCs w:val="24"/>
          <w:lang w:val="es-ES"/>
        </w:rPr>
      </w:pPr>
      <w:r w:rsidRPr="00370AF7">
        <w:rPr>
          <w:sz w:val="24"/>
          <w:szCs w:val="24"/>
          <w:lang w:val="es-ES"/>
        </w:rPr>
        <w:t>505 Van Ness Avenue</w:t>
      </w:r>
    </w:p>
    <w:p w14:paraId="4BE3AB8D" w14:textId="77777777" w:rsidR="00AD215D" w:rsidRPr="00370AF7" w:rsidRDefault="00E655F5" w:rsidP="00FB14FB">
      <w:pPr>
        <w:ind w:firstLine="720"/>
        <w:rPr>
          <w:sz w:val="24"/>
          <w:szCs w:val="24"/>
          <w:lang w:val="es-ES"/>
        </w:rPr>
      </w:pPr>
      <w:r w:rsidRPr="00370AF7">
        <w:rPr>
          <w:sz w:val="24"/>
          <w:szCs w:val="24"/>
          <w:lang w:val="es-ES"/>
        </w:rPr>
        <w:t>San Francisco, CA 94102</w:t>
      </w:r>
    </w:p>
    <w:p w14:paraId="78392F1D" w14:textId="77777777" w:rsidR="00AD215D" w:rsidRPr="00370AF7" w:rsidRDefault="00AD215D" w:rsidP="00AD215D">
      <w:pPr>
        <w:rPr>
          <w:sz w:val="24"/>
          <w:szCs w:val="24"/>
          <w:lang w:val="es-ES"/>
        </w:rPr>
      </w:pPr>
    </w:p>
    <w:p w14:paraId="44D16525" w14:textId="72666107" w:rsidR="00AD215D" w:rsidRPr="00370AF7" w:rsidRDefault="00E655F5" w:rsidP="00AD215D">
      <w:pPr>
        <w:rPr>
          <w:sz w:val="24"/>
          <w:szCs w:val="24"/>
          <w:lang w:val="es-ES"/>
        </w:rPr>
      </w:pPr>
      <w:r w:rsidRPr="00370AF7">
        <w:rPr>
          <w:sz w:val="24"/>
          <w:szCs w:val="24"/>
          <w:lang w:val="es-ES"/>
        </w:rPr>
        <w:t xml:space="preserve">Enviando un mensaje por correo electrónico a: public.advisor@cpuc.ca.gov </w:t>
      </w:r>
    </w:p>
    <w:p w14:paraId="30220ECA" w14:textId="77777777" w:rsidR="00AD215D" w:rsidRPr="00370AF7" w:rsidRDefault="00AD215D" w:rsidP="00AD215D">
      <w:pPr>
        <w:rPr>
          <w:sz w:val="24"/>
          <w:szCs w:val="24"/>
          <w:lang w:val="es-ES"/>
        </w:rPr>
      </w:pPr>
    </w:p>
    <w:p w14:paraId="65F9325E" w14:textId="77777777" w:rsidR="00192BCA" w:rsidRDefault="00192BCA">
      <w:pPr>
        <w:rPr>
          <w:sz w:val="24"/>
          <w:szCs w:val="24"/>
          <w:lang w:val="es-ES"/>
        </w:rPr>
      </w:pPr>
      <w:r>
        <w:rPr>
          <w:sz w:val="24"/>
          <w:szCs w:val="24"/>
          <w:lang w:val="es-ES"/>
        </w:rPr>
        <w:br w:type="page"/>
      </w:r>
    </w:p>
    <w:p w14:paraId="259E26C3" w14:textId="4089150C" w:rsidR="00AD215D" w:rsidRPr="00370AF7" w:rsidRDefault="00E655F5" w:rsidP="00AD215D">
      <w:pPr>
        <w:rPr>
          <w:sz w:val="24"/>
          <w:szCs w:val="24"/>
          <w:lang w:val="es-ES"/>
        </w:rPr>
      </w:pPr>
      <w:r w:rsidRPr="00370AF7">
        <w:rPr>
          <w:sz w:val="24"/>
          <w:szCs w:val="24"/>
          <w:lang w:val="es-ES"/>
        </w:rPr>
        <w:lastRenderedPageBreak/>
        <w:t xml:space="preserve">Llamando al: 1-866-849-8390 (sin costo) o al 1-415-703-2074 </w:t>
      </w:r>
    </w:p>
    <w:p w14:paraId="3F41D657" w14:textId="77777777" w:rsidR="00AD215D" w:rsidRPr="00370AF7" w:rsidRDefault="00E655F5" w:rsidP="00AD215D">
      <w:pPr>
        <w:rPr>
          <w:sz w:val="24"/>
          <w:szCs w:val="24"/>
          <w:lang w:val="es-ES"/>
        </w:rPr>
      </w:pPr>
      <w:r w:rsidRPr="00370AF7">
        <w:rPr>
          <w:sz w:val="24"/>
          <w:szCs w:val="24"/>
          <w:lang w:val="es-ES"/>
        </w:rPr>
        <w:tab/>
        <w:t>TTY: 1-866-836-7825 (sin costo) o 1-415-703-5282</w:t>
      </w:r>
    </w:p>
    <w:p w14:paraId="5BC896BA" w14:textId="77777777" w:rsidR="00063A3B" w:rsidRPr="00370AF7" w:rsidRDefault="00063A3B">
      <w:pPr>
        <w:rPr>
          <w:sz w:val="24"/>
          <w:lang w:val="es-ES"/>
        </w:rPr>
      </w:pPr>
    </w:p>
    <w:p w14:paraId="394B5695" w14:textId="17F89CBF" w:rsidR="00626AE9" w:rsidRPr="00370AF7" w:rsidRDefault="00E655F5" w:rsidP="00626AE9">
      <w:pPr>
        <w:autoSpaceDE w:val="0"/>
        <w:autoSpaceDN w:val="0"/>
        <w:adjustRightInd w:val="0"/>
        <w:rPr>
          <w:sz w:val="24"/>
          <w:szCs w:val="24"/>
          <w:lang w:val="es-ES"/>
        </w:rPr>
      </w:pPr>
      <w:r w:rsidRPr="00370AF7">
        <w:rPr>
          <w:sz w:val="24"/>
          <w:szCs w:val="24"/>
          <w:lang w:val="es-ES"/>
        </w:rPr>
        <w:t xml:space="preserve">Por favor haga referencia a </w:t>
      </w:r>
      <w:r w:rsidR="00192BCA">
        <w:rPr>
          <w:sz w:val="24"/>
          <w:szCs w:val="24"/>
          <w:lang w:val="es-ES"/>
        </w:rPr>
        <w:t xml:space="preserve">la solicitud </w:t>
      </w:r>
      <w:r w:rsidRPr="00370AF7">
        <w:rPr>
          <w:b/>
          <w:bCs/>
          <w:sz w:val="24"/>
          <w:szCs w:val="24"/>
          <w:lang w:val="es-ES"/>
        </w:rPr>
        <w:t>SDG&amp;E Non-</w:t>
      </w:r>
      <w:proofErr w:type="spellStart"/>
      <w:r w:rsidRPr="00370AF7">
        <w:rPr>
          <w:b/>
          <w:bCs/>
          <w:sz w:val="24"/>
          <w:szCs w:val="24"/>
          <w:lang w:val="es-ES"/>
        </w:rPr>
        <w:t>Residential</w:t>
      </w:r>
      <w:proofErr w:type="spellEnd"/>
      <w:r w:rsidRPr="00370AF7">
        <w:rPr>
          <w:b/>
          <w:bCs/>
          <w:sz w:val="24"/>
          <w:szCs w:val="24"/>
          <w:lang w:val="es-ES"/>
        </w:rPr>
        <w:t xml:space="preserve"> Electric </w:t>
      </w:r>
      <w:proofErr w:type="spellStart"/>
      <w:r w:rsidRPr="00370AF7">
        <w:rPr>
          <w:b/>
          <w:bCs/>
          <w:sz w:val="24"/>
          <w:szCs w:val="24"/>
          <w:lang w:val="es-ES"/>
        </w:rPr>
        <w:t>Vehicle</w:t>
      </w:r>
      <w:proofErr w:type="spellEnd"/>
      <w:r w:rsidRPr="00370AF7">
        <w:rPr>
          <w:b/>
          <w:bCs/>
          <w:sz w:val="24"/>
          <w:szCs w:val="24"/>
          <w:lang w:val="es-ES"/>
        </w:rPr>
        <w:t xml:space="preserve"> Rates Application No. A.19-07-006</w:t>
      </w:r>
      <w:r w:rsidRPr="00370AF7">
        <w:rPr>
          <w:sz w:val="24"/>
          <w:szCs w:val="24"/>
          <w:lang w:val="es-ES"/>
        </w:rPr>
        <w:t xml:space="preserve"> en cualesquiera comunicaciones que sostenga con la CPUC en relación con este asunto. Todos los comentarios públicos se volverán parte del expediente de correspondencia pública de este procedimiento y se pondrán a disposición del Juez asignado, los Comisionados y el personal pertinente de la CPUC para su revisión.</w:t>
      </w:r>
    </w:p>
    <w:p w14:paraId="1A455305" w14:textId="77777777" w:rsidR="00005EC3" w:rsidRPr="00370AF7" w:rsidRDefault="00005EC3" w:rsidP="00626AE9">
      <w:pPr>
        <w:autoSpaceDE w:val="0"/>
        <w:autoSpaceDN w:val="0"/>
        <w:adjustRightInd w:val="0"/>
        <w:rPr>
          <w:color w:val="000000"/>
          <w:sz w:val="24"/>
          <w:szCs w:val="24"/>
          <w:lang w:val="es-ES"/>
        </w:rPr>
      </w:pPr>
    </w:p>
    <w:p w14:paraId="708EA5D4" w14:textId="77777777" w:rsidR="00523B21" w:rsidRPr="00370AF7" w:rsidRDefault="00523B21">
      <w:pPr>
        <w:rPr>
          <w:sz w:val="22"/>
          <w:szCs w:val="22"/>
          <w:lang w:val="es-ES"/>
        </w:rPr>
      </w:pPr>
    </w:p>
    <w:sectPr w:rsidR="00523B21" w:rsidRPr="00370AF7" w:rsidSect="00080410">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6910B" w14:textId="77777777" w:rsidR="00F70C99" w:rsidRDefault="00F70C99">
      <w:r>
        <w:separator/>
      </w:r>
    </w:p>
  </w:endnote>
  <w:endnote w:type="continuationSeparator" w:id="0">
    <w:p w14:paraId="43538E6F" w14:textId="77777777" w:rsidR="00F70C99" w:rsidRDefault="00F7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38A3" w14:textId="77777777" w:rsidR="00B60915" w:rsidRDefault="00B6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8E66B" w14:textId="77777777" w:rsidR="00F70C99" w:rsidRDefault="00F70C99">
      <w:r>
        <w:separator/>
      </w:r>
    </w:p>
  </w:footnote>
  <w:footnote w:type="continuationSeparator" w:id="0">
    <w:p w14:paraId="0D35A1B8" w14:textId="77777777" w:rsidR="00F70C99" w:rsidRDefault="00F7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2E05" w14:textId="77777777" w:rsidR="00B60915" w:rsidRDefault="00B60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24A3"/>
    <w:multiLevelType w:val="hybridMultilevel"/>
    <w:tmpl w:val="7DACC240"/>
    <w:lvl w:ilvl="0" w:tplc="C124FD36">
      <w:start w:val="1"/>
      <w:numFmt w:val="decimal"/>
      <w:lvlText w:val="%1."/>
      <w:lvlJc w:val="left"/>
      <w:pPr>
        <w:ind w:left="720" w:hanging="360"/>
      </w:pPr>
    </w:lvl>
    <w:lvl w:ilvl="1" w:tplc="A252D09C" w:tentative="1">
      <w:start w:val="1"/>
      <w:numFmt w:val="lowerLetter"/>
      <w:lvlText w:val="%2."/>
      <w:lvlJc w:val="left"/>
      <w:pPr>
        <w:ind w:left="1440" w:hanging="360"/>
      </w:pPr>
    </w:lvl>
    <w:lvl w:ilvl="2" w:tplc="A7EEFD4A" w:tentative="1">
      <w:start w:val="1"/>
      <w:numFmt w:val="lowerRoman"/>
      <w:lvlText w:val="%3."/>
      <w:lvlJc w:val="right"/>
      <w:pPr>
        <w:ind w:left="2160" w:hanging="180"/>
      </w:pPr>
    </w:lvl>
    <w:lvl w:ilvl="3" w:tplc="AAF64236" w:tentative="1">
      <w:start w:val="1"/>
      <w:numFmt w:val="decimal"/>
      <w:lvlText w:val="%4."/>
      <w:lvlJc w:val="left"/>
      <w:pPr>
        <w:ind w:left="2880" w:hanging="360"/>
      </w:pPr>
    </w:lvl>
    <w:lvl w:ilvl="4" w:tplc="A4D4D358" w:tentative="1">
      <w:start w:val="1"/>
      <w:numFmt w:val="lowerLetter"/>
      <w:lvlText w:val="%5."/>
      <w:lvlJc w:val="left"/>
      <w:pPr>
        <w:ind w:left="3600" w:hanging="360"/>
      </w:pPr>
    </w:lvl>
    <w:lvl w:ilvl="5" w:tplc="96744882" w:tentative="1">
      <w:start w:val="1"/>
      <w:numFmt w:val="lowerRoman"/>
      <w:lvlText w:val="%6."/>
      <w:lvlJc w:val="right"/>
      <w:pPr>
        <w:ind w:left="4320" w:hanging="180"/>
      </w:pPr>
    </w:lvl>
    <w:lvl w:ilvl="6" w:tplc="114A9100" w:tentative="1">
      <w:start w:val="1"/>
      <w:numFmt w:val="decimal"/>
      <w:lvlText w:val="%7."/>
      <w:lvlJc w:val="left"/>
      <w:pPr>
        <w:ind w:left="5040" w:hanging="360"/>
      </w:pPr>
    </w:lvl>
    <w:lvl w:ilvl="7" w:tplc="4FB2ED0A" w:tentative="1">
      <w:start w:val="1"/>
      <w:numFmt w:val="lowerLetter"/>
      <w:lvlText w:val="%8."/>
      <w:lvlJc w:val="left"/>
      <w:pPr>
        <w:ind w:left="5760" w:hanging="360"/>
      </w:pPr>
    </w:lvl>
    <w:lvl w:ilvl="8" w:tplc="505A1770" w:tentative="1">
      <w:start w:val="1"/>
      <w:numFmt w:val="lowerRoman"/>
      <w:lvlText w:val="%9."/>
      <w:lvlJc w:val="right"/>
      <w:pPr>
        <w:ind w:left="6480" w:hanging="180"/>
      </w:pPr>
    </w:lvl>
  </w:abstractNum>
  <w:abstractNum w:abstractNumId="1" w15:restartNumberingAfterBreak="0">
    <w:nsid w:val="66453AC3"/>
    <w:multiLevelType w:val="hybridMultilevel"/>
    <w:tmpl w:val="4E8476A4"/>
    <w:lvl w:ilvl="0" w:tplc="260AC458">
      <w:start w:val="1"/>
      <w:numFmt w:val="decimal"/>
      <w:lvlText w:val="(%1)"/>
      <w:lvlJc w:val="left"/>
      <w:pPr>
        <w:ind w:left="720" w:hanging="360"/>
      </w:pPr>
      <w:rPr>
        <w:rFonts w:hint="default"/>
      </w:rPr>
    </w:lvl>
    <w:lvl w:ilvl="1" w:tplc="1A56B168" w:tentative="1">
      <w:start w:val="1"/>
      <w:numFmt w:val="lowerLetter"/>
      <w:lvlText w:val="%2."/>
      <w:lvlJc w:val="left"/>
      <w:pPr>
        <w:ind w:left="1440" w:hanging="360"/>
      </w:pPr>
    </w:lvl>
    <w:lvl w:ilvl="2" w:tplc="51B03F52" w:tentative="1">
      <w:start w:val="1"/>
      <w:numFmt w:val="lowerRoman"/>
      <w:lvlText w:val="%3."/>
      <w:lvlJc w:val="right"/>
      <w:pPr>
        <w:ind w:left="2160" w:hanging="180"/>
      </w:pPr>
    </w:lvl>
    <w:lvl w:ilvl="3" w:tplc="964678A6" w:tentative="1">
      <w:start w:val="1"/>
      <w:numFmt w:val="decimal"/>
      <w:lvlText w:val="%4."/>
      <w:lvlJc w:val="left"/>
      <w:pPr>
        <w:ind w:left="2880" w:hanging="360"/>
      </w:pPr>
    </w:lvl>
    <w:lvl w:ilvl="4" w:tplc="FC68AE04" w:tentative="1">
      <w:start w:val="1"/>
      <w:numFmt w:val="lowerLetter"/>
      <w:lvlText w:val="%5."/>
      <w:lvlJc w:val="left"/>
      <w:pPr>
        <w:ind w:left="3600" w:hanging="360"/>
      </w:pPr>
    </w:lvl>
    <w:lvl w:ilvl="5" w:tplc="4F6E9350" w:tentative="1">
      <w:start w:val="1"/>
      <w:numFmt w:val="lowerRoman"/>
      <w:lvlText w:val="%6."/>
      <w:lvlJc w:val="right"/>
      <w:pPr>
        <w:ind w:left="4320" w:hanging="180"/>
      </w:pPr>
    </w:lvl>
    <w:lvl w:ilvl="6" w:tplc="D85A8698" w:tentative="1">
      <w:start w:val="1"/>
      <w:numFmt w:val="decimal"/>
      <w:lvlText w:val="%7."/>
      <w:lvlJc w:val="left"/>
      <w:pPr>
        <w:ind w:left="5040" w:hanging="360"/>
      </w:pPr>
    </w:lvl>
    <w:lvl w:ilvl="7" w:tplc="DB447950" w:tentative="1">
      <w:start w:val="1"/>
      <w:numFmt w:val="lowerLetter"/>
      <w:lvlText w:val="%8."/>
      <w:lvlJc w:val="left"/>
      <w:pPr>
        <w:ind w:left="5760" w:hanging="360"/>
      </w:pPr>
    </w:lvl>
    <w:lvl w:ilvl="8" w:tplc="72AC971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E4"/>
    <w:rsid w:val="00005DF6"/>
    <w:rsid w:val="00005EC3"/>
    <w:rsid w:val="00022D63"/>
    <w:rsid w:val="00033575"/>
    <w:rsid w:val="000417DE"/>
    <w:rsid w:val="0004229B"/>
    <w:rsid w:val="000475BA"/>
    <w:rsid w:val="000507F1"/>
    <w:rsid w:val="000544DD"/>
    <w:rsid w:val="00063A3B"/>
    <w:rsid w:val="00072B1D"/>
    <w:rsid w:val="00072E61"/>
    <w:rsid w:val="00075482"/>
    <w:rsid w:val="00080410"/>
    <w:rsid w:val="0008204B"/>
    <w:rsid w:val="00082423"/>
    <w:rsid w:val="000A3202"/>
    <w:rsid w:val="000B31D1"/>
    <w:rsid w:val="000C0B51"/>
    <w:rsid w:val="000C6895"/>
    <w:rsid w:val="000E59E5"/>
    <w:rsid w:val="0010538A"/>
    <w:rsid w:val="00115051"/>
    <w:rsid w:val="001311DA"/>
    <w:rsid w:val="0013765D"/>
    <w:rsid w:val="00141BA5"/>
    <w:rsid w:val="00141CAA"/>
    <w:rsid w:val="001454A6"/>
    <w:rsid w:val="00151F2E"/>
    <w:rsid w:val="001918AA"/>
    <w:rsid w:val="00192BCA"/>
    <w:rsid w:val="001A55A4"/>
    <w:rsid w:val="001A6165"/>
    <w:rsid w:val="001B57A4"/>
    <w:rsid w:val="001C4542"/>
    <w:rsid w:val="001C5AAE"/>
    <w:rsid w:val="001D136A"/>
    <w:rsid w:val="001E4156"/>
    <w:rsid w:val="0020419C"/>
    <w:rsid w:val="00207C93"/>
    <w:rsid w:val="002246C3"/>
    <w:rsid w:val="002252B1"/>
    <w:rsid w:val="00234334"/>
    <w:rsid w:val="002372E9"/>
    <w:rsid w:val="00243FF7"/>
    <w:rsid w:val="002451CC"/>
    <w:rsid w:val="00252DA3"/>
    <w:rsid w:val="002547E5"/>
    <w:rsid w:val="002610B0"/>
    <w:rsid w:val="00266138"/>
    <w:rsid w:val="0027250F"/>
    <w:rsid w:val="002729FC"/>
    <w:rsid w:val="0027492B"/>
    <w:rsid w:val="00277C7D"/>
    <w:rsid w:val="00290B13"/>
    <w:rsid w:val="002C1865"/>
    <w:rsid w:val="002C3224"/>
    <w:rsid w:val="002C3762"/>
    <w:rsid w:val="002D7E9A"/>
    <w:rsid w:val="002E07AF"/>
    <w:rsid w:val="002E3C81"/>
    <w:rsid w:val="002E6328"/>
    <w:rsid w:val="002F2A9B"/>
    <w:rsid w:val="002F7C1A"/>
    <w:rsid w:val="00300510"/>
    <w:rsid w:val="00311C43"/>
    <w:rsid w:val="00324B9F"/>
    <w:rsid w:val="00327DC6"/>
    <w:rsid w:val="0033156C"/>
    <w:rsid w:val="0033565E"/>
    <w:rsid w:val="00337F4C"/>
    <w:rsid w:val="003479C4"/>
    <w:rsid w:val="00354BB6"/>
    <w:rsid w:val="003658B1"/>
    <w:rsid w:val="00370AF7"/>
    <w:rsid w:val="00372DD5"/>
    <w:rsid w:val="003772A7"/>
    <w:rsid w:val="00380553"/>
    <w:rsid w:val="0038718C"/>
    <w:rsid w:val="003931E6"/>
    <w:rsid w:val="00394BFA"/>
    <w:rsid w:val="003B5D4E"/>
    <w:rsid w:val="003C25DC"/>
    <w:rsid w:val="003C4541"/>
    <w:rsid w:val="003C4854"/>
    <w:rsid w:val="003C6E00"/>
    <w:rsid w:val="003C6F51"/>
    <w:rsid w:val="003D0329"/>
    <w:rsid w:val="003D0817"/>
    <w:rsid w:val="003E031E"/>
    <w:rsid w:val="003E7FA8"/>
    <w:rsid w:val="003F7C10"/>
    <w:rsid w:val="00400718"/>
    <w:rsid w:val="0040179D"/>
    <w:rsid w:val="00413CA0"/>
    <w:rsid w:val="00417772"/>
    <w:rsid w:val="00423D28"/>
    <w:rsid w:val="004302EB"/>
    <w:rsid w:val="0044407B"/>
    <w:rsid w:val="004527AA"/>
    <w:rsid w:val="004531E4"/>
    <w:rsid w:val="004655FF"/>
    <w:rsid w:val="00494A7C"/>
    <w:rsid w:val="004A228F"/>
    <w:rsid w:val="004A6DB9"/>
    <w:rsid w:val="004A7C40"/>
    <w:rsid w:val="004B5766"/>
    <w:rsid w:val="004B6503"/>
    <w:rsid w:val="004B77EC"/>
    <w:rsid w:val="004B7D3D"/>
    <w:rsid w:val="004C14C2"/>
    <w:rsid w:val="004C3EA7"/>
    <w:rsid w:val="004C4893"/>
    <w:rsid w:val="004E24F4"/>
    <w:rsid w:val="004E789B"/>
    <w:rsid w:val="00507E88"/>
    <w:rsid w:val="00517355"/>
    <w:rsid w:val="00522945"/>
    <w:rsid w:val="00523B21"/>
    <w:rsid w:val="00526701"/>
    <w:rsid w:val="005301EC"/>
    <w:rsid w:val="00535A55"/>
    <w:rsid w:val="00541200"/>
    <w:rsid w:val="00551078"/>
    <w:rsid w:val="00552EBD"/>
    <w:rsid w:val="00554CFD"/>
    <w:rsid w:val="00560401"/>
    <w:rsid w:val="005705AF"/>
    <w:rsid w:val="00582A89"/>
    <w:rsid w:val="00583601"/>
    <w:rsid w:val="00584330"/>
    <w:rsid w:val="00587AA4"/>
    <w:rsid w:val="005A2A2C"/>
    <w:rsid w:val="005A4BC9"/>
    <w:rsid w:val="005A5688"/>
    <w:rsid w:val="005B24BA"/>
    <w:rsid w:val="005B4E2B"/>
    <w:rsid w:val="005C15A5"/>
    <w:rsid w:val="005E08E5"/>
    <w:rsid w:val="005E4C5A"/>
    <w:rsid w:val="005E753E"/>
    <w:rsid w:val="005F16D7"/>
    <w:rsid w:val="005F5A46"/>
    <w:rsid w:val="00621B0F"/>
    <w:rsid w:val="00626AE9"/>
    <w:rsid w:val="0064349C"/>
    <w:rsid w:val="006463B4"/>
    <w:rsid w:val="00651E4F"/>
    <w:rsid w:val="00660E13"/>
    <w:rsid w:val="00662542"/>
    <w:rsid w:val="006625D8"/>
    <w:rsid w:val="00695BCC"/>
    <w:rsid w:val="006B0E64"/>
    <w:rsid w:val="006B42A8"/>
    <w:rsid w:val="006B5140"/>
    <w:rsid w:val="006B780C"/>
    <w:rsid w:val="006C0BF1"/>
    <w:rsid w:val="006E1CAD"/>
    <w:rsid w:val="006E53C3"/>
    <w:rsid w:val="006E71FF"/>
    <w:rsid w:val="006F1687"/>
    <w:rsid w:val="007152E8"/>
    <w:rsid w:val="007407F3"/>
    <w:rsid w:val="0075024B"/>
    <w:rsid w:val="00751067"/>
    <w:rsid w:val="007513EF"/>
    <w:rsid w:val="00751482"/>
    <w:rsid w:val="00775712"/>
    <w:rsid w:val="00783453"/>
    <w:rsid w:val="00793E25"/>
    <w:rsid w:val="00794515"/>
    <w:rsid w:val="00797BDB"/>
    <w:rsid w:val="007B62E9"/>
    <w:rsid w:val="007C3F1F"/>
    <w:rsid w:val="007C6E1D"/>
    <w:rsid w:val="007D1D06"/>
    <w:rsid w:val="007D3C22"/>
    <w:rsid w:val="007E5C83"/>
    <w:rsid w:val="007E60F7"/>
    <w:rsid w:val="007F5FE3"/>
    <w:rsid w:val="00803CE4"/>
    <w:rsid w:val="0081358C"/>
    <w:rsid w:val="0084171D"/>
    <w:rsid w:val="00842210"/>
    <w:rsid w:val="00843D52"/>
    <w:rsid w:val="008527A3"/>
    <w:rsid w:val="00860132"/>
    <w:rsid w:val="0086324E"/>
    <w:rsid w:val="00872A7B"/>
    <w:rsid w:val="00885A16"/>
    <w:rsid w:val="00886BC2"/>
    <w:rsid w:val="0089524E"/>
    <w:rsid w:val="008952AE"/>
    <w:rsid w:val="008B7DC3"/>
    <w:rsid w:val="008D0E6B"/>
    <w:rsid w:val="008E06BE"/>
    <w:rsid w:val="008E0CE6"/>
    <w:rsid w:val="008E43CE"/>
    <w:rsid w:val="008F32EC"/>
    <w:rsid w:val="00924275"/>
    <w:rsid w:val="00931252"/>
    <w:rsid w:val="009313BD"/>
    <w:rsid w:val="009322DB"/>
    <w:rsid w:val="00932A35"/>
    <w:rsid w:val="0093419F"/>
    <w:rsid w:val="00951FAC"/>
    <w:rsid w:val="009524A1"/>
    <w:rsid w:val="00957EFF"/>
    <w:rsid w:val="00957F45"/>
    <w:rsid w:val="00965A13"/>
    <w:rsid w:val="009746C4"/>
    <w:rsid w:val="00974B0F"/>
    <w:rsid w:val="009A68E6"/>
    <w:rsid w:val="009A6E62"/>
    <w:rsid w:val="009B03B6"/>
    <w:rsid w:val="009B20BE"/>
    <w:rsid w:val="009C22AE"/>
    <w:rsid w:val="009D38F4"/>
    <w:rsid w:val="009D6DFF"/>
    <w:rsid w:val="009E16CF"/>
    <w:rsid w:val="009E284B"/>
    <w:rsid w:val="009E28A6"/>
    <w:rsid w:val="009E454A"/>
    <w:rsid w:val="009E63D3"/>
    <w:rsid w:val="009F695F"/>
    <w:rsid w:val="00A02F3F"/>
    <w:rsid w:val="00A12193"/>
    <w:rsid w:val="00A1400B"/>
    <w:rsid w:val="00A31E1F"/>
    <w:rsid w:val="00A3209A"/>
    <w:rsid w:val="00A54AAE"/>
    <w:rsid w:val="00A63599"/>
    <w:rsid w:val="00A648D7"/>
    <w:rsid w:val="00A855FC"/>
    <w:rsid w:val="00AB35F4"/>
    <w:rsid w:val="00AD215D"/>
    <w:rsid w:val="00AE0EF7"/>
    <w:rsid w:val="00AE51A5"/>
    <w:rsid w:val="00B1702C"/>
    <w:rsid w:val="00B24A15"/>
    <w:rsid w:val="00B26C5D"/>
    <w:rsid w:val="00B37B0D"/>
    <w:rsid w:val="00B60915"/>
    <w:rsid w:val="00B71A1C"/>
    <w:rsid w:val="00B81027"/>
    <w:rsid w:val="00B8569A"/>
    <w:rsid w:val="00BA0C79"/>
    <w:rsid w:val="00BB5EB3"/>
    <w:rsid w:val="00BD4D6B"/>
    <w:rsid w:val="00BE2FC4"/>
    <w:rsid w:val="00BE52FD"/>
    <w:rsid w:val="00C024BD"/>
    <w:rsid w:val="00C06F18"/>
    <w:rsid w:val="00C24A88"/>
    <w:rsid w:val="00C27A03"/>
    <w:rsid w:val="00C3718B"/>
    <w:rsid w:val="00C43C87"/>
    <w:rsid w:val="00C45D66"/>
    <w:rsid w:val="00C55D40"/>
    <w:rsid w:val="00C5649C"/>
    <w:rsid w:val="00C579AB"/>
    <w:rsid w:val="00C73721"/>
    <w:rsid w:val="00C7573E"/>
    <w:rsid w:val="00C81BE4"/>
    <w:rsid w:val="00C86575"/>
    <w:rsid w:val="00CA3D83"/>
    <w:rsid w:val="00CB409E"/>
    <w:rsid w:val="00CC0DDA"/>
    <w:rsid w:val="00CC2E99"/>
    <w:rsid w:val="00CF5A0A"/>
    <w:rsid w:val="00D03347"/>
    <w:rsid w:val="00D107A1"/>
    <w:rsid w:val="00D165D4"/>
    <w:rsid w:val="00D52339"/>
    <w:rsid w:val="00D53926"/>
    <w:rsid w:val="00D74903"/>
    <w:rsid w:val="00D93D59"/>
    <w:rsid w:val="00D978B9"/>
    <w:rsid w:val="00DA05ED"/>
    <w:rsid w:val="00DA127E"/>
    <w:rsid w:val="00DA40BC"/>
    <w:rsid w:val="00DA7973"/>
    <w:rsid w:val="00DB299A"/>
    <w:rsid w:val="00DC222F"/>
    <w:rsid w:val="00DC5709"/>
    <w:rsid w:val="00DD0E9F"/>
    <w:rsid w:val="00DD3F85"/>
    <w:rsid w:val="00DD4A1F"/>
    <w:rsid w:val="00DD60CB"/>
    <w:rsid w:val="00DE21A8"/>
    <w:rsid w:val="00DE3A97"/>
    <w:rsid w:val="00E206C9"/>
    <w:rsid w:val="00E42DF7"/>
    <w:rsid w:val="00E5584E"/>
    <w:rsid w:val="00E642AF"/>
    <w:rsid w:val="00E64549"/>
    <w:rsid w:val="00E655F5"/>
    <w:rsid w:val="00E677F8"/>
    <w:rsid w:val="00E67EE5"/>
    <w:rsid w:val="00E70080"/>
    <w:rsid w:val="00E71197"/>
    <w:rsid w:val="00E957B2"/>
    <w:rsid w:val="00E96A3E"/>
    <w:rsid w:val="00E97951"/>
    <w:rsid w:val="00EA2394"/>
    <w:rsid w:val="00EB2C67"/>
    <w:rsid w:val="00EB5C6A"/>
    <w:rsid w:val="00EC3B29"/>
    <w:rsid w:val="00EC5EAF"/>
    <w:rsid w:val="00ED7AA4"/>
    <w:rsid w:val="00EE01C7"/>
    <w:rsid w:val="00EE040F"/>
    <w:rsid w:val="00EE7D57"/>
    <w:rsid w:val="00EF1EBC"/>
    <w:rsid w:val="00F02AE2"/>
    <w:rsid w:val="00F07E3E"/>
    <w:rsid w:val="00F07FC5"/>
    <w:rsid w:val="00F118FA"/>
    <w:rsid w:val="00F147A5"/>
    <w:rsid w:val="00F21645"/>
    <w:rsid w:val="00F24D9A"/>
    <w:rsid w:val="00F33724"/>
    <w:rsid w:val="00F34682"/>
    <w:rsid w:val="00F34E40"/>
    <w:rsid w:val="00F37FDB"/>
    <w:rsid w:val="00F43761"/>
    <w:rsid w:val="00F43FAF"/>
    <w:rsid w:val="00F46428"/>
    <w:rsid w:val="00F50D30"/>
    <w:rsid w:val="00F54222"/>
    <w:rsid w:val="00F61F9E"/>
    <w:rsid w:val="00F70C99"/>
    <w:rsid w:val="00F7528C"/>
    <w:rsid w:val="00F85F9E"/>
    <w:rsid w:val="00F91C33"/>
    <w:rsid w:val="00F91E85"/>
    <w:rsid w:val="00F94D3D"/>
    <w:rsid w:val="00FA080D"/>
    <w:rsid w:val="00FA09F0"/>
    <w:rsid w:val="00FB14FB"/>
    <w:rsid w:val="00FB71FD"/>
    <w:rsid w:val="00FC29F1"/>
    <w:rsid w:val="00FC44B0"/>
    <w:rsid w:val="00FD7EAB"/>
    <w:rsid w:val="00FE01C3"/>
    <w:rsid w:val="00FE3D18"/>
    <w:rsid w:val="02EB4D45"/>
    <w:rsid w:val="1F078AB2"/>
    <w:rsid w:val="22A0BD6F"/>
    <w:rsid w:val="3FC18691"/>
    <w:rsid w:val="4139208E"/>
    <w:rsid w:val="61C6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B8DD1-BB82-3C4D-9C68-C030CF75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8"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sz w:val="24"/>
    </w:rPr>
  </w:style>
  <w:style w:type="paragraph" w:styleId="BalloonText">
    <w:name w:val="Balloon Text"/>
    <w:basedOn w:val="Normal"/>
    <w:semiHidden/>
    <w:rPr>
      <w:rFonts w:ascii="Tahoma" w:hAnsi="Tahoma" w:cs="Tahoma"/>
      <w:sz w:val="16"/>
      <w:szCs w:val="16"/>
    </w:rPr>
  </w:style>
  <w:style w:type="paragraph" w:customStyle="1" w:styleId="NormalEx24">
    <w:name w:val="NormalEx24"/>
    <w:basedOn w:val="Normal"/>
    <w:pPr>
      <w:widowControl w:val="0"/>
      <w:spacing w:before="120" w:after="120" w:line="360" w:lineRule="auto"/>
      <w:ind w:firstLine="720"/>
    </w:pPr>
    <w:rPr>
      <w:sz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CommentTextChar">
    <w:name w:val="Comment Text Char"/>
    <w:link w:val="CommentText"/>
    <w:uiPriority w:val="99"/>
    <w:semiHidden/>
    <w:rsid w:val="00141CAA"/>
  </w:style>
  <w:style w:type="paragraph" w:styleId="FootnoteText">
    <w:name w:val="footnote text"/>
    <w:basedOn w:val="Normal"/>
    <w:link w:val="FootnoteTextChar"/>
    <w:uiPriority w:val="98"/>
    <w:rsid w:val="009E16CF"/>
  </w:style>
  <w:style w:type="character" w:customStyle="1" w:styleId="FootnoteTextChar">
    <w:name w:val="Footnote Text Char"/>
    <w:basedOn w:val="DefaultParagraphFont"/>
    <w:link w:val="FootnoteText"/>
    <w:uiPriority w:val="98"/>
    <w:rsid w:val="009E16CF"/>
  </w:style>
  <w:style w:type="character" w:styleId="FootnoteReference">
    <w:name w:val="footnote reference"/>
    <w:uiPriority w:val="99"/>
    <w:rsid w:val="009E16CF"/>
    <w:rPr>
      <w:vertAlign w:val="superscript"/>
    </w:rPr>
  </w:style>
  <w:style w:type="paragraph" w:styleId="Revision">
    <w:name w:val="Revision"/>
    <w:hidden/>
    <w:uiPriority w:val="99"/>
    <w:semiHidden/>
    <w:rsid w:val="00CA3D83"/>
  </w:style>
  <w:style w:type="character" w:customStyle="1" w:styleId="UnresolvedMention1">
    <w:name w:val="Unresolved Mention1"/>
    <w:basedOn w:val="DefaultParagraphFont"/>
    <w:uiPriority w:val="99"/>
    <w:semiHidden/>
    <w:unhideWhenUsed/>
    <w:rsid w:val="00AD215D"/>
    <w:rPr>
      <w:color w:val="808080"/>
      <w:shd w:val="clear" w:color="auto" w:fill="E6E6E6"/>
    </w:rPr>
  </w:style>
  <w:style w:type="character" w:styleId="FollowedHyperlink">
    <w:name w:val="FollowedHyperlink"/>
    <w:basedOn w:val="DefaultParagraphFont"/>
    <w:rsid w:val="00AD215D"/>
    <w:rPr>
      <w:color w:val="954F72" w:themeColor="followedHyperlink"/>
      <w:u w:val="single"/>
    </w:rPr>
  </w:style>
  <w:style w:type="character" w:customStyle="1" w:styleId="HeaderChar">
    <w:name w:val="Header Char"/>
    <w:basedOn w:val="DefaultParagraphFont"/>
    <w:link w:val="Header"/>
    <w:uiPriority w:val="99"/>
    <w:rsid w:val="00507E88"/>
  </w:style>
  <w:style w:type="paragraph" w:styleId="ListParagraph">
    <w:name w:val="List Paragraph"/>
    <w:basedOn w:val="Normal"/>
    <w:uiPriority w:val="34"/>
    <w:qFormat/>
    <w:rsid w:val="00E20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licadvocates.cpuc.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dge.com/regulatory-not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ge.com/rates-and-regulations/proceeding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uc.ca.gov/p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364ce27c-a366-41e6-8be2-af4dc8cfb0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13D1DE4604F543BF93D8DD9D66945D" ma:contentTypeVersion="15" ma:contentTypeDescription="Create a new document." ma:contentTypeScope="" ma:versionID="46e37979db47a539f203fade3a049948">
  <xsd:schema xmlns:xsd="http://www.w3.org/2001/XMLSchema" xmlns:xs="http://www.w3.org/2001/XMLSchema" xmlns:p="http://schemas.microsoft.com/office/2006/metadata/properties" xmlns:ns2="364ce27c-a366-41e6-8be2-af4dc8cfb041" xmlns:ns3="579579a3-d0d9-4378-8163-a0fde1512da3" targetNamespace="http://schemas.microsoft.com/office/2006/metadata/properties" ma:root="true" ma:fieldsID="70f0cc3951182aa2316c0e9dfff05e85" ns2:_="" ns3:_="">
    <xsd:import namespace="364ce27c-a366-41e6-8be2-af4dc8cfb041"/>
    <xsd:import namespace="579579a3-d0d9-4378-8163-a0fde1512da3"/>
    <xsd:element name="properties">
      <xsd:complexType>
        <xsd:sequence>
          <xsd:element name="documentManagement">
            <xsd:complexType>
              <xsd:all>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ce27c-a366-41e6-8be2-af4dc8cfb041"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9579a3-d0d9-4378-8163-a0fde1512da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83BB-F249-4F9D-BDA1-72593334CCED}">
  <ds:schemaRefs>
    <ds:schemaRef ds:uri="http://schemas.microsoft.com/sharepoint/v3/contenttype/forms"/>
  </ds:schemaRefs>
</ds:datastoreItem>
</file>

<file path=customXml/itemProps2.xml><?xml version="1.0" encoding="utf-8"?>
<ds:datastoreItem xmlns:ds="http://schemas.openxmlformats.org/officeDocument/2006/customXml" ds:itemID="{D599E73A-EBD8-4C60-84F9-6E7BDE265879}">
  <ds:schemaRefs>
    <ds:schemaRef ds:uri="http://purl.org/dc/elements/1.1/"/>
    <ds:schemaRef ds:uri="http://schemas.microsoft.com/office/2006/metadata/properties"/>
    <ds:schemaRef ds:uri="http://schemas.openxmlformats.org/package/2006/metadata/core-properties"/>
    <ds:schemaRef ds:uri="http://purl.org/dc/terms/"/>
    <ds:schemaRef ds:uri="579579a3-d0d9-4378-8163-a0fde1512da3"/>
    <ds:schemaRef ds:uri="http://schemas.microsoft.com/office/2006/documentManagement/types"/>
    <ds:schemaRef ds:uri="http://purl.org/dc/dcmitype/"/>
    <ds:schemaRef ds:uri="http://schemas.microsoft.com/office/infopath/2007/PartnerControls"/>
    <ds:schemaRef ds:uri="364ce27c-a366-41e6-8be2-af4dc8cfb041"/>
    <ds:schemaRef ds:uri="http://www.w3.org/XML/1998/namespace"/>
  </ds:schemaRefs>
</ds:datastoreItem>
</file>

<file path=customXml/itemProps3.xml><?xml version="1.0" encoding="utf-8"?>
<ds:datastoreItem xmlns:ds="http://schemas.openxmlformats.org/officeDocument/2006/customXml" ds:itemID="{D540AFC7-64BF-43EA-85CF-19F67B66F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ce27c-a366-41e6-8be2-af4dc8cfb041"/>
    <ds:schemaRef ds:uri="579579a3-d0d9-4378-8163-a0fde1512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C56E4-2C07-4DBF-A403-A0C25543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6417</Characters>
  <Application>Microsoft Office Word</Application>
  <DocSecurity>4</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Sempra Energy</Company>
  <LinksUpToDate>false</LinksUpToDate>
  <CharactersWithSpaces>7518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Klaiber, Steven</dc:creator>
  <cp:keywords/>
  <dc:description/>
  <cp:lastModifiedBy>Tilos, Mary Ann</cp:lastModifiedBy>
  <cp:revision>2</cp:revision>
  <cp:lastPrinted>2019-07-02T20:40:00Z</cp:lastPrinted>
  <dcterms:created xsi:type="dcterms:W3CDTF">2019-07-16T20:10:00Z</dcterms:created>
  <dcterms:modified xsi:type="dcterms:W3CDTF">2019-07-16T20:10:00Z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58</vt:lpwstr>
  </property>
  <property fmtid="{D5CDD505-2E9C-101B-9397-08002B2CF9AE}" pid="3" name="ContentTypeId">
    <vt:lpwstr>0x0101006213D1DE4604F543BF93D8DD9D66945D</vt:lpwstr>
  </property>
  <property fmtid="{D5CDD505-2E9C-101B-9397-08002B2CF9AE}" pid="4" name="EMAIL_OWNER_ADDRESS">
    <vt:lpwstr>ABAAmJ+7jnJ2eOWQzQWIAT2SIh/QpaDvDAeCzcuCtEx3ZioYnMJ0LxspkYdZArC1+7jD</vt:lpwstr>
  </property>
  <property fmtid="{D5CDD505-2E9C-101B-9397-08002B2CF9AE}" pid="5" name="MAIL_MSG_ID1">
    <vt:lpwstr>oFAAfyEHtdkN2VUdNdNu9psxYe2Qpx3sJLcQja5m9fiZbeB96tuKsW7g9c8x9/ZZw263fGxvZxAaZaoA_x000d_
z4I5TU5KnXhqKGopYHkq0+QrAlbFe8KJgsPFSajmUjeTLVGUH2sTEvhCSksQ86vP69ahR3AWYk7n_x000d_
jw+tubdzbC9BySHOC351vEmiH0TRgcQUD913AwtQ47H/QfU0qEi4yacY7sAF44UZfcgqim9iAZ40_x000d_
AU0uS6cZ3K+5w/SlN</vt:lpwstr>
  </property>
  <property fmtid="{D5CDD505-2E9C-101B-9397-08002B2CF9AE}" pid="6" name="MAIL_MSG_ID2">
    <vt:lpwstr>HZxoLj4MqBT8KX961qpolyJMIkXeBHZQNrJVUWTDkNO0MGzJ8zpWrkP5yOS_x000d_
KTMBreHGzzdP1ROEPS6udorBYU5FSES3/7f8eLkT9AJeI4cB</vt:lpwstr>
  </property>
  <property fmtid="{D5CDD505-2E9C-101B-9397-08002B2CF9AE}" pid="7" name="RESPONSE_SENDER_NAME">
    <vt:lpwstr>sAAAE9kkUq3pEoJcR9YF7pkTSMDioeDCHYblqNC/jgAvMcE=</vt:lpwstr>
  </property>
</Properties>
</file>