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B702B4" w14:textId="77777777" w:rsidR="002929B1" w:rsidRPr="003E6A42" w:rsidRDefault="003E6A42">
      <w:pPr>
        <w:pStyle w:val="Body"/>
        <w:jc w:val="center"/>
        <w:outlineLvl w:val="0"/>
        <w:rPr>
          <w:rFonts w:hAnsi="Times New Roman" w:cs="Times New Roman"/>
        </w:rPr>
      </w:pPr>
      <w:bookmarkStart w:id="0" w:name="_GoBack"/>
      <w:bookmarkEnd w:id="0"/>
      <w:r>
        <w:t xml:space="preserve">154 FERC </w:t>
      </w:r>
      <w:r>
        <w:rPr>
          <w:rFonts w:hAnsi="Times New Roman" w:cs="Times New Roman"/>
        </w:rPr>
        <w:t>¶ 61,213</w:t>
      </w:r>
    </w:p>
    <w:p w14:paraId="65B702B5" w14:textId="77777777" w:rsidR="004D1844" w:rsidRPr="00331F70" w:rsidRDefault="004A4880">
      <w:pPr>
        <w:pStyle w:val="Body"/>
        <w:jc w:val="center"/>
        <w:outlineLvl w:val="0"/>
      </w:pPr>
      <w:r w:rsidRPr="00331F70">
        <w:t>UNITED STATES OF AMERICA</w:t>
      </w:r>
    </w:p>
    <w:p w14:paraId="65B702B6" w14:textId="77777777" w:rsidR="004D1844" w:rsidRPr="00331F70" w:rsidRDefault="004A4880">
      <w:pPr>
        <w:pStyle w:val="Body"/>
        <w:jc w:val="center"/>
      </w:pPr>
      <w:r w:rsidRPr="00331F70">
        <w:t>FEDERAL ENERGY REGULATORY COMMISSION</w:t>
      </w:r>
    </w:p>
    <w:p w14:paraId="65B702B7" w14:textId="77777777" w:rsidR="00A920CA" w:rsidRPr="00331F70" w:rsidRDefault="00A920CA">
      <w:pPr>
        <w:pStyle w:val="Body"/>
        <w:jc w:val="center"/>
      </w:pPr>
    </w:p>
    <w:p w14:paraId="65B702B8" w14:textId="77777777" w:rsidR="00A920CA" w:rsidRPr="00331F70" w:rsidRDefault="00A920CA">
      <w:pPr>
        <w:pStyle w:val="Body"/>
        <w:jc w:val="center"/>
      </w:pPr>
    </w:p>
    <w:p w14:paraId="65B702B9" w14:textId="77777777" w:rsidR="003E6A42" w:rsidRPr="003E6A42" w:rsidRDefault="003E6A42" w:rsidP="003E6A42">
      <w:pPr>
        <w:pStyle w:val="Body"/>
        <w:widowControl/>
        <w:rPr>
          <w:rFonts w:hAnsi="Times New Roman" w:cs="Times New Roman"/>
        </w:rPr>
      </w:pPr>
      <w:r w:rsidRPr="003E6A42">
        <w:rPr>
          <w:rFonts w:hAnsi="Times New Roman" w:cs="Times New Roman"/>
        </w:rPr>
        <w:t>Before Commissioners:  Norman C. Bay, Chairman;</w:t>
      </w:r>
    </w:p>
    <w:p w14:paraId="65B702BA" w14:textId="77777777" w:rsidR="003E6A42" w:rsidRPr="003E6A42" w:rsidRDefault="003E6A42" w:rsidP="003E6A42">
      <w:pPr>
        <w:pStyle w:val="Body"/>
        <w:widowControl/>
        <w:rPr>
          <w:rFonts w:hAnsi="Times New Roman" w:cs="Times New Roman"/>
        </w:rPr>
      </w:pPr>
      <w:r w:rsidRPr="003E6A42">
        <w:rPr>
          <w:rFonts w:hAnsi="Times New Roman" w:cs="Times New Roman"/>
        </w:rPr>
        <w:t xml:space="preserve">                                        Cheryl A. LaFleur, Tony Clark,</w:t>
      </w:r>
    </w:p>
    <w:p w14:paraId="65B702BB" w14:textId="77777777" w:rsidR="00A920CA" w:rsidRPr="00331F70" w:rsidRDefault="003E6A42" w:rsidP="003E6A42">
      <w:pPr>
        <w:pStyle w:val="Body"/>
        <w:widowControl/>
      </w:pPr>
      <w:r w:rsidRPr="003E6A42">
        <w:rPr>
          <w:rFonts w:hAnsi="Times New Roman" w:cs="Times New Roman"/>
        </w:rPr>
        <w:t xml:space="preserve">                                        </w:t>
      </w:r>
      <w:proofErr w:type="gramStart"/>
      <w:r w:rsidRPr="003E6A42">
        <w:rPr>
          <w:rFonts w:hAnsi="Times New Roman" w:cs="Times New Roman"/>
        </w:rPr>
        <w:t>and</w:t>
      </w:r>
      <w:proofErr w:type="gramEnd"/>
      <w:r w:rsidRPr="003E6A42">
        <w:rPr>
          <w:rFonts w:hAnsi="Times New Roman" w:cs="Times New Roman"/>
        </w:rPr>
        <w:t xml:space="preserve"> Colette D. Honorable.</w:t>
      </w:r>
      <w:r w:rsidR="00A920CA" w:rsidRPr="00331F70">
        <w:rPr>
          <w:rFonts w:hAnsi="Times New Roman" w:cs="Times New Roman"/>
        </w:rPr>
        <w:t xml:space="preserve">  </w:t>
      </w:r>
    </w:p>
    <w:p w14:paraId="65B702BC" w14:textId="77777777" w:rsidR="00A920CA" w:rsidRPr="00331F70" w:rsidRDefault="00A920CA">
      <w:pPr>
        <w:pStyle w:val="Body"/>
        <w:jc w:val="center"/>
      </w:pPr>
    </w:p>
    <w:p w14:paraId="65B702BD" w14:textId="77777777" w:rsidR="004D1844" w:rsidRPr="00331F70" w:rsidRDefault="004D1844">
      <w:pPr>
        <w:pStyle w:val="Body"/>
        <w:ind w:left="1440" w:hanging="1440"/>
      </w:pPr>
    </w:p>
    <w:tbl>
      <w:tblPr>
        <w:tblW w:w="987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931"/>
        <w:gridCol w:w="2231"/>
        <w:gridCol w:w="1710"/>
      </w:tblGrid>
      <w:tr w:rsidR="004D1844" w:rsidRPr="00331F70" w14:paraId="65B702C1" w14:textId="77777777" w:rsidTr="003E6A42">
        <w:trPr>
          <w:trHeight w:val="309"/>
        </w:trPr>
        <w:tc>
          <w:tcPr>
            <w:tcW w:w="5931" w:type="dxa"/>
            <w:tcBorders>
              <w:top w:val="nil"/>
              <w:left w:val="nil"/>
              <w:bottom w:val="nil"/>
              <w:right w:val="nil"/>
            </w:tcBorders>
            <w:shd w:val="clear" w:color="auto" w:fill="auto"/>
            <w:tcMar>
              <w:top w:w="80" w:type="dxa"/>
              <w:left w:w="80" w:type="dxa"/>
              <w:bottom w:w="80" w:type="dxa"/>
              <w:right w:w="80" w:type="dxa"/>
            </w:tcMar>
          </w:tcPr>
          <w:p w14:paraId="65B702BE" w14:textId="77777777" w:rsidR="004D1844" w:rsidRPr="00331F70" w:rsidRDefault="004A4880">
            <w:pPr>
              <w:pStyle w:val="Body"/>
            </w:pPr>
            <w:r w:rsidRPr="00331F70">
              <w:t>San Diego Gas &amp; Electric Company</w:t>
            </w:r>
          </w:p>
        </w:tc>
        <w:tc>
          <w:tcPr>
            <w:tcW w:w="2231" w:type="dxa"/>
            <w:tcBorders>
              <w:top w:val="nil"/>
              <w:left w:val="nil"/>
              <w:bottom w:val="nil"/>
              <w:right w:val="nil"/>
            </w:tcBorders>
            <w:shd w:val="clear" w:color="auto" w:fill="auto"/>
            <w:tcMar>
              <w:top w:w="80" w:type="dxa"/>
              <w:left w:w="80" w:type="dxa"/>
              <w:bottom w:w="80" w:type="dxa"/>
              <w:right w:w="80" w:type="dxa"/>
            </w:tcMar>
          </w:tcPr>
          <w:p w14:paraId="65B702BF" w14:textId="77777777" w:rsidR="004D1844" w:rsidRPr="00331F70" w:rsidRDefault="003E6A42">
            <w:pPr>
              <w:pStyle w:val="Body"/>
              <w:tabs>
                <w:tab w:val="left" w:pos="720"/>
                <w:tab w:val="left" w:pos="1440"/>
                <w:tab w:val="left" w:pos="2880"/>
                <w:tab w:val="left" w:pos="4320"/>
                <w:tab w:val="left" w:pos="5040"/>
                <w:tab w:val="left" w:pos="5760"/>
                <w:tab w:val="left" w:pos="6480"/>
                <w:tab w:val="left" w:pos="7200"/>
              </w:tabs>
              <w:jc w:val="right"/>
            </w:pPr>
            <w:r>
              <w:t xml:space="preserve"> </w:t>
            </w:r>
            <w:r w:rsidR="004A4880" w:rsidRPr="00331F70">
              <w:t>Docket No.</w:t>
            </w:r>
          </w:p>
        </w:tc>
        <w:tc>
          <w:tcPr>
            <w:tcW w:w="1710" w:type="dxa"/>
            <w:tcBorders>
              <w:top w:val="nil"/>
              <w:left w:val="nil"/>
              <w:bottom w:val="nil"/>
              <w:right w:val="nil"/>
            </w:tcBorders>
            <w:shd w:val="clear" w:color="auto" w:fill="auto"/>
            <w:tcMar>
              <w:top w:w="80" w:type="dxa"/>
              <w:left w:w="80" w:type="dxa"/>
              <w:bottom w:w="80" w:type="dxa"/>
              <w:right w:w="80" w:type="dxa"/>
            </w:tcMar>
          </w:tcPr>
          <w:p w14:paraId="65B702C0" w14:textId="77777777" w:rsidR="004D1844" w:rsidRPr="00331F70" w:rsidRDefault="00026EB7" w:rsidP="004928C1">
            <w:pPr>
              <w:pStyle w:val="Body"/>
              <w:tabs>
                <w:tab w:val="left" w:pos="720"/>
                <w:tab w:val="left" w:pos="1440"/>
                <w:tab w:val="left" w:pos="2880"/>
                <w:tab w:val="left" w:pos="4320"/>
                <w:tab w:val="left" w:pos="5040"/>
                <w:tab w:val="left" w:pos="5760"/>
                <w:tab w:val="left" w:pos="6480"/>
                <w:tab w:val="left" w:pos="7200"/>
              </w:tabs>
              <w:ind w:hanging="104"/>
            </w:pPr>
            <w:r w:rsidRPr="00331F70">
              <w:t xml:space="preserve"> </w:t>
            </w:r>
            <w:r w:rsidR="004928C1" w:rsidRPr="00331F70">
              <w:t>ER16</w:t>
            </w:r>
            <w:r w:rsidR="004A4880" w:rsidRPr="00331F70">
              <w:t>-</w:t>
            </w:r>
            <w:r w:rsidR="004928C1" w:rsidRPr="00331F70">
              <w:t>445</w:t>
            </w:r>
            <w:r w:rsidR="004A4880" w:rsidRPr="00331F70">
              <w:t>-000</w:t>
            </w:r>
          </w:p>
        </w:tc>
      </w:tr>
    </w:tbl>
    <w:p w14:paraId="65B702C2" w14:textId="77777777" w:rsidR="00A920CA" w:rsidRPr="00331F70" w:rsidRDefault="00A920CA">
      <w:pPr>
        <w:pStyle w:val="Body"/>
      </w:pPr>
    </w:p>
    <w:p w14:paraId="65B702C3" w14:textId="77777777" w:rsidR="004D1844" w:rsidRPr="00331F70" w:rsidRDefault="004A4880">
      <w:pPr>
        <w:pStyle w:val="Body"/>
        <w:jc w:val="center"/>
        <w:outlineLvl w:val="0"/>
      </w:pPr>
      <w:r w:rsidRPr="00331F70">
        <w:t>ORDER ON INFORMATIONAL FILING</w:t>
      </w:r>
    </w:p>
    <w:p w14:paraId="65B702C4" w14:textId="77777777" w:rsidR="004D1844" w:rsidRPr="00331F70" w:rsidRDefault="004D1844">
      <w:pPr>
        <w:pStyle w:val="Body"/>
        <w:jc w:val="center"/>
      </w:pPr>
    </w:p>
    <w:p w14:paraId="65B702C5" w14:textId="77777777" w:rsidR="004D1844" w:rsidRDefault="003E6A42" w:rsidP="003E6A42">
      <w:pPr>
        <w:pStyle w:val="FERCparanumber"/>
        <w:spacing w:after="0"/>
        <w:jc w:val="center"/>
      </w:pPr>
      <w:r w:rsidRPr="003E6A42">
        <w:t>(Issued March 1</w:t>
      </w:r>
      <w:r>
        <w:t>7</w:t>
      </w:r>
      <w:r w:rsidRPr="003E6A42">
        <w:t>, 2016)</w:t>
      </w:r>
    </w:p>
    <w:p w14:paraId="65B702C6" w14:textId="77777777" w:rsidR="00A920CA" w:rsidRPr="00331F70" w:rsidRDefault="00A920CA" w:rsidP="00A920CA">
      <w:pPr>
        <w:pStyle w:val="FERCparanumber"/>
        <w:spacing w:after="0"/>
      </w:pPr>
    </w:p>
    <w:p w14:paraId="65B702C7" w14:textId="77777777" w:rsidR="006455DB" w:rsidRPr="00331F70" w:rsidRDefault="004A4880" w:rsidP="006455DB">
      <w:pPr>
        <w:pStyle w:val="FERCparanumber"/>
        <w:numPr>
          <w:ilvl w:val="0"/>
          <w:numId w:val="3"/>
        </w:numPr>
        <w:tabs>
          <w:tab w:val="clear" w:pos="720"/>
          <w:tab w:val="left" w:pos="0"/>
        </w:tabs>
      </w:pPr>
      <w:r w:rsidRPr="00331F70">
        <w:rPr>
          <w:rFonts w:eastAsia="Arial Unicode MS" w:hAnsi="Arial Unicode MS" w:cs="Arial Unicode MS"/>
        </w:rPr>
        <w:t xml:space="preserve">In this order, </w:t>
      </w:r>
      <w:r w:rsidR="006455DB" w:rsidRPr="00331F70">
        <w:rPr>
          <w:rFonts w:eastAsia="Arial Unicode MS" w:hAnsi="Arial Unicode MS" w:cs="Arial Unicode MS"/>
        </w:rPr>
        <w:t>we</w:t>
      </w:r>
      <w:r w:rsidRPr="00331F70">
        <w:rPr>
          <w:rFonts w:eastAsia="Arial Unicode MS" w:hAnsi="Arial Unicode MS" w:cs="Arial Unicode MS"/>
        </w:rPr>
        <w:t xml:space="preserve"> accept San Diego Gas &amp; Electric Company</w:t>
      </w:r>
      <w:r w:rsidRPr="00331F70">
        <w:rPr>
          <w:rFonts w:ascii="Arial Unicode MS" w:eastAsia="Arial Unicode MS" w:cs="Arial Unicode MS"/>
        </w:rPr>
        <w:t>’</w:t>
      </w:r>
      <w:r w:rsidRPr="00331F70">
        <w:rPr>
          <w:rFonts w:eastAsia="Arial Unicode MS" w:hAnsi="Arial Unicode MS" w:cs="Arial Unicode MS"/>
        </w:rPr>
        <w:t xml:space="preserve">s (SDG&amp;E) </w:t>
      </w:r>
      <w:r w:rsidR="004928C1" w:rsidRPr="00331F70">
        <w:rPr>
          <w:rFonts w:eastAsia="Arial Unicode MS" w:hAnsi="Arial Unicode MS" w:cs="Arial Unicode MS"/>
        </w:rPr>
        <w:t>third</w:t>
      </w:r>
      <w:r w:rsidRPr="00331F70">
        <w:rPr>
          <w:rFonts w:eastAsia="Arial Unicode MS" w:hAnsi="Arial Unicode MS" w:cs="Arial Unicode MS"/>
        </w:rPr>
        <w:t xml:space="preserve"> annual </w:t>
      </w:r>
      <w:r w:rsidR="004928C1" w:rsidRPr="00331F70">
        <w:rPr>
          <w:rFonts w:eastAsia="Arial Unicode MS" w:hAnsi="Arial Unicode MS" w:cs="Arial Unicode MS"/>
        </w:rPr>
        <w:t>informational filing (Cycle 3</w:t>
      </w:r>
      <w:r w:rsidRPr="00331F70">
        <w:rPr>
          <w:rFonts w:eastAsia="Arial Unicode MS" w:hAnsi="Arial Unicode MS" w:cs="Arial Unicode MS"/>
        </w:rPr>
        <w:t xml:space="preserve">) made under its Fourth Transmission Owner Formula Rate (TO4 or TO4 Formula </w:t>
      </w:r>
      <w:r w:rsidR="004928C1" w:rsidRPr="00331F70">
        <w:rPr>
          <w:rFonts w:eastAsia="Arial Unicode MS" w:hAnsi="Arial Unicode MS" w:cs="Arial Unicode MS"/>
        </w:rPr>
        <w:t>Rate), effective January 1, 2016</w:t>
      </w:r>
      <w:r w:rsidRPr="00331F70">
        <w:rPr>
          <w:rFonts w:eastAsia="Arial Unicode MS" w:hAnsi="Arial Unicode MS" w:cs="Arial Unicode MS"/>
        </w:rPr>
        <w:t>.</w:t>
      </w:r>
      <w:r w:rsidRPr="00331F70">
        <w:rPr>
          <w:rFonts w:ascii="Times New Roman Bold" w:eastAsia="Times New Roman Bold" w:hAnsi="Times New Roman Bold" w:cs="Times New Roman Bold"/>
          <w:vertAlign w:val="superscript"/>
        </w:rPr>
        <w:footnoteReference w:id="2"/>
      </w:r>
      <w:r w:rsidRPr="00331F70">
        <w:rPr>
          <w:rFonts w:eastAsia="Arial Unicode MS" w:hAnsi="Arial Unicode MS" w:cs="Arial Unicode MS"/>
        </w:rPr>
        <w:t xml:space="preserve">  </w:t>
      </w:r>
    </w:p>
    <w:p w14:paraId="65B702C8" w14:textId="77777777" w:rsidR="006455DB" w:rsidRPr="00331F70" w:rsidRDefault="006455DB" w:rsidP="00394378">
      <w:pPr>
        <w:pStyle w:val="Heading"/>
        <w:numPr>
          <w:ilvl w:val="0"/>
          <w:numId w:val="6"/>
        </w:numPr>
      </w:pPr>
      <w:r w:rsidRPr="00331F70">
        <w:t>Background</w:t>
      </w:r>
    </w:p>
    <w:p w14:paraId="65B702C9" w14:textId="77777777" w:rsidR="004D1844" w:rsidRPr="00331F70" w:rsidRDefault="004A4880" w:rsidP="0090225A">
      <w:pPr>
        <w:pStyle w:val="FERCparanumber"/>
        <w:numPr>
          <w:ilvl w:val="0"/>
          <w:numId w:val="3"/>
        </w:numPr>
        <w:tabs>
          <w:tab w:val="clear" w:pos="720"/>
          <w:tab w:val="left" w:pos="0"/>
        </w:tabs>
      </w:pPr>
      <w:r w:rsidRPr="00331F70">
        <w:rPr>
          <w:rFonts w:eastAsia="Arial Unicode MS" w:hAnsi="Arial Unicode MS" w:cs="Arial Unicode MS"/>
        </w:rPr>
        <w:t>SDG&amp;E</w:t>
      </w:r>
      <w:r w:rsidRPr="00331F70">
        <w:rPr>
          <w:rFonts w:ascii="Arial Unicode MS" w:eastAsia="Arial Unicode MS" w:cs="Arial Unicode MS"/>
        </w:rPr>
        <w:t>’</w:t>
      </w:r>
      <w:r w:rsidRPr="00331F70">
        <w:rPr>
          <w:rFonts w:eastAsia="Arial Unicode MS" w:hAnsi="Arial Unicode MS" w:cs="Arial Unicode MS"/>
        </w:rPr>
        <w:t>s TO4 Formula Rate was determined as part of a settlement (Settlement)</w:t>
      </w:r>
      <w:r w:rsidRPr="00331F70">
        <w:rPr>
          <w:rFonts w:ascii="Times New Roman Bold" w:eastAsia="Times New Roman Bold" w:hAnsi="Times New Roman Bold" w:cs="Times New Roman Bold"/>
          <w:vertAlign w:val="superscript"/>
        </w:rPr>
        <w:footnoteReference w:id="3"/>
      </w:r>
      <w:r w:rsidRPr="00331F70">
        <w:rPr>
          <w:rFonts w:eastAsia="Arial Unicode MS" w:hAnsi="Arial Unicode MS" w:cs="Arial Unicode MS"/>
        </w:rPr>
        <w:t xml:space="preserve"> approved by the Commission on May 27, 2014.</w:t>
      </w:r>
      <w:r w:rsidRPr="00331F70">
        <w:rPr>
          <w:rFonts w:ascii="Times New Roman Bold" w:eastAsia="Times New Roman Bold" w:hAnsi="Times New Roman Bold" w:cs="Times New Roman Bold"/>
          <w:vertAlign w:val="superscript"/>
        </w:rPr>
        <w:footnoteReference w:id="4"/>
      </w:r>
      <w:r w:rsidRPr="00331F70">
        <w:rPr>
          <w:rFonts w:eastAsia="Arial Unicode MS" w:hAnsi="Arial Unicode MS" w:cs="Arial Unicode MS"/>
        </w:rPr>
        <w:t xml:space="preserve">  The Settlement requires, among other things, that SDG&amp;E submit annual informational filings to the Commission showing the base transmission revenue requirements in effect for the succeeding calendar year.</w:t>
      </w:r>
      <w:r w:rsidRPr="00331F70">
        <w:rPr>
          <w:rFonts w:ascii="Times New Roman Bold" w:eastAsia="Times New Roman Bold" w:hAnsi="Times New Roman Bold" w:cs="Times New Roman Bold"/>
          <w:vertAlign w:val="superscript"/>
        </w:rPr>
        <w:footnoteReference w:id="5"/>
      </w:r>
      <w:r w:rsidRPr="00331F70">
        <w:rPr>
          <w:rFonts w:eastAsia="Arial Unicode MS" w:hAnsi="Arial Unicode MS" w:cs="Arial Unicode MS"/>
        </w:rPr>
        <w:t xml:space="preserve">  In </w:t>
      </w:r>
      <w:proofErr w:type="gramStart"/>
      <w:r w:rsidRPr="00331F70">
        <w:rPr>
          <w:rFonts w:eastAsia="Arial Unicode MS" w:hAnsi="Arial Unicode MS" w:cs="Arial Unicode MS"/>
        </w:rPr>
        <w:t>addition</w:t>
      </w:r>
      <w:proofErr w:type="gramEnd"/>
      <w:r w:rsidRPr="00331F70">
        <w:rPr>
          <w:rFonts w:eastAsia="Arial Unicode MS" w:hAnsi="Arial Unicode MS" w:cs="Arial Unicode MS"/>
        </w:rPr>
        <w:t>, any party to the Settlement may challenge the justness and reasonableness of SDG&amp;E</w:t>
      </w:r>
      <w:r w:rsidRPr="00331F70">
        <w:rPr>
          <w:rFonts w:ascii="Arial Unicode MS" w:eastAsia="Arial Unicode MS" w:cs="Arial Unicode MS"/>
        </w:rPr>
        <w:t>’</w:t>
      </w:r>
      <w:r w:rsidRPr="00331F70">
        <w:rPr>
          <w:rFonts w:eastAsia="Arial Unicode MS" w:hAnsi="Arial Unicode MS" w:cs="Arial Unicode MS"/>
        </w:rPr>
        <w:t>s implementation of the TO4 Formula Rate, but not the formula itself.</w:t>
      </w:r>
      <w:r w:rsidR="004928C1" w:rsidRPr="00331F70">
        <w:rPr>
          <w:rFonts w:ascii="Times New Roman Bold" w:eastAsia="Times New Roman Bold" w:hAnsi="Times New Roman Bold" w:cs="Times New Roman Bold"/>
          <w:vertAlign w:val="superscript"/>
        </w:rPr>
        <w:footnoteReference w:id="6"/>
      </w:r>
      <w:r w:rsidR="00AA7B23" w:rsidRPr="00331F70">
        <w:rPr>
          <w:rFonts w:eastAsia="Arial Unicode MS" w:hAnsi="Arial Unicode MS" w:cs="Arial Unicode MS"/>
        </w:rPr>
        <w:t xml:space="preserve">  </w:t>
      </w:r>
      <w:r w:rsidRPr="00331F70">
        <w:rPr>
          <w:rFonts w:eastAsia="Arial Unicode MS" w:hAnsi="Arial Unicode MS" w:cs="Arial Unicode MS"/>
        </w:rPr>
        <w:t xml:space="preserve"> </w:t>
      </w:r>
    </w:p>
    <w:p w14:paraId="65B702CA" w14:textId="77777777" w:rsidR="004D1844" w:rsidRPr="00331F70" w:rsidRDefault="006455DB" w:rsidP="0090225A">
      <w:pPr>
        <w:pStyle w:val="FERCparanumber"/>
        <w:numPr>
          <w:ilvl w:val="0"/>
          <w:numId w:val="3"/>
        </w:numPr>
        <w:tabs>
          <w:tab w:val="clear" w:pos="720"/>
          <w:tab w:val="left" w:pos="0"/>
        </w:tabs>
      </w:pPr>
      <w:r w:rsidRPr="00331F70">
        <w:rPr>
          <w:rFonts w:eastAsia="Arial Unicode MS" w:hAnsi="Arial Unicode MS" w:cs="Arial Unicode MS"/>
        </w:rPr>
        <w:lastRenderedPageBreak/>
        <w:t xml:space="preserve">On December 1, 2015, </w:t>
      </w:r>
      <w:r w:rsidR="004A4880" w:rsidRPr="00331F70">
        <w:rPr>
          <w:rFonts w:eastAsia="Arial Unicode MS" w:hAnsi="Arial Unicode MS" w:cs="Arial Unicode MS"/>
        </w:rPr>
        <w:t>SD</w:t>
      </w:r>
      <w:r w:rsidR="004928C1" w:rsidRPr="00331F70">
        <w:rPr>
          <w:rFonts w:eastAsia="Arial Unicode MS" w:hAnsi="Arial Unicode MS" w:cs="Arial Unicode MS"/>
        </w:rPr>
        <w:t xml:space="preserve">G&amp;E </w:t>
      </w:r>
      <w:r w:rsidRPr="00331F70">
        <w:rPr>
          <w:rFonts w:eastAsia="Arial Unicode MS" w:hAnsi="Arial Unicode MS" w:cs="Arial Unicode MS"/>
        </w:rPr>
        <w:t>filed</w:t>
      </w:r>
      <w:r w:rsidR="004928C1" w:rsidRPr="00331F70">
        <w:rPr>
          <w:rFonts w:eastAsia="Arial Unicode MS" w:hAnsi="Arial Unicode MS" w:cs="Arial Unicode MS"/>
        </w:rPr>
        <w:t xml:space="preserve"> its TO4 Cycle 3</w:t>
      </w:r>
      <w:r w:rsidR="004A4880" w:rsidRPr="00331F70">
        <w:rPr>
          <w:rFonts w:eastAsia="Arial Unicode MS" w:hAnsi="Arial Unicode MS" w:cs="Arial Unicode MS"/>
        </w:rPr>
        <w:t xml:space="preserve"> formula rate</w:t>
      </w:r>
      <w:r w:rsidRPr="00331F70">
        <w:rPr>
          <w:rFonts w:eastAsia="Arial Unicode MS" w:hAnsi="Arial Unicode MS" w:cs="Arial Unicode MS"/>
        </w:rPr>
        <w:t>, which</w:t>
      </w:r>
      <w:r w:rsidR="004A4880" w:rsidRPr="00331F70">
        <w:rPr>
          <w:rFonts w:eastAsia="Arial Unicode MS" w:hAnsi="Arial Unicode MS" w:cs="Arial Unicode MS"/>
        </w:rPr>
        <w:t xml:space="preserve"> includes a revised base transmission revenue requirement reflecting the following components:  (1) prior year revenue requirement for the 12-month period ending December 31, 20</w:t>
      </w:r>
      <w:r w:rsidR="004928C1" w:rsidRPr="00331F70">
        <w:rPr>
          <w:rFonts w:eastAsia="Arial Unicode MS" w:hAnsi="Arial Unicode MS" w:cs="Arial Unicode MS"/>
        </w:rPr>
        <w:t>14</w:t>
      </w:r>
      <w:r w:rsidR="004A4880" w:rsidRPr="00331F70">
        <w:rPr>
          <w:rFonts w:eastAsia="Arial Unicode MS" w:hAnsi="Arial Unicode MS" w:cs="Arial Unicode MS"/>
        </w:rPr>
        <w:t>; (2) forecast capital addition revenue requirement for</w:t>
      </w:r>
      <w:r w:rsidR="004928C1" w:rsidRPr="00331F70">
        <w:rPr>
          <w:rFonts w:eastAsia="Arial Unicode MS" w:hAnsi="Arial Unicode MS" w:cs="Arial Unicode MS"/>
        </w:rPr>
        <w:t xml:space="preserve"> a 24-month period covering 2015 and 2016</w:t>
      </w:r>
      <w:r w:rsidR="004A4880" w:rsidRPr="00331F70">
        <w:rPr>
          <w:rFonts w:eastAsia="Arial Unicode MS" w:hAnsi="Arial Unicode MS" w:cs="Arial Unicode MS"/>
        </w:rPr>
        <w:t xml:space="preserve">; </w:t>
      </w:r>
      <w:r w:rsidR="004928C1" w:rsidRPr="00331F70">
        <w:rPr>
          <w:rFonts w:eastAsia="Arial Unicode MS" w:hAnsi="Arial Unicode MS" w:cs="Arial Unicode MS"/>
        </w:rPr>
        <w:t xml:space="preserve">and </w:t>
      </w:r>
      <w:r w:rsidR="004A4880" w:rsidRPr="00331F70">
        <w:rPr>
          <w:rFonts w:eastAsia="Arial Unicode MS" w:hAnsi="Arial Unicode MS" w:cs="Arial Unicode MS"/>
        </w:rPr>
        <w:t xml:space="preserve">(3) true-up of actual costs from </w:t>
      </w:r>
      <w:r w:rsidR="004928C1" w:rsidRPr="00331F70">
        <w:rPr>
          <w:rFonts w:eastAsia="Arial Unicode MS" w:hAnsi="Arial Unicode MS" w:cs="Arial Unicode MS"/>
        </w:rPr>
        <w:t>January 1, 2014 through December 1, 2014.</w:t>
      </w:r>
      <w:r w:rsidR="004A4880" w:rsidRPr="00331F70">
        <w:rPr>
          <w:rFonts w:ascii="Times New Roman Bold" w:eastAsia="Times New Roman Bold" w:hAnsi="Times New Roman Bold" w:cs="Times New Roman Bold"/>
          <w:vertAlign w:val="superscript"/>
        </w:rPr>
        <w:footnoteReference w:id="7"/>
      </w:r>
      <w:r w:rsidR="004A4880" w:rsidRPr="00331F70">
        <w:rPr>
          <w:rFonts w:eastAsia="Arial Unicode MS" w:hAnsi="Arial Unicode MS" w:cs="Arial Unicode MS"/>
        </w:rPr>
        <w:t xml:space="preserve"> </w:t>
      </w:r>
    </w:p>
    <w:p w14:paraId="65B702CB" w14:textId="77777777" w:rsidR="004D1844" w:rsidRPr="00331F70" w:rsidRDefault="004A4880" w:rsidP="0090225A">
      <w:pPr>
        <w:pStyle w:val="FERCparanumber"/>
        <w:numPr>
          <w:ilvl w:val="0"/>
          <w:numId w:val="3"/>
        </w:numPr>
        <w:tabs>
          <w:tab w:val="clear" w:pos="720"/>
          <w:tab w:val="left" w:pos="0"/>
        </w:tabs>
      </w:pPr>
      <w:r w:rsidRPr="00331F70">
        <w:rPr>
          <w:rFonts w:eastAsia="Arial Unicode MS" w:hAnsi="Arial Unicode MS" w:cs="Arial Unicode MS"/>
        </w:rPr>
        <w:t>Under t</w:t>
      </w:r>
      <w:r w:rsidR="0003631B" w:rsidRPr="00331F70">
        <w:rPr>
          <w:rFonts w:eastAsia="Arial Unicode MS" w:hAnsi="Arial Unicode MS" w:cs="Arial Unicode MS"/>
        </w:rPr>
        <w:t>he TO4 Formula Rate, the Cycle 3</w:t>
      </w:r>
      <w:r w:rsidRPr="00331F70">
        <w:rPr>
          <w:rFonts w:eastAsia="Arial Unicode MS" w:hAnsi="Arial Unicode MS" w:cs="Arial Unicode MS"/>
        </w:rPr>
        <w:t xml:space="preserve"> base transmission revenue requirement for wholesale customers of the California Independent System Operator Corporation (CAISO) is $</w:t>
      </w:r>
      <w:r w:rsidR="004928C1" w:rsidRPr="00331F70">
        <w:rPr>
          <w:rFonts w:eastAsia="Arial Unicode MS" w:hAnsi="Arial Unicode MS" w:cs="Arial Unicode MS"/>
        </w:rPr>
        <w:t>795.5</w:t>
      </w:r>
      <w:r w:rsidRPr="00331F70">
        <w:rPr>
          <w:rFonts w:eastAsia="Arial Unicode MS" w:hAnsi="Arial Unicode MS" w:cs="Arial Unicode MS"/>
        </w:rPr>
        <w:t xml:space="preserve"> million, based</w:t>
      </w:r>
      <w:r w:rsidR="004928C1" w:rsidRPr="00331F70">
        <w:rPr>
          <w:rFonts w:eastAsia="Arial Unicode MS" w:hAnsi="Arial Unicode MS" w:cs="Arial Unicode MS"/>
        </w:rPr>
        <w:t xml:space="preserve"> upon total gross load of 20,825</w:t>
      </w:r>
      <w:r w:rsidRPr="00331F70">
        <w:rPr>
          <w:rFonts w:eastAsia="Arial Unicode MS" w:hAnsi="Arial Unicode MS" w:cs="Arial Unicode MS"/>
        </w:rPr>
        <w:t xml:space="preserve"> G</w:t>
      </w:r>
      <w:r w:rsidR="006455DB" w:rsidRPr="00331F70">
        <w:rPr>
          <w:rFonts w:eastAsia="Arial Unicode MS" w:hAnsi="Arial Unicode MS" w:cs="Arial Unicode MS"/>
        </w:rPr>
        <w:t>W</w:t>
      </w:r>
      <w:r w:rsidRPr="00331F70">
        <w:rPr>
          <w:rFonts w:eastAsia="Arial Unicode MS" w:hAnsi="Arial Unicode MS" w:cs="Arial Unicode MS"/>
        </w:rPr>
        <w:t>h, fo</w:t>
      </w:r>
      <w:r w:rsidR="004928C1" w:rsidRPr="00331F70">
        <w:rPr>
          <w:rFonts w:eastAsia="Arial Unicode MS" w:hAnsi="Arial Unicode MS" w:cs="Arial Unicode MS"/>
        </w:rPr>
        <w:t>r an overall unit rate of $38.20</w:t>
      </w:r>
      <w:r w:rsidRPr="00331F70">
        <w:rPr>
          <w:rFonts w:eastAsia="Arial Unicode MS" w:hAnsi="Arial Unicode MS" w:cs="Arial Unicode MS"/>
        </w:rPr>
        <w:t>/M</w:t>
      </w:r>
      <w:r w:rsidR="006455DB" w:rsidRPr="00331F70">
        <w:rPr>
          <w:rFonts w:eastAsia="Arial Unicode MS" w:hAnsi="Arial Unicode MS" w:cs="Arial Unicode MS"/>
        </w:rPr>
        <w:t>W</w:t>
      </w:r>
      <w:r w:rsidRPr="00331F70">
        <w:rPr>
          <w:rFonts w:eastAsia="Arial Unicode MS" w:hAnsi="Arial Unicode MS" w:cs="Arial Unicode MS"/>
        </w:rPr>
        <w:t xml:space="preserve">h.  SDG&amp;E states that this is a </w:t>
      </w:r>
      <w:r w:rsidR="004928C1" w:rsidRPr="00331F70">
        <w:rPr>
          <w:rFonts w:eastAsia="Arial Unicode MS" w:hAnsi="Arial Unicode MS" w:cs="Arial Unicode MS"/>
        </w:rPr>
        <w:t>1.5</w:t>
      </w:r>
      <w:r w:rsidRPr="00331F70">
        <w:rPr>
          <w:rFonts w:eastAsia="Arial Unicode MS" w:hAnsi="Arial Unicode MS" w:cs="Arial Unicode MS"/>
        </w:rPr>
        <w:t xml:space="preserve"> percent </w:t>
      </w:r>
      <w:r w:rsidR="004928C1" w:rsidRPr="00331F70">
        <w:rPr>
          <w:rFonts w:eastAsia="Arial Unicode MS" w:hAnsi="Arial Unicode MS" w:cs="Arial Unicode MS"/>
        </w:rPr>
        <w:t xml:space="preserve">decrease </w:t>
      </w:r>
      <w:r w:rsidR="004771FF" w:rsidRPr="00331F70">
        <w:rPr>
          <w:rFonts w:eastAsia="Arial Unicode MS" w:hAnsi="Arial Unicode MS" w:cs="Arial Unicode MS"/>
        </w:rPr>
        <w:t>from</w:t>
      </w:r>
      <w:r w:rsidR="004928C1" w:rsidRPr="00331F70">
        <w:rPr>
          <w:rFonts w:eastAsia="Arial Unicode MS" w:hAnsi="Arial Unicode MS" w:cs="Arial Unicode MS"/>
        </w:rPr>
        <w:t xml:space="preserve"> the Cycle 2</w:t>
      </w:r>
      <w:r w:rsidRPr="00331F70">
        <w:rPr>
          <w:rFonts w:eastAsia="Arial Unicode MS" w:hAnsi="Arial Unicode MS" w:cs="Arial Unicode MS"/>
        </w:rPr>
        <w:t xml:space="preserve"> revenue requirement.</w:t>
      </w:r>
      <w:r w:rsidRPr="00331F70">
        <w:rPr>
          <w:rFonts w:ascii="Times New Roman Bold" w:eastAsia="Times New Roman Bold" w:hAnsi="Times New Roman Bold" w:cs="Times New Roman Bold"/>
          <w:vertAlign w:val="superscript"/>
        </w:rPr>
        <w:footnoteReference w:id="8"/>
      </w:r>
      <w:r w:rsidR="004928C1" w:rsidRPr="00331F70">
        <w:rPr>
          <w:rFonts w:eastAsia="Arial Unicode MS" w:hAnsi="Arial Unicode MS" w:cs="Arial Unicode MS"/>
        </w:rPr>
        <w:t xml:space="preserve">  The Cycle 3</w:t>
      </w:r>
      <w:r w:rsidRPr="00331F70">
        <w:rPr>
          <w:rFonts w:eastAsia="Arial Unicode MS" w:hAnsi="Arial Unicode MS" w:cs="Arial Unicode MS"/>
        </w:rPr>
        <w:t xml:space="preserve"> base transmission revenue requirement for retail end-use customers is $</w:t>
      </w:r>
      <w:r w:rsidR="004771FF" w:rsidRPr="00331F70">
        <w:rPr>
          <w:rFonts w:eastAsia="Arial Unicode MS" w:hAnsi="Arial Unicode MS" w:cs="Arial Unicode MS"/>
        </w:rPr>
        <w:t>716.3</w:t>
      </w:r>
      <w:r w:rsidRPr="00331F70">
        <w:rPr>
          <w:rFonts w:eastAsia="Arial Unicode MS" w:hAnsi="Arial Unicode MS" w:cs="Arial Unicode MS"/>
        </w:rPr>
        <w:t xml:space="preserve"> million or a </w:t>
      </w:r>
      <w:r w:rsidR="004771FF" w:rsidRPr="00331F70">
        <w:rPr>
          <w:rFonts w:eastAsia="Arial Unicode MS" w:hAnsi="Arial Unicode MS" w:cs="Arial Unicode MS"/>
        </w:rPr>
        <w:t>3.33</w:t>
      </w:r>
      <w:r w:rsidRPr="00331F70">
        <w:rPr>
          <w:rFonts w:eastAsia="Arial Unicode MS" w:hAnsi="Arial Unicode MS" w:cs="Arial Unicode MS"/>
        </w:rPr>
        <w:t xml:space="preserve"> percent </w:t>
      </w:r>
      <w:r w:rsidR="004771FF" w:rsidRPr="00331F70">
        <w:rPr>
          <w:rFonts w:eastAsia="Arial Unicode MS" w:hAnsi="Arial Unicode MS" w:cs="Arial Unicode MS"/>
        </w:rPr>
        <w:t>de</w:t>
      </w:r>
      <w:r w:rsidRPr="00331F70">
        <w:rPr>
          <w:rFonts w:eastAsia="Arial Unicode MS" w:hAnsi="Arial Unicode MS" w:cs="Arial Unicode MS"/>
        </w:rPr>
        <w:t>crease for the rate effective period.</w:t>
      </w:r>
      <w:r w:rsidRPr="00331F70">
        <w:rPr>
          <w:rFonts w:ascii="Times New Roman Bold" w:eastAsia="Times New Roman Bold" w:hAnsi="Times New Roman Bold" w:cs="Times New Roman Bold"/>
          <w:vertAlign w:val="superscript"/>
        </w:rPr>
        <w:footnoteReference w:id="9"/>
      </w:r>
      <w:r w:rsidRPr="00331F70">
        <w:rPr>
          <w:rFonts w:eastAsia="Arial Unicode MS" w:hAnsi="Arial Unicode MS" w:cs="Arial Unicode MS"/>
        </w:rPr>
        <w:t xml:space="preserve">  SDG&amp;E states that the </w:t>
      </w:r>
      <w:r w:rsidR="004771FF" w:rsidRPr="00331F70">
        <w:rPr>
          <w:rFonts w:eastAsia="Arial Unicode MS" w:hAnsi="Arial Unicode MS" w:cs="Arial Unicode MS"/>
        </w:rPr>
        <w:t>changes</w:t>
      </w:r>
      <w:r w:rsidRPr="00331F70">
        <w:rPr>
          <w:rFonts w:eastAsia="Arial Unicode MS" w:hAnsi="Arial Unicode MS" w:cs="Arial Unicode MS"/>
        </w:rPr>
        <w:t xml:space="preserve"> in transmission rates </w:t>
      </w:r>
      <w:r w:rsidR="004771FF" w:rsidRPr="00331F70">
        <w:rPr>
          <w:rFonts w:eastAsia="Arial Unicode MS" w:hAnsi="Arial Unicode MS" w:cs="Arial Unicode MS"/>
        </w:rPr>
        <w:t>are</w:t>
      </w:r>
      <w:r w:rsidRPr="00331F70">
        <w:rPr>
          <w:rFonts w:eastAsia="Arial Unicode MS" w:hAnsi="Arial Unicode MS" w:cs="Arial Unicode MS"/>
        </w:rPr>
        <w:t xml:space="preserve"> due to various reasons, such as </w:t>
      </w:r>
      <w:r w:rsidR="004771FF" w:rsidRPr="00331F70">
        <w:rPr>
          <w:rFonts w:eastAsia="Arial Unicode MS" w:hAnsi="Arial Unicode MS" w:cs="Arial Unicode MS"/>
        </w:rPr>
        <w:t xml:space="preserve">a decrease in Operation and Maintenance expenses and Administrative and General </w:t>
      </w:r>
      <w:proofErr w:type="gramStart"/>
      <w:r w:rsidR="004771FF" w:rsidRPr="00331F70">
        <w:rPr>
          <w:rFonts w:eastAsia="Arial Unicode MS" w:hAnsi="Arial Unicode MS" w:cs="Arial Unicode MS"/>
        </w:rPr>
        <w:t>expenses</w:t>
      </w:r>
      <w:proofErr w:type="gramEnd"/>
      <w:r w:rsidR="004771FF" w:rsidRPr="00331F70">
        <w:rPr>
          <w:rFonts w:eastAsia="Arial Unicode MS" w:hAnsi="Arial Unicode MS" w:cs="Arial Unicode MS"/>
        </w:rPr>
        <w:t xml:space="preserve">, and </w:t>
      </w:r>
      <w:r w:rsidR="008B7DF1" w:rsidRPr="00331F70">
        <w:rPr>
          <w:rFonts w:eastAsia="Arial Unicode MS" w:hAnsi="Arial Unicode MS" w:cs="Arial Unicode MS"/>
        </w:rPr>
        <w:t xml:space="preserve">Commission </w:t>
      </w:r>
      <w:r w:rsidR="004771FF" w:rsidRPr="00331F70">
        <w:rPr>
          <w:rFonts w:eastAsia="Arial Unicode MS" w:hAnsi="Arial Unicode MS" w:cs="Arial Unicode MS"/>
        </w:rPr>
        <w:t>audit adjustments to Transmission Rate Base and Transmission expenses.</w:t>
      </w:r>
      <w:r w:rsidRPr="00331F70">
        <w:rPr>
          <w:rFonts w:ascii="Times New Roman Bold" w:eastAsia="Times New Roman Bold" w:hAnsi="Times New Roman Bold" w:cs="Times New Roman Bold"/>
          <w:vertAlign w:val="superscript"/>
        </w:rPr>
        <w:footnoteReference w:id="10"/>
      </w:r>
      <w:r w:rsidR="0003631B" w:rsidRPr="00331F70">
        <w:rPr>
          <w:rFonts w:eastAsia="Arial Unicode MS" w:hAnsi="Arial Unicode MS" w:cs="Arial Unicode MS"/>
        </w:rPr>
        <w:t xml:space="preserve">  The Cycle 3</w:t>
      </w:r>
      <w:r w:rsidRPr="00331F70">
        <w:rPr>
          <w:rFonts w:eastAsia="Arial Unicode MS" w:hAnsi="Arial Unicode MS" w:cs="Arial Unicode MS"/>
        </w:rPr>
        <w:t xml:space="preserve"> base transmission revenue requirement will remain in effect for the Rate Effective </w:t>
      </w:r>
      <w:r w:rsidR="004771FF" w:rsidRPr="00331F70">
        <w:rPr>
          <w:rFonts w:eastAsia="Arial Unicode MS" w:hAnsi="Arial Unicode MS" w:cs="Arial Unicode MS"/>
        </w:rPr>
        <w:t>Period, which is January 1, 2016 through December 31, 2016</w:t>
      </w:r>
      <w:r w:rsidRPr="00331F70">
        <w:rPr>
          <w:rFonts w:eastAsia="Arial Unicode MS" w:hAnsi="Arial Unicode MS" w:cs="Arial Unicode MS"/>
        </w:rPr>
        <w:t>.</w:t>
      </w:r>
      <w:r w:rsidRPr="00331F70">
        <w:rPr>
          <w:rFonts w:ascii="Times New Roman Bold" w:eastAsia="Times New Roman Bold" w:hAnsi="Times New Roman Bold" w:cs="Times New Roman Bold"/>
          <w:vertAlign w:val="superscript"/>
        </w:rPr>
        <w:footnoteReference w:id="11"/>
      </w:r>
    </w:p>
    <w:p w14:paraId="65B702CC" w14:textId="77777777" w:rsidR="004D1844" w:rsidRPr="00331F70" w:rsidRDefault="004A4880">
      <w:pPr>
        <w:pStyle w:val="Heading"/>
        <w:numPr>
          <w:ilvl w:val="0"/>
          <w:numId w:val="6"/>
        </w:numPr>
      </w:pPr>
      <w:r w:rsidRPr="00331F70">
        <w:t>Notice of Filings and Responsive Pleadings</w:t>
      </w:r>
    </w:p>
    <w:p w14:paraId="252A40DA" w14:textId="77777777" w:rsidR="00671957" w:rsidRDefault="004A4880" w:rsidP="0090225A">
      <w:pPr>
        <w:pStyle w:val="FERCparanumber"/>
        <w:numPr>
          <w:ilvl w:val="0"/>
          <w:numId w:val="3"/>
        </w:numPr>
        <w:tabs>
          <w:tab w:val="clear" w:pos="720"/>
          <w:tab w:val="left" w:pos="0"/>
        </w:tabs>
        <w:rPr>
          <w:rFonts w:eastAsia="Arial Unicode MS" w:hAnsi="Arial Unicode MS" w:cs="Arial Unicode MS"/>
        </w:rPr>
      </w:pPr>
      <w:r w:rsidRPr="00331F70">
        <w:rPr>
          <w:rFonts w:eastAsia="Arial Unicode MS" w:hAnsi="Arial Unicode MS" w:cs="Arial Unicode MS"/>
        </w:rPr>
        <w:t>Notice of SDG&amp;E</w:t>
      </w:r>
      <w:r w:rsidRPr="00331F70">
        <w:rPr>
          <w:rFonts w:ascii="Arial Unicode MS" w:eastAsia="Arial Unicode MS" w:cs="Arial Unicode MS"/>
        </w:rPr>
        <w:t>’</w:t>
      </w:r>
      <w:r w:rsidR="0003631B" w:rsidRPr="00331F70">
        <w:rPr>
          <w:rFonts w:eastAsia="Arial Unicode MS" w:hAnsi="Arial Unicode MS" w:cs="Arial Unicode MS"/>
        </w:rPr>
        <w:t xml:space="preserve">s </w:t>
      </w:r>
      <w:r w:rsidR="000B7F50">
        <w:rPr>
          <w:rFonts w:eastAsia="Arial Unicode MS" w:hAnsi="Arial Unicode MS" w:cs="Arial Unicode MS"/>
        </w:rPr>
        <w:t xml:space="preserve">TO4 </w:t>
      </w:r>
      <w:r w:rsidR="0003631B" w:rsidRPr="00331F70">
        <w:rPr>
          <w:rFonts w:eastAsia="Arial Unicode MS" w:hAnsi="Arial Unicode MS" w:cs="Arial Unicode MS"/>
        </w:rPr>
        <w:t>Cycle 3</w:t>
      </w:r>
      <w:r w:rsidR="000B7F50">
        <w:rPr>
          <w:rFonts w:eastAsia="Arial Unicode MS" w:hAnsi="Arial Unicode MS" w:cs="Arial Unicode MS"/>
        </w:rPr>
        <w:t xml:space="preserve"> Fi</w:t>
      </w:r>
      <w:r w:rsidRPr="00331F70">
        <w:rPr>
          <w:rFonts w:eastAsia="Arial Unicode MS" w:hAnsi="Arial Unicode MS" w:cs="Arial Unicode MS"/>
        </w:rPr>
        <w:t xml:space="preserve">ling was published in the </w:t>
      </w:r>
      <w:r w:rsidRPr="00331F70">
        <w:rPr>
          <w:rFonts w:eastAsia="Arial Unicode MS" w:hAnsi="Arial Unicode MS" w:cs="Arial Unicode MS"/>
          <w:i/>
          <w:iCs/>
        </w:rPr>
        <w:t>Federal Register</w:t>
      </w:r>
      <w:proofErr w:type="gramStart"/>
      <w:r w:rsidRPr="00331F70">
        <w:rPr>
          <w:rFonts w:eastAsia="Arial Unicode MS" w:hAnsi="Arial Unicode MS" w:cs="Arial Unicode MS"/>
        </w:rPr>
        <w:t xml:space="preserve">, </w:t>
      </w:r>
      <w:r w:rsidR="00D214FF">
        <w:rPr>
          <w:rFonts w:eastAsia="Arial Unicode MS" w:hAnsi="Arial Unicode MS" w:cs="Arial Unicode MS"/>
        </w:rPr>
        <w:t xml:space="preserve"> </w:t>
      </w:r>
      <w:r w:rsidR="007D7922" w:rsidRPr="00331F70">
        <w:rPr>
          <w:rFonts w:eastAsia="Arial Unicode MS" w:hAnsi="Arial Unicode MS" w:cs="Arial Unicode MS"/>
        </w:rPr>
        <w:t>80</w:t>
      </w:r>
      <w:proofErr w:type="gramEnd"/>
      <w:r w:rsidRPr="00331F70">
        <w:rPr>
          <w:rFonts w:eastAsia="Arial Unicode MS" w:hAnsi="Arial Unicode MS" w:cs="Arial Unicode MS"/>
        </w:rPr>
        <w:t xml:space="preserve"> Fed. Reg. 7</w:t>
      </w:r>
      <w:r w:rsidR="007D7922" w:rsidRPr="00331F70">
        <w:rPr>
          <w:rFonts w:eastAsia="Arial Unicode MS" w:hAnsi="Arial Unicode MS" w:cs="Arial Unicode MS"/>
        </w:rPr>
        <w:t>6,282</w:t>
      </w:r>
      <w:r w:rsidRPr="00331F70">
        <w:rPr>
          <w:rFonts w:eastAsia="Arial Unicode MS" w:hAnsi="Arial Unicode MS" w:cs="Arial Unicode MS"/>
        </w:rPr>
        <w:t xml:space="preserve"> (201</w:t>
      </w:r>
      <w:r w:rsidR="00AE78BB" w:rsidRPr="00331F70">
        <w:rPr>
          <w:rFonts w:eastAsia="Arial Unicode MS" w:hAnsi="Arial Unicode MS" w:cs="Arial Unicode MS"/>
        </w:rPr>
        <w:t>5</w:t>
      </w:r>
      <w:r w:rsidRPr="00331F70">
        <w:rPr>
          <w:rFonts w:eastAsia="Arial Unicode MS" w:hAnsi="Arial Unicode MS" w:cs="Arial Unicode MS"/>
        </w:rPr>
        <w:t>), with interventions and protests du</w:t>
      </w:r>
      <w:r w:rsidR="004771FF" w:rsidRPr="00331F70">
        <w:rPr>
          <w:rFonts w:eastAsia="Arial Unicode MS" w:hAnsi="Arial Unicode MS" w:cs="Arial Unicode MS"/>
        </w:rPr>
        <w:t>e on or before</w:t>
      </w:r>
      <w:r w:rsidR="004E65C1">
        <w:rPr>
          <w:rFonts w:eastAsia="Arial Unicode MS" w:hAnsi="Arial Unicode MS" w:cs="Arial Unicode MS"/>
        </w:rPr>
        <w:t xml:space="preserve">     </w:t>
      </w:r>
      <w:r w:rsidR="004771FF" w:rsidRPr="00331F70">
        <w:rPr>
          <w:rFonts w:eastAsia="Arial Unicode MS" w:hAnsi="Arial Unicode MS" w:cs="Arial Unicode MS"/>
        </w:rPr>
        <w:t xml:space="preserve"> December 22, 2015</w:t>
      </w:r>
      <w:r w:rsidRPr="00331F70">
        <w:rPr>
          <w:rFonts w:eastAsia="Arial Unicode MS" w:hAnsi="Arial Unicode MS" w:cs="Arial Unicode MS"/>
        </w:rPr>
        <w:t>.  Timely motions to intervene were filed by Modesto Irrigation District, Northern California Power Agency, California Department of Water Re</w:t>
      </w:r>
      <w:r w:rsidR="00CC047F" w:rsidRPr="00331F70">
        <w:rPr>
          <w:rFonts w:eastAsia="Arial Unicode MS" w:hAnsi="Arial Unicode MS" w:cs="Arial Unicode MS"/>
        </w:rPr>
        <w:t>sources State Water Project,</w:t>
      </w:r>
      <w:r w:rsidRPr="00331F70">
        <w:rPr>
          <w:rFonts w:eastAsia="Arial Unicode MS" w:hAnsi="Arial Unicode MS" w:cs="Arial Unicode MS"/>
        </w:rPr>
        <w:t xml:space="preserve"> Transmission Agency of Northern California</w:t>
      </w:r>
      <w:r w:rsidR="00CC047F" w:rsidRPr="00331F70">
        <w:rPr>
          <w:rFonts w:eastAsia="Arial Unicode MS" w:hAnsi="Arial Unicode MS" w:cs="Arial Unicode MS"/>
        </w:rPr>
        <w:t xml:space="preserve">, </w:t>
      </w:r>
      <w:r w:rsidR="00917D18">
        <w:rPr>
          <w:rFonts w:eastAsia="Arial Unicode MS" w:hAnsi="Arial Unicode MS" w:cs="Arial Unicode MS"/>
        </w:rPr>
        <w:t xml:space="preserve">and the </w:t>
      </w:r>
      <w:r w:rsidR="00CC047F" w:rsidRPr="00331F70">
        <w:rPr>
          <w:rFonts w:eastAsia="Arial Unicode MS" w:hAnsi="Arial Unicode MS" w:cs="Arial Unicode MS"/>
        </w:rPr>
        <w:t>City of Santa Clara, California</w:t>
      </w:r>
      <w:r w:rsidR="00917D18">
        <w:rPr>
          <w:rFonts w:eastAsia="Arial Unicode MS" w:hAnsi="Arial Unicode MS" w:cs="Arial Unicode MS"/>
        </w:rPr>
        <w:t xml:space="preserve"> and the M-S-R Public Power Agency</w:t>
      </w:r>
      <w:r w:rsidR="00CC047F" w:rsidRPr="00331F70">
        <w:rPr>
          <w:rFonts w:eastAsia="Arial Unicode MS" w:hAnsi="Arial Unicode MS" w:cs="Arial Unicode MS"/>
        </w:rPr>
        <w:t>.  On December 22, 2015</w:t>
      </w:r>
      <w:r w:rsidRPr="00331F70">
        <w:rPr>
          <w:rFonts w:eastAsia="Arial Unicode MS" w:hAnsi="Arial Unicode MS" w:cs="Arial Unicode MS"/>
        </w:rPr>
        <w:t xml:space="preserve">, the California Public Utilities Commission (CPUC) filed a notice of intervention and </w:t>
      </w:r>
      <w:r w:rsidR="000C7B83">
        <w:rPr>
          <w:rFonts w:eastAsia="Arial Unicode MS" w:hAnsi="Arial Unicode MS" w:cs="Arial Unicode MS"/>
        </w:rPr>
        <w:t>protest.</w:t>
      </w:r>
      <w:r w:rsidRPr="00331F70">
        <w:rPr>
          <w:rFonts w:eastAsia="Arial Unicode MS" w:hAnsi="Arial Unicode MS" w:cs="Arial Unicode MS"/>
        </w:rPr>
        <w:t xml:space="preserve">  </w:t>
      </w:r>
      <w:r w:rsidR="00671957">
        <w:rPr>
          <w:rFonts w:eastAsia="Arial Unicode MS" w:hAnsi="Arial Unicode MS" w:cs="Arial Unicode MS"/>
        </w:rPr>
        <w:br/>
      </w:r>
    </w:p>
    <w:p w14:paraId="5935394C" w14:textId="77777777" w:rsidR="00671957" w:rsidRDefault="00671957">
      <w:pPr>
        <w:rPr>
          <w:rFonts w:hAnsi="Arial Unicode MS" w:cs="Arial Unicode MS"/>
          <w:color w:val="000000"/>
          <w:sz w:val="26"/>
          <w:szCs w:val="26"/>
          <w:u w:color="000000"/>
        </w:rPr>
      </w:pPr>
      <w:r>
        <w:rPr>
          <w:rFonts w:hAnsi="Arial Unicode MS" w:cs="Arial Unicode MS"/>
        </w:rPr>
        <w:br w:type="page"/>
      </w:r>
    </w:p>
    <w:p w14:paraId="65B702CE" w14:textId="69E400C2" w:rsidR="004D1844" w:rsidRPr="00814E4D" w:rsidRDefault="00941EC6" w:rsidP="003E6A42">
      <w:pPr>
        <w:pStyle w:val="FERCparanumber"/>
        <w:tabs>
          <w:tab w:val="clear" w:pos="720"/>
          <w:tab w:val="left" w:pos="0"/>
        </w:tabs>
      </w:pPr>
      <w:r w:rsidRPr="00331F70">
        <w:rPr>
          <w:rFonts w:eastAsia="Arial Unicode MS" w:hAnsi="Arial Unicode MS" w:cs="Arial Unicode MS"/>
        </w:rPr>
        <w:lastRenderedPageBreak/>
        <w:t>O</w:t>
      </w:r>
      <w:r w:rsidR="004A4880" w:rsidRPr="00331F70">
        <w:rPr>
          <w:rFonts w:eastAsia="Arial Unicode MS" w:hAnsi="Arial Unicode MS" w:cs="Arial Unicode MS"/>
        </w:rPr>
        <w:t xml:space="preserve">n </w:t>
      </w:r>
      <w:r w:rsidR="00CC047F" w:rsidRPr="00331F70">
        <w:rPr>
          <w:rFonts w:eastAsia="Arial Unicode MS" w:hAnsi="Arial Unicode MS" w:cs="Arial Unicode MS"/>
        </w:rPr>
        <w:t>January 5, 2016</w:t>
      </w:r>
      <w:r w:rsidR="004A4880" w:rsidRPr="00331F70">
        <w:rPr>
          <w:rFonts w:eastAsia="Arial Unicode MS" w:hAnsi="Arial Unicode MS" w:cs="Arial Unicode MS"/>
        </w:rPr>
        <w:t>, SDG&amp;E filed an answer to the CPUC</w:t>
      </w:r>
      <w:r w:rsidR="004A4880" w:rsidRPr="00331F70">
        <w:rPr>
          <w:rFonts w:ascii="Arial Unicode MS" w:eastAsia="Arial Unicode MS" w:cs="Arial Unicode MS"/>
        </w:rPr>
        <w:t>’</w:t>
      </w:r>
      <w:r w:rsidR="004A4880" w:rsidRPr="00331F70">
        <w:rPr>
          <w:rFonts w:eastAsia="Arial Unicode MS" w:hAnsi="Arial Unicode MS" w:cs="Arial Unicode MS"/>
        </w:rPr>
        <w:t xml:space="preserve">s </w:t>
      </w:r>
      <w:r w:rsidR="000C7B83">
        <w:rPr>
          <w:rFonts w:eastAsia="Arial Unicode MS" w:hAnsi="Arial Unicode MS" w:cs="Arial Unicode MS"/>
        </w:rPr>
        <w:t>protest</w:t>
      </w:r>
      <w:r w:rsidR="004A4880" w:rsidRPr="00331F70">
        <w:rPr>
          <w:rFonts w:eastAsia="Arial Unicode MS" w:hAnsi="Arial Unicode MS" w:cs="Arial Unicode MS"/>
        </w:rPr>
        <w:t>.</w:t>
      </w:r>
      <w:r w:rsidR="00CC047F" w:rsidRPr="00331F70">
        <w:rPr>
          <w:rFonts w:eastAsia="Arial Unicode MS" w:hAnsi="Arial Unicode MS" w:cs="Arial Unicode MS"/>
        </w:rPr>
        <w:t xml:space="preserve">  Six Cities</w:t>
      </w:r>
      <w:r w:rsidR="00CC047F" w:rsidRPr="00331F70">
        <w:rPr>
          <w:rFonts w:ascii="Times New Roman Bold" w:eastAsia="Times New Roman Bold" w:hAnsi="Times New Roman Bold" w:cs="Times New Roman Bold"/>
          <w:vertAlign w:val="superscript"/>
        </w:rPr>
        <w:footnoteReference w:id="12"/>
      </w:r>
      <w:r w:rsidR="00CC047F" w:rsidRPr="00331F70">
        <w:rPr>
          <w:rFonts w:eastAsia="Arial Unicode MS" w:hAnsi="Arial Unicode MS" w:cs="Arial Unicode MS"/>
        </w:rPr>
        <w:t xml:space="preserve"> and Pacific Gas and Electric Company (PG&amp;E) filed late motions to intervene.</w:t>
      </w:r>
    </w:p>
    <w:p w14:paraId="65B702CF" w14:textId="77777777" w:rsidR="00814E4D" w:rsidRPr="00331F70" w:rsidRDefault="00814E4D" w:rsidP="00814E4D">
      <w:pPr>
        <w:pStyle w:val="Heading"/>
        <w:tabs>
          <w:tab w:val="left" w:pos="1440"/>
          <w:tab w:val="left" w:pos="1620"/>
        </w:tabs>
        <w:ind w:firstLine="0"/>
        <w:rPr>
          <w:u w:val="none"/>
        </w:rPr>
      </w:pPr>
      <w:r w:rsidRPr="00331F70">
        <w:rPr>
          <w:u w:val="none"/>
        </w:rPr>
        <w:t>A.</w:t>
      </w:r>
      <w:r w:rsidRPr="00331F70">
        <w:rPr>
          <w:u w:val="none"/>
        </w:rPr>
        <w:tab/>
      </w:r>
      <w:r w:rsidRPr="00331F70">
        <w:t xml:space="preserve">CPUC </w:t>
      </w:r>
      <w:r>
        <w:t>Protest</w:t>
      </w:r>
    </w:p>
    <w:p w14:paraId="65B702D0" w14:textId="77777777" w:rsidR="00814E4D" w:rsidRPr="00331F70" w:rsidRDefault="00814E4D" w:rsidP="00814E4D">
      <w:pPr>
        <w:pStyle w:val="ListParagraph"/>
        <w:numPr>
          <w:ilvl w:val="0"/>
          <w:numId w:val="3"/>
        </w:numPr>
        <w:ind w:left="0"/>
        <w:rPr>
          <w:sz w:val="26"/>
          <w:szCs w:val="26"/>
        </w:rPr>
      </w:pPr>
      <w:r w:rsidRPr="00331F70">
        <w:rPr>
          <w:sz w:val="26"/>
          <w:szCs w:val="26"/>
        </w:rPr>
        <w:t>The CPUC requests a hearing, stating that it has identified issues that suggest SDG&amp;E’s proposed rates may be unjust and unreasonable.</w:t>
      </w:r>
      <w:r w:rsidRPr="00331F70">
        <w:rPr>
          <w:rStyle w:val="FootnoteReference"/>
          <w:b/>
          <w:sz w:val="26"/>
          <w:szCs w:val="26"/>
        </w:rPr>
        <w:footnoteReference w:id="13"/>
      </w:r>
      <w:r w:rsidRPr="00331F70">
        <w:rPr>
          <w:sz w:val="26"/>
          <w:szCs w:val="26"/>
        </w:rPr>
        <w:t xml:space="preserve">  Specifically, the CPUC alleges that SDG&amp;E has periodically failed to provide timely or accurate information to the CPUC and the reviewing engineer</w:t>
      </w:r>
      <w:r w:rsidRPr="00331F70">
        <w:rPr>
          <w:rStyle w:val="FootnoteReference"/>
          <w:b/>
          <w:sz w:val="26"/>
          <w:szCs w:val="26"/>
        </w:rPr>
        <w:footnoteReference w:id="14"/>
      </w:r>
      <w:r w:rsidRPr="00331F70">
        <w:rPr>
          <w:sz w:val="26"/>
          <w:szCs w:val="26"/>
        </w:rPr>
        <w:t xml:space="preserve"> during the engineering audit.  The CPUC alleges that the inaccurate or untimely information from SDG&amp;E raises questions about the accuracy of capital addition information in the current filing.</w:t>
      </w:r>
      <w:r w:rsidRPr="00331F70">
        <w:rPr>
          <w:rStyle w:val="FootnoteReference"/>
          <w:b/>
          <w:sz w:val="26"/>
          <w:szCs w:val="26"/>
        </w:rPr>
        <w:footnoteReference w:id="15"/>
      </w:r>
      <w:r w:rsidRPr="00331F70">
        <w:rPr>
          <w:b/>
          <w:sz w:val="26"/>
          <w:szCs w:val="26"/>
        </w:rPr>
        <w:t xml:space="preserve"> </w:t>
      </w:r>
      <w:r w:rsidRPr="00331F70">
        <w:rPr>
          <w:sz w:val="26"/>
          <w:szCs w:val="26"/>
        </w:rPr>
        <w:t xml:space="preserve"> The CPUC also asserts that SDG&amp;E has commenced “design or construction of certain projects that should have been deferred or cancelled, while omitting those same projects from the current filing.”</w:t>
      </w:r>
      <w:r w:rsidRPr="00331F70">
        <w:rPr>
          <w:rStyle w:val="FootnoteReference"/>
          <w:b/>
          <w:sz w:val="26"/>
          <w:szCs w:val="26"/>
        </w:rPr>
        <w:footnoteReference w:id="16"/>
      </w:r>
      <w:r w:rsidRPr="00331F70">
        <w:rPr>
          <w:b/>
          <w:sz w:val="26"/>
          <w:szCs w:val="26"/>
        </w:rPr>
        <w:t xml:space="preserve"> </w:t>
      </w:r>
      <w:r w:rsidRPr="00331F70">
        <w:rPr>
          <w:sz w:val="26"/>
          <w:szCs w:val="26"/>
        </w:rPr>
        <w:t xml:space="preserve"> </w:t>
      </w:r>
    </w:p>
    <w:p w14:paraId="65B702D1" w14:textId="77777777" w:rsidR="00814E4D" w:rsidRPr="00331F70" w:rsidRDefault="00814E4D" w:rsidP="00814E4D">
      <w:pPr>
        <w:pStyle w:val="ListParagraph"/>
        <w:ind w:left="0"/>
        <w:rPr>
          <w:sz w:val="26"/>
          <w:szCs w:val="26"/>
        </w:rPr>
      </w:pPr>
    </w:p>
    <w:p w14:paraId="65B702D2" w14:textId="77777777" w:rsidR="00814E4D" w:rsidRPr="007C3271" w:rsidRDefault="00814E4D" w:rsidP="00814E4D">
      <w:pPr>
        <w:pStyle w:val="ListParagraph"/>
        <w:numPr>
          <w:ilvl w:val="0"/>
          <w:numId w:val="3"/>
        </w:numPr>
        <w:autoSpaceDE w:val="0"/>
        <w:autoSpaceDN w:val="0"/>
        <w:adjustRightInd w:val="0"/>
        <w:ind w:left="0"/>
        <w:rPr>
          <w:sz w:val="26"/>
          <w:szCs w:val="26"/>
        </w:rPr>
      </w:pPr>
      <w:r w:rsidRPr="00331F70">
        <w:rPr>
          <w:sz w:val="26"/>
          <w:szCs w:val="26"/>
        </w:rPr>
        <w:t>The CPUC asserts there have been several egregious examples illustrating that SDG&amp;E periodically provided information during the course of the engineering audit tha</w:t>
      </w:r>
      <w:r w:rsidR="003E6A42">
        <w:rPr>
          <w:sz w:val="26"/>
          <w:szCs w:val="26"/>
        </w:rPr>
        <w:t>t was late, inaccurate, or both.</w:t>
      </w:r>
      <w:r w:rsidRPr="00331F70">
        <w:rPr>
          <w:rStyle w:val="FootnoteReference"/>
          <w:b/>
          <w:sz w:val="26"/>
          <w:szCs w:val="26"/>
        </w:rPr>
        <w:footnoteReference w:id="17"/>
      </w:r>
      <w:r w:rsidRPr="00331F70">
        <w:rPr>
          <w:b/>
          <w:sz w:val="26"/>
          <w:szCs w:val="26"/>
        </w:rPr>
        <w:t xml:space="preserve"> </w:t>
      </w:r>
      <w:r w:rsidRPr="00331F70">
        <w:rPr>
          <w:sz w:val="26"/>
          <w:szCs w:val="26"/>
        </w:rPr>
        <w:t xml:space="preserve"> As a result, the CPUC questions the </w:t>
      </w:r>
      <w:r w:rsidRPr="00A364AE">
        <w:rPr>
          <w:sz w:val="26"/>
          <w:szCs w:val="26"/>
        </w:rPr>
        <w:t>accuracy of other information in SDG&amp;E’s TO4</w:t>
      </w:r>
      <w:r>
        <w:rPr>
          <w:sz w:val="26"/>
          <w:szCs w:val="26"/>
        </w:rPr>
        <w:t xml:space="preserve"> Cycle 3</w:t>
      </w:r>
      <w:r w:rsidRPr="00A364AE">
        <w:rPr>
          <w:sz w:val="26"/>
          <w:szCs w:val="26"/>
        </w:rPr>
        <w:t xml:space="preserve"> Filing.  One example the CPUC </w:t>
      </w:r>
      <w:r>
        <w:rPr>
          <w:sz w:val="26"/>
          <w:szCs w:val="26"/>
        </w:rPr>
        <w:t>provides</w:t>
      </w:r>
      <w:r w:rsidRPr="00A364AE">
        <w:rPr>
          <w:sz w:val="26"/>
          <w:szCs w:val="26"/>
        </w:rPr>
        <w:t xml:space="preserve"> is that SDG&amp;E allegedly failed to disclose inaccuracies in a power flow case to the </w:t>
      </w:r>
      <w:r w:rsidRPr="008A3107">
        <w:rPr>
          <w:sz w:val="26"/>
          <w:szCs w:val="26"/>
        </w:rPr>
        <w:t>reviewing</w:t>
      </w:r>
      <w:r w:rsidRPr="00353FCE">
        <w:rPr>
          <w:sz w:val="26"/>
          <w:szCs w:val="26"/>
        </w:rPr>
        <w:t xml:space="preserve"> </w:t>
      </w:r>
      <w:r w:rsidRPr="008E0D40">
        <w:rPr>
          <w:sz w:val="26"/>
          <w:szCs w:val="26"/>
        </w:rPr>
        <w:t xml:space="preserve">engineer </w:t>
      </w:r>
      <w:r w:rsidRPr="007C3271">
        <w:rPr>
          <w:sz w:val="26"/>
          <w:szCs w:val="26"/>
        </w:rPr>
        <w:t>until five months after SDG&amp;E initially had provided it</w:t>
      </w:r>
      <w:r w:rsidRPr="005256DF">
        <w:rPr>
          <w:sz w:val="26"/>
          <w:szCs w:val="26"/>
        </w:rPr>
        <w:t xml:space="preserve"> and only after the CPUC explained that SDG&amp;E’s </w:t>
      </w:r>
      <w:r w:rsidRPr="00A14A79">
        <w:rPr>
          <w:sz w:val="26"/>
          <w:szCs w:val="26"/>
        </w:rPr>
        <w:t>San Luis Rey Synchronous Condenser project</w:t>
      </w:r>
      <w:r w:rsidRPr="00331F70">
        <w:rPr>
          <w:sz w:val="26"/>
          <w:szCs w:val="26"/>
        </w:rPr>
        <w:t xml:space="preserve"> would not </w:t>
      </w:r>
      <w:r w:rsidRPr="00331F70">
        <w:rPr>
          <w:sz w:val="26"/>
          <w:szCs w:val="26"/>
        </w:rPr>
        <w:lastRenderedPageBreak/>
        <w:t>be needed.</w:t>
      </w:r>
      <w:r w:rsidRPr="00331F70">
        <w:rPr>
          <w:rStyle w:val="FootnoteReference"/>
          <w:b/>
          <w:sz w:val="26"/>
          <w:szCs w:val="26"/>
        </w:rPr>
        <w:footnoteReference w:id="18"/>
      </w:r>
      <w:r w:rsidRPr="00331F70">
        <w:rPr>
          <w:sz w:val="26"/>
          <w:szCs w:val="26"/>
        </w:rPr>
        <w:t xml:space="preserve">  In another example, the CPUC alleges that SDG&amp;E </w:t>
      </w:r>
      <w:r w:rsidRPr="00A364AE">
        <w:rPr>
          <w:sz w:val="26"/>
          <w:szCs w:val="26"/>
        </w:rPr>
        <w:t xml:space="preserve">indicated that CAISO </w:t>
      </w:r>
      <w:r w:rsidRPr="008A3107">
        <w:rPr>
          <w:sz w:val="26"/>
          <w:szCs w:val="26"/>
        </w:rPr>
        <w:t xml:space="preserve">had </w:t>
      </w:r>
      <w:r w:rsidRPr="00353FCE">
        <w:rPr>
          <w:sz w:val="26"/>
          <w:szCs w:val="26"/>
        </w:rPr>
        <w:t>approv</w:t>
      </w:r>
      <w:r w:rsidRPr="008E0D40">
        <w:rPr>
          <w:sz w:val="26"/>
          <w:szCs w:val="26"/>
        </w:rPr>
        <w:t>ed</w:t>
      </w:r>
      <w:r w:rsidRPr="00073CFE">
        <w:rPr>
          <w:sz w:val="26"/>
          <w:szCs w:val="26"/>
        </w:rPr>
        <w:t xml:space="preserve"> installation of </w:t>
      </w:r>
      <w:r w:rsidRPr="00A14A79">
        <w:rPr>
          <w:sz w:val="26"/>
          <w:szCs w:val="26"/>
        </w:rPr>
        <w:t>the San Onofre Synchronous Condenser Unit</w:t>
      </w:r>
      <w:r w:rsidRPr="00331F70">
        <w:rPr>
          <w:sz w:val="26"/>
          <w:szCs w:val="26"/>
        </w:rPr>
        <w:t xml:space="preserve"> at the San Onofre Nuclear Generating Station switchyard</w:t>
      </w:r>
      <w:r w:rsidRPr="00A364AE">
        <w:rPr>
          <w:sz w:val="26"/>
          <w:szCs w:val="26"/>
        </w:rPr>
        <w:t xml:space="preserve"> in San Diego County, with provisions for a second unit, </w:t>
      </w:r>
      <w:r w:rsidRPr="008A3107">
        <w:rPr>
          <w:sz w:val="26"/>
          <w:szCs w:val="26"/>
        </w:rPr>
        <w:t>as part of</w:t>
      </w:r>
      <w:r w:rsidRPr="00353FCE">
        <w:rPr>
          <w:sz w:val="26"/>
          <w:szCs w:val="26"/>
        </w:rPr>
        <w:t xml:space="preserve"> the South Orange County Dynamic Reactive Support</w:t>
      </w:r>
      <w:r w:rsidRPr="008E0D40">
        <w:rPr>
          <w:sz w:val="26"/>
          <w:szCs w:val="26"/>
        </w:rPr>
        <w:t xml:space="preserve"> Project</w:t>
      </w:r>
      <w:r w:rsidRPr="00073CFE">
        <w:rPr>
          <w:sz w:val="26"/>
          <w:szCs w:val="26"/>
        </w:rPr>
        <w:t>,</w:t>
      </w:r>
      <w:r w:rsidRPr="00331F70">
        <w:rPr>
          <w:sz w:val="26"/>
          <w:szCs w:val="26"/>
        </w:rPr>
        <w:t xml:space="preserve"> even though the CAISO 2012-2013 </w:t>
      </w:r>
      <w:r w:rsidRPr="00A364AE">
        <w:rPr>
          <w:sz w:val="26"/>
          <w:szCs w:val="26"/>
        </w:rPr>
        <w:t xml:space="preserve">transmission plan shows that </w:t>
      </w:r>
      <w:r w:rsidRPr="008A3107">
        <w:rPr>
          <w:sz w:val="26"/>
          <w:szCs w:val="26"/>
        </w:rPr>
        <w:t>this</w:t>
      </w:r>
      <w:r w:rsidRPr="00353FCE">
        <w:rPr>
          <w:sz w:val="26"/>
          <w:szCs w:val="26"/>
        </w:rPr>
        <w:t xml:space="preserve"> project </w:t>
      </w:r>
      <w:r w:rsidRPr="008E0D40">
        <w:rPr>
          <w:sz w:val="26"/>
          <w:szCs w:val="26"/>
        </w:rPr>
        <w:t>is</w:t>
      </w:r>
      <w:r w:rsidRPr="00073CFE">
        <w:rPr>
          <w:sz w:val="26"/>
          <w:szCs w:val="26"/>
        </w:rPr>
        <w:t xml:space="preserve"> located in </w:t>
      </w:r>
      <w:r>
        <w:rPr>
          <w:sz w:val="26"/>
          <w:szCs w:val="26"/>
        </w:rPr>
        <w:t>the Southern California Edison Company service area, outside of the location of San Diego County where SDG&amp;E proposes to build it</w:t>
      </w:r>
      <w:r w:rsidRPr="00073CFE">
        <w:rPr>
          <w:sz w:val="26"/>
          <w:szCs w:val="26"/>
        </w:rPr>
        <w:t>.</w:t>
      </w:r>
      <w:r w:rsidRPr="00A364AE">
        <w:rPr>
          <w:rStyle w:val="FootnoteReference"/>
          <w:b/>
          <w:sz w:val="26"/>
          <w:szCs w:val="26"/>
        </w:rPr>
        <w:footnoteReference w:id="19"/>
      </w:r>
      <w:r w:rsidRPr="00A364AE">
        <w:rPr>
          <w:sz w:val="26"/>
          <w:szCs w:val="26"/>
        </w:rPr>
        <w:t xml:space="preserve">  </w:t>
      </w:r>
      <w:r w:rsidRPr="008A3107">
        <w:rPr>
          <w:sz w:val="26"/>
          <w:szCs w:val="26"/>
        </w:rPr>
        <w:t>Next, the CPUC alleges that the SDG&amp;E twice updated</w:t>
      </w:r>
      <w:r w:rsidRPr="00353FCE">
        <w:rPr>
          <w:sz w:val="26"/>
          <w:szCs w:val="26"/>
        </w:rPr>
        <w:t xml:space="preserve"> its list of projects</w:t>
      </w:r>
      <w:r w:rsidRPr="008E0D40">
        <w:rPr>
          <w:sz w:val="26"/>
          <w:szCs w:val="26"/>
        </w:rPr>
        <w:t xml:space="preserve"> to add</w:t>
      </w:r>
      <w:r w:rsidRPr="00073CFE">
        <w:rPr>
          <w:sz w:val="26"/>
          <w:szCs w:val="26"/>
        </w:rPr>
        <w:t xml:space="preserve"> new synchronous condenser projects for the reviewing engineer to review and</w:t>
      </w:r>
      <w:r w:rsidRPr="00073CFE">
        <w:rPr>
          <w:rFonts w:ascii="TimesNewRomanPSMT" w:hAnsi="TimesNewRomanPSMT" w:cs="TimesNewRomanPSMT"/>
          <w:sz w:val="26"/>
          <w:szCs w:val="26"/>
        </w:rPr>
        <w:t xml:space="preserve"> for which SDG&amp;E stated it had already incurred costs as of January 2015.</w:t>
      </w:r>
      <w:r w:rsidRPr="007C3271">
        <w:rPr>
          <w:rStyle w:val="FootnoteReference"/>
          <w:b/>
          <w:sz w:val="26"/>
          <w:szCs w:val="26"/>
        </w:rPr>
        <w:footnoteReference w:id="20"/>
      </w:r>
      <w:r w:rsidRPr="007C3271">
        <w:rPr>
          <w:sz w:val="26"/>
          <w:szCs w:val="26"/>
        </w:rPr>
        <w:t xml:space="preserve">  Finally, the CPUC alleges that </w:t>
      </w:r>
      <w:r w:rsidRPr="005256DF">
        <w:rPr>
          <w:sz w:val="26"/>
          <w:szCs w:val="26"/>
        </w:rPr>
        <w:t>there have been several other examples of inaccurate data from SDG&amp;E,</w:t>
      </w:r>
      <w:r w:rsidRPr="007C3271">
        <w:rPr>
          <w:rStyle w:val="FootnoteReference"/>
          <w:b/>
          <w:sz w:val="26"/>
          <w:szCs w:val="26"/>
        </w:rPr>
        <w:footnoteReference w:id="21"/>
      </w:r>
      <w:r w:rsidRPr="007C3271">
        <w:rPr>
          <w:sz w:val="26"/>
          <w:szCs w:val="26"/>
        </w:rPr>
        <w:t xml:space="preserve"> suggesting, in total, that SDG&amp;E’s capital additions information is unreliable.</w:t>
      </w:r>
      <w:r w:rsidRPr="007C3271">
        <w:rPr>
          <w:rStyle w:val="FootnoteReference"/>
          <w:b/>
          <w:sz w:val="26"/>
          <w:szCs w:val="26"/>
        </w:rPr>
        <w:footnoteReference w:id="22"/>
      </w:r>
      <w:r w:rsidRPr="007C3271">
        <w:rPr>
          <w:sz w:val="26"/>
          <w:szCs w:val="26"/>
        </w:rPr>
        <w:t xml:space="preserve">  </w:t>
      </w:r>
    </w:p>
    <w:p w14:paraId="65B702D3" w14:textId="77777777" w:rsidR="00814E4D" w:rsidRPr="002B443E" w:rsidRDefault="00814E4D" w:rsidP="00814E4D">
      <w:pPr>
        <w:pStyle w:val="ListParagraph"/>
        <w:autoSpaceDE w:val="0"/>
        <w:autoSpaceDN w:val="0"/>
        <w:adjustRightInd w:val="0"/>
        <w:ind w:left="0"/>
        <w:rPr>
          <w:sz w:val="26"/>
          <w:szCs w:val="26"/>
        </w:rPr>
      </w:pPr>
    </w:p>
    <w:p w14:paraId="65B702D4" w14:textId="77777777" w:rsidR="00814E4D" w:rsidRPr="00331F70" w:rsidRDefault="00814E4D" w:rsidP="00814E4D">
      <w:pPr>
        <w:pStyle w:val="ListParagraph"/>
        <w:numPr>
          <w:ilvl w:val="0"/>
          <w:numId w:val="3"/>
        </w:numPr>
        <w:autoSpaceDE w:val="0"/>
        <w:autoSpaceDN w:val="0"/>
        <w:adjustRightInd w:val="0"/>
        <w:ind w:left="0"/>
        <w:rPr>
          <w:sz w:val="26"/>
          <w:szCs w:val="26"/>
        </w:rPr>
      </w:pPr>
      <w:r w:rsidRPr="00331F70">
        <w:rPr>
          <w:sz w:val="26"/>
          <w:szCs w:val="26"/>
        </w:rPr>
        <w:t>The CPUC also raises concerns about SDG&amp;E designing or constructing projects that the reviewing engineer recommend</w:t>
      </w:r>
      <w:r>
        <w:rPr>
          <w:sz w:val="26"/>
          <w:szCs w:val="26"/>
        </w:rPr>
        <w:t>ed</w:t>
      </w:r>
      <w:r w:rsidRPr="00331F70">
        <w:rPr>
          <w:sz w:val="26"/>
          <w:szCs w:val="26"/>
        </w:rPr>
        <w:t xml:space="preserve"> deferring or cancelling.</w:t>
      </w:r>
      <w:r w:rsidRPr="007C3271">
        <w:rPr>
          <w:rStyle w:val="FootnoteReference"/>
          <w:b/>
          <w:sz w:val="26"/>
          <w:szCs w:val="26"/>
        </w:rPr>
        <w:footnoteReference w:id="23"/>
      </w:r>
      <w:r w:rsidRPr="007C3271">
        <w:rPr>
          <w:sz w:val="26"/>
          <w:szCs w:val="26"/>
        </w:rPr>
        <w:t xml:space="preserve">  The CPUC states that, while</w:t>
      </w:r>
      <w:r w:rsidRPr="002B443E">
        <w:rPr>
          <w:sz w:val="26"/>
          <w:szCs w:val="26"/>
        </w:rPr>
        <w:t xml:space="preserve"> SDG&amp;E </w:t>
      </w:r>
      <w:r w:rsidRPr="00331F70">
        <w:rPr>
          <w:sz w:val="26"/>
          <w:szCs w:val="26"/>
        </w:rPr>
        <w:t>maintains that none of these projects are included in the TO4 Cycle 3 forecast, the engineering audit revealed that SDG&amp;E has already incurred transmission costs on at least five projects.</w:t>
      </w:r>
      <w:r w:rsidRPr="007C3271">
        <w:rPr>
          <w:rStyle w:val="FootnoteReference"/>
          <w:b/>
          <w:sz w:val="26"/>
          <w:szCs w:val="26"/>
        </w:rPr>
        <w:footnoteReference w:id="24"/>
      </w:r>
      <w:r w:rsidRPr="007C3271">
        <w:rPr>
          <w:sz w:val="26"/>
          <w:szCs w:val="26"/>
        </w:rPr>
        <w:t xml:space="preserve">  The CPUC asserts that SDG&amp;E should not, at a minimum, pursue several of these projects, including the installation of </w:t>
      </w:r>
      <w:r w:rsidRPr="00A14A79">
        <w:rPr>
          <w:sz w:val="26"/>
          <w:szCs w:val="26"/>
        </w:rPr>
        <w:t>the San Luis Rey Synchronous Condenser project</w:t>
      </w:r>
      <w:r w:rsidRPr="00331F70">
        <w:rPr>
          <w:sz w:val="26"/>
          <w:szCs w:val="26"/>
        </w:rPr>
        <w:t xml:space="preserve"> and the installation of the </w:t>
      </w:r>
      <w:r w:rsidRPr="00A14A79">
        <w:rPr>
          <w:sz w:val="26"/>
          <w:szCs w:val="26"/>
        </w:rPr>
        <w:t xml:space="preserve">one San Onofre Synchronous </w:t>
      </w:r>
      <w:r w:rsidRPr="00A14A79">
        <w:rPr>
          <w:sz w:val="26"/>
          <w:szCs w:val="26"/>
        </w:rPr>
        <w:lastRenderedPageBreak/>
        <w:t>Condenser Unit</w:t>
      </w:r>
      <w:r w:rsidRPr="00331F70">
        <w:rPr>
          <w:sz w:val="26"/>
          <w:szCs w:val="26"/>
        </w:rPr>
        <w:t xml:space="preserve"> with provisions for a second unit, and that reflecting</w:t>
      </w:r>
      <w:r w:rsidRPr="00A364AE">
        <w:rPr>
          <w:sz w:val="26"/>
          <w:szCs w:val="26"/>
        </w:rPr>
        <w:t xml:space="preserve"> the costs of these projects in rates would be unjust and unreasonable</w:t>
      </w:r>
      <w:r>
        <w:rPr>
          <w:sz w:val="26"/>
          <w:szCs w:val="26"/>
        </w:rPr>
        <w:t>.</w:t>
      </w:r>
      <w:r w:rsidRPr="00465AE4">
        <w:rPr>
          <w:rStyle w:val="FootnoteReference"/>
          <w:b/>
          <w:sz w:val="26"/>
          <w:szCs w:val="26"/>
        </w:rPr>
        <w:footnoteReference w:id="25"/>
      </w:r>
    </w:p>
    <w:p w14:paraId="65B702D5" w14:textId="77777777" w:rsidR="00814E4D" w:rsidRPr="00A364AE" w:rsidRDefault="00814E4D" w:rsidP="00814E4D">
      <w:pPr>
        <w:pStyle w:val="ListParagraph"/>
        <w:autoSpaceDE w:val="0"/>
        <w:autoSpaceDN w:val="0"/>
        <w:adjustRightInd w:val="0"/>
        <w:ind w:left="0"/>
        <w:rPr>
          <w:sz w:val="26"/>
          <w:szCs w:val="26"/>
        </w:rPr>
      </w:pPr>
    </w:p>
    <w:p w14:paraId="65B702D6" w14:textId="77777777" w:rsidR="00814E4D" w:rsidRPr="008E0D40" w:rsidRDefault="003E6A42" w:rsidP="00814E4D">
      <w:pPr>
        <w:pStyle w:val="Heading"/>
        <w:ind w:firstLine="0"/>
      </w:pPr>
      <w:r>
        <w:rPr>
          <w:u w:val="none"/>
        </w:rPr>
        <w:t>B</w:t>
      </w:r>
      <w:r w:rsidR="00814E4D" w:rsidRPr="008A3107">
        <w:rPr>
          <w:u w:val="none"/>
        </w:rPr>
        <w:t xml:space="preserve">.      </w:t>
      </w:r>
      <w:r w:rsidR="00814E4D" w:rsidRPr="00353FCE">
        <w:t>SDG&amp;E Answer</w:t>
      </w:r>
    </w:p>
    <w:p w14:paraId="65B702D7" w14:textId="77777777" w:rsidR="00814E4D" w:rsidRPr="007C3271" w:rsidRDefault="00814E4D" w:rsidP="00814E4D">
      <w:pPr>
        <w:pStyle w:val="ListParagraph"/>
        <w:numPr>
          <w:ilvl w:val="0"/>
          <w:numId w:val="3"/>
        </w:numPr>
        <w:autoSpaceDE w:val="0"/>
        <w:autoSpaceDN w:val="0"/>
        <w:adjustRightInd w:val="0"/>
        <w:ind w:left="0"/>
        <w:rPr>
          <w:rFonts w:eastAsia="SymbolMT"/>
          <w:sz w:val="26"/>
          <w:szCs w:val="26"/>
        </w:rPr>
      </w:pPr>
      <w:r w:rsidRPr="007C3271">
        <w:rPr>
          <w:sz w:val="26"/>
          <w:szCs w:val="26"/>
        </w:rPr>
        <w:t>SDG&amp;E argues that the CPUC fails to raise any factual or legal bases regarding the cost inputs at issue in this TO4 Cycle 3 proceeding, and thus should be dismissed.</w:t>
      </w:r>
      <w:r w:rsidRPr="007C3271">
        <w:rPr>
          <w:rStyle w:val="FootnoteReference"/>
          <w:b/>
          <w:sz w:val="26"/>
          <w:szCs w:val="26"/>
        </w:rPr>
        <w:footnoteReference w:id="26"/>
      </w:r>
      <w:r w:rsidRPr="007C3271">
        <w:rPr>
          <w:sz w:val="26"/>
          <w:szCs w:val="26"/>
        </w:rPr>
        <w:t xml:space="preserve">  SDG&amp;E argues that, instead, the CPUC’s arguments are based on </w:t>
      </w:r>
      <w:r w:rsidRPr="005256DF">
        <w:rPr>
          <w:rFonts w:eastAsia="SymbolMT"/>
          <w:sz w:val="26"/>
          <w:szCs w:val="26"/>
        </w:rPr>
        <w:t xml:space="preserve">SDG&amp;E’s alleged periodic failure to provide timely and/or accurate information to the CPUC and the </w:t>
      </w:r>
      <w:r w:rsidRPr="002B443E">
        <w:rPr>
          <w:sz w:val="26"/>
          <w:szCs w:val="26"/>
        </w:rPr>
        <w:t>reviewing engineer</w:t>
      </w:r>
      <w:r w:rsidRPr="00331F70">
        <w:rPr>
          <w:rFonts w:eastAsia="SymbolMT"/>
          <w:sz w:val="26"/>
          <w:szCs w:val="26"/>
        </w:rPr>
        <w:t xml:space="preserve"> during the course of the engineering audit.  SDG&amp;E asserts that the CPUC raises alleged issues to do with projects that are not germane to this TO4 Cycle 3 proceeding because (1) the projects will not be in service until sometime after the TO4 Cycle 3 Forecast Period ends on December 31, 2016, and (2) SDG&amp;E has included no costs associated with these projects in this TO4 Cycle 3 proceeding.</w:t>
      </w:r>
      <w:r w:rsidRPr="007C3271">
        <w:rPr>
          <w:rStyle w:val="FootnoteReference"/>
          <w:rFonts w:eastAsia="SymbolMT"/>
          <w:b/>
          <w:sz w:val="26"/>
          <w:szCs w:val="26"/>
        </w:rPr>
        <w:footnoteReference w:id="27"/>
      </w:r>
    </w:p>
    <w:p w14:paraId="65B702D8" w14:textId="77777777" w:rsidR="00814E4D" w:rsidRPr="005256DF" w:rsidRDefault="00814E4D" w:rsidP="00814E4D">
      <w:pPr>
        <w:pStyle w:val="ListParagraph"/>
        <w:autoSpaceDE w:val="0"/>
        <w:autoSpaceDN w:val="0"/>
        <w:adjustRightInd w:val="0"/>
        <w:ind w:left="0"/>
        <w:rPr>
          <w:rFonts w:eastAsia="SymbolMT"/>
          <w:sz w:val="26"/>
          <w:szCs w:val="26"/>
        </w:rPr>
      </w:pPr>
    </w:p>
    <w:p w14:paraId="65B702D9" w14:textId="77777777" w:rsidR="00814E4D" w:rsidRPr="007C3271" w:rsidRDefault="00814E4D" w:rsidP="00814E4D">
      <w:pPr>
        <w:pStyle w:val="ListParagraph"/>
        <w:numPr>
          <w:ilvl w:val="0"/>
          <w:numId w:val="3"/>
        </w:numPr>
        <w:autoSpaceDE w:val="0"/>
        <w:autoSpaceDN w:val="0"/>
        <w:adjustRightInd w:val="0"/>
        <w:ind w:left="0"/>
        <w:rPr>
          <w:sz w:val="26"/>
          <w:szCs w:val="26"/>
        </w:rPr>
      </w:pPr>
      <w:r w:rsidRPr="002B443E">
        <w:rPr>
          <w:rFonts w:eastAsia="SymbolMT"/>
          <w:sz w:val="26"/>
          <w:szCs w:val="26"/>
        </w:rPr>
        <w:t>SDG&amp;E goes on to explain that the CPUC was privy to the pre-filing procedures, and had an opportunity to review the approximately 155 data responses on all aspects of the d</w:t>
      </w:r>
      <w:r w:rsidRPr="00331F70">
        <w:rPr>
          <w:rFonts w:eastAsia="SymbolMT"/>
          <w:sz w:val="26"/>
          <w:szCs w:val="26"/>
        </w:rPr>
        <w:t xml:space="preserve">raft TO4 Cycle 3 Informational Filing produced in the pre-filing phase of this proceeding.  SDG&amp;E asserts that, had there </w:t>
      </w:r>
      <w:r w:rsidRPr="00331F70">
        <w:rPr>
          <w:sz w:val="26"/>
          <w:szCs w:val="26"/>
        </w:rPr>
        <w:t>been imprudent or inaccurate cost inputs, they would have been revealed in the comprehensive pre-filing procedures and discovery.  SDG&amp;E notes that only the CPUC filed a protest in this proceeding, and contends that the issues the CPUC raises are irrelevant and immaterial to this proceeding.</w:t>
      </w:r>
      <w:r w:rsidRPr="007C3271">
        <w:rPr>
          <w:rStyle w:val="FootnoteReference"/>
          <w:b/>
          <w:sz w:val="26"/>
          <w:szCs w:val="26"/>
        </w:rPr>
        <w:footnoteReference w:id="28"/>
      </w:r>
      <w:r w:rsidRPr="007C3271">
        <w:rPr>
          <w:sz w:val="26"/>
          <w:szCs w:val="26"/>
        </w:rPr>
        <w:t xml:space="preserve">  </w:t>
      </w:r>
    </w:p>
    <w:p w14:paraId="65B702DA" w14:textId="77777777" w:rsidR="00814E4D" w:rsidRPr="005256DF" w:rsidRDefault="00814E4D" w:rsidP="00814E4D">
      <w:pPr>
        <w:pStyle w:val="ListParagraph"/>
        <w:autoSpaceDE w:val="0"/>
        <w:autoSpaceDN w:val="0"/>
        <w:adjustRightInd w:val="0"/>
        <w:ind w:left="0"/>
        <w:rPr>
          <w:sz w:val="26"/>
          <w:szCs w:val="26"/>
        </w:rPr>
      </w:pPr>
    </w:p>
    <w:p w14:paraId="65B702DB" w14:textId="77777777" w:rsidR="00814E4D" w:rsidRPr="007C3271" w:rsidRDefault="00814E4D" w:rsidP="00814E4D">
      <w:pPr>
        <w:pStyle w:val="ListParagraph"/>
        <w:numPr>
          <w:ilvl w:val="0"/>
          <w:numId w:val="3"/>
        </w:numPr>
        <w:autoSpaceDE w:val="0"/>
        <w:autoSpaceDN w:val="0"/>
        <w:adjustRightInd w:val="0"/>
        <w:ind w:left="0"/>
        <w:rPr>
          <w:sz w:val="26"/>
          <w:szCs w:val="26"/>
        </w:rPr>
      </w:pPr>
      <w:r w:rsidRPr="002B443E">
        <w:rPr>
          <w:sz w:val="26"/>
          <w:szCs w:val="26"/>
        </w:rPr>
        <w:t>In addition, SDG&amp;E asserts that, with respect to imprudence, it is well-settled that utilitie</w:t>
      </w:r>
      <w:r w:rsidRPr="00331F70">
        <w:rPr>
          <w:sz w:val="26"/>
          <w:szCs w:val="26"/>
        </w:rPr>
        <w:t>s are entitled to a presumption of prudence regarding costs incurred to provide service and that the party challenging prudence must cast serious doubt on costs in question before the burden shifts to the utility to demonstrate that the costs were prudently incurred.</w:t>
      </w:r>
      <w:r w:rsidRPr="007C3271">
        <w:rPr>
          <w:rStyle w:val="FootnoteReference"/>
          <w:b/>
          <w:sz w:val="26"/>
          <w:szCs w:val="26"/>
        </w:rPr>
        <w:footnoteReference w:id="29"/>
      </w:r>
      <w:r w:rsidRPr="007C3271">
        <w:rPr>
          <w:sz w:val="26"/>
          <w:szCs w:val="26"/>
        </w:rPr>
        <w:t xml:space="preserve">  SDG&amp;E notes that the CPUC does not allege imprudence with respect to any cost item at issue in this proceeding.</w:t>
      </w:r>
    </w:p>
    <w:p w14:paraId="65B702DC" w14:textId="77777777" w:rsidR="00814E4D" w:rsidRPr="007C3271" w:rsidRDefault="00814E4D" w:rsidP="00814E4D">
      <w:pPr>
        <w:pStyle w:val="ListParagraph"/>
        <w:numPr>
          <w:ilvl w:val="0"/>
          <w:numId w:val="3"/>
        </w:numPr>
        <w:autoSpaceDE w:val="0"/>
        <w:autoSpaceDN w:val="0"/>
        <w:adjustRightInd w:val="0"/>
        <w:ind w:left="0"/>
        <w:rPr>
          <w:sz w:val="26"/>
          <w:szCs w:val="26"/>
        </w:rPr>
      </w:pPr>
      <w:r w:rsidRPr="002B443E">
        <w:rPr>
          <w:sz w:val="26"/>
          <w:szCs w:val="26"/>
        </w:rPr>
        <w:lastRenderedPageBreak/>
        <w:t>SDG&amp;E also argues that the CPUC’s allegations regarding the timing and inaccuracy of information provided in the context of an en</w:t>
      </w:r>
      <w:r w:rsidRPr="00331F70">
        <w:rPr>
          <w:sz w:val="26"/>
          <w:szCs w:val="26"/>
        </w:rPr>
        <w:t>gineering audit report are based on a misapprehension of facts surrounding projects that are outside of the scope of this TO4 Cycle 3 Informational Filing.  While SDG&amp;E reiterates that the allegations are not relevant to this proceeding, it does address them, explaining first that the information provided during the engineering audit was not late, and that SDG&amp;E responded to data requests on average within 15 business days.</w:t>
      </w:r>
      <w:r w:rsidRPr="007C3271">
        <w:rPr>
          <w:rStyle w:val="FootnoteReference"/>
          <w:b/>
          <w:sz w:val="26"/>
          <w:szCs w:val="26"/>
        </w:rPr>
        <w:footnoteReference w:id="30"/>
      </w:r>
      <w:r w:rsidRPr="007C3271">
        <w:rPr>
          <w:sz w:val="26"/>
          <w:szCs w:val="26"/>
        </w:rPr>
        <w:t xml:space="preserve">  </w:t>
      </w:r>
    </w:p>
    <w:p w14:paraId="65B702DD" w14:textId="77777777" w:rsidR="00814E4D" w:rsidRPr="005256DF" w:rsidRDefault="00814E4D" w:rsidP="00814E4D">
      <w:pPr>
        <w:pStyle w:val="ListParagraph"/>
        <w:autoSpaceDE w:val="0"/>
        <w:autoSpaceDN w:val="0"/>
        <w:adjustRightInd w:val="0"/>
        <w:ind w:left="0"/>
        <w:rPr>
          <w:sz w:val="26"/>
          <w:szCs w:val="26"/>
        </w:rPr>
      </w:pPr>
    </w:p>
    <w:p w14:paraId="65B702DE" w14:textId="77777777" w:rsidR="00814E4D" w:rsidRPr="007C3271" w:rsidRDefault="00814E4D" w:rsidP="00814E4D">
      <w:pPr>
        <w:pStyle w:val="ListParagraph"/>
        <w:numPr>
          <w:ilvl w:val="0"/>
          <w:numId w:val="3"/>
        </w:numPr>
        <w:autoSpaceDE w:val="0"/>
        <w:autoSpaceDN w:val="0"/>
        <w:adjustRightInd w:val="0"/>
        <w:ind w:left="0"/>
        <w:rPr>
          <w:sz w:val="26"/>
          <w:szCs w:val="26"/>
        </w:rPr>
      </w:pPr>
      <w:r w:rsidRPr="005256DF">
        <w:rPr>
          <w:sz w:val="26"/>
          <w:szCs w:val="26"/>
        </w:rPr>
        <w:t xml:space="preserve">In connection with the </w:t>
      </w:r>
      <w:r w:rsidRPr="00A14A79">
        <w:rPr>
          <w:sz w:val="26"/>
          <w:szCs w:val="26"/>
        </w:rPr>
        <w:t>San Luis Rey Synchronous Condenser</w:t>
      </w:r>
      <w:r w:rsidRPr="00331F70">
        <w:rPr>
          <w:sz w:val="26"/>
          <w:szCs w:val="26"/>
        </w:rPr>
        <w:t xml:space="preserve"> project, SDG&amp;E asserts that the</w:t>
      </w:r>
      <w:r w:rsidRPr="00A364AE">
        <w:rPr>
          <w:sz w:val="26"/>
          <w:szCs w:val="26"/>
        </w:rPr>
        <w:t xml:space="preserve"> CPUC implies that SDG&amp;E knowingly provided the reviewing engineer </w:t>
      </w:r>
      <w:r w:rsidRPr="008A3107">
        <w:rPr>
          <w:sz w:val="26"/>
          <w:szCs w:val="26"/>
        </w:rPr>
        <w:t xml:space="preserve">with a </w:t>
      </w:r>
      <w:r w:rsidRPr="00353FCE">
        <w:rPr>
          <w:sz w:val="26"/>
          <w:szCs w:val="26"/>
        </w:rPr>
        <w:t xml:space="preserve">power flow </w:t>
      </w:r>
      <w:r w:rsidRPr="008E0D40">
        <w:rPr>
          <w:sz w:val="26"/>
          <w:szCs w:val="26"/>
        </w:rPr>
        <w:t>case with a serious error and that it did not notify the reviewing engineer of the error for five months.</w:t>
      </w:r>
      <w:r w:rsidRPr="007C3271">
        <w:rPr>
          <w:rStyle w:val="FootnoteReference"/>
          <w:b/>
          <w:sz w:val="26"/>
          <w:szCs w:val="26"/>
        </w:rPr>
        <w:footnoteReference w:id="31"/>
      </w:r>
      <w:r w:rsidRPr="007C3271">
        <w:rPr>
          <w:b/>
          <w:sz w:val="26"/>
          <w:szCs w:val="26"/>
        </w:rPr>
        <w:t xml:space="preserve">  </w:t>
      </w:r>
      <w:r w:rsidRPr="007C3271">
        <w:rPr>
          <w:sz w:val="26"/>
          <w:szCs w:val="26"/>
        </w:rPr>
        <w:t>However, SDG&amp;E argues</w:t>
      </w:r>
      <w:r w:rsidRPr="005256DF">
        <w:rPr>
          <w:sz w:val="26"/>
          <w:szCs w:val="26"/>
        </w:rPr>
        <w:t xml:space="preserve"> that this allegation is incorrect and that it notified the CPUC promptly upon discovering that it had provided a “low load” power flow case </w:t>
      </w:r>
      <w:r w:rsidRPr="00331F70">
        <w:rPr>
          <w:sz w:val="26"/>
          <w:szCs w:val="26"/>
        </w:rPr>
        <w:t>rather than the correct “high load” power flow case.  SDG&amp;E states that it followed up by sending the correct power flow case within six days.  In addition, SDG&amp;E argues that the power flow case it initially sent tended to reduce the apparent need for various transmission upgrades, and thus its mistake was not deliberate.</w:t>
      </w:r>
      <w:r w:rsidRPr="007C3271">
        <w:rPr>
          <w:rStyle w:val="FootnoteReference"/>
          <w:b/>
          <w:sz w:val="26"/>
          <w:szCs w:val="26"/>
        </w:rPr>
        <w:footnoteReference w:id="32"/>
      </w:r>
      <w:r w:rsidRPr="007C3271">
        <w:rPr>
          <w:sz w:val="26"/>
          <w:szCs w:val="26"/>
        </w:rPr>
        <w:t xml:space="preserve">  </w:t>
      </w:r>
      <w:r w:rsidRPr="005256DF">
        <w:rPr>
          <w:sz w:val="26"/>
          <w:szCs w:val="26"/>
        </w:rPr>
        <w:t>In addition, SDG&amp;E assert</w:t>
      </w:r>
      <w:r w:rsidRPr="002B443E">
        <w:rPr>
          <w:sz w:val="26"/>
          <w:szCs w:val="26"/>
        </w:rPr>
        <w:t>s</w:t>
      </w:r>
      <w:r w:rsidRPr="00331F70">
        <w:rPr>
          <w:sz w:val="26"/>
          <w:szCs w:val="26"/>
        </w:rPr>
        <w:t xml:space="preserve"> that the other examples of untimely or inaccurate information raised in the protest were generally attributable to miscommunications or updates reflecting changed circumstances.</w:t>
      </w:r>
      <w:r w:rsidRPr="007C3271">
        <w:rPr>
          <w:rStyle w:val="FootnoteReference"/>
          <w:b/>
          <w:sz w:val="26"/>
          <w:szCs w:val="26"/>
        </w:rPr>
        <w:footnoteReference w:id="33"/>
      </w:r>
    </w:p>
    <w:p w14:paraId="65B702DF" w14:textId="77777777" w:rsidR="00814E4D" w:rsidRPr="005256DF" w:rsidRDefault="00814E4D" w:rsidP="00814E4D">
      <w:pPr>
        <w:pStyle w:val="ListParagraph"/>
        <w:rPr>
          <w:sz w:val="26"/>
          <w:szCs w:val="26"/>
        </w:rPr>
      </w:pPr>
    </w:p>
    <w:p w14:paraId="65B702E0" w14:textId="77777777" w:rsidR="00814E4D" w:rsidRPr="007C3271" w:rsidRDefault="00814E4D" w:rsidP="00814E4D">
      <w:pPr>
        <w:pStyle w:val="ListParagraph"/>
        <w:numPr>
          <w:ilvl w:val="0"/>
          <w:numId w:val="3"/>
        </w:numPr>
        <w:autoSpaceDE w:val="0"/>
        <w:autoSpaceDN w:val="0"/>
        <w:adjustRightInd w:val="0"/>
        <w:ind w:left="0"/>
        <w:rPr>
          <w:sz w:val="26"/>
          <w:szCs w:val="26"/>
        </w:rPr>
      </w:pPr>
      <w:r w:rsidRPr="002B443E">
        <w:rPr>
          <w:sz w:val="26"/>
          <w:szCs w:val="26"/>
        </w:rPr>
        <w:t xml:space="preserve">SDG&amp;E also argues that, with regard to the installation of the </w:t>
      </w:r>
      <w:r w:rsidRPr="00A14A79">
        <w:rPr>
          <w:sz w:val="26"/>
          <w:szCs w:val="26"/>
        </w:rPr>
        <w:t>synchronous condenser units in San Luis Rey and San Onofre</w:t>
      </w:r>
      <w:r>
        <w:rPr>
          <w:sz w:val="26"/>
          <w:szCs w:val="26"/>
        </w:rPr>
        <w:t xml:space="preserve">, </w:t>
      </w:r>
      <w:r w:rsidRPr="00331F70">
        <w:rPr>
          <w:sz w:val="26"/>
          <w:szCs w:val="26"/>
        </w:rPr>
        <w:t>the CPUC</w:t>
      </w:r>
      <w:r w:rsidRPr="00A364AE">
        <w:rPr>
          <w:sz w:val="26"/>
          <w:szCs w:val="26"/>
        </w:rPr>
        <w:t xml:space="preserve">’s assertion regarding </w:t>
      </w:r>
      <w:r w:rsidRPr="008A3107">
        <w:rPr>
          <w:sz w:val="26"/>
          <w:szCs w:val="26"/>
        </w:rPr>
        <w:t>im</w:t>
      </w:r>
      <w:r w:rsidRPr="00353FCE">
        <w:rPr>
          <w:sz w:val="26"/>
          <w:szCs w:val="26"/>
        </w:rPr>
        <w:t>prudence is without me</w:t>
      </w:r>
      <w:r w:rsidRPr="008E0D40">
        <w:rPr>
          <w:sz w:val="26"/>
          <w:szCs w:val="26"/>
        </w:rPr>
        <w:t>rit and insufficient to shift the presumption of prudence away from SDG&amp;E.  SDG&amp;E also notes that CAISO has already approved the</w:t>
      </w:r>
      <w:r w:rsidRPr="00073CFE">
        <w:rPr>
          <w:sz w:val="26"/>
          <w:szCs w:val="26"/>
        </w:rPr>
        <w:t>se projects in its open and nondiscriminatory transmission planning process to meet reliability purposes.</w:t>
      </w:r>
      <w:r w:rsidRPr="007C3271">
        <w:rPr>
          <w:rStyle w:val="FootnoteReference"/>
          <w:b/>
          <w:sz w:val="26"/>
          <w:szCs w:val="26"/>
        </w:rPr>
        <w:footnoteReference w:id="34"/>
      </w:r>
      <w:r w:rsidRPr="007C3271">
        <w:rPr>
          <w:sz w:val="26"/>
          <w:szCs w:val="26"/>
        </w:rPr>
        <w:t xml:space="preserve"> </w:t>
      </w:r>
    </w:p>
    <w:p w14:paraId="65B702E1" w14:textId="77777777" w:rsidR="00814E4D" w:rsidRPr="005256DF" w:rsidRDefault="00814E4D" w:rsidP="00814E4D">
      <w:pPr>
        <w:pStyle w:val="ListParagraph"/>
        <w:autoSpaceDE w:val="0"/>
        <w:autoSpaceDN w:val="0"/>
        <w:adjustRightInd w:val="0"/>
        <w:ind w:left="0"/>
        <w:rPr>
          <w:sz w:val="26"/>
          <w:szCs w:val="26"/>
        </w:rPr>
      </w:pPr>
    </w:p>
    <w:p w14:paraId="65B702E2" w14:textId="77777777" w:rsidR="00814E4D" w:rsidRPr="007C3271" w:rsidRDefault="00814E4D" w:rsidP="00814E4D">
      <w:pPr>
        <w:pStyle w:val="ListParagraph"/>
        <w:numPr>
          <w:ilvl w:val="0"/>
          <w:numId w:val="3"/>
        </w:numPr>
        <w:autoSpaceDE w:val="0"/>
        <w:autoSpaceDN w:val="0"/>
        <w:adjustRightInd w:val="0"/>
        <w:ind w:left="0"/>
        <w:rPr>
          <w:sz w:val="26"/>
          <w:szCs w:val="26"/>
        </w:rPr>
      </w:pPr>
      <w:r w:rsidRPr="002B443E">
        <w:rPr>
          <w:sz w:val="26"/>
          <w:szCs w:val="26"/>
        </w:rPr>
        <w:t>With regard to</w:t>
      </w:r>
      <w:r w:rsidRPr="00331F70">
        <w:rPr>
          <w:sz w:val="26"/>
          <w:szCs w:val="26"/>
        </w:rPr>
        <w:t xml:space="preserve"> the San Onofre Synchronous Condenser Unit, also referred to as the </w:t>
      </w:r>
      <w:r w:rsidRPr="00A14A79">
        <w:rPr>
          <w:sz w:val="26"/>
          <w:szCs w:val="26"/>
        </w:rPr>
        <w:t>South Orange County Dynamic Reactive Support,</w:t>
      </w:r>
      <w:r w:rsidRPr="00331F70">
        <w:rPr>
          <w:sz w:val="26"/>
          <w:szCs w:val="26"/>
        </w:rPr>
        <w:t xml:space="preserve"> SDG&amp;E asserts that it does indeed have CAISO approval</w:t>
      </w:r>
      <w:r w:rsidRPr="00A364AE">
        <w:rPr>
          <w:sz w:val="26"/>
          <w:szCs w:val="26"/>
        </w:rPr>
        <w:t xml:space="preserve">, contrary to the CPUC’s contention.  SDG&amp;E notes that the </w:t>
      </w:r>
      <w:r w:rsidRPr="00A364AE">
        <w:rPr>
          <w:sz w:val="26"/>
          <w:szCs w:val="26"/>
        </w:rPr>
        <w:lastRenderedPageBreak/>
        <w:t>approval is included</w:t>
      </w:r>
      <w:r w:rsidRPr="008A3107">
        <w:rPr>
          <w:sz w:val="26"/>
          <w:szCs w:val="26"/>
        </w:rPr>
        <w:t xml:space="preserve"> </w:t>
      </w:r>
      <w:r w:rsidRPr="00353FCE">
        <w:rPr>
          <w:sz w:val="26"/>
          <w:szCs w:val="26"/>
        </w:rPr>
        <w:t>in CAISO’s 201</w:t>
      </w:r>
      <w:r w:rsidRPr="008E0D40">
        <w:rPr>
          <w:sz w:val="26"/>
          <w:szCs w:val="26"/>
        </w:rPr>
        <w:t>3-2014 transmission plan</w:t>
      </w:r>
      <w:r w:rsidRPr="00073CFE">
        <w:rPr>
          <w:sz w:val="26"/>
          <w:szCs w:val="26"/>
        </w:rPr>
        <w:t>ning process.</w:t>
      </w:r>
      <w:r w:rsidRPr="00073CFE">
        <w:rPr>
          <w:rStyle w:val="FootnoteReference"/>
          <w:b/>
          <w:sz w:val="26"/>
          <w:szCs w:val="26"/>
        </w:rPr>
        <w:footnoteReference w:id="35"/>
      </w:r>
      <w:r w:rsidRPr="00073CFE">
        <w:rPr>
          <w:sz w:val="26"/>
          <w:szCs w:val="26"/>
        </w:rPr>
        <w:t xml:space="preserve">  SDG&amp;E also notes that it sent the relevant tables from the 2013-2014 transmission plan</w:t>
      </w:r>
      <w:r w:rsidRPr="007C3271">
        <w:rPr>
          <w:sz w:val="26"/>
          <w:szCs w:val="26"/>
        </w:rPr>
        <w:t>ning process</w:t>
      </w:r>
      <w:r w:rsidRPr="005256DF">
        <w:rPr>
          <w:sz w:val="26"/>
          <w:szCs w:val="26"/>
        </w:rPr>
        <w:t xml:space="preserve"> to the CPUC.</w:t>
      </w:r>
      <w:r w:rsidRPr="007C3271">
        <w:rPr>
          <w:rStyle w:val="FootnoteReference"/>
          <w:b/>
          <w:sz w:val="26"/>
          <w:szCs w:val="26"/>
        </w:rPr>
        <w:footnoteReference w:id="36"/>
      </w:r>
      <w:r w:rsidRPr="007C3271">
        <w:rPr>
          <w:sz w:val="26"/>
          <w:szCs w:val="26"/>
        </w:rPr>
        <w:t xml:space="preserve">  </w:t>
      </w:r>
    </w:p>
    <w:p w14:paraId="65B702E3" w14:textId="77777777" w:rsidR="00814E4D" w:rsidRPr="005256DF" w:rsidRDefault="00814E4D" w:rsidP="00814E4D">
      <w:pPr>
        <w:pStyle w:val="ListParagraph"/>
        <w:autoSpaceDE w:val="0"/>
        <w:autoSpaceDN w:val="0"/>
        <w:adjustRightInd w:val="0"/>
        <w:ind w:left="0"/>
        <w:rPr>
          <w:sz w:val="26"/>
          <w:szCs w:val="26"/>
        </w:rPr>
      </w:pPr>
    </w:p>
    <w:p w14:paraId="65B702E4" w14:textId="77777777" w:rsidR="00814E4D" w:rsidRPr="00331F70" w:rsidRDefault="00814E4D" w:rsidP="00814E4D">
      <w:pPr>
        <w:pStyle w:val="FERCparanumber"/>
        <w:numPr>
          <w:ilvl w:val="0"/>
          <w:numId w:val="3"/>
        </w:numPr>
        <w:tabs>
          <w:tab w:val="clear" w:pos="720"/>
          <w:tab w:val="left" w:pos="0"/>
        </w:tabs>
      </w:pPr>
      <w:r w:rsidRPr="002B443E">
        <w:t>SDG&amp;E asserts that CAISO has analyzed the projects at issue and determined, in its open and non</w:t>
      </w:r>
      <w:r w:rsidRPr="00331F70">
        <w:t>-discriminatory transmission planning process, that the projects are needed as a part of the Southern California bulk power system to enhance reliability.  SDG&amp;E maintains that deferring or delaying these projects, as the CPUC advocates, runs counter to CAISO’s determination and would adversely affect reliability.  SDG&amp;E also contends that nothing in the TO4 Settlement gives the CPUC or the reviewing engineer the right to trump CAISO’s and SDG&amp;E’s reliability determination.</w:t>
      </w:r>
      <w:r w:rsidRPr="007C3271">
        <w:rPr>
          <w:rStyle w:val="FootnoteReference"/>
          <w:b/>
        </w:rPr>
        <w:footnoteReference w:id="37"/>
      </w:r>
      <w:r w:rsidRPr="007C3271">
        <w:t xml:space="preserve">  SDG&amp;E argues that the CPUC must address its concerns about projects during the relevant transmission planning process, not after their approval.</w:t>
      </w:r>
      <w:r w:rsidRPr="007C3271">
        <w:rPr>
          <w:rStyle w:val="FootnoteReference"/>
          <w:b/>
        </w:rPr>
        <w:footnoteReference w:id="38"/>
      </w:r>
      <w:r w:rsidRPr="007C3271">
        <w:rPr>
          <w:b/>
        </w:rPr>
        <w:t xml:space="preserve"> </w:t>
      </w:r>
      <w:r w:rsidRPr="007C3271">
        <w:t xml:space="preserve"> </w:t>
      </w:r>
    </w:p>
    <w:p w14:paraId="65B702E5" w14:textId="77777777" w:rsidR="00814E4D" w:rsidRPr="00814E4D" w:rsidRDefault="004A4880" w:rsidP="00814E4D">
      <w:pPr>
        <w:pStyle w:val="Heading"/>
        <w:numPr>
          <w:ilvl w:val="0"/>
          <w:numId w:val="6"/>
        </w:numPr>
      </w:pPr>
      <w:r w:rsidRPr="00331F70">
        <w:t>Procedural Matters</w:t>
      </w:r>
    </w:p>
    <w:p w14:paraId="65B702E6" w14:textId="77777777" w:rsidR="0052119D" w:rsidRPr="00331F70" w:rsidRDefault="004A4880" w:rsidP="00045301">
      <w:pPr>
        <w:pStyle w:val="FERCparanumber"/>
        <w:numPr>
          <w:ilvl w:val="0"/>
          <w:numId w:val="3"/>
        </w:numPr>
        <w:tabs>
          <w:tab w:val="clear" w:pos="720"/>
          <w:tab w:val="left" w:pos="0"/>
        </w:tabs>
      </w:pPr>
      <w:r w:rsidRPr="00331F70">
        <w:rPr>
          <w:rFonts w:eastAsia="Arial Unicode MS" w:hAnsi="Arial Unicode MS" w:cs="Arial Unicode MS"/>
        </w:rPr>
        <w:t>Pursuant to Rule 214 of the Commission</w:t>
      </w:r>
      <w:r w:rsidRPr="00331F70">
        <w:rPr>
          <w:rFonts w:ascii="Arial Unicode MS" w:eastAsia="Arial Unicode MS" w:cs="Arial Unicode MS"/>
        </w:rPr>
        <w:t>’</w:t>
      </w:r>
      <w:r w:rsidRPr="00331F70">
        <w:rPr>
          <w:rFonts w:eastAsia="Arial Unicode MS" w:hAnsi="Arial Unicode MS" w:cs="Arial Unicode MS"/>
        </w:rPr>
        <w:t xml:space="preserve">s Rules of Practice and Procedure, </w:t>
      </w:r>
      <w:r w:rsidR="00CF6AF2" w:rsidRPr="00331F70">
        <w:rPr>
          <w:rFonts w:eastAsia="Arial Unicode MS" w:hAnsi="Arial Unicode MS" w:cs="Arial Unicode MS"/>
        </w:rPr>
        <w:br/>
      </w:r>
      <w:r w:rsidRPr="00331F70">
        <w:rPr>
          <w:rFonts w:eastAsia="Arial Unicode MS" w:hAnsi="Arial Unicode MS" w:cs="Arial Unicode MS"/>
        </w:rPr>
        <w:t xml:space="preserve">18 C.F.R. </w:t>
      </w:r>
      <w:r w:rsidRPr="00331F70">
        <w:rPr>
          <w:rFonts w:ascii="Arial Unicode MS" w:eastAsia="Arial Unicode MS" w:cs="Arial Unicode MS"/>
        </w:rPr>
        <w:t>§</w:t>
      </w:r>
      <w:r w:rsidRPr="00331F70">
        <w:rPr>
          <w:rFonts w:ascii="Arial Unicode MS" w:eastAsia="Arial Unicode MS" w:cs="Arial Unicode MS"/>
        </w:rPr>
        <w:t xml:space="preserve"> </w:t>
      </w:r>
      <w:r w:rsidRPr="00331F70">
        <w:rPr>
          <w:rFonts w:eastAsia="Arial Unicode MS" w:hAnsi="Arial Unicode MS" w:cs="Arial Unicode MS"/>
        </w:rPr>
        <w:t>385.214 (</w:t>
      </w:r>
      <w:r w:rsidR="008B7DF1" w:rsidRPr="00331F70">
        <w:rPr>
          <w:rFonts w:eastAsia="Arial Unicode MS" w:hAnsi="Arial Unicode MS" w:cs="Arial Unicode MS"/>
        </w:rPr>
        <w:t>2015</w:t>
      </w:r>
      <w:r w:rsidRPr="00331F70">
        <w:rPr>
          <w:rFonts w:eastAsia="Arial Unicode MS" w:hAnsi="Arial Unicode MS" w:cs="Arial Unicode MS"/>
        </w:rPr>
        <w:t>), the notice of intervention and timely, unopposed motions to intervene serve to make the entities that filed them parties to this proceeding.</w:t>
      </w:r>
    </w:p>
    <w:p w14:paraId="65B702E7" w14:textId="77777777" w:rsidR="0052119D" w:rsidRPr="00331F70" w:rsidRDefault="0052119D" w:rsidP="00394378">
      <w:pPr>
        <w:pStyle w:val="ListParagraph"/>
        <w:numPr>
          <w:ilvl w:val="0"/>
          <w:numId w:val="3"/>
        </w:numPr>
        <w:spacing w:after="240"/>
        <w:ind w:left="0"/>
        <w:contextualSpacing w:val="0"/>
        <w:rPr>
          <w:rFonts w:eastAsia="Times New Roman"/>
          <w:color w:val="000000"/>
          <w:sz w:val="26"/>
          <w:szCs w:val="26"/>
          <w:u w:color="000000"/>
        </w:rPr>
      </w:pPr>
      <w:r w:rsidRPr="00331F70">
        <w:rPr>
          <w:rFonts w:eastAsia="Times New Roman"/>
          <w:color w:val="000000"/>
          <w:sz w:val="26"/>
          <w:szCs w:val="26"/>
          <w:u w:color="000000"/>
        </w:rPr>
        <w:t>Pursuant to Rule 214(d) of the Commission</w:t>
      </w:r>
      <w:r w:rsidR="00941EC6" w:rsidRPr="00331F70">
        <w:rPr>
          <w:rFonts w:eastAsia="Times New Roman"/>
          <w:color w:val="000000"/>
          <w:sz w:val="26"/>
          <w:szCs w:val="26"/>
          <w:u w:color="000000"/>
        </w:rPr>
        <w:t>’</w:t>
      </w:r>
      <w:r w:rsidRPr="00331F70">
        <w:rPr>
          <w:rFonts w:eastAsia="Times New Roman"/>
          <w:color w:val="000000"/>
          <w:sz w:val="26"/>
          <w:szCs w:val="26"/>
          <w:u w:color="000000"/>
        </w:rPr>
        <w:t xml:space="preserve">s Rules of Practice and Procedure, </w:t>
      </w:r>
      <w:r w:rsidR="00D214FF">
        <w:rPr>
          <w:rFonts w:eastAsia="Times New Roman"/>
          <w:color w:val="000000"/>
          <w:sz w:val="26"/>
          <w:szCs w:val="26"/>
          <w:u w:color="000000"/>
        </w:rPr>
        <w:t xml:space="preserve">   </w:t>
      </w:r>
      <w:r w:rsidRPr="00331F70">
        <w:rPr>
          <w:rFonts w:eastAsia="Times New Roman"/>
          <w:color w:val="000000"/>
          <w:sz w:val="26"/>
          <w:szCs w:val="26"/>
          <w:u w:color="000000"/>
        </w:rPr>
        <w:t>18 C.F.R. § 385.214(d) (</w:t>
      </w:r>
      <w:r w:rsidR="008B7DF1" w:rsidRPr="00331F70">
        <w:rPr>
          <w:rFonts w:eastAsia="Times New Roman"/>
          <w:color w:val="000000"/>
          <w:sz w:val="26"/>
          <w:szCs w:val="26"/>
          <w:u w:color="000000"/>
        </w:rPr>
        <w:t>2015</w:t>
      </w:r>
      <w:r w:rsidRPr="00331F70">
        <w:rPr>
          <w:rFonts w:eastAsia="Times New Roman"/>
          <w:color w:val="000000"/>
          <w:sz w:val="26"/>
          <w:szCs w:val="26"/>
          <w:u w:color="000000"/>
        </w:rPr>
        <w:t>), the Commission will accept Six Cities and PG&amp;E’s late-filed motions to intervene given their interests in the proceeding, the early stage of the proceeding, and the absence of undue prejudice or delay.</w:t>
      </w:r>
    </w:p>
    <w:p w14:paraId="65B702E8" w14:textId="77777777" w:rsidR="0088390B" w:rsidRPr="003E6A42" w:rsidRDefault="004349E1" w:rsidP="00814E4D">
      <w:pPr>
        <w:pStyle w:val="ListParagraph"/>
        <w:numPr>
          <w:ilvl w:val="0"/>
          <w:numId w:val="3"/>
        </w:numPr>
        <w:spacing w:after="240"/>
        <w:ind w:left="0"/>
        <w:contextualSpacing w:val="0"/>
        <w:rPr>
          <w:rFonts w:eastAsia="Times New Roman"/>
          <w:color w:val="000000"/>
          <w:sz w:val="26"/>
          <w:szCs w:val="26"/>
          <w:u w:color="000000"/>
        </w:rPr>
      </w:pPr>
      <w:r w:rsidRPr="00331F70">
        <w:rPr>
          <w:rFonts w:eastAsia="Times New Roman"/>
          <w:color w:val="000000"/>
          <w:sz w:val="26"/>
          <w:szCs w:val="26"/>
          <w:u w:color="000000"/>
        </w:rPr>
        <w:t>Rule 213(a</w:t>
      </w:r>
      <w:proofErr w:type="gramStart"/>
      <w:r w:rsidRPr="00331F70">
        <w:rPr>
          <w:rFonts w:eastAsia="Times New Roman"/>
          <w:color w:val="000000"/>
          <w:sz w:val="26"/>
          <w:szCs w:val="26"/>
          <w:u w:color="000000"/>
        </w:rPr>
        <w:t>)(</w:t>
      </w:r>
      <w:proofErr w:type="gramEnd"/>
      <w:r w:rsidRPr="00331F70">
        <w:rPr>
          <w:rFonts w:eastAsia="Times New Roman"/>
          <w:color w:val="000000"/>
          <w:sz w:val="26"/>
          <w:szCs w:val="26"/>
          <w:u w:color="000000"/>
        </w:rPr>
        <w:t xml:space="preserve">2) of the Commission’s Rules of Practice and Procedure, 18 C.F.R.    </w:t>
      </w:r>
      <w:r w:rsidRPr="00331F70">
        <w:rPr>
          <w:rFonts w:ascii="Arial Unicode MS" w:cs="Arial Unicode MS"/>
          <w:sz w:val="26"/>
          <w:szCs w:val="26"/>
        </w:rPr>
        <w:t>§</w:t>
      </w:r>
      <w:r w:rsidRPr="00331F70">
        <w:rPr>
          <w:rFonts w:ascii="Arial Unicode MS" w:cs="Arial Unicode MS"/>
          <w:sz w:val="26"/>
          <w:szCs w:val="26"/>
        </w:rPr>
        <w:t xml:space="preserve"> </w:t>
      </w:r>
      <w:r w:rsidRPr="00331F70">
        <w:rPr>
          <w:rFonts w:eastAsia="Times New Roman"/>
          <w:color w:val="000000"/>
          <w:sz w:val="26"/>
          <w:szCs w:val="26"/>
          <w:u w:color="000000"/>
        </w:rPr>
        <w:t>385.213(a</w:t>
      </w:r>
      <w:proofErr w:type="gramStart"/>
      <w:r w:rsidRPr="00331F70">
        <w:rPr>
          <w:rFonts w:eastAsia="Times New Roman"/>
          <w:color w:val="000000"/>
          <w:sz w:val="26"/>
          <w:szCs w:val="26"/>
          <w:u w:color="000000"/>
        </w:rPr>
        <w:t>)(</w:t>
      </w:r>
      <w:proofErr w:type="gramEnd"/>
      <w:r w:rsidRPr="00331F70">
        <w:rPr>
          <w:rFonts w:eastAsia="Times New Roman"/>
          <w:color w:val="000000"/>
          <w:sz w:val="26"/>
          <w:szCs w:val="26"/>
          <w:u w:color="000000"/>
        </w:rPr>
        <w:t>2) (2015), prohibits an answer to a protest or an answer unless otherwise ordered by the decisional authority.  We will accept SDG&amp;E’s answer because it has provided information that assisted us in our decision-making process.</w:t>
      </w:r>
      <w:r w:rsidR="00A95149" w:rsidRPr="00814E4D">
        <w:rPr>
          <w:sz w:val="26"/>
          <w:szCs w:val="26"/>
        </w:rPr>
        <w:t xml:space="preserve"> </w:t>
      </w:r>
    </w:p>
    <w:p w14:paraId="65B702E9" w14:textId="77777777" w:rsidR="003E6A42" w:rsidRPr="003E6A42" w:rsidRDefault="003E6A42" w:rsidP="003E6A42">
      <w:pPr>
        <w:spacing w:after="240"/>
        <w:rPr>
          <w:rFonts w:eastAsia="Times New Roman"/>
          <w:color w:val="000000"/>
          <w:sz w:val="26"/>
          <w:szCs w:val="26"/>
          <w:u w:color="000000"/>
        </w:rPr>
      </w:pPr>
    </w:p>
    <w:p w14:paraId="65B702EA" w14:textId="77777777" w:rsidR="00F54B11" w:rsidRPr="00331F70" w:rsidRDefault="0088390B" w:rsidP="008B7DF1">
      <w:pPr>
        <w:pStyle w:val="Heading"/>
        <w:numPr>
          <w:ilvl w:val="0"/>
          <w:numId w:val="6"/>
        </w:numPr>
        <w:ind w:left="0" w:firstLine="0"/>
      </w:pPr>
      <w:r w:rsidRPr="002B443E">
        <w:rPr>
          <w:lang w:val="it-IT"/>
        </w:rPr>
        <w:lastRenderedPageBreak/>
        <w:t>Discussion</w:t>
      </w:r>
    </w:p>
    <w:p w14:paraId="65B702EB" w14:textId="77777777" w:rsidR="00F54B11" w:rsidRPr="00331F70" w:rsidRDefault="00F54B11" w:rsidP="002D4F90">
      <w:pPr>
        <w:pStyle w:val="ListParagraph"/>
        <w:numPr>
          <w:ilvl w:val="0"/>
          <w:numId w:val="3"/>
        </w:numPr>
        <w:autoSpaceDE w:val="0"/>
        <w:autoSpaceDN w:val="0"/>
        <w:adjustRightInd w:val="0"/>
        <w:ind w:left="0"/>
        <w:rPr>
          <w:sz w:val="26"/>
          <w:szCs w:val="26"/>
        </w:rPr>
      </w:pPr>
      <w:r w:rsidRPr="00331F70">
        <w:rPr>
          <w:sz w:val="26"/>
          <w:szCs w:val="26"/>
        </w:rPr>
        <w:t xml:space="preserve">We accept SDG&amp;E’s TO4 Cycle 3 </w:t>
      </w:r>
      <w:r w:rsidR="000B7F50">
        <w:rPr>
          <w:sz w:val="26"/>
          <w:szCs w:val="26"/>
        </w:rPr>
        <w:t>F</w:t>
      </w:r>
      <w:r w:rsidRPr="00331F70">
        <w:rPr>
          <w:sz w:val="26"/>
          <w:szCs w:val="26"/>
        </w:rPr>
        <w:t xml:space="preserve">iling, effective January 1, 2016, as requested. </w:t>
      </w:r>
      <w:r w:rsidR="002450BA">
        <w:rPr>
          <w:sz w:val="26"/>
          <w:szCs w:val="26"/>
        </w:rPr>
        <w:t xml:space="preserve"> </w:t>
      </w:r>
      <w:r w:rsidR="000964ED" w:rsidRPr="00331F70">
        <w:rPr>
          <w:sz w:val="26"/>
          <w:szCs w:val="26"/>
        </w:rPr>
        <w:t>We find that SDG&amp;E’s informational filing sets forth the information it is required to file under the terms of the Settlement, and shows the base t</w:t>
      </w:r>
      <w:r w:rsidR="000B7F50">
        <w:rPr>
          <w:sz w:val="26"/>
          <w:szCs w:val="26"/>
        </w:rPr>
        <w:t>ransmission revenue requirement</w:t>
      </w:r>
      <w:r w:rsidR="000964ED" w:rsidRPr="00331F70">
        <w:rPr>
          <w:sz w:val="26"/>
          <w:szCs w:val="26"/>
        </w:rPr>
        <w:t xml:space="preserve"> in effect for the next calendar year</w:t>
      </w:r>
      <w:r w:rsidR="00B31F47" w:rsidRPr="00331F70">
        <w:rPr>
          <w:sz w:val="26"/>
          <w:szCs w:val="26"/>
        </w:rPr>
        <w:t xml:space="preserve">. </w:t>
      </w:r>
      <w:r w:rsidR="002450BA">
        <w:rPr>
          <w:sz w:val="26"/>
          <w:szCs w:val="26"/>
        </w:rPr>
        <w:t xml:space="preserve"> </w:t>
      </w:r>
    </w:p>
    <w:p w14:paraId="65B702EC" w14:textId="77777777" w:rsidR="000E79EF" w:rsidRPr="00073CFE" w:rsidRDefault="000E79EF" w:rsidP="00A14A79">
      <w:pPr>
        <w:ind w:right="1440"/>
        <w:rPr>
          <w:sz w:val="26"/>
          <w:szCs w:val="26"/>
        </w:rPr>
      </w:pPr>
    </w:p>
    <w:p w14:paraId="65B702ED" w14:textId="77777777" w:rsidR="0052119D" w:rsidRPr="007C3271" w:rsidRDefault="009A0FF7" w:rsidP="0052119D">
      <w:pPr>
        <w:pStyle w:val="ListParagraph"/>
        <w:numPr>
          <w:ilvl w:val="0"/>
          <w:numId w:val="3"/>
        </w:numPr>
        <w:autoSpaceDE w:val="0"/>
        <w:autoSpaceDN w:val="0"/>
        <w:adjustRightInd w:val="0"/>
        <w:ind w:left="0"/>
        <w:rPr>
          <w:sz w:val="26"/>
          <w:szCs w:val="26"/>
        </w:rPr>
      </w:pPr>
      <w:r w:rsidRPr="007C3271">
        <w:rPr>
          <w:sz w:val="26"/>
          <w:szCs w:val="26"/>
        </w:rPr>
        <w:t xml:space="preserve">We find that the CPUC has not demonstrated that </w:t>
      </w:r>
      <w:r w:rsidR="000964ED" w:rsidRPr="007C3271">
        <w:rPr>
          <w:sz w:val="26"/>
          <w:szCs w:val="26"/>
        </w:rPr>
        <w:t xml:space="preserve">a hearing is </w:t>
      </w:r>
      <w:r w:rsidR="003710BE">
        <w:rPr>
          <w:sz w:val="26"/>
          <w:szCs w:val="26"/>
        </w:rPr>
        <w:t>needed to resolve any disputed issues of material fact related to SDG&amp;E’s TO4 Cycle 3 Filing</w:t>
      </w:r>
      <w:r w:rsidR="002D6408">
        <w:rPr>
          <w:sz w:val="26"/>
          <w:szCs w:val="26"/>
        </w:rPr>
        <w:t xml:space="preserve"> or SDG&amp;E’s implementation of the formula rate</w:t>
      </w:r>
      <w:r w:rsidRPr="005256DF">
        <w:rPr>
          <w:sz w:val="26"/>
          <w:szCs w:val="26"/>
        </w:rPr>
        <w:t xml:space="preserve">.  Specifically, we </w:t>
      </w:r>
      <w:r w:rsidR="000E79EF" w:rsidRPr="002B443E">
        <w:rPr>
          <w:sz w:val="26"/>
          <w:szCs w:val="26"/>
        </w:rPr>
        <w:t xml:space="preserve">find </w:t>
      </w:r>
      <w:r w:rsidR="0088390B" w:rsidRPr="00331F70">
        <w:rPr>
          <w:sz w:val="26"/>
          <w:szCs w:val="26"/>
        </w:rPr>
        <w:t xml:space="preserve">that </w:t>
      </w:r>
      <w:r w:rsidR="00B602C4" w:rsidRPr="00331F70">
        <w:rPr>
          <w:sz w:val="26"/>
          <w:szCs w:val="26"/>
        </w:rPr>
        <w:t xml:space="preserve">the </w:t>
      </w:r>
      <w:r w:rsidR="000E79EF" w:rsidRPr="00331F70">
        <w:rPr>
          <w:sz w:val="26"/>
          <w:szCs w:val="26"/>
        </w:rPr>
        <w:t xml:space="preserve">CPUC’s claims of SDG&amp;E </w:t>
      </w:r>
      <w:r w:rsidR="00010DD3" w:rsidRPr="00331F70">
        <w:rPr>
          <w:sz w:val="26"/>
          <w:szCs w:val="26"/>
        </w:rPr>
        <w:t>providing</w:t>
      </w:r>
      <w:r w:rsidR="000E79EF" w:rsidRPr="00331F70">
        <w:rPr>
          <w:sz w:val="26"/>
          <w:szCs w:val="26"/>
        </w:rPr>
        <w:t xml:space="preserve"> </w:t>
      </w:r>
      <w:r w:rsidR="00010DD3" w:rsidRPr="00331F70">
        <w:rPr>
          <w:sz w:val="26"/>
          <w:szCs w:val="26"/>
        </w:rPr>
        <w:t>un</w:t>
      </w:r>
      <w:r w:rsidR="000E79EF" w:rsidRPr="00331F70">
        <w:rPr>
          <w:sz w:val="26"/>
          <w:szCs w:val="26"/>
        </w:rPr>
        <w:t xml:space="preserve">timely </w:t>
      </w:r>
      <w:r w:rsidR="00010DD3" w:rsidRPr="00331F70">
        <w:rPr>
          <w:sz w:val="26"/>
          <w:szCs w:val="26"/>
        </w:rPr>
        <w:t>and</w:t>
      </w:r>
      <w:r w:rsidR="000E79EF" w:rsidRPr="00331F70">
        <w:rPr>
          <w:sz w:val="26"/>
          <w:szCs w:val="26"/>
        </w:rPr>
        <w:t xml:space="preserve"> </w:t>
      </w:r>
      <w:r w:rsidR="00010DD3" w:rsidRPr="00331F70">
        <w:rPr>
          <w:sz w:val="26"/>
          <w:szCs w:val="26"/>
        </w:rPr>
        <w:t>in</w:t>
      </w:r>
      <w:r w:rsidR="000E79EF" w:rsidRPr="00331F70">
        <w:rPr>
          <w:sz w:val="26"/>
          <w:szCs w:val="26"/>
        </w:rPr>
        <w:t xml:space="preserve">accurate information to the CPUC and the </w:t>
      </w:r>
      <w:r w:rsidR="00AA7B23" w:rsidRPr="00331F70">
        <w:rPr>
          <w:sz w:val="26"/>
          <w:szCs w:val="26"/>
        </w:rPr>
        <w:t>reviewing engineer</w:t>
      </w:r>
      <w:r w:rsidR="00AA7B23" w:rsidRPr="00331F70" w:rsidDel="00AA7B23">
        <w:rPr>
          <w:sz w:val="26"/>
          <w:szCs w:val="26"/>
        </w:rPr>
        <w:t xml:space="preserve"> </w:t>
      </w:r>
      <w:r w:rsidR="002D6408">
        <w:rPr>
          <w:sz w:val="26"/>
          <w:szCs w:val="26"/>
        </w:rPr>
        <w:t xml:space="preserve">during the engineering audit </w:t>
      </w:r>
      <w:r w:rsidR="003710BE">
        <w:rPr>
          <w:sz w:val="26"/>
          <w:szCs w:val="26"/>
        </w:rPr>
        <w:t>are beyond the scope of this inquiry</w:t>
      </w:r>
      <w:r w:rsidR="000E79EF" w:rsidRPr="00331F70">
        <w:rPr>
          <w:sz w:val="26"/>
          <w:szCs w:val="26"/>
        </w:rPr>
        <w:t>.</w:t>
      </w:r>
      <w:r w:rsidR="009331A8">
        <w:rPr>
          <w:sz w:val="26"/>
          <w:szCs w:val="26"/>
        </w:rPr>
        <w:t xml:space="preserve">  </w:t>
      </w:r>
      <w:r w:rsidR="002D6408">
        <w:rPr>
          <w:sz w:val="26"/>
          <w:szCs w:val="26"/>
        </w:rPr>
        <w:t>While</w:t>
      </w:r>
      <w:r w:rsidR="0048576E" w:rsidRPr="00331F70">
        <w:rPr>
          <w:sz w:val="26"/>
          <w:szCs w:val="26"/>
        </w:rPr>
        <w:t xml:space="preserve"> the CPUC </w:t>
      </w:r>
      <w:r w:rsidR="002D6408">
        <w:rPr>
          <w:sz w:val="26"/>
          <w:szCs w:val="26"/>
        </w:rPr>
        <w:t xml:space="preserve">generally </w:t>
      </w:r>
      <w:r w:rsidR="0048576E" w:rsidRPr="00331F70">
        <w:rPr>
          <w:sz w:val="26"/>
          <w:szCs w:val="26"/>
        </w:rPr>
        <w:t>assert</w:t>
      </w:r>
      <w:r w:rsidR="002D6408">
        <w:rPr>
          <w:sz w:val="26"/>
          <w:szCs w:val="26"/>
        </w:rPr>
        <w:t>s</w:t>
      </w:r>
      <w:r w:rsidR="0048576E" w:rsidRPr="00331F70">
        <w:rPr>
          <w:sz w:val="26"/>
          <w:szCs w:val="26"/>
        </w:rPr>
        <w:t xml:space="preserve"> that SDG&amp;E’s information regarding capital additions cannot be relied upon and should be set for hearing, </w:t>
      </w:r>
      <w:r w:rsidR="002D6408">
        <w:rPr>
          <w:sz w:val="26"/>
          <w:szCs w:val="26"/>
        </w:rPr>
        <w:t>it has</w:t>
      </w:r>
      <w:r w:rsidR="0048576E" w:rsidRPr="00331F70">
        <w:rPr>
          <w:sz w:val="26"/>
          <w:szCs w:val="26"/>
        </w:rPr>
        <w:t xml:space="preserve"> presented </w:t>
      </w:r>
      <w:r w:rsidR="002D6408">
        <w:rPr>
          <w:sz w:val="26"/>
          <w:szCs w:val="26"/>
        </w:rPr>
        <w:t xml:space="preserve">the Commission </w:t>
      </w:r>
      <w:r w:rsidR="0048576E" w:rsidRPr="00331F70">
        <w:rPr>
          <w:sz w:val="26"/>
          <w:szCs w:val="26"/>
        </w:rPr>
        <w:t xml:space="preserve">with </w:t>
      </w:r>
      <w:r w:rsidR="002D6408">
        <w:rPr>
          <w:sz w:val="26"/>
          <w:szCs w:val="26"/>
        </w:rPr>
        <w:t>no</w:t>
      </w:r>
      <w:r w:rsidR="002D6408" w:rsidRPr="00331F70">
        <w:rPr>
          <w:sz w:val="26"/>
          <w:szCs w:val="26"/>
        </w:rPr>
        <w:t xml:space="preserve"> </w:t>
      </w:r>
      <w:r w:rsidR="0048576E" w:rsidRPr="00331F70">
        <w:rPr>
          <w:sz w:val="26"/>
          <w:szCs w:val="26"/>
        </w:rPr>
        <w:t xml:space="preserve">evidence of any misrepresentation </w:t>
      </w:r>
      <w:r w:rsidR="002D6408">
        <w:rPr>
          <w:sz w:val="26"/>
          <w:szCs w:val="26"/>
        </w:rPr>
        <w:t>or error in the filing before the Commission</w:t>
      </w:r>
      <w:r w:rsidR="0048576E" w:rsidRPr="00331F70">
        <w:rPr>
          <w:sz w:val="26"/>
          <w:szCs w:val="26"/>
        </w:rPr>
        <w:t>.</w:t>
      </w:r>
      <w:r w:rsidR="009331A8">
        <w:rPr>
          <w:sz w:val="26"/>
          <w:szCs w:val="26"/>
        </w:rPr>
        <w:t xml:space="preserve">  </w:t>
      </w:r>
      <w:r w:rsidR="002450BA">
        <w:rPr>
          <w:sz w:val="26"/>
          <w:szCs w:val="26"/>
        </w:rPr>
        <w:t>We note that, a</w:t>
      </w:r>
      <w:r w:rsidR="009331A8">
        <w:rPr>
          <w:sz w:val="26"/>
          <w:szCs w:val="26"/>
        </w:rPr>
        <w:t>s SDG&amp;E explains, the CPUC was privy to the pre-filing procedures, and had an opportunity to review the approximately 155 data responses on the draft TO4 Cycle 3 Filing produced in the pre-filing phase of this proceeding.</w:t>
      </w:r>
      <w:r w:rsidR="00DB1146" w:rsidRPr="00DB1146">
        <w:rPr>
          <w:rStyle w:val="FootnoteReference"/>
          <w:b/>
          <w:sz w:val="26"/>
          <w:szCs w:val="26"/>
        </w:rPr>
        <w:footnoteReference w:id="39"/>
      </w:r>
      <w:r w:rsidR="009331A8">
        <w:rPr>
          <w:sz w:val="26"/>
          <w:szCs w:val="26"/>
        </w:rPr>
        <w:t xml:space="preserve">  </w:t>
      </w:r>
      <w:r w:rsidR="00B80F3A" w:rsidRPr="008A3107">
        <w:rPr>
          <w:sz w:val="26"/>
          <w:szCs w:val="26"/>
        </w:rPr>
        <w:t xml:space="preserve">Finally, as SDG&amp;E notes in its answer, the CPUC </w:t>
      </w:r>
      <w:r w:rsidR="00C923FA" w:rsidRPr="00353FCE">
        <w:rPr>
          <w:sz w:val="26"/>
          <w:szCs w:val="26"/>
        </w:rPr>
        <w:t>makes no argument</w:t>
      </w:r>
      <w:r w:rsidR="00B80F3A" w:rsidRPr="00353FCE">
        <w:rPr>
          <w:sz w:val="26"/>
          <w:szCs w:val="26"/>
        </w:rPr>
        <w:t xml:space="preserve"> that SDG&amp;E’s costs </w:t>
      </w:r>
      <w:r w:rsidR="00E22C62" w:rsidRPr="008E0D40">
        <w:rPr>
          <w:sz w:val="26"/>
          <w:szCs w:val="26"/>
        </w:rPr>
        <w:t xml:space="preserve">set forth in the </w:t>
      </w:r>
      <w:proofErr w:type="gramStart"/>
      <w:r w:rsidR="00E22C62" w:rsidRPr="008E0D40">
        <w:rPr>
          <w:sz w:val="26"/>
          <w:szCs w:val="26"/>
        </w:rPr>
        <w:t xml:space="preserve">TO4 </w:t>
      </w:r>
      <w:r w:rsidR="00D214FF">
        <w:rPr>
          <w:sz w:val="26"/>
          <w:szCs w:val="26"/>
        </w:rPr>
        <w:t xml:space="preserve"> </w:t>
      </w:r>
      <w:r w:rsidR="000B7F50">
        <w:rPr>
          <w:sz w:val="26"/>
          <w:szCs w:val="26"/>
        </w:rPr>
        <w:t>Cycle</w:t>
      </w:r>
      <w:proofErr w:type="gramEnd"/>
      <w:r w:rsidR="000B7F50">
        <w:rPr>
          <w:sz w:val="26"/>
          <w:szCs w:val="26"/>
        </w:rPr>
        <w:t xml:space="preserve"> 3 </w:t>
      </w:r>
      <w:r w:rsidR="00E22C62" w:rsidRPr="008E0D40">
        <w:rPr>
          <w:sz w:val="26"/>
          <w:szCs w:val="26"/>
        </w:rPr>
        <w:t>Filing</w:t>
      </w:r>
      <w:r w:rsidR="00B80F3A" w:rsidRPr="007C3271">
        <w:rPr>
          <w:sz w:val="26"/>
          <w:szCs w:val="26"/>
        </w:rPr>
        <w:t xml:space="preserve"> were imprudently incurred.</w:t>
      </w:r>
      <w:r w:rsidR="00C923FA" w:rsidRPr="007C3271">
        <w:rPr>
          <w:rStyle w:val="FootnoteReference"/>
          <w:b/>
          <w:sz w:val="26"/>
          <w:szCs w:val="26"/>
        </w:rPr>
        <w:footnoteReference w:id="40"/>
      </w:r>
    </w:p>
    <w:p w14:paraId="65B702EE" w14:textId="77777777" w:rsidR="0052119D" w:rsidRPr="005256DF" w:rsidRDefault="0052119D" w:rsidP="003F70BF">
      <w:pPr>
        <w:pStyle w:val="ListParagraph"/>
        <w:autoSpaceDE w:val="0"/>
        <w:autoSpaceDN w:val="0"/>
        <w:adjustRightInd w:val="0"/>
        <w:ind w:left="0"/>
        <w:rPr>
          <w:sz w:val="26"/>
          <w:szCs w:val="26"/>
        </w:rPr>
      </w:pPr>
    </w:p>
    <w:p w14:paraId="65B702EF" w14:textId="77777777" w:rsidR="00DC0A19" w:rsidRPr="00331F70" w:rsidRDefault="00DC0A19">
      <w:pPr>
        <w:pStyle w:val="ListParagraph"/>
        <w:numPr>
          <w:ilvl w:val="0"/>
          <w:numId w:val="3"/>
        </w:numPr>
        <w:autoSpaceDE w:val="0"/>
        <w:autoSpaceDN w:val="0"/>
        <w:adjustRightInd w:val="0"/>
        <w:ind w:left="0"/>
      </w:pPr>
      <w:r w:rsidRPr="002B443E">
        <w:rPr>
          <w:sz w:val="26"/>
          <w:szCs w:val="26"/>
        </w:rPr>
        <w:t>In response to the CPUC’s assertion that SDG&amp;E ha</w:t>
      </w:r>
      <w:r w:rsidR="004B1D3A" w:rsidRPr="00331F70">
        <w:rPr>
          <w:sz w:val="26"/>
          <w:szCs w:val="26"/>
        </w:rPr>
        <w:t>d</w:t>
      </w:r>
      <w:r w:rsidRPr="00331F70">
        <w:rPr>
          <w:sz w:val="26"/>
          <w:szCs w:val="26"/>
        </w:rPr>
        <w:t xml:space="preserve"> commenced design or construction of certain projects that should have been deferred or cancelled, while omitting those same projects from the current filing,</w:t>
      </w:r>
      <w:r w:rsidR="00ED25A2">
        <w:rPr>
          <w:sz w:val="26"/>
          <w:szCs w:val="26"/>
        </w:rPr>
        <w:t xml:space="preserve"> as well as </w:t>
      </w:r>
      <w:r w:rsidR="00ED25A2" w:rsidRPr="001A35F0">
        <w:rPr>
          <w:sz w:val="26"/>
          <w:szCs w:val="26"/>
        </w:rPr>
        <w:t>the CPUC’s protest regarding the prudence of the San Luis Rey and San Onofre Synchronous Condenser Units</w:t>
      </w:r>
      <w:r w:rsidR="00ED25A2">
        <w:rPr>
          <w:sz w:val="26"/>
          <w:szCs w:val="26"/>
        </w:rPr>
        <w:t xml:space="preserve">, we find that </w:t>
      </w:r>
      <w:r w:rsidR="00155D68">
        <w:rPr>
          <w:sz w:val="26"/>
          <w:szCs w:val="26"/>
        </w:rPr>
        <w:t>these</w:t>
      </w:r>
      <w:r w:rsidR="00ED25A2">
        <w:rPr>
          <w:sz w:val="26"/>
          <w:szCs w:val="26"/>
        </w:rPr>
        <w:t xml:space="preserve"> arguments are </w:t>
      </w:r>
      <w:r w:rsidR="00ED25A2" w:rsidRPr="001A35F0">
        <w:rPr>
          <w:sz w:val="26"/>
          <w:szCs w:val="26"/>
        </w:rPr>
        <w:t xml:space="preserve">outside of the scope of this proceeding. </w:t>
      </w:r>
      <w:r w:rsidR="002450BA">
        <w:rPr>
          <w:sz w:val="26"/>
          <w:szCs w:val="26"/>
        </w:rPr>
        <w:t xml:space="preserve"> </w:t>
      </w:r>
      <w:r w:rsidR="004246D5" w:rsidRPr="001A35F0">
        <w:rPr>
          <w:sz w:val="26"/>
          <w:szCs w:val="26"/>
        </w:rPr>
        <w:t>SDG&amp;E has not</w:t>
      </w:r>
      <w:r w:rsidR="009A140A" w:rsidRPr="001A35F0">
        <w:rPr>
          <w:sz w:val="26"/>
          <w:szCs w:val="26"/>
        </w:rPr>
        <w:t xml:space="preserve"> included </w:t>
      </w:r>
      <w:r w:rsidR="004246D5" w:rsidRPr="001A35F0">
        <w:rPr>
          <w:sz w:val="26"/>
          <w:szCs w:val="26"/>
        </w:rPr>
        <w:t>these projects in its</w:t>
      </w:r>
      <w:r w:rsidR="0088390B" w:rsidRPr="001A35F0">
        <w:rPr>
          <w:sz w:val="26"/>
          <w:szCs w:val="26"/>
        </w:rPr>
        <w:t xml:space="preserve"> forecasted capital additions for</w:t>
      </w:r>
      <w:r w:rsidR="004246D5" w:rsidRPr="001A35F0">
        <w:rPr>
          <w:sz w:val="26"/>
          <w:szCs w:val="26"/>
        </w:rPr>
        <w:t xml:space="preserve"> purposes of recovering costs in</w:t>
      </w:r>
      <w:r w:rsidR="0088390B" w:rsidRPr="001A35F0">
        <w:rPr>
          <w:sz w:val="26"/>
          <w:szCs w:val="26"/>
        </w:rPr>
        <w:t xml:space="preserve"> the </w:t>
      </w:r>
      <w:r w:rsidR="009A0FF7" w:rsidRPr="001A35F0">
        <w:rPr>
          <w:sz w:val="26"/>
          <w:szCs w:val="26"/>
        </w:rPr>
        <w:t>current R</w:t>
      </w:r>
      <w:r w:rsidR="0088390B" w:rsidRPr="001A35F0">
        <w:rPr>
          <w:sz w:val="26"/>
          <w:szCs w:val="26"/>
        </w:rPr>
        <w:t xml:space="preserve">ate </w:t>
      </w:r>
      <w:r w:rsidR="009A0FF7" w:rsidRPr="001A35F0">
        <w:rPr>
          <w:sz w:val="26"/>
          <w:szCs w:val="26"/>
        </w:rPr>
        <w:t>E</w:t>
      </w:r>
      <w:r w:rsidR="0088390B" w:rsidRPr="001A35F0">
        <w:rPr>
          <w:sz w:val="26"/>
          <w:szCs w:val="26"/>
        </w:rPr>
        <w:t xml:space="preserve">ffective </w:t>
      </w:r>
      <w:r w:rsidR="009A0FF7" w:rsidRPr="001A35F0">
        <w:rPr>
          <w:sz w:val="26"/>
          <w:szCs w:val="26"/>
        </w:rPr>
        <w:t>P</w:t>
      </w:r>
      <w:r w:rsidR="0088390B" w:rsidRPr="001A35F0">
        <w:rPr>
          <w:sz w:val="26"/>
          <w:szCs w:val="26"/>
        </w:rPr>
        <w:t>eriod</w:t>
      </w:r>
      <w:r w:rsidR="004246D5" w:rsidRPr="001A35F0">
        <w:rPr>
          <w:sz w:val="26"/>
          <w:szCs w:val="26"/>
        </w:rPr>
        <w:t>; therefore</w:t>
      </w:r>
      <w:r w:rsidR="00AE78BB" w:rsidRPr="001A35F0">
        <w:rPr>
          <w:sz w:val="26"/>
          <w:szCs w:val="26"/>
        </w:rPr>
        <w:t>,</w:t>
      </w:r>
      <w:r w:rsidR="004246D5" w:rsidRPr="001A35F0">
        <w:rPr>
          <w:sz w:val="26"/>
          <w:szCs w:val="26"/>
        </w:rPr>
        <w:t xml:space="preserve"> these projects are</w:t>
      </w:r>
      <w:r w:rsidR="0088390B" w:rsidRPr="001A35F0">
        <w:rPr>
          <w:sz w:val="26"/>
          <w:szCs w:val="26"/>
        </w:rPr>
        <w:t xml:space="preserve"> immaterial to this proceeding.</w:t>
      </w:r>
      <w:r w:rsidR="00A71703" w:rsidRPr="001A35F0">
        <w:rPr>
          <w:sz w:val="26"/>
          <w:szCs w:val="26"/>
        </w:rPr>
        <w:t xml:space="preserve"> </w:t>
      </w:r>
      <w:r w:rsidR="002D4F90" w:rsidRPr="001A35F0">
        <w:rPr>
          <w:sz w:val="26"/>
          <w:szCs w:val="26"/>
        </w:rPr>
        <w:t xml:space="preserve"> </w:t>
      </w:r>
      <w:r w:rsidR="009A0FF7" w:rsidRPr="001A35F0">
        <w:rPr>
          <w:sz w:val="26"/>
          <w:szCs w:val="26"/>
        </w:rPr>
        <w:t>If and when expenditures</w:t>
      </w:r>
      <w:r w:rsidR="004B1264" w:rsidRPr="001A35F0">
        <w:rPr>
          <w:sz w:val="26"/>
          <w:szCs w:val="26"/>
        </w:rPr>
        <w:t xml:space="preserve"> related to these projects</w:t>
      </w:r>
      <w:r w:rsidR="009A0FF7" w:rsidRPr="001A35F0">
        <w:rPr>
          <w:sz w:val="26"/>
          <w:szCs w:val="26"/>
        </w:rPr>
        <w:t xml:space="preserve"> are included in an SDG&amp;E rate filin</w:t>
      </w:r>
      <w:r w:rsidR="004B1264" w:rsidRPr="001A35F0">
        <w:rPr>
          <w:sz w:val="26"/>
          <w:szCs w:val="26"/>
        </w:rPr>
        <w:t>g with the Commission, the CPUC may submit a protest or comments on such expenditures at that time.</w:t>
      </w:r>
      <w:r w:rsidR="00ED25A2">
        <w:rPr>
          <w:sz w:val="26"/>
          <w:szCs w:val="26"/>
        </w:rPr>
        <w:t xml:space="preserve">  W</w:t>
      </w:r>
      <w:r w:rsidR="00ED25A2" w:rsidRPr="00A364AE">
        <w:rPr>
          <w:sz w:val="26"/>
          <w:szCs w:val="26"/>
        </w:rPr>
        <w:t xml:space="preserve">e </w:t>
      </w:r>
      <w:r w:rsidR="00ED25A2">
        <w:rPr>
          <w:sz w:val="26"/>
          <w:szCs w:val="26"/>
        </w:rPr>
        <w:t xml:space="preserve">also </w:t>
      </w:r>
      <w:r w:rsidR="00ED25A2" w:rsidRPr="00A364AE">
        <w:rPr>
          <w:sz w:val="26"/>
          <w:szCs w:val="26"/>
        </w:rPr>
        <w:t xml:space="preserve">encourage the CPUC to address concerns </w:t>
      </w:r>
      <w:r w:rsidR="00ED25A2" w:rsidRPr="008A3107">
        <w:rPr>
          <w:sz w:val="26"/>
          <w:szCs w:val="26"/>
        </w:rPr>
        <w:t>regarding whether certain of</w:t>
      </w:r>
      <w:r w:rsidR="00ED25A2" w:rsidRPr="00353FCE">
        <w:rPr>
          <w:sz w:val="26"/>
          <w:szCs w:val="26"/>
        </w:rPr>
        <w:t xml:space="preserve"> SDG&amp;E</w:t>
      </w:r>
      <w:r w:rsidR="00ED25A2" w:rsidRPr="008E0D40">
        <w:rPr>
          <w:sz w:val="26"/>
          <w:szCs w:val="26"/>
        </w:rPr>
        <w:t>’s</w:t>
      </w:r>
      <w:r w:rsidR="00ED25A2" w:rsidRPr="00073CFE">
        <w:rPr>
          <w:sz w:val="26"/>
          <w:szCs w:val="26"/>
        </w:rPr>
        <w:t xml:space="preserve"> projects should </w:t>
      </w:r>
      <w:r w:rsidR="00ED25A2">
        <w:rPr>
          <w:sz w:val="26"/>
          <w:szCs w:val="26"/>
        </w:rPr>
        <w:t xml:space="preserve">be </w:t>
      </w:r>
      <w:r w:rsidR="00ED25A2" w:rsidRPr="00073CFE">
        <w:rPr>
          <w:sz w:val="26"/>
          <w:szCs w:val="26"/>
        </w:rPr>
        <w:t xml:space="preserve">selected in CAISO’s transmission </w:t>
      </w:r>
      <w:r w:rsidR="00ED25A2" w:rsidRPr="007C3271">
        <w:rPr>
          <w:sz w:val="26"/>
          <w:szCs w:val="26"/>
        </w:rPr>
        <w:t xml:space="preserve">plan </w:t>
      </w:r>
      <w:r w:rsidR="00ED25A2" w:rsidRPr="005256DF">
        <w:rPr>
          <w:sz w:val="26"/>
          <w:szCs w:val="26"/>
        </w:rPr>
        <w:t>in</w:t>
      </w:r>
      <w:r w:rsidR="00ED25A2" w:rsidRPr="002B443E">
        <w:rPr>
          <w:sz w:val="26"/>
          <w:szCs w:val="26"/>
        </w:rPr>
        <w:t xml:space="preserve"> the relevant</w:t>
      </w:r>
      <w:r w:rsidR="00ED25A2" w:rsidRPr="00331F70">
        <w:rPr>
          <w:sz w:val="26"/>
          <w:szCs w:val="26"/>
        </w:rPr>
        <w:t xml:space="preserve"> CAISO transmission planning process cycle.</w:t>
      </w:r>
      <w:r w:rsidR="00ED25A2" w:rsidRPr="007C3271">
        <w:rPr>
          <w:rStyle w:val="FootnoteReference"/>
          <w:rFonts w:hAnsi="Arial Unicode MS" w:cs="Arial Unicode MS"/>
          <w:b/>
        </w:rPr>
        <w:footnoteReference w:id="41"/>
      </w:r>
    </w:p>
    <w:p w14:paraId="65B702F0" w14:textId="77777777" w:rsidR="00B41FC8" w:rsidRPr="00331F70" w:rsidRDefault="00B41FC8">
      <w:pPr>
        <w:rPr>
          <w:rFonts w:hAnsi="Arial Unicode MS" w:cs="Arial Unicode MS"/>
          <w:color w:val="000000"/>
          <w:sz w:val="26"/>
          <w:szCs w:val="26"/>
          <w:u w:val="single" w:color="000000"/>
        </w:rPr>
      </w:pPr>
    </w:p>
    <w:p w14:paraId="65B702F1" w14:textId="77777777" w:rsidR="003E6A42" w:rsidRDefault="003E6A42">
      <w:pPr>
        <w:pStyle w:val="Body"/>
        <w:outlineLvl w:val="0"/>
        <w:rPr>
          <w:u w:val="single"/>
        </w:rPr>
      </w:pPr>
    </w:p>
    <w:p w14:paraId="65B702F2" w14:textId="77777777" w:rsidR="004D1844" w:rsidRPr="00331F70" w:rsidRDefault="004A4880">
      <w:pPr>
        <w:pStyle w:val="Body"/>
        <w:outlineLvl w:val="0"/>
      </w:pPr>
      <w:r w:rsidRPr="00331F70">
        <w:rPr>
          <w:u w:val="single"/>
        </w:rPr>
        <w:lastRenderedPageBreak/>
        <w:t>The Commission orders</w:t>
      </w:r>
      <w:r w:rsidRPr="00331F70">
        <w:t>:</w:t>
      </w:r>
    </w:p>
    <w:p w14:paraId="65B702F3" w14:textId="77777777" w:rsidR="004D1844" w:rsidRPr="00331F70" w:rsidRDefault="004D1844">
      <w:pPr>
        <w:pStyle w:val="Body"/>
        <w:outlineLvl w:val="0"/>
      </w:pPr>
    </w:p>
    <w:p w14:paraId="65B702F4" w14:textId="77777777" w:rsidR="004D1844" w:rsidRPr="00331F70" w:rsidRDefault="004A4880">
      <w:pPr>
        <w:pStyle w:val="Body"/>
        <w:ind w:firstLine="720"/>
        <w:outlineLvl w:val="0"/>
      </w:pPr>
      <w:r w:rsidRPr="00331F70">
        <w:t>SDG&amp;E</w:t>
      </w:r>
      <w:r w:rsidRPr="00331F70">
        <w:rPr>
          <w:rFonts w:hAnsi="Times New Roman"/>
          <w:lang w:val="fr-FR"/>
        </w:rPr>
        <w:t>’</w:t>
      </w:r>
      <w:r w:rsidR="006D6503" w:rsidRPr="00331F70">
        <w:t>s TO 4 Cycle 3</w:t>
      </w:r>
      <w:r w:rsidRPr="00331F70">
        <w:t xml:space="preserve"> </w:t>
      </w:r>
      <w:r w:rsidR="003B63A0">
        <w:t>F</w:t>
      </w:r>
      <w:r w:rsidRPr="00331F70">
        <w:t>iling is hereby accepted for filing</w:t>
      </w:r>
      <w:r w:rsidR="00C7286E" w:rsidRPr="00331F70">
        <w:t>,</w:t>
      </w:r>
      <w:r w:rsidRPr="00331F70">
        <w:t xml:space="preserve"> to become effective January 1, 201</w:t>
      </w:r>
      <w:r w:rsidR="006D6503" w:rsidRPr="00331F70">
        <w:t>6</w:t>
      </w:r>
      <w:r w:rsidRPr="00331F70">
        <w:t>, as requested.</w:t>
      </w:r>
    </w:p>
    <w:p w14:paraId="65B702F5" w14:textId="77777777" w:rsidR="004D1844" w:rsidRPr="00331F70" w:rsidRDefault="004D1844">
      <w:pPr>
        <w:pStyle w:val="Body"/>
        <w:ind w:firstLine="720"/>
        <w:outlineLvl w:val="0"/>
      </w:pPr>
    </w:p>
    <w:p w14:paraId="65B702F6" w14:textId="77777777" w:rsidR="004D1844" w:rsidRPr="00331F70" w:rsidRDefault="004A4880">
      <w:pPr>
        <w:pStyle w:val="Body"/>
      </w:pPr>
      <w:proofErr w:type="gramStart"/>
      <w:r w:rsidRPr="00331F70">
        <w:t>By the Commission.</w:t>
      </w:r>
      <w:proofErr w:type="gramEnd"/>
    </w:p>
    <w:p w14:paraId="65B702F7" w14:textId="77777777" w:rsidR="00C41C75" w:rsidRPr="00331F70" w:rsidRDefault="00C41C75">
      <w:pPr>
        <w:pStyle w:val="Body"/>
      </w:pPr>
    </w:p>
    <w:p w14:paraId="65B702F8" w14:textId="77777777" w:rsidR="00C41C75" w:rsidRPr="00331F70" w:rsidRDefault="00C41C75" w:rsidP="00C41C75">
      <w:pPr>
        <w:pStyle w:val="Body"/>
        <w:widowControl/>
        <w:rPr>
          <w:rFonts w:hAnsi="Times New Roman" w:cs="Times New Roman"/>
        </w:rPr>
      </w:pPr>
      <w:proofErr w:type="gramStart"/>
      <w:r w:rsidRPr="00331F70">
        <w:rPr>
          <w:rFonts w:hAnsi="Times New Roman" w:cs="Times New Roman"/>
        </w:rPr>
        <w:t>( S</w:t>
      </w:r>
      <w:proofErr w:type="gramEnd"/>
      <w:r w:rsidRPr="00331F70">
        <w:rPr>
          <w:rFonts w:hAnsi="Times New Roman" w:cs="Times New Roman"/>
        </w:rPr>
        <w:t xml:space="preserve"> E A L )</w:t>
      </w:r>
    </w:p>
    <w:p w14:paraId="65B702F9" w14:textId="77777777" w:rsidR="00C41C75" w:rsidRPr="00331F70" w:rsidRDefault="00C41C75" w:rsidP="00C41C75">
      <w:pPr>
        <w:pStyle w:val="Body"/>
        <w:widowControl/>
        <w:rPr>
          <w:rFonts w:hAnsi="Times New Roman" w:cs="Times New Roman"/>
        </w:rPr>
      </w:pPr>
    </w:p>
    <w:p w14:paraId="65B702FA" w14:textId="77777777" w:rsidR="004D1844" w:rsidRPr="00331F70" w:rsidRDefault="004D1844" w:rsidP="00C41C75">
      <w:pPr>
        <w:pStyle w:val="Body"/>
        <w:widowControl/>
      </w:pPr>
    </w:p>
    <w:p w14:paraId="65B702FB" w14:textId="77777777" w:rsidR="00C41C75" w:rsidRPr="00331F70" w:rsidRDefault="00C41C75" w:rsidP="00C41C75">
      <w:pPr>
        <w:pStyle w:val="Body"/>
        <w:widowControl/>
      </w:pPr>
    </w:p>
    <w:p w14:paraId="65B702FC" w14:textId="77777777" w:rsidR="00C41C75" w:rsidRPr="00331F70" w:rsidRDefault="00C41C75" w:rsidP="00C41C75">
      <w:pPr>
        <w:pStyle w:val="Body"/>
        <w:widowControl/>
      </w:pPr>
    </w:p>
    <w:p w14:paraId="65B702FD" w14:textId="77777777" w:rsidR="00C41C75" w:rsidRPr="00331F70" w:rsidRDefault="00C41C75" w:rsidP="00C41C75">
      <w:pPr>
        <w:ind w:firstLine="2606"/>
        <w:jc w:val="center"/>
        <w:rPr>
          <w:sz w:val="26"/>
        </w:rPr>
      </w:pPr>
      <w:r w:rsidRPr="00331F70">
        <w:rPr>
          <w:sz w:val="26"/>
        </w:rPr>
        <w:t>Nathaniel J. Davis, Sr.,</w:t>
      </w:r>
    </w:p>
    <w:p w14:paraId="65B702FE" w14:textId="77777777" w:rsidR="00C41C75" w:rsidRPr="00C41C75" w:rsidRDefault="00C41C75" w:rsidP="00C41C75">
      <w:pPr>
        <w:ind w:firstLine="2606"/>
        <w:jc w:val="center"/>
      </w:pPr>
      <w:r w:rsidRPr="00331F70">
        <w:rPr>
          <w:sz w:val="26"/>
        </w:rPr>
        <w:t>Deputy Secretary.</w:t>
      </w:r>
    </w:p>
    <w:p w14:paraId="65B702FF" w14:textId="77777777" w:rsidR="00C41C75" w:rsidRDefault="00C41C75" w:rsidP="00C41C75">
      <w:pPr>
        <w:pStyle w:val="Body"/>
        <w:widowControl/>
      </w:pPr>
    </w:p>
    <w:p w14:paraId="65B70300" w14:textId="77777777" w:rsidR="004D1844" w:rsidRDefault="004A4880" w:rsidP="002F4528">
      <w:pPr>
        <w:pStyle w:val="Body"/>
        <w:outlineLvl w:val="0"/>
      </w:pPr>
      <w:r>
        <w:tab/>
      </w:r>
      <w:r>
        <w:tab/>
      </w:r>
      <w:r>
        <w:tab/>
      </w:r>
      <w:r>
        <w:tab/>
      </w:r>
      <w:r>
        <w:tab/>
      </w:r>
      <w:r>
        <w:tab/>
      </w:r>
      <w:r>
        <w:tab/>
      </w:r>
    </w:p>
    <w:sectPr w:rsidR="004D1844" w:rsidSect="003E6A42">
      <w:headerReference w:type="default" r:id="rId12"/>
      <w:pgSz w:w="12240" w:h="15840"/>
      <w:pgMar w:top="1440" w:right="1440" w:bottom="990" w:left="1440" w:header="720" w:footer="144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BF4D7B" w14:textId="77777777" w:rsidR="00CF4066" w:rsidRDefault="00CF4066">
      <w:r>
        <w:separator/>
      </w:r>
    </w:p>
  </w:endnote>
  <w:endnote w:type="continuationSeparator" w:id="0">
    <w:p w14:paraId="446E1584" w14:textId="77777777" w:rsidR="00CF4066" w:rsidRDefault="00CF4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Bold">
    <w:panose1 w:val="02020803070505020304"/>
    <w:charset w:val="00"/>
    <w:family w:val="auto"/>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ymbolMT">
    <w:altName w:val="Arial Unicode MS"/>
    <w:panose1 w:val="00000000000000000000"/>
    <w:charset w:val="88"/>
    <w:family w:val="auto"/>
    <w:notTrueType/>
    <w:pitch w:val="default"/>
    <w:sig w:usb0="00000000" w:usb1="08080000" w:usb2="00000010" w:usb3="00000000" w:csb0="00100000" w:csb1="00000000"/>
  </w:font>
  <w:font w:name="Arial Bold">
    <w:panose1 w:val="020B0704020202020204"/>
    <w:charset w:val="00"/>
    <w:family w:val="auto"/>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0A7A16" w14:textId="77777777" w:rsidR="00CF4066" w:rsidRDefault="00CF4066">
      <w:r>
        <w:separator/>
      </w:r>
    </w:p>
  </w:footnote>
  <w:footnote w:type="continuationSeparator" w:id="0">
    <w:p w14:paraId="050427D1" w14:textId="77777777" w:rsidR="00CF4066" w:rsidRDefault="00CF4066">
      <w:r>
        <w:continuationSeparator/>
      </w:r>
    </w:p>
  </w:footnote>
  <w:footnote w:type="continuationNotice" w:id="1">
    <w:p w14:paraId="1C6FED65" w14:textId="77777777" w:rsidR="00CF4066" w:rsidRDefault="00CF4066"/>
    <w:p w14:paraId="0CF2ED8A" w14:textId="77777777" w:rsidR="00CF4066" w:rsidRDefault="00CF4066" w:rsidP="00B41FC8">
      <w:pPr>
        <w:ind w:left="7200" w:firstLine="720"/>
      </w:pPr>
      <w:r>
        <w:t>(</w:t>
      </w:r>
      <w:proofErr w:type="gramStart"/>
      <w:r>
        <w:t>continued</w:t>
      </w:r>
      <w:proofErr w:type="gramEnd"/>
      <w:r>
        <w:t xml:space="preserve"> …)</w:t>
      </w:r>
    </w:p>
  </w:footnote>
  <w:footnote w:id="2">
    <w:p w14:paraId="65B70308" w14:textId="77777777" w:rsidR="00A14A79" w:rsidRPr="00331F70" w:rsidRDefault="00A14A79">
      <w:pPr>
        <w:pStyle w:val="FootnoteText"/>
      </w:pPr>
      <w:r w:rsidRPr="00331F70">
        <w:rPr>
          <w:rFonts w:ascii="Times New Roman Bold" w:eastAsia="Times New Roman Bold" w:hAnsi="Times New Roman Bold" w:cs="Times New Roman Bold"/>
          <w:vertAlign w:val="superscript"/>
        </w:rPr>
        <w:footnoteRef/>
      </w:r>
      <w:r w:rsidRPr="00331F70">
        <w:rPr>
          <w:rFonts w:eastAsia="Arial Unicode MS" w:hAnsi="Arial Unicode MS" w:cs="Arial Unicode MS"/>
        </w:rPr>
        <w:t xml:space="preserve"> The term </w:t>
      </w:r>
      <w:r w:rsidRPr="00331F70">
        <w:rPr>
          <w:rFonts w:ascii="Arial Unicode MS" w:eastAsia="Arial Unicode MS" w:cs="Arial Unicode MS"/>
        </w:rPr>
        <w:t>“</w:t>
      </w:r>
      <w:r w:rsidRPr="00331F70">
        <w:rPr>
          <w:rFonts w:eastAsia="Arial Unicode MS" w:hAnsi="Arial Unicode MS" w:cs="Arial Unicode MS"/>
        </w:rPr>
        <w:t>Cycle,</w:t>
      </w:r>
      <w:r w:rsidRPr="00331F70">
        <w:rPr>
          <w:rFonts w:ascii="Arial Unicode MS" w:eastAsia="Arial Unicode MS" w:cs="Arial Unicode MS"/>
        </w:rPr>
        <w:t>”</w:t>
      </w:r>
      <w:r w:rsidRPr="00331F70">
        <w:rPr>
          <w:rFonts w:ascii="Arial Unicode MS" w:eastAsia="Arial Unicode MS" w:cs="Arial Unicode MS"/>
        </w:rPr>
        <w:t xml:space="preserve"> </w:t>
      </w:r>
      <w:r w:rsidRPr="00331F70">
        <w:rPr>
          <w:rFonts w:eastAsia="Arial Unicode MS" w:hAnsi="Arial Unicode MS" w:cs="Arial Unicode MS"/>
        </w:rPr>
        <w:t>as used in SDG&amp;E</w:t>
      </w:r>
      <w:r w:rsidRPr="00331F70">
        <w:rPr>
          <w:rFonts w:ascii="Arial Unicode MS" w:eastAsia="Arial Unicode MS" w:cs="Arial Unicode MS"/>
        </w:rPr>
        <w:t>’</w:t>
      </w:r>
      <w:r w:rsidRPr="00331F70">
        <w:rPr>
          <w:rFonts w:eastAsia="Arial Unicode MS" w:hAnsi="Arial Unicode MS" w:cs="Arial Unicode MS"/>
        </w:rPr>
        <w:t>s informational filing and this order, refers to the number of annual filings made under the formula rate in effect.</w:t>
      </w:r>
      <w:r w:rsidR="00802C48">
        <w:rPr>
          <w:rFonts w:eastAsia="Arial Unicode MS" w:hAnsi="Arial Unicode MS" w:cs="Arial Unicode MS"/>
        </w:rPr>
        <w:t xml:space="preserve">  </w:t>
      </w:r>
      <w:r w:rsidR="00802C48" w:rsidRPr="00802C48">
        <w:rPr>
          <w:rFonts w:eastAsia="Arial Unicode MS" w:hAnsi="Arial Unicode MS" w:cs="Arial Unicode MS"/>
          <w:i/>
        </w:rPr>
        <w:t>See</w:t>
      </w:r>
      <w:r w:rsidR="00802C48">
        <w:rPr>
          <w:rFonts w:eastAsia="Arial Unicode MS" w:hAnsi="Arial Unicode MS" w:cs="Arial Unicode MS"/>
        </w:rPr>
        <w:t xml:space="preserve"> SDG&amp;E Transmittal at n.2.</w:t>
      </w:r>
    </w:p>
  </w:footnote>
  <w:footnote w:id="3">
    <w:p w14:paraId="65B70309" w14:textId="77777777" w:rsidR="00A14A79" w:rsidRPr="00331F70" w:rsidRDefault="00A14A79">
      <w:pPr>
        <w:pStyle w:val="FootnoteText"/>
      </w:pPr>
      <w:r w:rsidRPr="00331F70">
        <w:rPr>
          <w:rFonts w:ascii="Times New Roman Bold" w:eastAsia="Times New Roman Bold" w:hAnsi="Times New Roman Bold" w:cs="Times New Roman Bold"/>
          <w:vertAlign w:val="superscript"/>
        </w:rPr>
        <w:footnoteRef/>
      </w:r>
      <w:r w:rsidRPr="00331F70">
        <w:rPr>
          <w:rFonts w:eastAsia="Arial Unicode MS" w:hAnsi="Arial Unicode MS" w:cs="Arial Unicode MS"/>
        </w:rPr>
        <w:t xml:space="preserve"> SDG&amp;E, Offer of Settlement, Docket No. </w:t>
      </w:r>
      <w:proofErr w:type="gramStart"/>
      <w:r w:rsidRPr="00331F70">
        <w:rPr>
          <w:rFonts w:eastAsia="Arial Unicode MS" w:hAnsi="Arial Unicode MS" w:cs="Arial Unicode MS"/>
        </w:rPr>
        <w:t>ER13-941-000 (filed Feb. 4, 2014) (Settlement).</w:t>
      </w:r>
      <w:proofErr w:type="gramEnd"/>
    </w:p>
  </w:footnote>
  <w:footnote w:id="4">
    <w:p w14:paraId="65B7030A" w14:textId="77777777" w:rsidR="00A14A79" w:rsidRPr="00331F70" w:rsidRDefault="00A14A79">
      <w:pPr>
        <w:pStyle w:val="FootnoteText"/>
      </w:pPr>
      <w:r w:rsidRPr="00331F70">
        <w:rPr>
          <w:rFonts w:ascii="Times New Roman Bold" w:eastAsia="Times New Roman Bold" w:hAnsi="Times New Roman Bold" w:cs="Times New Roman Bold"/>
          <w:vertAlign w:val="superscript"/>
        </w:rPr>
        <w:footnoteRef/>
      </w:r>
      <w:r w:rsidRPr="00331F70">
        <w:rPr>
          <w:rFonts w:eastAsia="Arial Unicode MS" w:hAnsi="Arial Unicode MS" w:cs="Arial Unicode MS"/>
        </w:rPr>
        <w:t xml:space="preserve"> </w:t>
      </w:r>
      <w:proofErr w:type="gramStart"/>
      <w:r w:rsidRPr="00331F70">
        <w:rPr>
          <w:rFonts w:eastAsia="Arial Unicode MS" w:hAnsi="Arial Unicode MS" w:cs="Arial Unicode MS"/>
          <w:i/>
          <w:iCs/>
        </w:rPr>
        <w:t>San Diego Gas &amp; Elec. Co.</w:t>
      </w:r>
      <w:r w:rsidRPr="00331F70">
        <w:rPr>
          <w:rFonts w:eastAsia="Arial Unicode MS" w:hAnsi="Arial Unicode MS" w:cs="Arial Unicode MS"/>
        </w:rPr>
        <w:t xml:space="preserve">, 147 FERC </w:t>
      </w:r>
      <w:r w:rsidRPr="00331F70">
        <w:rPr>
          <w:rFonts w:ascii="Arial Unicode MS" w:eastAsia="Arial Unicode MS" w:cs="Arial Unicode MS"/>
        </w:rPr>
        <w:t>¶</w:t>
      </w:r>
      <w:r w:rsidRPr="00331F70">
        <w:rPr>
          <w:rFonts w:ascii="Arial Unicode MS" w:eastAsia="Arial Unicode MS" w:cs="Arial Unicode MS"/>
        </w:rPr>
        <w:t xml:space="preserve"> </w:t>
      </w:r>
      <w:r w:rsidRPr="00331F70">
        <w:rPr>
          <w:rFonts w:eastAsia="Arial Unicode MS" w:hAnsi="Arial Unicode MS" w:cs="Arial Unicode MS"/>
        </w:rPr>
        <w:t>61,150 (2014).</w:t>
      </w:r>
      <w:proofErr w:type="gramEnd"/>
      <w:r w:rsidRPr="00331F70">
        <w:rPr>
          <w:rFonts w:eastAsia="Arial Unicode MS" w:hAnsi="Arial Unicode MS" w:cs="Arial Unicode MS"/>
        </w:rPr>
        <w:t xml:space="preserve">  </w:t>
      </w:r>
    </w:p>
  </w:footnote>
  <w:footnote w:id="5">
    <w:p w14:paraId="65B7030B" w14:textId="77777777" w:rsidR="00A14A79" w:rsidRPr="00331F70" w:rsidRDefault="00A14A79">
      <w:pPr>
        <w:pStyle w:val="FootnoteText"/>
      </w:pPr>
      <w:r w:rsidRPr="00331F70">
        <w:rPr>
          <w:rFonts w:ascii="Times New Roman Bold" w:eastAsia="Times New Roman Bold" w:hAnsi="Times New Roman Bold" w:cs="Times New Roman Bold"/>
          <w:vertAlign w:val="superscript"/>
        </w:rPr>
        <w:footnoteRef/>
      </w:r>
      <w:r w:rsidRPr="00331F70">
        <w:rPr>
          <w:rFonts w:eastAsia="Arial Unicode MS" w:hAnsi="Arial Unicode MS" w:cs="Arial Unicode MS"/>
        </w:rPr>
        <w:t xml:space="preserve"> </w:t>
      </w:r>
      <w:proofErr w:type="gramStart"/>
      <w:r w:rsidRPr="00331F70">
        <w:rPr>
          <w:rFonts w:eastAsia="Arial Unicode MS" w:hAnsi="Arial Unicode MS" w:cs="Arial Unicode MS"/>
        </w:rPr>
        <w:t>Settlement at 5.</w:t>
      </w:r>
      <w:proofErr w:type="gramEnd"/>
      <w:r w:rsidRPr="00331F70">
        <w:rPr>
          <w:rFonts w:eastAsia="Arial Unicode MS" w:hAnsi="Arial Unicode MS" w:cs="Arial Unicode MS"/>
        </w:rPr>
        <w:t xml:space="preserve">  </w:t>
      </w:r>
    </w:p>
  </w:footnote>
  <w:footnote w:id="6">
    <w:p w14:paraId="65B7030C" w14:textId="77777777" w:rsidR="00A14A79" w:rsidRPr="00331F70" w:rsidRDefault="00A14A79" w:rsidP="004928C1">
      <w:pPr>
        <w:pStyle w:val="FootnoteText"/>
      </w:pPr>
      <w:r w:rsidRPr="00331F70">
        <w:rPr>
          <w:rFonts w:ascii="Times New Roman Bold" w:eastAsia="Times New Roman Bold" w:hAnsi="Times New Roman Bold" w:cs="Times New Roman Bold"/>
          <w:vertAlign w:val="superscript"/>
        </w:rPr>
        <w:footnoteRef/>
      </w:r>
      <w:r w:rsidRPr="00331F70">
        <w:rPr>
          <w:rFonts w:eastAsia="Arial Unicode MS" w:hAnsi="Arial Unicode MS" w:cs="Arial Unicode MS"/>
        </w:rPr>
        <w:t xml:space="preserve"> </w:t>
      </w:r>
      <w:proofErr w:type="gramStart"/>
      <w:r w:rsidRPr="00331F70">
        <w:rPr>
          <w:rFonts w:eastAsia="Arial Unicode MS" w:hAnsi="Arial Unicode MS" w:cs="Arial Unicode MS"/>
          <w:i/>
          <w:iCs/>
        </w:rPr>
        <w:t>Id.</w:t>
      </w:r>
      <w:r w:rsidRPr="00331F70">
        <w:rPr>
          <w:rFonts w:eastAsia="Arial Unicode MS" w:hAnsi="Arial Unicode MS" w:cs="Arial Unicode MS"/>
        </w:rPr>
        <w:t xml:space="preserve"> (citing SDG&amp;E OATT, Appendix VIII, Formula Rate Protocols</w:t>
      </w:r>
      <w:r w:rsidR="00802C48">
        <w:rPr>
          <w:rFonts w:eastAsia="Arial Unicode MS" w:hAnsi="Arial Unicode MS" w:cs="Arial Unicode MS"/>
        </w:rPr>
        <w:t>,</w:t>
      </w:r>
      <w:r w:rsidRPr="00331F70">
        <w:rPr>
          <w:rFonts w:eastAsia="Arial Unicode MS" w:hAnsi="Arial Unicode MS" w:cs="Arial Unicode MS"/>
        </w:rPr>
        <w:t xml:space="preserve"> Sections C.4.d and C.4.g).</w:t>
      </w:r>
      <w:proofErr w:type="gramEnd"/>
    </w:p>
  </w:footnote>
  <w:footnote w:id="7">
    <w:p w14:paraId="65B7030D" w14:textId="77777777" w:rsidR="00A14A79" w:rsidRPr="00331F70" w:rsidRDefault="00A14A79">
      <w:pPr>
        <w:pStyle w:val="FootnoteText"/>
      </w:pPr>
      <w:r w:rsidRPr="00331F70">
        <w:rPr>
          <w:rFonts w:ascii="Times New Roman Bold" w:eastAsia="Times New Roman Bold" w:hAnsi="Times New Roman Bold" w:cs="Times New Roman Bold"/>
          <w:vertAlign w:val="superscript"/>
        </w:rPr>
        <w:footnoteRef/>
      </w:r>
      <w:r w:rsidRPr="00331F70">
        <w:rPr>
          <w:rFonts w:eastAsia="Arial Unicode MS" w:hAnsi="Arial Unicode MS" w:cs="Arial Unicode MS"/>
        </w:rPr>
        <w:t xml:space="preserve"> </w:t>
      </w:r>
      <w:proofErr w:type="gramStart"/>
      <w:r w:rsidRPr="00331F70">
        <w:rPr>
          <w:rFonts w:eastAsia="Arial Unicode MS" w:hAnsi="Arial Unicode MS" w:cs="Arial Unicode MS"/>
          <w:iCs/>
        </w:rPr>
        <w:t>SDG&amp;E Transmittal at 2.</w:t>
      </w:r>
      <w:proofErr w:type="gramEnd"/>
      <w:r w:rsidRPr="00331F70">
        <w:rPr>
          <w:rFonts w:eastAsia="Arial Unicode MS" w:hAnsi="Arial Unicode MS" w:cs="Arial Unicode MS"/>
        </w:rPr>
        <w:t xml:space="preserve"> </w:t>
      </w:r>
    </w:p>
  </w:footnote>
  <w:footnote w:id="8">
    <w:p w14:paraId="65B7030E" w14:textId="77777777" w:rsidR="00A14A79" w:rsidRPr="00331F70" w:rsidRDefault="00A14A79">
      <w:pPr>
        <w:pStyle w:val="FootnoteText"/>
      </w:pPr>
      <w:r w:rsidRPr="00331F70">
        <w:rPr>
          <w:rFonts w:ascii="Times New Roman Bold" w:eastAsia="Times New Roman Bold" w:hAnsi="Times New Roman Bold" w:cs="Times New Roman Bold"/>
          <w:vertAlign w:val="superscript"/>
        </w:rPr>
        <w:footnoteRef/>
      </w:r>
      <w:r w:rsidRPr="00331F70">
        <w:rPr>
          <w:rFonts w:eastAsia="Arial Unicode MS" w:hAnsi="Arial Unicode MS" w:cs="Arial Unicode MS"/>
        </w:rPr>
        <w:t xml:space="preserve"> </w:t>
      </w:r>
      <w:proofErr w:type="gramStart"/>
      <w:r w:rsidRPr="00331F70">
        <w:rPr>
          <w:rFonts w:eastAsia="Arial Unicode MS" w:hAnsi="Arial Unicode MS" w:cs="Arial Unicode MS"/>
          <w:i/>
          <w:iCs/>
        </w:rPr>
        <w:t>Id.</w:t>
      </w:r>
      <w:r w:rsidRPr="00331F70">
        <w:rPr>
          <w:rFonts w:eastAsia="Arial Unicode MS" w:hAnsi="Arial Unicode MS" w:cs="Arial Unicode MS"/>
        </w:rPr>
        <w:t xml:space="preserve"> at </w:t>
      </w:r>
      <w:r w:rsidR="00802C48">
        <w:rPr>
          <w:rFonts w:eastAsia="Arial Unicode MS" w:hAnsi="Arial Unicode MS" w:cs="Arial Unicode MS"/>
        </w:rPr>
        <w:t>4</w:t>
      </w:r>
      <w:r w:rsidRPr="00331F70">
        <w:rPr>
          <w:rFonts w:eastAsia="Arial Unicode MS" w:hAnsi="Arial Unicode MS" w:cs="Arial Unicode MS"/>
        </w:rPr>
        <w:t>.</w:t>
      </w:r>
      <w:proofErr w:type="gramEnd"/>
    </w:p>
  </w:footnote>
  <w:footnote w:id="9">
    <w:p w14:paraId="65B7030F" w14:textId="77777777" w:rsidR="00A14A79" w:rsidRPr="00331F70" w:rsidRDefault="00A14A79">
      <w:pPr>
        <w:pStyle w:val="FootnoteText"/>
      </w:pPr>
      <w:r w:rsidRPr="00331F70">
        <w:rPr>
          <w:rFonts w:ascii="Times New Roman Bold" w:eastAsia="Times New Roman Bold" w:hAnsi="Times New Roman Bold" w:cs="Times New Roman Bold"/>
          <w:vertAlign w:val="superscript"/>
        </w:rPr>
        <w:footnoteRef/>
      </w:r>
      <w:r w:rsidRPr="00331F70">
        <w:rPr>
          <w:rFonts w:eastAsia="Arial Unicode MS" w:hAnsi="Arial Unicode MS" w:cs="Arial Unicode MS"/>
        </w:rPr>
        <w:t xml:space="preserve"> </w:t>
      </w:r>
      <w:proofErr w:type="gramStart"/>
      <w:r w:rsidRPr="00331F70">
        <w:rPr>
          <w:rFonts w:eastAsia="Arial Unicode MS" w:hAnsi="Arial Unicode MS" w:cs="Arial Unicode MS"/>
          <w:i/>
          <w:iCs/>
        </w:rPr>
        <w:t>Id.</w:t>
      </w:r>
      <w:r w:rsidRPr="00331F70">
        <w:rPr>
          <w:rFonts w:eastAsia="Arial Unicode MS" w:hAnsi="Arial Unicode MS" w:cs="Arial Unicode MS"/>
        </w:rPr>
        <w:t xml:space="preserve"> at 3.</w:t>
      </w:r>
      <w:proofErr w:type="gramEnd"/>
    </w:p>
  </w:footnote>
  <w:footnote w:id="10">
    <w:p w14:paraId="65B70310" w14:textId="77777777" w:rsidR="00A14A79" w:rsidRPr="00331F70" w:rsidRDefault="00A14A79">
      <w:pPr>
        <w:pStyle w:val="FootnoteText"/>
      </w:pPr>
      <w:r w:rsidRPr="00331F70">
        <w:rPr>
          <w:rFonts w:ascii="Times New Roman Bold" w:eastAsia="Times New Roman Bold" w:hAnsi="Times New Roman Bold" w:cs="Times New Roman Bold"/>
          <w:vertAlign w:val="superscript"/>
        </w:rPr>
        <w:footnoteRef/>
      </w:r>
      <w:r w:rsidRPr="00331F70">
        <w:rPr>
          <w:rFonts w:eastAsia="Arial Unicode MS" w:hAnsi="Arial Unicode MS" w:cs="Arial Unicode MS"/>
        </w:rPr>
        <w:t xml:space="preserve"> </w:t>
      </w:r>
      <w:r w:rsidRPr="00331F70">
        <w:rPr>
          <w:rFonts w:eastAsia="Arial Unicode MS" w:hAnsi="Arial Unicode MS" w:cs="Arial Unicode MS"/>
          <w:i/>
          <w:iCs/>
        </w:rPr>
        <w:t>Id.</w:t>
      </w:r>
      <w:r w:rsidRPr="00331F70">
        <w:rPr>
          <w:rFonts w:eastAsia="Arial Unicode MS" w:hAnsi="Arial Unicode MS" w:cs="Arial Unicode MS"/>
        </w:rPr>
        <w:t xml:space="preserve"> at </w:t>
      </w:r>
      <w:r w:rsidR="00802C48">
        <w:rPr>
          <w:rFonts w:eastAsia="Arial Unicode MS" w:hAnsi="Arial Unicode MS" w:cs="Arial Unicode MS"/>
        </w:rPr>
        <w:t>3-4</w:t>
      </w:r>
      <w:r w:rsidRPr="00331F70">
        <w:rPr>
          <w:rFonts w:eastAsia="Arial Unicode MS" w:hAnsi="Arial Unicode MS" w:cs="Arial Unicode MS"/>
        </w:rPr>
        <w:t>.</w:t>
      </w:r>
    </w:p>
  </w:footnote>
  <w:footnote w:id="11">
    <w:p w14:paraId="65B70311" w14:textId="77777777" w:rsidR="00A14A79" w:rsidRPr="00331F70" w:rsidRDefault="00A14A79">
      <w:pPr>
        <w:pStyle w:val="FootnoteText"/>
      </w:pPr>
      <w:r w:rsidRPr="00331F70">
        <w:rPr>
          <w:rFonts w:ascii="Times New Roman Bold" w:eastAsia="Times New Roman Bold" w:hAnsi="Times New Roman Bold" w:cs="Times New Roman Bold"/>
          <w:vertAlign w:val="superscript"/>
        </w:rPr>
        <w:footnoteRef/>
      </w:r>
      <w:r w:rsidRPr="00331F70">
        <w:rPr>
          <w:rFonts w:eastAsia="Arial Unicode MS" w:hAnsi="Arial Unicode MS" w:cs="Arial Unicode MS"/>
        </w:rPr>
        <w:t xml:space="preserve"> </w:t>
      </w:r>
      <w:proofErr w:type="gramStart"/>
      <w:r w:rsidRPr="00331F70">
        <w:rPr>
          <w:rFonts w:eastAsia="Arial Unicode MS" w:hAnsi="Arial Unicode MS" w:cs="Arial Unicode MS"/>
          <w:i/>
          <w:iCs/>
        </w:rPr>
        <w:t>Id.</w:t>
      </w:r>
      <w:r w:rsidRPr="00331F70">
        <w:rPr>
          <w:rFonts w:eastAsia="Arial Unicode MS" w:hAnsi="Arial Unicode MS" w:cs="Arial Unicode MS"/>
        </w:rPr>
        <w:t xml:space="preserve"> at 2.</w:t>
      </w:r>
      <w:proofErr w:type="gramEnd"/>
    </w:p>
  </w:footnote>
  <w:footnote w:id="12">
    <w:p w14:paraId="65B70312" w14:textId="77777777" w:rsidR="00A14A79" w:rsidRPr="00331F70" w:rsidRDefault="00A14A79" w:rsidP="00CC047F">
      <w:pPr>
        <w:pStyle w:val="FootnoteText"/>
      </w:pPr>
      <w:r w:rsidRPr="00331F70">
        <w:rPr>
          <w:rFonts w:ascii="Times New Roman Bold" w:eastAsia="Times New Roman Bold" w:hAnsi="Times New Roman Bold" w:cs="Times New Roman Bold"/>
          <w:vertAlign w:val="superscript"/>
        </w:rPr>
        <w:footnoteRef/>
      </w:r>
      <w:r w:rsidRPr="00331F70">
        <w:rPr>
          <w:rFonts w:eastAsia="Arial Unicode MS" w:hAnsi="Arial Unicode MS" w:cs="Arial Unicode MS"/>
        </w:rPr>
        <w:t xml:space="preserve"> The Six Cities are the cities of Anaheim, Azusa, Banning, Colton, Pasadena and Riverside, California.</w:t>
      </w:r>
    </w:p>
  </w:footnote>
  <w:footnote w:id="13">
    <w:p w14:paraId="65B70313" w14:textId="77777777" w:rsidR="00814E4D" w:rsidRPr="00331F70" w:rsidRDefault="00814E4D" w:rsidP="00814E4D">
      <w:pPr>
        <w:pStyle w:val="FootnoteText"/>
        <w:spacing w:line="276" w:lineRule="auto"/>
      </w:pPr>
      <w:r w:rsidRPr="00331F70">
        <w:rPr>
          <w:rStyle w:val="FootnoteReference"/>
          <w:b/>
        </w:rPr>
        <w:footnoteRef/>
      </w:r>
      <w:r w:rsidRPr="00331F70">
        <w:t xml:space="preserve"> </w:t>
      </w:r>
      <w:proofErr w:type="gramStart"/>
      <w:r w:rsidRPr="00331F70">
        <w:t>CPUC Protest at 1, 7.</w:t>
      </w:r>
      <w:proofErr w:type="gramEnd"/>
    </w:p>
  </w:footnote>
  <w:footnote w:id="14">
    <w:p w14:paraId="65B70314" w14:textId="77777777" w:rsidR="00814E4D" w:rsidRPr="00331F70" w:rsidRDefault="00814E4D" w:rsidP="00814E4D">
      <w:pPr>
        <w:autoSpaceDE w:val="0"/>
        <w:autoSpaceDN w:val="0"/>
        <w:adjustRightInd w:val="0"/>
        <w:spacing w:after="240"/>
      </w:pPr>
      <w:r w:rsidRPr="00331F70">
        <w:rPr>
          <w:sz w:val="26"/>
          <w:szCs w:val="26"/>
        </w:rPr>
        <w:tab/>
      </w:r>
      <w:r w:rsidRPr="00331F70">
        <w:rPr>
          <w:rStyle w:val="FootnoteReference"/>
          <w:b/>
          <w:sz w:val="26"/>
          <w:szCs w:val="26"/>
        </w:rPr>
        <w:footnoteRef/>
      </w:r>
      <w:r w:rsidRPr="00331F70">
        <w:rPr>
          <w:sz w:val="26"/>
          <w:szCs w:val="26"/>
        </w:rPr>
        <w:t xml:space="preserve"> For the TO4 Formula, SDG&amp;E will (a) jointly select with the CPUC a </w:t>
      </w:r>
      <w:r w:rsidRPr="00A14A79">
        <w:rPr>
          <w:sz w:val="26"/>
          <w:szCs w:val="26"/>
        </w:rPr>
        <w:t>reviewing engineer</w:t>
      </w:r>
      <w:r w:rsidRPr="00331F70">
        <w:rPr>
          <w:sz w:val="26"/>
          <w:szCs w:val="26"/>
        </w:rPr>
        <w:t xml:space="preserve"> to review transmission facilities added to the SDG&amp;E transmission system at voltage levels of at least 69 kV and below 200</w:t>
      </w:r>
      <w:r>
        <w:rPr>
          <w:sz w:val="26"/>
          <w:szCs w:val="26"/>
        </w:rPr>
        <w:t xml:space="preserve"> </w:t>
      </w:r>
      <w:r w:rsidRPr="00331F70">
        <w:rPr>
          <w:sz w:val="26"/>
          <w:szCs w:val="26"/>
        </w:rPr>
        <w:t xml:space="preserve">kV items, and projects whose costs are equal to or greater than $3,000,000; (b) support the CPUC and the </w:t>
      </w:r>
      <w:r w:rsidRPr="00A364AE">
        <w:rPr>
          <w:sz w:val="26"/>
          <w:szCs w:val="26"/>
        </w:rPr>
        <w:t xml:space="preserve">reviewing </w:t>
      </w:r>
      <w:r w:rsidRPr="00353FCE">
        <w:rPr>
          <w:sz w:val="26"/>
          <w:szCs w:val="26"/>
        </w:rPr>
        <w:t xml:space="preserve">engineer’s ability to participate in the CAISO’s review of SDG&amp;E’s projects; and </w:t>
      </w:r>
      <w:r w:rsidR="00D214FF">
        <w:rPr>
          <w:sz w:val="26"/>
          <w:szCs w:val="26"/>
        </w:rPr>
        <w:t xml:space="preserve">         </w:t>
      </w:r>
      <w:r w:rsidRPr="00353FCE">
        <w:rPr>
          <w:sz w:val="26"/>
          <w:szCs w:val="26"/>
        </w:rPr>
        <w:t>(c) make available $200,000</w:t>
      </w:r>
      <w:r w:rsidRPr="002B443E">
        <w:rPr>
          <w:sz w:val="26"/>
          <w:szCs w:val="26"/>
        </w:rPr>
        <w:t xml:space="preserve"> to be spent on the engineering review in each cycle, subject to an annual inflation adjustment.  </w:t>
      </w:r>
      <w:proofErr w:type="gramStart"/>
      <w:r w:rsidRPr="002B443E">
        <w:rPr>
          <w:sz w:val="26"/>
          <w:szCs w:val="26"/>
        </w:rPr>
        <w:t>Settlement, Article II (Engineering Audit and Quarterly Reports).</w:t>
      </w:r>
      <w:proofErr w:type="gramEnd"/>
      <w:r w:rsidRPr="002B443E">
        <w:rPr>
          <w:sz w:val="26"/>
          <w:szCs w:val="26"/>
        </w:rPr>
        <w:t xml:space="preserve">  </w:t>
      </w:r>
    </w:p>
  </w:footnote>
  <w:footnote w:id="15">
    <w:p w14:paraId="65B70315" w14:textId="77777777" w:rsidR="00814E4D" w:rsidRPr="00A364AE" w:rsidRDefault="00814E4D" w:rsidP="00814E4D">
      <w:pPr>
        <w:pStyle w:val="FootnoteText"/>
        <w:spacing w:line="276" w:lineRule="auto"/>
      </w:pPr>
      <w:r w:rsidRPr="00331F70">
        <w:rPr>
          <w:rStyle w:val="FootnoteReference"/>
          <w:b/>
        </w:rPr>
        <w:footnoteRef/>
      </w:r>
      <w:r w:rsidRPr="00331F70">
        <w:t xml:space="preserve"> CPUC Protest</w:t>
      </w:r>
      <w:r w:rsidRPr="00A364AE">
        <w:rPr>
          <w:i/>
        </w:rPr>
        <w:t xml:space="preserve"> </w:t>
      </w:r>
      <w:r w:rsidRPr="00A364AE">
        <w:t>at 2-3.</w:t>
      </w:r>
    </w:p>
  </w:footnote>
  <w:footnote w:id="16">
    <w:p w14:paraId="65B70316" w14:textId="77777777" w:rsidR="00814E4D" w:rsidRPr="00A364AE" w:rsidRDefault="00814E4D" w:rsidP="00814E4D">
      <w:pPr>
        <w:pStyle w:val="FootnoteText"/>
        <w:spacing w:line="276" w:lineRule="auto"/>
      </w:pPr>
      <w:r w:rsidRPr="00331F70">
        <w:rPr>
          <w:rStyle w:val="FootnoteReference"/>
          <w:b/>
        </w:rPr>
        <w:footnoteRef/>
      </w:r>
      <w:r w:rsidRPr="00331F70">
        <w:t xml:space="preserve"> </w:t>
      </w:r>
      <w:r w:rsidRPr="00331F70">
        <w:rPr>
          <w:i/>
        </w:rPr>
        <w:t>Id.</w:t>
      </w:r>
    </w:p>
  </w:footnote>
  <w:footnote w:id="17">
    <w:p w14:paraId="65B70317" w14:textId="77777777" w:rsidR="00814E4D" w:rsidRPr="00A364AE" w:rsidRDefault="00814E4D" w:rsidP="00814E4D">
      <w:pPr>
        <w:pStyle w:val="FootnoteText"/>
        <w:spacing w:line="276" w:lineRule="auto"/>
      </w:pPr>
      <w:r w:rsidRPr="00331F70">
        <w:rPr>
          <w:rStyle w:val="FootnoteReference"/>
          <w:b/>
        </w:rPr>
        <w:footnoteRef/>
      </w:r>
      <w:r w:rsidRPr="00331F70">
        <w:t xml:space="preserve"> </w:t>
      </w:r>
      <w:proofErr w:type="gramStart"/>
      <w:r w:rsidRPr="00331F70">
        <w:rPr>
          <w:i/>
        </w:rPr>
        <w:t>Id.</w:t>
      </w:r>
      <w:r w:rsidRPr="00A364AE">
        <w:t xml:space="preserve"> at 3.</w:t>
      </w:r>
      <w:proofErr w:type="gramEnd"/>
    </w:p>
  </w:footnote>
  <w:footnote w:id="18">
    <w:p w14:paraId="65B70318" w14:textId="77777777" w:rsidR="00814E4D" w:rsidRPr="00A364AE" w:rsidRDefault="00814E4D" w:rsidP="00814E4D">
      <w:pPr>
        <w:pStyle w:val="FootnoteText"/>
        <w:spacing w:line="276" w:lineRule="auto"/>
      </w:pPr>
      <w:r w:rsidRPr="00331F70">
        <w:rPr>
          <w:rStyle w:val="FootnoteReference"/>
          <w:b/>
        </w:rPr>
        <w:footnoteRef/>
      </w:r>
      <w:r w:rsidRPr="00331F70">
        <w:t xml:space="preserve"> </w:t>
      </w:r>
      <w:r w:rsidRPr="00331F70">
        <w:rPr>
          <w:i/>
        </w:rPr>
        <w:t>Id.</w:t>
      </w:r>
    </w:p>
  </w:footnote>
  <w:footnote w:id="19">
    <w:p w14:paraId="65B70319" w14:textId="77777777" w:rsidR="00814E4D" w:rsidRPr="00A364AE" w:rsidRDefault="00814E4D" w:rsidP="00814E4D">
      <w:pPr>
        <w:pStyle w:val="FootnoteText"/>
        <w:spacing w:line="276" w:lineRule="auto"/>
      </w:pPr>
      <w:r w:rsidRPr="00331F70">
        <w:rPr>
          <w:rStyle w:val="FootnoteReference"/>
          <w:b/>
        </w:rPr>
        <w:footnoteRef/>
      </w:r>
      <w:r w:rsidRPr="00331F70">
        <w:t xml:space="preserve"> </w:t>
      </w:r>
      <w:r w:rsidRPr="00331F70">
        <w:rPr>
          <w:i/>
        </w:rPr>
        <w:t>Id.</w:t>
      </w:r>
      <w:r w:rsidRPr="00A364AE">
        <w:t xml:space="preserve"> at 3-4.</w:t>
      </w:r>
    </w:p>
  </w:footnote>
  <w:footnote w:id="20">
    <w:p w14:paraId="65B7031A" w14:textId="77777777" w:rsidR="00814E4D" w:rsidRPr="00A364AE" w:rsidRDefault="00814E4D" w:rsidP="00814E4D">
      <w:pPr>
        <w:pStyle w:val="FootnoteText"/>
        <w:spacing w:line="276" w:lineRule="auto"/>
      </w:pPr>
      <w:r w:rsidRPr="00331F70">
        <w:rPr>
          <w:rStyle w:val="FootnoteReference"/>
          <w:b/>
        </w:rPr>
        <w:footnoteRef/>
      </w:r>
      <w:r w:rsidRPr="00331F70">
        <w:t xml:space="preserve"> </w:t>
      </w:r>
      <w:proofErr w:type="gramStart"/>
      <w:r w:rsidRPr="00331F70">
        <w:rPr>
          <w:i/>
        </w:rPr>
        <w:t xml:space="preserve">Id. </w:t>
      </w:r>
      <w:r w:rsidRPr="00A364AE">
        <w:t>at 4.</w:t>
      </w:r>
      <w:proofErr w:type="gramEnd"/>
    </w:p>
  </w:footnote>
  <w:footnote w:id="21">
    <w:p w14:paraId="65B7031B" w14:textId="77777777" w:rsidR="00814E4D" w:rsidRPr="00331F70" w:rsidRDefault="00814E4D" w:rsidP="00814E4D">
      <w:pPr>
        <w:pStyle w:val="FootnoteText"/>
        <w:rPr>
          <w:i/>
        </w:rPr>
      </w:pPr>
      <w:r w:rsidRPr="00331F70">
        <w:rPr>
          <w:rStyle w:val="FootnoteReference"/>
          <w:b/>
        </w:rPr>
        <w:footnoteRef/>
      </w:r>
      <w:r w:rsidRPr="00331F70">
        <w:t xml:space="preserve"> </w:t>
      </w:r>
      <w:proofErr w:type="gramStart"/>
      <w:r w:rsidRPr="0050560B">
        <w:rPr>
          <w:i/>
        </w:rPr>
        <w:t>Id.</w:t>
      </w:r>
      <w:r>
        <w:t xml:space="preserve"> at 4.</w:t>
      </w:r>
      <w:proofErr w:type="gramEnd"/>
      <w:r>
        <w:t xml:space="preserve">  </w:t>
      </w:r>
      <w:r w:rsidRPr="00A364AE">
        <w:t xml:space="preserve">The CPUC </w:t>
      </w:r>
      <w:r>
        <w:t>cites to the reviewing engineer’s independent audit, which states</w:t>
      </w:r>
      <w:r w:rsidRPr="00A364AE">
        <w:t xml:space="preserve"> that SDG&amp;E provided inaccurate data regarding the line</w:t>
      </w:r>
      <w:r w:rsidRPr="008A3107">
        <w:t xml:space="preserve"> rating for the Japanese Mesa – Las Pulgas line and the in-service dates of the Kearny generators and Bay Boulevard Substation, which increased the time </w:t>
      </w:r>
      <w:r w:rsidRPr="00353FCE">
        <w:t xml:space="preserve">and effort needed to complete the </w:t>
      </w:r>
      <w:r w:rsidRPr="008E0D40">
        <w:t>audit.</w:t>
      </w:r>
      <w:r>
        <w:t xml:space="preserve">  </w:t>
      </w:r>
      <w:r>
        <w:rPr>
          <w:i/>
        </w:rPr>
        <w:t>See</w:t>
      </w:r>
      <w:r>
        <w:t xml:space="preserve"> </w:t>
      </w:r>
      <w:r w:rsidRPr="00A14A79">
        <w:t>CPUC</w:t>
      </w:r>
      <w:r>
        <w:t xml:space="preserve"> Protest at Attachment B</w:t>
      </w:r>
      <w:r w:rsidRPr="00A14A79">
        <w:t>, Independe</w:t>
      </w:r>
      <w:r>
        <w:t>nt Audit of SDG&amp;E TO4, Cycle 3 at 21.</w:t>
      </w:r>
      <w:r w:rsidRPr="00A14A79">
        <w:t xml:space="preserve"> </w:t>
      </w:r>
    </w:p>
  </w:footnote>
  <w:footnote w:id="22">
    <w:p w14:paraId="65B7031C" w14:textId="77777777" w:rsidR="00814E4D" w:rsidRPr="00A364AE" w:rsidRDefault="00814E4D" w:rsidP="00814E4D">
      <w:pPr>
        <w:pStyle w:val="FootnoteText"/>
        <w:spacing w:line="276" w:lineRule="auto"/>
      </w:pPr>
      <w:r w:rsidRPr="00331F70">
        <w:rPr>
          <w:rStyle w:val="FootnoteReference"/>
          <w:b/>
        </w:rPr>
        <w:footnoteRef/>
      </w:r>
      <w:r w:rsidRPr="00331F70">
        <w:t xml:space="preserve"> </w:t>
      </w:r>
      <w:proofErr w:type="gramStart"/>
      <w:r>
        <w:t>CPUC Protest at 4.</w:t>
      </w:r>
      <w:proofErr w:type="gramEnd"/>
    </w:p>
  </w:footnote>
  <w:footnote w:id="23">
    <w:p w14:paraId="65B7031D" w14:textId="77777777" w:rsidR="00814E4D" w:rsidRPr="008E0D40" w:rsidRDefault="00814E4D" w:rsidP="00814E4D">
      <w:pPr>
        <w:pStyle w:val="FootnoteText"/>
      </w:pPr>
      <w:r w:rsidRPr="00331F70">
        <w:rPr>
          <w:rStyle w:val="FootnoteReference"/>
          <w:b/>
        </w:rPr>
        <w:footnoteRef/>
      </w:r>
      <w:r w:rsidRPr="00331F70">
        <w:t xml:space="preserve"> According to the CPUC, the reviewing engineer analyzed 26 of SDG&amp;E’s proposed projects </w:t>
      </w:r>
      <w:r w:rsidRPr="00A364AE">
        <w:t xml:space="preserve">and recommended that SDG&amp;E alter one project, defer seven projects, and cancel three projects.  </w:t>
      </w:r>
      <w:proofErr w:type="gramStart"/>
      <w:r w:rsidRPr="00353FCE">
        <w:rPr>
          <w:i/>
        </w:rPr>
        <w:t xml:space="preserve">Id. </w:t>
      </w:r>
      <w:r w:rsidRPr="008E0D40">
        <w:t>at 5.</w:t>
      </w:r>
      <w:proofErr w:type="gramEnd"/>
    </w:p>
  </w:footnote>
  <w:footnote w:id="24">
    <w:p w14:paraId="65B7031E" w14:textId="77777777" w:rsidR="00814E4D" w:rsidRPr="00A364AE" w:rsidRDefault="00814E4D" w:rsidP="00814E4D">
      <w:pPr>
        <w:pStyle w:val="FootnoteText"/>
        <w:spacing w:line="276" w:lineRule="auto"/>
      </w:pPr>
      <w:r w:rsidRPr="00331F70">
        <w:rPr>
          <w:rStyle w:val="FootnoteReference"/>
          <w:b/>
        </w:rPr>
        <w:footnoteRef/>
      </w:r>
      <w:r w:rsidRPr="00331F70">
        <w:t xml:space="preserve"> </w:t>
      </w:r>
      <w:r w:rsidRPr="00A364AE">
        <w:rPr>
          <w:i/>
        </w:rPr>
        <w:t>Id.</w:t>
      </w:r>
    </w:p>
  </w:footnote>
  <w:footnote w:id="25">
    <w:p w14:paraId="65B7031F" w14:textId="77777777" w:rsidR="00814E4D" w:rsidRPr="00FE5EB1" w:rsidRDefault="00814E4D" w:rsidP="00814E4D">
      <w:pPr>
        <w:pStyle w:val="FootnoteText"/>
        <w:spacing w:line="276" w:lineRule="auto"/>
      </w:pPr>
      <w:r w:rsidRPr="00044ACC">
        <w:rPr>
          <w:rStyle w:val="FootnoteReference"/>
          <w:b/>
        </w:rPr>
        <w:footnoteRef/>
      </w:r>
      <w:r w:rsidRPr="00FE5EB1">
        <w:t xml:space="preserve"> </w:t>
      </w:r>
      <w:proofErr w:type="gramStart"/>
      <w:r w:rsidRPr="00FE5EB1">
        <w:rPr>
          <w:i/>
        </w:rPr>
        <w:t xml:space="preserve">Id. </w:t>
      </w:r>
      <w:r w:rsidRPr="00FE5EB1">
        <w:t>at 6.</w:t>
      </w:r>
      <w:proofErr w:type="gramEnd"/>
      <w:r w:rsidRPr="00FE5EB1">
        <w:t xml:space="preserve"> </w:t>
      </w:r>
    </w:p>
  </w:footnote>
  <w:footnote w:id="26">
    <w:p w14:paraId="65B70320" w14:textId="77777777" w:rsidR="00814E4D" w:rsidRPr="00A364AE" w:rsidRDefault="00814E4D" w:rsidP="00814E4D">
      <w:pPr>
        <w:pStyle w:val="FootnoteText"/>
        <w:spacing w:line="276" w:lineRule="auto"/>
      </w:pPr>
      <w:r w:rsidRPr="00331F70">
        <w:rPr>
          <w:rStyle w:val="FootnoteReference"/>
          <w:b/>
        </w:rPr>
        <w:footnoteRef/>
      </w:r>
      <w:r w:rsidRPr="00331F70">
        <w:t xml:space="preserve"> SDG&amp;E Answer</w:t>
      </w:r>
      <w:r w:rsidRPr="00A364AE">
        <w:t xml:space="preserve"> at 3.</w:t>
      </w:r>
    </w:p>
  </w:footnote>
  <w:footnote w:id="27">
    <w:p w14:paraId="65B70321" w14:textId="77777777" w:rsidR="00814E4D" w:rsidRPr="00A364AE" w:rsidRDefault="00814E4D" w:rsidP="00814E4D">
      <w:pPr>
        <w:pStyle w:val="FootnoteText"/>
        <w:spacing w:line="276" w:lineRule="auto"/>
      </w:pPr>
      <w:r w:rsidRPr="00A364AE">
        <w:rPr>
          <w:rStyle w:val="FootnoteReference"/>
          <w:b/>
        </w:rPr>
        <w:footnoteRef/>
      </w:r>
      <w:r w:rsidRPr="00A364AE">
        <w:t xml:space="preserve"> </w:t>
      </w:r>
      <w:r w:rsidRPr="00A364AE">
        <w:rPr>
          <w:i/>
        </w:rPr>
        <w:t>Id.</w:t>
      </w:r>
    </w:p>
  </w:footnote>
  <w:footnote w:id="28">
    <w:p w14:paraId="65B70322" w14:textId="77777777" w:rsidR="00814E4D" w:rsidRPr="00A364AE" w:rsidRDefault="00814E4D" w:rsidP="00814E4D">
      <w:pPr>
        <w:pStyle w:val="FootnoteText"/>
        <w:spacing w:line="276" w:lineRule="auto"/>
      </w:pPr>
      <w:r w:rsidRPr="00A364AE">
        <w:rPr>
          <w:rStyle w:val="FootnoteReference"/>
          <w:b/>
        </w:rPr>
        <w:footnoteRef/>
      </w:r>
      <w:r w:rsidRPr="00A364AE">
        <w:t xml:space="preserve"> </w:t>
      </w:r>
      <w:proofErr w:type="gramStart"/>
      <w:r w:rsidRPr="00A364AE">
        <w:rPr>
          <w:i/>
        </w:rPr>
        <w:t>Id.</w:t>
      </w:r>
      <w:r w:rsidRPr="00A364AE">
        <w:t xml:space="preserve"> at 5.</w:t>
      </w:r>
      <w:proofErr w:type="gramEnd"/>
    </w:p>
  </w:footnote>
  <w:footnote w:id="29">
    <w:p w14:paraId="65B70323" w14:textId="77777777" w:rsidR="00814E4D" w:rsidRPr="00353FCE" w:rsidRDefault="00814E4D" w:rsidP="00814E4D">
      <w:pPr>
        <w:autoSpaceDE w:val="0"/>
        <w:autoSpaceDN w:val="0"/>
        <w:adjustRightInd w:val="0"/>
        <w:spacing w:after="240"/>
        <w:ind w:firstLine="720"/>
        <w:rPr>
          <w:sz w:val="26"/>
          <w:szCs w:val="26"/>
        </w:rPr>
      </w:pPr>
      <w:r w:rsidRPr="00331F70">
        <w:rPr>
          <w:rStyle w:val="FootnoteReference"/>
          <w:b/>
          <w:sz w:val="26"/>
          <w:szCs w:val="26"/>
        </w:rPr>
        <w:footnoteRef/>
      </w:r>
      <w:r w:rsidRPr="00331F70">
        <w:rPr>
          <w:sz w:val="26"/>
          <w:szCs w:val="26"/>
        </w:rPr>
        <w:t xml:space="preserve"> </w:t>
      </w:r>
      <w:r w:rsidRPr="00A364AE">
        <w:rPr>
          <w:i/>
          <w:sz w:val="26"/>
          <w:szCs w:val="26"/>
        </w:rPr>
        <w:t>Id.</w:t>
      </w:r>
      <w:r w:rsidRPr="00A364AE">
        <w:rPr>
          <w:sz w:val="26"/>
          <w:szCs w:val="26"/>
        </w:rPr>
        <w:t xml:space="preserve"> (citing </w:t>
      </w:r>
      <w:r w:rsidRPr="00A364AE">
        <w:rPr>
          <w:i/>
          <w:iCs/>
          <w:sz w:val="26"/>
          <w:szCs w:val="26"/>
        </w:rPr>
        <w:t>New England Power Company</w:t>
      </w:r>
      <w:r w:rsidRPr="00A364AE">
        <w:rPr>
          <w:sz w:val="26"/>
          <w:szCs w:val="26"/>
        </w:rPr>
        <w:t xml:space="preserve">, 31 FERC ¶ 61,047, at 61,084 (1985) and </w:t>
      </w:r>
      <w:r w:rsidR="003E6A42" w:rsidRPr="003E6A42">
        <w:rPr>
          <w:i/>
          <w:sz w:val="26"/>
          <w:szCs w:val="26"/>
        </w:rPr>
        <w:t xml:space="preserve">Midwest Indep. </w:t>
      </w:r>
      <w:proofErr w:type="gramStart"/>
      <w:r w:rsidR="003E6A42" w:rsidRPr="003E6A42">
        <w:rPr>
          <w:i/>
          <w:sz w:val="26"/>
          <w:szCs w:val="26"/>
        </w:rPr>
        <w:t>Transmission Sys.</w:t>
      </w:r>
      <w:proofErr w:type="gramEnd"/>
      <w:r w:rsidR="003E6A42" w:rsidRPr="003E6A42">
        <w:rPr>
          <w:i/>
          <w:sz w:val="26"/>
          <w:szCs w:val="26"/>
        </w:rPr>
        <w:t xml:space="preserve"> </w:t>
      </w:r>
      <w:proofErr w:type="gramStart"/>
      <w:r w:rsidR="003E6A42" w:rsidRPr="003E6A42">
        <w:rPr>
          <w:i/>
          <w:sz w:val="26"/>
          <w:szCs w:val="26"/>
        </w:rPr>
        <w:t>Operator, Inc. and American Transmission Systems, Inc</w:t>
      </w:r>
      <w:r w:rsidR="003E6A42">
        <w:rPr>
          <w:sz w:val="26"/>
          <w:szCs w:val="26"/>
        </w:rPr>
        <w:t>. (</w:t>
      </w:r>
      <w:r w:rsidRPr="00D214FF">
        <w:rPr>
          <w:iCs/>
          <w:sz w:val="26"/>
          <w:szCs w:val="26"/>
        </w:rPr>
        <w:t>MISO Vegetation Management Order</w:t>
      </w:r>
      <w:r w:rsidR="003E6A42" w:rsidRPr="003E6A42">
        <w:rPr>
          <w:iCs/>
          <w:sz w:val="26"/>
          <w:szCs w:val="26"/>
        </w:rPr>
        <w:t>)</w:t>
      </w:r>
      <w:r w:rsidRPr="00353FCE">
        <w:rPr>
          <w:sz w:val="26"/>
          <w:szCs w:val="26"/>
        </w:rPr>
        <w:t>, 117 FERC ¶ 61,108</w:t>
      </w:r>
      <w:r w:rsidR="003E6A42">
        <w:rPr>
          <w:sz w:val="26"/>
          <w:szCs w:val="26"/>
        </w:rPr>
        <w:t>,</w:t>
      </w:r>
      <w:r w:rsidRPr="00353FCE">
        <w:rPr>
          <w:sz w:val="26"/>
          <w:szCs w:val="26"/>
        </w:rPr>
        <w:t xml:space="preserve"> at P 15 (2006)).</w:t>
      </w:r>
      <w:proofErr w:type="gramEnd"/>
    </w:p>
  </w:footnote>
  <w:footnote w:id="30">
    <w:p w14:paraId="65B70324" w14:textId="77777777" w:rsidR="00814E4D" w:rsidRPr="00331F70" w:rsidRDefault="00814E4D" w:rsidP="00814E4D">
      <w:pPr>
        <w:pStyle w:val="FootnoteText"/>
        <w:spacing w:line="276" w:lineRule="auto"/>
      </w:pPr>
      <w:r w:rsidRPr="005256DF">
        <w:rPr>
          <w:rStyle w:val="FootnoteReference"/>
          <w:b/>
        </w:rPr>
        <w:footnoteRef/>
      </w:r>
      <w:r w:rsidRPr="005256DF">
        <w:t xml:space="preserve"> </w:t>
      </w:r>
      <w:proofErr w:type="gramStart"/>
      <w:r w:rsidRPr="002B443E">
        <w:rPr>
          <w:i/>
        </w:rPr>
        <w:t>Id.</w:t>
      </w:r>
      <w:r w:rsidRPr="00331F70">
        <w:t xml:space="preserve"> at 6.</w:t>
      </w:r>
      <w:proofErr w:type="gramEnd"/>
    </w:p>
  </w:footnote>
  <w:footnote w:id="31">
    <w:p w14:paraId="65B70325" w14:textId="77777777" w:rsidR="00814E4D" w:rsidRPr="00331F70" w:rsidRDefault="00814E4D" w:rsidP="00814E4D">
      <w:pPr>
        <w:pStyle w:val="FootnoteText"/>
        <w:spacing w:line="276" w:lineRule="auto"/>
      </w:pPr>
      <w:r w:rsidRPr="00331F70">
        <w:rPr>
          <w:rStyle w:val="FootnoteReference"/>
          <w:b/>
        </w:rPr>
        <w:footnoteRef/>
      </w:r>
      <w:r w:rsidRPr="00331F70">
        <w:t xml:space="preserve"> </w:t>
      </w:r>
      <w:r w:rsidRPr="00331F70">
        <w:rPr>
          <w:i/>
        </w:rPr>
        <w:t>Id.</w:t>
      </w:r>
      <w:r w:rsidRPr="00331F70">
        <w:t xml:space="preserve"> at 7-8.</w:t>
      </w:r>
    </w:p>
  </w:footnote>
  <w:footnote w:id="32">
    <w:p w14:paraId="65B70326" w14:textId="77777777" w:rsidR="00814E4D" w:rsidRPr="00331F70" w:rsidRDefault="00814E4D" w:rsidP="00814E4D">
      <w:pPr>
        <w:pStyle w:val="FootnoteText"/>
        <w:spacing w:line="276" w:lineRule="auto"/>
      </w:pPr>
      <w:r w:rsidRPr="00331F70">
        <w:rPr>
          <w:rStyle w:val="FootnoteReference"/>
          <w:b/>
        </w:rPr>
        <w:footnoteRef/>
      </w:r>
      <w:r w:rsidRPr="00331F70">
        <w:t xml:space="preserve"> </w:t>
      </w:r>
      <w:proofErr w:type="gramStart"/>
      <w:r w:rsidRPr="00331F70">
        <w:rPr>
          <w:i/>
        </w:rPr>
        <w:t>Id.</w:t>
      </w:r>
      <w:r w:rsidRPr="00331F70">
        <w:t xml:space="preserve"> at 8.</w:t>
      </w:r>
      <w:proofErr w:type="gramEnd"/>
    </w:p>
  </w:footnote>
  <w:footnote w:id="33">
    <w:p w14:paraId="65B70327" w14:textId="77777777" w:rsidR="00814E4D" w:rsidRPr="00331F70" w:rsidRDefault="00814E4D" w:rsidP="00814E4D">
      <w:pPr>
        <w:pStyle w:val="FootnoteText"/>
        <w:spacing w:line="276" w:lineRule="auto"/>
      </w:pPr>
      <w:r w:rsidRPr="00331F70">
        <w:rPr>
          <w:rStyle w:val="FootnoteReference"/>
          <w:b/>
        </w:rPr>
        <w:footnoteRef/>
      </w:r>
      <w:r w:rsidRPr="00331F70">
        <w:t xml:space="preserve"> </w:t>
      </w:r>
      <w:proofErr w:type="gramStart"/>
      <w:r w:rsidRPr="00331F70">
        <w:rPr>
          <w:i/>
        </w:rPr>
        <w:t xml:space="preserve">Id. </w:t>
      </w:r>
      <w:r w:rsidRPr="00331F70">
        <w:t>at 7.</w:t>
      </w:r>
      <w:proofErr w:type="gramEnd"/>
    </w:p>
  </w:footnote>
  <w:footnote w:id="34">
    <w:p w14:paraId="65B70328" w14:textId="77777777" w:rsidR="00814E4D" w:rsidRPr="00331F70" w:rsidRDefault="00814E4D" w:rsidP="00814E4D">
      <w:pPr>
        <w:pStyle w:val="FootnoteText"/>
        <w:spacing w:line="276" w:lineRule="auto"/>
      </w:pPr>
      <w:r w:rsidRPr="00331F70">
        <w:rPr>
          <w:rStyle w:val="FootnoteReference"/>
          <w:b/>
        </w:rPr>
        <w:footnoteRef/>
      </w:r>
      <w:r w:rsidRPr="00331F70">
        <w:t xml:space="preserve"> </w:t>
      </w:r>
      <w:r w:rsidRPr="00331F70">
        <w:rPr>
          <w:i/>
        </w:rPr>
        <w:t xml:space="preserve">Id. </w:t>
      </w:r>
    </w:p>
  </w:footnote>
  <w:footnote w:id="35">
    <w:p w14:paraId="65B70329" w14:textId="77777777" w:rsidR="00814E4D" w:rsidRPr="00331F70" w:rsidRDefault="00814E4D" w:rsidP="00814E4D">
      <w:pPr>
        <w:pStyle w:val="FootnoteText"/>
        <w:spacing w:line="276" w:lineRule="auto"/>
      </w:pPr>
      <w:r w:rsidRPr="00331F70">
        <w:rPr>
          <w:rStyle w:val="FootnoteReference"/>
          <w:b/>
        </w:rPr>
        <w:footnoteRef/>
      </w:r>
      <w:r w:rsidRPr="00331F70">
        <w:t xml:space="preserve"> </w:t>
      </w:r>
      <w:r w:rsidRPr="00331F70">
        <w:rPr>
          <w:i/>
        </w:rPr>
        <w:t>Id.</w:t>
      </w:r>
    </w:p>
  </w:footnote>
  <w:footnote w:id="36">
    <w:p w14:paraId="65B7032A" w14:textId="77777777" w:rsidR="00814E4D" w:rsidRPr="00331F70" w:rsidRDefault="00814E4D" w:rsidP="00814E4D">
      <w:pPr>
        <w:pStyle w:val="FootnoteText"/>
        <w:spacing w:line="276" w:lineRule="auto"/>
      </w:pPr>
      <w:r w:rsidRPr="00331F70">
        <w:rPr>
          <w:rStyle w:val="FootnoteReference"/>
          <w:b/>
        </w:rPr>
        <w:footnoteRef/>
      </w:r>
      <w:r w:rsidRPr="00331F70">
        <w:t xml:space="preserve"> </w:t>
      </w:r>
      <w:r w:rsidRPr="00331F70">
        <w:rPr>
          <w:i/>
        </w:rPr>
        <w:t>Id.</w:t>
      </w:r>
      <w:r w:rsidRPr="00331F70">
        <w:t xml:space="preserve"> at 8-9.</w:t>
      </w:r>
    </w:p>
  </w:footnote>
  <w:footnote w:id="37">
    <w:p w14:paraId="65B7032B" w14:textId="77777777" w:rsidR="00814E4D" w:rsidRPr="00331F70" w:rsidRDefault="00814E4D" w:rsidP="00814E4D">
      <w:pPr>
        <w:pStyle w:val="FootnoteText"/>
        <w:spacing w:line="276" w:lineRule="auto"/>
      </w:pPr>
      <w:r w:rsidRPr="00331F70">
        <w:rPr>
          <w:rStyle w:val="FootnoteReference"/>
          <w:b/>
        </w:rPr>
        <w:footnoteRef/>
      </w:r>
      <w:r w:rsidRPr="00331F70">
        <w:t xml:space="preserve"> </w:t>
      </w:r>
      <w:r w:rsidRPr="00331F70">
        <w:rPr>
          <w:i/>
        </w:rPr>
        <w:t>Id.</w:t>
      </w:r>
    </w:p>
  </w:footnote>
  <w:footnote w:id="38">
    <w:p w14:paraId="65B7032C" w14:textId="77777777" w:rsidR="00814E4D" w:rsidRPr="00331F70" w:rsidRDefault="00814E4D" w:rsidP="00814E4D">
      <w:pPr>
        <w:pStyle w:val="FootnoteText"/>
        <w:spacing w:line="276" w:lineRule="auto"/>
      </w:pPr>
      <w:r w:rsidRPr="00331F70">
        <w:rPr>
          <w:rStyle w:val="FootnoteReference"/>
          <w:b/>
        </w:rPr>
        <w:footnoteRef/>
      </w:r>
      <w:r w:rsidRPr="00331F70">
        <w:t xml:space="preserve"> </w:t>
      </w:r>
      <w:proofErr w:type="gramStart"/>
      <w:r w:rsidRPr="00331F70">
        <w:rPr>
          <w:i/>
        </w:rPr>
        <w:t>Id.</w:t>
      </w:r>
      <w:r w:rsidRPr="00331F70">
        <w:t xml:space="preserve"> at 9.</w:t>
      </w:r>
      <w:proofErr w:type="gramEnd"/>
    </w:p>
  </w:footnote>
  <w:footnote w:id="39">
    <w:p w14:paraId="65B7032D" w14:textId="77777777" w:rsidR="00DB1146" w:rsidRDefault="00DB1146">
      <w:pPr>
        <w:pStyle w:val="FootnoteText"/>
      </w:pPr>
      <w:r w:rsidRPr="00DB1146">
        <w:rPr>
          <w:rStyle w:val="FootnoteReference"/>
          <w:b/>
        </w:rPr>
        <w:footnoteRef/>
      </w:r>
      <w:r>
        <w:t xml:space="preserve"> </w:t>
      </w:r>
      <w:r w:rsidR="00157429">
        <w:t>SDG&amp;E Answer</w:t>
      </w:r>
      <w:r>
        <w:t xml:space="preserve"> at 5.</w:t>
      </w:r>
    </w:p>
  </w:footnote>
  <w:footnote w:id="40">
    <w:p w14:paraId="65B7032E" w14:textId="77777777" w:rsidR="00A14A79" w:rsidRPr="00331F70" w:rsidRDefault="00A14A79">
      <w:pPr>
        <w:pStyle w:val="FootnoteText"/>
      </w:pPr>
      <w:r w:rsidRPr="00331F70">
        <w:rPr>
          <w:rStyle w:val="FootnoteReference"/>
          <w:b/>
        </w:rPr>
        <w:footnoteRef/>
      </w:r>
      <w:r w:rsidRPr="00331F70">
        <w:t xml:space="preserve"> </w:t>
      </w:r>
      <w:r w:rsidR="00DB1146" w:rsidRPr="00DB1146">
        <w:rPr>
          <w:i/>
        </w:rPr>
        <w:t>Id.</w:t>
      </w:r>
      <w:r w:rsidRPr="00331F70">
        <w:t xml:space="preserve"> </w:t>
      </w:r>
    </w:p>
  </w:footnote>
  <w:footnote w:id="41">
    <w:p w14:paraId="65B7032F" w14:textId="77777777" w:rsidR="00ED25A2" w:rsidRDefault="00ED25A2" w:rsidP="00ED25A2">
      <w:pPr>
        <w:pStyle w:val="FootnoteText"/>
      </w:pPr>
      <w:r w:rsidRPr="00331F70">
        <w:rPr>
          <w:rStyle w:val="FootnoteReference"/>
          <w:b/>
        </w:rPr>
        <w:footnoteRef/>
      </w:r>
      <w:r w:rsidRPr="00331F70">
        <w:t xml:space="preserve"> </w:t>
      </w:r>
      <w:r w:rsidRPr="000C7B83">
        <w:rPr>
          <w:i/>
        </w:rPr>
        <w:t>See</w:t>
      </w:r>
      <w:r w:rsidRPr="00331F70">
        <w:t xml:space="preserve"> CAISO Tariff sections 24.3.3 (Stakeholder – Unified Planning Assumptions) and 24.4.9 (Phase 2 Stakeholder Process).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B70307" w14:textId="77777777" w:rsidR="00A14A79" w:rsidRDefault="00A14A79">
    <w:pPr>
      <w:pStyle w:val="Header"/>
      <w:spacing w:after="240"/>
    </w:pPr>
    <w:r>
      <w:t xml:space="preserve">Docket No. ER16-445-000 </w:t>
    </w:r>
    <w:r>
      <w:tab/>
    </w:r>
    <w:r>
      <w:fldChar w:fldCharType="begin"/>
    </w:r>
    <w:r>
      <w:instrText xml:space="preserve"> PAGE </w:instrText>
    </w:r>
    <w:r>
      <w:fldChar w:fldCharType="separate"/>
    </w:r>
    <w:r w:rsidR="00CF3434">
      <w:rPr>
        <w:noProof/>
      </w:rPr>
      <w:t>9</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0765B5"/>
    <w:multiLevelType w:val="multilevel"/>
    <w:tmpl w:val="32567B40"/>
    <w:styleLink w:val="List0"/>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1">
    <w:nsid w:val="336F6DCB"/>
    <w:multiLevelType w:val="multilevel"/>
    <w:tmpl w:val="9DAAF3CC"/>
    <w:lvl w:ilvl="0">
      <w:start w:val="1"/>
      <w:numFmt w:val="upperRoman"/>
      <w:lvlText w:val="%1."/>
      <w:lvlJc w:val="left"/>
      <w:rPr>
        <w:position w:val="0"/>
      </w:rPr>
    </w:lvl>
    <w:lvl w:ilvl="1">
      <w:start w:val="1"/>
      <w:numFmt w:val="upperLetter"/>
      <w:lvlText w:val="%2."/>
      <w:lvlJc w:val="left"/>
      <w:rPr>
        <w:position w:val="0"/>
      </w:rPr>
    </w:lvl>
    <w:lvl w:ilvl="2">
      <w:start w:val="1"/>
      <w:numFmt w:val="decimal"/>
      <w:lvlText w:val="%3."/>
      <w:lvlJc w:val="left"/>
      <w:rPr>
        <w:position w:val="0"/>
      </w:rPr>
    </w:lvl>
    <w:lvl w:ilvl="3">
      <w:start w:val="1"/>
      <w:numFmt w:val="lowerLetter"/>
      <w:lvlText w:val="%4."/>
      <w:lvlJc w:val="left"/>
      <w:rPr>
        <w:position w:val="0"/>
      </w:rPr>
    </w:lvl>
    <w:lvl w:ilvl="4">
      <w:start w:val="1"/>
      <w:numFmt w:val="lowerRoman"/>
      <w:lvlText w:val="%5."/>
      <w:lvlJc w:val="left"/>
      <w:rPr>
        <w:position w:val="0"/>
      </w:rPr>
    </w:lvl>
    <w:lvl w:ilvl="5">
      <w:start w:val="1"/>
      <w:numFmt w:val="lowerLetter"/>
      <w:lvlText w:val="(%6)"/>
      <w:lvlJc w:val="left"/>
      <w:rPr>
        <w:position w:val="0"/>
      </w:rPr>
    </w:lvl>
    <w:lvl w:ilvl="6">
      <w:start w:val="1"/>
      <w:numFmt w:val="decimal"/>
      <w:lvlText w:val="(%7)"/>
      <w:lvlJc w:val="left"/>
      <w:rPr>
        <w:position w:val="0"/>
      </w:rPr>
    </w:lvl>
    <w:lvl w:ilvl="7">
      <w:start w:val="1"/>
      <w:numFmt w:val="lowerRoman"/>
      <w:lvlText w:val="(%8)"/>
      <w:lvlJc w:val="left"/>
      <w:rPr>
        <w:position w:val="0"/>
      </w:rPr>
    </w:lvl>
    <w:lvl w:ilvl="8">
      <w:start w:val="1"/>
      <w:numFmt w:val="decimal"/>
      <w:lvlText w:val="(%9)"/>
      <w:lvlJc w:val="left"/>
      <w:rPr>
        <w:position w:val="0"/>
      </w:rPr>
    </w:lvl>
  </w:abstractNum>
  <w:abstractNum w:abstractNumId="2">
    <w:nsid w:val="35B94A29"/>
    <w:multiLevelType w:val="multilevel"/>
    <w:tmpl w:val="B77EFB06"/>
    <w:styleLink w:val="List1"/>
    <w:lvl w:ilvl="0">
      <w:start w:val="1"/>
      <w:numFmt w:val="upperRoman"/>
      <w:lvlText w:val="%1."/>
      <w:lvlJc w:val="left"/>
      <w:rPr>
        <w:position w:val="0"/>
        <w:rtl w:val="0"/>
      </w:rPr>
    </w:lvl>
    <w:lvl w:ilvl="1">
      <w:start w:val="1"/>
      <w:numFmt w:val="upperLetter"/>
      <w:lvlText w:val="%2."/>
      <w:lvlJc w:val="left"/>
      <w:rPr>
        <w:position w:val="0"/>
        <w:rtl w:val="0"/>
      </w:rPr>
    </w:lvl>
    <w:lvl w:ilvl="2">
      <w:start w:val="1"/>
      <w:numFmt w:val="decimal"/>
      <w:lvlText w:val="%3."/>
      <w:lvlJc w:val="left"/>
      <w:rPr>
        <w:position w:val="0"/>
        <w:rtl w:val="0"/>
      </w:rPr>
    </w:lvl>
    <w:lvl w:ilvl="3">
      <w:start w:val="1"/>
      <w:numFmt w:val="lowerLetter"/>
      <w:lvlText w:val="%4."/>
      <w:lvlJc w:val="left"/>
      <w:rPr>
        <w:position w:val="0"/>
        <w:rtl w:val="0"/>
      </w:rPr>
    </w:lvl>
    <w:lvl w:ilvl="4">
      <w:start w:val="1"/>
      <w:numFmt w:val="lowerRoman"/>
      <w:lvlText w:val="%5."/>
      <w:lvlJc w:val="left"/>
      <w:rPr>
        <w:position w:val="0"/>
        <w:rtl w:val="0"/>
      </w:rPr>
    </w:lvl>
    <w:lvl w:ilvl="5">
      <w:start w:val="1"/>
      <w:numFmt w:val="lowerLetter"/>
      <w:lvlText w:val="(%6)"/>
      <w:lvlJc w:val="left"/>
      <w:rPr>
        <w:position w:val="0"/>
        <w:rtl w:val="0"/>
      </w:rPr>
    </w:lvl>
    <w:lvl w:ilvl="6">
      <w:start w:val="1"/>
      <w:numFmt w:val="decimal"/>
      <w:lvlText w:val="(%7)"/>
      <w:lvlJc w:val="left"/>
      <w:rPr>
        <w:position w:val="0"/>
        <w:rtl w:val="0"/>
      </w:rPr>
    </w:lvl>
    <w:lvl w:ilvl="7">
      <w:start w:val="1"/>
      <w:numFmt w:val="lowerRoman"/>
      <w:lvlText w:val="(%8)"/>
      <w:lvlJc w:val="left"/>
      <w:rPr>
        <w:position w:val="0"/>
        <w:rtl w:val="0"/>
      </w:rPr>
    </w:lvl>
    <w:lvl w:ilvl="8">
      <w:start w:val="1"/>
      <w:numFmt w:val="decimal"/>
      <w:lvlText w:val="(%9)"/>
      <w:lvlJc w:val="left"/>
      <w:rPr>
        <w:position w:val="0"/>
        <w:rtl w:val="0"/>
      </w:rPr>
    </w:lvl>
  </w:abstractNum>
  <w:abstractNum w:abstractNumId="3">
    <w:nsid w:val="39BB6B0B"/>
    <w:multiLevelType w:val="multilevel"/>
    <w:tmpl w:val="C992769E"/>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4">
    <w:nsid w:val="542E407D"/>
    <w:multiLevelType w:val="multilevel"/>
    <w:tmpl w:val="66B6D622"/>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5">
    <w:nsid w:val="60D33833"/>
    <w:multiLevelType w:val="multilevel"/>
    <w:tmpl w:val="32567B40"/>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6">
    <w:nsid w:val="64666E98"/>
    <w:multiLevelType w:val="multilevel"/>
    <w:tmpl w:val="30D236D2"/>
    <w:lvl w:ilvl="0">
      <w:start w:val="1"/>
      <w:numFmt w:val="upperRoman"/>
      <w:lvlText w:val="%1."/>
      <w:lvlJc w:val="left"/>
      <w:rPr>
        <w:position w:val="0"/>
        <w:rtl w:val="0"/>
      </w:rPr>
    </w:lvl>
    <w:lvl w:ilvl="1">
      <w:start w:val="1"/>
      <w:numFmt w:val="upperLetter"/>
      <w:lvlText w:val="%2."/>
      <w:lvlJc w:val="left"/>
      <w:rPr>
        <w:position w:val="0"/>
        <w:rtl w:val="0"/>
      </w:rPr>
    </w:lvl>
    <w:lvl w:ilvl="2">
      <w:start w:val="1"/>
      <w:numFmt w:val="decimal"/>
      <w:lvlText w:val="%3."/>
      <w:lvlJc w:val="left"/>
      <w:rPr>
        <w:position w:val="0"/>
        <w:rtl w:val="0"/>
      </w:rPr>
    </w:lvl>
    <w:lvl w:ilvl="3">
      <w:start w:val="1"/>
      <w:numFmt w:val="lowerLetter"/>
      <w:lvlText w:val="%4."/>
      <w:lvlJc w:val="left"/>
      <w:rPr>
        <w:position w:val="0"/>
        <w:rtl w:val="0"/>
      </w:rPr>
    </w:lvl>
    <w:lvl w:ilvl="4">
      <w:start w:val="1"/>
      <w:numFmt w:val="lowerRoman"/>
      <w:lvlText w:val="%5."/>
      <w:lvlJc w:val="left"/>
      <w:rPr>
        <w:position w:val="0"/>
        <w:rtl w:val="0"/>
      </w:rPr>
    </w:lvl>
    <w:lvl w:ilvl="5">
      <w:start w:val="1"/>
      <w:numFmt w:val="lowerLetter"/>
      <w:lvlText w:val="(%6)"/>
      <w:lvlJc w:val="left"/>
      <w:rPr>
        <w:position w:val="0"/>
        <w:rtl w:val="0"/>
      </w:rPr>
    </w:lvl>
    <w:lvl w:ilvl="6">
      <w:start w:val="1"/>
      <w:numFmt w:val="decimal"/>
      <w:lvlText w:val="(%7)"/>
      <w:lvlJc w:val="left"/>
      <w:rPr>
        <w:position w:val="0"/>
        <w:rtl w:val="0"/>
      </w:rPr>
    </w:lvl>
    <w:lvl w:ilvl="7">
      <w:start w:val="1"/>
      <w:numFmt w:val="lowerRoman"/>
      <w:lvlText w:val="(%8)"/>
      <w:lvlJc w:val="left"/>
      <w:rPr>
        <w:position w:val="0"/>
        <w:rtl w:val="0"/>
      </w:rPr>
    </w:lvl>
    <w:lvl w:ilvl="8">
      <w:start w:val="1"/>
      <w:numFmt w:val="decimal"/>
      <w:lvlText w:val="(%9)"/>
      <w:lvlJc w:val="left"/>
      <w:rPr>
        <w:position w:val="0"/>
        <w:rtl w:val="0"/>
      </w:rPr>
    </w:lvl>
  </w:abstractNum>
  <w:num w:numId="1">
    <w:abstractNumId w:val="4"/>
  </w:num>
  <w:num w:numId="2">
    <w:abstractNumId w:val="3"/>
  </w:num>
  <w:num w:numId="3">
    <w:abstractNumId w:val="0"/>
  </w:num>
  <w:num w:numId="4">
    <w:abstractNumId w:val="6"/>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grammar="clean"/>
  <w:defaultTabStop w:val="720"/>
  <w:characterSpacingControl w:val="doNotCompress"/>
  <w:footnotePr>
    <w:footnote w:id="-1"/>
    <w:footnote w:id="0"/>
    <w:footnote w:id="1"/>
  </w:footnotePr>
  <w:endnotePr>
    <w:endnote w:id="-1"/>
    <w:endnote w:id="0"/>
  </w:endnotePr>
  <w:compat>
    <w:useFELayout/>
    <w:compatSetting w:name="compatibilityMode" w:uri="http://schemas.microsoft.com/office/word" w:val="14"/>
  </w:compat>
  <w:rsids>
    <w:rsidRoot w:val="004D1844"/>
    <w:rsid w:val="00010DD3"/>
    <w:rsid w:val="000120A6"/>
    <w:rsid w:val="00012BA3"/>
    <w:rsid w:val="00026EB7"/>
    <w:rsid w:val="00031F24"/>
    <w:rsid w:val="0003357A"/>
    <w:rsid w:val="0003631B"/>
    <w:rsid w:val="00045301"/>
    <w:rsid w:val="00050523"/>
    <w:rsid w:val="00050B80"/>
    <w:rsid w:val="00073CFE"/>
    <w:rsid w:val="000859C3"/>
    <w:rsid w:val="000964ED"/>
    <w:rsid w:val="000B7F50"/>
    <w:rsid w:val="000C7B83"/>
    <w:rsid w:val="000E79EF"/>
    <w:rsid w:val="001220AD"/>
    <w:rsid w:val="00123DAD"/>
    <w:rsid w:val="001333FF"/>
    <w:rsid w:val="00144AEA"/>
    <w:rsid w:val="00155D68"/>
    <w:rsid w:val="00157429"/>
    <w:rsid w:val="00180834"/>
    <w:rsid w:val="001A35F0"/>
    <w:rsid w:val="001A3F0E"/>
    <w:rsid w:val="001C0653"/>
    <w:rsid w:val="001D4535"/>
    <w:rsid w:val="001D7550"/>
    <w:rsid w:val="001E510F"/>
    <w:rsid w:val="00237C20"/>
    <w:rsid w:val="002450BA"/>
    <w:rsid w:val="00277792"/>
    <w:rsid w:val="00283D2F"/>
    <w:rsid w:val="002929B1"/>
    <w:rsid w:val="002B443E"/>
    <w:rsid w:val="002C3A86"/>
    <w:rsid w:val="002C3D70"/>
    <w:rsid w:val="002D4F90"/>
    <w:rsid w:val="002D6408"/>
    <w:rsid w:val="002F34C3"/>
    <w:rsid w:val="002F4528"/>
    <w:rsid w:val="0030788C"/>
    <w:rsid w:val="003253DC"/>
    <w:rsid w:val="00331F70"/>
    <w:rsid w:val="00341683"/>
    <w:rsid w:val="00353FCE"/>
    <w:rsid w:val="0036222D"/>
    <w:rsid w:val="003649C8"/>
    <w:rsid w:val="003710BE"/>
    <w:rsid w:val="00394378"/>
    <w:rsid w:val="003A1775"/>
    <w:rsid w:val="003A1F83"/>
    <w:rsid w:val="003A2B15"/>
    <w:rsid w:val="003B094B"/>
    <w:rsid w:val="003B63A0"/>
    <w:rsid w:val="003C0BC0"/>
    <w:rsid w:val="003E6A42"/>
    <w:rsid w:val="003F6544"/>
    <w:rsid w:val="003F70BF"/>
    <w:rsid w:val="00411D44"/>
    <w:rsid w:val="0041748D"/>
    <w:rsid w:val="004246D5"/>
    <w:rsid w:val="004349E1"/>
    <w:rsid w:val="00435770"/>
    <w:rsid w:val="004425D0"/>
    <w:rsid w:val="004429CD"/>
    <w:rsid w:val="00465AE4"/>
    <w:rsid w:val="004771FF"/>
    <w:rsid w:val="00484370"/>
    <w:rsid w:val="0048576E"/>
    <w:rsid w:val="00490E67"/>
    <w:rsid w:val="004928C1"/>
    <w:rsid w:val="004A386C"/>
    <w:rsid w:val="004A4880"/>
    <w:rsid w:val="004B1264"/>
    <w:rsid w:val="004B1D3A"/>
    <w:rsid w:val="004C3B13"/>
    <w:rsid w:val="004D1844"/>
    <w:rsid w:val="004E65C1"/>
    <w:rsid w:val="0050560B"/>
    <w:rsid w:val="0052119D"/>
    <w:rsid w:val="005220DD"/>
    <w:rsid w:val="00523A3A"/>
    <w:rsid w:val="005256DF"/>
    <w:rsid w:val="00547CE6"/>
    <w:rsid w:val="00551DE3"/>
    <w:rsid w:val="00563892"/>
    <w:rsid w:val="005733F5"/>
    <w:rsid w:val="00573927"/>
    <w:rsid w:val="00577ACE"/>
    <w:rsid w:val="005C367A"/>
    <w:rsid w:val="005F7AD8"/>
    <w:rsid w:val="006455DB"/>
    <w:rsid w:val="00662F54"/>
    <w:rsid w:val="00671957"/>
    <w:rsid w:val="00676051"/>
    <w:rsid w:val="00677350"/>
    <w:rsid w:val="006A60A1"/>
    <w:rsid w:val="006D2F7D"/>
    <w:rsid w:val="006D6503"/>
    <w:rsid w:val="006F0DBD"/>
    <w:rsid w:val="00700D68"/>
    <w:rsid w:val="0070510B"/>
    <w:rsid w:val="00715BE4"/>
    <w:rsid w:val="00745E7B"/>
    <w:rsid w:val="00750A96"/>
    <w:rsid w:val="00754809"/>
    <w:rsid w:val="00775CD2"/>
    <w:rsid w:val="00776458"/>
    <w:rsid w:val="007902B1"/>
    <w:rsid w:val="007C3271"/>
    <w:rsid w:val="007D1D98"/>
    <w:rsid w:val="007D7922"/>
    <w:rsid w:val="007F3C2E"/>
    <w:rsid w:val="00802C48"/>
    <w:rsid w:val="00812461"/>
    <w:rsid w:val="00814E4D"/>
    <w:rsid w:val="00831228"/>
    <w:rsid w:val="008533B8"/>
    <w:rsid w:val="00855429"/>
    <w:rsid w:val="008618F6"/>
    <w:rsid w:val="00870CCF"/>
    <w:rsid w:val="0088390B"/>
    <w:rsid w:val="00893878"/>
    <w:rsid w:val="00897B62"/>
    <w:rsid w:val="008A3107"/>
    <w:rsid w:val="008B2B95"/>
    <w:rsid w:val="008B7DF1"/>
    <w:rsid w:val="008D3008"/>
    <w:rsid w:val="008E0D40"/>
    <w:rsid w:val="008E1961"/>
    <w:rsid w:val="008E5F1D"/>
    <w:rsid w:val="008F5048"/>
    <w:rsid w:val="0090225A"/>
    <w:rsid w:val="00917D18"/>
    <w:rsid w:val="00927AD5"/>
    <w:rsid w:val="009331A8"/>
    <w:rsid w:val="00941EC6"/>
    <w:rsid w:val="009770A4"/>
    <w:rsid w:val="009A0FF7"/>
    <w:rsid w:val="009A140A"/>
    <w:rsid w:val="009A3593"/>
    <w:rsid w:val="009A7FB3"/>
    <w:rsid w:val="009F4085"/>
    <w:rsid w:val="00A001F2"/>
    <w:rsid w:val="00A01325"/>
    <w:rsid w:val="00A1218E"/>
    <w:rsid w:val="00A14A79"/>
    <w:rsid w:val="00A364AE"/>
    <w:rsid w:val="00A37AC3"/>
    <w:rsid w:val="00A42B32"/>
    <w:rsid w:val="00A52D57"/>
    <w:rsid w:val="00A60656"/>
    <w:rsid w:val="00A66949"/>
    <w:rsid w:val="00A71703"/>
    <w:rsid w:val="00A920CA"/>
    <w:rsid w:val="00A93263"/>
    <w:rsid w:val="00A95149"/>
    <w:rsid w:val="00A964DC"/>
    <w:rsid w:val="00AA7B23"/>
    <w:rsid w:val="00AE78BB"/>
    <w:rsid w:val="00B31A8B"/>
    <w:rsid w:val="00B31F47"/>
    <w:rsid w:val="00B32997"/>
    <w:rsid w:val="00B32CDA"/>
    <w:rsid w:val="00B41FC8"/>
    <w:rsid w:val="00B602C4"/>
    <w:rsid w:val="00B62A23"/>
    <w:rsid w:val="00B71292"/>
    <w:rsid w:val="00B80F3A"/>
    <w:rsid w:val="00B97C16"/>
    <w:rsid w:val="00BB575C"/>
    <w:rsid w:val="00BE1761"/>
    <w:rsid w:val="00BE3D1C"/>
    <w:rsid w:val="00C17B66"/>
    <w:rsid w:val="00C41C75"/>
    <w:rsid w:val="00C471E7"/>
    <w:rsid w:val="00C62AF0"/>
    <w:rsid w:val="00C7286E"/>
    <w:rsid w:val="00C80C49"/>
    <w:rsid w:val="00C923FA"/>
    <w:rsid w:val="00C93890"/>
    <w:rsid w:val="00CA66FD"/>
    <w:rsid w:val="00CC047F"/>
    <w:rsid w:val="00CD7D52"/>
    <w:rsid w:val="00CF3434"/>
    <w:rsid w:val="00CF37FA"/>
    <w:rsid w:val="00CF4066"/>
    <w:rsid w:val="00CF6AF2"/>
    <w:rsid w:val="00D214FF"/>
    <w:rsid w:val="00D31B18"/>
    <w:rsid w:val="00D43ADE"/>
    <w:rsid w:val="00D47532"/>
    <w:rsid w:val="00D652EF"/>
    <w:rsid w:val="00D72596"/>
    <w:rsid w:val="00D7640F"/>
    <w:rsid w:val="00D91A66"/>
    <w:rsid w:val="00DB1146"/>
    <w:rsid w:val="00DB1B86"/>
    <w:rsid w:val="00DC0A19"/>
    <w:rsid w:val="00DC6B95"/>
    <w:rsid w:val="00DC6D7E"/>
    <w:rsid w:val="00DC7703"/>
    <w:rsid w:val="00DD1DEA"/>
    <w:rsid w:val="00DE0FEE"/>
    <w:rsid w:val="00E00EBB"/>
    <w:rsid w:val="00E07F72"/>
    <w:rsid w:val="00E13737"/>
    <w:rsid w:val="00E22C62"/>
    <w:rsid w:val="00E37CD9"/>
    <w:rsid w:val="00E62C66"/>
    <w:rsid w:val="00E809FB"/>
    <w:rsid w:val="00EA2BB6"/>
    <w:rsid w:val="00ED25A2"/>
    <w:rsid w:val="00EF004E"/>
    <w:rsid w:val="00EF5885"/>
    <w:rsid w:val="00F16218"/>
    <w:rsid w:val="00F53DD1"/>
    <w:rsid w:val="00F54B11"/>
    <w:rsid w:val="00F72BD3"/>
    <w:rsid w:val="00F848C5"/>
    <w:rsid w:val="00F95B35"/>
    <w:rsid w:val="00FE1680"/>
    <w:rsid w:val="00FE76F2"/>
    <w:rsid w:val="00FF52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5B70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paragraph" w:styleId="Heading2">
    <w:name w:val="heading 2"/>
    <w:next w:val="FERCparanumber"/>
    <w:pPr>
      <w:keepNext/>
      <w:keepLines/>
      <w:tabs>
        <w:tab w:val="left" w:pos="1008"/>
      </w:tabs>
      <w:spacing w:after="260"/>
      <w:ind w:left="1152" w:hanging="792"/>
      <w:outlineLvl w:val="1"/>
    </w:pPr>
    <w:rPr>
      <w:rFonts w:ascii="Times New Roman Bold" w:hAnsi="Arial Unicode MS" w:cs="Arial Unicode MS"/>
      <w:color w:val="000000"/>
      <w:kern w:val="32"/>
      <w:sz w:val="26"/>
      <w:szCs w:val="26"/>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widowControl w:val="0"/>
      <w:tabs>
        <w:tab w:val="right" w:pos="8640"/>
      </w:tabs>
      <w:spacing w:after="120"/>
    </w:pPr>
    <w:rPr>
      <w:rFonts w:hAnsi="Arial Unicode MS" w:cs="Arial Unicode MS"/>
      <w:color w:val="000000"/>
      <w:sz w:val="26"/>
      <w:szCs w:val="26"/>
      <w:u w:color="000000"/>
    </w:rPr>
  </w:style>
  <w:style w:type="paragraph" w:customStyle="1" w:styleId="HeaderFooter">
    <w:name w:val="Header &amp; Footer"/>
    <w:pPr>
      <w:tabs>
        <w:tab w:val="right" w:pos="9020"/>
      </w:tabs>
    </w:pPr>
    <w:rPr>
      <w:rFonts w:ascii="Helvetica" w:eastAsia="Helvetica" w:hAnsi="Helvetica" w:cs="Helvetica"/>
      <w:color w:val="000000"/>
      <w:sz w:val="24"/>
      <w:szCs w:val="24"/>
    </w:rPr>
  </w:style>
  <w:style w:type="paragraph" w:customStyle="1" w:styleId="Body">
    <w:name w:val="Body"/>
    <w:pPr>
      <w:widowControl w:val="0"/>
    </w:pPr>
    <w:rPr>
      <w:rFonts w:hAnsi="Arial Unicode MS" w:cs="Arial Unicode MS"/>
      <w:color w:val="000000"/>
      <w:sz w:val="26"/>
      <w:szCs w:val="26"/>
      <w:u w:color="000000"/>
    </w:rPr>
  </w:style>
  <w:style w:type="paragraph" w:customStyle="1" w:styleId="FERCparanumber">
    <w:name w:val="FERC paranumber"/>
    <w:pPr>
      <w:tabs>
        <w:tab w:val="left" w:pos="720"/>
      </w:tabs>
      <w:spacing w:after="240"/>
    </w:pPr>
    <w:rPr>
      <w:rFonts w:eastAsia="Times New Roman"/>
      <w:color w:val="000000"/>
      <w:sz w:val="26"/>
      <w:szCs w:val="26"/>
      <w:u w:color="000000"/>
    </w:rPr>
  </w:style>
  <w:style w:type="paragraph" w:styleId="FootnoteText">
    <w:name w:val="footnote text"/>
    <w:link w:val="FootnoteTextChar"/>
    <w:uiPriority w:val="99"/>
    <w:pPr>
      <w:widowControl w:val="0"/>
      <w:spacing w:after="260"/>
      <w:ind w:firstLine="720"/>
    </w:pPr>
    <w:rPr>
      <w:rFonts w:eastAsia="Times New Roman"/>
      <w:color w:val="000000"/>
      <w:sz w:val="26"/>
      <w:szCs w:val="26"/>
      <w:u w:color="000000"/>
    </w:rPr>
  </w:style>
  <w:style w:type="numbering" w:customStyle="1" w:styleId="List0">
    <w:name w:val="List 0"/>
    <w:basedOn w:val="ImportedStyle2"/>
    <w:pPr>
      <w:numPr>
        <w:numId w:val="3"/>
      </w:numPr>
    </w:pPr>
  </w:style>
  <w:style w:type="numbering" w:customStyle="1" w:styleId="ImportedStyle2">
    <w:name w:val="Imported Style 2"/>
  </w:style>
  <w:style w:type="paragraph" w:customStyle="1" w:styleId="Heading">
    <w:name w:val="Heading"/>
    <w:next w:val="FERCparanumber"/>
    <w:pPr>
      <w:keepNext/>
      <w:keepLines/>
      <w:tabs>
        <w:tab w:val="left" w:pos="720"/>
      </w:tabs>
      <w:spacing w:after="260"/>
      <w:ind w:left="792" w:hanging="792"/>
      <w:outlineLvl w:val="0"/>
    </w:pPr>
    <w:rPr>
      <w:rFonts w:ascii="Times New Roman Bold" w:hAnsi="Arial Unicode MS" w:cs="Arial Unicode MS"/>
      <w:color w:val="000000"/>
      <w:kern w:val="32"/>
      <w:sz w:val="26"/>
      <w:szCs w:val="26"/>
      <w:u w:val="single" w:color="000000"/>
    </w:rPr>
  </w:style>
  <w:style w:type="numbering" w:customStyle="1" w:styleId="List1">
    <w:name w:val="List 1"/>
    <w:basedOn w:val="ImportedStyle1"/>
    <w:pPr>
      <w:numPr>
        <w:numId w:val="6"/>
      </w:numPr>
    </w:pPr>
  </w:style>
  <w:style w:type="numbering" w:customStyle="1" w:styleId="ImportedStyle1">
    <w:name w:val="Imported Style 1"/>
  </w:style>
  <w:style w:type="character" w:customStyle="1" w:styleId="None">
    <w:name w:val="None"/>
  </w:style>
  <w:style w:type="character" w:customStyle="1" w:styleId="Hyperlink0">
    <w:name w:val="Hyperlink.0"/>
    <w:basedOn w:val="None"/>
    <w:rPr>
      <w:i/>
      <w:iCs/>
    </w:rPr>
  </w:style>
  <w:style w:type="character" w:customStyle="1" w:styleId="Hyperlink1">
    <w:name w:val="Hyperlink.1"/>
    <w:basedOn w:val="None"/>
  </w:style>
  <w:style w:type="paragraph" w:styleId="Footer">
    <w:name w:val="footer"/>
    <w:basedOn w:val="Normal"/>
    <w:link w:val="FooterChar"/>
    <w:uiPriority w:val="99"/>
    <w:unhideWhenUsed/>
    <w:rsid w:val="00A920CA"/>
    <w:pPr>
      <w:tabs>
        <w:tab w:val="center" w:pos="4680"/>
        <w:tab w:val="right" w:pos="9360"/>
      </w:tabs>
    </w:pPr>
  </w:style>
  <w:style w:type="character" w:customStyle="1" w:styleId="FooterChar">
    <w:name w:val="Footer Char"/>
    <w:basedOn w:val="DefaultParagraphFont"/>
    <w:link w:val="Footer"/>
    <w:uiPriority w:val="99"/>
    <w:rsid w:val="00A920CA"/>
    <w:rPr>
      <w:sz w:val="24"/>
      <w:szCs w:val="24"/>
    </w:rPr>
  </w:style>
  <w:style w:type="paragraph" w:styleId="BalloonText">
    <w:name w:val="Balloon Text"/>
    <w:basedOn w:val="Normal"/>
    <w:link w:val="BalloonTextChar"/>
    <w:uiPriority w:val="99"/>
    <w:semiHidden/>
    <w:unhideWhenUsed/>
    <w:rsid w:val="004928C1"/>
    <w:rPr>
      <w:rFonts w:ascii="Tahoma" w:hAnsi="Tahoma" w:cs="Tahoma"/>
      <w:sz w:val="16"/>
      <w:szCs w:val="16"/>
    </w:rPr>
  </w:style>
  <w:style w:type="character" w:customStyle="1" w:styleId="BalloonTextChar">
    <w:name w:val="Balloon Text Char"/>
    <w:basedOn w:val="DefaultParagraphFont"/>
    <w:link w:val="BalloonText"/>
    <w:uiPriority w:val="99"/>
    <w:semiHidden/>
    <w:rsid w:val="004928C1"/>
    <w:rPr>
      <w:rFonts w:ascii="Tahoma" w:hAnsi="Tahoma" w:cs="Tahoma"/>
      <w:sz w:val="16"/>
      <w:szCs w:val="16"/>
    </w:rPr>
  </w:style>
  <w:style w:type="character" w:customStyle="1" w:styleId="FootnoteTextChar">
    <w:name w:val="Footnote Text Char"/>
    <w:basedOn w:val="DefaultParagraphFont"/>
    <w:link w:val="FootnoteText"/>
    <w:uiPriority w:val="99"/>
    <w:rsid w:val="0003357A"/>
    <w:rPr>
      <w:rFonts w:eastAsia="Times New Roman"/>
      <w:color w:val="000000"/>
      <w:sz w:val="26"/>
      <w:szCs w:val="26"/>
      <w:u w:color="000000"/>
    </w:rPr>
  </w:style>
  <w:style w:type="character" w:styleId="FootnoteReference">
    <w:name w:val="footnote reference"/>
    <w:basedOn w:val="DefaultParagraphFont"/>
    <w:uiPriority w:val="99"/>
    <w:semiHidden/>
    <w:unhideWhenUsed/>
    <w:rsid w:val="0003357A"/>
    <w:rPr>
      <w:vertAlign w:val="superscript"/>
    </w:rPr>
  </w:style>
  <w:style w:type="paragraph" w:styleId="ListParagraph">
    <w:name w:val="List Paragraph"/>
    <w:basedOn w:val="Normal"/>
    <w:uiPriority w:val="34"/>
    <w:qFormat/>
    <w:rsid w:val="0003357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paragraph" w:styleId="Heading2">
    <w:name w:val="heading 2"/>
    <w:next w:val="FERCparanumber"/>
    <w:pPr>
      <w:keepNext/>
      <w:keepLines/>
      <w:tabs>
        <w:tab w:val="left" w:pos="1008"/>
      </w:tabs>
      <w:spacing w:after="260"/>
      <w:ind w:left="1152" w:hanging="792"/>
      <w:outlineLvl w:val="1"/>
    </w:pPr>
    <w:rPr>
      <w:rFonts w:ascii="Times New Roman Bold" w:hAnsi="Arial Unicode MS" w:cs="Arial Unicode MS"/>
      <w:color w:val="000000"/>
      <w:kern w:val="32"/>
      <w:sz w:val="26"/>
      <w:szCs w:val="26"/>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widowControl w:val="0"/>
      <w:tabs>
        <w:tab w:val="right" w:pos="8640"/>
      </w:tabs>
      <w:spacing w:after="120"/>
    </w:pPr>
    <w:rPr>
      <w:rFonts w:hAnsi="Arial Unicode MS" w:cs="Arial Unicode MS"/>
      <w:color w:val="000000"/>
      <w:sz w:val="26"/>
      <w:szCs w:val="26"/>
      <w:u w:color="000000"/>
    </w:rPr>
  </w:style>
  <w:style w:type="paragraph" w:customStyle="1" w:styleId="HeaderFooter">
    <w:name w:val="Header &amp; Footer"/>
    <w:pPr>
      <w:tabs>
        <w:tab w:val="right" w:pos="9020"/>
      </w:tabs>
    </w:pPr>
    <w:rPr>
      <w:rFonts w:ascii="Helvetica" w:eastAsia="Helvetica" w:hAnsi="Helvetica" w:cs="Helvetica"/>
      <w:color w:val="000000"/>
      <w:sz w:val="24"/>
      <w:szCs w:val="24"/>
    </w:rPr>
  </w:style>
  <w:style w:type="paragraph" w:customStyle="1" w:styleId="Body">
    <w:name w:val="Body"/>
    <w:pPr>
      <w:widowControl w:val="0"/>
    </w:pPr>
    <w:rPr>
      <w:rFonts w:hAnsi="Arial Unicode MS" w:cs="Arial Unicode MS"/>
      <w:color w:val="000000"/>
      <w:sz w:val="26"/>
      <w:szCs w:val="26"/>
      <w:u w:color="000000"/>
    </w:rPr>
  </w:style>
  <w:style w:type="paragraph" w:customStyle="1" w:styleId="FERCparanumber">
    <w:name w:val="FERC paranumber"/>
    <w:pPr>
      <w:tabs>
        <w:tab w:val="left" w:pos="720"/>
      </w:tabs>
      <w:spacing w:after="240"/>
    </w:pPr>
    <w:rPr>
      <w:rFonts w:eastAsia="Times New Roman"/>
      <w:color w:val="000000"/>
      <w:sz w:val="26"/>
      <w:szCs w:val="26"/>
      <w:u w:color="000000"/>
    </w:rPr>
  </w:style>
  <w:style w:type="paragraph" w:styleId="FootnoteText">
    <w:name w:val="footnote text"/>
    <w:link w:val="FootnoteTextChar"/>
    <w:uiPriority w:val="99"/>
    <w:pPr>
      <w:widowControl w:val="0"/>
      <w:spacing w:after="260"/>
      <w:ind w:firstLine="720"/>
    </w:pPr>
    <w:rPr>
      <w:rFonts w:eastAsia="Times New Roman"/>
      <w:color w:val="000000"/>
      <w:sz w:val="26"/>
      <w:szCs w:val="26"/>
      <w:u w:color="000000"/>
    </w:rPr>
  </w:style>
  <w:style w:type="numbering" w:customStyle="1" w:styleId="List0">
    <w:name w:val="List 0"/>
    <w:basedOn w:val="ImportedStyle2"/>
    <w:pPr>
      <w:numPr>
        <w:numId w:val="3"/>
      </w:numPr>
    </w:pPr>
  </w:style>
  <w:style w:type="numbering" w:customStyle="1" w:styleId="ImportedStyle2">
    <w:name w:val="Imported Style 2"/>
  </w:style>
  <w:style w:type="paragraph" w:customStyle="1" w:styleId="Heading">
    <w:name w:val="Heading"/>
    <w:next w:val="FERCparanumber"/>
    <w:pPr>
      <w:keepNext/>
      <w:keepLines/>
      <w:tabs>
        <w:tab w:val="left" w:pos="720"/>
      </w:tabs>
      <w:spacing w:after="260"/>
      <w:ind w:left="792" w:hanging="792"/>
      <w:outlineLvl w:val="0"/>
    </w:pPr>
    <w:rPr>
      <w:rFonts w:ascii="Times New Roman Bold" w:hAnsi="Arial Unicode MS" w:cs="Arial Unicode MS"/>
      <w:color w:val="000000"/>
      <w:kern w:val="32"/>
      <w:sz w:val="26"/>
      <w:szCs w:val="26"/>
      <w:u w:val="single" w:color="000000"/>
    </w:rPr>
  </w:style>
  <w:style w:type="numbering" w:customStyle="1" w:styleId="List1">
    <w:name w:val="List 1"/>
    <w:basedOn w:val="ImportedStyle1"/>
    <w:pPr>
      <w:numPr>
        <w:numId w:val="6"/>
      </w:numPr>
    </w:pPr>
  </w:style>
  <w:style w:type="numbering" w:customStyle="1" w:styleId="ImportedStyle1">
    <w:name w:val="Imported Style 1"/>
  </w:style>
  <w:style w:type="character" w:customStyle="1" w:styleId="None">
    <w:name w:val="None"/>
  </w:style>
  <w:style w:type="character" w:customStyle="1" w:styleId="Hyperlink0">
    <w:name w:val="Hyperlink.0"/>
    <w:basedOn w:val="None"/>
    <w:rPr>
      <w:i/>
      <w:iCs/>
    </w:rPr>
  </w:style>
  <w:style w:type="character" w:customStyle="1" w:styleId="Hyperlink1">
    <w:name w:val="Hyperlink.1"/>
    <w:basedOn w:val="None"/>
  </w:style>
  <w:style w:type="paragraph" w:styleId="Footer">
    <w:name w:val="footer"/>
    <w:basedOn w:val="Normal"/>
    <w:link w:val="FooterChar"/>
    <w:uiPriority w:val="99"/>
    <w:unhideWhenUsed/>
    <w:rsid w:val="00A920CA"/>
    <w:pPr>
      <w:tabs>
        <w:tab w:val="center" w:pos="4680"/>
        <w:tab w:val="right" w:pos="9360"/>
      </w:tabs>
    </w:pPr>
  </w:style>
  <w:style w:type="character" w:customStyle="1" w:styleId="FooterChar">
    <w:name w:val="Footer Char"/>
    <w:basedOn w:val="DefaultParagraphFont"/>
    <w:link w:val="Footer"/>
    <w:uiPriority w:val="99"/>
    <w:rsid w:val="00A920CA"/>
    <w:rPr>
      <w:sz w:val="24"/>
      <w:szCs w:val="24"/>
    </w:rPr>
  </w:style>
  <w:style w:type="paragraph" w:styleId="BalloonText">
    <w:name w:val="Balloon Text"/>
    <w:basedOn w:val="Normal"/>
    <w:link w:val="BalloonTextChar"/>
    <w:uiPriority w:val="99"/>
    <w:semiHidden/>
    <w:unhideWhenUsed/>
    <w:rsid w:val="004928C1"/>
    <w:rPr>
      <w:rFonts w:ascii="Tahoma" w:hAnsi="Tahoma" w:cs="Tahoma"/>
      <w:sz w:val="16"/>
      <w:szCs w:val="16"/>
    </w:rPr>
  </w:style>
  <w:style w:type="character" w:customStyle="1" w:styleId="BalloonTextChar">
    <w:name w:val="Balloon Text Char"/>
    <w:basedOn w:val="DefaultParagraphFont"/>
    <w:link w:val="BalloonText"/>
    <w:uiPriority w:val="99"/>
    <w:semiHidden/>
    <w:rsid w:val="004928C1"/>
    <w:rPr>
      <w:rFonts w:ascii="Tahoma" w:hAnsi="Tahoma" w:cs="Tahoma"/>
      <w:sz w:val="16"/>
      <w:szCs w:val="16"/>
    </w:rPr>
  </w:style>
  <w:style w:type="character" w:customStyle="1" w:styleId="FootnoteTextChar">
    <w:name w:val="Footnote Text Char"/>
    <w:basedOn w:val="DefaultParagraphFont"/>
    <w:link w:val="FootnoteText"/>
    <w:uiPriority w:val="99"/>
    <w:rsid w:val="0003357A"/>
    <w:rPr>
      <w:rFonts w:eastAsia="Times New Roman"/>
      <w:color w:val="000000"/>
      <w:sz w:val="26"/>
      <w:szCs w:val="26"/>
      <w:u w:color="000000"/>
    </w:rPr>
  </w:style>
  <w:style w:type="character" w:styleId="FootnoteReference">
    <w:name w:val="footnote reference"/>
    <w:basedOn w:val="DefaultParagraphFont"/>
    <w:uiPriority w:val="99"/>
    <w:semiHidden/>
    <w:unhideWhenUsed/>
    <w:rsid w:val="0003357A"/>
    <w:rPr>
      <w:vertAlign w:val="superscript"/>
    </w:rPr>
  </w:style>
  <w:style w:type="paragraph" w:styleId="ListParagraph">
    <w:name w:val="List Paragraph"/>
    <w:basedOn w:val="Normal"/>
    <w:uiPriority w:val="34"/>
    <w:qFormat/>
    <w:rsid w:val="000335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43824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Arial Bold"/>
        <a:ea typeface="Arial Bold"/>
        <a:cs typeface="Arial Bold"/>
      </a:majorFont>
      <a:minorFont>
        <a:latin typeface="Arial"/>
        <a:ea typeface="Arial"/>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3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5DD5B81388B9B44B6E43689F613E80D" ma:contentTypeVersion="6" ma:contentTypeDescription="Create a new document." ma:contentTypeScope="" ma:versionID="fd10e40fdd8d34887fe725f24d69ba36">
  <xsd:schema xmlns:xsd="http://www.w3.org/2001/XMLSchema" xmlns:p="http://schemas.microsoft.com/office/2006/metadata/properties" targetNamespace="http://schemas.microsoft.com/office/2006/metadata/properties" ma:root="true" ma:fieldsID="faf52faaa31b79efcee5e183bc2d1a2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1F9187-65B8-47F8-B325-11E12298D725}">
  <ds:schemaRefs>
    <ds:schemaRef ds:uri="http://schemas.microsoft.com/office/2006/metadata/properties"/>
  </ds:schemaRefs>
</ds:datastoreItem>
</file>

<file path=customXml/itemProps2.xml><?xml version="1.0" encoding="utf-8"?>
<ds:datastoreItem xmlns:ds="http://schemas.openxmlformats.org/officeDocument/2006/customXml" ds:itemID="{18D43517-0113-48F2-9185-ACBED0C5F8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655BC4C1-5002-4FD8-AFD2-2DF2704F476A}">
  <ds:schemaRefs>
    <ds:schemaRef ds:uri="http://schemas.microsoft.com/sharepoint/v3/contenttype/forms"/>
  </ds:schemaRefs>
</ds:datastoreItem>
</file>

<file path=customXml/itemProps4.xml><?xml version="1.0" encoding="utf-8"?>
<ds:datastoreItem xmlns:ds="http://schemas.openxmlformats.org/officeDocument/2006/customXml" ds:itemID="{EEF8DA3C-C5E7-4815-91D0-0B373D2BE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2192</Words>
  <Characters>12498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14661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2016-04-11T21:02:00Z</dcterms:created>
  <dcterms:modified xsi:type="dcterms:W3CDTF">2016-04-11T21:02:00Z</dcterms:modified>
  <dc:identifier/>
  <cp:version/>
</cp:coreProperties>
</file>